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59C23" w14:textId="78140054" w:rsidR="001475F4" w:rsidRDefault="006B0F9E" w:rsidP="001475F4">
      <w:pPr>
        <w:spacing w:line="360" w:lineRule="auto"/>
        <w:jc w:val="center"/>
        <w:outlineLvl w:val="0"/>
        <w:rPr>
          <w:rFonts w:ascii="Arial" w:hAnsi="Arial" w:cs="Arial"/>
          <w:b/>
          <w:bCs/>
          <w:caps/>
          <w:noProof/>
          <w:sz w:val="24"/>
          <w:szCs w:val="24"/>
          <w:lang w:eastAsia="es-CO"/>
        </w:rPr>
      </w:pPr>
      <w:r>
        <w:rPr>
          <w:rFonts w:ascii="Arial" w:hAnsi="Arial" w:cs="Arial"/>
          <w:b/>
          <w:bCs/>
          <w:caps/>
          <w:noProof/>
          <w:sz w:val="24"/>
          <w:szCs w:val="24"/>
          <w:lang w:eastAsia="es-CO"/>
        </w:rPr>
        <w:t xml:space="preserve">PROYECTO DE LEY No________ </w:t>
      </w:r>
      <w:r w:rsidR="001475F4">
        <w:rPr>
          <w:rFonts w:ascii="Arial" w:hAnsi="Arial" w:cs="Arial"/>
          <w:b/>
          <w:bCs/>
          <w:caps/>
          <w:noProof/>
          <w:sz w:val="24"/>
          <w:szCs w:val="24"/>
          <w:lang w:eastAsia="es-CO"/>
        </w:rPr>
        <w:t xml:space="preserve"> de 2019</w:t>
      </w:r>
    </w:p>
    <w:p w14:paraId="5473E838" w14:textId="77777777" w:rsidR="001475F4" w:rsidRPr="00B21DBA" w:rsidRDefault="001475F4" w:rsidP="001475F4">
      <w:pPr>
        <w:spacing w:line="360" w:lineRule="auto"/>
        <w:jc w:val="center"/>
        <w:rPr>
          <w:rFonts w:ascii="Arial" w:hAnsi="Arial" w:cs="Arial"/>
          <w:noProof/>
          <w:color w:val="000000" w:themeColor="text1"/>
          <w:sz w:val="24"/>
          <w:szCs w:val="24"/>
          <w:lang w:eastAsia="es-CO"/>
        </w:rPr>
      </w:pPr>
      <w:r w:rsidRPr="00B21DBA">
        <w:rPr>
          <w:rFonts w:ascii="Arial" w:hAnsi="Arial" w:cs="Arial"/>
          <w:noProof/>
          <w:color w:val="000000" w:themeColor="text1"/>
          <w:sz w:val="24"/>
          <w:szCs w:val="24"/>
          <w:lang w:eastAsia="es-CO"/>
        </w:rPr>
        <w:t>“</w:t>
      </w:r>
      <w:r w:rsidRPr="001475F4">
        <w:rPr>
          <w:rFonts w:ascii="Arial" w:hAnsi="Arial" w:cs="Arial"/>
          <w:i/>
          <w:noProof/>
          <w:color w:val="000000" w:themeColor="text1"/>
          <w:sz w:val="24"/>
          <w:szCs w:val="24"/>
          <w:lang w:eastAsia="es-CO"/>
        </w:rPr>
        <w:t>Por medio de la cual se modifica</w:t>
      </w:r>
      <w:r>
        <w:rPr>
          <w:rFonts w:ascii="Arial" w:hAnsi="Arial" w:cs="Arial"/>
          <w:i/>
          <w:noProof/>
          <w:color w:val="000000" w:themeColor="text1"/>
          <w:sz w:val="24"/>
          <w:szCs w:val="24"/>
          <w:lang w:eastAsia="es-CO"/>
        </w:rPr>
        <w:t>n los</w:t>
      </w:r>
      <w:r w:rsidRPr="001475F4">
        <w:rPr>
          <w:rFonts w:ascii="Arial" w:hAnsi="Arial" w:cs="Arial"/>
          <w:i/>
          <w:noProof/>
          <w:color w:val="000000" w:themeColor="text1"/>
          <w:sz w:val="24"/>
          <w:szCs w:val="24"/>
          <w:lang w:eastAsia="es-CO"/>
        </w:rPr>
        <w:t xml:space="preserve"> artículo</w:t>
      </w:r>
      <w:r>
        <w:rPr>
          <w:rFonts w:ascii="Arial" w:hAnsi="Arial" w:cs="Arial"/>
          <w:i/>
          <w:noProof/>
          <w:color w:val="000000" w:themeColor="text1"/>
          <w:sz w:val="24"/>
          <w:szCs w:val="24"/>
          <w:lang w:eastAsia="es-CO"/>
        </w:rPr>
        <w:t>s 206 y</w:t>
      </w:r>
      <w:r w:rsidRPr="001475F4">
        <w:rPr>
          <w:rFonts w:ascii="Arial" w:hAnsi="Arial" w:cs="Arial"/>
          <w:i/>
          <w:noProof/>
          <w:color w:val="000000" w:themeColor="text1"/>
          <w:sz w:val="24"/>
          <w:szCs w:val="24"/>
          <w:lang w:eastAsia="es-CO"/>
        </w:rPr>
        <w:t xml:space="preserve"> 207 de la ley 1098 de 2006 y se dictan otras disposiciones</w:t>
      </w:r>
      <w:r w:rsidRPr="00B21DBA">
        <w:rPr>
          <w:rFonts w:ascii="Arial" w:hAnsi="Arial" w:cs="Arial"/>
          <w:noProof/>
          <w:color w:val="000000" w:themeColor="text1"/>
          <w:sz w:val="24"/>
          <w:szCs w:val="24"/>
          <w:lang w:eastAsia="es-CO"/>
        </w:rPr>
        <w:t>”</w:t>
      </w:r>
    </w:p>
    <w:p w14:paraId="7DA08FB2" w14:textId="77777777" w:rsidR="001475F4" w:rsidRPr="0033443E" w:rsidRDefault="001475F4" w:rsidP="001475F4">
      <w:pPr>
        <w:spacing w:line="360" w:lineRule="auto"/>
        <w:jc w:val="center"/>
        <w:outlineLvl w:val="0"/>
        <w:rPr>
          <w:rFonts w:ascii="Arial" w:hAnsi="Arial" w:cs="Arial"/>
          <w:b/>
          <w:noProof/>
          <w:color w:val="000000" w:themeColor="text1"/>
          <w:sz w:val="24"/>
          <w:szCs w:val="24"/>
          <w:lang w:eastAsia="es-CO"/>
        </w:rPr>
      </w:pPr>
      <w:r w:rsidRPr="0033443E">
        <w:rPr>
          <w:rFonts w:ascii="Arial" w:hAnsi="Arial" w:cs="Arial"/>
          <w:b/>
          <w:noProof/>
          <w:color w:val="000000" w:themeColor="text1"/>
          <w:sz w:val="24"/>
          <w:szCs w:val="24"/>
          <w:lang w:eastAsia="es-CO"/>
        </w:rPr>
        <w:t>EL CONGRESO DE COLOMBIA</w:t>
      </w:r>
    </w:p>
    <w:p w14:paraId="13B59A53" w14:textId="77777777" w:rsidR="001475F4" w:rsidRPr="0033443E" w:rsidRDefault="001475F4" w:rsidP="001475F4">
      <w:pPr>
        <w:spacing w:line="360" w:lineRule="auto"/>
        <w:jc w:val="center"/>
        <w:rPr>
          <w:rFonts w:ascii="Arial" w:hAnsi="Arial" w:cs="Arial"/>
          <w:b/>
          <w:noProof/>
          <w:color w:val="000000" w:themeColor="text1"/>
          <w:sz w:val="24"/>
          <w:szCs w:val="24"/>
          <w:lang w:eastAsia="es-CO"/>
        </w:rPr>
      </w:pPr>
      <w:r w:rsidRPr="0033443E">
        <w:rPr>
          <w:rFonts w:ascii="Arial" w:hAnsi="Arial" w:cs="Arial"/>
          <w:b/>
          <w:noProof/>
          <w:color w:val="000000" w:themeColor="text1"/>
          <w:sz w:val="24"/>
          <w:szCs w:val="24"/>
          <w:lang w:eastAsia="es-CO"/>
        </w:rPr>
        <w:t>DECRETA:</w:t>
      </w:r>
    </w:p>
    <w:p w14:paraId="38EE22F7" w14:textId="77777777" w:rsidR="001475F4" w:rsidRDefault="001475F4" w:rsidP="001475F4">
      <w:pPr>
        <w:spacing w:line="360" w:lineRule="auto"/>
        <w:jc w:val="center"/>
        <w:rPr>
          <w:rFonts w:ascii="Arial" w:hAnsi="Arial" w:cs="Arial"/>
          <w:noProof/>
          <w:color w:val="FF0000"/>
          <w:sz w:val="24"/>
          <w:szCs w:val="24"/>
          <w:lang w:eastAsia="es-CO"/>
        </w:rPr>
      </w:pPr>
    </w:p>
    <w:p w14:paraId="22C03C24" w14:textId="77777777" w:rsidR="001475F4" w:rsidRPr="005869D5" w:rsidRDefault="001475F4" w:rsidP="001475F4">
      <w:pPr>
        <w:spacing w:line="360" w:lineRule="auto"/>
        <w:jc w:val="both"/>
        <w:rPr>
          <w:rFonts w:ascii="Arial" w:hAnsi="Arial" w:cs="Arial"/>
          <w:noProof/>
          <w:color w:val="000000" w:themeColor="text1"/>
          <w:sz w:val="24"/>
          <w:szCs w:val="24"/>
          <w:lang w:eastAsia="es-CO"/>
        </w:rPr>
      </w:pPr>
      <w:r w:rsidRPr="0033443E">
        <w:rPr>
          <w:rFonts w:ascii="Arial" w:hAnsi="Arial" w:cs="Arial"/>
          <w:b/>
          <w:noProof/>
          <w:color w:val="000000" w:themeColor="text1"/>
          <w:sz w:val="24"/>
          <w:szCs w:val="24"/>
          <w:lang w:eastAsia="es-CO"/>
        </w:rPr>
        <w:t>ARTÍCULO PRIMERO</w:t>
      </w:r>
      <w:r>
        <w:rPr>
          <w:rFonts w:ascii="Arial" w:hAnsi="Arial" w:cs="Arial"/>
          <w:noProof/>
          <w:color w:val="000000" w:themeColor="text1"/>
          <w:sz w:val="24"/>
          <w:szCs w:val="24"/>
          <w:lang w:eastAsia="es-CO"/>
        </w:rPr>
        <w:t>: Modifíquese el artículo 206</w:t>
      </w:r>
      <w:r w:rsidRPr="005869D5">
        <w:rPr>
          <w:rFonts w:ascii="Arial" w:hAnsi="Arial" w:cs="Arial"/>
          <w:noProof/>
          <w:color w:val="000000" w:themeColor="text1"/>
          <w:sz w:val="24"/>
          <w:szCs w:val="24"/>
          <w:lang w:eastAsia="es-CO"/>
        </w:rPr>
        <w:t xml:space="preserve"> de la ley 1098 de 2006, el cual quedará así: </w:t>
      </w:r>
    </w:p>
    <w:p w14:paraId="43D005D2" w14:textId="77777777" w:rsidR="001475F4" w:rsidRPr="001475F4" w:rsidRDefault="001475F4" w:rsidP="00F673FE">
      <w:pPr>
        <w:pStyle w:val="NormalWeb"/>
        <w:ind w:left="709"/>
        <w:jc w:val="both"/>
        <w:rPr>
          <w:rFonts w:ascii="Arial" w:hAnsi="Arial" w:cs="Arial"/>
          <w:bCs/>
          <w:color w:val="000000" w:themeColor="text1"/>
        </w:rPr>
      </w:pPr>
      <w:bookmarkStart w:id="0" w:name="206"/>
      <w:bookmarkStart w:id="1" w:name="207"/>
      <w:r w:rsidRPr="001475F4">
        <w:rPr>
          <w:rFonts w:ascii="Arial" w:hAnsi="Arial" w:cs="Arial"/>
          <w:b/>
          <w:bCs/>
          <w:color w:val="000000" w:themeColor="text1"/>
        </w:rPr>
        <w:t>ARTÍCULO 206. CONSEJO NACIONAL DE POLÍTICA SOCIAL</w:t>
      </w:r>
      <w:r w:rsidRPr="001475F4">
        <w:rPr>
          <w:rFonts w:ascii="Arial" w:hAnsi="Arial" w:cs="Arial"/>
          <w:bCs/>
          <w:color w:val="000000" w:themeColor="text1"/>
        </w:rPr>
        <w:t>.</w:t>
      </w:r>
      <w:bookmarkEnd w:id="0"/>
      <w:r w:rsidRPr="001475F4">
        <w:rPr>
          <w:rFonts w:ascii="Arial" w:hAnsi="Arial" w:cs="Arial"/>
          <w:bCs/>
          <w:color w:val="000000" w:themeColor="text1"/>
        </w:rPr>
        <w:t> El Consejo Nacional de Política Social es el ente responsable de diseñar la política pública, movilizar y apropiar los recursos presupuestales y dictar las líneas de acción para garantizar los derechos de los niños, las niñas y los adolescentes y asegurar su protección y restablecimiento en todo el territorio nacional.</w:t>
      </w:r>
    </w:p>
    <w:p w14:paraId="1E7C33D7"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El Consejo estará integrado por:</w:t>
      </w:r>
    </w:p>
    <w:p w14:paraId="1DDD7DD3" w14:textId="77777777" w:rsidR="001475F4" w:rsidRPr="001475F4" w:rsidRDefault="001475F4" w:rsidP="00F673FE">
      <w:pPr>
        <w:pStyle w:val="NormalWeb"/>
        <w:ind w:left="709"/>
        <w:jc w:val="both"/>
        <w:rPr>
          <w:rFonts w:ascii="Arial" w:hAnsi="Arial" w:cs="Arial"/>
          <w:bCs/>
          <w:color w:val="000000" w:themeColor="text1"/>
          <w:u w:val="single"/>
        </w:rPr>
      </w:pPr>
      <w:r w:rsidRPr="001475F4">
        <w:rPr>
          <w:rFonts w:ascii="Arial" w:hAnsi="Arial" w:cs="Arial"/>
          <w:bCs/>
          <w:color w:val="000000" w:themeColor="text1"/>
        </w:rPr>
        <w:t>1. El Presidente de la República o el vic</w:t>
      </w:r>
      <w:r>
        <w:rPr>
          <w:rFonts w:ascii="Arial" w:hAnsi="Arial" w:cs="Arial"/>
          <w:bCs/>
          <w:color w:val="000000" w:themeColor="text1"/>
        </w:rPr>
        <w:t xml:space="preserve">epresidente, quien lo presidirá </w:t>
      </w:r>
      <w:r>
        <w:rPr>
          <w:rFonts w:ascii="Arial" w:hAnsi="Arial" w:cs="Arial"/>
          <w:bCs/>
          <w:color w:val="000000" w:themeColor="text1"/>
          <w:u w:val="single"/>
        </w:rPr>
        <w:t>y no podrá delegar su participación.</w:t>
      </w:r>
    </w:p>
    <w:p w14:paraId="5530BC67"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2. Los Ministros de la Protección Social, Interior y de Justicia, Hacienda y Crédito Público, Educación, Ambiente, Vivienda y Desarrollo Territorial, Cultura, Comunicaciones, o los viceministros.</w:t>
      </w:r>
    </w:p>
    <w:p w14:paraId="49B89076"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3. El Director del Departamento Nacional de Planeación o el subdirector.</w:t>
      </w:r>
    </w:p>
    <w:p w14:paraId="488ADEED"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4. El Director del Instituto Colombiano de Bienestar Familiar, quien hará la secretaría técnica.</w:t>
      </w:r>
    </w:p>
    <w:p w14:paraId="1296FEB2"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5. Un Gobernador en representación de los gobernadores.</w:t>
      </w:r>
    </w:p>
    <w:p w14:paraId="45B5A8EA"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lastRenderedPageBreak/>
        <w:t>6. Un Alcalde en representación de los Alcaldes.</w:t>
      </w:r>
    </w:p>
    <w:p w14:paraId="651DDFF7" w14:textId="77777777" w:rsidR="001475F4" w:rsidRPr="001475F4" w:rsidRDefault="001475F4" w:rsidP="00F673FE">
      <w:pPr>
        <w:pStyle w:val="NormalWeb"/>
        <w:ind w:left="709"/>
        <w:jc w:val="both"/>
        <w:rPr>
          <w:rFonts w:ascii="Arial" w:hAnsi="Arial" w:cs="Arial"/>
          <w:bCs/>
          <w:color w:val="000000" w:themeColor="text1"/>
        </w:rPr>
      </w:pPr>
      <w:r w:rsidRPr="001475F4">
        <w:rPr>
          <w:rFonts w:ascii="Arial" w:hAnsi="Arial" w:cs="Arial"/>
          <w:bCs/>
          <w:color w:val="000000" w:themeColor="text1"/>
        </w:rPr>
        <w:t>7. Una autoridad indígena en representación de las Entidades Territoriales Indígenas.</w:t>
      </w:r>
    </w:p>
    <w:p w14:paraId="4625E118" w14:textId="77777777" w:rsidR="001475F4" w:rsidRDefault="001475F4" w:rsidP="00F673FE">
      <w:pPr>
        <w:pStyle w:val="NormalWeb"/>
        <w:ind w:left="709"/>
        <w:jc w:val="both"/>
        <w:rPr>
          <w:rFonts w:ascii="Arial" w:hAnsi="Arial" w:cs="Arial"/>
          <w:bCs/>
          <w:color w:val="000000" w:themeColor="text1"/>
        </w:rPr>
      </w:pPr>
      <w:r w:rsidRPr="001475F4">
        <w:rPr>
          <w:rFonts w:ascii="Arial" w:hAnsi="Arial" w:cs="Arial"/>
          <w:b/>
          <w:bCs/>
          <w:color w:val="000000" w:themeColor="text1"/>
        </w:rPr>
        <w:t>PARÁGRAFO</w:t>
      </w:r>
      <w:r w:rsidRPr="001475F4">
        <w:rPr>
          <w:rFonts w:ascii="Arial" w:hAnsi="Arial" w:cs="Arial"/>
          <w:bCs/>
          <w:color w:val="000000" w:themeColor="text1"/>
        </w:rPr>
        <w:t>. El Consejo deberá sesionar dos veces al año.</w:t>
      </w:r>
    </w:p>
    <w:p w14:paraId="363931CE" w14:textId="77777777" w:rsidR="001475F4" w:rsidRPr="001475F4" w:rsidRDefault="001475F4" w:rsidP="00F673FE">
      <w:pPr>
        <w:pStyle w:val="NormalWeb"/>
        <w:ind w:left="709"/>
        <w:jc w:val="both"/>
        <w:rPr>
          <w:rFonts w:ascii="Arial" w:hAnsi="Arial" w:cs="Arial"/>
          <w:bCs/>
          <w:color w:val="000000" w:themeColor="text1"/>
          <w:u w:val="single"/>
        </w:rPr>
      </w:pPr>
      <w:r w:rsidRPr="001475F4">
        <w:rPr>
          <w:rFonts w:ascii="Arial" w:hAnsi="Arial" w:cs="Arial"/>
          <w:b/>
          <w:bCs/>
          <w:color w:val="000000" w:themeColor="text1"/>
          <w:u w:val="single"/>
        </w:rPr>
        <w:t>PÁRAGRAFO SEGUNDO</w:t>
      </w:r>
      <w:r w:rsidRPr="001475F4">
        <w:rPr>
          <w:rFonts w:ascii="Arial" w:hAnsi="Arial" w:cs="Arial"/>
          <w:bCs/>
          <w:color w:val="000000" w:themeColor="text1"/>
          <w:u w:val="single"/>
        </w:rPr>
        <w:t>. En todo caso, el Consejo Nacional de Política Social</w:t>
      </w:r>
      <w:r>
        <w:rPr>
          <w:rFonts w:ascii="Arial" w:hAnsi="Arial" w:cs="Arial"/>
          <w:bCs/>
          <w:color w:val="000000" w:themeColor="text1"/>
        </w:rPr>
        <w:t xml:space="preserve"> </w:t>
      </w:r>
      <w:r>
        <w:rPr>
          <w:rFonts w:ascii="Arial" w:hAnsi="Arial" w:cs="Arial"/>
          <w:bCs/>
          <w:color w:val="000000" w:themeColor="text1"/>
          <w:u w:val="single"/>
        </w:rPr>
        <w:t>deberá</w:t>
      </w:r>
      <w:r w:rsidRPr="00562CEC">
        <w:rPr>
          <w:rFonts w:ascii="Arial" w:hAnsi="Arial" w:cs="Arial"/>
          <w:bCs/>
          <w:color w:val="000000" w:themeColor="text1"/>
          <w:u w:val="single"/>
        </w:rPr>
        <w:t xml:space="preserve"> contar con un</w:t>
      </w:r>
      <w:r>
        <w:rPr>
          <w:rFonts w:ascii="Arial" w:hAnsi="Arial" w:cs="Arial"/>
          <w:bCs/>
          <w:color w:val="000000" w:themeColor="text1"/>
          <w:u w:val="single"/>
        </w:rPr>
        <w:t>a Mesa Técnica y/o de Trabajo exclusiva</w:t>
      </w:r>
      <w:r w:rsidRPr="00562CEC">
        <w:rPr>
          <w:rFonts w:ascii="Arial" w:hAnsi="Arial" w:cs="Arial"/>
          <w:bCs/>
          <w:color w:val="000000" w:themeColor="text1"/>
          <w:u w:val="single"/>
        </w:rPr>
        <w:t xml:space="preserve"> para </w:t>
      </w:r>
      <w:r>
        <w:rPr>
          <w:rFonts w:ascii="Arial" w:hAnsi="Arial" w:cs="Arial"/>
          <w:bCs/>
          <w:color w:val="000000" w:themeColor="text1"/>
          <w:u w:val="single"/>
        </w:rPr>
        <w:t xml:space="preserve">atender la </w:t>
      </w:r>
      <w:r w:rsidRPr="00562CEC">
        <w:rPr>
          <w:rFonts w:ascii="Arial" w:hAnsi="Arial" w:cs="Arial"/>
          <w:bCs/>
          <w:color w:val="000000" w:themeColor="text1"/>
          <w:u w:val="single"/>
        </w:rPr>
        <w:t xml:space="preserve">violencia sexual en menores de edad, en </w:t>
      </w:r>
      <w:r>
        <w:rPr>
          <w:rFonts w:ascii="Arial" w:hAnsi="Arial" w:cs="Arial"/>
          <w:bCs/>
          <w:color w:val="000000" w:themeColor="text1"/>
          <w:u w:val="single"/>
        </w:rPr>
        <w:t>é</w:t>
      </w:r>
      <w:r w:rsidRPr="00562CEC">
        <w:rPr>
          <w:rFonts w:ascii="Arial" w:hAnsi="Arial" w:cs="Arial"/>
          <w:bCs/>
          <w:color w:val="000000" w:themeColor="text1"/>
          <w:u w:val="single"/>
        </w:rPr>
        <w:t>st</w:t>
      </w:r>
      <w:r>
        <w:rPr>
          <w:rFonts w:ascii="Arial" w:hAnsi="Arial" w:cs="Arial"/>
          <w:bCs/>
          <w:color w:val="000000" w:themeColor="text1"/>
          <w:u w:val="single"/>
        </w:rPr>
        <w:t>a</w:t>
      </w:r>
      <w:r w:rsidRPr="00562CEC">
        <w:rPr>
          <w:rFonts w:ascii="Arial" w:hAnsi="Arial" w:cs="Arial"/>
          <w:bCs/>
          <w:color w:val="000000" w:themeColor="text1"/>
          <w:u w:val="single"/>
        </w:rPr>
        <w:t xml:space="preserve"> se desarrollarán las </w:t>
      </w:r>
      <w:r>
        <w:rPr>
          <w:rFonts w:ascii="Arial" w:hAnsi="Arial" w:cs="Arial"/>
          <w:bCs/>
          <w:color w:val="000000" w:themeColor="text1"/>
          <w:u w:val="single"/>
        </w:rPr>
        <w:t xml:space="preserve">directrices y articulaciones necesarias para enfrentar </w:t>
      </w:r>
      <w:r w:rsidRPr="00562CEC">
        <w:rPr>
          <w:rFonts w:ascii="Arial" w:hAnsi="Arial" w:cs="Arial"/>
          <w:bCs/>
          <w:color w:val="000000" w:themeColor="text1"/>
          <w:u w:val="single"/>
        </w:rPr>
        <w:t xml:space="preserve">esa problemática </w:t>
      </w:r>
      <w:r>
        <w:rPr>
          <w:rFonts w:ascii="Arial" w:hAnsi="Arial" w:cs="Arial"/>
          <w:bCs/>
          <w:color w:val="000000" w:themeColor="text1"/>
          <w:u w:val="single"/>
        </w:rPr>
        <w:t>con base a con base al enfoque de</w:t>
      </w:r>
      <w:r w:rsidRPr="00562CEC">
        <w:rPr>
          <w:rFonts w:ascii="Arial" w:hAnsi="Arial" w:cs="Arial"/>
          <w:bCs/>
          <w:color w:val="000000" w:themeColor="text1"/>
          <w:u w:val="single"/>
        </w:rPr>
        <w:t xml:space="preserve"> género</w:t>
      </w:r>
      <w:r>
        <w:rPr>
          <w:rFonts w:ascii="Arial" w:hAnsi="Arial" w:cs="Arial"/>
          <w:bCs/>
          <w:color w:val="000000" w:themeColor="text1"/>
          <w:u w:val="single"/>
        </w:rPr>
        <w:t>, al principio de interés superior del menor y de la integralidad de actores públicos y privados que busque garantizar la protección a la integridad y formación sexual de niños, niñas y adolescentes</w:t>
      </w:r>
    </w:p>
    <w:p w14:paraId="4B388EBE" w14:textId="77777777" w:rsidR="001475F4" w:rsidRDefault="001475F4" w:rsidP="00F673FE">
      <w:pPr>
        <w:pStyle w:val="NormalWeb"/>
        <w:ind w:left="709"/>
        <w:jc w:val="both"/>
        <w:rPr>
          <w:rFonts w:ascii="Arial" w:hAnsi="Arial" w:cs="Arial"/>
          <w:b/>
          <w:bCs/>
          <w:color w:val="000000" w:themeColor="text1"/>
        </w:rPr>
      </w:pPr>
      <w:r w:rsidRPr="001475F4">
        <w:rPr>
          <w:rFonts w:ascii="Arial" w:hAnsi="Arial" w:cs="Arial"/>
          <w:b/>
          <w:bCs/>
          <w:color w:val="000000" w:themeColor="text1"/>
        </w:rPr>
        <w:t>PARÁGRAFO TRANSITORIO. </w:t>
      </w:r>
      <w:r w:rsidRPr="001475F4">
        <w:rPr>
          <w:rFonts w:ascii="Arial" w:hAnsi="Arial" w:cs="Arial"/>
          <w:bCs/>
          <w:color w:val="000000" w:themeColor="text1"/>
        </w:rPr>
        <w:t>Mientras se conforman las Entidades Territoriales Indígenas, hará parte del Consejo una Autoridad Indígena en su representación, siempre que en su territorio se adelante una actividad destinada a la protección de la infancia y la adolescencia</w:t>
      </w:r>
      <w:r w:rsidRPr="001475F4">
        <w:rPr>
          <w:rFonts w:ascii="Arial" w:hAnsi="Arial" w:cs="Arial"/>
          <w:b/>
          <w:bCs/>
          <w:color w:val="000000" w:themeColor="text1"/>
        </w:rPr>
        <w:t>.</w:t>
      </w:r>
    </w:p>
    <w:p w14:paraId="53C8DFDF" w14:textId="77777777" w:rsidR="001475F4" w:rsidRDefault="001475F4" w:rsidP="001475F4">
      <w:pPr>
        <w:pStyle w:val="NormalWeb"/>
        <w:spacing w:line="360" w:lineRule="auto"/>
        <w:ind w:left="709"/>
        <w:jc w:val="both"/>
        <w:rPr>
          <w:rFonts w:ascii="Arial" w:hAnsi="Arial" w:cs="Arial"/>
          <w:b/>
          <w:bCs/>
          <w:color w:val="000000" w:themeColor="text1"/>
        </w:rPr>
      </w:pPr>
    </w:p>
    <w:p w14:paraId="5C41477A" w14:textId="77777777" w:rsidR="001475F4" w:rsidRPr="001475F4" w:rsidRDefault="001475F4" w:rsidP="001475F4">
      <w:pPr>
        <w:spacing w:line="360" w:lineRule="auto"/>
        <w:jc w:val="both"/>
        <w:rPr>
          <w:rFonts w:ascii="Arial" w:hAnsi="Arial" w:cs="Arial"/>
          <w:noProof/>
          <w:color w:val="000000" w:themeColor="text1"/>
          <w:sz w:val="24"/>
          <w:szCs w:val="24"/>
          <w:lang w:eastAsia="es-CO"/>
        </w:rPr>
      </w:pPr>
      <w:r w:rsidRPr="0033443E">
        <w:rPr>
          <w:rFonts w:ascii="Arial" w:hAnsi="Arial" w:cs="Arial"/>
          <w:b/>
          <w:noProof/>
          <w:color w:val="000000" w:themeColor="text1"/>
          <w:sz w:val="24"/>
          <w:szCs w:val="24"/>
          <w:lang w:eastAsia="es-CO"/>
        </w:rPr>
        <w:t xml:space="preserve">ARTÍCULO </w:t>
      </w:r>
      <w:r>
        <w:rPr>
          <w:rFonts w:ascii="Arial" w:hAnsi="Arial" w:cs="Arial"/>
          <w:b/>
          <w:noProof/>
          <w:color w:val="000000" w:themeColor="text1"/>
          <w:sz w:val="24"/>
          <w:szCs w:val="24"/>
          <w:lang w:eastAsia="es-CO"/>
        </w:rPr>
        <w:t>SEGUNDO</w:t>
      </w:r>
      <w:r>
        <w:rPr>
          <w:rFonts w:ascii="Arial" w:hAnsi="Arial" w:cs="Arial"/>
          <w:noProof/>
          <w:color w:val="000000" w:themeColor="text1"/>
          <w:sz w:val="24"/>
          <w:szCs w:val="24"/>
          <w:lang w:eastAsia="es-CO"/>
        </w:rPr>
        <w:t>: Modifíquese el artículo 207</w:t>
      </w:r>
      <w:r w:rsidRPr="005869D5">
        <w:rPr>
          <w:rFonts w:ascii="Arial" w:hAnsi="Arial" w:cs="Arial"/>
          <w:noProof/>
          <w:color w:val="000000" w:themeColor="text1"/>
          <w:sz w:val="24"/>
          <w:szCs w:val="24"/>
          <w:lang w:eastAsia="es-CO"/>
        </w:rPr>
        <w:t xml:space="preserve"> de la ley 1098 de 2006, el cual quedará así: </w:t>
      </w:r>
    </w:p>
    <w:p w14:paraId="4F5FE883" w14:textId="77777777" w:rsidR="001475F4" w:rsidRDefault="001475F4" w:rsidP="00F673FE">
      <w:pPr>
        <w:pStyle w:val="NormalWeb"/>
        <w:ind w:left="709"/>
        <w:jc w:val="both"/>
        <w:rPr>
          <w:rFonts w:ascii="Arial" w:hAnsi="Arial" w:cs="Arial"/>
          <w:color w:val="000000" w:themeColor="text1"/>
        </w:rPr>
      </w:pPr>
      <w:r w:rsidRPr="005869D5">
        <w:rPr>
          <w:rFonts w:ascii="Arial" w:hAnsi="Arial" w:cs="Arial"/>
          <w:b/>
          <w:bCs/>
          <w:color w:val="000000" w:themeColor="text1"/>
        </w:rPr>
        <w:t>ARTÍCULO 207. CONSEJOS DEPARTAMENTALES Y MUNICIPALES DE POLÍTICA SOCIAL.</w:t>
      </w:r>
      <w:bookmarkEnd w:id="1"/>
      <w:r w:rsidRPr="005869D5">
        <w:rPr>
          <w:rFonts w:ascii="Arial" w:hAnsi="Arial" w:cs="Arial"/>
          <w:color w:val="000000" w:themeColor="text1"/>
        </w:rPr>
        <w:t xml:space="preserve"> En todos los departamentos, municipios y distritos deberán sesionar Consejos de Política Social, presididos por el gobernador y el alcalde quienes no podrán delegar ni su participación, ni su responsabilidad so pena de incurrir en causal de mala conducta. Tendrán la responsabilidad de la articulación funcional entre las Entidades Nacionales y las Territoriales, deberán tener participación de la sociedad civil organizada y definirán su propio reglamento y composición. En todo caso deberán formar </w:t>
      </w:r>
      <w:r w:rsidRPr="005869D5">
        <w:rPr>
          <w:rFonts w:ascii="Arial" w:hAnsi="Arial" w:cs="Arial"/>
          <w:color w:val="000000" w:themeColor="text1"/>
        </w:rPr>
        <w:lastRenderedPageBreak/>
        <w:t>parte del Consejo las autoridades competentes para el restablecimiento de los derechos y el Ministerio Público.</w:t>
      </w:r>
    </w:p>
    <w:p w14:paraId="2D67D796" w14:textId="77777777" w:rsidR="001475F4" w:rsidRPr="00BA7265" w:rsidRDefault="001475F4" w:rsidP="00F673FE">
      <w:pPr>
        <w:pStyle w:val="NormalWeb"/>
        <w:ind w:left="709"/>
        <w:jc w:val="both"/>
        <w:rPr>
          <w:rFonts w:ascii="Arial" w:hAnsi="Arial" w:cs="Arial"/>
          <w:bCs/>
          <w:color w:val="000000" w:themeColor="text1"/>
          <w:u w:val="single"/>
        </w:rPr>
      </w:pPr>
      <w:r w:rsidRPr="00562CEC">
        <w:rPr>
          <w:rFonts w:ascii="Arial" w:hAnsi="Arial" w:cs="Arial"/>
          <w:bCs/>
          <w:color w:val="000000" w:themeColor="text1"/>
          <w:u w:val="single"/>
        </w:rPr>
        <w:t>Los Consejos Departamentales</w:t>
      </w:r>
      <w:r>
        <w:rPr>
          <w:rFonts w:ascii="Arial" w:hAnsi="Arial" w:cs="Arial"/>
          <w:bCs/>
          <w:color w:val="000000" w:themeColor="text1"/>
          <w:u w:val="single"/>
        </w:rPr>
        <w:t>,</w:t>
      </w:r>
      <w:r w:rsidRPr="00562CEC">
        <w:rPr>
          <w:rFonts w:ascii="Arial" w:hAnsi="Arial" w:cs="Arial"/>
          <w:bCs/>
          <w:color w:val="000000" w:themeColor="text1"/>
          <w:u w:val="single"/>
        </w:rPr>
        <w:t xml:space="preserve"> </w:t>
      </w:r>
      <w:r>
        <w:rPr>
          <w:rFonts w:ascii="Arial" w:hAnsi="Arial" w:cs="Arial"/>
          <w:bCs/>
          <w:color w:val="000000" w:themeColor="text1"/>
          <w:u w:val="single"/>
        </w:rPr>
        <w:t xml:space="preserve">Distritales </w:t>
      </w:r>
      <w:r w:rsidRPr="00562CEC">
        <w:rPr>
          <w:rFonts w:ascii="Arial" w:hAnsi="Arial" w:cs="Arial"/>
          <w:bCs/>
          <w:color w:val="000000" w:themeColor="text1"/>
          <w:u w:val="single"/>
        </w:rPr>
        <w:t>y</w:t>
      </w:r>
      <w:r>
        <w:rPr>
          <w:rFonts w:ascii="Arial" w:hAnsi="Arial" w:cs="Arial"/>
          <w:bCs/>
          <w:color w:val="000000" w:themeColor="text1"/>
          <w:u w:val="single"/>
        </w:rPr>
        <w:t>/o</w:t>
      </w:r>
      <w:r w:rsidRPr="00562CEC">
        <w:rPr>
          <w:rFonts w:ascii="Arial" w:hAnsi="Arial" w:cs="Arial"/>
          <w:bCs/>
          <w:color w:val="000000" w:themeColor="text1"/>
          <w:u w:val="single"/>
        </w:rPr>
        <w:t xml:space="preserve"> Municipales de Política Social deberán contar con un</w:t>
      </w:r>
      <w:r>
        <w:rPr>
          <w:rFonts w:ascii="Arial" w:hAnsi="Arial" w:cs="Arial"/>
          <w:bCs/>
          <w:color w:val="000000" w:themeColor="text1"/>
          <w:u w:val="single"/>
        </w:rPr>
        <w:t>a Mesa Técnica y/o de Trabajo exclusiva</w:t>
      </w:r>
      <w:r w:rsidRPr="00562CEC">
        <w:rPr>
          <w:rFonts w:ascii="Arial" w:hAnsi="Arial" w:cs="Arial"/>
          <w:bCs/>
          <w:color w:val="000000" w:themeColor="text1"/>
          <w:u w:val="single"/>
        </w:rPr>
        <w:t xml:space="preserve"> para </w:t>
      </w:r>
      <w:r>
        <w:rPr>
          <w:rFonts w:ascii="Arial" w:hAnsi="Arial" w:cs="Arial"/>
          <w:bCs/>
          <w:color w:val="000000" w:themeColor="text1"/>
          <w:u w:val="single"/>
        </w:rPr>
        <w:t xml:space="preserve">atender </w:t>
      </w:r>
      <w:r w:rsidRPr="00562CEC">
        <w:rPr>
          <w:rFonts w:ascii="Arial" w:hAnsi="Arial" w:cs="Arial"/>
          <w:bCs/>
          <w:color w:val="000000" w:themeColor="text1"/>
          <w:u w:val="single"/>
        </w:rPr>
        <w:t xml:space="preserve">la violencia sexual en menores de edad, en </w:t>
      </w:r>
      <w:r>
        <w:rPr>
          <w:rFonts w:ascii="Arial" w:hAnsi="Arial" w:cs="Arial"/>
          <w:bCs/>
          <w:color w:val="000000" w:themeColor="text1"/>
          <w:u w:val="single"/>
        </w:rPr>
        <w:t>é</w:t>
      </w:r>
      <w:r w:rsidRPr="00562CEC">
        <w:rPr>
          <w:rFonts w:ascii="Arial" w:hAnsi="Arial" w:cs="Arial"/>
          <w:bCs/>
          <w:color w:val="000000" w:themeColor="text1"/>
          <w:u w:val="single"/>
        </w:rPr>
        <w:t>st</w:t>
      </w:r>
      <w:r>
        <w:rPr>
          <w:rFonts w:ascii="Arial" w:hAnsi="Arial" w:cs="Arial"/>
          <w:bCs/>
          <w:color w:val="000000" w:themeColor="text1"/>
          <w:u w:val="single"/>
        </w:rPr>
        <w:t>a</w:t>
      </w:r>
      <w:r w:rsidRPr="00562CEC">
        <w:rPr>
          <w:rFonts w:ascii="Arial" w:hAnsi="Arial" w:cs="Arial"/>
          <w:bCs/>
          <w:color w:val="000000" w:themeColor="text1"/>
          <w:u w:val="single"/>
        </w:rPr>
        <w:t xml:space="preserve"> se desarrollarán las </w:t>
      </w:r>
      <w:r>
        <w:rPr>
          <w:rFonts w:ascii="Arial" w:hAnsi="Arial" w:cs="Arial"/>
          <w:bCs/>
          <w:color w:val="000000" w:themeColor="text1"/>
          <w:u w:val="single"/>
        </w:rPr>
        <w:t>directrices y articulaciones</w:t>
      </w:r>
      <w:r w:rsidRPr="00562CEC">
        <w:rPr>
          <w:rFonts w:ascii="Arial" w:hAnsi="Arial" w:cs="Arial"/>
          <w:bCs/>
          <w:color w:val="000000" w:themeColor="text1"/>
          <w:u w:val="single"/>
        </w:rPr>
        <w:t xml:space="preserve"> necesarias para abordar esa problemática </w:t>
      </w:r>
      <w:r>
        <w:rPr>
          <w:rFonts w:ascii="Arial" w:hAnsi="Arial" w:cs="Arial"/>
          <w:bCs/>
          <w:color w:val="000000" w:themeColor="text1"/>
          <w:u w:val="single"/>
        </w:rPr>
        <w:t>con base a los principios de interés superior del menor, con base al enfoque de</w:t>
      </w:r>
      <w:r w:rsidRPr="00562CEC">
        <w:rPr>
          <w:rFonts w:ascii="Arial" w:hAnsi="Arial" w:cs="Arial"/>
          <w:bCs/>
          <w:color w:val="000000" w:themeColor="text1"/>
          <w:u w:val="single"/>
        </w:rPr>
        <w:t xml:space="preserve"> género</w:t>
      </w:r>
      <w:r>
        <w:rPr>
          <w:rFonts w:ascii="Arial" w:hAnsi="Arial" w:cs="Arial"/>
          <w:bCs/>
          <w:color w:val="000000" w:themeColor="text1"/>
          <w:u w:val="single"/>
        </w:rPr>
        <w:t xml:space="preserve"> y de la integralidad de actores públicos y privados que busque garantizar la protección a la integridad y formación sexuales de niños, niñas y adolescentes en los territorios</w:t>
      </w:r>
      <w:r w:rsidRPr="00562CEC">
        <w:rPr>
          <w:rFonts w:ascii="Arial" w:hAnsi="Arial" w:cs="Arial"/>
          <w:bCs/>
          <w:color w:val="000000" w:themeColor="text1"/>
          <w:u w:val="single"/>
        </w:rPr>
        <w:t>.</w:t>
      </w:r>
    </w:p>
    <w:p w14:paraId="03C661D9" w14:textId="77777777" w:rsidR="001475F4" w:rsidRPr="005869D5" w:rsidRDefault="001475F4" w:rsidP="00F673FE">
      <w:pPr>
        <w:pStyle w:val="NormalWeb"/>
        <w:ind w:left="709"/>
        <w:jc w:val="both"/>
        <w:rPr>
          <w:rFonts w:ascii="Arial" w:hAnsi="Arial" w:cs="Arial"/>
          <w:color w:val="000000" w:themeColor="text1"/>
        </w:rPr>
      </w:pPr>
      <w:r w:rsidRPr="005869D5">
        <w:rPr>
          <w:rFonts w:ascii="Arial" w:hAnsi="Arial" w:cs="Arial"/>
          <w:color w:val="000000" w:themeColor="text1"/>
        </w:rPr>
        <w:t>En los municipios en los que no exista un centro zonal del Instituto Colombiano de Bienestar Familiar, la coordinación del sistema de bienestar familiar la ejercerán los Consejos de Política Social.</w:t>
      </w:r>
    </w:p>
    <w:p w14:paraId="6CA478D4" w14:textId="6A6505F0" w:rsidR="001475F4" w:rsidRDefault="001475F4" w:rsidP="00F673FE">
      <w:pPr>
        <w:pStyle w:val="NormalWeb"/>
        <w:ind w:left="709"/>
        <w:jc w:val="both"/>
        <w:rPr>
          <w:rFonts w:ascii="Arial" w:hAnsi="Arial" w:cs="Arial"/>
          <w:color w:val="000000" w:themeColor="text1"/>
        </w:rPr>
      </w:pPr>
      <w:r w:rsidRPr="005869D5">
        <w:rPr>
          <w:rFonts w:ascii="Arial" w:hAnsi="Arial" w:cs="Arial"/>
          <w:color w:val="000000" w:themeColor="text1"/>
        </w:rPr>
        <w:t xml:space="preserve">Los Consejos deberán sesionar como mínimo </w:t>
      </w:r>
      <w:r w:rsidRPr="003E10FF">
        <w:rPr>
          <w:rFonts w:ascii="Arial" w:hAnsi="Arial" w:cs="Arial"/>
          <w:color w:val="000000" w:themeColor="text1"/>
          <w:u w:val="single"/>
        </w:rPr>
        <w:t>seis</w:t>
      </w:r>
      <w:r>
        <w:rPr>
          <w:rFonts w:ascii="Arial" w:hAnsi="Arial" w:cs="Arial"/>
          <w:color w:val="000000" w:themeColor="text1"/>
          <w:u w:val="single"/>
        </w:rPr>
        <w:t xml:space="preserve"> (6)</w:t>
      </w:r>
      <w:r w:rsidRPr="005869D5">
        <w:rPr>
          <w:rFonts w:ascii="Arial" w:hAnsi="Arial" w:cs="Arial"/>
          <w:color w:val="000000" w:themeColor="text1"/>
        </w:rPr>
        <w:t xml:space="preserve"> veces al año, y deberán rendir informes periódicos a las Asambleas Departamentales y a los Concejos Municipales.</w:t>
      </w:r>
      <w:r>
        <w:rPr>
          <w:rFonts w:ascii="Arial" w:hAnsi="Arial" w:cs="Arial"/>
          <w:color w:val="000000" w:themeColor="text1"/>
        </w:rPr>
        <w:t xml:space="preserve"> </w:t>
      </w:r>
    </w:p>
    <w:p w14:paraId="7CBC434A" w14:textId="77777777" w:rsidR="001475F4" w:rsidRPr="005F24AD" w:rsidRDefault="001475F4" w:rsidP="00F673FE">
      <w:pPr>
        <w:pStyle w:val="NormalWeb"/>
        <w:spacing w:line="360" w:lineRule="auto"/>
        <w:jc w:val="both"/>
        <w:rPr>
          <w:rFonts w:ascii="Arial" w:hAnsi="Arial" w:cs="Arial"/>
          <w:color w:val="000000" w:themeColor="text1"/>
          <w:u w:val="single"/>
        </w:rPr>
      </w:pPr>
      <w:r>
        <w:rPr>
          <w:rFonts w:ascii="Arial" w:hAnsi="Arial" w:cs="Arial"/>
          <w:b/>
          <w:color w:val="000000" w:themeColor="text1"/>
          <w:u w:val="single"/>
        </w:rPr>
        <w:t>ARTÍCULO TERCERO</w:t>
      </w:r>
      <w:r w:rsidRPr="001475F4">
        <w:rPr>
          <w:rFonts w:ascii="Arial" w:hAnsi="Arial" w:cs="Arial"/>
          <w:b/>
          <w:color w:val="000000" w:themeColor="text1"/>
          <w:u w:val="single"/>
        </w:rPr>
        <w:t>:</w:t>
      </w:r>
      <w:r w:rsidRPr="005F24AD">
        <w:rPr>
          <w:rFonts w:ascii="Arial" w:hAnsi="Arial" w:cs="Arial"/>
          <w:color w:val="000000" w:themeColor="text1"/>
          <w:u w:val="single"/>
        </w:rPr>
        <w:t xml:space="preserve"> </w:t>
      </w:r>
      <w:r>
        <w:rPr>
          <w:rFonts w:ascii="Arial" w:hAnsi="Arial" w:cs="Arial"/>
          <w:color w:val="000000" w:themeColor="text1"/>
          <w:u w:val="single"/>
        </w:rPr>
        <w:t>El Presidente de la República, l</w:t>
      </w:r>
      <w:r w:rsidRPr="005F24AD">
        <w:rPr>
          <w:rFonts w:ascii="Arial" w:hAnsi="Arial" w:cs="Arial"/>
          <w:color w:val="000000" w:themeColor="text1"/>
          <w:u w:val="single"/>
        </w:rPr>
        <w:t>os Alcaldes y Gobernadores en su calidad de Presidentes de los Consejos</w:t>
      </w:r>
      <w:r>
        <w:rPr>
          <w:rFonts w:ascii="Arial" w:hAnsi="Arial" w:cs="Arial"/>
          <w:color w:val="000000" w:themeColor="text1"/>
          <w:u w:val="single"/>
        </w:rPr>
        <w:t>:</w:t>
      </w:r>
      <w:r w:rsidRPr="005F24AD">
        <w:rPr>
          <w:rFonts w:ascii="Arial" w:hAnsi="Arial" w:cs="Arial"/>
          <w:color w:val="000000" w:themeColor="text1"/>
          <w:u w:val="single"/>
        </w:rPr>
        <w:t xml:space="preserve"> </w:t>
      </w:r>
      <w:r>
        <w:rPr>
          <w:rFonts w:ascii="Arial" w:hAnsi="Arial" w:cs="Arial"/>
          <w:color w:val="000000" w:themeColor="text1"/>
          <w:u w:val="single"/>
        </w:rPr>
        <w:t xml:space="preserve">Nacional, </w:t>
      </w:r>
      <w:r w:rsidRPr="005F24AD">
        <w:rPr>
          <w:rFonts w:ascii="Arial" w:hAnsi="Arial" w:cs="Arial"/>
          <w:color w:val="000000" w:themeColor="text1"/>
          <w:u w:val="single"/>
        </w:rPr>
        <w:t>Departamentales, Distritales y</w:t>
      </w:r>
      <w:r>
        <w:rPr>
          <w:rFonts w:ascii="Arial" w:hAnsi="Arial" w:cs="Arial"/>
          <w:color w:val="000000" w:themeColor="text1"/>
          <w:u w:val="single"/>
        </w:rPr>
        <w:t>/o</w:t>
      </w:r>
      <w:r w:rsidRPr="005F24AD">
        <w:rPr>
          <w:rFonts w:ascii="Arial" w:hAnsi="Arial" w:cs="Arial"/>
          <w:color w:val="000000" w:themeColor="text1"/>
          <w:u w:val="single"/>
        </w:rPr>
        <w:t xml:space="preserve"> Municipales de Política Social deberán dar cu</w:t>
      </w:r>
      <w:r>
        <w:rPr>
          <w:rFonts w:ascii="Arial" w:hAnsi="Arial" w:cs="Arial"/>
          <w:color w:val="000000" w:themeColor="text1"/>
          <w:u w:val="single"/>
        </w:rPr>
        <w:t>mplimiento a lo dispuesto en l</w:t>
      </w:r>
      <w:r w:rsidRPr="005F24AD">
        <w:rPr>
          <w:rFonts w:ascii="Arial" w:hAnsi="Arial" w:cs="Arial"/>
          <w:color w:val="000000" w:themeColor="text1"/>
          <w:u w:val="single"/>
        </w:rPr>
        <w:t xml:space="preserve">a </w:t>
      </w:r>
      <w:r>
        <w:rPr>
          <w:rFonts w:ascii="Arial" w:hAnsi="Arial" w:cs="Arial"/>
          <w:color w:val="000000" w:themeColor="text1"/>
          <w:u w:val="single"/>
        </w:rPr>
        <w:t xml:space="preserve">presente ley dentro de los seis (6) meses </w:t>
      </w:r>
      <w:r w:rsidRPr="005F24AD">
        <w:rPr>
          <w:rFonts w:ascii="Arial" w:hAnsi="Arial" w:cs="Arial"/>
          <w:color w:val="000000" w:themeColor="text1"/>
          <w:u w:val="single"/>
        </w:rPr>
        <w:t>contado</w:t>
      </w:r>
      <w:r>
        <w:rPr>
          <w:rFonts w:ascii="Arial" w:hAnsi="Arial" w:cs="Arial"/>
          <w:color w:val="000000" w:themeColor="text1"/>
          <w:u w:val="single"/>
        </w:rPr>
        <w:t>s</w:t>
      </w:r>
      <w:r w:rsidRPr="005F24AD">
        <w:rPr>
          <w:rFonts w:ascii="Arial" w:hAnsi="Arial" w:cs="Arial"/>
          <w:color w:val="000000" w:themeColor="text1"/>
          <w:u w:val="single"/>
        </w:rPr>
        <w:t xml:space="preserve"> a partir de la entrada en vigencia de esta ley</w:t>
      </w:r>
      <w:r>
        <w:rPr>
          <w:rFonts w:ascii="Arial" w:hAnsi="Arial" w:cs="Arial"/>
          <w:color w:val="000000" w:themeColor="text1"/>
          <w:u w:val="single"/>
        </w:rPr>
        <w:t xml:space="preserve"> so pena de incurrir en mala conducta</w:t>
      </w:r>
      <w:r w:rsidRPr="005F24AD">
        <w:rPr>
          <w:rFonts w:ascii="Arial" w:hAnsi="Arial" w:cs="Arial"/>
          <w:color w:val="000000" w:themeColor="text1"/>
          <w:u w:val="single"/>
        </w:rPr>
        <w:t>.</w:t>
      </w:r>
    </w:p>
    <w:p w14:paraId="5D6E6BD6" w14:textId="157F7DB4" w:rsidR="001475F4" w:rsidRDefault="001475F4" w:rsidP="00F673FE">
      <w:pPr>
        <w:pStyle w:val="NormalWeb"/>
        <w:jc w:val="both"/>
        <w:rPr>
          <w:rFonts w:ascii="Arial" w:hAnsi="Arial" w:cs="Arial"/>
          <w:color w:val="000000" w:themeColor="text1"/>
        </w:rPr>
      </w:pPr>
      <w:r w:rsidRPr="001475F4">
        <w:rPr>
          <w:rFonts w:ascii="Arial" w:hAnsi="Arial" w:cs="Arial"/>
          <w:b/>
          <w:bCs/>
          <w:caps/>
          <w:noProof/>
          <w:lang w:eastAsia="es-CO"/>
        </w:rPr>
        <w:t xml:space="preserve">ARTÍCULO </w:t>
      </w:r>
      <w:r w:rsidR="00F673FE">
        <w:rPr>
          <w:rFonts w:ascii="Arial" w:hAnsi="Arial" w:cs="Arial"/>
          <w:b/>
          <w:bCs/>
          <w:caps/>
          <w:noProof/>
          <w:lang w:eastAsia="es-CO"/>
        </w:rPr>
        <w:t>CUARTO</w:t>
      </w:r>
      <w:r w:rsidRPr="001475F4">
        <w:rPr>
          <w:rFonts w:ascii="Arial" w:hAnsi="Arial" w:cs="Arial"/>
          <w:b/>
          <w:bCs/>
          <w:caps/>
          <w:noProof/>
          <w:lang w:eastAsia="es-CO"/>
        </w:rPr>
        <w:t>:</w:t>
      </w:r>
      <w:r w:rsidRPr="001475F4">
        <w:rPr>
          <w:rFonts w:ascii="Arial" w:hAnsi="Arial" w:cs="Arial"/>
          <w:bCs/>
          <w:caps/>
          <w:noProof/>
          <w:lang w:eastAsia="es-CO"/>
        </w:rPr>
        <w:t xml:space="preserve"> </w:t>
      </w:r>
      <w:r w:rsidRPr="001475F4">
        <w:rPr>
          <w:rFonts w:ascii="Arial" w:hAnsi="Arial" w:cs="Arial"/>
          <w:color w:val="000000" w:themeColor="text1"/>
        </w:rPr>
        <w:t>La presente ley rige a partir de la fecha de su publicación en el Diario Oficial y deroga todas las normas que le sean contrarias.</w:t>
      </w:r>
    </w:p>
    <w:p w14:paraId="32AD9B23" w14:textId="77777777" w:rsidR="00F673FE" w:rsidRDefault="00F673FE" w:rsidP="001475F4">
      <w:pPr>
        <w:pStyle w:val="NormalWeb"/>
        <w:spacing w:line="360" w:lineRule="auto"/>
        <w:jc w:val="both"/>
        <w:rPr>
          <w:rFonts w:ascii="Arial" w:hAnsi="Arial" w:cs="Arial"/>
          <w:color w:val="000000" w:themeColor="text1"/>
        </w:rPr>
      </w:pPr>
    </w:p>
    <w:p w14:paraId="702BD79E" w14:textId="4C8202AE" w:rsidR="001475F4" w:rsidRDefault="00F673FE" w:rsidP="001475F4">
      <w:pPr>
        <w:pStyle w:val="NormalWeb"/>
        <w:spacing w:line="360" w:lineRule="auto"/>
        <w:jc w:val="both"/>
        <w:rPr>
          <w:rFonts w:ascii="Arial" w:hAnsi="Arial" w:cs="Arial"/>
          <w:color w:val="000000" w:themeColor="text1"/>
        </w:rPr>
      </w:pPr>
      <w:r>
        <w:rPr>
          <w:rFonts w:ascii="Arial" w:hAnsi="Arial" w:cs="Arial"/>
          <w:color w:val="000000" w:themeColor="text1"/>
        </w:rPr>
        <w:t>Atentamente,</w:t>
      </w:r>
    </w:p>
    <w:p w14:paraId="16C89613" w14:textId="77777777" w:rsidR="00F673FE" w:rsidRDefault="00F673FE" w:rsidP="00F673FE">
      <w:pPr>
        <w:pStyle w:val="NormalWeb"/>
        <w:jc w:val="both"/>
        <w:rPr>
          <w:rFonts w:ascii="Arial" w:hAnsi="Arial" w:cs="Arial"/>
          <w:b/>
          <w:color w:val="000000" w:themeColor="text1"/>
        </w:rPr>
      </w:pPr>
    </w:p>
    <w:p w14:paraId="26629345" w14:textId="77777777" w:rsidR="00F673FE" w:rsidRDefault="00F673FE" w:rsidP="00F673FE">
      <w:pPr>
        <w:pStyle w:val="NormalWeb"/>
        <w:jc w:val="both"/>
        <w:rPr>
          <w:rFonts w:ascii="Arial" w:hAnsi="Arial" w:cs="Arial"/>
          <w:b/>
          <w:color w:val="000000" w:themeColor="text1"/>
        </w:rPr>
      </w:pPr>
    </w:p>
    <w:p w14:paraId="2ECBF49F" w14:textId="28322282" w:rsidR="00F673FE" w:rsidRPr="00F673FE" w:rsidRDefault="00F673FE" w:rsidP="00F673FE">
      <w:pPr>
        <w:pStyle w:val="NormalWeb"/>
        <w:spacing w:before="0" w:beforeAutospacing="0" w:after="0" w:afterAutospacing="0"/>
        <w:jc w:val="both"/>
        <w:rPr>
          <w:rFonts w:ascii="Arial" w:hAnsi="Arial" w:cs="Arial"/>
          <w:b/>
          <w:color w:val="000000" w:themeColor="text1"/>
        </w:rPr>
      </w:pPr>
      <w:r w:rsidRPr="00F673FE">
        <w:rPr>
          <w:rFonts w:ascii="Arial" w:hAnsi="Arial" w:cs="Arial"/>
          <w:b/>
          <w:color w:val="000000" w:themeColor="text1"/>
        </w:rPr>
        <w:t>KARINA ROJANO PALACIO</w:t>
      </w:r>
    </w:p>
    <w:p w14:paraId="52342037" w14:textId="222D623E" w:rsidR="00F673FE" w:rsidRPr="00F673FE" w:rsidRDefault="00F673FE" w:rsidP="00F673FE">
      <w:pPr>
        <w:pStyle w:val="NormalWeb"/>
        <w:spacing w:before="0" w:beforeAutospacing="0" w:after="0" w:afterAutospacing="0"/>
        <w:jc w:val="both"/>
        <w:rPr>
          <w:rFonts w:ascii="Arial" w:hAnsi="Arial" w:cs="Arial"/>
          <w:b/>
          <w:color w:val="000000" w:themeColor="text1"/>
        </w:rPr>
      </w:pPr>
      <w:r w:rsidRPr="00F673FE">
        <w:rPr>
          <w:rFonts w:ascii="Arial" w:hAnsi="Arial" w:cs="Arial"/>
          <w:b/>
          <w:color w:val="000000" w:themeColor="text1"/>
        </w:rPr>
        <w:t>Representante a la Cámara</w:t>
      </w:r>
    </w:p>
    <w:p w14:paraId="5CFBB14C" w14:textId="2EB880D4" w:rsidR="001475F4" w:rsidRDefault="001475F4" w:rsidP="001475F4">
      <w:pPr>
        <w:pStyle w:val="NormalWeb"/>
        <w:spacing w:line="360" w:lineRule="auto"/>
        <w:jc w:val="both"/>
        <w:rPr>
          <w:rFonts w:ascii="Arial" w:hAnsi="Arial" w:cs="Arial"/>
          <w:color w:val="000000" w:themeColor="text1"/>
        </w:rPr>
      </w:pPr>
    </w:p>
    <w:p w14:paraId="773318C8" w14:textId="7E4AB3B4" w:rsidR="00F673FE" w:rsidRDefault="00F673FE" w:rsidP="001475F4">
      <w:pPr>
        <w:pStyle w:val="NormalWeb"/>
        <w:spacing w:line="360" w:lineRule="auto"/>
        <w:jc w:val="both"/>
        <w:rPr>
          <w:rFonts w:ascii="Arial" w:hAnsi="Arial" w:cs="Arial"/>
          <w:color w:val="000000" w:themeColor="text1"/>
        </w:rPr>
      </w:pPr>
    </w:p>
    <w:p w14:paraId="12DCF4C2" w14:textId="41A66D66" w:rsidR="00F673FE" w:rsidRDefault="00F673FE" w:rsidP="001475F4">
      <w:pPr>
        <w:pStyle w:val="NormalWeb"/>
        <w:spacing w:line="360" w:lineRule="auto"/>
        <w:jc w:val="both"/>
        <w:rPr>
          <w:rFonts w:ascii="Arial" w:hAnsi="Arial" w:cs="Arial"/>
          <w:color w:val="000000" w:themeColor="text1"/>
        </w:rPr>
      </w:pPr>
    </w:p>
    <w:p w14:paraId="28BFC15D" w14:textId="5F69E86C" w:rsidR="00F673FE" w:rsidRDefault="00F673FE" w:rsidP="001475F4">
      <w:pPr>
        <w:pStyle w:val="NormalWeb"/>
        <w:spacing w:line="360" w:lineRule="auto"/>
        <w:jc w:val="both"/>
        <w:rPr>
          <w:rFonts w:ascii="Arial" w:hAnsi="Arial" w:cs="Arial"/>
          <w:color w:val="000000" w:themeColor="text1"/>
        </w:rPr>
      </w:pPr>
    </w:p>
    <w:p w14:paraId="7D0656B1" w14:textId="7738ADDF" w:rsidR="00F673FE" w:rsidRDefault="00F673FE" w:rsidP="001475F4">
      <w:pPr>
        <w:pStyle w:val="NormalWeb"/>
        <w:spacing w:line="360" w:lineRule="auto"/>
        <w:jc w:val="both"/>
        <w:rPr>
          <w:rFonts w:ascii="Arial" w:hAnsi="Arial" w:cs="Arial"/>
          <w:color w:val="000000" w:themeColor="text1"/>
        </w:rPr>
      </w:pPr>
    </w:p>
    <w:p w14:paraId="547341AA" w14:textId="64AB081F" w:rsidR="00F673FE" w:rsidRDefault="00F673FE" w:rsidP="001475F4">
      <w:pPr>
        <w:pStyle w:val="NormalWeb"/>
        <w:spacing w:line="360" w:lineRule="auto"/>
        <w:jc w:val="both"/>
        <w:rPr>
          <w:rFonts w:ascii="Arial" w:hAnsi="Arial" w:cs="Arial"/>
          <w:color w:val="000000" w:themeColor="text1"/>
        </w:rPr>
      </w:pPr>
    </w:p>
    <w:p w14:paraId="106386A6" w14:textId="55314BAC" w:rsidR="00F673FE" w:rsidRDefault="00F673FE" w:rsidP="001475F4">
      <w:pPr>
        <w:pStyle w:val="NormalWeb"/>
        <w:spacing w:line="360" w:lineRule="auto"/>
        <w:jc w:val="both"/>
        <w:rPr>
          <w:rFonts w:ascii="Arial" w:hAnsi="Arial" w:cs="Arial"/>
          <w:color w:val="000000" w:themeColor="text1"/>
        </w:rPr>
      </w:pPr>
    </w:p>
    <w:p w14:paraId="5F30D641" w14:textId="6F987478" w:rsidR="00F673FE" w:rsidRDefault="00F673FE" w:rsidP="001475F4">
      <w:pPr>
        <w:pStyle w:val="NormalWeb"/>
        <w:spacing w:line="360" w:lineRule="auto"/>
        <w:jc w:val="both"/>
        <w:rPr>
          <w:rFonts w:ascii="Arial" w:hAnsi="Arial" w:cs="Arial"/>
          <w:color w:val="000000" w:themeColor="text1"/>
        </w:rPr>
      </w:pPr>
    </w:p>
    <w:p w14:paraId="3ECD95D7" w14:textId="77777777" w:rsidR="001475F4" w:rsidRPr="001475F4" w:rsidRDefault="001475F4" w:rsidP="001475F4">
      <w:pPr>
        <w:pStyle w:val="NormalWeb"/>
        <w:spacing w:line="360" w:lineRule="auto"/>
        <w:jc w:val="center"/>
        <w:rPr>
          <w:rFonts w:ascii="Arial" w:hAnsi="Arial" w:cs="Arial"/>
          <w:b/>
          <w:color w:val="000000" w:themeColor="text1"/>
        </w:rPr>
      </w:pPr>
      <w:r w:rsidRPr="001475F4">
        <w:rPr>
          <w:rFonts w:ascii="Arial" w:hAnsi="Arial" w:cs="Arial"/>
          <w:b/>
          <w:color w:val="000000" w:themeColor="text1"/>
        </w:rPr>
        <w:t>EXPOSICIÓN DE MOTIVOS</w:t>
      </w:r>
    </w:p>
    <w:p w14:paraId="6FFA1BCA" w14:textId="77777777" w:rsidR="001475F4" w:rsidRPr="001475F4" w:rsidRDefault="001475F4" w:rsidP="001475F4">
      <w:pPr>
        <w:pStyle w:val="NormalWeb"/>
        <w:numPr>
          <w:ilvl w:val="0"/>
          <w:numId w:val="1"/>
        </w:numPr>
        <w:spacing w:line="360" w:lineRule="auto"/>
        <w:jc w:val="both"/>
        <w:rPr>
          <w:rFonts w:ascii="Arial" w:hAnsi="Arial" w:cs="Arial"/>
          <w:b/>
          <w:color w:val="000000" w:themeColor="text1"/>
        </w:rPr>
      </w:pPr>
      <w:r w:rsidRPr="001475F4">
        <w:rPr>
          <w:rFonts w:ascii="Arial" w:hAnsi="Arial" w:cs="Arial"/>
          <w:b/>
          <w:color w:val="000000" w:themeColor="text1"/>
        </w:rPr>
        <w:t>Objeto del Proyecto de Ley</w:t>
      </w:r>
    </w:p>
    <w:p w14:paraId="6909078C" w14:textId="77777777" w:rsidR="001475F4" w:rsidRPr="001475F4" w:rsidRDefault="001475F4" w:rsidP="001475F4">
      <w:pPr>
        <w:pStyle w:val="NormalWeb"/>
        <w:spacing w:line="360" w:lineRule="auto"/>
        <w:jc w:val="both"/>
        <w:rPr>
          <w:rFonts w:ascii="Arial" w:hAnsi="Arial" w:cs="Arial"/>
          <w:color w:val="000000" w:themeColor="text1"/>
          <w:lang w:val="es-CO"/>
        </w:rPr>
      </w:pPr>
      <w:r>
        <w:rPr>
          <w:rFonts w:ascii="Arial" w:hAnsi="Arial" w:cs="Arial"/>
          <w:color w:val="000000" w:themeColor="text1"/>
        </w:rPr>
        <w:t xml:space="preserve">Este proyecto busca </w:t>
      </w:r>
      <w:r w:rsidRPr="001475F4">
        <w:rPr>
          <w:rFonts w:ascii="Arial" w:hAnsi="Arial" w:cs="Arial"/>
          <w:color w:val="000000" w:themeColor="text1"/>
          <w:lang w:val="es-CO"/>
        </w:rPr>
        <w:t xml:space="preserve">modificar la ley de Infancia y Adolescencia para introducir una serie de cambios en </w:t>
      </w:r>
      <w:r>
        <w:rPr>
          <w:rFonts w:ascii="Arial" w:hAnsi="Arial" w:cs="Arial"/>
          <w:color w:val="000000" w:themeColor="text1"/>
          <w:lang w:val="es-CO"/>
        </w:rPr>
        <w:t xml:space="preserve">el funcionamiento de </w:t>
      </w:r>
      <w:r w:rsidRPr="001475F4">
        <w:rPr>
          <w:rFonts w:ascii="Arial" w:hAnsi="Arial" w:cs="Arial"/>
          <w:color w:val="000000" w:themeColor="text1"/>
          <w:lang w:val="es-CO"/>
        </w:rPr>
        <w:t>los Consejos de Política Social a nivel Nacional, Departamental, Distrital y Municipal.</w:t>
      </w:r>
    </w:p>
    <w:p w14:paraId="1A7366BF" w14:textId="77777777" w:rsidR="001475F4" w:rsidRDefault="001475F4" w:rsidP="001475F4">
      <w:pPr>
        <w:pStyle w:val="NormalWeb"/>
        <w:spacing w:line="360" w:lineRule="auto"/>
        <w:jc w:val="both"/>
        <w:rPr>
          <w:rFonts w:ascii="Arial" w:hAnsi="Arial" w:cs="Arial"/>
          <w:color w:val="000000" w:themeColor="text1"/>
          <w:lang w:val="es-CO"/>
        </w:rPr>
      </w:pPr>
      <w:r w:rsidRPr="001475F4">
        <w:rPr>
          <w:rFonts w:ascii="Arial" w:hAnsi="Arial" w:cs="Arial"/>
          <w:color w:val="000000" w:themeColor="text1"/>
          <w:lang w:val="es-CO"/>
        </w:rPr>
        <w:t>Estos cambios buscan</w:t>
      </w:r>
      <w:r>
        <w:rPr>
          <w:rFonts w:ascii="Arial" w:hAnsi="Arial" w:cs="Arial"/>
          <w:color w:val="000000" w:themeColor="text1"/>
          <w:lang w:val="es-CO"/>
        </w:rPr>
        <w:t xml:space="preserve"> fortalecer la gestión pública y mejorar la </w:t>
      </w:r>
      <w:r w:rsidRPr="001475F4">
        <w:rPr>
          <w:rFonts w:ascii="Arial" w:hAnsi="Arial" w:cs="Arial"/>
          <w:color w:val="000000" w:themeColor="text1"/>
          <w:lang w:val="es-CO"/>
        </w:rPr>
        <w:t xml:space="preserve">artículación y capacidad Estatal entre entidades que deben cuidar la integridad sexual de niños y jovenes con un enfoque de genero femenino. </w:t>
      </w:r>
    </w:p>
    <w:p w14:paraId="58395B8B" w14:textId="77777777" w:rsidR="001475F4" w:rsidRDefault="001475F4" w:rsidP="001475F4">
      <w:pPr>
        <w:pStyle w:val="NormalWeb"/>
        <w:spacing w:line="360" w:lineRule="auto"/>
        <w:jc w:val="both"/>
        <w:rPr>
          <w:rFonts w:ascii="Arial" w:hAnsi="Arial" w:cs="Arial"/>
          <w:color w:val="000000" w:themeColor="text1"/>
          <w:lang w:val="es-CO"/>
        </w:rPr>
      </w:pPr>
      <w:r w:rsidRPr="001475F4">
        <w:rPr>
          <w:rFonts w:ascii="Arial" w:hAnsi="Arial" w:cs="Arial"/>
          <w:color w:val="000000" w:themeColor="text1"/>
          <w:lang w:val="es-CO"/>
        </w:rPr>
        <w:t xml:space="preserve">Por tanto, </w:t>
      </w:r>
      <w:r>
        <w:rPr>
          <w:rFonts w:ascii="Arial" w:hAnsi="Arial" w:cs="Arial"/>
          <w:color w:val="000000" w:themeColor="text1"/>
          <w:lang w:val="es-CO"/>
        </w:rPr>
        <w:t>el primer cambio que propone es hacer obligatoria e indelegable la asistencia del Presidente de la República a las sesiones del Consejo Nacional de Política Social. Hoy, esa obligatoriedad solamente es predicable a Alcaldes y Gobernadores en las sesiones de los Consejos Departamentales, Distritales y Municipales.</w:t>
      </w:r>
    </w:p>
    <w:p w14:paraId="2B79B924" w14:textId="77777777" w:rsidR="001475F4" w:rsidRDefault="001475F4" w:rsidP="001475F4">
      <w:pPr>
        <w:pStyle w:val="NormalWeb"/>
        <w:spacing w:line="360" w:lineRule="auto"/>
        <w:jc w:val="both"/>
        <w:rPr>
          <w:rFonts w:ascii="Arial" w:hAnsi="Arial" w:cs="Arial"/>
          <w:color w:val="000000" w:themeColor="text1"/>
          <w:lang w:val="es-CO"/>
        </w:rPr>
      </w:pPr>
      <w:r>
        <w:rPr>
          <w:rFonts w:ascii="Arial" w:hAnsi="Arial" w:cs="Arial"/>
          <w:color w:val="000000" w:themeColor="text1"/>
          <w:lang w:val="es-CO"/>
        </w:rPr>
        <w:t xml:space="preserve">Además, </w:t>
      </w:r>
      <w:r w:rsidRPr="001475F4">
        <w:rPr>
          <w:rFonts w:ascii="Arial" w:hAnsi="Arial" w:cs="Arial"/>
          <w:color w:val="000000" w:themeColor="text1"/>
          <w:lang w:val="es-CO"/>
        </w:rPr>
        <w:t>aumenta el numero de sesiones mínimas de 4 a 6 sesiones</w:t>
      </w:r>
      <w:r>
        <w:rPr>
          <w:rFonts w:ascii="Arial" w:hAnsi="Arial" w:cs="Arial"/>
          <w:color w:val="000000" w:themeColor="text1"/>
          <w:lang w:val="es-CO"/>
        </w:rPr>
        <w:t xml:space="preserve"> en los Consejode de Política Social Territoriales</w:t>
      </w:r>
      <w:r w:rsidRPr="001475F4">
        <w:rPr>
          <w:rFonts w:ascii="Arial" w:hAnsi="Arial" w:cs="Arial"/>
          <w:color w:val="000000" w:themeColor="text1"/>
          <w:lang w:val="es-CO"/>
        </w:rPr>
        <w:t xml:space="preserve"> y obliga a crear una Mesa o Línea de Trabajo Exclusiva en los Consejos de Política Social que se dedique a </w:t>
      </w:r>
      <w:r>
        <w:rPr>
          <w:rFonts w:ascii="Arial" w:hAnsi="Arial" w:cs="Arial"/>
          <w:color w:val="000000" w:themeColor="text1"/>
          <w:lang w:val="es-CO"/>
        </w:rPr>
        <w:t xml:space="preserve">atender y </w:t>
      </w:r>
      <w:r w:rsidRPr="001475F4">
        <w:rPr>
          <w:rFonts w:ascii="Arial" w:hAnsi="Arial" w:cs="Arial"/>
          <w:color w:val="000000" w:themeColor="text1"/>
          <w:lang w:val="es-CO"/>
        </w:rPr>
        <w:t>trabajar la problemática de la violencia sexual en jovenes y niños</w:t>
      </w:r>
      <w:r>
        <w:rPr>
          <w:rFonts w:ascii="Arial" w:hAnsi="Arial" w:cs="Arial"/>
          <w:color w:val="000000" w:themeColor="text1"/>
          <w:lang w:val="es-CO"/>
        </w:rPr>
        <w:t xml:space="preserve">. Lo anterior resulta indispensable, pues se trata de priorizar la atención de un fenómeno creciente en el tiempo hacia una población vulnerable. </w:t>
      </w:r>
    </w:p>
    <w:p w14:paraId="77C06527" w14:textId="77777777" w:rsidR="001475F4" w:rsidRDefault="001475F4" w:rsidP="001475F4">
      <w:pPr>
        <w:pStyle w:val="NormalWeb"/>
        <w:spacing w:line="360" w:lineRule="auto"/>
        <w:jc w:val="both"/>
        <w:rPr>
          <w:rFonts w:ascii="Arial" w:hAnsi="Arial" w:cs="Arial"/>
          <w:color w:val="000000" w:themeColor="text1"/>
          <w:lang w:val="es-CO"/>
        </w:rPr>
      </w:pPr>
    </w:p>
    <w:p w14:paraId="2AF58986" w14:textId="77777777" w:rsidR="001475F4" w:rsidRPr="001475F4" w:rsidRDefault="001475F4" w:rsidP="001475F4">
      <w:pPr>
        <w:pStyle w:val="NormalWeb"/>
        <w:numPr>
          <w:ilvl w:val="0"/>
          <w:numId w:val="1"/>
        </w:numPr>
        <w:spacing w:line="360" w:lineRule="auto"/>
        <w:jc w:val="both"/>
        <w:rPr>
          <w:rFonts w:ascii="Arial" w:hAnsi="Arial" w:cs="Arial"/>
          <w:b/>
          <w:color w:val="000000" w:themeColor="text1"/>
        </w:rPr>
      </w:pPr>
      <w:r w:rsidRPr="001475F4">
        <w:rPr>
          <w:rFonts w:ascii="Arial" w:hAnsi="Arial" w:cs="Arial"/>
          <w:b/>
          <w:color w:val="000000" w:themeColor="text1"/>
          <w:lang w:val="es-CO"/>
        </w:rPr>
        <w:t>Cifras que sustentan la priorización de la atención a la violencia sexual en menores de edad</w:t>
      </w:r>
    </w:p>
    <w:p w14:paraId="28A99300" w14:textId="77777777" w:rsidR="001475F4" w:rsidRPr="001475F4" w:rsidRDefault="001475F4" w:rsidP="001475F4">
      <w:pPr>
        <w:spacing w:after="120" w:line="360" w:lineRule="auto"/>
        <w:jc w:val="both"/>
        <w:rPr>
          <w:rFonts w:ascii="Arial" w:hAnsi="Arial" w:cs="Arial"/>
          <w:sz w:val="24"/>
          <w:szCs w:val="24"/>
        </w:rPr>
      </w:pPr>
      <w:r w:rsidRPr="001475F4">
        <w:rPr>
          <w:rFonts w:ascii="Arial" w:hAnsi="Arial" w:cs="Arial"/>
          <w:sz w:val="24"/>
          <w:szCs w:val="24"/>
        </w:rPr>
        <w:t>La violencia sexual en niños, niñas y adolescentes es un problema que el Estado ha sido incapaz de afrontar multidimensionalmente. Desde su estructura organica, así como en sus políticas preventivas y represivas, se evidencia el creciente abuso en su libertad e integridad sexual, especialmente en menores de edad del genero femenino.</w:t>
      </w:r>
    </w:p>
    <w:p w14:paraId="0C793F1F" w14:textId="77777777" w:rsidR="001475F4" w:rsidRPr="001475F4" w:rsidRDefault="001475F4" w:rsidP="001475F4">
      <w:pPr>
        <w:spacing w:after="120" w:line="360" w:lineRule="auto"/>
        <w:jc w:val="both"/>
        <w:rPr>
          <w:rFonts w:ascii="Arial" w:hAnsi="Arial" w:cs="Arial"/>
          <w:noProof/>
          <w:sz w:val="24"/>
          <w:szCs w:val="24"/>
          <w:lang w:val="es-ES_tradnl" w:eastAsia="es-CO"/>
        </w:rPr>
      </w:pPr>
      <w:r w:rsidRPr="001475F4">
        <w:rPr>
          <w:rFonts w:ascii="Arial" w:hAnsi="Arial" w:cs="Arial"/>
          <w:sz w:val="24"/>
          <w:szCs w:val="24"/>
        </w:rPr>
        <w:t xml:space="preserve">Los casos de abuso sexual a esa población vulnerable crece cada vez más y la protección a estos </w:t>
      </w:r>
      <w:r w:rsidRPr="001475F4">
        <w:rPr>
          <w:rFonts w:ascii="Arial" w:hAnsi="Arial" w:cs="Arial"/>
          <w:noProof/>
          <w:sz w:val="24"/>
          <w:szCs w:val="24"/>
          <w:lang w:val="es-ES_tradnl" w:eastAsia="es-CO"/>
        </w:rPr>
        <w:t>como sujetos de derechos. Como ejemplo de lo anterior tenemos las siguientes cifras del Instituto Nacional de Medicina Legal y Ciencias Forenses en los años 2016 y 2017:</w:t>
      </w:r>
    </w:p>
    <w:p w14:paraId="22772CC1" w14:textId="77777777" w:rsidR="001475F4" w:rsidRPr="001475F4" w:rsidRDefault="001475F4" w:rsidP="001475F4">
      <w:pPr>
        <w:pStyle w:val="Prrafodelista"/>
        <w:spacing w:after="120" w:line="360" w:lineRule="auto"/>
        <w:jc w:val="both"/>
        <w:rPr>
          <w:rFonts w:ascii="Arial" w:hAnsi="Arial" w:cs="Arial"/>
          <w:noProof/>
          <w:sz w:val="24"/>
          <w:szCs w:val="24"/>
          <w:lang w:val="es-ES_tradnl" w:eastAsia="es-CO"/>
        </w:rPr>
      </w:pPr>
    </w:p>
    <w:p w14:paraId="50FCAD32" w14:textId="77777777" w:rsidR="001475F4" w:rsidRPr="001475F4" w:rsidRDefault="001475F4" w:rsidP="001475F4">
      <w:pPr>
        <w:spacing w:after="120" w:line="360" w:lineRule="auto"/>
        <w:ind w:left="360"/>
        <w:jc w:val="center"/>
        <w:rPr>
          <w:rFonts w:ascii="Arial" w:hAnsi="Arial" w:cs="Arial"/>
          <w:b/>
          <w:noProof/>
          <w:sz w:val="24"/>
          <w:szCs w:val="24"/>
          <w:lang w:val="es-ES" w:eastAsia="es-CO"/>
        </w:rPr>
      </w:pPr>
      <w:r w:rsidRPr="001475F4">
        <w:rPr>
          <w:rFonts w:ascii="Arial" w:hAnsi="Arial" w:cs="Arial"/>
          <w:b/>
          <w:noProof/>
          <w:sz w:val="24"/>
          <w:szCs w:val="24"/>
          <w:lang w:val="es-ES" w:eastAsia="es-CO"/>
        </w:rPr>
        <w:t>TABLA 1</w:t>
      </w:r>
    </w:p>
    <w:p w14:paraId="088D4324" w14:textId="77777777" w:rsidR="001475F4" w:rsidRPr="001475F4" w:rsidRDefault="001475F4" w:rsidP="001475F4">
      <w:pPr>
        <w:pStyle w:val="Prrafodelista"/>
        <w:spacing w:after="120" w:line="360" w:lineRule="auto"/>
        <w:jc w:val="center"/>
        <w:rPr>
          <w:rFonts w:ascii="Arial" w:hAnsi="Arial" w:cs="Arial"/>
          <w:i/>
          <w:noProof/>
          <w:sz w:val="24"/>
          <w:szCs w:val="24"/>
          <w:lang w:val="es-ES" w:eastAsia="es-CO"/>
        </w:rPr>
      </w:pPr>
      <w:r w:rsidRPr="001475F4">
        <w:rPr>
          <w:rFonts w:ascii="Arial" w:hAnsi="Arial" w:cs="Arial"/>
          <w:i/>
          <w:noProof/>
          <w:sz w:val="24"/>
          <w:szCs w:val="24"/>
          <w:lang w:val="es-ES" w:eastAsia="es-CO"/>
        </w:rPr>
        <w:t>Exámenes médico legales practicados en el año 2016 a menores de edad según ciclo de vida en Colombia por presunto abuso sexual</w:t>
      </w:r>
    </w:p>
    <w:tbl>
      <w:tblPr>
        <w:tblW w:w="8821" w:type="dxa"/>
        <w:jc w:val="center"/>
        <w:tblBorders>
          <w:bottom w:val="single" w:sz="4" w:space="0" w:color="auto"/>
        </w:tblBorders>
        <w:tblLook w:val="04A0" w:firstRow="1" w:lastRow="0" w:firstColumn="1" w:lastColumn="0" w:noHBand="0" w:noVBand="1"/>
      </w:tblPr>
      <w:tblGrid>
        <w:gridCol w:w="1471"/>
        <w:gridCol w:w="2192"/>
        <w:gridCol w:w="2216"/>
        <w:gridCol w:w="1471"/>
        <w:gridCol w:w="1471"/>
      </w:tblGrid>
      <w:tr w:rsidR="001475F4" w:rsidRPr="00C32CC7" w14:paraId="549046B9" w14:textId="77777777" w:rsidTr="005D3168">
        <w:trPr>
          <w:trHeight w:val="354"/>
          <w:jc w:val="center"/>
        </w:trPr>
        <w:tc>
          <w:tcPr>
            <w:tcW w:w="1471" w:type="dxa"/>
            <w:noWrap/>
            <w:hideMark/>
          </w:tcPr>
          <w:p w14:paraId="2E5565BD"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92" w:type="dxa"/>
            <w:noWrap/>
            <w:hideMark/>
          </w:tcPr>
          <w:p w14:paraId="1D2CDD34"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RANGOS DE EDAD</w:t>
            </w:r>
          </w:p>
        </w:tc>
        <w:tc>
          <w:tcPr>
            <w:tcW w:w="2216" w:type="dxa"/>
            <w:noWrap/>
            <w:hideMark/>
          </w:tcPr>
          <w:p w14:paraId="5D2EC9B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No. DE EXÁMENES</w:t>
            </w:r>
          </w:p>
        </w:tc>
        <w:tc>
          <w:tcPr>
            <w:tcW w:w="1471" w:type="dxa"/>
            <w:noWrap/>
            <w:hideMark/>
          </w:tcPr>
          <w:p w14:paraId="66FC4ECF"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HOMBRE</w:t>
            </w:r>
          </w:p>
        </w:tc>
        <w:tc>
          <w:tcPr>
            <w:tcW w:w="1471" w:type="dxa"/>
            <w:shd w:val="clear" w:color="auto" w:fill="auto"/>
            <w:noWrap/>
            <w:hideMark/>
          </w:tcPr>
          <w:p w14:paraId="78684E49"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MUJER</w:t>
            </w:r>
          </w:p>
        </w:tc>
      </w:tr>
      <w:tr w:rsidR="001475F4" w:rsidRPr="00C32CC7" w14:paraId="19E38339" w14:textId="77777777" w:rsidTr="005D3168">
        <w:trPr>
          <w:trHeight w:val="354"/>
          <w:jc w:val="center"/>
        </w:trPr>
        <w:tc>
          <w:tcPr>
            <w:tcW w:w="1471" w:type="dxa"/>
            <w:shd w:val="clear" w:color="auto" w:fill="auto"/>
            <w:noWrap/>
            <w:hideMark/>
          </w:tcPr>
          <w:p w14:paraId="3DF5F8F4"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92" w:type="dxa"/>
            <w:shd w:val="clear" w:color="auto" w:fill="auto"/>
            <w:noWrap/>
            <w:hideMark/>
          </w:tcPr>
          <w:p w14:paraId="205C890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0 a 4</w:t>
            </w:r>
          </w:p>
        </w:tc>
        <w:tc>
          <w:tcPr>
            <w:tcW w:w="2216" w:type="dxa"/>
            <w:shd w:val="clear" w:color="auto" w:fill="auto"/>
            <w:noWrap/>
            <w:hideMark/>
          </w:tcPr>
          <w:p w14:paraId="19008F1B"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2373</w:t>
            </w:r>
          </w:p>
        </w:tc>
        <w:tc>
          <w:tcPr>
            <w:tcW w:w="1471" w:type="dxa"/>
            <w:shd w:val="clear" w:color="auto" w:fill="auto"/>
            <w:noWrap/>
            <w:hideMark/>
          </w:tcPr>
          <w:p w14:paraId="457ECAF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563</w:t>
            </w:r>
          </w:p>
        </w:tc>
        <w:tc>
          <w:tcPr>
            <w:tcW w:w="1471" w:type="dxa"/>
            <w:shd w:val="clear" w:color="auto" w:fill="auto"/>
            <w:noWrap/>
            <w:hideMark/>
          </w:tcPr>
          <w:p w14:paraId="2C3C21A5"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1810</w:t>
            </w:r>
          </w:p>
        </w:tc>
      </w:tr>
      <w:tr w:rsidR="001475F4" w:rsidRPr="00C32CC7" w14:paraId="2AEADB49" w14:textId="77777777" w:rsidTr="005D3168">
        <w:trPr>
          <w:trHeight w:val="354"/>
          <w:jc w:val="center"/>
        </w:trPr>
        <w:tc>
          <w:tcPr>
            <w:tcW w:w="1471" w:type="dxa"/>
            <w:shd w:val="clear" w:color="auto" w:fill="auto"/>
            <w:noWrap/>
            <w:hideMark/>
          </w:tcPr>
          <w:p w14:paraId="482DD1BC"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92" w:type="dxa"/>
            <w:shd w:val="clear" w:color="auto" w:fill="auto"/>
            <w:noWrap/>
            <w:hideMark/>
          </w:tcPr>
          <w:p w14:paraId="20D403B3"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5 a 9</w:t>
            </w:r>
          </w:p>
        </w:tc>
        <w:tc>
          <w:tcPr>
            <w:tcW w:w="2216" w:type="dxa"/>
            <w:shd w:val="clear" w:color="auto" w:fill="auto"/>
            <w:noWrap/>
            <w:hideMark/>
          </w:tcPr>
          <w:p w14:paraId="009E9ACF"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4978</w:t>
            </w:r>
          </w:p>
        </w:tc>
        <w:tc>
          <w:tcPr>
            <w:tcW w:w="1471" w:type="dxa"/>
            <w:shd w:val="clear" w:color="auto" w:fill="auto"/>
            <w:noWrap/>
            <w:hideMark/>
          </w:tcPr>
          <w:p w14:paraId="5FA5B43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1183</w:t>
            </w:r>
          </w:p>
        </w:tc>
        <w:tc>
          <w:tcPr>
            <w:tcW w:w="1471" w:type="dxa"/>
            <w:shd w:val="clear" w:color="auto" w:fill="auto"/>
            <w:noWrap/>
            <w:hideMark/>
          </w:tcPr>
          <w:p w14:paraId="72FE9018"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3795</w:t>
            </w:r>
          </w:p>
        </w:tc>
      </w:tr>
      <w:tr w:rsidR="001475F4" w:rsidRPr="00C32CC7" w14:paraId="028B97FC" w14:textId="77777777" w:rsidTr="005D3168">
        <w:trPr>
          <w:trHeight w:val="354"/>
          <w:jc w:val="center"/>
        </w:trPr>
        <w:tc>
          <w:tcPr>
            <w:tcW w:w="1471" w:type="dxa"/>
            <w:shd w:val="clear" w:color="auto" w:fill="auto"/>
            <w:noWrap/>
            <w:hideMark/>
          </w:tcPr>
          <w:p w14:paraId="0EEB4F06"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92" w:type="dxa"/>
            <w:shd w:val="clear" w:color="auto" w:fill="auto"/>
            <w:noWrap/>
            <w:hideMark/>
          </w:tcPr>
          <w:p w14:paraId="744341F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10 a 14</w:t>
            </w:r>
          </w:p>
        </w:tc>
        <w:tc>
          <w:tcPr>
            <w:tcW w:w="2216" w:type="dxa"/>
            <w:shd w:val="clear" w:color="auto" w:fill="auto"/>
            <w:noWrap/>
            <w:hideMark/>
          </w:tcPr>
          <w:p w14:paraId="53458D32"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6913</w:t>
            </w:r>
          </w:p>
        </w:tc>
        <w:tc>
          <w:tcPr>
            <w:tcW w:w="1471" w:type="dxa"/>
            <w:shd w:val="clear" w:color="auto" w:fill="auto"/>
            <w:noWrap/>
            <w:hideMark/>
          </w:tcPr>
          <w:p w14:paraId="2E469E7E"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725</w:t>
            </w:r>
          </w:p>
        </w:tc>
        <w:tc>
          <w:tcPr>
            <w:tcW w:w="1471" w:type="dxa"/>
            <w:shd w:val="clear" w:color="auto" w:fill="auto"/>
            <w:noWrap/>
            <w:hideMark/>
          </w:tcPr>
          <w:p w14:paraId="663B0DC1"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6188</w:t>
            </w:r>
          </w:p>
        </w:tc>
      </w:tr>
      <w:tr w:rsidR="001475F4" w:rsidRPr="00C32CC7" w14:paraId="30F38FEA" w14:textId="77777777" w:rsidTr="005D3168">
        <w:trPr>
          <w:trHeight w:val="354"/>
          <w:jc w:val="center"/>
        </w:trPr>
        <w:tc>
          <w:tcPr>
            <w:tcW w:w="1471" w:type="dxa"/>
            <w:shd w:val="clear" w:color="auto" w:fill="auto"/>
            <w:noWrap/>
            <w:hideMark/>
          </w:tcPr>
          <w:p w14:paraId="40523D1E"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92" w:type="dxa"/>
            <w:shd w:val="clear" w:color="auto" w:fill="auto"/>
            <w:noWrap/>
            <w:hideMark/>
          </w:tcPr>
          <w:p w14:paraId="2DFF85F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15 a 17</w:t>
            </w:r>
          </w:p>
        </w:tc>
        <w:tc>
          <w:tcPr>
            <w:tcW w:w="2216" w:type="dxa"/>
            <w:shd w:val="clear" w:color="auto" w:fill="auto"/>
            <w:noWrap/>
            <w:hideMark/>
          </w:tcPr>
          <w:p w14:paraId="3EC21118"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4152</w:t>
            </w:r>
          </w:p>
        </w:tc>
        <w:tc>
          <w:tcPr>
            <w:tcW w:w="1471" w:type="dxa"/>
            <w:shd w:val="clear" w:color="auto" w:fill="auto"/>
            <w:noWrap/>
            <w:hideMark/>
          </w:tcPr>
          <w:p w14:paraId="36169572"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421</w:t>
            </w:r>
          </w:p>
        </w:tc>
        <w:tc>
          <w:tcPr>
            <w:tcW w:w="1471" w:type="dxa"/>
            <w:shd w:val="clear" w:color="auto" w:fill="auto"/>
            <w:noWrap/>
            <w:hideMark/>
          </w:tcPr>
          <w:p w14:paraId="1B6FF415"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3731</w:t>
            </w:r>
          </w:p>
        </w:tc>
      </w:tr>
      <w:tr w:rsidR="001475F4" w:rsidRPr="00C32CC7" w14:paraId="799F96A6" w14:textId="77777777" w:rsidTr="005D3168">
        <w:trPr>
          <w:trHeight w:val="301"/>
          <w:jc w:val="center"/>
        </w:trPr>
        <w:tc>
          <w:tcPr>
            <w:tcW w:w="1471" w:type="dxa"/>
            <w:shd w:val="clear" w:color="auto" w:fill="auto"/>
            <w:noWrap/>
            <w:hideMark/>
          </w:tcPr>
          <w:p w14:paraId="0AE4C606"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TOTAL</w:t>
            </w:r>
          </w:p>
        </w:tc>
        <w:tc>
          <w:tcPr>
            <w:tcW w:w="2192" w:type="dxa"/>
            <w:shd w:val="clear" w:color="auto" w:fill="auto"/>
            <w:noWrap/>
            <w:hideMark/>
          </w:tcPr>
          <w:p w14:paraId="058D88A2"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 </w:t>
            </w:r>
          </w:p>
        </w:tc>
        <w:tc>
          <w:tcPr>
            <w:tcW w:w="2216" w:type="dxa"/>
            <w:shd w:val="clear" w:color="auto" w:fill="auto"/>
            <w:noWrap/>
            <w:hideMark/>
          </w:tcPr>
          <w:p w14:paraId="21BF6806"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18416</w:t>
            </w:r>
          </w:p>
        </w:tc>
        <w:tc>
          <w:tcPr>
            <w:tcW w:w="1471" w:type="dxa"/>
            <w:shd w:val="clear" w:color="auto" w:fill="auto"/>
            <w:noWrap/>
            <w:hideMark/>
          </w:tcPr>
          <w:p w14:paraId="4706785C"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2892</w:t>
            </w:r>
          </w:p>
        </w:tc>
        <w:tc>
          <w:tcPr>
            <w:tcW w:w="1471" w:type="dxa"/>
            <w:shd w:val="clear" w:color="auto" w:fill="auto"/>
            <w:noWrap/>
            <w:hideMark/>
          </w:tcPr>
          <w:p w14:paraId="5E443484"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15524</w:t>
            </w:r>
          </w:p>
        </w:tc>
      </w:tr>
    </w:tbl>
    <w:p w14:paraId="7A635151" w14:textId="77777777" w:rsidR="001475F4" w:rsidRPr="001475F4" w:rsidRDefault="001475F4" w:rsidP="001475F4">
      <w:pPr>
        <w:pStyle w:val="Prrafodelista"/>
        <w:spacing w:after="120" w:line="360" w:lineRule="auto"/>
        <w:jc w:val="both"/>
        <w:rPr>
          <w:rFonts w:ascii="Arial" w:hAnsi="Arial" w:cs="Arial"/>
          <w:noProof/>
          <w:sz w:val="24"/>
          <w:szCs w:val="24"/>
          <w:lang w:val="es-ES" w:eastAsia="es-CO"/>
        </w:rPr>
      </w:pPr>
    </w:p>
    <w:p w14:paraId="4F3389BC" w14:textId="77777777" w:rsidR="001475F4" w:rsidRPr="001475F4" w:rsidRDefault="001475F4" w:rsidP="001475F4">
      <w:pPr>
        <w:pStyle w:val="Prrafodelista"/>
        <w:spacing w:after="120" w:line="360" w:lineRule="auto"/>
        <w:jc w:val="both"/>
        <w:rPr>
          <w:rFonts w:ascii="Arial" w:hAnsi="Arial" w:cs="Arial"/>
          <w:noProof/>
          <w:sz w:val="16"/>
          <w:szCs w:val="16"/>
          <w:lang w:val="es-ES" w:eastAsia="es-CO"/>
        </w:rPr>
      </w:pPr>
      <w:r w:rsidRPr="001475F4">
        <w:rPr>
          <w:rFonts w:ascii="Arial" w:hAnsi="Arial" w:cs="Arial"/>
          <w:i/>
          <w:noProof/>
          <w:sz w:val="16"/>
          <w:szCs w:val="16"/>
          <w:lang w:val="es-ES" w:eastAsia="es-CO"/>
        </w:rPr>
        <w:t xml:space="preserve">Nota: </w:t>
      </w:r>
      <w:r w:rsidRPr="001475F4">
        <w:rPr>
          <w:rFonts w:ascii="Arial" w:hAnsi="Arial" w:cs="Arial"/>
          <w:noProof/>
          <w:sz w:val="16"/>
          <w:szCs w:val="16"/>
          <w:lang w:val="es-ES" w:eastAsia="es-CO"/>
        </w:rPr>
        <w:t xml:space="preserve">Tomado de “Instituto Nacional de Medicina Legal y Ciencias Forenses”, Grupo Centro de Referencia Nacional sobre Violencia, Sistema de Información Clínica y Odontología Forense, Sistema de Información Nacional de Estadísticas Indirectas (FORENSIS) 2016. </w:t>
      </w:r>
    </w:p>
    <w:p w14:paraId="0737CE23" w14:textId="77777777" w:rsidR="001475F4" w:rsidRPr="001475F4" w:rsidRDefault="001475F4" w:rsidP="001475F4">
      <w:pPr>
        <w:pStyle w:val="Prrafodelista"/>
        <w:spacing w:after="120" w:line="360" w:lineRule="auto"/>
        <w:jc w:val="both"/>
        <w:rPr>
          <w:rFonts w:ascii="Arial" w:hAnsi="Arial" w:cs="Arial"/>
          <w:noProof/>
          <w:sz w:val="24"/>
          <w:szCs w:val="24"/>
          <w:lang w:val="es-ES" w:eastAsia="es-CO"/>
        </w:rPr>
      </w:pPr>
    </w:p>
    <w:p w14:paraId="02EBCA38" w14:textId="77777777" w:rsidR="001475F4" w:rsidRPr="001475F4" w:rsidRDefault="001475F4" w:rsidP="001475F4">
      <w:pPr>
        <w:spacing w:after="120" w:line="360" w:lineRule="auto"/>
        <w:jc w:val="both"/>
        <w:rPr>
          <w:rFonts w:ascii="Arial" w:hAnsi="Arial" w:cs="Arial"/>
          <w:noProof/>
          <w:sz w:val="24"/>
          <w:szCs w:val="24"/>
          <w:lang w:val="es-ES" w:eastAsia="es-CO"/>
        </w:rPr>
      </w:pPr>
      <w:r w:rsidRPr="001475F4">
        <w:rPr>
          <w:rFonts w:ascii="Arial" w:hAnsi="Arial" w:cs="Arial"/>
          <w:noProof/>
          <w:sz w:val="24"/>
          <w:szCs w:val="24"/>
          <w:lang w:val="es-ES" w:eastAsia="es-CO"/>
        </w:rPr>
        <w:t>Ahora bien,, los exámanes médicos legales realizados en 2017 tuvieron el siguiente comportamiento estadistico:</w:t>
      </w:r>
    </w:p>
    <w:p w14:paraId="2AB96DFC" w14:textId="77777777" w:rsidR="001475F4" w:rsidRDefault="001475F4" w:rsidP="001475F4">
      <w:pPr>
        <w:pStyle w:val="Prrafodelista"/>
        <w:spacing w:after="120" w:line="360" w:lineRule="auto"/>
        <w:jc w:val="center"/>
        <w:rPr>
          <w:rFonts w:ascii="Arial" w:hAnsi="Arial" w:cs="Arial"/>
          <w:b/>
          <w:noProof/>
          <w:sz w:val="24"/>
          <w:szCs w:val="24"/>
          <w:lang w:val="es-ES" w:eastAsia="es-CO"/>
        </w:rPr>
      </w:pPr>
    </w:p>
    <w:p w14:paraId="26BD1366" w14:textId="77777777" w:rsidR="001475F4" w:rsidRPr="001475F4" w:rsidRDefault="001475F4" w:rsidP="001475F4">
      <w:pPr>
        <w:pStyle w:val="Prrafodelista"/>
        <w:spacing w:after="120" w:line="360" w:lineRule="auto"/>
        <w:jc w:val="center"/>
        <w:rPr>
          <w:rFonts w:ascii="Arial" w:hAnsi="Arial" w:cs="Arial"/>
          <w:b/>
          <w:noProof/>
          <w:sz w:val="24"/>
          <w:szCs w:val="24"/>
          <w:lang w:val="es-ES" w:eastAsia="es-CO"/>
        </w:rPr>
      </w:pPr>
      <w:r w:rsidRPr="001475F4">
        <w:rPr>
          <w:rFonts w:ascii="Arial" w:hAnsi="Arial" w:cs="Arial"/>
          <w:b/>
          <w:noProof/>
          <w:sz w:val="24"/>
          <w:szCs w:val="24"/>
          <w:lang w:val="es-ES" w:eastAsia="es-CO"/>
        </w:rPr>
        <w:t>TABLA 2</w:t>
      </w:r>
    </w:p>
    <w:p w14:paraId="3E9DF909" w14:textId="77777777" w:rsidR="001475F4" w:rsidRPr="001475F4" w:rsidRDefault="001475F4" w:rsidP="001475F4">
      <w:pPr>
        <w:pStyle w:val="Prrafodelista"/>
        <w:spacing w:after="120" w:line="360" w:lineRule="auto"/>
        <w:jc w:val="center"/>
        <w:rPr>
          <w:rFonts w:ascii="Arial" w:hAnsi="Arial" w:cs="Arial"/>
          <w:i/>
          <w:noProof/>
          <w:sz w:val="24"/>
          <w:szCs w:val="24"/>
          <w:lang w:val="es-ES" w:eastAsia="es-CO"/>
        </w:rPr>
      </w:pPr>
      <w:r w:rsidRPr="001475F4">
        <w:rPr>
          <w:rFonts w:ascii="Arial" w:hAnsi="Arial" w:cs="Arial"/>
          <w:i/>
          <w:noProof/>
          <w:sz w:val="24"/>
          <w:szCs w:val="24"/>
          <w:lang w:val="es-ES" w:eastAsia="es-CO"/>
        </w:rPr>
        <w:t>Exámenes médico legales practicados en el año 2017 a menores de edad según ciclo de vida en Colombia por presunto abuso sexual</w:t>
      </w:r>
    </w:p>
    <w:tbl>
      <w:tblPr>
        <w:tblW w:w="8448" w:type="dxa"/>
        <w:jc w:val="center"/>
        <w:tblLook w:val="04A0" w:firstRow="1" w:lastRow="0" w:firstColumn="1" w:lastColumn="0" w:noHBand="0" w:noVBand="1"/>
      </w:tblPr>
      <w:tblGrid>
        <w:gridCol w:w="1408"/>
        <w:gridCol w:w="2101"/>
        <w:gridCol w:w="2123"/>
        <w:gridCol w:w="1408"/>
        <w:gridCol w:w="1408"/>
      </w:tblGrid>
      <w:tr w:rsidR="001475F4" w:rsidRPr="00C32CC7" w14:paraId="24082CDC" w14:textId="77777777" w:rsidTr="005D3168">
        <w:trPr>
          <w:trHeight w:val="407"/>
          <w:jc w:val="center"/>
        </w:trPr>
        <w:tc>
          <w:tcPr>
            <w:tcW w:w="1408" w:type="dxa"/>
            <w:noWrap/>
            <w:hideMark/>
          </w:tcPr>
          <w:p w14:paraId="4D67A4F6"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01" w:type="dxa"/>
            <w:noWrap/>
            <w:hideMark/>
          </w:tcPr>
          <w:p w14:paraId="1C305147"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RANGOS DE EDAD</w:t>
            </w:r>
          </w:p>
        </w:tc>
        <w:tc>
          <w:tcPr>
            <w:tcW w:w="2123" w:type="dxa"/>
            <w:noWrap/>
            <w:hideMark/>
          </w:tcPr>
          <w:p w14:paraId="04AAD774"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No. DE EXÁMENES</w:t>
            </w:r>
          </w:p>
        </w:tc>
        <w:tc>
          <w:tcPr>
            <w:tcW w:w="1408" w:type="dxa"/>
            <w:noWrap/>
            <w:hideMark/>
          </w:tcPr>
          <w:p w14:paraId="29183BA2"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HOMBRE</w:t>
            </w:r>
          </w:p>
        </w:tc>
        <w:tc>
          <w:tcPr>
            <w:tcW w:w="1408" w:type="dxa"/>
            <w:noWrap/>
            <w:hideMark/>
          </w:tcPr>
          <w:p w14:paraId="21B47C1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MUJER</w:t>
            </w:r>
          </w:p>
        </w:tc>
      </w:tr>
      <w:tr w:rsidR="001475F4" w:rsidRPr="00C32CC7" w14:paraId="358C9C13" w14:textId="77777777" w:rsidTr="005D3168">
        <w:trPr>
          <w:trHeight w:val="319"/>
          <w:jc w:val="center"/>
        </w:trPr>
        <w:tc>
          <w:tcPr>
            <w:tcW w:w="1408" w:type="dxa"/>
            <w:shd w:val="clear" w:color="auto" w:fill="auto"/>
            <w:noWrap/>
            <w:hideMark/>
          </w:tcPr>
          <w:p w14:paraId="68ADAC7E"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r w:rsidRPr="00C32CC7">
              <w:rPr>
                <w:rFonts w:ascii="Arial" w:hAnsi="Arial" w:cs="Arial"/>
                <w:b/>
                <w:bCs/>
                <w:noProof/>
                <w:sz w:val="24"/>
                <w:szCs w:val="24"/>
                <w:lang w:val="es-ES_tradnl" w:eastAsia="es-CO"/>
              </w:rPr>
              <w:tab/>
            </w:r>
          </w:p>
        </w:tc>
        <w:tc>
          <w:tcPr>
            <w:tcW w:w="2101" w:type="dxa"/>
            <w:shd w:val="clear" w:color="auto" w:fill="auto"/>
            <w:noWrap/>
            <w:hideMark/>
          </w:tcPr>
          <w:p w14:paraId="69BF3CEE"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0 a 4</w:t>
            </w:r>
          </w:p>
        </w:tc>
        <w:tc>
          <w:tcPr>
            <w:tcW w:w="2123" w:type="dxa"/>
            <w:shd w:val="clear" w:color="auto" w:fill="auto"/>
            <w:noWrap/>
            <w:hideMark/>
          </w:tcPr>
          <w:p w14:paraId="68916A86"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2648</w:t>
            </w:r>
          </w:p>
        </w:tc>
        <w:tc>
          <w:tcPr>
            <w:tcW w:w="1408" w:type="dxa"/>
            <w:shd w:val="clear" w:color="auto" w:fill="auto"/>
            <w:noWrap/>
            <w:hideMark/>
          </w:tcPr>
          <w:p w14:paraId="2DB07E62"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ab/>
            </w:r>
            <w:r w:rsidRPr="00C32CC7">
              <w:rPr>
                <w:rFonts w:ascii="Arial" w:hAnsi="Arial" w:cs="Arial"/>
                <w:noProof/>
                <w:sz w:val="24"/>
                <w:szCs w:val="24"/>
                <w:lang w:val="es-ES_tradnl" w:eastAsia="es-CO"/>
              </w:rPr>
              <w:tab/>
              <w:t>599</w:t>
            </w:r>
          </w:p>
        </w:tc>
        <w:tc>
          <w:tcPr>
            <w:tcW w:w="1408" w:type="dxa"/>
            <w:shd w:val="clear" w:color="auto" w:fill="auto"/>
            <w:noWrap/>
            <w:hideMark/>
          </w:tcPr>
          <w:p w14:paraId="66ED381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2049</w:t>
            </w:r>
          </w:p>
        </w:tc>
      </w:tr>
      <w:tr w:rsidR="001475F4" w:rsidRPr="00C32CC7" w14:paraId="5F6498BE" w14:textId="77777777" w:rsidTr="005D3168">
        <w:trPr>
          <w:trHeight w:val="252"/>
          <w:jc w:val="center"/>
        </w:trPr>
        <w:tc>
          <w:tcPr>
            <w:tcW w:w="1408" w:type="dxa"/>
            <w:noWrap/>
            <w:hideMark/>
          </w:tcPr>
          <w:p w14:paraId="6E4C4BB5"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01" w:type="dxa"/>
            <w:noWrap/>
            <w:hideMark/>
          </w:tcPr>
          <w:p w14:paraId="0001518C"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5 a 9</w:t>
            </w:r>
          </w:p>
        </w:tc>
        <w:tc>
          <w:tcPr>
            <w:tcW w:w="2123" w:type="dxa"/>
            <w:noWrap/>
            <w:hideMark/>
          </w:tcPr>
          <w:p w14:paraId="4DA225D3"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5573</w:t>
            </w:r>
          </w:p>
        </w:tc>
        <w:tc>
          <w:tcPr>
            <w:tcW w:w="1408" w:type="dxa"/>
            <w:noWrap/>
            <w:hideMark/>
          </w:tcPr>
          <w:p w14:paraId="6091F1CF"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1211</w:t>
            </w:r>
          </w:p>
        </w:tc>
        <w:tc>
          <w:tcPr>
            <w:tcW w:w="1408" w:type="dxa"/>
            <w:noWrap/>
            <w:hideMark/>
          </w:tcPr>
          <w:p w14:paraId="59F677F3"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4362</w:t>
            </w:r>
          </w:p>
        </w:tc>
      </w:tr>
      <w:tr w:rsidR="001475F4" w:rsidRPr="00C32CC7" w14:paraId="043A8701" w14:textId="77777777" w:rsidTr="005D3168">
        <w:trPr>
          <w:trHeight w:val="252"/>
          <w:jc w:val="center"/>
        </w:trPr>
        <w:tc>
          <w:tcPr>
            <w:tcW w:w="1408" w:type="dxa"/>
            <w:shd w:val="clear" w:color="auto" w:fill="auto"/>
            <w:noWrap/>
            <w:hideMark/>
          </w:tcPr>
          <w:p w14:paraId="31448758"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r w:rsidRPr="00C32CC7">
              <w:rPr>
                <w:rFonts w:ascii="Arial" w:hAnsi="Arial" w:cs="Arial"/>
                <w:b/>
                <w:bCs/>
                <w:noProof/>
                <w:sz w:val="24"/>
                <w:szCs w:val="24"/>
                <w:lang w:val="es-ES_tradnl" w:eastAsia="es-CO"/>
              </w:rPr>
              <w:tab/>
            </w:r>
          </w:p>
        </w:tc>
        <w:tc>
          <w:tcPr>
            <w:tcW w:w="2101" w:type="dxa"/>
            <w:shd w:val="clear" w:color="auto" w:fill="auto"/>
            <w:noWrap/>
            <w:hideMark/>
          </w:tcPr>
          <w:p w14:paraId="2D08F809"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10 a 14</w:t>
            </w:r>
          </w:p>
        </w:tc>
        <w:tc>
          <w:tcPr>
            <w:tcW w:w="2123" w:type="dxa"/>
            <w:shd w:val="clear" w:color="auto" w:fill="auto"/>
            <w:noWrap/>
            <w:hideMark/>
          </w:tcPr>
          <w:p w14:paraId="4C204C88"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9746</w:t>
            </w:r>
          </w:p>
        </w:tc>
        <w:tc>
          <w:tcPr>
            <w:tcW w:w="1408" w:type="dxa"/>
            <w:shd w:val="clear" w:color="auto" w:fill="auto"/>
            <w:noWrap/>
            <w:hideMark/>
          </w:tcPr>
          <w:p w14:paraId="0E24E064"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1026</w:t>
            </w:r>
          </w:p>
        </w:tc>
        <w:tc>
          <w:tcPr>
            <w:tcW w:w="1408" w:type="dxa"/>
            <w:shd w:val="clear" w:color="auto" w:fill="auto"/>
            <w:noWrap/>
            <w:hideMark/>
          </w:tcPr>
          <w:p w14:paraId="37C10DC8"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8720</w:t>
            </w:r>
          </w:p>
        </w:tc>
      </w:tr>
      <w:tr w:rsidR="001475F4" w:rsidRPr="00C32CC7" w14:paraId="7AFFCE61" w14:textId="77777777" w:rsidTr="005D3168">
        <w:trPr>
          <w:trHeight w:val="273"/>
          <w:jc w:val="center"/>
        </w:trPr>
        <w:tc>
          <w:tcPr>
            <w:tcW w:w="1408" w:type="dxa"/>
            <w:noWrap/>
            <w:hideMark/>
          </w:tcPr>
          <w:p w14:paraId="5459E091"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 </w:t>
            </w:r>
          </w:p>
        </w:tc>
        <w:tc>
          <w:tcPr>
            <w:tcW w:w="2101" w:type="dxa"/>
            <w:noWrap/>
            <w:hideMark/>
          </w:tcPr>
          <w:p w14:paraId="17090527"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15 a 17</w:t>
            </w:r>
          </w:p>
        </w:tc>
        <w:tc>
          <w:tcPr>
            <w:tcW w:w="2123" w:type="dxa"/>
            <w:noWrap/>
            <w:hideMark/>
          </w:tcPr>
          <w:p w14:paraId="501760EA"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2696</w:t>
            </w:r>
          </w:p>
        </w:tc>
        <w:tc>
          <w:tcPr>
            <w:tcW w:w="1408" w:type="dxa"/>
            <w:noWrap/>
            <w:hideMark/>
          </w:tcPr>
          <w:p w14:paraId="2BEDD03E"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270</w:t>
            </w:r>
          </w:p>
        </w:tc>
        <w:tc>
          <w:tcPr>
            <w:tcW w:w="1408" w:type="dxa"/>
            <w:noWrap/>
            <w:hideMark/>
          </w:tcPr>
          <w:p w14:paraId="5D5AAF31"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2426</w:t>
            </w:r>
          </w:p>
        </w:tc>
      </w:tr>
      <w:tr w:rsidR="001475F4" w:rsidRPr="00C32CC7" w14:paraId="5852F036" w14:textId="77777777" w:rsidTr="005D3168">
        <w:trPr>
          <w:trHeight w:val="51"/>
          <w:jc w:val="center"/>
        </w:trPr>
        <w:tc>
          <w:tcPr>
            <w:tcW w:w="1408" w:type="dxa"/>
            <w:shd w:val="clear" w:color="auto" w:fill="auto"/>
            <w:noWrap/>
            <w:hideMark/>
          </w:tcPr>
          <w:p w14:paraId="429D4870" w14:textId="77777777" w:rsidR="001475F4" w:rsidRPr="00C32CC7" w:rsidRDefault="001475F4" w:rsidP="005D3168">
            <w:pPr>
              <w:spacing w:after="120" w:line="360" w:lineRule="auto"/>
              <w:jc w:val="both"/>
              <w:rPr>
                <w:rFonts w:ascii="Arial" w:hAnsi="Arial" w:cs="Arial"/>
                <w:b/>
                <w:bCs/>
                <w:noProof/>
                <w:sz w:val="24"/>
                <w:szCs w:val="24"/>
                <w:lang w:val="es-ES_tradnl" w:eastAsia="es-CO"/>
              </w:rPr>
            </w:pPr>
            <w:r w:rsidRPr="00C32CC7">
              <w:rPr>
                <w:rFonts w:ascii="Arial" w:hAnsi="Arial" w:cs="Arial"/>
                <w:b/>
                <w:bCs/>
                <w:noProof/>
                <w:sz w:val="24"/>
                <w:szCs w:val="24"/>
                <w:lang w:val="es-ES_tradnl" w:eastAsia="es-CO"/>
              </w:rPr>
              <w:t>TOTAL</w:t>
            </w:r>
          </w:p>
        </w:tc>
        <w:tc>
          <w:tcPr>
            <w:tcW w:w="2101" w:type="dxa"/>
            <w:shd w:val="clear" w:color="auto" w:fill="auto"/>
            <w:noWrap/>
            <w:hideMark/>
          </w:tcPr>
          <w:p w14:paraId="26F0CB6D"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 </w:t>
            </w:r>
            <w:r w:rsidRPr="00C32CC7">
              <w:rPr>
                <w:rFonts w:ascii="Arial" w:hAnsi="Arial" w:cs="Arial"/>
                <w:noProof/>
                <w:sz w:val="24"/>
                <w:szCs w:val="24"/>
                <w:lang w:val="es-ES_tradnl" w:eastAsia="es-CO"/>
              </w:rPr>
              <w:tab/>
            </w:r>
          </w:p>
        </w:tc>
        <w:tc>
          <w:tcPr>
            <w:tcW w:w="2123" w:type="dxa"/>
            <w:shd w:val="clear" w:color="auto" w:fill="auto"/>
            <w:noWrap/>
            <w:hideMark/>
          </w:tcPr>
          <w:p w14:paraId="7EB8ED29"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20663</w:t>
            </w:r>
          </w:p>
        </w:tc>
        <w:tc>
          <w:tcPr>
            <w:tcW w:w="1408" w:type="dxa"/>
            <w:shd w:val="clear" w:color="auto" w:fill="auto"/>
            <w:noWrap/>
            <w:hideMark/>
          </w:tcPr>
          <w:p w14:paraId="176F3290"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3106</w:t>
            </w:r>
          </w:p>
        </w:tc>
        <w:tc>
          <w:tcPr>
            <w:tcW w:w="1408" w:type="dxa"/>
            <w:shd w:val="clear" w:color="auto" w:fill="auto"/>
            <w:noWrap/>
            <w:hideMark/>
          </w:tcPr>
          <w:p w14:paraId="1FF36ABF" w14:textId="77777777" w:rsidR="001475F4" w:rsidRPr="00C32CC7" w:rsidRDefault="001475F4" w:rsidP="005D3168">
            <w:pPr>
              <w:spacing w:after="120" w:line="360" w:lineRule="auto"/>
              <w:jc w:val="both"/>
              <w:rPr>
                <w:rFonts w:ascii="Arial" w:hAnsi="Arial" w:cs="Arial"/>
                <w:noProof/>
                <w:sz w:val="24"/>
                <w:szCs w:val="24"/>
                <w:lang w:val="es-ES_tradnl" w:eastAsia="es-CO"/>
              </w:rPr>
            </w:pPr>
            <w:r w:rsidRPr="00C32CC7">
              <w:rPr>
                <w:rFonts w:ascii="Arial" w:hAnsi="Arial" w:cs="Arial"/>
                <w:noProof/>
                <w:sz w:val="24"/>
                <w:szCs w:val="24"/>
                <w:lang w:val="es-ES_tradnl" w:eastAsia="es-CO"/>
              </w:rPr>
              <w:t>17557</w:t>
            </w:r>
          </w:p>
        </w:tc>
      </w:tr>
    </w:tbl>
    <w:p w14:paraId="00D624C2" w14:textId="77777777" w:rsidR="001475F4" w:rsidRPr="001475F4" w:rsidRDefault="001475F4" w:rsidP="001475F4">
      <w:pPr>
        <w:pStyle w:val="Prrafodelista"/>
        <w:spacing w:after="120" w:line="360" w:lineRule="auto"/>
        <w:jc w:val="both"/>
        <w:rPr>
          <w:rFonts w:ascii="Arial" w:hAnsi="Arial" w:cs="Arial"/>
          <w:noProof/>
          <w:sz w:val="16"/>
          <w:szCs w:val="16"/>
          <w:lang w:val="es-ES" w:eastAsia="es-CO"/>
        </w:rPr>
      </w:pPr>
      <w:r w:rsidRPr="001475F4">
        <w:rPr>
          <w:rFonts w:ascii="Arial" w:hAnsi="Arial" w:cs="Arial"/>
          <w:i/>
          <w:noProof/>
          <w:sz w:val="16"/>
          <w:szCs w:val="16"/>
          <w:lang w:val="es-ES" w:eastAsia="es-CO"/>
        </w:rPr>
        <w:t xml:space="preserve">Nota: </w:t>
      </w:r>
      <w:r w:rsidRPr="001475F4">
        <w:rPr>
          <w:rFonts w:ascii="Arial" w:hAnsi="Arial" w:cs="Arial"/>
          <w:noProof/>
          <w:sz w:val="16"/>
          <w:szCs w:val="16"/>
          <w:lang w:val="es-ES" w:eastAsia="es-CO"/>
        </w:rPr>
        <w:t xml:space="preserve">Tomado de “Instituto Nacional de Medicina Legal y Ciencias Forenses”, Grupo Centro de Referencia Nacional sobre Violencia, Sistema de Información Clínica y Odontología Forense, Sistema de Información Nacional de Estadísticas Indirectas (FORENSIS) 2017. </w:t>
      </w:r>
    </w:p>
    <w:p w14:paraId="324CD17D" w14:textId="77777777" w:rsidR="001475F4" w:rsidRPr="001475F4" w:rsidRDefault="001475F4" w:rsidP="001475F4">
      <w:pPr>
        <w:pStyle w:val="Prrafodelista"/>
        <w:spacing w:after="120" w:line="360" w:lineRule="auto"/>
        <w:jc w:val="both"/>
        <w:rPr>
          <w:rFonts w:ascii="Arial" w:hAnsi="Arial" w:cs="Arial"/>
          <w:noProof/>
          <w:sz w:val="24"/>
          <w:szCs w:val="24"/>
          <w:lang w:val="es-ES" w:eastAsia="es-CO"/>
        </w:rPr>
      </w:pPr>
    </w:p>
    <w:p w14:paraId="480D65ED" w14:textId="77777777" w:rsidR="001475F4" w:rsidRPr="001475F4" w:rsidRDefault="001475F4" w:rsidP="001475F4">
      <w:pPr>
        <w:spacing w:after="120" w:line="360" w:lineRule="auto"/>
        <w:jc w:val="both"/>
        <w:rPr>
          <w:rFonts w:ascii="Arial" w:hAnsi="Arial" w:cs="Arial"/>
          <w:noProof/>
          <w:sz w:val="24"/>
          <w:szCs w:val="24"/>
          <w:lang w:val="es-ES" w:eastAsia="es-CO"/>
        </w:rPr>
      </w:pPr>
      <w:r w:rsidRPr="001475F4">
        <w:rPr>
          <w:rFonts w:ascii="Arial" w:hAnsi="Arial" w:cs="Arial"/>
          <w:noProof/>
          <w:sz w:val="24"/>
          <w:szCs w:val="24"/>
          <w:lang w:val="es-ES" w:eastAsia="es-CO"/>
        </w:rPr>
        <w:t xml:space="preserve">El año 2017 fue el de más exámenes médico legales reportados por presunta violencia sexual en niños, niñas y adolescentes en Colombia, pues, respecto al 2016 tuvo un aumento del 8%. Nuevamente el rango de edad entre 10 a 14 años fue el principal receptor de violencia sexual.  </w:t>
      </w:r>
    </w:p>
    <w:p w14:paraId="450C1F4F" w14:textId="77777777" w:rsidR="001475F4" w:rsidRPr="001475F4" w:rsidRDefault="001475F4" w:rsidP="001475F4">
      <w:pPr>
        <w:spacing w:after="120" w:line="360" w:lineRule="auto"/>
        <w:jc w:val="both"/>
        <w:rPr>
          <w:rFonts w:ascii="Arial" w:hAnsi="Arial" w:cs="Arial"/>
          <w:noProof/>
          <w:sz w:val="24"/>
          <w:szCs w:val="24"/>
          <w:lang w:val="es-ES" w:eastAsia="es-CO"/>
        </w:rPr>
      </w:pPr>
      <w:r w:rsidRPr="001475F4">
        <w:rPr>
          <w:rFonts w:ascii="Arial" w:hAnsi="Arial" w:cs="Arial"/>
          <w:noProof/>
          <w:sz w:val="24"/>
          <w:szCs w:val="24"/>
          <w:lang w:val="es-ES" w:eastAsia="es-CO"/>
        </w:rPr>
        <w:t>Ahora bien, así las cosas, en promedio los exámenes médicos legales realizados a menores de edad por ese Instituto, nos lleva a una afirmación compleja: “</w:t>
      </w:r>
      <w:r w:rsidRPr="001475F4">
        <w:rPr>
          <w:rFonts w:ascii="Arial" w:hAnsi="Arial" w:cs="Arial"/>
          <w:i/>
          <w:noProof/>
          <w:sz w:val="24"/>
          <w:szCs w:val="24"/>
          <w:lang w:val="es-ES" w:eastAsia="es-CO"/>
        </w:rPr>
        <w:t>Cada hora 2 niños o niñas son abusados sexualmente en Colombia</w:t>
      </w:r>
      <w:r w:rsidRPr="001475F4">
        <w:rPr>
          <w:rFonts w:ascii="Arial" w:hAnsi="Arial" w:cs="Arial"/>
          <w:noProof/>
          <w:sz w:val="24"/>
          <w:szCs w:val="24"/>
          <w:lang w:val="es-ES" w:eastAsia="es-CO"/>
        </w:rPr>
        <w:t>”, de esas víctimas el 84% corresponden al género femenino, lo cual sin duda configura una violencia basada en género, el género femenino.</w:t>
      </w:r>
    </w:p>
    <w:p w14:paraId="7D19F290" w14:textId="77777777" w:rsidR="001475F4" w:rsidRPr="001475F4" w:rsidRDefault="001475F4" w:rsidP="001475F4">
      <w:pPr>
        <w:spacing w:after="120" w:line="360" w:lineRule="auto"/>
        <w:jc w:val="both"/>
        <w:rPr>
          <w:rFonts w:ascii="Arial" w:hAnsi="Arial" w:cs="Arial"/>
          <w:noProof/>
          <w:sz w:val="24"/>
          <w:szCs w:val="24"/>
          <w:lang w:val="es-ES" w:eastAsia="es-CO"/>
        </w:rPr>
      </w:pPr>
      <w:r w:rsidRPr="001475F4">
        <w:rPr>
          <w:rFonts w:ascii="Arial" w:hAnsi="Arial" w:cs="Arial"/>
          <w:noProof/>
          <w:sz w:val="24"/>
          <w:szCs w:val="24"/>
          <w:lang w:val="es-ES" w:eastAsia="es-CO"/>
        </w:rPr>
        <w:t xml:space="preserve">Ese comportamiento lesivo de la integridad y formación sexual de niñas y adolescentes no resulta aislado ni mucho menos fruto de la coincidencia estadística sino que corresponde a variables sustanciales de cáracter histórico y socioculturales que tienen implicaciones multimidensionales en el desarrollo integral de la vida de las niñas y adolescentes y en últimas se constituye en una violación de derechos humanos en términos de equidad. </w:t>
      </w:r>
    </w:p>
    <w:p w14:paraId="677B687C" w14:textId="77777777" w:rsidR="001475F4" w:rsidRPr="001475F4" w:rsidRDefault="001475F4" w:rsidP="001475F4">
      <w:pPr>
        <w:spacing w:after="120" w:line="360" w:lineRule="auto"/>
        <w:jc w:val="both"/>
        <w:rPr>
          <w:rFonts w:ascii="Arial" w:hAnsi="Arial" w:cs="Arial"/>
          <w:noProof/>
          <w:sz w:val="24"/>
          <w:szCs w:val="24"/>
          <w:lang w:val="es-ES_tradnl" w:eastAsia="es-CO"/>
        </w:rPr>
      </w:pPr>
      <w:r w:rsidRPr="001475F4">
        <w:rPr>
          <w:rFonts w:ascii="Arial" w:hAnsi="Arial" w:cs="Arial"/>
          <w:noProof/>
          <w:sz w:val="24"/>
          <w:szCs w:val="24"/>
          <w:lang w:val="es-ES_tradnl" w:eastAsia="es-CO"/>
        </w:rPr>
        <w:t xml:space="preserve">Por otro lado, la protección a la integridad física en Colombia a los menores de edad, muestra un panorama igual de traumatico,  </w:t>
      </w:r>
      <w:r w:rsidRPr="001475F4">
        <w:rPr>
          <w:rFonts w:ascii="Arial" w:hAnsi="Arial" w:cs="Arial"/>
          <w:noProof/>
          <w:sz w:val="24"/>
          <w:szCs w:val="24"/>
          <w:lang w:eastAsia="es-CO"/>
        </w:rPr>
        <w:t>toda vez que de acuerdo a la ONG “Save The Children” “</w:t>
      </w:r>
      <w:r w:rsidRPr="001475F4">
        <w:rPr>
          <w:rFonts w:ascii="Arial" w:hAnsi="Arial" w:cs="Arial"/>
          <w:bCs/>
          <w:i/>
          <w:noProof/>
          <w:sz w:val="24"/>
          <w:szCs w:val="24"/>
          <w:lang w:eastAsia="es-CO"/>
        </w:rPr>
        <w:t>Colombia ocupa el puesto 118</w:t>
      </w:r>
      <w:r w:rsidRPr="001475F4">
        <w:rPr>
          <w:rFonts w:ascii="Arial" w:hAnsi="Arial" w:cs="Arial"/>
          <w:i/>
          <w:noProof/>
          <w:sz w:val="24"/>
          <w:szCs w:val="24"/>
          <w:lang w:eastAsia="es-CO"/>
        </w:rPr>
        <w:t> de 172 países entre los que menos respetan los derechos de la niñez, por debajo de países como Ruanda, La India, Estados Palestinos o Ghana</w:t>
      </w:r>
      <w:r w:rsidRPr="001475F4">
        <w:rPr>
          <w:rFonts w:ascii="Arial" w:hAnsi="Arial" w:cs="Arial"/>
          <w:noProof/>
          <w:sz w:val="24"/>
          <w:szCs w:val="24"/>
          <w:lang w:eastAsia="es-CO"/>
        </w:rPr>
        <w:t>”. Además, señala a Colombia como el 3° país del mundo donde más se asesinan</w:t>
      </w:r>
      <w:r w:rsidRPr="001475F4">
        <w:rPr>
          <w:rFonts w:ascii="Arial" w:hAnsi="Arial" w:cs="Arial"/>
          <w:noProof/>
          <w:sz w:val="24"/>
          <w:szCs w:val="24"/>
          <w:lang w:val="es-ES_tradnl" w:eastAsia="es-CO"/>
        </w:rPr>
        <w:t xml:space="preserve"> niños y niñas</w:t>
      </w:r>
      <w:r w:rsidRPr="006451A0">
        <w:rPr>
          <w:noProof/>
          <w:vertAlign w:val="superscript"/>
          <w:lang w:eastAsia="es-CO"/>
        </w:rPr>
        <w:footnoteReference w:id="1"/>
      </w:r>
      <w:r w:rsidRPr="001475F4">
        <w:rPr>
          <w:rFonts w:ascii="Arial" w:hAnsi="Arial" w:cs="Arial"/>
          <w:noProof/>
          <w:sz w:val="24"/>
          <w:szCs w:val="24"/>
          <w:lang w:eastAsia="es-CO"/>
        </w:rPr>
        <w:t>.</w:t>
      </w:r>
    </w:p>
    <w:p w14:paraId="046445BA" w14:textId="77777777" w:rsidR="001475F4" w:rsidRDefault="001475F4" w:rsidP="001475F4">
      <w:pPr>
        <w:pStyle w:val="NormalWeb"/>
        <w:spacing w:line="360" w:lineRule="auto"/>
        <w:jc w:val="both"/>
        <w:rPr>
          <w:rFonts w:ascii="Arial" w:hAnsi="Arial" w:cs="Arial"/>
          <w:noProof/>
          <w:lang w:eastAsia="es-CO"/>
        </w:rPr>
      </w:pPr>
      <w:r>
        <w:rPr>
          <w:rFonts w:ascii="Arial" w:hAnsi="Arial" w:cs="Arial"/>
          <w:color w:val="000000" w:themeColor="text1"/>
        </w:rPr>
        <w:t xml:space="preserve">De todo lo anterior se infiere que </w:t>
      </w:r>
      <w:r>
        <w:rPr>
          <w:rFonts w:ascii="Arial" w:hAnsi="Arial" w:cs="Arial"/>
          <w:noProof/>
          <w:lang w:eastAsia="es-CO"/>
        </w:rPr>
        <w:t>desde el punto de vista de la gestión pública, tenemos que la atención a una problemática como la violencia sexual a niños, niñas y adolescentes tan compleja no tiene la respuesta Estatal adecuada a la dimensión real de acuerdo a las cifras presentadas, evidenciando una debilidad en la capacidad Estatal para resolverla, entre otras cosas, esas políticas deben hacer foco en la protección al genero femenino como principal receptor de la violencia sexual.</w:t>
      </w:r>
    </w:p>
    <w:p w14:paraId="15D39A88" w14:textId="77777777" w:rsidR="001475F4" w:rsidRDefault="001475F4" w:rsidP="001475F4">
      <w:pPr>
        <w:pStyle w:val="NormalWeb"/>
        <w:spacing w:line="360" w:lineRule="auto"/>
        <w:jc w:val="both"/>
        <w:rPr>
          <w:rFonts w:ascii="Arial" w:hAnsi="Arial" w:cs="Arial"/>
          <w:noProof/>
          <w:lang w:eastAsia="es-CO"/>
        </w:rPr>
      </w:pPr>
      <w:r>
        <w:rPr>
          <w:rFonts w:ascii="Arial" w:hAnsi="Arial" w:cs="Arial"/>
          <w:noProof/>
          <w:lang w:eastAsia="es-CO"/>
        </w:rPr>
        <w:t>Por tanto, puesto que los Consejos de Política Social son de gran importancia en la medida que es presidido directamente por el Presidente de la República, el Gobenador y el Alcalde, se hace necesario modificarlo y fortalecerlo para una prospectiva y mejor gestión pública que pretenda enfrentar con mas herramientas esa problemática.</w:t>
      </w:r>
    </w:p>
    <w:p w14:paraId="71DC2274" w14:textId="77777777" w:rsidR="001475F4" w:rsidRDefault="001475F4" w:rsidP="001475F4">
      <w:pPr>
        <w:spacing w:after="120" w:line="360" w:lineRule="auto"/>
        <w:jc w:val="both"/>
        <w:rPr>
          <w:rFonts w:ascii="Arial" w:hAnsi="Arial" w:cs="Arial"/>
          <w:sz w:val="24"/>
          <w:szCs w:val="24"/>
        </w:rPr>
      </w:pPr>
      <w:r>
        <w:rPr>
          <w:rFonts w:ascii="Arial" w:hAnsi="Arial" w:cs="Arial"/>
          <w:sz w:val="24"/>
          <w:szCs w:val="24"/>
        </w:rPr>
        <w:t xml:space="preserve">Honorables Congresistas, en estos términos se presenta este proyecto de ley, con el fin de proteger a nuestros niños, niñas y adolescentes en su integridad física y sexual en Colombia. </w:t>
      </w:r>
    </w:p>
    <w:p w14:paraId="2522AE2F" w14:textId="77777777" w:rsidR="001475F4" w:rsidRDefault="001475F4" w:rsidP="001475F4">
      <w:pPr>
        <w:spacing w:after="120" w:line="360" w:lineRule="auto"/>
        <w:jc w:val="both"/>
        <w:rPr>
          <w:rFonts w:ascii="Arial" w:hAnsi="Arial" w:cs="Arial"/>
          <w:sz w:val="24"/>
          <w:szCs w:val="24"/>
        </w:rPr>
      </w:pPr>
    </w:p>
    <w:p w14:paraId="3E81063C" w14:textId="77777777" w:rsidR="001475F4" w:rsidRDefault="001475F4" w:rsidP="001475F4">
      <w:pPr>
        <w:spacing w:after="120" w:line="360" w:lineRule="auto"/>
        <w:jc w:val="both"/>
        <w:rPr>
          <w:rFonts w:ascii="Arial" w:hAnsi="Arial" w:cs="Arial"/>
          <w:sz w:val="24"/>
          <w:szCs w:val="24"/>
        </w:rPr>
      </w:pPr>
      <w:r w:rsidRPr="00B56F0B">
        <w:rPr>
          <w:rFonts w:ascii="Arial" w:hAnsi="Arial" w:cs="Arial"/>
          <w:sz w:val="24"/>
          <w:szCs w:val="24"/>
        </w:rPr>
        <w:t>Atentamente,</w:t>
      </w:r>
    </w:p>
    <w:p w14:paraId="76D8F85F" w14:textId="77777777" w:rsidR="001475F4" w:rsidRDefault="001475F4" w:rsidP="001475F4">
      <w:pPr>
        <w:spacing w:after="120" w:line="360" w:lineRule="auto"/>
        <w:jc w:val="both"/>
        <w:rPr>
          <w:rFonts w:ascii="Arial" w:hAnsi="Arial" w:cs="Arial"/>
          <w:sz w:val="24"/>
          <w:szCs w:val="24"/>
        </w:rPr>
      </w:pPr>
    </w:p>
    <w:p w14:paraId="7CBD46C6" w14:textId="77777777" w:rsidR="001475F4" w:rsidRDefault="001475F4" w:rsidP="001475F4">
      <w:pPr>
        <w:spacing w:after="120" w:line="360" w:lineRule="auto"/>
        <w:jc w:val="both"/>
        <w:rPr>
          <w:rFonts w:ascii="Arial" w:hAnsi="Arial" w:cs="Arial"/>
          <w:sz w:val="24"/>
          <w:szCs w:val="24"/>
        </w:rPr>
      </w:pPr>
    </w:p>
    <w:p w14:paraId="04511A49" w14:textId="77777777" w:rsidR="001475F4" w:rsidRPr="00B56F0B" w:rsidRDefault="001475F4" w:rsidP="001475F4">
      <w:pPr>
        <w:spacing w:after="0" w:line="240" w:lineRule="auto"/>
        <w:jc w:val="both"/>
        <w:rPr>
          <w:rFonts w:ascii="Arial" w:hAnsi="Arial" w:cs="Arial"/>
          <w:b/>
          <w:sz w:val="24"/>
          <w:szCs w:val="24"/>
        </w:rPr>
      </w:pPr>
      <w:r w:rsidRPr="00B56F0B">
        <w:rPr>
          <w:rFonts w:ascii="Arial" w:hAnsi="Arial" w:cs="Arial"/>
          <w:b/>
          <w:sz w:val="24"/>
          <w:szCs w:val="24"/>
        </w:rPr>
        <w:t>KARINA ROJANO PALACIO</w:t>
      </w:r>
    </w:p>
    <w:p w14:paraId="366A1BD7" w14:textId="77777777" w:rsidR="001475F4" w:rsidRPr="00B56F0B" w:rsidRDefault="001475F4" w:rsidP="001475F4">
      <w:pPr>
        <w:spacing w:after="0" w:line="240" w:lineRule="auto"/>
        <w:jc w:val="both"/>
        <w:rPr>
          <w:rFonts w:ascii="Arial" w:hAnsi="Arial" w:cs="Arial"/>
          <w:b/>
          <w:sz w:val="24"/>
          <w:szCs w:val="24"/>
        </w:rPr>
      </w:pPr>
      <w:r w:rsidRPr="00B56F0B">
        <w:rPr>
          <w:rFonts w:ascii="Arial" w:hAnsi="Arial" w:cs="Arial"/>
          <w:b/>
          <w:sz w:val="24"/>
          <w:szCs w:val="24"/>
        </w:rPr>
        <w:t>Representante a la Cámara</w:t>
      </w:r>
    </w:p>
    <w:p w14:paraId="1FBADF39" w14:textId="77777777" w:rsidR="001475F4" w:rsidRDefault="001475F4" w:rsidP="001475F4">
      <w:bookmarkStart w:id="2" w:name="_GoBack"/>
      <w:bookmarkEnd w:id="2"/>
    </w:p>
    <w:sectPr w:rsidR="001475F4" w:rsidSect="00E701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32BC" w14:textId="77777777" w:rsidR="007239F6" w:rsidRDefault="007239F6" w:rsidP="001475F4">
      <w:pPr>
        <w:spacing w:after="0" w:line="240" w:lineRule="auto"/>
      </w:pPr>
      <w:r>
        <w:separator/>
      </w:r>
    </w:p>
  </w:endnote>
  <w:endnote w:type="continuationSeparator" w:id="0">
    <w:p w14:paraId="285CA8CB" w14:textId="77777777" w:rsidR="007239F6" w:rsidRDefault="007239F6" w:rsidP="0014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645C0" w14:textId="77777777" w:rsidR="007239F6" w:rsidRDefault="007239F6" w:rsidP="001475F4">
      <w:pPr>
        <w:spacing w:after="0" w:line="240" w:lineRule="auto"/>
      </w:pPr>
      <w:r>
        <w:separator/>
      </w:r>
    </w:p>
  </w:footnote>
  <w:footnote w:type="continuationSeparator" w:id="0">
    <w:p w14:paraId="61B8F08D" w14:textId="77777777" w:rsidR="007239F6" w:rsidRDefault="007239F6" w:rsidP="001475F4">
      <w:pPr>
        <w:spacing w:after="0" w:line="240" w:lineRule="auto"/>
      </w:pPr>
      <w:r>
        <w:continuationSeparator/>
      </w:r>
    </w:p>
  </w:footnote>
  <w:footnote w:id="1">
    <w:p w14:paraId="22F8DE68" w14:textId="77777777" w:rsidR="001475F4" w:rsidRPr="00E15FCE" w:rsidRDefault="001475F4" w:rsidP="001475F4">
      <w:pPr>
        <w:pStyle w:val="Textonotapie"/>
      </w:pPr>
      <w:r>
        <w:rPr>
          <w:rStyle w:val="Refdenotaalpie"/>
        </w:rPr>
        <w:footnoteRef/>
      </w:r>
      <w:r>
        <w:t xml:space="preserve"> </w:t>
      </w:r>
      <w:r w:rsidRPr="00654BAA">
        <w:rPr>
          <w:rFonts w:ascii="Arial" w:hAnsi="Arial" w:cs="Arial"/>
          <w:sz w:val="16"/>
          <w:szCs w:val="16"/>
        </w:rPr>
        <w:t>ONG SAVE THE CHILDREN, Informe: En deuda con los niños, mayo de 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C3155"/>
    <w:multiLevelType w:val="hybridMultilevel"/>
    <w:tmpl w:val="125A84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F4"/>
    <w:rsid w:val="000652C8"/>
    <w:rsid w:val="001475F4"/>
    <w:rsid w:val="00291112"/>
    <w:rsid w:val="003451E9"/>
    <w:rsid w:val="003810F4"/>
    <w:rsid w:val="006B0F9E"/>
    <w:rsid w:val="007239F6"/>
    <w:rsid w:val="00843872"/>
    <w:rsid w:val="00B44325"/>
    <w:rsid w:val="00CA4B50"/>
    <w:rsid w:val="00E701A9"/>
    <w:rsid w:val="00F673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39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F4"/>
    <w:pPr>
      <w:spacing w:after="160" w:line="259" w:lineRule="auto"/>
    </w:pPr>
    <w:rPr>
      <w:rFonts w:ascii="Calibri" w:eastAsia="Calibri" w:hAnsi="Calibri" w:cs="Times New Roman"/>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75F4"/>
    <w:pPr>
      <w:spacing w:before="100" w:beforeAutospacing="1" w:after="100" w:afterAutospacing="1" w:line="240" w:lineRule="auto"/>
    </w:pPr>
    <w:rPr>
      <w:rFonts w:ascii="Times New Roman" w:hAnsi="Times New Roman"/>
      <w:sz w:val="24"/>
      <w:szCs w:val="24"/>
      <w:lang w:val="es-ES_tradnl" w:eastAsia="es-ES_tradnl"/>
    </w:rPr>
  </w:style>
  <w:style w:type="table" w:styleId="Tablaconcuadrcula">
    <w:name w:val="Table Grid"/>
    <w:basedOn w:val="Tablanormal"/>
    <w:uiPriority w:val="39"/>
    <w:rsid w:val="0014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75F4"/>
    <w:pPr>
      <w:ind w:left="720"/>
      <w:contextualSpacing/>
    </w:pPr>
  </w:style>
  <w:style w:type="paragraph" w:styleId="Textonotapie">
    <w:name w:val="footnote text"/>
    <w:basedOn w:val="Normal"/>
    <w:link w:val="TextonotapieCar"/>
    <w:uiPriority w:val="99"/>
    <w:unhideWhenUsed/>
    <w:rsid w:val="001475F4"/>
    <w:rPr>
      <w:sz w:val="20"/>
      <w:szCs w:val="20"/>
    </w:rPr>
  </w:style>
  <w:style w:type="character" w:customStyle="1" w:styleId="TextonotapieCar">
    <w:name w:val="Texto nota pie Car"/>
    <w:basedOn w:val="Fuentedeprrafopredeter"/>
    <w:link w:val="Textonotapie"/>
    <w:uiPriority w:val="99"/>
    <w:rsid w:val="001475F4"/>
    <w:rPr>
      <w:rFonts w:ascii="Calibri" w:eastAsia="Calibri" w:hAnsi="Calibri" w:cs="Times New Roman"/>
      <w:sz w:val="20"/>
      <w:szCs w:val="20"/>
      <w:lang w:val="es-CO"/>
    </w:rPr>
  </w:style>
  <w:style w:type="character" w:styleId="Refdenotaalpie">
    <w:name w:val="footnote reference"/>
    <w:uiPriority w:val="99"/>
    <w:unhideWhenUsed/>
    <w:rsid w:val="001475F4"/>
    <w:rPr>
      <w:vertAlign w:val="superscript"/>
    </w:rPr>
  </w:style>
  <w:style w:type="paragraph" w:styleId="Textodeglobo">
    <w:name w:val="Balloon Text"/>
    <w:basedOn w:val="Normal"/>
    <w:link w:val="TextodegloboCar"/>
    <w:uiPriority w:val="99"/>
    <w:semiHidden/>
    <w:unhideWhenUsed/>
    <w:rsid w:val="00F673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3FE"/>
    <w:rPr>
      <w:rFonts w:ascii="Segoe UI" w:eastAsia="Calibr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31530">
      <w:bodyDiv w:val="1"/>
      <w:marLeft w:val="0"/>
      <w:marRight w:val="0"/>
      <w:marTop w:val="0"/>
      <w:marBottom w:val="0"/>
      <w:divBdr>
        <w:top w:val="none" w:sz="0" w:space="0" w:color="auto"/>
        <w:left w:val="none" w:sz="0" w:space="0" w:color="auto"/>
        <w:bottom w:val="none" w:sz="0" w:space="0" w:color="auto"/>
        <w:right w:val="none" w:sz="0" w:space="0" w:color="auto"/>
      </w:divBdr>
    </w:div>
    <w:div w:id="1196578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1580</Words>
  <Characters>8692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Generico629B</cp:lastModifiedBy>
  <cp:revision>2</cp:revision>
  <cp:lastPrinted>2019-07-30T18:36:00Z</cp:lastPrinted>
  <dcterms:created xsi:type="dcterms:W3CDTF">2019-07-30T18:40:00Z</dcterms:created>
  <dcterms:modified xsi:type="dcterms:W3CDTF">2019-07-30T18:40:00Z</dcterms:modified>
</cp:coreProperties>
</file>