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E0" w:rsidRPr="00730CBC" w:rsidRDefault="007A7EE0" w:rsidP="007A7EE0">
      <w:pPr>
        <w:jc w:val="both"/>
        <w:rPr>
          <w:rFonts w:ascii="Century Gothic" w:eastAsia="Times New Roman" w:hAnsi="Century Gothic" w:cs="Arial"/>
          <w:color w:val="000000" w:themeColor="text1"/>
          <w:lang w:val="es-ES" w:eastAsia="es-ES"/>
        </w:rPr>
      </w:pPr>
      <w:r w:rsidRPr="00394572">
        <w:rPr>
          <w:rFonts w:ascii="Century Gothic" w:eastAsia="Times New Roman" w:hAnsi="Century Gothic" w:cs="Arial"/>
          <w:color w:val="000000" w:themeColor="text1"/>
          <w:lang w:val="es-ES" w:eastAsia="es-ES"/>
        </w:rPr>
        <w:t>Bogotá, 23 d</w:t>
      </w:r>
      <w:r w:rsidRPr="00730CBC">
        <w:rPr>
          <w:rFonts w:ascii="Century Gothic" w:eastAsia="Times New Roman" w:hAnsi="Century Gothic" w:cs="Arial"/>
          <w:color w:val="000000" w:themeColor="text1"/>
          <w:lang w:val="es-ES" w:eastAsia="es-ES"/>
        </w:rPr>
        <w:t>e julio de 2019</w:t>
      </w: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aps/>
          <w:color w:val="000000" w:themeColor="text1"/>
          <w:lang w:val="es-ES" w:eastAsia="es-ES"/>
        </w:rPr>
      </w:pPr>
      <w:r w:rsidRPr="00730CBC">
        <w:rPr>
          <w:rFonts w:ascii="Century Gothic" w:eastAsia="Times New Roman" w:hAnsi="Century Gothic" w:cs="Arial"/>
          <w:color w:val="000000" w:themeColor="text1"/>
          <w:lang w:val="es-ES" w:eastAsia="es-ES"/>
        </w:rPr>
        <w:t>Doctor</w:t>
      </w:r>
    </w:p>
    <w:p w:rsidR="007A7EE0" w:rsidRPr="00730CBC" w:rsidRDefault="007A7EE0" w:rsidP="007A7EE0">
      <w:pPr>
        <w:jc w:val="both"/>
        <w:rPr>
          <w:rFonts w:ascii="Century Gothic" w:eastAsia="Times New Roman" w:hAnsi="Century Gothic" w:cs="Arial"/>
          <w:b/>
          <w:caps/>
          <w:color w:val="000000" w:themeColor="text1"/>
          <w:lang w:val="es-ES" w:eastAsia="es-ES"/>
        </w:rPr>
      </w:pPr>
      <w:r w:rsidRPr="00730CBC">
        <w:rPr>
          <w:rFonts w:ascii="Century Gothic" w:eastAsia="Times New Roman" w:hAnsi="Century Gothic" w:cs="Arial"/>
          <w:b/>
          <w:caps/>
          <w:color w:val="000000" w:themeColor="text1"/>
          <w:lang w:val="es-ES" w:eastAsia="es-ES"/>
        </w:rPr>
        <w:t>jorge humberto mantilla</w:t>
      </w:r>
    </w:p>
    <w:p w:rsidR="007A7EE0" w:rsidRPr="00730CBC" w:rsidRDefault="007A7EE0" w:rsidP="007A7EE0">
      <w:pPr>
        <w:jc w:val="both"/>
        <w:rPr>
          <w:rFonts w:ascii="Century Gothic" w:eastAsia="Times New Roman" w:hAnsi="Century Gothic" w:cs="Arial"/>
          <w:caps/>
          <w:color w:val="000000" w:themeColor="text1"/>
          <w:lang w:val="es-ES" w:eastAsia="es-ES"/>
        </w:rPr>
      </w:pPr>
      <w:r w:rsidRPr="00730CBC">
        <w:rPr>
          <w:rFonts w:ascii="Century Gothic" w:eastAsia="Times New Roman" w:hAnsi="Century Gothic" w:cs="Arial"/>
          <w:color w:val="000000" w:themeColor="text1"/>
          <w:lang w:val="es-ES" w:eastAsia="es-ES"/>
        </w:rPr>
        <w:t>Secretario General</w:t>
      </w:r>
    </w:p>
    <w:p w:rsidR="007A7EE0" w:rsidRPr="00730CBC" w:rsidRDefault="007A7EE0" w:rsidP="007A7EE0">
      <w:pPr>
        <w:jc w:val="both"/>
        <w:rPr>
          <w:rFonts w:ascii="Century Gothic" w:eastAsia="Times New Roman" w:hAnsi="Century Gothic" w:cs="Arial"/>
          <w:color w:val="000000" w:themeColor="text1"/>
          <w:lang w:val="es-ES" w:eastAsia="es-ES"/>
        </w:rPr>
      </w:pPr>
      <w:r w:rsidRPr="00730CBC">
        <w:rPr>
          <w:rFonts w:ascii="Century Gothic" w:eastAsia="Times New Roman" w:hAnsi="Century Gothic" w:cs="Arial"/>
          <w:color w:val="000000" w:themeColor="text1"/>
          <w:lang w:val="es-ES" w:eastAsia="es-ES"/>
        </w:rPr>
        <w:t xml:space="preserve">Honorable Cámara De Representantes </w:t>
      </w:r>
    </w:p>
    <w:p w:rsidR="007A7EE0" w:rsidRPr="00730CBC" w:rsidRDefault="007A7EE0" w:rsidP="007A7EE0">
      <w:pPr>
        <w:jc w:val="both"/>
        <w:rPr>
          <w:rFonts w:ascii="Century Gothic" w:eastAsia="Times New Roman" w:hAnsi="Century Gothic" w:cs="Arial"/>
          <w:caps/>
          <w:color w:val="000000" w:themeColor="text1"/>
          <w:lang w:val="es-ES" w:eastAsia="es-ES"/>
        </w:rPr>
      </w:pPr>
      <w:r w:rsidRPr="00730CBC">
        <w:rPr>
          <w:rFonts w:ascii="Century Gothic" w:eastAsia="Times New Roman" w:hAnsi="Century Gothic" w:cs="Arial"/>
          <w:color w:val="000000" w:themeColor="text1"/>
          <w:lang w:val="es-ES" w:eastAsia="es-ES"/>
        </w:rPr>
        <w:t xml:space="preserve">Congreso de la República </w:t>
      </w:r>
    </w:p>
    <w:p w:rsidR="007A7EE0" w:rsidRPr="00730CBC" w:rsidRDefault="007A7EE0" w:rsidP="007A7EE0">
      <w:pPr>
        <w:jc w:val="both"/>
        <w:rPr>
          <w:rFonts w:ascii="Century Gothic" w:eastAsia="Times New Roman" w:hAnsi="Century Gothic" w:cs="Arial"/>
          <w:caps/>
          <w:color w:val="000000" w:themeColor="text1"/>
          <w:lang w:val="es-ES" w:eastAsia="es-ES"/>
        </w:rPr>
      </w:pPr>
      <w:r w:rsidRPr="00730CBC">
        <w:rPr>
          <w:rFonts w:ascii="Century Gothic" w:eastAsia="Times New Roman" w:hAnsi="Century Gothic" w:cs="Arial"/>
          <w:color w:val="000000" w:themeColor="text1"/>
          <w:lang w:val="es-ES" w:eastAsia="es-ES"/>
        </w:rPr>
        <w:t>Ciudad</w:t>
      </w:r>
    </w:p>
    <w:p w:rsidR="007A7EE0" w:rsidRPr="00730CBC" w:rsidRDefault="007A7EE0" w:rsidP="007A7EE0">
      <w:pPr>
        <w:jc w:val="both"/>
        <w:rPr>
          <w:rFonts w:ascii="Century Gothic" w:eastAsia="Times New Roman" w:hAnsi="Century Gothic" w:cs="Arial"/>
          <w:caps/>
          <w:color w:val="000000" w:themeColor="text1"/>
          <w:lang w:val="es-ES" w:eastAsia="es-ES"/>
        </w:rPr>
      </w:pPr>
    </w:p>
    <w:p w:rsidR="007A7EE0" w:rsidRPr="00730CBC" w:rsidRDefault="007A7EE0" w:rsidP="007A7EE0">
      <w:pPr>
        <w:jc w:val="both"/>
        <w:rPr>
          <w:rFonts w:ascii="Century Gothic" w:eastAsia="Times New Roman" w:hAnsi="Century Gothic" w:cs="Arial"/>
          <w:caps/>
          <w:color w:val="000000" w:themeColor="text1"/>
          <w:lang w:val="es-ES" w:eastAsia="es-ES"/>
        </w:rPr>
      </w:pPr>
    </w:p>
    <w:p w:rsidR="00BF0E9E" w:rsidRPr="00730CBC" w:rsidRDefault="007A7EE0" w:rsidP="00BF0E9E">
      <w:pPr>
        <w:pStyle w:val="Prrafodelista"/>
        <w:tabs>
          <w:tab w:val="left" w:pos="720"/>
        </w:tabs>
        <w:jc w:val="both"/>
        <w:rPr>
          <w:rFonts w:ascii="Century Gothic" w:hAnsi="Century Gothic"/>
          <w:bCs/>
        </w:rPr>
      </w:pPr>
      <w:r w:rsidRPr="00730CBC">
        <w:rPr>
          <w:rFonts w:ascii="Century Gothic" w:hAnsi="Century Gothic" w:cs="Arial"/>
          <w:b/>
          <w:color w:val="000000" w:themeColor="text1"/>
          <w:lang w:val="es-ES" w:eastAsia="es-ES"/>
        </w:rPr>
        <w:t>Asunto:</w:t>
      </w:r>
      <w:r w:rsidRPr="00730CBC">
        <w:rPr>
          <w:rFonts w:ascii="Century Gothic" w:hAnsi="Century Gothic" w:cs="Arial"/>
          <w:color w:val="000000" w:themeColor="text1"/>
          <w:lang w:val="es-ES" w:eastAsia="es-ES"/>
        </w:rPr>
        <w:t xml:space="preserve"> Radicación de   Proyecto de </w:t>
      </w:r>
      <w:r w:rsidR="00197386">
        <w:rPr>
          <w:rFonts w:ascii="Century Gothic" w:hAnsi="Century Gothic" w:cs="Arial"/>
          <w:color w:val="000000" w:themeColor="text1"/>
          <w:lang w:val="es-ES" w:eastAsia="es-ES"/>
        </w:rPr>
        <w:t>Ley</w:t>
      </w:r>
      <w:r w:rsidRPr="00730CBC">
        <w:rPr>
          <w:rFonts w:ascii="Century Gothic" w:hAnsi="Century Gothic" w:cs="Arial"/>
          <w:color w:val="000000" w:themeColor="text1"/>
          <w:lang w:val="es-ES" w:eastAsia="es-ES"/>
        </w:rPr>
        <w:t xml:space="preserve"> </w:t>
      </w:r>
      <w:r w:rsidRPr="00730CBC">
        <w:rPr>
          <w:rFonts w:ascii="Century Gothic" w:hAnsi="Century Gothic" w:cs="Arial"/>
          <w:b/>
          <w:color w:val="000000" w:themeColor="text1"/>
          <w:lang w:val="es-ES" w:eastAsia="es-ES"/>
        </w:rPr>
        <w:t>“</w:t>
      </w:r>
      <w:r w:rsidR="00B70925" w:rsidRPr="00873D1C">
        <w:rPr>
          <w:rFonts w:ascii="Century Gothic" w:hAnsi="Century Gothic" w:cs="Arial"/>
        </w:rPr>
        <w:t>Por medio del cual</w:t>
      </w:r>
      <w:r w:rsidR="00B70925">
        <w:rPr>
          <w:rFonts w:ascii="Century Gothic" w:hAnsi="Century Gothic" w:cs="Arial"/>
        </w:rPr>
        <w:t xml:space="preserve"> se estimula el acceso a estudios en el exterior</w:t>
      </w:r>
      <w:r w:rsidR="00F41A38">
        <w:rPr>
          <w:rFonts w:ascii="Century Gothic" w:hAnsi="Century Gothic"/>
          <w:bCs/>
        </w:rPr>
        <w:t>”</w:t>
      </w:r>
    </w:p>
    <w:p w:rsidR="007A7EE0" w:rsidRPr="00730CBC" w:rsidRDefault="007A7EE0" w:rsidP="007A7EE0">
      <w:pPr>
        <w:jc w:val="both"/>
        <w:rPr>
          <w:rFonts w:ascii="Century Gothic" w:eastAsia="Times New Roman" w:hAnsi="Century Gothic" w:cs="Arial"/>
          <w:b/>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r w:rsidRPr="00730CBC">
        <w:rPr>
          <w:rFonts w:ascii="Century Gothic" w:eastAsia="Times New Roman" w:hAnsi="Century Gothic" w:cs="Arial"/>
          <w:color w:val="000000" w:themeColor="text1"/>
          <w:lang w:val="es-ES" w:eastAsia="es-ES"/>
        </w:rPr>
        <w:t>Señor Secretario,</w:t>
      </w: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BF0E9E">
      <w:pPr>
        <w:tabs>
          <w:tab w:val="left" w:pos="720"/>
        </w:tabs>
        <w:jc w:val="both"/>
        <w:rPr>
          <w:rFonts w:ascii="Century Gothic" w:hAnsi="Century Gothic"/>
          <w:bCs/>
        </w:rPr>
      </w:pPr>
      <w:r w:rsidRPr="00F41A38">
        <w:rPr>
          <w:rFonts w:ascii="Century Gothic" w:hAnsi="Century Gothic" w:cs="Arial"/>
          <w:color w:val="000000" w:themeColor="text1"/>
          <w:lang w:val="es-ES" w:eastAsia="es-ES"/>
        </w:rPr>
        <w:t xml:space="preserve">De conformidad con el artículo 139 de la Ley 5 de 1992, presento ante su despacho Proyecto de </w:t>
      </w:r>
      <w:r w:rsidR="00197386">
        <w:rPr>
          <w:rFonts w:ascii="Century Gothic" w:hAnsi="Century Gothic" w:cs="Arial"/>
          <w:color w:val="000000" w:themeColor="text1"/>
          <w:lang w:val="es-ES" w:eastAsia="es-ES"/>
        </w:rPr>
        <w:t>Ley</w:t>
      </w:r>
      <w:r w:rsidR="00197386" w:rsidRPr="00730CBC">
        <w:rPr>
          <w:rFonts w:ascii="Century Gothic" w:hAnsi="Century Gothic" w:cs="Arial"/>
          <w:color w:val="000000" w:themeColor="text1"/>
          <w:lang w:val="es-ES" w:eastAsia="es-ES"/>
        </w:rPr>
        <w:t xml:space="preserve"> </w:t>
      </w:r>
      <w:bookmarkStart w:id="0" w:name="_GoBack"/>
      <w:bookmarkEnd w:id="0"/>
      <w:r w:rsidR="00F41A38" w:rsidRPr="00F41A38">
        <w:rPr>
          <w:rFonts w:ascii="Century Gothic" w:hAnsi="Century Gothic" w:cs="Arial"/>
          <w:b/>
          <w:color w:val="000000" w:themeColor="text1"/>
          <w:lang w:val="es-ES" w:eastAsia="es-ES"/>
        </w:rPr>
        <w:t>“</w:t>
      </w:r>
      <w:r w:rsidR="00B70925" w:rsidRPr="00873D1C">
        <w:rPr>
          <w:rFonts w:ascii="Century Gothic" w:hAnsi="Century Gothic" w:cs="Arial"/>
        </w:rPr>
        <w:t>Por medio del cual</w:t>
      </w:r>
      <w:r w:rsidR="00B70925">
        <w:rPr>
          <w:rFonts w:ascii="Century Gothic" w:hAnsi="Century Gothic" w:cs="Arial"/>
        </w:rPr>
        <w:t xml:space="preserve"> se estimula el acceso a estudios en el exterior</w:t>
      </w:r>
      <w:r w:rsidR="00F41A38" w:rsidRPr="00F41A38">
        <w:rPr>
          <w:rFonts w:ascii="Century Gothic" w:hAnsi="Century Gothic"/>
          <w:bCs/>
        </w:rPr>
        <w:t>”</w:t>
      </w:r>
      <w:r w:rsidR="00F41A38">
        <w:rPr>
          <w:rFonts w:ascii="Century Gothic" w:hAnsi="Century Gothic"/>
          <w:bCs/>
        </w:rPr>
        <w:t xml:space="preserve"> </w:t>
      </w:r>
      <w:r w:rsidRPr="00730CBC">
        <w:rPr>
          <w:rFonts w:ascii="Century Gothic" w:hAnsi="Century Gothic" w:cs="Arial"/>
          <w:color w:val="000000" w:themeColor="text1"/>
          <w:lang w:val="es-ES" w:eastAsia="es-ES"/>
        </w:rPr>
        <w:t xml:space="preserve">para el trámite establecido en la Ley 5. </w:t>
      </w: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r w:rsidRPr="00730CBC">
        <w:rPr>
          <w:rFonts w:ascii="Century Gothic" w:eastAsia="Times New Roman" w:hAnsi="Century Gothic" w:cs="Arial"/>
          <w:color w:val="000000" w:themeColor="text1"/>
          <w:lang w:val="es-ES" w:eastAsia="es-ES"/>
        </w:rPr>
        <w:t xml:space="preserve">Cordialmente, </w:t>
      </w: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color w:val="000000" w:themeColor="text1"/>
          <w:lang w:val="es-ES" w:eastAsia="es-ES"/>
        </w:rPr>
      </w:pPr>
    </w:p>
    <w:p w:rsidR="007A7EE0" w:rsidRPr="00730CBC" w:rsidRDefault="007A7EE0" w:rsidP="007A7EE0">
      <w:pPr>
        <w:jc w:val="both"/>
        <w:rPr>
          <w:rFonts w:ascii="Century Gothic" w:eastAsia="Times New Roman" w:hAnsi="Century Gothic" w:cs="Arial"/>
          <w:b/>
          <w:color w:val="000000" w:themeColor="text1"/>
          <w:lang w:val="es-ES" w:eastAsia="es-ES"/>
        </w:rPr>
      </w:pPr>
      <w:r w:rsidRPr="00730CBC">
        <w:rPr>
          <w:rFonts w:ascii="Century Gothic" w:eastAsia="Times New Roman" w:hAnsi="Century Gothic" w:cs="Arial"/>
          <w:b/>
          <w:color w:val="000000" w:themeColor="text1"/>
          <w:lang w:val="es-ES" w:eastAsia="es-ES"/>
        </w:rPr>
        <w:t xml:space="preserve">DAVID RACERO MAYORCA </w:t>
      </w:r>
    </w:p>
    <w:p w:rsidR="007A7EE0" w:rsidRPr="00730CBC" w:rsidRDefault="007A7EE0" w:rsidP="00557DD7">
      <w:pPr>
        <w:jc w:val="both"/>
        <w:rPr>
          <w:rFonts w:ascii="Century Gothic" w:eastAsia="Times New Roman" w:hAnsi="Century Gothic" w:cs="Arial"/>
          <w:color w:val="000000" w:themeColor="text1"/>
          <w:lang w:val="es-ES" w:eastAsia="es-ES"/>
        </w:rPr>
      </w:pPr>
      <w:r w:rsidRPr="00730CBC">
        <w:rPr>
          <w:rFonts w:ascii="Century Gothic" w:eastAsia="Times New Roman" w:hAnsi="Century Gothic" w:cs="Arial"/>
          <w:color w:val="000000" w:themeColor="text1"/>
          <w:lang w:val="es-ES" w:eastAsia="es-ES"/>
        </w:rPr>
        <w:t>Representante a la Cámara por Bogotá</w:t>
      </w:r>
    </w:p>
    <w:p w:rsidR="00BF0E9E" w:rsidRPr="00730CBC" w:rsidRDefault="00BF0E9E" w:rsidP="00557DD7">
      <w:pPr>
        <w:jc w:val="both"/>
        <w:rPr>
          <w:rFonts w:ascii="Century Gothic" w:eastAsia="Times New Roman" w:hAnsi="Century Gothic" w:cs="Arial"/>
          <w:color w:val="000000" w:themeColor="text1"/>
          <w:lang w:val="es-ES" w:eastAsia="es-ES"/>
        </w:rPr>
      </w:pPr>
    </w:p>
    <w:p w:rsidR="00D87EA9" w:rsidRDefault="00D87EA9" w:rsidP="00557DD7">
      <w:pPr>
        <w:jc w:val="both"/>
        <w:rPr>
          <w:rFonts w:ascii="Century Gothic" w:eastAsia="Times New Roman" w:hAnsi="Century Gothic" w:cs="Arial"/>
          <w:color w:val="000000" w:themeColor="text1"/>
          <w:lang w:val="es-ES" w:eastAsia="es-ES"/>
        </w:rPr>
      </w:pPr>
    </w:p>
    <w:p w:rsidR="00F41A38" w:rsidRDefault="00F41A38" w:rsidP="00557DD7">
      <w:pPr>
        <w:jc w:val="both"/>
        <w:rPr>
          <w:rFonts w:ascii="Century Gothic" w:eastAsia="Times New Roman" w:hAnsi="Century Gothic" w:cs="Arial"/>
          <w:color w:val="000000" w:themeColor="text1"/>
          <w:lang w:val="es-ES" w:eastAsia="es-ES"/>
        </w:rPr>
      </w:pPr>
    </w:p>
    <w:p w:rsidR="00F41A38" w:rsidRDefault="00F41A38" w:rsidP="00557DD7">
      <w:pPr>
        <w:jc w:val="both"/>
        <w:rPr>
          <w:rFonts w:ascii="Century Gothic" w:eastAsia="Times New Roman" w:hAnsi="Century Gothic" w:cs="Arial"/>
          <w:color w:val="000000" w:themeColor="text1"/>
          <w:lang w:val="es-ES" w:eastAsia="es-ES"/>
        </w:rPr>
      </w:pPr>
    </w:p>
    <w:p w:rsidR="00F41A38" w:rsidRPr="00730CBC" w:rsidRDefault="00F41A38" w:rsidP="00557DD7">
      <w:pPr>
        <w:jc w:val="both"/>
        <w:rPr>
          <w:rFonts w:ascii="Century Gothic" w:eastAsia="Times New Roman" w:hAnsi="Century Gothic" w:cs="Arial"/>
          <w:color w:val="000000" w:themeColor="text1"/>
          <w:lang w:val="es-ES" w:eastAsia="es-ES"/>
        </w:rPr>
      </w:pPr>
    </w:p>
    <w:p w:rsidR="006453CD" w:rsidRPr="003016C5" w:rsidRDefault="006453CD" w:rsidP="006453CD">
      <w:pPr>
        <w:spacing w:line="276" w:lineRule="auto"/>
        <w:jc w:val="center"/>
        <w:rPr>
          <w:rFonts w:ascii="Century Gothic" w:hAnsi="Century Gothic" w:cs="Arial"/>
          <w:b/>
        </w:rPr>
      </w:pPr>
      <w:r w:rsidRPr="003016C5">
        <w:rPr>
          <w:rFonts w:ascii="Century Gothic" w:hAnsi="Century Gothic" w:cs="Arial"/>
          <w:b/>
        </w:rPr>
        <w:lastRenderedPageBreak/>
        <w:t>Exposición de motivos</w:t>
      </w:r>
    </w:p>
    <w:p w:rsidR="006453CD" w:rsidRDefault="006453CD" w:rsidP="006453CD">
      <w:pPr>
        <w:spacing w:line="276" w:lineRule="auto"/>
        <w:jc w:val="both"/>
        <w:rPr>
          <w:rFonts w:ascii="Century Gothic" w:hAnsi="Century Gothic" w:cs="Arial"/>
        </w:rPr>
      </w:pPr>
    </w:p>
    <w:p w:rsidR="006453CD" w:rsidRDefault="006453CD" w:rsidP="006453CD">
      <w:pPr>
        <w:spacing w:line="276" w:lineRule="auto"/>
        <w:jc w:val="both"/>
        <w:rPr>
          <w:rFonts w:ascii="Century Gothic" w:hAnsi="Century Gothic" w:cs="Arial"/>
        </w:rPr>
      </w:pPr>
      <w:r>
        <w:rPr>
          <w:rFonts w:ascii="Century Gothic" w:hAnsi="Century Gothic" w:cs="Arial"/>
        </w:rPr>
        <w:t>Diversos</w:t>
      </w:r>
      <w:r w:rsidRPr="00140203">
        <w:rPr>
          <w:rFonts w:ascii="Century Gothic" w:hAnsi="Century Gothic" w:cs="Arial"/>
        </w:rPr>
        <w:t xml:space="preserve"> economistas e investigadores han profundizado en analizar y detallar </w:t>
      </w:r>
      <w:r>
        <w:rPr>
          <w:rFonts w:ascii="Century Gothic" w:hAnsi="Century Gothic" w:cs="Arial"/>
        </w:rPr>
        <w:t>en los impactos de la</w:t>
      </w:r>
      <w:r w:rsidRPr="00140203">
        <w:rPr>
          <w:rFonts w:ascii="Century Gothic" w:hAnsi="Century Gothic" w:cs="Arial"/>
        </w:rPr>
        <w:t xml:space="preserve"> educación </w:t>
      </w:r>
      <w:r>
        <w:rPr>
          <w:rFonts w:ascii="Century Gothic" w:hAnsi="Century Gothic" w:cs="Arial"/>
        </w:rPr>
        <w:t xml:space="preserve">sobre </w:t>
      </w:r>
      <w:r w:rsidRPr="00140203">
        <w:rPr>
          <w:rFonts w:ascii="Century Gothic" w:hAnsi="Century Gothic" w:cs="Arial"/>
        </w:rPr>
        <w:t xml:space="preserve">crecimiento económico, la productividad laboral y la disminución de la desigualdad. </w:t>
      </w:r>
    </w:p>
    <w:p w:rsidR="006453CD" w:rsidRDefault="006453CD" w:rsidP="006453CD">
      <w:pPr>
        <w:spacing w:line="276" w:lineRule="auto"/>
        <w:jc w:val="both"/>
        <w:rPr>
          <w:rFonts w:ascii="Century Gothic" w:hAnsi="Century Gothic" w:cs="Arial"/>
        </w:rPr>
      </w:pPr>
    </w:p>
    <w:p w:rsidR="006453CD" w:rsidRDefault="006453CD" w:rsidP="006453CD">
      <w:pPr>
        <w:spacing w:line="276" w:lineRule="auto"/>
        <w:jc w:val="both"/>
        <w:rPr>
          <w:rFonts w:ascii="Century Gothic" w:hAnsi="Century Gothic" w:cs="Arial"/>
        </w:rPr>
      </w:pPr>
    </w:p>
    <w:p w:rsidR="006453CD" w:rsidRDefault="006453CD" w:rsidP="006453CD">
      <w:pPr>
        <w:spacing w:line="276" w:lineRule="auto"/>
        <w:jc w:val="both"/>
        <w:rPr>
          <w:rFonts w:ascii="Century Gothic" w:hAnsi="Century Gothic" w:cs="Arial"/>
          <w:b/>
        </w:rPr>
      </w:pPr>
      <w:r>
        <w:rPr>
          <w:rFonts w:ascii="Century Gothic" w:hAnsi="Century Gothic" w:cs="Arial"/>
          <w:b/>
        </w:rPr>
        <w:t>Educación, productividad y economía</w:t>
      </w:r>
    </w:p>
    <w:p w:rsidR="006453CD" w:rsidRPr="00661FEA" w:rsidRDefault="006453CD" w:rsidP="006453CD">
      <w:pPr>
        <w:spacing w:line="276" w:lineRule="auto"/>
        <w:jc w:val="both"/>
        <w:rPr>
          <w:rFonts w:ascii="Century Gothic" w:hAnsi="Century Gothic" w:cs="Arial"/>
          <w:b/>
        </w:rPr>
      </w:pPr>
    </w:p>
    <w:p w:rsidR="006453CD" w:rsidRDefault="006453CD" w:rsidP="006453CD">
      <w:pPr>
        <w:spacing w:line="276" w:lineRule="auto"/>
        <w:jc w:val="both"/>
        <w:rPr>
          <w:rFonts w:ascii="Century Gothic" w:hAnsi="Century Gothic" w:cs="Arial"/>
        </w:rPr>
      </w:pPr>
      <w:proofErr w:type="spellStart"/>
      <w:r w:rsidRPr="00140203">
        <w:rPr>
          <w:rFonts w:ascii="Century Gothic" w:hAnsi="Century Gothic" w:cs="Arial"/>
        </w:rPr>
        <w:t>Schultz</w:t>
      </w:r>
      <w:proofErr w:type="spellEnd"/>
      <w:r w:rsidRPr="00140203">
        <w:rPr>
          <w:rStyle w:val="Refdenotaalpie"/>
          <w:rFonts w:ascii="Century Gothic" w:hAnsi="Century Gothic" w:cs="Arial"/>
        </w:rPr>
        <w:footnoteReference w:id="1"/>
      </w:r>
      <w:r w:rsidRPr="00140203">
        <w:rPr>
          <w:rFonts w:ascii="Century Gothic" w:hAnsi="Century Gothic" w:cs="Arial"/>
        </w:rPr>
        <w:t xml:space="preserve"> (1961) identificó que una porción residual del crecimiento económico </w:t>
      </w:r>
      <w:r>
        <w:rPr>
          <w:rFonts w:ascii="Century Gothic" w:hAnsi="Century Gothic" w:cs="Arial"/>
        </w:rPr>
        <w:t xml:space="preserve">se explicaba por la cualificación de los trabajadores quienes no solo tenían aumentos en su salario sino que además </w:t>
      </w:r>
      <w:r w:rsidRPr="00140203">
        <w:rPr>
          <w:rFonts w:ascii="Century Gothic" w:hAnsi="Century Gothic" w:cs="Arial"/>
        </w:rPr>
        <w:t xml:space="preserve"> </w:t>
      </w:r>
      <w:r>
        <w:rPr>
          <w:rFonts w:ascii="Century Gothic" w:hAnsi="Century Gothic" w:cs="Arial"/>
        </w:rPr>
        <w:t xml:space="preserve">estimulaban el ingreso nacional. </w:t>
      </w:r>
      <w:r w:rsidRPr="00140203">
        <w:rPr>
          <w:rFonts w:ascii="Century Gothic" w:hAnsi="Century Gothic" w:cs="Arial"/>
        </w:rPr>
        <w:t xml:space="preserve"> En esta línea, </w:t>
      </w:r>
      <w:proofErr w:type="spellStart"/>
      <w:r w:rsidRPr="00140203">
        <w:rPr>
          <w:rFonts w:ascii="Century Gothic" w:hAnsi="Century Gothic" w:cs="Arial"/>
        </w:rPr>
        <w:t>Romer</w:t>
      </w:r>
      <w:proofErr w:type="spellEnd"/>
      <w:r w:rsidRPr="00140203">
        <w:rPr>
          <w:rStyle w:val="Refdenotaalpie"/>
          <w:rFonts w:ascii="Century Gothic" w:hAnsi="Century Gothic" w:cs="Arial"/>
        </w:rPr>
        <w:footnoteReference w:id="2"/>
      </w:r>
      <w:r w:rsidRPr="00140203">
        <w:rPr>
          <w:rFonts w:ascii="Century Gothic" w:hAnsi="Century Gothic" w:cs="Arial"/>
        </w:rPr>
        <w:t xml:space="preserve"> (1990) encontró una relación positiva entre el acervo de </w:t>
      </w:r>
      <w:r>
        <w:rPr>
          <w:rFonts w:ascii="Century Gothic" w:hAnsi="Century Gothic" w:cs="Arial"/>
        </w:rPr>
        <w:t>“</w:t>
      </w:r>
      <w:r w:rsidRPr="00140203">
        <w:rPr>
          <w:rFonts w:ascii="Century Gothic" w:hAnsi="Century Gothic" w:cs="Arial"/>
        </w:rPr>
        <w:t>capital humano</w:t>
      </w:r>
      <w:r>
        <w:rPr>
          <w:rFonts w:ascii="Century Gothic" w:hAnsi="Century Gothic" w:cs="Arial"/>
        </w:rPr>
        <w:t>”</w:t>
      </w:r>
      <w:r w:rsidRPr="00140203">
        <w:rPr>
          <w:rFonts w:ascii="Century Gothic" w:hAnsi="Century Gothic" w:cs="Arial"/>
        </w:rPr>
        <w:t xml:space="preserve"> de un p</w:t>
      </w:r>
      <w:r>
        <w:rPr>
          <w:rFonts w:ascii="Century Gothic" w:hAnsi="Century Gothic" w:cs="Arial"/>
        </w:rPr>
        <w:t xml:space="preserve">aís y el crecimiento económico. </w:t>
      </w:r>
    </w:p>
    <w:p w:rsidR="006453CD" w:rsidRDefault="006453CD" w:rsidP="006453CD">
      <w:pPr>
        <w:spacing w:line="276" w:lineRule="auto"/>
        <w:jc w:val="both"/>
        <w:rPr>
          <w:rFonts w:ascii="Century Gothic" w:hAnsi="Century Gothic" w:cs="Arial"/>
        </w:rPr>
      </w:pPr>
    </w:p>
    <w:p w:rsidR="006453CD" w:rsidRDefault="006453CD" w:rsidP="006453CD">
      <w:pPr>
        <w:spacing w:line="276" w:lineRule="auto"/>
        <w:jc w:val="both"/>
        <w:rPr>
          <w:rFonts w:ascii="Century Gothic" w:hAnsi="Century Gothic" w:cs="Arial"/>
        </w:rPr>
      </w:pPr>
      <w:r>
        <w:rPr>
          <w:rFonts w:ascii="Century Gothic" w:hAnsi="Century Gothic" w:cs="Arial"/>
        </w:rPr>
        <w:t>Por su parte</w:t>
      </w:r>
      <w:r w:rsidRPr="00140203">
        <w:rPr>
          <w:rFonts w:ascii="Century Gothic" w:hAnsi="Century Gothic" w:cs="Arial"/>
        </w:rPr>
        <w:t xml:space="preserve"> entidades como el Banco Mundial (2018) han </w:t>
      </w:r>
      <w:r>
        <w:rPr>
          <w:rFonts w:ascii="Century Gothic" w:hAnsi="Century Gothic" w:cs="Arial"/>
        </w:rPr>
        <w:t>afirmado que:</w:t>
      </w:r>
    </w:p>
    <w:p w:rsidR="006453CD" w:rsidRPr="00140203" w:rsidRDefault="006453CD" w:rsidP="006453CD">
      <w:pPr>
        <w:spacing w:line="276" w:lineRule="auto"/>
        <w:jc w:val="both"/>
        <w:rPr>
          <w:rFonts w:ascii="Century Gothic" w:hAnsi="Century Gothic" w:cs="Arial"/>
        </w:rPr>
      </w:pPr>
    </w:p>
    <w:p w:rsidR="006453CD" w:rsidRPr="00140203" w:rsidRDefault="006453CD" w:rsidP="006453CD">
      <w:pPr>
        <w:spacing w:line="276" w:lineRule="auto"/>
        <w:ind w:left="708"/>
        <w:jc w:val="both"/>
        <w:rPr>
          <w:rFonts w:ascii="Century Gothic" w:hAnsi="Century Gothic" w:cs="Arial"/>
        </w:rPr>
      </w:pPr>
      <w:r w:rsidRPr="00140203">
        <w:rPr>
          <w:rFonts w:ascii="Century Gothic" w:hAnsi="Century Gothic" w:cs="Arial"/>
        </w:rPr>
        <w:t>La educación genera rendimientos elevados y constantes en términos de ingreso y constituye el factor más importante para garantizar la igualdad de oportunidades. En el caso de las personas, promueve el empleo, los ingresos, la salud y la reducción de la pobreza. A nivel mundial, </w:t>
      </w:r>
      <w:hyperlink r:id="rId8" w:history="1">
        <w:r w:rsidRPr="00140203">
          <w:rPr>
            <w:rFonts w:ascii="Century Gothic" w:hAnsi="Century Gothic" w:cs="Arial"/>
          </w:rPr>
          <w:t>los ingresos por hora aumentan un 9 % por cada año adicional de escolarización</w:t>
        </w:r>
      </w:hyperlink>
      <w:r w:rsidRPr="00140203">
        <w:rPr>
          <w:rFonts w:ascii="Century Gothic" w:hAnsi="Century Gothic" w:cs="Arial"/>
        </w:rPr>
        <w:t>. (i) En el caso de las sociedades, contribuye al desarrollo económico a largo plazo, promueve la innovación, fortalece las instituciones y fomenta la cohesión social. En efecto, realizar inversiones inteligentes y eficaces en las personas resulta imprescindible para desarrollar el </w:t>
      </w:r>
      <w:hyperlink r:id="rId9" w:history="1">
        <w:r w:rsidRPr="00140203">
          <w:rPr>
            <w:rFonts w:ascii="Century Gothic" w:hAnsi="Century Gothic" w:cs="Arial"/>
          </w:rPr>
          <w:t>capital humano</w:t>
        </w:r>
      </w:hyperlink>
      <w:r w:rsidRPr="00140203">
        <w:rPr>
          <w:rFonts w:ascii="Century Gothic" w:hAnsi="Century Gothic" w:cs="Arial"/>
        </w:rPr>
        <w:t> con el que se pondrá fin a la pobreza extrema.</w:t>
      </w:r>
    </w:p>
    <w:p w:rsidR="006453CD" w:rsidRDefault="006453CD" w:rsidP="006453CD">
      <w:pPr>
        <w:spacing w:line="276" w:lineRule="auto"/>
        <w:jc w:val="both"/>
        <w:rPr>
          <w:rFonts w:ascii="Century Gothic" w:hAnsi="Century Gothic" w:cs="Arial"/>
        </w:rPr>
      </w:pPr>
      <w:r>
        <w:rPr>
          <w:rFonts w:ascii="Century Gothic" w:hAnsi="Century Gothic" w:cs="Arial"/>
        </w:rPr>
        <w:lastRenderedPageBreak/>
        <w:t xml:space="preserve">Por su parte </w:t>
      </w:r>
      <w:r>
        <w:rPr>
          <w:rFonts w:ascii="Century Gothic" w:hAnsi="Century Gothic" w:cs="Arial"/>
          <w:noProof/>
        </w:rPr>
        <w:t>Solow</w:t>
      </w:r>
      <w:r w:rsidRPr="003016C5">
        <w:rPr>
          <w:rFonts w:ascii="Century Gothic" w:hAnsi="Century Gothic" w:cs="Arial"/>
          <w:noProof/>
        </w:rPr>
        <w:t xml:space="preserve"> </w:t>
      </w:r>
      <w:r>
        <w:rPr>
          <w:rFonts w:ascii="Century Gothic" w:hAnsi="Century Gothic" w:cs="Arial"/>
          <w:noProof/>
        </w:rPr>
        <w:t>(</w:t>
      </w:r>
      <w:r w:rsidRPr="003016C5">
        <w:rPr>
          <w:rFonts w:ascii="Century Gothic" w:hAnsi="Century Gothic" w:cs="Arial"/>
          <w:noProof/>
        </w:rPr>
        <w:t>1956)</w:t>
      </w:r>
      <w:r>
        <w:rPr>
          <w:rFonts w:ascii="Century Gothic" w:hAnsi="Century Gothic" w:cs="Arial"/>
        </w:rPr>
        <w:t xml:space="preserve"> demostró que no era solamente el trabajo y el capital quienes hacían crecer la economía, según este autor el incremento del ingreso nacional se explicaba principalmente por la intensificación de la plusvalía relativa, es decir, por aumentos en productividad. Siguiendo a </w:t>
      </w:r>
      <w:r>
        <w:rPr>
          <w:rFonts w:ascii="Century Gothic" w:hAnsi="Century Gothic" w:cs="Arial"/>
          <w:noProof/>
        </w:rPr>
        <w:t>Smith</w:t>
      </w:r>
      <w:r w:rsidRPr="001164E0">
        <w:rPr>
          <w:rFonts w:ascii="Century Gothic" w:hAnsi="Century Gothic" w:cs="Arial"/>
          <w:noProof/>
        </w:rPr>
        <w:t xml:space="preserve"> </w:t>
      </w:r>
      <w:r>
        <w:rPr>
          <w:rFonts w:ascii="Century Gothic" w:hAnsi="Century Gothic" w:cs="Arial"/>
          <w:noProof/>
        </w:rPr>
        <w:t>(</w:t>
      </w:r>
      <w:r w:rsidRPr="001164E0">
        <w:rPr>
          <w:rFonts w:ascii="Century Gothic" w:hAnsi="Century Gothic" w:cs="Arial"/>
          <w:noProof/>
        </w:rPr>
        <w:t>1958)</w:t>
      </w:r>
      <w:r>
        <w:rPr>
          <w:rFonts w:ascii="Century Gothic" w:hAnsi="Century Gothic" w:cs="Arial"/>
        </w:rPr>
        <w:t xml:space="preserve">, estos incrementos de productividad se explicaban por la división y especialización del trabajo que permitían innovación y eficiencia en los factores de producción. </w:t>
      </w:r>
    </w:p>
    <w:p w:rsidR="006453CD" w:rsidRDefault="006453CD" w:rsidP="006453CD">
      <w:pPr>
        <w:spacing w:line="276" w:lineRule="auto"/>
        <w:jc w:val="both"/>
        <w:rPr>
          <w:rFonts w:ascii="Century Gothic" w:hAnsi="Century Gothic" w:cs="Arial"/>
        </w:rPr>
      </w:pPr>
    </w:p>
    <w:p w:rsidR="006453CD" w:rsidRDefault="006453CD" w:rsidP="006453CD">
      <w:pPr>
        <w:spacing w:line="276" w:lineRule="auto"/>
        <w:jc w:val="both"/>
        <w:rPr>
          <w:rFonts w:ascii="Century Gothic" w:hAnsi="Century Gothic" w:cs="Arial"/>
        </w:rPr>
      </w:pPr>
      <w:r>
        <w:rPr>
          <w:rFonts w:ascii="Century Gothic" w:hAnsi="Century Gothic" w:cs="Arial"/>
        </w:rPr>
        <w:t xml:space="preserve">Este descubrimiento sobre la productividad está muy relacionado con el trabajo calificado y la innovación. Esto se explica porque la educación permite crear una sociedad de conocimiento en la que el humano, a través </w:t>
      </w:r>
      <w:r w:rsidR="0098089B">
        <w:rPr>
          <w:rFonts w:ascii="Century Gothic" w:hAnsi="Century Gothic" w:cs="Arial"/>
        </w:rPr>
        <w:t>de la constante reflexión, pueda</w:t>
      </w:r>
      <w:r>
        <w:rPr>
          <w:rFonts w:ascii="Century Gothic" w:hAnsi="Century Gothic" w:cs="Arial"/>
        </w:rPr>
        <w:t xml:space="preserve"> hacer mejoras en los procesos productivos, es decir, la educación incentiva la innovación, la productividad y por tanto el crecimiento económico. </w:t>
      </w:r>
    </w:p>
    <w:p w:rsidR="006453CD" w:rsidRDefault="006453CD" w:rsidP="006453CD">
      <w:pPr>
        <w:spacing w:line="276" w:lineRule="auto"/>
        <w:jc w:val="both"/>
        <w:rPr>
          <w:rFonts w:ascii="Century Gothic" w:hAnsi="Century Gothic" w:cs="Arial"/>
        </w:rPr>
      </w:pPr>
    </w:p>
    <w:p w:rsidR="006453CD" w:rsidRDefault="006453CD" w:rsidP="006453CD">
      <w:pPr>
        <w:spacing w:line="276" w:lineRule="auto"/>
        <w:jc w:val="both"/>
        <w:rPr>
          <w:rFonts w:ascii="Century Gothic" w:hAnsi="Century Gothic" w:cs="Arial"/>
        </w:rPr>
      </w:pPr>
      <w:r>
        <w:rPr>
          <w:rFonts w:ascii="Century Gothic" w:hAnsi="Century Gothic" w:cs="Arial"/>
        </w:rPr>
        <w:t xml:space="preserve">Pero la educación no solo tiene efectos positivos en la economía a través de la estimulación de generación de ingresos, </w:t>
      </w:r>
      <w:proofErr w:type="spellStart"/>
      <w:r>
        <w:rPr>
          <w:rFonts w:ascii="Century Gothic" w:hAnsi="Century Gothic" w:cs="Arial"/>
        </w:rPr>
        <w:t>Piketty</w:t>
      </w:r>
      <w:proofErr w:type="spellEnd"/>
      <w:r>
        <w:rPr>
          <w:rFonts w:ascii="Century Gothic" w:hAnsi="Century Gothic" w:cs="Arial"/>
        </w:rPr>
        <w:t xml:space="preserve"> (2014) encontró que la inversión pública en educación es una fuerza convergente que reduce la desigualdad. Es decir, la inversión pública en educación permite crear una sociedad de avanzada en la que se redistribuyan los ingresos. </w:t>
      </w:r>
    </w:p>
    <w:p w:rsidR="006453CD" w:rsidRDefault="006453CD" w:rsidP="006453CD">
      <w:pPr>
        <w:spacing w:line="276" w:lineRule="auto"/>
        <w:jc w:val="both"/>
        <w:rPr>
          <w:rFonts w:ascii="Century Gothic" w:hAnsi="Century Gothic" w:cs="Arial"/>
        </w:rPr>
      </w:pPr>
    </w:p>
    <w:p w:rsidR="006453CD" w:rsidRDefault="006453CD" w:rsidP="006453CD">
      <w:pPr>
        <w:spacing w:line="276" w:lineRule="auto"/>
        <w:jc w:val="both"/>
        <w:rPr>
          <w:rFonts w:ascii="Century Gothic" w:hAnsi="Century Gothic" w:cs="Arial"/>
          <w:b/>
        </w:rPr>
      </w:pPr>
      <w:r>
        <w:rPr>
          <w:rFonts w:ascii="Century Gothic" w:hAnsi="Century Gothic" w:cs="Arial"/>
          <w:b/>
        </w:rPr>
        <w:t>Situación de la educación en Colombia</w:t>
      </w:r>
    </w:p>
    <w:p w:rsidR="0098089B" w:rsidRPr="003A60E9" w:rsidRDefault="0098089B" w:rsidP="006453CD">
      <w:pPr>
        <w:spacing w:line="276" w:lineRule="auto"/>
        <w:jc w:val="both"/>
        <w:rPr>
          <w:rFonts w:ascii="Century Gothic" w:hAnsi="Century Gothic" w:cs="Arial"/>
          <w:b/>
        </w:rPr>
      </w:pPr>
    </w:p>
    <w:p w:rsidR="006453CD" w:rsidRDefault="006453CD" w:rsidP="00D323B2">
      <w:pPr>
        <w:spacing w:line="23" w:lineRule="atLeast"/>
        <w:jc w:val="both"/>
        <w:rPr>
          <w:rFonts w:ascii="Century Gothic" w:hAnsi="Century Gothic"/>
        </w:rPr>
      </w:pPr>
      <w:r>
        <w:rPr>
          <w:rFonts w:ascii="Century Gothic" w:hAnsi="Century Gothic" w:cs="Arial"/>
        </w:rPr>
        <w:t xml:space="preserve">Se han presentado avances importantes en materia de cobertura educativa, especialmente en educación superior. Para el año 2013 la tasa de cobertura en educación superior era de 37% mientras que para 2017 era de 52,8% </w:t>
      </w:r>
      <w:sdt>
        <w:sdtPr>
          <w:rPr>
            <w:rFonts w:ascii="Century Gothic" w:hAnsi="Century Gothic" w:cs="Arial"/>
          </w:rPr>
          <w:id w:val="-1735153113"/>
          <w:citation/>
        </w:sdtPr>
        <w:sdtEndPr/>
        <w:sdtContent>
          <w:r>
            <w:rPr>
              <w:rFonts w:ascii="Century Gothic" w:hAnsi="Century Gothic" w:cs="Arial"/>
            </w:rPr>
            <w:fldChar w:fldCharType="begin"/>
          </w:r>
          <w:r>
            <w:rPr>
              <w:rFonts w:ascii="Century Gothic" w:hAnsi="Century Gothic" w:cs="Arial"/>
            </w:rPr>
            <w:instrText xml:space="preserve">CITATION MarcadorDePosición1 \l 9226 </w:instrText>
          </w:r>
          <w:r>
            <w:rPr>
              <w:rFonts w:ascii="Century Gothic" w:hAnsi="Century Gothic" w:cs="Arial"/>
            </w:rPr>
            <w:fldChar w:fldCharType="separate"/>
          </w:r>
          <w:r w:rsidRPr="006453CD">
            <w:rPr>
              <w:rFonts w:ascii="Century Gothic" w:hAnsi="Century Gothic" w:cs="Arial"/>
              <w:noProof/>
            </w:rPr>
            <w:t>(Ministerio de Educación Nacional, 2018)</w:t>
          </w:r>
          <w:r>
            <w:rPr>
              <w:rFonts w:ascii="Century Gothic" w:hAnsi="Century Gothic" w:cs="Arial"/>
            </w:rPr>
            <w:fldChar w:fldCharType="end"/>
          </w:r>
        </w:sdtContent>
      </w:sdt>
      <w:r>
        <w:rPr>
          <w:rFonts w:ascii="Century Gothic" w:hAnsi="Century Gothic" w:cs="Arial"/>
        </w:rPr>
        <w:t xml:space="preserve">. Como consecuencia de esta situación, existen cada vez más colombianos que quieren hacer algún estudio de posgrado, muchos de ellos fuera del país. </w:t>
      </w:r>
      <w:r>
        <w:rPr>
          <w:rFonts w:ascii="Century Gothic" w:hAnsi="Century Gothic"/>
        </w:rPr>
        <w:t xml:space="preserve">Según el </w:t>
      </w:r>
      <w:r w:rsidRPr="00971F86">
        <w:rPr>
          <w:rFonts w:ascii="Century Gothic" w:hAnsi="Century Gothic"/>
          <w:noProof/>
        </w:rPr>
        <w:t>(Minis</w:t>
      </w:r>
      <w:r>
        <w:rPr>
          <w:rFonts w:ascii="Century Gothic" w:hAnsi="Century Gothic"/>
          <w:noProof/>
        </w:rPr>
        <w:t>terio de Relaciones Exteriores (</w:t>
      </w:r>
      <w:r w:rsidRPr="00971F86">
        <w:rPr>
          <w:rFonts w:ascii="Century Gothic" w:hAnsi="Century Gothic"/>
          <w:noProof/>
        </w:rPr>
        <w:t>2019)</w:t>
      </w:r>
      <w:r>
        <w:rPr>
          <w:rFonts w:ascii="Century Gothic" w:hAnsi="Century Gothic"/>
        </w:rPr>
        <w:t xml:space="preserve"> para el año 2009 27.553 colombianos mayores de 18 años salieron del país por razones educativas. Por el mismo motivo en el año 2018 emigraron 76.084 colombianos, representando así un aumento del 76,1% en el número de personas que se fueron a estudiar a otro país en tan solo 9 años. </w:t>
      </w:r>
    </w:p>
    <w:p w:rsidR="006453CD" w:rsidRPr="00140203" w:rsidRDefault="006453CD" w:rsidP="00D323B2">
      <w:pPr>
        <w:spacing w:line="23" w:lineRule="atLeast"/>
        <w:jc w:val="both"/>
        <w:rPr>
          <w:rFonts w:ascii="Century Gothic" w:hAnsi="Century Gothic" w:cs="Arial"/>
        </w:rPr>
      </w:pPr>
    </w:p>
    <w:p w:rsidR="006453CD" w:rsidRDefault="006453CD" w:rsidP="00D323B2">
      <w:pPr>
        <w:spacing w:line="23" w:lineRule="atLeast"/>
        <w:jc w:val="both"/>
        <w:rPr>
          <w:rFonts w:ascii="Century Gothic" w:hAnsi="Century Gothic"/>
        </w:rPr>
      </w:pPr>
      <w:r>
        <w:rPr>
          <w:rFonts w:ascii="Century Gothic" w:hAnsi="Century Gothic"/>
        </w:rPr>
        <w:lastRenderedPageBreak/>
        <w:t xml:space="preserve">En materia de educación superior, para 2018, se presentaron 5.427 convalidaciones de títulos de posgrados en el exterior como se observa en el cuadro 1. </w:t>
      </w:r>
    </w:p>
    <w:p w:rsidR="00F43F02" w:rsidRDefault="00F43F02" w:rsidP="00D323B2">
      <w:pPr>
        <w:spacing w:line="23" w:lineRule="atLeast"/>
        <w:jc w:val="both"/>
        <w:rPr>
          <w:rFonts w:ascii="Century Gothic" w:hAnsi="Century Gothic"/>
        </w:rPr>
      </w:pPr>
    </w:p>
    <w:p w:rsidR="00F43F02" w:rsidRDefault="00F43F02" w:rsidP="00D323B2">
      <w:pPr>
        <w:spacing w:line="23" w:lineRule="atLeast"/>
        <w:jc w:val="both"/>
        <w:rPr>
          <w:rFonts w:ascii="Century Gothic" w:hAnsi="Century Gothic"/>
        </w:rPr>
      </w:pPr>
    </w:p>
    <w:p w:rsidR="006453CD" w:rsidRPr="004F7DC9" w:rsidRDefault="006453CD" w:rsidP="00D323B2">
      <w:pPr>
        <w:spacing w:line="23" w:lineRule="atLeast"/>
        <w:jc w:val="both"/>
        <w:rPr>
          <w:rFonts w:ascii="Century Gothic" w:hAnsi="Century Gothic"/>
          <w:i/>
        </w:rPr>
      </w:pPr>
      <w:r>
        <w:rPr>
          <w:rFonts w:ascii="Century Gothic" w:hAnsi="Century Gothic"/>
          <w:i/>
        </w:rPr>
        <w:t>Cuadro 1. Número de solicitudes de convalidación de títulos de ciudadanos colombianos radicados en el exterior. Año 2014-2018</w:t>
      </w:r>
    </w:p>
    <w:tbl>
      <w:tblPr>
        <w:tblStyle w:val="Tablaconcuadrcula"/>
        <w:tblW w:w="0" w:type="auto"/>
        <w:jc w:val="center"/>
        <w:tblLook w:val="04A0" w:firstRow="1" w:lastRow="0" w:firstColumn="1" w:lastColumn="0" w:noHBand="0" w:noVBand="1"/>
      </w:tblPr>
      <w:tblGrid>
        <w:gridCol w:w="1994"/>
        <w:gridCol w:w="1134"/>
        <w:gridCol w:w="1134"/>
        <w:gridCol w:w="1134"/>
        <w:gridCol w:w="1134"/>
        <w:gridCol w:w="1134"/>
      </w:tblGrid>
      <w:tr w:rsidR="006453CD" w:rsidTr="00C53057">
        <w:trPr>
          <w:jc w:val="center"/>
        </w:trPr>
        <w:tc>
          <w:tcPr>
            <w:tcW w:w="1994" w:type="dxa"/>
          </w:tcPr>
          <w:p w:rsidR="006453CD" w:rsidRDefault="006453CD" w:rsidP="00D323B2">
            <w:pPr>
              <w:spacing w:line="23" w:lineRule="atLeast"/>
              <w:jc w:val="center"/>
              <w:rPr>
                <w:rFonts w:ascii="Century Gothic" w:hAnsi="Century Gothic"/>
              </w:rPr>
            </w:pPr>
            <w:r>
              <w:rPr>
                <w:rFonts w:ascii="Century Gothic" w:hAnsi="Century Gothic"/>
              </w:rPr>
              <w:t>Nivel educativo</w:t>
            </w:r>
          </w:p>
        </w:tc>
        <w:tc>
          <w:tcPr>
            <w:tcW w:w="1134" w:type="dxa"/>
          </w:tcPr>
          <w:p w:rsidR="006453CD" w:rsidRPr="004F7DC9" w:rsidRDefault="006453CD" w:rsidP="00D323B2">
            <w:pPr>
              <w:spacing w:line="23" w:lineRule="atLeast"/>
              <w:jc w:val="center"/>
              <w:rPr>
                <w:rFonts w:ascii="Century Gothic" w:hAnsi="Century Gothic"/>
              </w:rPr>
            </w:pPr>
            <w:r>
              <w:rPr>
                <w:rFonts w:ascii="Century Gothic" w:hAnsi="Century Gothic"/>
              </w:rPr>
              <w:t>2014</w:t>
            </w:r>
          </w:p>
        </w:tc>
        <w:tc>
          <w:tcPr>
            <w:tcW w:w="1134" w:type="dxa"/>
          </w:tcPr>
          <w:p w:rsidR="006453CD" w:rsidRPr="004F7DC9" w:rsidRDefault="006453CD" w:rsidP="00D323B2">
            <w:pPr>
              <w:spacing w:line="23" w:lineRule="atLeast"/>
              <w:jc w:val="center"/>
              <w:rPr>
                <w:rFonts w:ascii="Century Gothic" w:hAnsi="Century Gothic"/>
              </w:rPr>
            </w:pPr>
            <w:r>
              <w:rPr>
                <w:rFonts w:ascii="Century Gothic" w:hAnsi="Century Gothic"/>
              </w:rPr>
              <w:t>2015</w:t>
            </w:r>
          </w:p>
        </w:tc>
        <w:tc>
          <w:tcPr>
            <w:tcW w:w="1134" w:type="dxa"/>
          </w:tcPr>
          <w:p w:rsidR="006453CD" w:rsidRPr="004F7DC9" w:rsidRDefault="006453CD" w:rsidP="00D323B2">
            <w:pPr>
              <w:spacing w:line="23" w:lineRule="atLeast"/>
              <w:jc w:val="center"/>
              <w:rPr>
                <w:rFonts w:ascii="Century Gothic" w:hAnsi="Century Gothic"/>
              </w:rPr>
            </w:pPr>
            <w:r>
              <w:rPr>
                <w:rFonts w:ascii="Century Gothic" w:hAnsi="Century Gothic"/>
              </w:rPr>
              <w:t>2016</w:t>
            </w:r>
          </w:p>
        </w:tc>
        <w:tc>
          <w:tcPr>
            <w:tcW w:w="1134" w:type="dxa"/>
          </w:tcPr>
          <w:p w:rsidR="006453CD" w:rsidRPr="004F7DC9" w:rsidRDefault="006453CD" w:rsidP="00D323B2">
            <w:pPr>
              <w:spacing w:line="23" w:lineRule="atLeast"/>
              <w:jc w:val="center"/>
              <w:rPr>
                <w:rFonts w:ascii="Century Gothic" w:hAnsi="Century Gothic"/>
              </w:rPr>
            </w:pPr>
            <w:r>
              <w:rPr>
                <w:rFonts w:ascii="Century Gothic" w:hAnsi="Century Gothic"/>
              </w:rPr>
              <w:t>2017</w:t>
            </w:r>
          </w:p>
        </w:tc>
        <w:tc>
          <w:tcPr>
            <w:tcW w:w="1134" w:type="dxa"/>
          </w:tcPr>
          <w:p w:rsidR="006453CD" w:rsidRPr="004F7DC9" w:rsidRDefault="006453CD" w:rsidP="00D323B2">
            <w:pPr>
              <w:spacing w:line="23" w:lineRule="atLeast"/>
              <w:jc w:val="center"/>
              <w:rPr>
                <w:rFonts w:ascii="Century Gothic" w:hAnsi="Century Gothic"/>
              </w:rPr>
            </w:pPr>
            <w:r w:rsidRPr="004F7DC9">
              <w:rPr>
                <w:rFonts w:ascii="Century Gothic" w:hAnsi="Century Gothic"/>
              </w:rPr>
              <w:t>2018</w:t>
            </w:r>
          </w:p>
        </w:tc>
      </w:tr>
      <w:tr w:rsidR="006453CD" w:rsidTr="00C53057">
        <w:trPr>
          <w:jc w:val="center"/>
        </w:trPr>
        <w:tc>
          <w:tcPr>
            <w:tcW w:w="1994" w:type="dxa"/>
          </w:tcPr>
          <w:p w:rsidR="006453CD" w:rsidRDefault="006453CD" w:rsidP="00D323B2">
            <w:pPr>
              <w:spacing w:line="23" w:lineRule="atLeast"/>
              <w:jc w:val="center"/>
              <w:rPr>
                <w:rFonts w:ascii="Century Gothic" w:hAnsi="Century Gothic"/>
              </w:rPr>
            </w:pPr>
            <w:r>
              <w:rPr>
                <w:rFonts w:ascii="Century Gothic" w:hAnsi="Century Gothic"/>
              </w:rPr>
              <w:t>Maestría</w:t>
            </w:r>
          </w:p>
        </w:tc>
        <w:tc>
          <w:tcPr>
            <w:tcW w:w="1134" w:type="dxa"/>
          </w:tcPr>
          <w:p w:rsidR="006453CD" w:rsidRPr="004F7DC9" w:rsidRDefault="006453CD" w:rsidP="00D323B2">
            <w:pPr>
              <w:spacing w:line="23" w:lineRule="atLeast"/>
              <w:jc w:val="center"/>
              <w:rPr>
                <w:rFonts w:ascii="Century Gothic" w:hAnsi="Century Gothic"/>
              </w:rPr>
            </w:pPr>
            <w:r>
              <w:rPr>
                <w:rFonts w:ascii="Century Gothic" w:hAnsi="Century Gothic"/>
              </w:rPr>
              <w:t>1.491</w:t>
            </w:r>
          </w:p>
        </w:tc>
        <w:tc>
          <w:tcPr>
            <w:tcW w:w="1134" w:type="dxa"/>
          </w:tcPr>
          <w:p w:rsidR="006453CD" w:rsidRPr="004F7DC9" w:rsidRDefault="006453CD" w:rsidP="00D323B2">
            <w:pPr>
              <w:spacing w:line="23" w:lineRule="atLeast"/>
              <w:jc w:val="center"/>
              <w:rPr>
                <w:rFonts w:ascii="Century Gothic" w:hAnsi="Century Gothic"/>
              </w:rPr>
            </w:pPr>
            <w:r>
              <w:rPr>
                <w:rFonts w:ascii="Century Gothic" w:hAnsi="Century Gothic"/>
              </w:rPr>
              <w:t>2.771</w:t>
            </w:r>
          </w:p>
        </w:tc>
        <w:tc>
          <w:tcPr>
            <w:tcW w:w="1134" w:type="dxa"/>
          </w:tcPr>
          <w:p w:rsidR="006453CD" w:rsidRPr="004F7DC9" w:rsidRDefault="006453CD" w:rsidP="00D323B2">
            <w:pPr>
              <w:spacing w:line="23" w:lineRule="atLeast"/>
              <w:jc w:val="center"/>
              <w:rPr>
                <w:rFonts w:ascii="Century Gothic" w:hAnsi="Century Gothic"/>
              </w:rPr>
            </w:pPr>
            <w:r>
              <w:rPr>
                <w:rFonts w:ascii="Century Gothic" w:hAnsi="Century Gothic"/>
              </w:rPr>
              <w:t>5.365</w:t>
            </w:r>
          </w:p>
        </w:tc>
        <w:tc>
          <w:tcPr>
            <w:tcW w:w="1134" w:type="dxa"/>
          </w:tcPr>
          <w:p w:rsidR="006453CD" w:rsidRPr="004F7DC9" w:rsidRDefault="006453CD" w:rsidP="00D323B2">
            <w:pPr>
              <w:spacing w:line="23" w:lineRule="atLeast"/>
              <w:jc w:val="center"/>
              <w:rPr>
                <w:rFonts w:ascii="Century Gothic" w:hAnsi="Century Gothic"/>
              </w:rPr>
            </w:pPr>
            <w:r>
              <w:rPr>
                <w:rFonts w:ascii="Century Gothic" w:hAnsi="Century Gothic"/>
              </w:rPr>
              <w:t>4.976</w:t>
            </w:r>
          </w:p>
        </w:tc>
        <w:tc>
          <w:tcPr>
            <w:tcW w:w="1134" w:type="dxa"/>
          </w:tcPr>
          <w:p w:rsidR="006453CD" w:rsidRPr="004F7DC9" w:rsidRDefault="006453CD" w:rsidP="00D323B2">
            <w:pPr>
              <w:spacing w:line="23" w:lineRule="atLeast"/>
              <w:jc w:val="center"/>
              <w:rPr>
                <w:rFonts w:ascii="Century Gothic" w:hAnsi="Century Gothic"/>
              </w:rPr>
            </w:pPr>
            <w:r>
              <w:rPr>
                <w:rFonts w:ascii="Century Gothic" w:hAnsi="Century Gothic"/>
              </w:rPr>
              <w:t>3.949</w:t>
            </w:r>
          </w:p>
        </w:tc>
      </w:tr>
      <w:tr w:rsidR="006453CD" w:rsidTr="00C53057">
        <w:trPr>
          <w:jc w:val="center"/>
        </w:trPr>
        <w:tc>
          <w:tcPr>
            <w:tcW w:w="1994" w:type="dxa"/>
          </w:tcPr>
          <w:p w:rsidR="006453CD" w:rsidRDefault="006453CD" w:rsidP="00D323B2">
            <w:pPr>
              <w:spacing w:line="23" w:lineRule="atLeast"/>
              <w:jc w:val="center"/>
              <w:rPr>
                <w:rFonts w:ascii="Century Gothic" w:hAnsi="Century Gothic"/>
              </w:rPr>
            </w:pPr>
            <w:r>
              <w:rPr>
                <w:rFonts w:ascii="Century Gothic" w:hAnsi="Century Gothic"/>
              </w:rPr>
              <w:t>Especialización</w:t>
            </w:r>
          </w:p>
        </w:tc>
        <w:tc>
          <w:tcPr>
            <w:tcW w:w="1134" w:type="dxa"/>
          </w:tcPr>
          <w:p w:rsidR="006453CD" w:rsidRDefault="006453CD" w:rsidP="00D323B2">
            <w:pPr>
              <w:spacing w:line="23" w:lineRule="atLeast"/>
              <w:jc w:val="center"/>
              <w:rPr>
                <w:rFonts w:ascii="Century Gothic" w:hAnsi="Century Gothic"/>
              </w:rPr>
            </w:pPr>
            <w:r>
              <w:rPr>
                <w:rFonts w:ascii="Century Gothic" w:hAnsi="Century Gothic"/>
              </w:rPr>
              <w:t>580</w:t>
            </w:r>
          </w:p>
        </w:tc>
        <w:tc>
          <w:tcPr>
            <w:tcW w:w="1134" w:type="dxa"/>
          </w:tcPr>
          <w:p w:rsidR="006453CD" w:rsidRDefault="006453CD" w:rsidP="00D323B2">
            <w:pPr>
              <w:spacing w:line="23" w:lineRule="atLeast"/>
              <w:jc w:val="center"/>
              <w:rPr>
                <w:rFonts w:ascii="Century Gothic" w:hAnsi="Century Gothic"/>
              </w:rPr>
            </w:pPr>
            <w:r>
              <w:rPr>
                <w:rFonts w:ascii="Century Gothic" w:hAnsi="Century Gothic"/>
              </w:rPr>
              <w:t>994</w:t>
            </w:r>
          </w:p>
        </w:tc>
        <w:tc>
          <w:tcPr>
            <w:tcW w:w="1134" w:type="dxa"/>
          </w:tcPr>
          <w:p w:rsidR="006453CD" w:rsidRDefault="006453CD" w:rsidP="00D323B2">
            <w:pPr>
              <w:spacing w:line="23" w:lineRule="atLeast"/>
              <w:jc w:val="center"/>
              <w:rPr>
                <w:rFonts w:ascii="Century Gothic" w:hAnsi="Century Gothic"/>
              </w:rPr>
            </w:pPr>
            <w:r>
              <w:rPr>
                <w:rFonts w:ascii="Century Gothic" w:hAnsi="Century Gothic"/>
              </w:rPr>
              <w:t>1.324</w:t>
            </w:r>
          </w:p>
        </w:tc>
        <w:tc>
          <w:tcPr>
            <w:tcW w:w="1134" w:type="dxa"/>
          </w:tcPr>
          <w:p w:rsidR="006453CD" w:rsidRDefault="006453CD" w:rsidP="00D323B2">
            <w:pPr>
              <w:spacing w:line="23" w:lineRule="atLeast"/>
              <w:jc w:val="center"/>
              <w:rPr>
                <w:rFonts w:ascii="Century Gothic" w:hAnsi="Century Gothic"/>
              </w:rPr>
            </w:pPr>
            <w:r>
              <w:rPr>
                <w:rFonts w:ascii="Century Gothic" w:hAnsi="Century Gothic"/>
              </w:rPr>
              <w:t>935</w:t>
            </w:r>
          </w:p>
        </w:tc>
        <w:tc>
          <w:tcPr>
            <w:tcW w:w="1134" w:type="dxa"/>
          </w:tcPr>
          <w:p w:rsidR="006453CD" w:rsidRDefault="006453CD" w:rsidP="00D323B2">
            <w:pPr>
              <w:spacing w:line="23" w:lineRule="atLeast"/>
              <w:jc w:val="center"/>
              <w:rPr>
                <w:rFonts w:ascii="Century Gothic" w:hAnsi="Century Gothic"/>
              </w:rPr>
            </w:pPr>
            <w:r>
              <w:rPr>
                <w:rFonts w:ascii="Century Gothic" w:hAnsi="Century Gothic"/>
              </w:rPr>
              <w:t>626</w:t>
            </w:r>
          </w:p>
        </w:tc>
      </w:tr>
      <w:tr w:rsidR="006453CD" w:rsidTr="00C53057">
        <w:trPr>
          <w:jc w:val="center"/>
        </w:trPr>
        <w:tc>
          <w:tcPr>
            <w:tcW w:w="1994" w:type="dxa"/>
          </w:tcPr>
          <w:p w:rsidR="006453CD" w:rsidRDefault="006453CD" w:rsidP="00D323B2">
            <w:pPr>
              <w:spacing w:line="23" w:lineRule="atLeast"/>
              <w:jc w:val="center"/>
              <w:rPr>
                <w:rFonts w:ascii="Century Gothic" w:hAnsi="Century Gothic"/>
              </w:rPr>
            </w:pPr>
            <w:r>
              <w:rPr>
                <w:rFonts w:ascii="Century Gothic" w:hAnsi="Century Gothic"/>
              </w:rPr>
              <w:t>Doctorado</w:t>
            </w:r>
          </w:p>
        </w:tc>
        <w:tc>
          <w:tcPr>
            <w:tcW w:w="1134" w:type="dxa"/>
          </w:tcPr>
          <w:p w:rsidR="006453CD" w:rsidRDefault="006453CD" w:rsidP="00D323B2">
            <w:pPr>
              <w:spacing w:line="23" w:lineRule="atLeast"/>
              <w:jc w:val="center"/>
              <w:rPr>
                <w:rFonts w:ascii="Century Gothic" w:hAnsi="Century Gothic"/>
              </w:rPr>
            </w:pPr>
            <w:r>
              <w:rPr>
                <w:rFonts w:ascii="Century Gothic" w:hAnsi="Century Gothic"/>
              </w:rPr>
              <w:t>350</w:t>
            </w:r>
          </w:p>
        </w:tc>
        <w:tc>
          <w:tcPr>
            <w:tcW w:w="1134" w:type="dxa"/>
          </w:tcPr>
          <w:p w:rsidR="006453CD" w:rsidRDefault="006453CD" w:rsidP="00D323B2">
            <w:pPr>
              <w:spacing w:line="23" w:lineRule="atLeast"/>
              <w:jc w:val="center"/>
              <w:rPr>
                <w:rFonts w:ascii="Century Gothic" w:hAnsi="Century Gothic"/>
              </w:rPr>
            </w:pPr>
            <w:r>
              <w:rPr>
                <w:rFonts w:ascii="Century Gothic" w:hAnsi="Century Gothic"/>
              </w:rPr>
              <w:t>602</w:t>
            </w:r>
          </w:p>
        </w:tc>
        <w:tc>
          <w:tcPr>
            <w:tcW w:w="1134" w:type="dxa"/>
          </w:tcPr>
          <w:p w:rsidR="006453CD" w:rsidRDefault="006453CD" w:rsidP="00D323B2">
            <w:pPr>
              <w:spacing w:line="23" w:lineRule="atLeast"/>
              <w:jc w:val="center"/>
              <w:rPr>
                <w:rFonts w:ascii="Century Gothic" w:hAnsi="Century Gothic"/>
              </w:rPr>
            </w:pPr>
            <w:r>
              <w:rPr>
                <w:rFonts w:ascii="Century Gothic" w:hAnsi="Century Gothic"/>
              </w:rPr>
              <w:t>1.068</w:t>
            </w:r>
          </w:p>
        </w:tc>
        <w:tc>
          <w:tcPr>
            <w:tcW w:w="1134" w:type="dxa"/>
          </w:tcPr>
          <w:p w:rsidR="006453CD" w:rsidRDefault="006453CD" w:rsidP="00D323B2">
            <w:pPr>
              <w:spacing w:line="23" w:lineRule="atLeast"/>
              <w:jc w:val="center"/>
              <w:rPr>
                <w:rFonts w:ascii="Century Gothic" w:hAnsi="Century Gothic"/>
              </w:rPr>
            </w:pPr>
            <w:r>
              <w:rPr>
                <w:rFonts w:ascii="Century Gothic" w:hAnsi="Century Gothic"/>
              </w:rPr>
              <w:t>1.103</w:t>
            </w:r>
          </w:p>
        </w:tc>
        <w:tc>
          <w:tcPr>
            <w:tcW w:w="1134" w:type="dxa"/>
          </w:tcPr>
          <w:p w:rsidR="006453CD" w:rsidRDefault="006453CD" w:rsidP="00D323B2">
            <w:pPr>
              <w:spacing w:line="23" w:lineRule="atLeast"/>
              <w:jc w:val="center"/>
              <w:rPr>
                <w:rFonts w:ascii="Century Gothic" w:hAnsi="Century Gothic"/>
              </w:rPr>
            </w:pPr>
            <w:r>
              <w:rPr>
                <w:rFonts w:ascii="Century Gothic" w:hAnsi="Century Gothic"/>
              </w:rPr>
              <w:t>852</w:t>
            </w:r>
          </w:p>
        </w:tc>
      </w:tr>
      <w:tr w:rsidR="006453CD" w:rsidTr="00C53057">
        <w:trPr>
          <w:jc w:val="center"/>
        </w:trPr>
        <w:tc>
          <w:tcPr>
            <w:tcW w:w="1994" w:type="dxa"/>
          </w:tcPr>
          <w:p w:rsidR="006453CD" w:rsidRPr="004F7DC9" w:rsidRDefault="006453CD" w:rsidP="00D323B2">
            <w:pPr>
              <w:spacing w:line="23" w:lineRule="atLeast"/>
              <w:jc w:val="center"/>
              <w:rPr>
                <w:rFonts w:ascii="Century Gothic" w:hAnsi="Century Gothic"/>
                <w:b/>
              </w:rPr>
            </w:pPr>
            <w:r w:rsidRPr="004F7DC9">
              <w:rPr>
                <w:rFonts w:ascii="Century Gothic" w:hAnsi="Century Gothic"/>
                <w:b/>
              </w:rPr>
              <w:t>Total</w:t>
            </w:r>
          </w:p>
        </w:tc>
        <w:tc>
          <w:tcPr>
            <w:tcW w:w="1134" w:type="dxa"/>
          </w:tcPr>
          <w:p w:rsidR="006453CD" w:rsidRPr="004F7DC9" w:rsidRDefault="006453CD" w:rsidP="00D323B2">
            <w:pPr>
              <w:spacing w:line="23" w:lineRule="atLeast"/>
              <w:jc w:val="center"/>
              <w:rPr>
                <w:rFonts w:ascii="Century Gothic" w:hAnsi="Century Gothic"/>
                <w:b/>
              </w:rPr>
            </w:pPr>
            <w:r>
              <w:rPr>
                <w:rFonts w:ascii="Century Gothic" w:hAnsi="Century Gothic"/>
                <w:b/>
              </w:rPr>
              <w:t>2.421</w:t>
            </w:r>
          </w:p>
        </w:tc>
        <w:tc>
          <w:tcPr>
            <w:tcW w:w="1134" w:type="dxa"/>
          </w:tcPr>
          <w:p w:rsidR="006453CD" w:rsidRPr="004F7DC9" w:rsidRDefault="006453CD" w:rsidP="00D323B2">
            <w:pPr>
              <w:spacing w:line="23" w:lineRule="atLeast"/>
              <w:jc w:val="center"/>
              <w:rPr>
                <w:rFonts w:ascii="Century Gothic" w:hAnsi="Century Gothic"/>
                <w:b/>
              </w:rPr>
            </w:pPr>
            <w:r>
              <w:rPr>
                <w:rFonts w:ascii="Century Gothic" w:hAnsi="Century Gothic"/>
                <w:b/>
              </w:rPr>
              <w:t>4.367</w:t>
            </w:r>
          </w:p>
        </w:tc>
        <w:tc>
          <w:tcPr>
            <w:tcW w:w="1134" w:type="dxa"/>
          </w:tcPr>
          <w:p w:rsidR="006453CD" w:rsidRPr="004F7DC9" w:rsidRDefault="006453CD" w:rsidP="00D323B2">
            <w:pPr>
              <w:spacing w:line="23" w:lineRule="atLeast"/>
              <w:jc w:val="center"/>
              <w:rPr>
                <w:rFonts w:ascii="Century Gothic" w:hAnsi="Century Gothic"/>
                <w:b/>
              </w:rPr>
            </w:pPr>
            <w:r>
              <w:rPr>
                <w:rFonts w:ascii="Century Gothic" w:hAnsi="Century Gothic"/>
                <w:b/>
              </w:rPr>
              <w:t>7.557</w:t>
            </w:r>
          </w:p>
        </w:tc>
        <w:tc>
          <w:tcPr>
            <w:tcW w:w="1134" w:type="dxa"/>
          </w:tcPr>
          <w:p w:rsidR="006453CD" w:rsidRPr="004F7DC9" w:rsidRDefault="006453CD" w:rsidP="00D323B2">
            <w:pPr>
              <w:spacing w:line="23" w:lineRule="atLeast"/>
              <w:jc w:val="center"/>
              <w:rPr>
                <w:rFonts w:ascii="Century Gothic" w:hAnsi="Century Gothic"/>
                <w:b/>
              </w:rPr>
            </w:pPr>
            <w:r>
              <w:rPr>
                <w:rFonts w:ascii="Century Gothic" w:hAnsi="Century Gothic"/>
                <w:b/>
              </w:rPr>
              <w:t>7.014</w:t>
            </w:r>
          </w:p>
        </w:tc>
        <w:tc>
          <w:tcPr>
            <w:tcW w:w="1134" w:type="dxa"/>
          </w:tcPr>
          <w:p w:rsidR="006453CD" w:rsidRPr="004F7DC9" w:rsidRDefault="006453CD" w:rsidP="00D323B2">
            <w:pPr>
              <w:spacing w:line="23" w:lineRule="atLeast"/>
              <w:jc w:val="center"/>
              <w:rPr>
                <w:rFonts w:ascii="Century Gothic" w:hAnsi="Century Gothic"/>
                <w:b/>
              </w:rPr>
            </w:pPr>
            <w:r>
              <w:rPr>
                <w:rFonts w:ascii="Century Gothic" w:hAnsi="Century Gothic"/>
                <w:b/>
              </w:rPr>
              <w:t>5.427</w:t>
            </w:r>
          </w:p>
        </w:tc>
      </w:tr>
    </w:tbl>
    <w:p w:rsidR="006453CD" w:rsidRDefault="006453CD" w:rsidP="00D323B2">
      <w:pPr>
        <w:spacing w:line="23" w:lineRule="atLeast"/>
        <w:jc w:val="both"/>
        <w:rPr>
          <w:rFonts w:ascii="Century Gothic" w:hAnsi="Century Gothic"/>
          <w:sz w:val="20"/>
          <w:szCs w:val="20"/>
        </w:rPr>
      </w:pPr>
      <w:r w:rsidRPr="004F7DC9">
        <w:rPr>
          <w:rFonts w:ascii="Century Gothic" w:hAnsi="Century Gothic"/>
          <w:sz w:val="20"/>
          <w:szCs w:val="20"/>
        </w:rPr>
        <w:t xml:space="preserve">Fuente: </w:t>
      </w:r>
      <w:sdt>
        <w:sdtPr>
          <w:rPr>
            <w:rFonts w:ascii="Century Gothic" w:hAnsi="Century Gothic"/>
            <w:sz w:val="20"/>
            <w:szCs w:val="20"/>
          </w:rPr>
          <w:id w:val="1400402875"/>
          <w:citation/>
        </w:sdtPr>
        <w:sdtEndPr/>
        <w:sdtContent>
          <w:r>
            <w:rPr>
              <w:rFonts w:ascii="Century Gothic" w:hAnsi="Century Gothic"/>
              <w:sz w:val="20"/>
              <w:szCs w:val="20"/>
            </w:rPr>
            <w:fldChar w:fldCharType="begin"/>
          </w:r>
          <w:r>
            <w:rPr>
              <w:rFonts w:ascii="Century Gothic" w:hAnsi="Century Gothic"/>
              <w:sz w:val="20"/>
              <w:szCs w:val="20"/>
            </w:rPr>
            <w:instrText xml:space="preserve"> CITATION Min191 \l 9226 </w:instrText>
          </w:r>
          <w:r>
            <w:rPr>
              <w:rFonts w:ascii="Century Gothic" w:hAnsi="Century Gothic"/>
              <w:sz w:val="20"/>
              <w:szCs w:val="20"/>
            </w:rPr>
            <w:fldChar w:fldCharType="separate"/>
          </w:r>
          <w:r w:rsidRPr="00873D1C">
            <w:rPr>
              <w:rFonts w:ascii="Century Gothic" w:hAnsi="Century Gothic"/>
              <w:noProof/>
              <w:sz w:val="20"/>
              <w:szCs w:val="20"/>
            </w:rPr>
            <w:t>(Ministerio de Educación Nacional, 2019)</w:t>
          </w:r>
          <w:r>
            <w:rPr>
              <w:rFonts w:ascii="Century Gothic" w:hAnsi="Century Gothic"/>
              <w:sz w:val="20"/>
              <w:szCs w:val="20"/>
            </w:rPr>
            <w:fldChar w:fldCharType="end"/>
          </w:r>
        </w:sdtContent>
      </w:sdt>
    </w:p>
    <w:p w:rsidR="006453CD" w:rsidRDefault="006453CD" w:rsidP="00D323B2">
      <w:pPr>
        <w:spacing w:line="23" w:lineRule="atLeast"/>
        <w:jc w:val="both"/>
        <w:rPr>
          <w:rFonts w:ascii="Century Gothic" w:hAnsi="Century Gothic"/>
        </w:rPr>
      </w:pPr>
    </w:p>
    <w:p w:rsidR="006453CD" w:rsidRDefault="006453CD" w:rsidP="00D323B2">
      <w:pPr>
        <w:spacing w:line="23" w:lineRule="atLeast"/>
        <w:jc w:val="both"/>
        <w:rPr>
          <w:rFonts w:ascii="Century Gothic" w:hAnsi="Century Gothic"/>
        </w:rPr>
      </w:pPr>
      <w:r>
        <w:rPr>
          <w:rFonts w:ascii="Century Gothic" w:hAnsi="Century Gothic"/>
        </w:rPr>
        <w:t xml:space="preserve">Según </w:t>
      </w:r>
      <w:r>
        <w:rPr>
          <w:rFonts w:ascii="Century Gothic" w:hAnsi="Century Gothic"/>
          <w:noProof/>
        </w:rPr>
        <w:t xml:space="preserve">el </w:t>
      </w:r>
      <w:r w:rsidRPr="00971F86">
        <w:rPr>
          <w:rFonts w:ascii="Century Gothic" w:hAnsi="Century Gothic"/>
          <w:noProof/>
        </w:rPr>
        <w:t>M</w:t>
      </w:r>
      <w:r>
        <w:rPr>
          <w:rFonts w:ascii="Century Gothic" w:hAnsi="Century Gothic"/>
          <w:noProof/>
        </w:rPr>
        <w:t>inisterio de Educación Nacional</w:t>
      </w:r>
      <w:r w:rsidRPr="00971F86">
        <w:rPr>
          <w:rFonts w:ascii="Century Gothic" w:hAnsi="Century Gothic"/>
          <w:noProof/>
        </w:rPr>
        <w:t xml:space="preserve"> </w:t>
      </w:r>
      <w:r>
        <w:rPr>
          <w:rFonts w:ascii="Century Gothic" w:hAnsi="Century Gothic"/>
          <w:noProof/>
        </w:rPr>
        <w:t>(</w:t>
      </w:r>
      <w:r w:rsidRPr="00971F86">
        <w:rPr>
          <w:rFonts w:ascii="Century Gothic" w:hAnsi="Century Gothic"/>
          <w:noProof/>
        </w:rPr>
        <w:t>2019)</w:t>
      </w:r>
      <w:r>
        <w:rPr>
          <w:rFonts w:ascii="Century Gothic" w:hAnsi="Century Gothic"/>
          <w:noProof/>
        </w:rPr>
        <w:t xml:space="preserve"> </w:t>
      </w:r>
      <w:r>
        <w:rPr>
          <w:rFonts w:ascii="Century Gothic" w:hAnsi="Century Gothic"/>
        </w:rPr>
        <w:t>entre 2009 y el primer semestre del 2019 33.104 colombianos han salido del país para estudiar algún posgrado, esto implica que</w:t>
      </w:r>
      <w:r w:rsidR="00F43F02">
        <w:rPr>
          <w:rFonts w:ascii="Century Gothic" w:hAnsi="Century Gothic"/>
        </w:rPr>
        <w:t>, al año</w:t>
      </w:r>
      <w:r>
        <w:rPr>
          <w:rFonts w:ascii="Century Gothic" w:hAnsi="Century Gothic"/>
        </w:rPr>
        <w:t xml:space="preserve"> salen </w:t>
      </w:r>
      <w:r w:rsidR="00F43F02">
        <w:rPr>
          <w:rFonts w:ascii="Century Gothic" w:hAnsi="Century Gothic"/>
        </w:rPr>
        <w:t xml:space="preserve">aproximadamente </w:t>
      </w:r>
      <w:r>
        <w:rPr>
          <w:rFonts w:ascii="Century Gothic" w:hAnsi="Century Gothic"/>
        </w:rPr>
        <w:t>3.300 colombianos con este motivo de viaje.</w:t>
      </w:r>
    </w:p>
    <w:p w:rsidR="006453CD" w:rsidRDefault="006453CD" w:rsidP="00D323B2">
      <w:pPr>
        <w:spacing w:line="23" w:lineRule="atLeast"/>
        <w:jc w:val="both"/>
        <w:rPr>
          <w:rFonts w:ascii="Century Gothic" w:hAnsi="Century Gothic"/>
        </w:rPr>
      </w:pPr>
    </w:p>
    <w:p w:rsidR="006453CD" w:rsidRDefault="006453CD" w:rsidP="00D323B2">
      <w:pPr>
        <w:spacing w:line="23" w:lineRule="atLeast"/>
        <w:jc w:val="both"/>
        <w:rPr>
          <w:rFonts w:ascii="Century Gothic" w:hAnsi="Century Gothic"/>
        </w:rPr>
      </w:pPr>
      <w:r>
        <w:rPr>
          <w:rFonts w:ascii="Century Gothic" w:hAnsi="Century Gothic"/>
        </w:rPr>
        <w:t xml:space="preserve">Un elemento importante en esta materia es que la mayoría de los destinos de los viajes por motivo de estudio son países en donde la moneda colombiana está devaluada, razón por la que se necesita un alto nivel de ingresos para costear la estadía del </w:t>
      </w:r>
      <w:r w:rsidR="00F43F02">
        <w:rPr>
          <w:rFonts w:ascii="Century Gothic" w:hAnsi="Century Gothic"/>
        </w:rPr>
        <w:t>estudiante</w:t>
      </w:r>
      <w:r>
        <w:rPr>
          <w:rFonts w:ascii="Century Gothic" w:hAnsi="Century Gothic"/>
        </w:rPr>
        <w:t xml:space="preserve">. </w:t>
      </w:r>
    </w:p>
    <w:p w:rsidR="006453CD" w:rsidRDefault="006453CD" w:rsidP="00D323B2">
      <w:pPr>
        <w:spacing w:line="23" w:lineRule="atLeast"/>
        <w:jc w:val="both"/>
        <w:rPr>
          <w:rFonts w:ascii="Century Gothic" w:hAnsi="Century Gothic"/>
        </w:rPr>
      </w:pPr>
    </w:p>
    <w:p w:rsidR="006453CD" w:rsidRDefault="006453CD" w:rsidP="00D323B2">
      <w:pPr>
        <w:spacing w:line="23" w:lineRule="atLeast"/>
        <w:ind w:firstLine="708"/>
        <w:jc w:val="both"/>
        <w:rPr>
          <w:rFonts w:ascii="Century Gothic" w:hAnsi="Century Gothic"/>
        </w:rPr>
      </w:pPr>
      <w:r>
        <w:rPr>
          <w:rFonts w:ascii="Century Gothic" w:hAnsi="Century Gothic"/>
        </w:rPr>
        <w:t>Cuadro 2. Destino viaje por motivo de estudio para colombianos y porcentaje de viajes respecto al total de migraciones por motivos educativos.</w:t>
      </w:r>
    </w:p>
    <w:tbl>
      <w:tblPr>
        <w:tblStyle w:val="Tablaconcuadrcula"/>
        <w:tblW w:w="2972" w:type="dxa"/>
        <w:jc w:val="center"/>
        <w:tblLook w:val="04A0" w:firstRow="1" w:lastRow="0" w:firstColumn="1" w:lastColumn="0" w:noHBand="0" w:noVBand="1"/>
      </w:tblPr>
      <w:tblGrid>
        <w:gridCol w:w="1459"/>
        <w:gridCol w:w="1513"/>
      </w:tblGrid>
      <w:tr w:rsidR="006453CD" w:rsidRPr="00A90749" w:rsidTr="00C53057">
        <w:trPr>
          <w:trHeight w:val="300"/>
          <w:jc w:val="center"/>
        </w:trPr>
        <w:tc>
          <w:tcPr>
            <w:tcW w:w="1459" w:type="dxa"/>
            <w:noWrap/>
          </w:tcPr>
          <w:p w:rsidR="006453CD" w:rsidRPr="00A90749" w:rsidRDefault="006453CD" w:rsidP="00D323B2">
            <w:pPr>
              <w:spacing w:line="23" w:lineRule="atLeast"/>
              <w:jc w:val="center"/>
              <w:rPr>
                <w:rFonts w:ascii="Century Gothic" w:eastAsia="Times New Roman" w:hAnsi="Century Gothic" w:cs="Calibri"/>
                <w:color w:val="000000"/>
                <w:lang w:eastAsia="es-CO"/>
              </w:rPr>
            </w:pPr>
            <w:r>
              <w:rPr>
                <w:rFonts w:ascii="Century Gothic" w:eastAsia="Times New Roman" w:hAnsi="Century Gothic" w:cs="Calibri"/>
                <w:color w:val="000000"/>
                <w:lang w:eastAsia="es-CO"/>
              </w:rPr>
              <w:t>País</w:t>
            </w:r>
          </w:p>
        </w:tc>
        <w:tc>
          <w:tcPr>
            <w:tcW w:w="1513" w:type="dxa"/>
            <w:noWrap/>
          </w:tcPr>
          <w:p w:rsidR="006453CD" w:rsidRPr="00A90749" w:rsidRDefault="006453CD" w:rsidP="00D323B2">
            <w:pPr>
              <w:spacing w:line="23" w:lineRule="atLeast"/>
              <w:jc w:val="center"/>
              <w:rPr>
                <w:rFonts w:ascii="Century Gothic" w:eastAsia="Times New Roman" w:hAnsi="Century Gothic" w:cs="Calibri"/>
                <w:color w:val="000000"/>
                <w:lang w:eastAsia="es-CO"/>
              </w:rPr>
            </w:pPr>
            <w:r>
              <w:rPr>
                <w:rFonts w:ascii="Century Gothic" w:eastAsia="Times New Roman" w:hAnsi="Century Gothic" w:cs="Calibri"/>
                <w:color w:val="000000"/>
                <w:lang w:eastAsia="es-CO"/>
              </w:rPr>
              <w:t>% de viajes</w:t>
            </w:r>
          </w:p>
        </w:tc>
      </w:tr>
      <w:tr w:rsidR="006453CD" w:rsidRPr="00A90749" w:rsidTr="00C53057">
        <w:trPr>
          <w:trHeight w:val="300"/>
          <w:jc w:val="center"/>
        </w:trPr>
        <w:tc>
          <w:tcPr>
            <w:tcW w:w="1459" w:type="dxa"/>
            <w:noWrap/>
            <w:hideMark/>
          </w:tcPr>
          <w:p w:rsidR="006453CD" w:rsidRPr="00A90749" w:rsidRDefault="006453CD" w:rsidP="00D323B2">
            <w:pPr>
              <w:spacing w:line="23" w:lineRule="atLeast"/>
              <w:jc w:val="center"/>
              <w:rPr>
                <w:rFonts w:ascii="Century Gothic" w:eastAsia="Times New Roman" w:hAnsi="Century Gothic" w:cs="Calibri"/>
                <w:color w:val="000000"/>
                <w:lang w:eastAsia="es-CO"/>
              </w:rPr>
            </w:pPr>
            <w:r w:rsidRPr="00A90749">
              <w:rPr>
                <w:rFonts w:ascii="Century Gothic" w:eastAsia="Times New Roman" w:hAnsi="Century Gothic" w:cs="Calibri"/>
                <w:color w:val="000000"/>
                <w:lang w:eastAsia="es-CO"/>
              </w:rPr>
              <w:t>EEUU</w:t>
            </w:r>
          </w:p>
        </w:tc>
        <w:tc>
          <w:tcPr>
            <w:tcW w:w="1513" w:type="dxa"/>
            <w:noWrap/>
            <w:hideMark/>
          </w:tcPr>
          <w:p w:rsidR="006453CD" w:rsidRPr="00A90749" w:rsidRDefault="006453CD" w:rsidP="00D323B2">
            <w:pPr>
              <w:spacing w:line="23" w:lineRule="atLeast"/>
              <w:jc w:val="center"/>
              <w:rPr>
                <w:rFonts w:ascii="Century Gothic" w:eastAsia="Times New Roman" w:hAnsi="Century Gothic" w:cs="Calibri"/>
                <w:color w:val="000000"/>
                <w:lang w:eastAsia="es-CO"/>
              </w:rPr>
            </w:pPr>
            <w:r w:rsidRPr="00A90749">
              <w:rPr>
                <w:rFonts w:ascii="Century Gothic" w:eastAsia="Times New Roman" w:hAnsi="Century Gothic" w:cs="Calibri"/>
                <w:color w:val="000000"/>
                <w:lang w:eastAsia="es-CO"/>
              </w:rPr>
              <w:t>25,31%</w:t>
            </w:r>
          </w:p>
        </w:tc>
      </w:tr>
      <w:tr w:rsidR="006453CD" w:rsidRPr="00A90749" w:rsidTr="00C53057">
        <w:trPr>
          <w:trHeight w:val="300"/>
          <w:jc w:val="center"/>
        </w:trPr>
        <w:tc>
          <w:tcPr>
            <w:tcW w:w="1459" w:type="dxa"/>
            <w:noWrap/>
            <w:hideMark/>
          </w:tcPr>
          <w:p w:rsidR="006453CD" w:rsidRPr="00A90749" w:rsidRDefault="006453CD" w:rsidP="00D323B2">
            <w:pPr>
              <w:spacing w:line="23" w:lineRule="atLeast"/>
              <w:jc w:val="center"/>
              <w:rPr>
                <w:rFonts w:ascii="Century Gothic" w:eastAsia="Times New Roman" w:hAnsi="Century Gothic" w:cs="Calibri"/>
                <w:color w:val="000000"/>
                <w:lang w:eastAsia="es-CO"/>
              </w:rPr>
            </w:pPr>
            <w:r w:rsidRPr="00A90749">
              <w:rPr>
                <w:rFonts w:ascii="Century Gothic" w:eastAsia="Times New Roman" w:hAnsi="Century Gothic" w:cs="Calibri"/>
                <w:color w:val="000000"/>
                <w:lang w:eastAsia="es-CO"/>
              </w:rPr>
              <w:t>España</w:t>
            </w:r>
          </w:p>
        </w:tc>
        <w:tc>
          <w:tcPr>
            <w:tcW w:w="1513" w:type="dxa"/>
            <w:noWrap/>
            <w:hideMark/>
          </w:tcPr>
          <w:p w:rsidR="006453CD" w:rsidRPr="00A90749" w:rsidRDefault="006453CD" w:rsidP="00D323B2">
            <w:pPr>
              <w:spacing w:line="23" w:lineRule="atLeast"/>
              <w:jc w:val="center"/>
              <w:rPr>
                <w:rFonts w:ascii="Century Gothic" w:eastAsia="Times New Roman" w:hAnsi="Century Gothic" w:cs="Calibri"/>
                <w:color w:val="000000"/>
                <w:lang w:eastAsia="es-CO"/>
              </w:rPr>
            </w:pPr>
            <w:r w:rsidRPr="00A90749">
              <w:rPr>
                <w:rFonts w:ascii="Century Gothic" w:eastAsia="Times New Roman" w:hAnsi="Century Gothic" w:cs="Calibri"/>
                <w:color w:val="000000"/>
                <w:lang w:eastAsia="es-CO"/>
              </w:rPr>
              <w:t>11,04%</w:t>
            </w:r>
          </w:p>
        </w:tc>
      </w:tr>
      <w:tr w:rsidR="006453CD" w:rsidRPr="00A90749" w:rsidTr="00C53057">
        <w:trPr>
          <w:trHeight w:val="300"/>
          <w:jc w:val="center"/>
        </w:trPr>
        <w:tc>
          <w:tcPr>
            <w:tcW w:w="1459" w:type="dxa"/>
            <w:noWrap/>
            <w:hideMark/>
          </w:tcPr>
          <w:p w:rsidR="006453CD" w:rsidRPr="00A90749" w:rsidRDefault="006453CD" w:rsidP="00D323B2">
            <w:pPr>
              <w:spacing w:line="23" w:lineRule="atLeast"/>
              <w:jc w:val="center"/>
              <w:rPr>
                <w:rFonts w:ascii="Century Gothic" w:eastAsia="Times New Roman" w:hAnsi="Century Gothic" w:cs="Calibri"/>
                <w:color w:val="000000"/>
                <w:lang w:eastAsia="es-CO"/>
              </w:rPr>
            </w:pPr>
            <w:r w:rsidRPr="00A90749">
              <w:rPr>
                <w:rFonts w:ascii="Century Gothic" w:eastAsia="Times New Roman" w:hAnsi="Century Gothic" w:cs="Calibri"/>
                <w:color w:val="000000"/>
                <w:lang w:eastAsia="es-CO"/>
              </w:rPr>
              <w:t>Argentina</w:t>
            </w:r>
          </w:p>
        </w:tc>
        <w:tc>
          <w:tcPr>
            <w:tcW w:w="1513" w:type="dxa"/>
            <w:noWrap/>
            <w:hideMark/>
          </w:tcPr>
          <w:p w:rsidR="006453CD" w:rsidRPr="00A90749" w:rsidRDefault="006453CD" w:rsidP="00D323B2">
            <w:pPr>
              <w:spacing w:line="23" w:lineRule="atLeast"/>
              <w:jc w:val="center"/>
              <w:rPr>
                <w:rFonts w:ascii="Century Gothic" w:eastAsia="Times New Roman" w:hAnsi="Century Gothic" w:cs="Calibri"/>
                <w:color w:val="000000"/>
                <w:lang w:eastAsia="es-CO"/>
              </w:rPr>
            </w:pPr>
            <w:r w:rsidRPr="00A90749">
              <w:rPr>
                <w:rFonts w:ascii="Century Gothic" w:eastAsia="Times New Roman" w:hAnsi="Century Gothic" w:cs="Calibri"/>
                <w:color w:val="000000"/>
                <w:lang w:eastAsia="es-CO"/>
              </w:rPr>
              <w:t>8,84%</w:t>
            </w:r>
          </w:p>
        </w:tc>
      </w:tr>
      <w:tr w:rsidR="006453CD" w:rsidRPr="00A90749" w:rsidTr="00C53057">
        <w:trPr>
          <w:trHeight w:val="300"/>
          <w:jc w:val="center"/>
        </w:trPr>
        <w:tc>
          <w:tcPr>
            <w:tcW w:w="1459" w:type="dxa"/>
            <w:noWrap/>
            <w:hideMark/>
          </w:tcPr>
          <w:p w:rsidR="006453CD" w:rsidRPr="00A90749" w:rsidRDefault="006453CD" w:rsidP="00D323B2">
            <w:pPr>
              <w:spacing w:line="23" w:lineRule="atLeast"/>
              <w:jc w:val="center"/>
              <w:rPr>
                <w:rFonts w:ascii="Century Gothic" w:eastAsia="Times New Roman" w:hAnsi="Century Gothic" w:cs="Calibri"/>
                <w:color w:val="000000"/>
                <w:lang w:eastAsia="es-CO"/>
              </w:rPr>
            </w:pPr>
            <w:r w:rsidRPr="00A90749">
              <w:rPr>
                <w:rFonts w:ascii="Century Gothic" w:eastAsia="Times New Roman" w:hAnsi="Century Gothic" w:cs="Calibri"/>
                <w:color w:val="000000"/>
                <w:lang w:eastAsia="es-CO"/>
              </w:rPr>
              <w:t>México</w:t>
            </w:r>
          </w:p>
        </w:tc>
        <w:tc>
          <w:tcPr>
            <w:tcW w:w="1513" w:type="dxa"/>
            <w:noWrap/>
            <w:hideMark/>
          </w:tcPr>
          <w:p w:rsidR="006453CD" w:rsidRPr="00A90749" w:rsidRDefault="006453CD" w:rsidP="00D323B2">
            <w:pPr>
              <w:spacing w:line="23" w:lineRule="atLeast"/>
              <w:jc w:val="center"/>
              <w:rPr>
                <w:rFonts w:ascii="Century Gothic" w:eastAsia="Times New Roman" w:hAnsi="Century Gothic" w:cs="Calibri"/>
                <w:color w:val="000000"/>
                <w:lang w:eastAsia="es-CO"/>
              </w:rPr>
            </w:pPr>
            <w:r w:rsidRPr="00A90749">
              <w:rPr>
                <w:rFonts w:ascii="Century Gothic" w:eastAsia="Times New Roman" w:hAnsi="Century Gothic" w:cs="Calibri"/>
                <w:color w:val="000000"/>
                <w:lang w:eastAsia="es-CO"/>
              </w:rPr>
              <w:t>7,98%</w:t>
            </w:r>
          </w:p>
        </w:tc>
      </w:tr>
      <w:tr w:rsidR="006453CD" w:rsidRPr="00A90749" w:rsidTr="00C53057">
        <w:trPr>
          <w:trHeight w:val="300"/>
          <w:jc w:val="center"/>
        </w:trPr>
        <w:tc>
          <w:tcPr>
            <w:tcW w:w="1459" w:type="dxa"/>
            <w:noWrap/>
            <w:hideMark/>
          </w:tcPr>
          <w:p w:rsidR="006453CD" w:rsidRPr="00A90749" w:rsidRDefault="006453CD" w:rsidP="00D323B2">
            <w:pPr>
              <w:spacing w:line="23" w:lineRule="atLeast"/>
              <w:jc w:val="center"/>
              <w:rPr>
                <w:rFonts w:ascii="Century Gothic" w:eastAsia="Times New Roman" w:hAnsi="Century Gothic" w:cs="Calibri"/>
                <w:color w:val="000000"/>
                <w:lang w:eastAsia="es-CO"/>
              </w:rPr>
            </w:pPr>
            <w:r w:rsidRPr="00A90749">
              <w:rPr>
                <w:rFonts w:ascii="Century Gothic" w:eastAsia="Times New Roman" w:hAnsi="Century Gothic" w:cs="Calibri"/>
                <w:color w:val="000000"/>
                <w:lang w:eastAsia="es-CO"/>
              </w:rPr>
              <w:t>Venezuela</w:t>
            </w:r>
          </w:p>
        </w:tc>
        <w:tc>
          <w:tcPr>
            <w:tcW w:w="1513" w:type="dxa"/>
            <w:noWrap/>
            <w:hideMark/>
          </w:tcPr>
          <w:p w:rsidR="006453CD" w:rsidRPr="00A90749" w:rsidRDefault="006453CD" w:rsidP="00D323B2">
            <w:pPr>
              <w:spacing w:line="23" w:lineRule="atLeast"/>
              <w:jc w:val="center"/>
              <w:rPr>
                <w:rFonts w:ascii="Century Gothic" w:eastAsia="Times New Roman" w:hAnsi="Century Gothic" w:cs="Calibri"/>
                <w:color w:val="000000"/>
                <w:lang w:eastAsia="es-CO"/>
              </w:rPr>
            </w:pPr>
            <w:r w:rsidRPr="00A90749">
              <w:rPr>
                <w:rFonts w:ascii="Century Gothic" w:eastAsia="Times New Roman" w:hAnsi="Century Gothic" w:cs="Calibri"/>
                <w:color w:val="000000"/>
                <w:lang w:eastAsia="es-CO"/>
              </w:rPr>
              <w:t>7,94%</w:t>
            </w:r>
          </w:p>
        </w:tc>
      </w:tr>
    </w:tbl>
    <w:p w:rsidR="006453CD" w:rsidRPr="00223CAD" w:rsidRDefault="006453CD" w:rsidP="00D323B2">
      <w:pPr>
        <w:spacing w:line="23" w:lineRule="atLeast"/>
        <w:jc w:val="both"/>
        <w:rPr>
          <w:rFonts w:ascii="Century Gothic" w:hAnsi="Century Gothic"/>
          <w:sz w:val="20"/>
          <w:szCs w:val="20"/>
        </w:rPr>
      </w:pPr>
      <w:r>
        <w:rPr>
          <w:rFonts w:ascii="Century Gothic" w:hAnsi="Century Gothic"/>
        </w:rPr>
        <w:tab/>
      </w:r>
      <w:r>
        <w:rPr>
          <w:rFonts w:ascii="Century Gothic" w:hAnsi="Century Gothic"/>
        </w:rPr>
        <w:tab/>
      </w:r>
      <w:r>
        <w:rPr>
          <w:rFonts w:ascii="Century Gothic" w:hAnsi="Century Gothic"/>
        </w:rPr>
        <w:tab/>
      </w:r>
      <w:r w:rsidRPr="00223CAD">
        <w:rPr>
          <w:rFonts w:ascii="Century Gothic" w:hAnsi="Century Gothic"/>
          <w:sz w:val="20"/>
          <w:szCs w:val="20"/>
        </w:rPr>
        <w:t>Fuente: (Ministerio de Relaciones Exteriores, 2019)</w:t>
      </w:r>
    </w:p>
    <w:p w:rsidR="006453CD" w:rsidRPr="003A60E9" w:rsidRDefault="006453CD" w:rsidP="00D323B2">
      <w:pPr>
        <w:spacing w:line="23" w:lineRule="atLeast"/>
        <w:jc w:val="both"/>
        <w:rPr>
          <w:rFonts w:ascii="Century Gothic" w:hAnsi="Century Gothic" w:cs="Arial"/>
          <w:b/>
        </w:rPr>
      </w:pPr>
    </w:p>
    <w:p w:rsidR="006453CD" w:rsidRDefault="006453CD" w:rsidP="00D323B2">
      <w:pPr>
        <w:spacing w:line="23" w:lineRule="atLeast"/>
        <w:jc w:val="both"/>
        <w:rPr>
          <w:rFonts w:ascii="Century Gothic" w:hAnsi="Century Gothic" w:cs="Arial"/>
          <w:b/>
        </w:rPr>
      </w:pPr>
    </w:p>
    <w:p w:rsidR="00F43F02" w:rsidRDefault="00F43F02" w:rsidP="00D323B2">
      <w:pPr>
        <w:spacing w:line="23" w:lineRule="atLeast"/>
        <w:jc w:val="both"/>
        <w:rPr>
          <w:rFonts w:ascii="Century Gothic" w:hAnsi="Century Gothic" w:cs="Arial"/>
          <w:b/>
        </w:rPr>
      </w:pPr>
    </w:p>
    <w:p w:rsidR="00F43F02" w:rsidRDefault="00F43F02" w:rsidP="00D323B2">
      <w:pPr>
        <w:spacing w:line="23" w:lineRule="atLeast"/>
        <w:jc w:val="both"/>
        <w:rPr>
          <w:rFonts w:ascii="Century Gothic" w:hAnsi="Century Gothic" w:cs="Arial"/>
          <w:b/>
        </w:rPr>
      </w:pPr>
    </w:p>
    <w:p w:rsidR="006453CD" w:rsidRDefault="006453CD" w:rsidP="00D323B2">
      <w:pPr>
        <w:spacing w:line="23" w:lineRule="atLeast"/>
        <w:jc w:val="both"/>
        <w:rPr>
          <w:rFonts w:ascii="Century Gothic" w:hAnsi="Century Gothic" w:cs="Arial"/>
          <w:b/>
        </w:rPr>
      </w:pPr>
      <w:r w:rsidRPr="003A60E9">
        <w:rPr>
          <w:rFonts w:ascii="Century Gothic" w:hAnsi="Century Gothic" w:cs="Arial"/>
          <w:b/>
        </w:rPr>
        <w:lastRenderedPageBreak/>
        <w:t>Becas educativas para estudios de posgrado</w:t>
      </w:r>
    </w:p>
    <w:p w:rsidR="006453CD" w:rsidRPr="003A60E9" w:rsidRDefault="006453CD" w:rsidP="00D323B2">
      <w:pPr>
        <w:spacing w:line="23" w:lineRule="atLeast"/>
        <w:jc w:val="both"/>
        <w:rPr>
          <w:rFonts w:ascii="Century Gothic" w:hAnsi="Century Gothic" w:cs="Arial"/>
          <w:b/>
        </w:rPr>
      </w:pPr>
    </w:p>
    <w:p w:rsidR="006453CD" w:rsidRDefault="006453CD" w:rsidP="00D323B2">
      <w:pPr>
        <w:spacing w:line="23" w:lineRule="atLeast"/>
        <w:jc w:val="both"/>
        <w:rPr>
          <w:rFonts w:ascii="Century Gothic" w:hAnsi="Century Gothic" w:cs="Arial"/>
        </w:rPr>
      </w:pPr>
      <w:r>
        <w:rPr>
          <w:rFonts w:ascii="Century Gothic" w:hAnsi="Century Gothic" w:cs="Arial"/>
        </w:rPr>
        <w:t xml:space="preserve">Ante la necesidad de estimular la educación </w:t>
      </w:r>
      <w:proofErr w:type="spellStart"/>
      <w:r>
        <w:rPr>
          <w:rFonts w:ascii="Century Gothic" w:hAnsi="Century Gothic" w:cs="Arial"/>
        </w:rPr>
        <w:t>posgradual</w:t>
      </w:r>
      <w:proofErr w:type="spellEnd"/>
      <w:r>
        <w:rPr>
          <w:rFonts w:ascii="Century Gothic" w:hAnsi="Century Gothic" w:cs="Arial"/>
        </w:rPr>
        <w:t>,</w:t>
      </w:r>
      <w:r w:rsidRPr="00140203">
        <w:rPr>
          <w:rFonts w:ascii="Century Gothic" w:hAnsi="Century Gothic" w:cs="Arial"/>
        </w:rPr>
        <w:t xml:space="preserve"> entidades públicas y privadas en diferentes países le han apostado a generar becas parciales o completas a estudiantes que se han destacado en las pruebas determinadas por cada país para la continuación de sus estudios de posgrado. </w:t>
      </w:r>
    </w:p>
    <w:p w:rsidR="006453CD" w:rsidRDefault="006453CD" w:rsidP="00D323B2">
      <w:pPr>
        <w:spacing w:line="23" w:lineRule="atLeast"/>
        <w:jc w:val="both"/>
        <w:rPr>
          <w:rFonts w:ascii="Century Gothic" w:hAnsi="Century Gothic" w:cs="Arial"/>
        </w:rPr>
      </w:pPr>
    </w:p>
    <w:p w:rsidR="006453CD" w:rsidRDefault="006453CD" w:rsidP="00D323B2">
      <w:pPr>
        <w:spacing w:line="23" w:lineRule="atLeast"/>
        <w:jc w:val="both"/>
        <w:rPr>
          <w:rFonts w:ascii="Century Gothic" w:hAnsi="Century Gothic" w:cs="Arial"/>
        </w:rPr>
      </w:pPr>
      <w:r w:rsidRPr="00140203">
        <w:rPr>
          <w:rFonts w:ascii="Century Gothic" w:hAnsi="Century Gothic" w:cs="Arial"/>
        </w:rPr>
        <w:t xml:space="preserve">En el caso de Colombia, </w:t>
      </w:r>
      <w:r>
        <w:rPr>
          <w:rFonts w:ascii="Century Gothic" w:hAnsi="Century Gothic" w:cs="Arial"/>
        </w:rPr>
        <w:t>el</w:t>
      </w:r>
      <w:r w:rsidRPr="00140203">
        <w:rPr>
          <w:rFonts w:ascii="Century Gothic" w:hAnsi="Century Gothic" w:cs="Arial"/>
        </w:rPr>
        <w:t xml:space="preserve"> Banco de la República ofrece 7 patrocinios </w:t>
      </w:r>
      <w:r>
        <w:rPr>
          <w:rFonts w:ascii="Century Gothic" w:hAnsi="Century Gothic" w:cs="Arial"/>
        </w:rPr>
        <w:t>al año en el</w:t>
      </w:r>
      <w:r w:rsidRPr="00140203">
        <w:rPr>
          <w:rFonts w:ascii="Century Gothic" w:hAnsi="Century Gothic" w:cs="Arial"/>
        </w:rPr>
        <w:t xml:space="preserve"> que </w:t>
      </w:r>
      <w:r>
        <w:rPr>
          <w:rFonts w:ascii="Century Gothic" w:hAnsi="Century Gothic" w:cs="Arial"/>
        </w:rPr>
        <w:t xml:space="preserve">se </w:t>
      </w:r>
      <w:r w:rsidRPr="00140203">
        <w:rPr>
          <w:rFonts w:ascii="Century Gothic" w:hAnsi="Century Gothic" w:cs="Arial"/>
        </w:rPr>
        <w:t>cubre</w:t>
      </w:r>
      <w:r>
        <w:rPr>
          <w:rFonts w:ascii="Century Gothic" w:hAnsi="Century Gothic" w:cs="Arial"/>
        </w:rPr>
        <w:t>n</w:t>
      </w:r>
      <w:r w:rsidRPr="00140203">
        <w:rPr>
          <w:rFonts w:ascii="Century Gothic" w:hAnsi="Century Gothic" w:cs="Arial"/>
        </w:rPr>
        <w:t xml:space="preserve"> los gastos de matrícula, sostenimiento, viajes, seguro médico </w:t>
      </w:r>
      <w:r>
        <w:rPr>
          <w:rFonts w:ascii="Century Gothic" w:hAnsi="Century Gothic" w:cs="Arial"/>
        </w:rPr>
        <w:t>entre otros</w:t>
      </w:r>
      <w:r w:rsidRPr="00140203">
        <w:rPr>
          <w:rFonts w:ascii="Century Gothic" w:hAnsi="Century Gothic" w:cs="Arial"/>
        </w:rPr>
        <w:t xml:space="preserve">. Organizaciones multilaterales </w:t>
      </w:r>
      <w:r>
        <w:rPr>
          <w:rFonts w:ascii="Century Gothic" w:hAnsi="Century Gothic" w:cs="Arial"/>
        </w:rPr>
        <w:t xml:space="preserve">como la </w:t>
      </w:r>
      <w:r w:rsidRPr="00140203">
        <w:rPr>
          <w:rFonts w:ascii="Century Gothic" w:hAnsi="Century Gothic" w:cs="Arial"/>
        </w:rPr>
        <w:t>Organización de Estados Americanos (OEA)</w:t>
      </w:r>
      <w:r>
        <w:rPr>
          <w:rFonts w:ascii="Century Gothic" w:hAnsi="Century Gothic" w:cs="Arial"/>
        </w:rPr>
        <w:t xml:space="preserve"> generan becas para estudiantes de los países miembros de esta entidad</w:t>
      </w:r>
      <w:r w:rsidRPr="00140203">
        <w:rPr>
          <w:rFonts w:ascii="Century Gothic" w:hAnsi="Century Gothic" w:cs="Arial"/>
        </w:rPr>
        <w:t xml:space="preserve">. </w:t>
      </w:r>
      <w:r>
        <w:rPr>
          <w:rFonts w:ascii="Century Gothic" w:hAnsi="Century Gothic" w:cs="Arial"/>
        </w:rPr>
        <w:t xml:space="preserve">Otras instituciones como </w:t>
      </w:r>
      <w:proofErr w:type="spellStart"/>
      <w:r>
        <w:rPr>
          <w:rFonts w:ascii="Century Gothic" w:hAnsi="Century Gothic" w:cs="Arial"/>
        </w:rPr>
        <w:t>Colfuturo</w:t>
      </w:r>
      <w:proofErr w:type="spellEnd"/>
      <w:r>
        <w:rPr>
          <w:rFonts w:ascii="Century Gothic" w:hAnsi="Century Gothic" w:cs="Arial"/>
        </w:rPr>
        <w:t xml:space="preserve"> e </w:t>
      </w:r>
      <w:proofErr w:type="spellStart"/>
      <w:r>
        <w:rPr>
          <w:rFonts w:ascii="Century Gothic" w:hAnsi="Century Gothic" w:cs="Arial"/>
        </w:rPr>
        <w:t>Icetex</w:t>
      </w:r>
      <w:proofErr w:type="spellEnd"/>
      <w:r>
        <w:rPr>
          <w:rFonts w:ascii="Century Gothic" w:hAnsi="Century Gothic" w:cs="Arial"/>
        </w:rPr>
        <w:t xml:space="preserve"> entregan créditos-beca y apoyos para estudios de posgrado.</w:t>
      </w:r>
    </w:p>
    <w:p w:rsidR="006453CD" w:rsidRDefault="006453CD" w:rsidP="00D323B2">
      <w:pPr>
        <w:spacing w:line="23" w:lineRule="atLeast"/>
        <w:jc w:val="both"/>
        <w:rPr>
          <w:rFonts w:ascii="Century Gothic" w:hAnsi="Century Gothic" w:cs="Arial"/>
        </w:rPr>
      </w:pPr>
    </w:p>
    <w:p w:rsidR="006453CD" w:rsidRDefault="006453CD" w:rsidP="00D323B2">
      <w:pPr>
        <w:spacing w:line="23" w:lineRule="atLeast"/>
        <w:jc w:val="both"/>
        <w:rPr>
          <w:rFonts w:ascii="Century Gothic" w:hAnsi="Century Gothic" w:cs="Arial"/>
        </w:rPr>
      </w:pPr>
      <w:r>
        <w:rPr>
          <w:rFonts w:ascii="Century Gothic" w:hAnsi="Century Gothic" w:cs="Arial"/>
        </w:rPr>
        <w:t xml:space="preserve">A pesar de estos avances continúan existiendo barreras de acceso para quienes quieran obtener becas académicas. La barrera más común es la existencia de altos costos para aplicar a estas convocatorias. A </w:t>
      </w:r>
      <w:proofErr w:type="gramStart"/>
      <w:r>
        <w:rPr>
          <w:rFonts w:ascii="Century Gothic" w:hAnsi="Century Gothic" w:cs="Arial"/>
        </w:rPr>
        <w:t>continuación</w:t>
      </w:r>
      <w:proofErr w:type="gramEnd"/>
      <w:r>
        <w:rPr>
          <w:rFonts w:ascii="Century Gothic" w:hAnsi="Century Gothic" w:cs="Arial"/>
        </w:rPr>
        <w:t xml:space="preserve"> se relacionan los requisitos exigidos normalmente para acceder a una convocatoria educativa en otro país: </w:t>
      </w:r>
    </w:p>
    <w:p w:rsidR="006453CD" w:rsidRDefault="006453CD" w:rsidP="00D323B2">
      <w:pPr>
        <w:spacing w:line="23" w:lineRule="atLeast"/>
        <w:jc w:val="both"/>
        <w:rPr>
          <w:rFonts w:ascii="Century Gothic" w:hAnsi="Century Gothic" w:cs="Arial"/>
          <w:i/>
        </w:rPr>
      </w:pPr>
    </w:p>
    <w:p w:rsidR="00F51CE0" w:rsidRDefault="00F51CE0" w:rsidP="00D323B2">
      <w:pPr>
        <w:spacing w:line="23" w:lineRule="atLeast"/>
        <w:jc w:val="both"/>
        <w:rPr>
          <w:rFonts w:ascii="Century Gothic" w:hAnsi="Century Gothic" w:cs="Arial"/>
          <w:i/>
        </w:rPr>
      </w:pPr>
    </w:p>
    <w:p w:rsidR="00F51CE0" w:rsidRDefault="00F51CE0" w:rsidP="00D323B2">
      <w:pPr>
        <w:spacing w:line="23" w:lineRule="atLeast"/>
        <w:jc w:val="both"/>
        <w:rPr>
          <w:rFonts w:ascii="Century Gothic" w:hAnsi="Century Gothic" w:cs="Arial"/>
          <w:i/>
        </w:rPr>
      </w:pPr>
    </w:p>
    <w:p w:rsidR="00F51CE0" w:rsidRDefault="00F51CE0" w:rsidP="00D323B2">
      <w:pPr>
        <w:spacing w:line="23" w:lineRule="atLeast"/>
        <w:jc w:val="both"/>
        <w:rPr>
          <w:rFonts w:ascii="Century Gothic" w:hAnsi="Century Gothic" w:cs="Arial"/>
          <w:i/>
        </w:rPr>
      </w:pPr>
    </w:p>
    <w:p w:rsidR="00F51CE0" w:rsidRDefault="00F51CE0" w:rsidP="00D323B2">
      <w:pPr>
        <w:spacing w:line="23" w:lineRule="atLeast"/>
        <w:jc w:val="both"/>
        <w:rPr>
          <w:rFonts w:ascii="Century Gothic" w:hAnsi="Century Gothic" w:cs="Arial"/>
          <w:i/>
        </w:rPr>
      </w:pPr>
    </w:p>
    <w:p w:rsidR="00F51CE0" w:rsidRDefault="00F51CE0" w:rsidP="00D323B2">
      <w:pPr>
        <w:spacing w:line="23" w:lineRule="atLeast"/>
        <w:jc w:val="both"/>
        <w:rPr>
          <w:rFonts w:ascii="Century Gothic" w:hAnsi="Century Gothic" w:cs="Arial"/>
          <w:i/>
        </w:rPr>
      </w:pPr>
    </w:p>
    <w:p w:rsidR="00F51CE0" w:rsidRDefault="00F51CE0" w:rsidP="00D323B2">
      <w:pPr>
        <w:spacing w:line="23" w:lineRule="atLeast"/>
        <w:jc w:val="both"/>
        <w:rPr>
          <w:rFonts w:ascii="Century Gothic" w:hAnsi="Century Gothic" w:cs="Arial"/>
          <w:i/>
        </w:rPr>
      </w:pPr>
    </w:p>
    <w:p w:rsidR="00F51CE0" w:rsidRDefault="00F51CE0" w:rsidP="00D323B2">
      <w:pPr>
        <w:spacing w:line="23" w:lineRule="atLeast"/>
        <w:jc w:val="both"/>
        <w:rPr>
          <w:rFonts w:ascii="Century Gothic" w:hAnsi="Century Gothic" w:cs="Arial"/>
          <w:i/>
        </w:rPr>
      </w:pPr>
    </w:p>
    <w:p w:rsidR="00F51CE0" w:rsidRDefault="00F51CE0" w:rsidP="00D323B2">
      <w:pPr>
        <w:spacing w:line="23" w:lineRule="atLeast"/>
        <w:jc w:val="both"/>
        <w:rPr>
          <w:rFonts w:ascii="Century Gothic" w:hAnsi="Century Gothic" w:cs="Arial"/>
          <w:i/>
        </w:rPr>
      </w:pPr>
    </w:p>
    <w:p w:rsidR="00F51CE0" w:rsidRDefault="00F51CE0" w:rsidP="00D323B2">
      <w:pPr>
        <w:spacing w:line="23" w:lineRule="atLeast"/>
        <w:jc w:val="both"/>
        <w:rPr>
          <w:rFonts w:ascii="Century Gothic" w:hAnsi="Century Gothic" w:cs="Arial"/>
          <w:i/>
        </w:rPr>
      </w:pPr>
    </w:p>
    <w:p w:rsidR="00F51CE0" w:rsidRDefault="00F51CE0" w:rsidP="00D323B2">
      <w:pPr>
        <w:spacing w:line="23" w:lineRule="atLeast"/>
        <w:jc w:val="both"/>
        <w:rPr>
          <w:rFonts w:ascii="Century Gothic" w:hAnsi="Century Gothic" w:cs="Arial"/>
          <w:i/>
        </w:rPr>
      </w:pPr>
    </w:p>
    <w:p w:rsidR="00F51CE0" w:rsidRDefault="00F51CE0" w:rsidP="00D323B2">
      <w:pPr>
        <w:spacing w:line="23" w:lineRule="atLeast"/>
        <w:jc w:val="both"/>
        <w:rPr>
          <w:rFonts w:ascii="Century Gothic" w:hAnsi="Century Gothic" w:cs="Arial"/>
          <w:i/>
        </w:rPr>
      </w:pPr>
    </w:p>
    <w:p w:rsidR="00F51CE0" w:rsidRDefault="00F51CE0" w:rsidP="00D323B2">
      <w:pPr>
        <w:spacing w:line="23" w:lineRule="atLeast"/>
        <w:jc w:val="both"/>
        <w:rPr>
          <w:rFonts w:ascii="Century Gothic" w:hAnsi="Century Gothic" w:cs="Arial"/>
          <w:i/>
        </w:rPr>
      </w:pPr>
    </w:p>
    <w:p w:rsidR="00F51CE0" w:rsidRDefault="00F51CE0" w:rsidP="00D323B2">
      <w:pPr>
        <w:spacing w:line="23" w:lineRule="atLeast"/>
        <w:jc w:val="both"/>
        <w:rPr>
          <w:rFonts w:ascii="Century Gothic" w:hAnsi="Century Gothic" w:cs="Arial"/>
          <w:i/>
        </w:rPr>
      </w:pPr>
    </w:p>
    <w:p w:rsidR="00F51CE0" w:rsidRDefault="00F51CE0" w:rsidP="00D323B2">
      <w:pPr>
        <w:spacing w:line="23" w:lineRule="atLeast"/>
        <w:jc w:val="both"/>
        <w:rPr>
          <w:rFonts w:ascii="Century Gothic" w:hAnsi="Century Gothic" w:cs="Arial"/>
          <w:i/>
        </w:rPr>
      </w:pPr>
    </w:p>
    <w:p w:rsidR="00F51CE0" w:rsidRDefault="00F51CE0" w:rsidP="00D323B2">
      <w:pPr>
        <w:spacing w:line="23" w:lineRule="atLeast"/>
        <w:jc w:val="both"/>
        <w:rPr>
          <w:rFonts w:ascii="Century Gothic" w:hAnsi="Century Gothic" w:cs="Arial"/>
          <w:i/>
        </w:rPr>
      </w:pPr>
    </w:p>
    <w:p w:rsidR="00F51CE0" w:rsidRDefault="00F51CE0" w:rsidP="00D323B2">
      <w:pPr>
        <w:spacing w:line="23" w:lineRule="atLeast"/>
        <w:jc w:val="both"/>
        <w:rPr>
          <w:rFonts w:ascii="Century Gothic" w:hAnsi="Century Gothic" w:cs="Arial"/>
          <w:i/>
        </w:rPr>
      </w:pPr>
    </w:p>
    <w:p w:rsidR="00F51CE0" w:rsidRDefault="00F51CE0" w:rsidP="00D323B2">
      <w:pPr>
        <w:spacing w:line="23" w:lineRule="atLeast"/>
        <w:jc w:val="both"/>
        <w:rPr>
          <w:rFonts w:ascii="Century Gothic" w:hAnsi="Century Gothic" w:cs="Arial"/>
          <w:i/>
        </w:rPr>
      </w:pPr>
    </w:p>
    <w:p w:rsidR="006453CD" w:rsidRDefault="006453CD" w:rsidP="00D323B2">
      <w:pPr>
        <w:spacing w:line="23" w:lineRule="atLeast"/>
        <w:jc w:val="both"/>
        <w:rPr>
          <w:rFonts w:ascii="Century Gothic" w:hAnsi="Century Gothic" w:cs="Arial"/>
          <w:i/>
        </w:rPr>
      </w:pPr>
      <w:r>
        <w:rPr>
          <w:rFonts w:ascii="Century Gothic" w:hAnsi="Century Gothic" w:cs="Arial"/>
          <w:i/>
        </w:rPr>
        <w:lastRenderedPageBreak/>
        <w:t>Tabla 1. Requisitos exigidos para aplicar a una convocatoria académica y su respectivo valor económico.</w:t>
      </w:r>
    </w:p>
    <w:p w:rsidR="00F51CE0" w:rsidRPr="004D74F1" w:rsidRDefault="00F51CE0" w:rsidP="00D323B2">
      <w:pPr>
        <w:spacing w:line="23" w:lineRule="atLeast"/>
        <w:jc w:val="both"/>
        <w:rPr>
          <w:rFonts w:ascii="Century Gothic" w:hAnsi="Century Gothic" w:cs="Arial"/>
          <w:i/>
        </w:rPr>
      </w:pPr>
    </w:p>
    <w:tbl>
      <w:tblPr>
        <w:tblStyle w:val="Tablaconcuadrcula"/>
        <w:tblW w:w="0" w:type="auto"/>
        <w:tblLook w:val="04A0" w:firstRow="1" w:lastRow="0" w:firstColumn="1" w:lastColumn="0" w:noHBand="0" w:noVBand="1"/>
      </w:tblPr>
      <w:tblGrid>
        <w:gridCol w:w="4414"/>
        <w:gridCol w:w="4414"/>
      </w:tblGrid>
      <w:tr w:rsidR="006453CD" w:rsidRPr="00140203" w:rsidTr="00C53057">
        <w:tc>
          <w:tcPr>
            <w:tcW w:w="4414" w:type="dxa"/>
          </w:tcPr>
          <w:p w:rsidR="006453CD" w:rsidRPr="004D74F1" w:rsidRDefault="006453CD" w:rsidP="00D323B2">
            <w:pPr>
              <w:tabs>
                <w:tab w:val="left" w:pos="5292"/>
              </w:tabs>
              <w:spacing w:line="23" w:lineRule="atLeast"/>
              <w:jc w:val="center"/>
              <w:rPr>
                <w:rFonts w:ascii="Century Gothic" w:hAnsi="Century Gothic" w:cs="Arial"/>
                <w:b/>
              </w:rPr>
            </w:pPr>
            <w:r w:rsidRPr="004D74F1">
              <w:rPr>
                <w:rFonts w:ascii="Century Gothic" w:hAnsi="Century Gothic" w:cs="Arial"/>
                <w:b/>
              </w:rPr>
              <w:t>Requisitos</w:t>
            </w:r>
          </w:p>
        </w:tc>
        <w:tc>
          <w:tcPr>
            <w:tcW w:w="4414" w:type="dxa"/>
          </w:tcPr>
          <w:p w:rsidR="006453CD" w:rsidRPr="004D74F1" w:rsidRDefault="006453CD" w:rsidP="00D323B2">
            <w:pPr>
              <w:tabs>
                <w:tab w:val="left" w:pos="5292"/>
              </w:tabs>
              <w:spacing w:line="23" w:lineRule="atLeast"/>
              <w:jc w:val="center"/>
              <w:rPr>
                <w:rFonts w:ascii="Century Gothic" w:hAnsi="Century Gothic" w:cs="Arial"/>
                <w:b/>
              </w:rPr>
            </w:pPr>
            <w:r w:rsidRPr="004D74F1">
              <w:rPr>
                <w:rFonts w:ascii="Century Gothic" w:hAnsi="Century Gothic" w:cs="Arial"/>
                <w:b/>
              </w:rPr>
              <w:t>Valor promedio</w:t>
            </w:r>
          </w:p>
        </w:tc>
      </w:tr>
      <w:tr w:rsidR="006453CD" w:rsidRPr="00140203" w:rsidTr="00C53057">
        <w:tc>
          <w:tcPr>
            <w:tcW w:w="4414" w:type="dxa"/>
          </w:tcPr>
          <w:p w:rsidR="006453CD" w:rsidRPr="00140203" w:rsidRDefault="006453CD" w:rsidP="00D323B2">
            <w:pPr>
              <w:tabs>
                <w:tab w:val="left" w:pos="5292"/>
              </w:tabs>
              <w:spacing w:line="23" w:lineRule="atLeast"/>
              <w:jc w:val="both"/>
              <w:rPr>
                <w:rFonts w:ascii="Century Gothic" w:hAnsi="Century Gothic" w:cs="Arial"/>
              </w:rPr>
            </w:pPr>
            <w:r w:rsidRPr="00140203">
              <w:rPr>
                <w:rFonts w:ascii="Century Gothic" w:hAnsi="Century Gothic" w:cs="Arial"/>
              </w:rPr>
              <w:t>Certificado de notas</w:t>
            </w:r>
          </w:p>
        </w:tc>
        <w:tc>
          <w:tcPr>
            <w:tcW w:w="4414" w:type="dxa"/>
          </w:tcPr>
          <w:p w:rsidR="006453CD" w:rsidRPr="00140203" w:rsidRDefault="006453CD" w:rsidP="00D323B2">
            <w:pPr>
              <w:tabs>
                <w:tab w:val="left" w:pos="5292"/>
              </w:tabs>
              <w:spacing w:line="23" w:lineRule="atLeast"/>
              <w:jc w:val="both"/>
              <w:rPr>
                <w:rFonts w:ascii="Century Gothic" w:hAnsi="Century Gothic" w:cs="Arial"/>
              </w:rPr>
            </w:pPr>
            <w:r w:rsidRPr="00140203">
              <w:rPr>
                <w:rFonts w:ascii="Century Gothic" w:hAnsi="Century Gothic" w:cs="Arial"/>
              </w:rPr>
              <w:t>$27.600</w:t>
            </w:r>
          </w:p>
        </w:tc>
      </w:tr>
      <w:tr w:rsidR="006453CD" w:rsidRPr="00140203" w:rsidTr="00C53057">
        <w:tc>
          <w:tcPr>
            <w:tcW w:w="4414" w:type="dxa"/>
          </w:tcPr>
          <w:p w:rsidR="006453CD" w:rsidRPr="00140203" w:rsidRDefault="006453CD" w:rsidP="00D323B2">
            <w:pPr>
              <w:tabs>
                <w:tab w:val="left" w:pos="5292"/>
              </w:tabs>
              <w:spacing w:line="23" w:lineRule="atLeast"/>
              <w:jc w:val="both"/>
              <w:rPr>
                <w:rFonts w:ascii="Century Gothic" w:hAnsi="Century Gothic" w:cs="Arial"/>
              </w:rPr>
            </w:pPr>
            <w:r w:rsidRPr="00140203">
              <w:rPr>
                <w:rFonts w:ascii="Century Gothic" w:hAnsi="Century Gothic" w:cs="Arial"/>
              </w:rPr>
              <w:t>Certificado de estudios</w:t>
            </w:r>
          </w:p>
        </w:tc>
        <w:tc>
          <w:tcPr>
            <w:tcW w:w="4414" w:type="dxa"/>
          </w:tcPr>
          <w:p w:rsidR="006453CD" w:rsidRPr="00140203" w:rsidRDefault="006453CD" w:rsidP="00D323B2">
            <w:pPr>
              <w:tabs>
                <w:tab w:val="left" w:pos="5292"/>
              </w:tabs>
              <w:spacing w:line="23" w:lineRule="atLeast"/>
              <w:jc w:val="both"/>
              <w:rPr>
                <w:rFonts w:ascii="Century Gothic" w:hAnsi="Century Gothic" w:cs="Arial"/>
              </w:rPr>
            </w:pPr>
            <w:r w:rsidRPr="00140203">
              <w:rPr>
                <w:rFonts w:ascii="Century Gothic" w:hAnsi="Century Gothic" w:cs="Arial"/>
              </w:rPr>
              <w:t>$27.600</w:t>
            </w:r>
          </w:p>
        </w:tc>
      </w:tr>
      <w:tr w:rsidR="006453CD" w:rsidRPr="00140203" w:rsidTr="00C53057">
        <w:tc>
          <w:tcPr>
            <w:tcW w:w="4414" w:type="dxa"/>
          </w:tcPr>
          <w:p w:rsidR="006453CD" w:rsidRPr="00140203" w:rsidRDefault="006453CD" w:rsidP="00D323B2">
            <w:pPr>
              <w:tabs>
                <w:tab w:val="left" w:pos="5292"/>
              </w:tabs>
              <w:spacing w:line="23" w:lineRule="atLeast"/>
              <w:jc w:val="both"/>
              <w:rPr>
                <w:rFonts w:ascii="Century Gothic" w:hAnsi="Century Gothic" w:cs="Arial"/>
              </w:rPr>
            </w:pPr>
            <w:r w:rsidRPr="00140203">
              <w:rPr>
                <w:rFonts w:ascii="Century Gothic" w:hAnsi="Century Gothic" w:cs="Arial"/>
              </w:rPr>
              <w:t xml:space="preserve">Fotocopia del título universitario certificado con certificado autenticidad del título </w:t>
            </w:r>
          </w:p>
        </w:tc>
        <w:tc>
          <w:tcPr>
            <w:tcW w:w="4414" w:type="dxa"/>
          </w:tcPr>
          <w:p w:rsidR="006453CD" w:rsidRPr="00140203" w:rsidRDefault="006453CD" w:rsidP="00D323B2">
            <w:pPr>
              <w:tabs>
                <w:tab w:val="left" w:pos="5292"/>
              </w:tabs>
              <w:spacing w:line="23" w:lineRule="atLeast"/>
              <w:jc w:val="both"/>
              <w:rPr>
                <w:rFonts w:ascii="Century Gothic" w:hAnsi="Century Gothic" w:cs="Arial"/>
              </w:rPr>
            </w:pPr>
            <w:r w:rsidRPr="00140203">
              <w:rPr>
                <w:rFonts w:ascii="Century Gothic" w:hAnsi="Century Gothic" w:cs="Arial"/>
              </w:rPr>
              <w:t>$27.600</w:t>
            </w:r>
          </w:p>
        </w:tc>
      </w:tr>
      <w:tr w:rsidR="006453CD" w:rsidRPr="00140203" w:rsidTr="00C53057">
        <w:tc>
          <w:tcPr>
            <w:tcW w:w="4414" w:type="dxa"/>
          </w:tcPr>
          <w:p w:rsidR="006453CD" w:rsidRPr="00140203" w:rsidRDefault="006453CD" w:rsidP="00D323B2">
            <w:pPr>
              <w:tabs>
                <w:tab w:val="left" w:pos="5292"/>
              </w:tabs>
              <w:spacing w:line="23" w:lineRule="atLeast"/>
              <w:jc w:val="both"/>
              <w:rPr>
                <w:rFonts w:ascii="Century Gothic" w:hAnsi="Century Gothic" w:cs="Arial"/>
              </w:rPr>
            </w:pPr>
            <w:r w:rsidRPr="00140203">
              <w:rPr>
                <w:rFonts w:ascii="Century Gothic" w:hAnsi="Century Gothic" w:cs="Arial"/>
              </w:rPr>
              <w:t>Certificado de conocimiento de inglés</w:t>
            </w:r>
            <w:r w:rsidRPr="00140203">
              <w:rPr>
                <w:rStyle w:val="Refdenotaalpie"/>
                <w:rFonts w:ascii="Century Gothic" w:hAnsi="Century Gothic" w:cs="Arial"/>
              </w:rPr>
              <w:footnoteReference w:id="3"/>
            </w:r>
          </w:p>
        </w:tc>
        <w:tc>
          <w:tcPr>
            <w:tcW w:w="4414" w:type="dxa"/>
          </w:tcPr>
          <w:p w:rsidR="006453CD" w:rsidRPr="00140203" w:rsidRDefault="006453CD" w:rsidP="00D323B2">
            <w:pPr>
              <w:tabs>
                <w:tab w:val="left" w:pos="5292"/>
              </w:tabs>
              <w:spacing w:line="23" w:lineRule="atLeast"/>
              <w:jc w:val="both"/>
              <w:rPr>
                <w:rFonts w:ascii="Century Gothic" w:hAnsi="Century Gothic" w:cs="Arial"/>
              </w:rPr>
            </w:pPr>
            <w:r w:rsidRPr="00140203">
              <w:rPr>
                <w:rFonts w:ascii="Century Gothic" w:hAnsi="Century Gothic" w:cs="Arial"/>
              </w:rPr>
              <w:t>IELTS: $634.000</w:t>
            </w:r>
          </w:p>
          <w:p w:rsidR="006453CD" w:rsidRPr="00140203" w:rsidRDefault="006453CD" w:rsidP="00D323B2">
            <w:pPr>
              <w:tabs>
                <w:tab w:val="left" w:pos="5292"/>
              </w:tabs>
              <w:spacing w:line="23" w:lineRule="atLeast"/>
              <w:jc w:val="both"/>
              <w:rPr>
                <w:rFonts w:ascii="Century Gothic" w:hAnsi="Century Gothic" w:cs="Arial"/>
              </w:rPr>
            </w:pPr>
            <w:r w:rsidRPr="00140203">
              <w:rPr>
                <w:rFonts w:ascii="Century Gothic" w:hAnsi="Century Gothic" w:cs="Arial"/>
              </w:rPr>
              <w:t xml:space="preserve">TOEFL: Entre </w:t>
            </w:r>
            <w:r>
              <w:rPr>
                <w:rFonts w:ascii="Century Gothic" w:hAnsi="Century Gothic" w:cs="Arial"/>
              </w:rPr>
              <w:t>$496.000 y $775.000</w:t>
            </w:r>
          </w:p>
        </w:tc>
      </w:tr>
      <w:tr w:rsidR="006453CD" w:rsidRPr="00140203" w:rsidTr="00C53057">
        <w:tc>
          <w:tcPr>
            <w:tcW w:w="4414" w:type="dxa"/>
          </w:tcPr>
          <w:p w:rsidR="006453CD" w:rsidRPr="00140203" w:rsidRDefault="006453CD" w:rsidP="00D323B2">
            <w:pPr>
              <w:tabs>
                <w:tab w:val="left" w:pos="5292"/>
              </w:tabs>
              <w:spacing w:line="23" w:lineRule="atLeast"/>
              <w:jc w:val="both"/>
              <w:rPr>
                <w:rFonts w:ascii="Century Gothic" w:hAnsi="Century Gothic" w:cs="Arial"/>
              </w:rPr>
            </w:pPr>
            <w:r>
              <w:rPr>
                <w:rFonts w:ascii="Century Gothic" w:hAnsi="Century Gothic" w:cs="Arial"/>
              </w:rPr>
              <w:t>Pasaporte</w:t>
            </w:r>
          </w:p>
        </w:tc>
        <w:tc>
          <w:tcPr>
            <w:tcW w:w="4414" w:type="dxa"/>
          </w:tcPr>
          <w:p w:rsidR="006453CD" w:rsidRPr="00140203" w:rsidRDefault="006453CD" w:rsidP="00D323B2">
            <w:pPr>
              <w:tabs>
                <w:tab w:val="left" w:pos="5292"/>
              </w:tabs>
              <w:spacing w:line="23" w:lineRule="atLeast"/>
              <w:jc w:val="both"/>
              <w:rPr>
                <w:rFonts w:ascii="Century Gothic" w:hAnsi="Century Gothic" w:cs="Arial"/>
              </w:rPr>
            </w:pPr>
            <w:r w:rsidRPr="00140203">
              <w:rPr>
                <w:rFonts w:ascii="Century Gothic" w:hAnsi="Century Gothic" w:cs="Arial"/>
              </w:rPr>
              <w:t>$166.000</w:t>
            </w:r>
          </w:p>
        </w:tc>
      </w:tr>
      <w:tr w:rsidR="006453CD" w:rsidRPr="00140203" w:rsidTr="00C53057">
        <w:tc>
          <w:tcPr>
            <w:tcW w:w="4414" w:type="dxa"/>
          </w:tcPr>
          <w:p w:rsidR="006453CD" w:rsidRPr="00140203" w:rsidRDefault="006453CD" w:rsidP="00D323B2">
            <w:pPr>
              <w:tabs>
                <w:tab w:val="left" w:pos="5292"/>
              </w:tabs>
              <w:spacing w:line="23" w:lineRule="atLeast"/>
              <w:jc w:val="both"/>
              <w:rPr>
                <w:rFonts w:ascii="Century Gothic" w:hAnsi="Century Gothic" w:cs="Arial"/>
              </w:rPr>
            </w:pPr>
            <w:r>
              <w:rPr>
                <w:rFonts w:ascii="Century Gothic" w:hAnsi="Century Gothic" w:cs="Arial"/>
              </w:rPr>
              <w:t>Otros</w:t>
            </w:r>
            <w:r w:rsidRPr="00140203">
              <w:rPr>
                <w:rFonts w:ascii="Century Gothic" w:hAnsi="Century Gothic" w:cs="Arial"/>
              </w:rPr>
              <w:t>: Fotografías, traducciones, fotocopias, formularios, entre otros.</w:t>
            </w:r>
          </w:p>
        </w:tc>
        <w:tc>
          <w:tcPr>
            <w:tcW w:w="4414" w:type="dxa"/>
          </w:tcPr>
          <w:p w:rsidR="006453CD" w:rsidRPr="00140203" w:rsidRDefault="006453CD" w:rsidP="00D323B2">
            <w:pPr>
              <w:tabs>
                <w:tab w:val="left" w:pos="5292"/>
              </w:tabs>
              <w:spacing w:line="23" w:lineRule="atLeast"/>
              <w:jc w:val="both"/>
              <w:rPr>
                <w:rFonts w:ascii="Century Gothic" w:hAnsi="Century Gothic" w:cs="Arial"/>
              </w:rPr>
            </w:pPr>
            <w:r w:rsidRPr="00140203">
              <w:rPr>
                <w:rFonts w:ascii="Century Gothic" w:hAnsi="Century Gothic" w:cs="Arial"/>
              </w:rPr>
              <w:t>$300.000</w:t>
            </w:r>
          </w:p>
        </w:tc>
      </w:tr>
      <w:tr w:rsidR="006453CD" w:rsidRPr="00140203" w:rsidTr="00C53057">
        <w:tc>
          <w:tcPr>
            <w:tcW w:w="4414" w:type="dxa"/>
          </w:tcPr>
          <w:p w:rsidR="006453CD" w:rsidRPr="000324A4" w:rsidRDefault="006453CD" w:rsidP="00D323B2">
            <w:pPr>
              <w:tabs>
                <w:tab w:val="left" w:pos="5292"/>
              </w:tabs>
              <w:spacing w:line="23" w:lineRule="atLeast"/>
              <w:jc w:val="both"/>
              <w:rPr>
                <w:rFonts w:ascii="Century Gothic" w:hAnsi="Century Gothic" w:cs="Arial"/>
                <w:b/>
              </w:rPr>
            </w:pPr>
            <w:r w:rsidRPr="000324A4">
              <w:rPr>
                <w:rFonts w:ascii="Century Gothic" w:hAnsi="Century Gothic" w:cs="Arial"/>
                <w:b/>
              </w:rPr>
              <w:t>Total promedio</w:t>
            </w:r>
          </w:p>
        </w:tc>
        <w:tc>
          <w:tcPr>
            <w:tcW w:w="4414" w:type="dxa"/>
          </w:tcPr>
          <w:p w:rsidR="006453CD" w:rsidRPr="000324A4" w:rsidRDefault="006453CD" w:rsidP="00D323B2">
            <w:pPr>
              <w:tabs>
                <w:tab w:val="left" w:pos="5292"/>
              </w:tabs>
              <w:spacing w:line="23" w:lineRule="atLeast"/>
              <w:jc w:val="both"/>
              <w:rPr>
                <w:rFonts w:ascii="Century Gothic" w:hAnsi="Century Gothic" w:cs="Arial"/>
                <w:b/>
              </w:rPr>
            </w:pPr>
            <w:r w:rsidRPr="000324A4">
              <w:rPr>
                <w:rFonts w:ascii="Century Gothic" w:hAnsi="Century Gothic" w:cs="Arial"/>
                <w:b/>
              </w:rPr>
              <w:t>$1.182.800</w:t>
            </w:r>
          </w:p>
        </w:tc>
      </w:tr>
      <w:tr w:rsidR="006453CD" w:rsidRPr="00140203" w:rsidTr="00C53057">
        <w:tc>
          <w:tcPr>
            <w:tcW w:w="4414" w:type="dxa"/>
          </w:tcPr>
          <w:p w:rsidR="006453CD" w:rsidRPr="00140203" w:rsidRDefault="006453CD" w:rsidP="00D323B2">
            <w:pPr>
              <w:tabs>
                <w:tab w:val="left" w:pos="5292"/>
              </w:tabs>
              <w:spacing w:line="23" w:lineRule="atLeast"/>
              <w:jc w:val="both"/>
              <w:rPr>
                <w:rFonts w:ascii="Century Gothic" w:hAnsi="Century Gothic" w:cs="Arial"/>
              </w:rPr>
            </w:pPr>
            <w:proofErr w:type="spellStart"/>
            <w:r w:rsidRPr="00140203">
              <w:rPr>
                <w:rFonts w:ascii="Century Gothic" w:hAnsi="Century Gothic" w:cs="Arial"/>
              </w:rPr>
              <w:t>Apostillaje</w:t>
            </w:r>
            <w:proofErr w:type="spellEnd"/>
            <w:r w:rsidRPr="00140203">
              <w:rPr>
                <w:rStyle w:val="Refdenotaalpie"/>
                <w:rFonts w:ascii="Century Gothic" w:hAnsi="Century Gothic" w:cs="Arial"/>
              </w:rPr>
              <w:footnoteReference w:id="4"/>
            </w:r>
            <w:r w:rsidRPr="00140203">
              <w:rPr>
                <w:rFonts w:ascii="Century Gothic" w:hAnsi="Century Gothic" w:cs="Arial"/>
              </w:rPr>
              <w:t xml:space="preserve"> (en caso de que la universidad lo exija)</w:t>
            </w:r>
          </w:p>
        </w:tc>
        <w:tc>
          <w:tcPr>
            <w:tcW w:w="4414" w:type="dxa"/>
          </w:tcPr>
          <w:p w:rsidR="006453CD" w:rsidRPr="00140203" w:rsidRDefault="006453CD" w:rsidP="00D323B2">
            <w:pPr>
              <w:tabs>
                <w:tab w:val="left" w:pos="5292"/>
              </w:tabs>
              <w:spacing w:line="23" w:lineRule="atLeast"/>
              <w:jc w:val="both"/>
              <w:rPr>
                <w:rFonts w:ascii="Century Gothic" w:hAnsi="Century Gothic" w:cs="Arial"/>
              </w:rPr>
            </w:pPr>
            <w:r w:rsidRPr="00140203">
              <w:rPr>
                <w:rFonts w:ascii="Century Gothic" w:hAnsi="Century Gothic" w:cs="Arial"/>
              </w:rPr>
              <w:t>$31.000 por documento</w:t>
            </w:r>
          </w:p>
        </w:tc>
      </w:tr>
      <w:tr w:rsidR="006453CD" w:rsidRPr="00140203" w:rsidTr="00C53057">
        <w:tc>
          <w:tcPr>
            <w:tcW w:w="4414" w:type="dxa"/>
          </w:tcPr>
          <w:p w:rsidR="006453CD" w:rsidRPr="000324A4" w:rsidRDefault="006453CD" w:rsidP="00D323B2">
            <w:pPr>
              <w:tabs>
                <w:tab w:val="left" w:pos="5292"/>
              </w:tabs>
              <w:spacing w:line="23" w:lineRule="atLeast"/>
              <w:jc w:val="both"/>
              <w:rPr>
                <w:rFonts w:ascii="Century Gothic" w:hAnsi="Century Gothic" w:cs="Arial"/>
                <w:b/>
              </w:rPr>
            </w:pPr>
            <w:r w:rsidRPr="000324A4">
              <w:rPr>
                <w:rFonts w:ascii="Century Gothic" w:hAnsi="Century Gothic" w:cs="Arial"/>
                <w:b/>
              </w:rPr>
              <w:t xml:space="preserve">Total promedio con </w:t>
            </w:r>
            <w:proofErr w:type="spellStart"/>
            <w:r w:rsidRPr="000324A4">
              <w:rPr>
                <w:rFonts w:ascii="Century Gothic" w:hAnsi="Century Gothic" w:cs="Arial"/>
                <w:b/>
              </w:rPr>
              <w:t>apostillaje</w:t>
            </w:r>
            <w:proofErr w:type="spellEnd"/>
          </w:p>
        </w:tc>
        <w:tc>
          <w:tcPr>
            <w:tcW w:w="4414" w:type="dxa"/>
          </w:tcPr>
          <w:p w:rsidR="006453CD" w:rsidRPr="000324A4" w:rsidRDefault="006453CD" w:rsidP="00D323B2">
            <w:pPr>
              <w:tabs>
                <w:tab w:val="left" w:pos="5292"/>
              </w:tabs>
              <w:spacing w:line="23" w:lineRule="atLeast"/>
              <w:jc w:val="both"/>
              <w:rPr>
                <w:rFonts w:ascii="Century Gothic" w:hAnsi="Century Gothic" w:cs="Arial"/>
                <w:b/>
              </w:rPr>
            </w:pPr>
            <w:r w:rsidRPr="000324A4">
              <w:rPr>
                <w:rFonts w:ascii="Century Gothic" w:hAnsi="Century Gothic" w:cs="Arial"/>
                <w:b/>
              </w:rPr>
              <w:t>$1.275.800</w:t>
            </w:r>
          </w:p>
        </w:tc>
      </w:tr>
    </w:tbl>
    <w:p w:rsidR="006453CD" w:rsidRDefault="006453CD" w:rsidP="00D323B2">
      <w:pPr>
        <w:spacing w:line="23" w:lineRule="atLeast"/>
        <w:jc w:val="both"/>
        <w:rPr>
          <w:rFonts w:ascii="Century Gothic" w:hAnsi="Century Gothic" w:cs="Arial"/>
          <w:sz w:val="20"/>
          <w:szCs w:val="20"/>
        </w:rPr>
      </w:pPr>
      <w:r w:rsidRPr="000324A4">
        <w:rPr>
          <w:rFonts w:ascii="Century Gothic" w:hAnsi="Century Gothic" w:cs="Arial"/>
          <w:sz w:val="20"/>
          <w:szCs w:val="20"/>
        </w:rPr>
        <w:t>Fuente: Cálculos propios</w:t>
      </w:r>
      <w:r>
        <w:rPr>
          <w:rFonts w:ascii="Century Gothic" w:hAnsi="Century Gothic" w:cs="Arial"/>
          <w:sz w:val="20"/>
          <w:szCs w:val="20"/>
        </w:rPr>
        <w:t xml:space="preserve"> en base a información solicitada ante diferentes instituciones educativas y de Gobierno. </w:t>
      </w:r>
    </w:p>
    <w:p w:rsidR="006453CD" w:rsidRDefault="006453CD" w:rsidP="00D323B2">
      <w:pPr>
        <w:spacing w:line="23" w:lineRule="atLeast"/>
        <w:jc w:val="both"/>
        <w:rPr>
          <w:rFonts w:ascii="Century Gothic" w:hAnsi="Century Gothic" w:cs="Arial"/>
        </w:rPr>
      </w:pPr>
    </w:p>
    <w:p w:rsidR="006453CD" w:rsidRPr="000324A4" w:rsidRDefault="006453CD" w:rsidP="00D323B2">
      <w:pPr>
        <w:spacing w:line="23" w:lineRule="atLeast"/>
        <w:jc w:val="both"/>
        <w:rPr>
          <w:rFonts w:ascii="Century Gothic" w:hAnsi="Century Gothic" w:cs="Arial"/>
        </w:rPr>
      </w:pPr>
    </w:p>
    <w:p w:rsidR="006453CD" w:rsidRDefault="006453CD" w:rsidP="00D323B2">
      <w:pPr>
        <w:spacing w:line="23" w:lineRule="atLeast"/>
        <w:jc w:val="both"/>
        <w:rPr>
          <w:rFonts w:ascii="Century Gothic" w:hAnsi="Century Gothic" w:cs="Arial"/>
          <w:b/>
        </w:rPr>
      </w:pPr>
      <w:r w:rsidRPr="00971F86">
        <w:rPr>
          <w:rFonts w:ascii="Century Gothic" w:hAnsi="Century Gothic" w:cs="Arial"/>
          <w:b/>
        </w:rPr>
        <w:t>Propuesta</w:t>
      </w:r>
    </w:p>
    <w:p w:rsidR="006453CD" w:rsidRPr="00971F86" w:rsidRDefault="006453CD" w:rsidP="00D323B2">
      <w:pPr>
        <w:spacing w:line="23" w:lineRule="atLeast"/>
        <w:jc w:val="both"/>
        <w:rPr>
          <w:rFonts w:ascii="Century Gothic" w:hAnsi="Century Gothic" w:cs="Arial"/>
          <w:b/>
        </w:rPr>
      </w:pPr>
    </w:p>
    <w:p w:rsidR="006453CD" w:rsidRDefault="006453CD" w:rsidP="00D323B2">
      <w:pPr>
        <w:spacing w:line="23" w:lineRule="atLeast"/>
        <w:jc w:val="both"/>
        <w:rPr>
          <w:rFonts w:ascii="Century Gothic" w:hAnsi="Century Gothic" w:cs="Arial"/>
        </w:rPr>
      </w:pPr>
      <w:r>
        <w:rPr>
          <w:rFonts w:ascii="Century Gothic" w:hAnsi="Century Gothic" w:cs="Arial"/>
        </w:rPr>
        <w:t>El</w:t>
      </w:r>
      <w:r w:rsidRPr="00140203">
        <w:rPr>
          <w:rFonts w:ascii="Century Gothic" w:hAnsi="Century Gothic" w:cs="Arial"/>
        </w:rPr>
        <w:t xml:space="preserve"> presente proyecto de ley busca brindar un </w:t>
      </w:r>
      <w:r>
        <w:rPr>
          <w:rFonts w:ascii="Century Gothic" w:hAnsi="Century Gothic" w:cs="Arial"/>
        </w:rPr>
        <w:t xml:space="preserve">subsidio entre 0,4 y 0,6 Salarios Mínimos Mensuales Legales Vigentes </w:t>
      </w:r>
      <w:r w:rsidRPr="00140203">
        <w:rPr>
          <w:rFonts w:ascii="Century Gothic" w:hAnsi="Century Gothic" w:cs="Arial"/>
        </w:rPr>
        <w:t xml:space="preserve">a la población con título profesional que se encuentre realizando trámites para un proceso de admisión </w:t>
      </w:r>
      <w:r>
        <w:rPr>
          <w:rFonts w:ascii="Century Gothic" w:hAnsi="Century Gothic" w:cs="Arial"/>
        </w:rPr>
        <w:t>de posgrado en otro país y/</w:t>
      </w:r>
      <w:r w:rsidRPr="00140203">
        <w:rPr>
          <w:rFonts w:ascii="Century Gothic" w:hAnsi="Century Gothic" w:cs="Arial"/>
        </w:rPr>
        <w:t>o un proce</w:t>
      </w:r>
      <w:r>
        <w:rPr>
          <w:rFonts w:ascii="Century Gothic" w:hAnsi="Century Gothic" w:cs="Arial"/>
        </w:rPr>
        <w:t>so de convocatoria para una beca académica de posgrado en el exterior</w:t>
      </w:r>
      <w:r w:rsidRPr="00140203">
        <w:rPr>
          <w:rFonts w:ascii="Century Gothic" w:hAnsi="Century Gothic" w:cs="Arial"/>
        </w:rPr>
        <w:t xml:space="preserve">. </w:t>
      </w:r>
      <w:r>
        <w:rPr>
          <w:rFonts w:ascii="Century Gothic" w:hAnsi="Century Gothic" w:cs="Arial"/>
        </w:rPr>
        <w:t xml:space="preserve">El objetivo de eliminar esta barrera es fortalecer los procesos educativos con lo que se permite crear una sociedad de conocimiento en el país. </w:t>
      </w:r>
    </w:p>
    <w:p w:rsidR="006453CD" w:rsidRDefault="006453CD" w:rsidP="00D323B2">
      <w:pPr>
        <w:spacing w:line="23" w:lineRule="atLeast"/>
        <w:jc w:val="both"/>
        <w:rPr>
          <w:rFonts w:ascii="Century Gothic" w:hAnsi="Century Gothic" w:cs="Arial"/>
        </w:rPr>
      </w:pPr>
    </w:p>
    <w:p w:rsidR="006453CD" w:rsidRDefault="006453CD" w:rsidP="00D323B2">
      <w:pPr>
        <w:spacing w:line="23" w:lineRule="atLeast"/>
        <w:jc w:val="both"/>
        <w:rPr>
          <w:rFonts w:ascii="Century Gothic" w:hAnsi="Century Gothic" w:cs="Arial"/>
        </w:rPr>
      </w:pPr>
      <w:r>
        <w:rPr>
          <w:rFonts w:ascii="Century Gothic" w:hAnsi="Century Gothic" w:cs="Arial"/>
        </w:rPr>
        <w:t xml:space="preserve">La razón por la que se crea este subsidio para aplicaciones en el exterior y no en el país, es porque se necesitan exámenes de validación de otros idiomas, traducciones oficiales y </w:t>
      </w:r>
      <w:proofErr w:type="spellStart"/>
      <w:r>
        <w:rPr>
          <w:rFonts w:ascii="Century Gothic" w:hAnsi="Century Gothic" w:cs="Arial"/>
        </w:rPr>
        <w:t>apostillaje</w:t>
      </w:r>
      <w:proofErr w:type="spellEnd"/>
      <w:r>
        <w:rPr>
          <w:rFonts w:ascii="Century Gothic" w:hAnsi="Century Gothic" w:cs="Arial"/>
        </w:rPr>
        <w:t xml:space="preserve"> y legalización de documentos </w:t>
      </w:r>
      <w:r>
        <w:rPr>
          <w:rFonts w:ascii="Century Gothic" w:hAnsi="Century Gothic" w:cs="Arial"/>
        </w:rPr>
        <w:lastRenderedPageBreak/>
        <w:t xml:space="preserve">que representan en promedio $1,275,800 por aplicación. </w:t>
      </w:r>
      <w:r w:rsidR="00F51CE0">
        <w:rPr>
          <w:rFonts w:ascii="Century Gothic" w:hAnsi="Century Gothic" w:cs="Arial"/>
        </w:rPr>
        <w:t>Aun</w:t>
      </w:r>
      <w:r>
        <w:rPr>
          <w:rFonts w:ascii="Century Gothic" w:hAnsi="Century Gothic" w:cs="Arial"/>
        </w:rPr>
        <w:t xml:space="preserve"> así, hay medidas que también aliviarían el costo de aplicación a posgrados en el país. </w:t>
      </w:r>
    </w:p>
    <w:p w:rsidR="006453CD" w:rsidRDefault="006453CD" w:rsidP="00D323B2">
      <w:pPr>
        <w:spacing w:line="23" w:lineRule="atLeast"/>
        <w:jc w:val="both"/>
        <w:rPr>
          <w:rFonts w:ascii="Century Gothic" w:hAnsi="Century Gothic" w:cs="Arial"/>
        </w:rPr>
      </w:pPr>
    </w:p>
    <w:p w:rsidR="006453CD" w:rsidRDefault="006453CD" w:rsidP="00D323B2">
      <w:pPr>
        <w:spacing w:line="23" w:lineRule="atLeast"/>
        <w:jc w:val="both"/>
        <w:rPr>
          <w:rFonts w:ascii="Century Gothic" w:hAnsi="Century Gothic" w:cs="Arial"/>
        </w:rPr>
      </w:pPr>
      <w:r>
        <w:rPr>
          <w:rFonts w:ascii="Century Gothic" w:hAnsi="Century Gothic" w:cs="Arial"/>
        </w:rPr>
        <w:t>Para lograr evitar esta barrera de acceso se contemplan las siguientes medidas:</w:t>
      </w:r>
    </w:p>
    <w:p w:rsidR="006453CD" w:rsidRDefault="006453CD" w:rsidP="00D323B2">
      <w:pPr>
        <w:spacing w:line="23" w:lineRule="atLeast"/>
        <w:jc w:val="both"/>
        <w:rPr>
          <w:rFonts w:ascii="Century Gothic" w:hAnsi="Century Gothic" w:cs="Arial"/>
        </w:rPr>
      </w:pPr>
    </w:p>
    <w:p w:rsidR="006453CD" w:rsidRDefault="006453CD" w:rsidP="00D323B2">
      <w:pPr>
        <w:pStyle w:val="Prrafodelista"/>
        <w:numPr>
          <w:ilvl w:val="0"/>
          <w:numId w:val="19"/>
        </w:numPr>
        <w:spacing w:after="160" w:line="23" w:lineRule="atLeast"/>
        <w:jc w:val="both"/>
        <w:rPr>
          <w:rFonts w:ascii="Century Gothic" w:hAnsi="Century Gothic" w:cs="Arial"/>
        </w:rPr>
      </w:pPr>
      <w:r w:rsidRPr="0020241C">
        <w:rPr>
          <w:rFonts w:ascii="Century Gothic" w:hAnsi="Century Gothic" w:cs="Arial"/>
        </w:rPr>
        <w:t xml:space="preserve">El subsidio tendrá un sistema de priorización en el cual se beneficien principalmente las personas de más bajo ingreso. </w:t>
      </w:r>
    </w:p>
    <w:p w:rsidR="006453CD" w:rsidRDefault="006453CD" w:rsidP="00D323B2">
      <w:pPr>
        <w:pStyle w:val="Prrafodelista"/>
        <w:numPr>
          <w:ilvl w:val="0"/>
          <w:numId w:val="19"/>
        </w:numPr>
        <w:spacing w:after="160" w:line="23" w:lineRule="atLeast"/>
        <w:jc w:val="both"/>
        <w:rPr>
          <w:rFonts w:ascii="Century Gothic" w:hAnsi="Century Gothic" w:cs="Arial"/>
        </w:rPr>
      </w:pPr>
      <w:r>
        <w:rPr>
          <w:rFonts w:ascii="Century Gothic" w:hAnsi="Century Gothic" w:cs="Arial"/>
        </w:rPr>
        <w:t>Lo</w:t>
      </w:r>
      <w:r w:rsidRPr="0020241C">
        <w:rPr>
          <w:rFonts w:ascii="Century Gothic" w:hAnsi="Century Gothic" w:cs="Arial"/>
        </w:rPr>
        <w:t xml:space="preserve">s estudiantes de bajos ingresos podrán acceder a dos (2) certificados de estudio y de notas sin costo en cada semestre a lo largo de su carrera. </w:t>
      </w:r>
      <w:r>
        <w:rPr>
          <w:rFonts w:ascii="Century Gothic" w:hAnsi="Century Gothic" w:cs="Arial"/>
        </w:rPr>
        <w:t xml:space="preserve">A su vez </w:t>
      </w:r>
      <w:r w:rsidRPr="0020241C">
        <w:rPr>
          <w:rFonts w:ascii="Century Gothic" w:hAnsi="Century Gothic" w:cs="Arial"/>
        </w:rPr>
        <w:t>podrá</w:t>
      </w:r>
      <w:r>
        <w:rPr>
          <w:rFonts w:ascii="Century Gothic" w:hAnsi="Century Gothic" w:cs="Arial"/>
        </w:rPr>
        <w:t>n</w:t>
      </w:r>
      <w:r w:rsidRPr="0020241C">
        <w:rPr>
          <w:rFonts w:ascii="Century Gothic" w:hAnsi="Century Gothic" w:cs="Arial"/>
        </w:rPr>
        <w:t xml:space="preserve"> recibir hasta (2) certificados de notas, de estudio y de grado con costo cero después de haberse graduado.</w:t>
      </w:r>
    </w:p>
    <w:p w:rsidR="006453CD" w:rsidRPr="006F179D" w:rsidRDefault="006453CD" w:rsidP="00D323B2">
      <w:pPr>
        <w:pStyle w:val="Prrafodelista"/>
        <w:numPr>
          <w:ilvl w:val="0"/>
          <w:numId w:val="19"/>
        </w:numPr>
        <w:spacing w:after="160" w:line="23" w:lineRule="atLeast"/>
        <w:jc w:val="both"/>
        <w:rPr>
          <w:rFonts w:ascii="Century Gothic" w:hAnsi="Century Gothic" w:cs="Arial"/>
        </w:rPr>
      </w:pPr>
      <w:r>
        <w:rPr>
          <w:rFonts w:ascii="Century Gothic" w:hAnsi="Century Gothic" w:cs="Arial"/>
        </w:rPr>
        <w:t xml:space="preserve">El Ministerio de Relaciones Exteriores garantizará que los ciudadanos que certifiquen un bajo nivel de ingreso estarán exentos, una vez al año, de pagar trámites de </w:t>
      </w:r>
      <w:proofErr w:type="spellStart"/>
      <w:r>
        <w:rPr>
          <w:rFonts w:ascii="Century Gothic" w:hAnsi="Century Gothic" w:cs="Arial"/>
        </w:rPr>
        <w:t>apostillaje</w:t>
      </w:r>
      <w:proofErr w:type="spellEnd"/>
      <w:r>
        <w:rPr>
          <w:rFonts w:ascii="Century Gothic" w:hAnsi="Century Gothic" w:cs="Arial"/>
        </w:rPr>
        <w:t xml:space="preserve"> y legalización. </w:t>
      </w:r>
    </w:p>
    <w:sdt>
      <w:sdtPr>
        <w:rPr>
          <w:rFonts w:ascii="Century Gothic" w:eastAsiaTheme="minorHAnsi" w:hAnsi="Century Gothic" w:cs="Arial"/>
          <w:b/>
          <w:bCs/>
          <w:color w:val="auto"/>
          <w:sz w:val="24"/>
          <w:szCs w:val="24"/>
          <w:lang w:val="es-ES" w:eastAsia="en-US"/>
        </w:rPr>
        <w:id w:val="-1110666019"/>
        <w:docPartObj>
          <w:docPartGallery w:val="Bibliographies"/>
          <w:docPartUnique/>
        </w:docPartObj>
      </w:sdtPr>
      <w:sdtEndPr>
        <w:rPr>
          <w:b w:val="0"/>
          <w:bCs w:val="0"/>
          <w:lang w:val="es-ES_tradnl"/>
        </w:rPr>
      </w:sdtEndPr>
      <w:sdtContent>
        <w:p w:rsidR="006453CD" w:rsidRDefault="006453CD" w:rsidP="00D323B2">
          <w:pPr>
            <w:pStyle w:val="Ttulo1"/>
            <w:spacing w:line="23" w:lineRule="atLeast"/>
            <w:jc w:val="center"/>
            <w:rPr>
              <w:rFonts w:ascii="Century Gothic" w:hAnsi="Century Gothic" w:cs="Arial"/>
              <w:b/>
              <w:color w:val="000000" w:themeColor="text1"/>
              <w:sz w:val="24"/>
              <w:szCs w:val="24"/>
              <w:lang w:val="es-ES"/>
            </w:rPr>
          </w:pPr>
          <w:r w:rsidRPr="00F51CE0">
            <w:rPr>
              <w:rFonts w:ascii="Century Gothic" w:hAnsi="Century Gothic" w:cs="Arial"/>
              <w:b/>
              <w:color w:val="000000" w:themeColor="text1"/>
              <w:sz w:val="24"/>
              <w:szCs w:val="24"/>
              <w:lang w:val="es-ES"/>
            </w:rPr>
            <w:t>Bibliografía</w:t>
          </w:r>
        </w:p>
        <w:p w:rsidR="00F51CE0" w:rsidRPr="00F51CE0" w:rsidRDefault="00F51CE0" w:rsidP="00F51CE0">
          <w:pPr>
            <w:rPr>
              <w:lang w:val="es-ES" w:eastAsia="es-CO"/>
            </w:rPr>
          </w:pPr>
        </w:p>
        <w:sdt>
          <w:sdtPr>
            <w:rPr>
              <w:rFonts w:ascii="Century Gothic" w:hAnsi="Century Gothic" w:cs="Arial"/>
              <w:sz w:val="24"/>
              <w:szCs w:val="24"/>
              <w:lang w:val="es-ES_tradnl"/>
            </w:rPr>
            <w:id w:val="111145805"/>
            <w:bibliography/>
          </w:sdtPr>
          <w:sdtEndPr/>
          <w:sdtContent>
            <w:p w:rsidR="006453CD" w:rsidRPr="00873D1C" w:rsidRDefault="006453CD" w:rsidP="00D323B2">
              <w:pPr>
                <w:pStyle w:val="Bibliografa"/>
                <w:spacing w:line="23" w:lineRule="atLeast"/>
                <w:ind w:left="720" w:hanging="720"/>
                <w:rPr>
                  <w:rFonts w:ascii="Century Gothic" w:hAnsi="Century Gothic"/>
                  <w:noProof/>
                  <w:sz w:val="24"/>
                  <w:szCs w:val="24"/>
                  <w:lang w:val="es-ES"/>
                </w:rPr>
              </w:pPr>
              <w:r w:rsidRPr="00873D1C">
                <w:rPr>
                  <w:rFonts w:ascii="Century Gothic" w:hAnsi="Century Gothic" w:cs="Arial"/>
                  <w:sz w:val="24"/>
                  <w:szCs w:val="24"/>
                </w:rPr>
                <w:fldChar w:fldCharType="begin"/>
              </w:r>
              <w:r w:rsidRPr="00873D1C">
                <w:rPr>
                  <w:rFonts w:ascii="Century Gothic" w:hAnsi="Century Gothic" w:cs="Arial"/>
                  <w:sz w:val="24"/>
                  <w:szCs w:val="24"/>
                </w:rPr>
                <w:instrText>BIBLIOGRAPHY</w:instrText>
              </w:r>
              <w:r w:rsidRPr="00873D1C">
                <w:rPr>
                  <w:rFonts w:ascii="Century Gothic" w:hAnsi="Century Gothic" w:cs="Arial"/>
                  <w:sz w:val="24"/>
                  <w:szCs w:val="24"/>
                </w:rPr>
                <w:fldChar w:fldCharType="separate"/>
              </w:r>
              <w:r w:rsidRPr="00873D1C">
                <w:rPr>
                  <w:rFonts w:ascii="Century Gothic" w:hAnsi="Century Gothic"/>
                  <w:noProof/>
                  <w:lang w:val="es-ES"/>
                </w:rPr>
                <w:t xml:space="preserve">Banco Mundial . (12 de 11 de 2018). </w:t>
              </w:r>
              <w:r w:rsidRPr="00873D1C">
                <w:rPr>
                  <w:rFonts w:ascii="Century Gothic" w:hAnsi="Century Gothic"/>
                  <w:i/>
                  <w:iCs/>
                  <w:noProof/>
                  <w:lang w:val="es-ES"/>
                </w:rPr>
                <w:t>Educación</w:t>
              </w:r>
              <w:r w:rsidRPr="00873D1C">
                <w:rPr>
                  <w:rFonts w:ascii="Century Gothic" w:hAnsi="Century Gothic"/>
                  <w:noProof/>
                  <w:lang w:val="es-ES"/>
                </w:rPr>
                <w:t xml:space="preserve">. Obtenido de El GBM es la principal entidad de financiamiento de la educación en el mundo en desarrollo.: https://www.bancomundial.org/es/topic/education/overview </w:t>
              </w:r>
            </w:p>
            <w:p w:rsidR="006453CD" w:rsidRPr="00873D1C" w:rsidRDefault="006453CD" w:rsidP="00D323B2">
              <w:pPr>
                <w:pStyle w:val="Bibliografa"/>
                <w:spacing w:line="23" w:lineRule="atLeast"/>
                <w:ind w:left="720" w:hanging="720"/>
                <w:rPr>
                  <w:rFonts w:ascii="Century Gothic" w:hAnsi="Century Gothic"/>
                  <w:noProof/>
                  <w:lang w:val="es-ES"/>
                </w:rPr>
              </w:pPr>
              <w:r w:rsidRPr="00873D1C">
                <w:rPr>
                  <w:rFonts w:ascii="Century Gothic" w:hAnsi="Century Gothic"/>
                  <w:noProof/>
                  <w:lang w:val="es-ES"/>
                </w:rPr>
                <w:t xml:space="preserve">Ministerio de Educación Nacional. (2018). </w:t>
              </w:r>
              <w:r w:rsidRPr="00873D1C">
                <w:rPr>
                  <w:rFonts w:ascii="Century Gothic" w:hAnsi="Century Gothic"/>
                  <w:i/>
                  <w:iCs/>
                  <w:noProof/>
                  <w:lang w:val="es-ES"/>
                </w:rPr>
                <w:t>Informe de educación superior .</w:t>
              </w:r>
              <w:r w:rsidRPr="00873D1C">
                <w:rPr>
                  <w:rFonts w:ascii="Century Gothic" w:hAnsi="Century Gothic"/>
                  <w:noProof/>
                  <w:lang w:val="es-ES"/>
                </w:rPr>
                <w:t xml:space="preserve"> Bogotá: Ministerio de Educación Nacional.</w:t>
              </w:r>
            </w:p>
            <w:p w:rsidR="006453CD" w:rsidRPr="00873D1C" w:rsidRDefault="006453CD" w:rsidP="00D323B2">
              <w:pPr>
                <w:pStyle w:val="Bibliografa"/>
                <w:spacing w:line="23" w:lineRule="atLeast"/>
                <w:ind w:left="720" w:hanging="720"/>
                <w:rPr>
                  <w:rFonts w:ascii="Century Gothic" w:hAnsi="Century Gothic"/>
                  <w:noProof/>
                  <w:lang w:val="es-ES"/>
                </w:rPr>
              </w:pPr>
              <w:r w:rsidRPr="00873D1C">
                <w:rPr>
                  <w:rFonts w:ascii="Century Gothic" w:hAnsi="Century Gothic"/>
                  <w:noProof/>
                  <w:lang w:val="es-ES"/>
                </w:rPr>
                <w:t xml:space="preserve">Ministerio de Educación Nacional. (2019). </w:t>
              </w:r>
              <w:r w:rsidRPr="00873D1C">
                <w:rPr>
                  <w:rFonts w:ascii="Century Gothic" w:hAnsi="Century Gothic"/>
                  <w:i/>
                  <w:iCs/>
                  <w:noProof/>
                  <w:lang w:val="es-ES"/>
                </w:rPr>
                <w:t>Derecho de petición.</w:t>
              </w:r>
              <w:r w:rsidRPr="00873D1C">
                <w:rPr>
                  <w:rFonts w:ascii="Century Gothic" w:hAnsi="Century Gothic"/>
                  <w:noProof/>
                  <w:lang w:val="es-ES"/>
                </w:rPr>
                <w:t xml:space="preserve"> Bogotá: Ministerio de Educación Nacional.</w:t>
              </w:r>
            </w:p>
            <w:p w:rsidR="006453CD" w:rsidRPr="00873D1C" w:rsidRDefault="006453CD" w:rsidP="00D323B2">
              <w:pPr>
                <w:pStyle w:val="Bibliografa"/>
                <w:spacing w:line="23" w:lineRule="atLeast"/>
                <w:ind w:left="720" w:hanging="720"/>
                <w:rPr>
                  <w:rFonts w:ascii="Century Gothic" w:hAnsi="Century Gothic"/>
                  <w:noProof/>
                  <w:lang w:val="es-ES"/>
                </w:rPr>
              </w:pPr>
              <w:r w:rsidRPr="00873D1C">
                <w:rPr>
                  <w:rFonts w:ascii="Century Gothic" w:hAnsi="Century Gothic"/>
                  <w:noProof/>
                  <w:lang w:val="es-ES"/>
                </w:rPr>
                <w:t xml:space="preserve">Ministerio de Relaciones Exteriores. (2019). </w:t>
              </w:r>
              <w:r w:rsidRPr="00873D1C">
                <w:rPr>
                  <w:rFonts w:ascii="Century Gothic" w:hAnsi="Century Gothic"/>
                  <w:i/>
                  <w:iCs/>
                  <w:noProof/>
                  <w:lang w:val="es-ES"/>
                </w:rPr>
                <w:t>Derecho de petición.</w:t>
              </w:r>
              <w:r w:rsidRPr="00873D1C">
                <w:rPr>
                  <w:rFonts w:ascii="Century Gothic" w:hAnsi="Century Gothic"/>
                  <w:noProof/>
                  <w:lang w:val="es-ES"/>
                </w:rPr>
                <w:t xml:space="preserve"> Bogotá: Ministerio de Relaciones Exteriores.</w:t>
              </w:r>
            </w:p>
            <w:p w:rsidR="006453CD" w:rsidRPr="00873D1C" w:rsidRDefault="006453CD" w:rsidP="00D323B2">
              <w:pPr>
                <w:pStyle w:val="Bibliografa"/>
                <w:spacing w:line="23" w:lineRule="atLeast"/>
                <w:ind w:left="720" w:hanging="720"/>
                <w:rPr>
                  <w:rFonts w:ascii="Century Gothic" w:hAnsi="Century Gothic"/>
                  <w:noProof/>
                  <w:lang w:val="es-ES"/>
                </w:rPr>
              </w:pPr>
              <w:r w:rsidRPr="00873D1C">
                <w:rPr>
                  <w:rFonts w:ascii="Century Gothic" w:hAnsi="Century Gothic"/>
                  <w:noProof/>
                  <w:lang w:val="es-ES"/>
                </w:rPr>
                <w:t xml:space="preserve">Romer, P. M. (1990). Endogenous Technological Change . </w:t>
              </w:r>
              <w:r w:rsidRPr="00873D1C">
                <w:rPr>
                  <w:rFonts w:ascii="Century Gothic" w:hAnsi="Century Gothic"/>
                  <w:i/>
                  <w:iCs/>
                  <w:noProof/>
                  <w:lang w:val="es-ES"/>
                </w:rPr>
                <w:t>Journal of Political Economy</w:t>
              </w:r>
              <w:r w:rsidRPr="00873D1C">
                <w:rPr>
                  <w:rFonts w:ascii="Century Gothic" w:hAnsi="Century Gothic"/>
                  <w:noProof/>
                  <w:lang w:val="es-ES"/>
                </w:rPr>
                <w:t>, Vol. 98(5), 71-102. .</w:t>
              </w:r>
            </w:p>
            <w:p w:rsidR="006453CD" w:rsidRPr="00873D1C" w:rsidRDefault="006453CD" w:rsidP="00D323B2">
              <w:pPr>
                <w:pStyle w:val="Bibliografa"/>
                <w:spacing w:line="23" w:lineRule="atLeast"/>
                <w:ind w:left="720" w:hanging="720"/>
                <w:rPr>
                  <w:rFonts w:ascii="Century Gothic" w:hAnsi="Century Gothic"/>
                  <w:noProof/>
                  <w:lang w:val="es-ES"/>
                </w:rPr>
              </w:pPr>
              <w:r w:rsidRPr="00873D1C">
                <w:rPr>
                  <w:rFonts w:ascii="Century Gothic" w:hAnsi="Century Gothic"/>
                  <w:noProof/>
                  <w:lang w:val="es-ES"/>
                </w:rPr>
                <w:t xml:space="preserve">Schultz, T. (1961). Investment in human capital. </w:t>
              </w:r>
              <w:r w:rsidRPr="00873D1C">
                <w:rPr>
                  <w:rFonts w:ascii="Century Gothic" w:hAnsi="Century Gothic"/>
                  <w:i/>
                  <w:iCs/>
                  <w:noProof/>
                  <w:lang w:val="es-ES"/>
                </w:rPr>
                <w:t xml:space="preserve">The American Economics Review. </w:t>
              </w:r>
              <w:r w:rsidRPr="00873D1C">
                <w:rPr>
                  <w:rFonts w:ascii="Century Gothic" w:hAnsi="Century Gothic"/>
                  <w:noProof/>
                  <w:lang w:val="es-ES"/>
                </w:rPr>
                <w:t>, Vol. 51, No. 1 pp. 1-17.</w:t>
              </w:r>
            </w:p>
            <w:p w:rsidR="006453CD" w:rsidRPr="00873D1C" w:rsidRDefault="006453CD" w:rsidP="00D323B2">
              <w:pPr>
                <w:pStyle w:val="Bibliografa"/>
                <w:spacing w:line="23" w:lineRule="atLeast"/>
                <w:ind w:left="720" w:hanging="720"/>
                <w:rPr>
                  <w:rFonts w:ascii="Century Gothic" w:hAnsi="Century Gothic"/>
                  <w:noProof/>
                  <w:lang w:val="es-ES"/>
                </w:rPr>
              </w:pPr>
              <w:r w:rsidRPr="00873D1C">
                <w:rPr>
                  <w:rFonts w:ascii="Century Gothic" w:hAnsi="Century Gothic"/>
                  <w:noProof/>
                  <w:lang w:val="es-ES"/>
                </w:rPr>
                <w:t xml:space="preserve">Smith, A. (1958). </w:t>
              </w:r>
              <w:r w:rsidRPr="00873D1C">
                <w:rPr>
                  <w:rFonts w:ascii="Century Gothic" w:hAnsi="Century Gothic"/>
                  <w:i/>
                  <w:iCs/>
                  <w:noProof/>
                  <w:lang w:val="es-ES"/>
                </w:rPr>
                <w:t>Investigación sobre la naturaleza y causas de la riqueza de las Naciones.</w:t>
              </w:r>
              <w:r w:rsidRPr="00873D1C">
                <w:rPr>
                  <w:rFonts w:ascii="Century Gothic" w:hAnsi="Century Gothic"/>
                  <w:noProof/>
                  <w:lang w:val="es-ES"/>
                </w:rPr>
                <w:t xml:space="preserve"> Mexico: Fondo de Cultura Económica.</w:t>
              </w:r>
            </w:p>
            <w:p w:rsidR="006453CD" w:rsidRPr="00873D1C" w:rsidRDefault="006453CD" w:rsidP="00D323B2">
              <w:pPr>
                <w:pStyle w:val="Bibliografa"/>
                <w:spacing w:line="23" w:lineRule="atLeast"/>
                <w:ind w:left="720" w:hanging="720"/>
                <w:rPr>
                  <w:rFonts w:ascii="Century Gothic" w:hAnsi="Century Gothic"/>
                  <w:noProof/>
                  <w:lang w:val="es-ES"/>
                </w:rPr>
              </w:pPr>
              <w:r w:rsidRPr="00873D1C">
                <w:rPr>
                  <w:rFonts w:ascii="Century Gothic" w:hAnsi="Century Gothic"/>
                  <w:noProof/>
                  <w:lang w:val="es-ES"/>
                </w:rPr>
                <w:t xml:space="preserve">Solow, R. (1956). A Contribution to the Theory of Economic Growth. </w:t>
              </w:r>
              <w:r w:rsidRPr="00873D1C">
                <w:rPr>
                  <w:rFonts w:ascii="Century Gothic" w:hAnsi="Century Gothic"/>
                  <w:i/>
                  <w:iCs/>
                  <w:noProof/>
                  <w:lang w:val="es-ES"/>
                </w:rPr>
                <w:t>The MIT Press</w:t>
              </w:r>
              <w:r w:rsidRPr="00873D1C">
                <w:rPr>
                  <w:rFonts w:ascii="Century Gothic" w:hAnsi="Century Gothic"/>
                  <w:noProof/>
                  <w:lang w:val="es-ES"/>
                </w:rPr>
                <w:t>, 65-94.</w:t>
              </w:r>
            </w:p>
            <w:p w:rsidR="006453CD" w:rsidRPr="006F179D" w:rsidRDefault="006453CD" w:rsidP="006F179D">
              <w:pPr>
                <w:spacing w:line="23" w:lineRule="atLeast"/>
                <w:jc w:val="both"/>
                <w:rPr>
                  <w:rFonts w:ascii="Century Gothic" w:hAnsi="Century Gothic" w:cs="Arial"/>
                </w:rPr>
              </w:pPr>
              <w:r w:rsidRPr="00873D1C">
                <w:rPr>
                  <w:rFonts w:ascii="Century Gothic" w:hAnsi="Century Gothic" w:cs="Arial"/>
                  <w:b/>
                  <w:bCs/>
                </w:rPr>
                <w:lastRenderedPageBreak/>
                <w:fldChar w:fldCharType="end"/>
              </w:r>
            </w:p>
          </w:sdtContent>
        </w:sdt>
      </w:sdtContent>
    </w:sdt>
    <w:p w:rsidR="006453CD" w:rsidRDefault="006453CD" w:rsidP="00D323B2">
      <w:pPr>
        <w:spacing w:line="23" w:lineRule="atLeast"/>
        <w:jc w:val="center"/>
        <w:rPr>
          <w:rFonts w:ascii="Century Gothic" w:hAnsi="Century Gothic" w:cs="Arial"/>
          <w:b/>
        </w:rPr>
      </w:pPr>
      <w:r>
        <w:rPr>
          <w:rFonts w:ascii="Century Gothic" w:hAnsi="Century Gothic" w:cs="Arial"/>
          <w:b/>
        </w:rPr>
        <w:t>Proyecto de ley Número ____________ de 2019</w:t>
      </w:r>
    </w:p>
    <w:p w:rsidR="006F179D" w:rsidRDefault="006F179D" w:rsidP="00D323B2">
      <w:pPr>
        <w:spacing w:line="23" w:lineRule="atLeast"/>
        <w:jc w:val="center"/>
        <w:rPr>
          <w:rFonts w:ascii="Century Gothic" w:hAnsi="Century Gothic" w:cs="Arial"/>
          <w:b/>
        </w:rPr>
      </w:pPr>
    </w:p>
    <w:p w:rsidR="006453CD" w:rsidRDefault="006453CD" w:rsidP="00D323B2">
      <w:pPr>
        <w:spacing w:line="23" w:lineRule="atLeast"/>
        <w:jc w:val="center"/>
        <w:rPr>
          <w:rFonts w:ascii="Century Gothic" w:hAnsi="Century Gothic" w:cs="Arial"/>
        </w:rPr>
      </w:pPr>
      <w:r w:rsidRPr="00873D1C">
        <w:rPr>
          <w:rFonts w:ascii="Century Gothic" w:hAnsi="Century Gothic" w:cs="Arial"/>
        </w:rPr>
        <w:t>“Por medio del cual</w:t>
      </w:r>
      <w:r w:rsidR="006F179D">
        <w:rPr>
          <w:rFonts w:ascii="Century Gothic" w:hAnsi="Century Gothic" w:cs="Arial"/>
        </w:rPr>
        <w:t xml:space="preserve"> se estimula el acceso a estudios en el exterior</w:t>
      </w:r>
      <w:r w:rsidRPr="00873D1C">
        <w:rPr>
          <w:rFonts w:ascii="Century Gothic" w:hAnsi="Century Gothic" w:cs="Arial"/>
        </w:rPr>
        <w:t>”</w:t>
      </w:r>
    </w:p>
    <w:p w:rsidR="006F179D" w:rsidRPr="00873D1C" w:rsidRDefault="006F179D" w:rsidP="00D323B2">
      <w:pPr>
        <w:spacing w:line="23" w:lineRule="atLeast"/>
        <w:jc w:val="center"/>
        <w:rPr>
          <w:rFonts w:ascii="Century Gothic" w:hAnsi="Century Gothic" w:cs="Arial"/>
        </w:rPr>
      </w:pPr>
    </w:p>
    <w:p w:rsidR="006453CD" w:rsidRDefault="006453CD" w:rsidP="00D323B2">
      <w:pPr>
        <w:spacing w:line="23" w:lineRule="atLeast"/>
        <w:jc w:val="center"/>
        <w:rPr>
          <w:rFonts w:ascii="Century Gothic" w:hAnsi="Century Gothic" w:cs="Arial"/>
        </w:rPr>
      </w:pPr>
      <w:r>
        <w:rPr>
          <w:rFonts w:ascii="Century Gothic" w:hAnsi="Century Gothic" w:cs="Arial"/>
        </w:rPr>
        <w:t xml:space="preserve">El Congreso de Colombia </w:t>
      </w:r>
    </w:p>
    <w:p w:rsidR="006453CD" w:rsidRDefault="006453CD" w:rsidP="00D323B2">
      <w:pPr>
        <w:spacing w:line="23" w:lineRule="atLeast"/>
        <w:jc w:val="center"/>
        <w:rPr>
          <w:rFonts w:ascii="Century Gothic" w:hAnsi="Century Gothic" w:cs="Arial"/>
        </w:rPr>
      </w:pPr>
      <w:r>
        <w:rPr>
          <w:rFonts w:ascii="Century Gothic" w:hAnsi="Century Gothic" w:cs="Arial"/>
        </w:rPr>
        <w:t>Decreta</w:t>
      </w:r>
    </w:p>
    <w:p w:rsidR="006453CD" w:rsidRPr="00873D1C" w:rsidRDefault="006453CD" w:rsidP="00D323B2">
      <w:pPr>
        <w:spacing w:line="23" w:lineRule="atLeast"/>
        <w:jc w:val="center"/>
        <w:rPr>
          <w:rFonts w:ascii="Century Gothic" w:hAnsi="Century Gothic" w:cs="Arial"/>
        </w:rPr>
      </w:pPr>
    </w:p>
    <w:p w:rsidR="006453CD" w:rsidRDefault="006453CD" w:rsidP="00D323B2">
      <w:pPr>
        <w:spacing w:line="23" w:lineRule="atLeast"/>
        <w:jc w:val="both"/>
        <w:rPr>
          <w:rFonts w:ascii="Century Gothic" w:hAnsi="Century Gothic" w:cs="Arial"/>
        </w:rPr>
      </w:pPr>
      <w:r>
        <w:rPr>
          <w:rFonts w:ascii="Century Gothic" w:hAnsi="Century Gothic" w:cs="Arial"/>
          <w:b/>
        </w:rPr>
        <w:t xml:space="preserve">Artículo 1. Objeto. </w:t>
      </w:r>
      <w:r>
        <w:rPr>
          <w:rFonts w:ascii="Century Gothic" w:hAnsi="Century Gothic" w:cs="Arial"/>
        </w:rPr>
        <w:t xml:space="preserve">El proyecto de ley tiene como objeto eliminar barreras de entrada para personas que quieran aplicar a estudios de posgrado en el exterior. </w:t>
      </w:r>
    </w:p>
    <w:p w:rsidR="006453CD" w:rsidRPr="00A5415A" w:rsidRDefault="006453CD" w:rsidP="00D323B2">
      <w:pPr>
        <w:spacing w:line="23" w:lineRule="atLeast"/>
        <w:rPr>
          <w:rFonts w:ascii="Century Gothic" w:hAnsi="Century Gothic" w:cs="Arial"/>
        </w:rPr>
      </w:pPr>
    </w:p>
    <w:p w:rsidR="006453CD" w:rsidRDefault="006453CD" w:rsidP="00D323B2">
      <w:pPr>
        <w:spacing w:line="23" w:lineRule="atLeast"/>
        <w:jc w:val="both"/>
        <w:rPr>
          <w:rFonts w:ascii="Century Gothic" w:hAnsi="Century Gothic" w:cs="Arial"/>
        </w:rPr>
      </w:pPr>
      <w:r>
        <w:rPr>
          <w:rFonts w:ascii="Century Gothic" w:hAnsi="Century Gothic" w:cs="Arial"/>
          <w:b/>
        </w:rPr>
        <w:t>Artículo 2</w:t>
      </w:r>
      <w:r w:rsidRPr="00723894">
        <w:rPr>
          <w:rFonts w:ascii="Century Gothic" w:hAnsi="Century Gothic" w:cs="Arial"/>
          <w:b/>
        </w:rPr>
        <w:t xml:space="preserve">. </w:t>
      </w:r>
      <w:r>
        <w:rPr>
          <w:rFonts w:ascii="Century Gothic" w:hAnsi="Century Gothic" w:cs="Arial"/>
          <w:b/>
        </w:rPr>
        <w:t xml:space="preserve">Subsidio para aplicación de convocatorias para estudios de posgrado en el exterior. </w:t>
      </w:r>
      <w:r>
        <w:rPr>
          <w:rFonts w:ascii="Century Gothic" w:hAnsi="Century Gothic" w:cs="Arial"/>
        </w:rPr>
        <w:t xml:space="preserve">Créese un subsidio económico entre 0,4 y 0,6 salarios mínimos mensuales vigentes para los nacionales que estén aplicando para alguna convocatoria de posgrados en universidades del exterior. </w:t>
      </w:r>
    </w:p>
    <w:p w:rsidR="006453CD" w:rsidRDefault="006453CD" w:rsidP="00D323B2">
      <w:pPr>
        <w:spacing w:line="23" w:lineRule="atLeast"/>
        <w:jc w:val="both"/>
        <w:rPr>
          <w:rFonts w:ascii="Century Gothic" w:hAnsi="Century Gothic" w:cs="Arial"/>
        </w:rPr>
      </w:pPr>
    </w:p>
    <w:p w:rsidR="006453CD" w:rsidRDefault="006453CD" w:rsidP="00D323B2">
      <w:pPr>
        <w:spacing w:line="23" w:lineRule="atLeast"/>
        <w:jc w:val="both"/>
        <w:rPr>
          <w:rFonts w:ascii="Century Gothic" w:hAnsi="Century Gothic" w:cs="Arial"/>
        </w:rPr>
      </w:pPr>
      <w:r>
        <w:rPr>
          <w:rFonts w:ascii="Century Gothic" w:hAnsi="Century Gothic" w:cs="Arial"/>
          <w:b/>
        </w:rPr>
        <w:t>Artículo 3</w:t>
      </w:r>
      <w:r w:rsidRPr="005F3B62">
        <w:rPr>
          <w:rFonts w:ascii="Century Gothic" w:hAnsi="Century Gothic" w:cs="Arial"/>
          <w:b/>
        </w:rPr>
        <w:t>. Requisitos para acceder al subsidio.</w:t>
      </w:r>
      <w:r>
        <w:rPr>
          <w:rFonts w:ascii="Century Gothic" w:hAnsi="Century Gothic" w:cs="Arial"/>
        </w:rPr>
        <w:t xml:space="preserve"> Los requisitos para acceder al subsidio mencionado en el artículo 2 de la presente ley son:</w:t>
      </w:r>
    </w:p>
    <w:p w:rsidR="006453CD" w:rsidRDefault="006453CD" w:rsidP="00D323B2">
      <w:pPr>
        <w:spacing w:line="23" w:lineRule="atLeast"/>
        <w:jc w:val="both"/>
        <w:rPr>
          <w:rFonts w:ascii="Century Gothic" w:hAnsi="Century Gothic" w:cs="Arial"/>
        </w:rPr>
      </w:pPr>
    </w:p>
    <w:p w:rsidR="006453CD" w:rsidRDefault="006453CD" w:rsidP="00D323B2">
      <w:pPr>
        <w:pStyle w:val="Prrafodelista"/>
        <w:numPr>
          <w:ilvl w:val="0"/>
          <w:numId w:val="18"/>
        </w:numPr>
        <w:spacing w:after="160" w:line="23" w:lineRule="atLeast"/>
        <w:jc w:val="both"/>
        <w:rPr>
          <w:rFonts w:ascii="Century Gothic" w:hAnsi="Century Gothic" w:cs="Arial"/>
        </w:rPr>
      </w:pPr>
      <w:r>
        <w:rPr>
          <w:rFonts w:ascii="Century Gothic" w:hAnsi="Century Gothic" w:cs="Arial"/>
        </w:rPr>
        <w:t>Ser colombiano.</w:t>
      </w:r>
    </w:p>
    <w:p w:rsidR="006453CD" w:rsidRDefault="006453CD" w:rsidP="00D323B2">
      <w:pPr>
        <w:pStyle w:val="Prrafodelista"/>
        <w:numPr>
          <w:ilvl w:val="0"/>
          <w:numId w:val="18"/>
        </w:numPr>
        <w:spacing w:after="160" w:line="23" w:lineRule="atLeast"/>
        <w:jc w:val="both"/>
        <w:rPr>
          <w:rFonts w:ascii="Century Gothic" w:hAnsi="Century Gothic" w:cs="Arial"/>
        </w:rPr>
      </w:pPr>
      <w:r>
        <w:rPr>
          <w:rFonts w:ascii="Century Gothic" w:hAnsi="Century Gothic" w:cs="Arial"/>
        </w:rPr>
        <w:t xml:space="preserve">El beneficiario deberá haber culminado sus estudios profesionales, técnicos o tecnológicos en una Institución de educación superior certificada por el Ministerio de Educación de Nacional. </w:t>
      </w:r>
    </w:p>
    <w:p w:rsidR="006453CD" w:rsidRDefault="006453CD" w:rsidP="00D323B2">
      <w:pPr>
        <w:pStyle w:val="Prrafodelista"/>
        <w:numPr>
          <w:ilvl w:val="0"/>
          <w:numId w:val="18"/>
        </w:numPr>
        <w:spacing w:after="160" w:line="23" w:lineRule="atLeast"/>
        <w:jc w:val="both"/>
        <w:rPr>
          <w:rFonts w:ascii="Century Gothic" w:hAnsi="Century Gothic" w:cs="Arial"/>
        </w:rPr>
      </w:pPr>
      <w:r>
        <w:rPr>
          <w:rFonts w:ascii="Century Gothic" w:hAnsi="Century Gothic" w:cs="Arial"/>
        </w:rPr>
        <w:t xml:space="preserve">Tener un promedio igual o superior a </w:t>
      </w:r>
      <w:proofErr w:type="gramStart"/>
      <w:r>
        <w:rPr>
          <w:rFonts w:ascii="Century Gothic" w:hAnsi="Century Gothic" w:cs="Arial"/>
        </w:rPr>
        <w:t>tres punto</w:t>
      </w:r>
      <w:proofErr w:type="gramEnd"/>
      <w:r>
        <w:rPr>
          <w:rFonts w:ascii="Century Gothic" w:hAnsi="Century Gothic" w:cs="Arial"/>
        </w:rPr>
        <w:t xml:space="preserve"> cinco (3,5) en una escala de cero (0) a cinco (5).</w:t>
      </w:r>
    </w:p>
    <w:p w:rsidR="006453CD" w:rsidRDefault="006453CD" w:rsidP="00D323B2">
      <w:pPr>
        <w:pStyle w:val="Prrafodelista"/>
        <w:numPr>
          <w:ilvl w:val="0"/>
          <w:numId w:val="18"/>
        </w:numPr>
        <w:spacing w:after="160" w:line="23" w:lineRule="atLeast"/>
        <w:jc w:val="both"/>
        <w:rPr>
          <w:rFonts w:ascii="Century Gothic" w:hAnsi="Century Gothic" w:cs="Arial"/>
        </w:rPr>
      </w:pPr>
      <w:r>
        <w:rPr>
          <w:rFonts w:ascii="Century Gothic" w:hAnsi="Century Gothic" w:cs="Arial"/>
        </w:rPr>
        <w:t>Certificar el nivel de ingreso del ciudadano.</w:t>
      </w:r>
    </w:p>
    <w:p w:rsidR="006453CD" w:rsidRDefault="006453CD" w:rsidP="00D323B2">
      <w:pPr>
        <w:spacing w:line="23" w:lineRule="atLeast"/>
        <w:jc w:val="both"/>
        <w:rPr>
          <w:rFonts w:ascii="Century Gothic" w:hAnsi="Century Gothic" w:cs="Arial"/>
          <w:b/>
        </w:rPr>
      </w:pPr>
    </w:p>
    <w:p w:rsidR="006453CD" w:rsidRDefault="006453CD" w:rsidP="00D323B2">
      <w:pPr>
        <w:spacing w:line="23" w:lineRule="atLeast"/>
        <w:jc w:val="both"/>
        <w:rPr>
          <w:rFonts w:ascii="Century Gothic" w:hAnsi="Century Gothic" w:cs="Arial"/>
        </w:rPr>
      </w:pPr>
      <w:r w:rsidRPr="005F3B62">
        <w:rPr>
          <w:rFonts w:ascii="Century Gothic" w:hAnsi="Century Gothic" w:cs="Arial"/>
          <w:b/>
        </w:rPr>
        <w:t>Parágrafo 1.</w:t>
      </w:r>
      <w:r>
        <w:rPr>
          <w:rFonts w:ascii="Century Gothic" w:hAnsi="Century Gothic" w:cs="Arial"/>
        </w:rPr>
        <w:t xml:space="preserve"> El beneficiario no deberá presentar el diplomado de grado ni la tarjeta profesional para certificar la culminación de sus estudios, basta con un certificado oficial de la Institución de Educación Superior donde hizo sus estudios académicos. </w:t>
      </w:r>
    </w:p>
    <w:p w:rsidR="006453CD" w:rsidRDefault="006453CD" w:rsidP="00D323B2">
      <w:pPr>
        <w:spacing w:line="23" w:lineRule="atLeast"/>
        <w:jc w:val="both"/>
        <w:rPr>
          <w:rFonts w:ascii="Century Gothic" w:hAnsi="Century Gothic" w:cs="Arial"/>
        </w:rPr>
      </w:pPr>
    </w:p>
    <w:p w:rsidR="006453CD" w:rsidRDefault="006453CD" w:rsidP="00D323B2">
      <w:pPr>
        <w:spacing w:line="23" w:lineRule="atLeast"/>
        <w:jc w:val="both"/>
        <w:rPr>
          <w:rFonts w:ascii="Century Gothic" w:hAnsi="Century Gothic" w:cs="Arial"/>
        </w:rPr>
      </w:pPr>
      <w:r>
        <w:rPr>
          <w:rFonts w:ascii="Century Gothic" w:hAnsi="Century Gothic" w:cs="Arial"/>
          <w:b/>
        </w:rPr>
        <w:t>Artículo 4</w:t>
      </w:r>
      <w:r w:rsidRPr="005F3B62">
        <w:rPr>
          <w:rFonts w:ascii="Century Gothic" w:hAnsi="Century Gothic" w:cs="Arial"/>
          <w:b/>
        </w:rPr>
        <w:t xml:space="preserve">. </w:t>
      </w:r>
      <w:r>
        <w:rPr>
          <w:rFonts w:ascii="Century Gothic" w:hAnsi="Century Gothic" w:cs="Arial"/>
          <w:b/>
        </w:rPr>
        <w:t xml:space="preserve">Priorización del subsidio. </w:t>
      </w:r>
      <w:r>
        <w:rPr>
          <w:rFonts w:ascii="Century Gothic" w:hAnsi="Century Gothic" w:cs="Arial"/>
        </w:rPr>
        <w:t xml:space="preserve">El Ministerio de Educación Nacional o quien este delegue organizará un sistema de clasificación para priorizar a los posibles beneficiarios del subsidio. En este sistema las personas de más bajo ingreso tendrán prioridad para acceder al subsidio. </w:t>
      </w:r>
    </w:p>
    <w:p w:rsidR="006F179D" w:rsidRDefault="006F179D" w:rsidP="00D323B2">
      <w:pPr>
        <w:spacing w:line="23" w:lineRule="atLeast"/>
        <w:jc w:val="both"/>
        <w:rPr>
          <w:rFonts w:ascii="Century Gothic" w:hAnsi="Century Gothic" w:cs="Arial"/>
        </w:rPr>
      </w:pPr>
    </w:p>
    <w:p w:rsidR="006453CD" w:rsidRDefault="006F179D" w:rsidP="00D323B2">
      <w:pPr>
        <w:spacing w:line="23" w:lineRule="atLeast"/>
        <w:jc w:val="both"/>
        <w:rPr>
          <w:rFonts w:ascii="Century Gothic" w:hAnsi="Century Gothic" w:cs="Arial"/>
        </w:rPr>
      </w:pPr>
      <w:r>
        <w:rPr>
          <w:rFonts w:ascii="Century Gothic" w:hAnsi="Century Gothic" w:cs="Arial"/>
          <w:b/>
        </w:rPr>
        <w:lastRenderedPageBreak/>
        <w:t xml:space="preserve">Parágrafo 1. </w:t>
      </w:r>
      <w:r>
        <w:rPr>
          <w:rFonts w:ascii="Century Gothic" w:hAnsi="Century Gothic" w:cs="Arial"/>
        </w:rPr>
        <w:t>Por semestre se otorgarán al menos 1.500 subsidios.</w:t>
      </w:r>
    </w:p>
    <w:p w:rsidR="006F179D" w:rsidRDefault="006F179D" w:rsidP="00D323B2">
      <w:pPr>
        <w:spacing w:line="23" w:lineRule="atLeast"/>
        <w:jc w:val="both"/>
        <w:rPr>
          <w:rFonts w:ascii="Century Gothic" w:hAnsi="Century Gothic" w:cs="Arial"/>
        </w:rPr>
      </w:pPr>
    </w:p>
    <w:p w:rsidR="006453CD" w:rsidRDefault="006453CD" w:rsidP="00D323B2">
      <w:pPr>
        <w:spacing w:line="23" w:lineRule="atLeast"/>
        <w:jc w:val="both"/>
        <w:rPr>
          <w:rFonts w:ascii="Century Gothic" w:hAnsi="Century Gothic" w:cs="Arial"/>
        </w:rPr>
      </w:pPr>
      <w:r w:rsidRPr="00BB1AAA">
        <w:rPr>
          <w:rFonts w:ascii="Century Gothic" w:hAnsi="Century Gothic" w:cs="Arial"/>
          <w:b/>
        </w:rPr>
        <w:t xml:space="preserve">Artículo 5. </w:t>
      </w:r>
      <w:r>
        <w:rPr>
          <w:rFonts w:ascii="Century Gothic" w:hAnsi="Century Gothic" w:cs="Arial"/>
          <w:b/>
        </w:rPr>
        <w:t xml:space="preserve">Periodicidad y limitaciones del subsidio. </w:t>
      </w:r>
      <w:r>
        <w:rPr>
          <w:rFonts w:ascii="Century Gothic" w:hAnsi="Century Gothic" w:cs="Arial"/>
        </w:rPr>
        <w:t xml:space="preserve">Los beneficiarios podrán recibir el subsidio económico hasta una vez por la misma vigencia fiscal. Ningún estudiante podrá acceder al subsidio más de una vez para el mismo nivel educativo al que desea ingresar. </w:t>
      </w:r>
    </w:p>
    <w:p w:rsidR="006453CD" w:rsidRPr="00BB1AAA" w:rsidRDefault="006453CD" w:rsidP="00D323B2">
      <w:pPr>
        <w:spacing w:line="23" w:lineRule="atLeast"/>
        <w:jc w:val="both"/>
        <w:rPr>
          <w:rFonts w:ascii="Century Gothic" w:hAnsi="Century Gothic" w:cs="Arial"/>
        </w:rPr>
      </w:pPr>
    </w:p>
    <w:p w:rsidR="006453CD" w:rsidRDefault="006453CD" w:rsidP="00D323B2">
      <w:pPr>
        <w:spacing w:line="23" w:lineRule="atLeast"/>
        <w:jc w:val="both"/>
        <w:rPr>
          <w:rFonts w:ascii="Century Gothic" w:hAnsi="Century Gothic" w:cs="Arial"/>
        </w:rPr>
      </w:pPr>
      <w:r>
        <w:rPr>
          <w:rFonts w:ascii="Century Gothic" w:hAnsi="Century Gothic" w:cs="Arial"/>
          <w:b/>
        </w:rPr>
        <w:t xml:space="preserve">Artículo 6. Costo cero para certificados de estudio y de notas. </w:t>
      </w:r>
      <w:r w:rsidR="006F179D">
        <w:rPr>
          <w:rFonts w:ascii="Century Gothic" w:hAnsi="Century Gothic" w:cs="Arial"/>
        </w:rPr>
        <w:t xml:space="preserve">Los estudiantes </w:t>
      </w:r>
      <w:r>
        <w:rPr>
          <w:rFonts w:ascii="Century Gothic" w:hAnsi="Century Gothic" w:cs="Arial"/>
        </w:rPr>
        <w:t>a lo largo de su carrera accederán sin cost</w:t>
      </w:r>
      <w:r w:rsidR="006F179D">
        <w:rPr>
          <w:rFonts w:ascii="Century Gothic" w:hAnsi="Century Gothic" w:cs="Arial"/>
        </w:rPr>
        <w:t>o a los siguientes certificados:</w:t>
      </w:r>
      <w:r>
        <w:rPr>
          <w:rFonts w:ascii="Century Gothic" w:hAnsi="Century Gothic" w:cs="Arial"/>
        </w:rPr>
        <w:t xml:space="preserve"> </w:t>
      </w:r>
    </w:p>
    <w:p w:rsidR="006F179D" w:rsidRDefault="006F179D" w:rsidP="00D323B2">
      <w:pPr>
        <w:spacing w:line="23" w:lineRule="atLeast"/>
        <w:jc w:val="both"/>
        <w:rPr>
          <w:rFonts w:ascii="Century Gothic" w:hAnsi="Century Gothic" w:cs="Arial"/>
        </w:rPr>
      </w:pPr>
    </w:p>
    <w:p w:rsidR="006453CD" w:rsidRDefault="006453CD" w:rsidP="00D323B2">
      <w:pPr>
        <w:pStyle w:val="Prrafodelista"/>
        <w:numPr>
          <w:ilvl w:val="0"/>
          <w:numId w:val="20"/>
        </w:numPr>
        <w:spacing w:after="160" w:line="23" w:lineRule="atLeast"/>
        <w:jc w:val="both"/>
        <w:rPr>
          <w:rFonts w:ascii="Century Gothic" w:hAnsi="Century Gothic" w:cs="Arial"/>
        </w:rPr>
      </w:pPr>
      <w:r w:rsidRPr="00B56E08">
        <w:rPr>
          <w:rFonts w:ascii="Century Gothic" w:hAnsi="Century Gothic" w:cs="Arial"/>
        </w:rPr>
        <w:t>Dos (2) certificados de estudio</w:t>
      </w:r>
      <w:r>
        <w:rPr>
          <w:rFonts w:ascii="Century Gothic" w:hAnsi="Century Gothic" w:cs="Arial"/>
        </w:rPr>
        <w:t xml:space="preserve"> por semestre</w:t>
      </w:r>
    </w:p>
    <w:p w:rsidR="006453CD" w:rsidRDefault="006453CD" w:rsidP="00D323B2">
      <w:pPr>
        <w:pStyle w:val="Prrafodelista"/>
        <w:numPr>
          <w:ilvl w:val="0"/>
          <w:numId w:val="20"/>
        </w:numPr>
        <w:spacing w:after="160" w:line="23" w:lineRule="atLeast"/>
        <w:jc w:val="both"/>
        <w:rPr>
          <w:rFonts w:ascii="Century Gothic" w:hAnsi="Century Gothic" w:cs="Arial"/>
        </w:rPr>
      </w:pPr>
      <w:r w:rsidRPr="00B56E08">
        <w:rPr>
          <w:rFonts w:ascii="Century Gothic" w:hAnsi="Century Gothic" w:cs="Arial"/>
        </w:rPr>
        <w:t xml:space="preserve">Dos (2) certificados de notas por semestre. </w:t>
      </w:r>
    </w:p>
    <w:p w:rsidR="006453CD" w:rsidRDefault="006453CD" w:rsidP="00D323B2">
      <w:pPr>
        <w:pStyle w:val="Prrafodelista"/>
        <w:spacing w:line="23" w:lineRule="atLeast"/>
        <w:jc w:val="both"/>
        <w:rPr>
          <w:rFonts w:ascii="Century Gothic" w:hAnsi="Century Gothic" w:cs="Arial"/>
        </w:rPr>
      </w:pPr>
    </w:p>
    <w:p w:rsidR="006453CD" w:rsidRDefault="006453CD" w:rsidP="00D323B2">
      <w:pPr>
        <w:spacing w:line="23" w:lineRule="atLeast"/>
        <w:jc w:val="both"/>
        <w:rPr>
          <w:rFonts w:ascii="Century Gothic" w:hAnsi="Century Gothic" w:cs="Arial"/>
        </w:rPr>
      </w:pPr>
      <w:r>
        <w:rPr>
          <w:rFonts w:ascii="Century Gothic" w:hAnsi="Century Gothic" w:cs="Arial"/>
          <w:b/>
        </w:rPr>
        <w:t xml:space="preserve">Artículo 7. </w:t>
      </w:r>
      <w:r w:rsidR="006F179D">
        <w:rPr>
          <w:rFonts w:ascii="Century Gothic" w:hAnsi="Century Gothic" w:cs="Arial"/>
        </w:rPr>
        <w:t>Los graduandos</w:t>
      </w:r>
      <w:r>
        <w:rPr>
          <w:rFonts w:ascii="Century Gothic" w:hAnsi="Century Gothic" w:cs="Arial"/>
        </w:rPr>
        <w:t xml:space="preserve"> podrá</w:t>
      </w:r>
      <w:r w:rsidR="006F179D">
        <w:rPr>
          <w:rFonts w:ascii="Century Gothic" w:hAnsi="Century Gothic" w:cs="Arial"/>
        </w:rPr>
        <w:t>n</w:t>
      </w:r>
      <w:r>
        <w:rPr>
          <w:rFonts w:ascii="Century Gothic" w:hAnsi="Century Gothic" w:cs="Arial"/>
        </w:rPr>
        <w:t xml:space="preserve"> recibir sin costo alguno los siguientes certificados después de haber culminados sus estudios:</w:t>
      </w:r>
    </w:p>
    <w:p w:rsidR="006F179D" w:rsidRDefault="006F179D" w:rsidP="00D323B2">
      <w:pPr>
        <w:spacing w:line="23" w:lineRule="atLeast"/>
        <w:jc w:val="both"/>
        <w:rPr>
          <w:rFonts w:ascii="Century Gothic" w:hAnsi="Century Gothic" w:cs="Arial"/>
        </w:rPr>
      </w:pPr>
    </w:p>
    <w:p w:rsidR="006453CD" w:rsidRDefault="006453CD" w:rsidP="00D323B2">
      <w:pPr>
        <w:pStyle w:val="Prrafodelista"/>
        <w:numPr>
          <w:ilvl w:val="0"/>
          <w:numId w:val="21"/>
        </w:numPr>
        <w:spacing w:after="160" w:line="23" w:lineRule="atLeast"/>
        <w:jc w:val="both"/>
        <w:rPr>
          <w:rFonts w:ascii="Century Gothic" w:hAnsi="Century Gothic" w:cs="Arial"/>
        </w:rPr>
      </w:pPr>
      <w:r>
        <w:rPr>
          <w:rFonts w:ascii="Century Gothic" w:hAnsi="Century Gothic" w:cs="Arial"/>
        </w:rPr>
        <w:t xml:space="preserve">Dos </w:t>
      </w:r>
      <w:r w:rsidRPr="00B56E08">
        <w:rPr>
          <w:rFonts w:ascii="Century Gothic" w:hAnsi="Century Gothic" w:cs="Arial"/>
        </w:rPr>
        <w:t>(2) certi</w:t>
      </w:r>
      <w:r>
        <w:rPr>
          <w:rFonts w:ascii="Century Gothic" w:hAnsi="Century Gothic" w:cs="Arial"/>
        </w:rPr>
        <w:t>ficados de notas.</w:t>
      </w:r>
    </w:p>
    <w:p w:rsidR="006453CD" w:rsidRDefault="006453CD" w:rsidP="00D323B2">
      <w:pPr>
        <w:pStyle w:val="Prrafodelista"/>
        <w:numPr>
          <w:ilvl w:val="0"/>
          <w:numId w:val="21"/>
        </w:numPr>
        <w:spacing w:after="160" w:line="23" w:lineRule="atLeast"/>
        <w:jc w:val="both"/>
        <w:rPr>
          <w:rFonts w:ascii="Century Gothic" w:hAnsi="Century Gothic" w:cs="Arial"/>
        </w:rPr>
      </w:pPr>
      <w:r>
        <w:rPr>
          <w:rFonts w:ascii="Century Gothic" w:hAnsi="Century Gothic" w:cs="Arial"/>
        </w:rPr>
        <w:t>Dos (2)</w:t>
      </w:r>
      <w:r w:rsidRPr="00B56E08">
        <w:rPr>
          <w:rFonts w:ascii="Century Gothic" w:hAnsi="Century Gothic" w:cs="Arial"/>
        </w:rPr>
        <w:t xml:space="preserve"> </w:t>
      </w:r>
      <w:r>
        <w:rPr>
          <w:rFonts w:ascii="Century Gothic" w:hAnsi="Century Gothic" w:cs="Arial"/>
        </w:rPr>
        <w:t xml:space="preserve">certificados </w:t>
      </w:r>
      <w:r w:rsidRPr="00B56E08">
        <w:rPr>
          <w:rFonts w:ascii="Century Gothic" w:hAnsi="Century Gothic" w:cs="Arial"/>
        </w:rPr>
        <w:t>de estudio</w:t>
      </w:r>
      <w:r>
        <w:rPr>
          <w:rFonts w:ascii="Century Gothic" w:hAnsi="Century Gothic" w:cs="Arial"/>
        </w:rPr>
        <w:t>.</w:t>
      </w:r>
    </w:p>
    <w:p w:rsidR="006453CD" w:rsidRPr="006F179D" w:rsidRDefault="006453CD" w:rsidP="006F179D">
      <w:pPr>
        <w:pStyle w:val="Prrafodelista"/>
        <w:numPr>
          <w:ilvl w:val="0"/>
          <w:numId w:val="21"/>
        </w:numPr>
        <w:spacing w:after="160" w:line="23" w:lineRule="atLeast"/>
        <w:jc w:val="both"/>
        <w:rPr>
          <w:rFonts w:ascii="Century Gothic" w:hAnsi="Century Gothic" w:cs="Arial"/>
        </w:rPr>
      </w:pPr>
      <w:r>
        <w:rPr>
          <w:rFonts w:ascii="Century Gothic" w:hAnsi="Century Gothic" w:cs="Arial"/>
        </w:rPr>
        <w:t>Dos (2) certificados de grado.</w:t>
      </w:r>
    </w:p>
    <w:p w:rsidR="006453CD" w:rsidRDefault="006453CD" w:rsidP="00D323B2">
      <w:pPr>
        <w:pStyle w:val="Prrafodelista"/>
        <w:spacing w:line="23" w:lineRule="atLeast"/>
        <w:jc w:val="both"/>
        <w:rPr>
          <w:rFonts w:ascii="Century Gothic" w:hAnsi="Century Gothic" w:cs="Arial"/>
        </w:rPr>
      </w:pPr>
    </w:p>
    <w:p w:rsidR="006453CD" w:rsidRDefault="006453CD" w:rsidP="00D323B2">
      <w:pPr>
        <w:spacing w:line="23" w:lineRule="atLeast"/>
        <w:jc w:val="both"/>
        <w:rPr>
          <w:rFonts w:ascii="Century Gothic" w:hAnsi="Century Gothic" w:cs="Arial"/>
        </w:rPr>
      </w:pPr>
      <w:r w:rsidRPr="00B56E08">
        <w:rPr>
          <w:rFonts w:ascii="Century Gothic" w:hAnsi="Century Gothic" w:cs="Arial"/>
          <w:b/>
        </w:rPr>
        <w:t xml:space="preserve">Artículo 8. </w:t>
      </w:r>
      <w:r>
        <w:rPr>
          <w:rFonts w:ascii="Century Gothic" w:hAnsi="Century Gothic" w:cs="Arial"/>
        </w:rPr>
        <w:t xml:space="preserve">Los estudiantes y/o graduandos que necesiten </w:t>
      </w:r>
      <w:proofErr w:type="spellStart"/>
      <w:r>
        <w:rPr>
          <w:rFonts w:ascii="Century Gothic" w:hAnsi="Century Gothic" w:cs="Arial"/>
        </w:rPr>
        <w:t>apostillaje</w:t>
      </w:r>
      <w:proofErr w:type="spellEnd"/>
      <w:r>
        <w:rPr>
          <w:rFonts w:ascii="Century Gothic" w:hAnsi="Century Gothic" w:cs="Arial"/>
        </w:rPr>
        <w:t xml:space="preserve"> y/o legalización de documentos que sean usados para motivos de estudio estarán exentos de pagar el valor del </w:t>
      </w:r>
      <w:proofErr w:type="spellStart"/>
      <w:r>
        <w:rPr>
          <w:rFonts w:ascii="Century Gothic" w:hAnsi="Century Gothic" w:cs="Arial"/>
        </w:rPr>
        <w:t>apostillaje</w:t>
      </w:r>
      <w:proofErr w:type="spellEnd"/>
      <w:r>
        <w:rPr>
          <w:rFonts w:ascii="Century Gothic" w:hAnsi="Century Gothic" w:cs="Arial"/>
        </w:rPr>
        <w:t xml:space="preserve"> y/o legalización. </w:t>
      </w:r>
    </w:p>
    <w:p w:rsidR="006453CD" w:rsidRDefault="006453CD" w:rsidP="00D323B2">
      <w:pPr>
        <w:spacing w:line="23" w:lineRule="atLeast"/>
        <w:jc w:val="both"/>
        <w:rPr>
          <w:rFonts w:ascii="Century Gothic" w:hAnsi="Century Gothic" w:cs="Arial"/>
          <w:b/>
        </w:rPr>
      </w:pPr>
    </w:p>
    <w:p w:rsidR="006453CD" w:rsidRPr="008A6E81" w:rsidRDefault="006453CD" w:rsidP="00D323B2">
      <w:pPr>
        <w:spacing w:line="23" w:lineRule="atLeast"/>
        <w:jc w:val="both"/>
        <w:rPr>
          <w:rFonts w:ascii="Century Gothic" w:hAnsi="Century Gothic" w:cs="Arial"/>
        </w:rPr>
      </w:pPr>
      <w:r>
        <w:rPr>
          <w:rFonts w:ascii="Century Gothic" w:hAnsi="Century Gothic" w:cs="Arial"/>
        </w:rPr>
        <w:t xml:space="preserve">La exención cubre hasta dos (2) documentos apostillados y/o dos (2) documentos legalizados en la misma vigencia fiscal. </w:t>
      </w:r>
    </w:p>
    <w:p w:rsidR="006453CD" w:rsidRDefault="006453CD" w:rsidP="00D323B2">
      <w:pPr>
        <w:spacing w:line="23" w:lineRule="atLeast"/>
        <w:jc w:val="both"/>
        <w:rPr>
          <w:rFonts w:ascii="Century Gothic" w:hAnsi="Century Gothic" w:cs="Arial"/>
        </w:rPr>
      </w:pPr>
    </w:p>
    <w:p w:rsidR="006F179D" w:rsidRDefault="006F179D" w:rsidP="00D323B2">
      <w:pPr>
        <w:spacing w:line="23" w:lineRule="atLeast"/>
        <w:jc w:val="both"/>
        <w:rPr>
          <w:rFonts w:ascii="Century Gothic" w:hAnsi="Century Gothic" w:cs="Arial"/>
        </w:rPr>
      </w:pPr>
    </w:p>
    <w:p w:rsidR="006453CD" w:rsidRDefault="006453CD" w:rsidP="00D323B2">
      <w:pPr>
        <w:spacing w:line="23" w:lineRule="atLeast"/>
        <w:jc w:val="both"/>
        <w:rPr>
          <w:rFonts w:ascii="Century Gothic" w:hAnsi="Century Gothic" w:cs="Arial"/>
        </w:rPr>
      </w:pPr>
      <w:r w:rsidRPr="008A6E81">
        <w:rPr>
          <w:rFonts w:ascii="Century Gothic" w:hAnsi="Century Gothic" w:cs="Arial"/>
          <w:b/>
        </w:rPr>
        <w:t xml:space="preserve">Artículo 9. Vigencias y derogatorias. </w:t>
      </w:r>
      <w:r>
        <w:rPr>
          <w:rFonts w:ascii="Century Gothic" w:hAnsi="Century Gothic" w:cs="Arial"/>
        </w:rPr>
        <w:t xml:space="preserve">La presente ley rige a partir de su promulgación y deroga todas las disposiciones que le sean contrarias. </w:t>
      </w:r>
    </w:p>
    <w:p w:rsidR="006453CD" w:rsidRPr="008A6E81" w:rsidRDefault="006453CD" w:rsidP="00D323B2">
      <w:pPr>
        <w:spacing w:line="23" w:lineRule="atLeast"/>
        <w:jc w:val="both"/>
        <w:rPr>
          <w:rFonts w:ascii="Century Gothic" w:hAnsi="Century Gothic" w:cs="Arial"/>
        </w:rPr>
      </w:pPr>
    </w:p>
    <w:p w:rsidR="006453CD" w:rsidRDefault="006453CD" w:rsidP="00D323B2">
      <w:pPr>
        <w:pStyle w:val="Prrafodelista"/>
        <w:spacing w:line="23" w:lineRule="atLeast"/>
        <w:jc w:val="both"/>
        <w:rPr>
          <w:rFonts w:ascii="Century Gothic" w:hAnsi="Century Gothic" w:cs="Arial"/>
        </w:rPr>
      </w:pPr>
    </w:p>
    <w:p w:rsidR="006453CD" w:rsidRPr="00B56E08" w:rsidRDefault="006453CD" w:rsidP="00D323B2">
      <w:pPr>
        <w:spacing w:line="23" w:lineRule="atLeast"/>
        <w:jc w:val="both"/>
        <w:rPr>
          <w:rFonts w:ascii="Century Gothic" w:hAnsi="Century Gothic" w:cs="Arial"/>
          <w:b/>
        </w:rPr>
      </w:pPr>
    </w:p>
    <w:p w:rsidR="00730CBC" w:rsidRDefault="00730CBC" w:rsidP="00D323B2">
      <w:pPr>
        <w:spacing w:line="23" w:lineRule="atLeast"/>
        <w:jc w:val="both"/>
        <w:rPr>
          <w:rFonts w:ascii="Century Gothic" w:eastAsia="Times New Roman" w:hAnsi="Century Gothic" w:cs="Arial"/>
          <w:color w:val="000000" w:themeColor="text1"/>
          <w:lang w:val="es-ES" w:eastAsia="es-ES"/>
        </w:rPr>
      </w:pPr>
    </w:p>
    <w:sectPr w:rsidR="00730CBC">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D09" w:rsidRDefault="00355D09">
      <w:r>
        <w:separator/>
      </w:r>
    </w:p>
  </w:endnote>
  <w:endnote w:type="continuationSeparator" w:id="0">
    <w:p w:rsidR="00355D09" w:rsidRDefault="0035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19738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CB" w:rsidRDefault="002E421A" w:rsidP="006E28A8">
    <w:pPr>
      <w:pStyle w:val="Piedepgina"/>
      <w:jc w:val="both"/>
    </w:pPr>
    <w:r>
      <w:rPr>
        <w:noProof/>
        <w:lang w:val="es-CO" w:eastAsia="es-CO"/>
      </w:rPr>
      <w:drawing>
        <wp:inline distT="0" distB="0" distL="0" distR="0" wp14:anchorId="2E6A33F4" wp14:editId="3B57D981">
          <wp:extent cx="5653546" cy="86677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 DE PAGIN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7862" cy="87510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19738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D09" w:rsidRDefault="00355D09">
      <w:r>
        <w:separator/>
      </w:r>
    </w:p>
  </w:footnote>
  <w:footnote w:type="continuationSeparator" w:id="0">
    <w:p w:rsidR="00355D09" w:rsidRDefault="00355D09">
      <w:r>
        <w:continuationSeparator/>
      </w:r>
    </w:p>
  </w:footnote>
  <w:footnote w:id="1">
    <w:p w:rsidR="006453CD" w:rsidRPr="00140203" w:rsidRDefault="006453CD" w:rsidP="006453CD">
      <w:pPr>
        <w:pStyle w:val="Textonotapie"/>
        <w:jc w:val="both"/>
        <w:rPr>
          <w:rFonts w:ascii="Century Gothic" w:hAnsi="Century Gothic"/>
        </w:rPr>
      </w:pPr>
      <w:r w:rsidRPr="00140203">
        <w:rPr>
          <w:rStyle w:val="Refdenotaalpie"/>
          <w:rFonts w:ascii="Century Gothic" w:hAnsi="Century Gothic"/>
        </w:rPr>
        <w:footnoteRef/>
      </w:r>
      <w:r w:rsidRPr="00140203">
        <w:rPr>
          <w:rFonts w:ascii="Century Gothic" w:hAnsi="Century Gothic"/>
        </w:rPr>
        <w:t xml:space="preserve"> </w:t>
      </w:r>
      <w:r w:rsidRPr="00140203">
        <w:rPr>
          <w:rFonts w:ascii="Century Gothic" w:hAnsi="Century Gothic" w:cs="Arial"/>
          <w:color w:val="000000"/>
          <w:lang w:val="es-ES"/>
        </w:rPr>
        <w:t xml:space="preserve">Theodore </w:t>
      </w:r>
      <w:proofErr w:type="spellStart"/>
      <w:r w:rsidRPr="00140203">
        <w:rPr>
          <w:rFonts w:ascii="Century Gothic" w:hAnsi="Century Gothic" w:cs="Arial"/>
          <w:color w:val="000000"/>
          <w:lang w:val="es-ES"/>
        </w:rPr>
        <w:t>Schultz</w:t>
      </w:r>
      <w:proofErr w:type="spellEnd"/>
      <w:r w:rsidRPr="00140203">
        <w:rPr>
          <w:rFonts w:ascii="Century Gothic" w:hAnsi="Century Gothic" w:cs="Arial"/>
          <w:color w:val="000000"/>
          <w:lang w:val="es-ES"/>
        </w:rPr>
        <w:t xml:space="preserve"> es de los primeros economistas en realizar en estudios sobre la teoría de capital humano (diferente al factor trabajo), analizó el gasto en educación no como un factor de consumo sino de inversión, </w:t>
      </w:r>
      <w:proofErr w:type="gramStart"/>
      <w:r w:rsidRPr="00140203">
        <w:rPr>
          <w:rFonts w:ascii="Century Gothic" w:hAnsi="Century Gothic" w:cs="Arial"/>
          <w:color w:val="000000"/>
          <w:lang w:val="es-ES"/>
        </w:rPr>
        <w:t>y</w:t>
      </w:r>
      <w:proofErr w:type="gramEnd"/>
      <w:r w:rsidRPr="00140203">
        <w:rPr>
          <w:rFonts w:ascii="Century Gothic" w:hAnsi="Century Gothic" w:cs="Arial"/>
          <w:color w:val="000000"/>
          <w:lang w:val="es-ES"/>
        </w:rPr>
        <w:t xml:space="preserve"> por ende, de efectos macroeconómicos como el incremento del ingreso nacional. </w:t>
      </w:r>
    </w:p>
  </w:footnote>
  <w:footnote w:id="2">
    <w:p w:rsidR="006453CD" w:rsidRDefault="006453CD" w:rsidP="006453CD">
      <w:pPr>
        <w:pStyle w:val="Textonotapie"/>
        <w:jc w:val="both"/>
      </w:pPr>
      <w:r w:rsidRPr="00140203">
        <w:rPr>
          <w:rStyle w:val="Refdenotaalpie"/>
          <w:rFonts w:ascii="Century Gothic" w:hAnsi="Century Gothic"/>
        </w:rPr>
        <w:footnoteRef/>
      </w:r>
      <w:r w:rsidRPr="00140203">
        <w:rPr>
          <w:rFonts w:ascii="Century Gothic" w:hAnsi="Century Gothic"/>
        </w:rPr>
        <w:t xml:space="preserve"> </w:t>
      </w:r>
      <w:r w:rsidRPr="00140203">
        <w:rPr>
          <w:rFonts w:ascii="Century Gothic" w:hAnsi="Century Gothic" w:cs="Arial"/>
          <w:color w:val="000000"/>
          <w:lang w:val="es-ES"/>
        </w:rPr>
        <w:t xml:space="preserve">Paul </w:t>
      </w:r>
      <w:proofErr w:type="spellStart"/>
      <w:r w:rsidRPr="00140203">
        <w:rPr>
          <w:rFonts w:ascii="Century Gothic" w:hAnsi="Century Gothic" w:cs="Arial"/>
          <w:color w:val="000000"/>
          <w:lang w:val="es-ES"/>
        </w:rPr>
        <w:t>Romer</w:t>
      </w:r>
      <w:proofErr w:type="spellEnd"/>
      <w:r w:rsidRPr="00140203">
        <w:rPr>
          <w:rFonts w:ascii="Century Gothic" w:hAnsi="Century Gothic" w:cs="Arial"/>
          <w:color w:val="000000"/>
          <w:lang w:val="es-ES"/>
        </w:rPr>
        <w:t xml:space="preserve"> es economista, pionero en los estudios de la teoría del crecimiento endógeno y premio nobel de economía en 2018. Ha sido parte de las personas más influyentes en las decisiones económicas de Estados Unidos.</w:t>
      </w:r>
      <w:r>
        <w:rPr>
          <w:rFonts w:ascii="Arial" w:hAnsi="Arial" w:cs="Arial"/>
          <w:color w:val="000000"/>
          <w:lang w:val="es-ES"/>
        </w:rPr>
        <w:t xml:space="preserve"> </w:t>
      </w:r>
    </w:p>
  </w:footnote>
  <w:footnote w:id="3">
    <w:p w:rsidR="006453CD" w:rsidRPr="004D74F1" w:rsidRDefault="006453CD" w:rsidP="006453CD">
      <w:pPr>
        <w:pStyle w:val="Textonotapie"/>
        <w:jc w:val="both"/>
        <w:rPr>
          <w:rFonts w:ascii="Century Gothic" w:hAnsi="Century Gothic" w:cs="Arial"/>
        </w:rPr>
      </w:pPr>
      <w:r w:rsidRPr="004D74F1">
        <w:rPr>
          <w:rStyle w:val="Refdenotaalpie"/>
          <w:rFonts w:ascii="Century Gothic" w:hAnsi="Century Gothic" w:cs="Arial"/>
        </w:rPr>
        <w:footnoteRef/>
      </w:r>
      <w:r w:rsidRPr="004D74F1">
        <w:rPr>
          <w:rFonts w:ascii="Century Gothic" w:hAnsi="Century Gothic" w:cs="Arial"/>
        </w:rPr>
        <w:t xml:space="preserve"> Valor estipulado a julio de 2019. </w:t>
      </w:r>
    </w:p>
  </w:footnote>
  <w:footnote w:id="4">
    <w:p w:rsidR="006453CD" w:rsidRDefault="006453CD" w:rsidP="006453CD">
      <w:pPr>
        <w:pStyle w:val="Textonotapie"/>
        <w:jc w:val="both"/>
      </w:pPr>
      <w:r w:rsidRPr="004D74F1">
        <w:rPr>
          <w:rStyle w:val="Refdenotaalpie"/>
          <w:rFonts w:ascii="Century Gothic" w:hAnsi="Century Gothic" w:cs="Arial"/>
        </w:rPr>
        <w:footnoteRef/>
      </w:r>
      <w:r w:rsidRPr="004D74F1">
        <w:rPr>
          <w:rFonts w:ascii="Century Gothic" w:hAnsi="Century Gothic" w:cs="Arial"/>
        </w:rPr>
        <w:t xml:space="preserve"> Valor consultado en </w:t>
      </w:r>
      <w:hyperlink r:id="rId1" w:history="1">
        <w:r w:rsidRPr="004D74F1">
          <w:rPr>
            <w:rStyle w:val="Hipervnculo"/>
            <w:rFonts w:ascii="Century Gothic" w:hAnsi="Century Gothic" w:cs="Arial"/>
          </w:rPr>
          <w:t>https://www.cancilleria.gov.co/faq/que-costo-tiene-apostilla-y-legalizacion</w:t>
        </w:r>
      </w:hyperlink>
      <w:r w:rsidRPr="004D74F1">
        <w:rPr>
          <w:rFonts w:ascii="Century Gothic" w:hAnsi="Century Gothic" w:cs="Arial"/>
        </w:rPr>
        <w:t>, julio de 2019.</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19738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6A" w:rsidRPr="003810B2" w:rsidRDefault="002E421A" w:rsidP="003810B2">
    <w:pPr>
      <w:pStyle w:val="Encabezado"/>
      <w:jc w:val="center"/>
      <w:rPr>
        <w:u w:val="single"/>
      </w:rPr>
    </w:pPr>
    <w:r w:rsidRPr="003810B2">
      <w:rPr>
        <w:noProof/>
        <w:u w:val="single"/>
        <w:lang w:val="es-CO" w:eastAsia="es-CO"/>
      </w:rPr>
      <w:drawing>
        <wp:inline distT="0" distB="0" distL="0" distR="0" wp14:anchorId="58B91288" wp14:editId="4F08D355">
          <wp:extent cx="4352925" cy="6673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CABEZAD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0582" cy="679277"/>
                  </a:xfrm>
                  <a:prstGeom prst="rect">
                    <a:avLst/>
                  </a:prstGeom>
                </pic:spPr>
              </pic:pic>
            </a:graphicData>
          </a:graphic>
        </wp:inline>
      </w:drawing>
    </w:r>
    <w:r w:rsidRPr="003810B2">
      <w:rPr>
        <w:noProof/>
        <w:u w:val="single"/>
        <w:lang w:val="es-CO" w:eastAsia="es-CO"/>
      </w:rPr>
      <w:drawing>
        <wp:inline distT="0" distB="0" distL="0" distR="0" wp14:anchorId="20A03B3F" wp14:editId="3E0DB1C9">
          <wp:extent cx="742950" cy="69173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IS-01.png"/>
                  <pic:cNvPicPr/>
                </pic:nvPicPr>
                <pic:blipFill rotWithShape="1">
                  <a:blip r:embed="rId2" cstate="print">
                    <a:extLst>
                      <a:ext uri="{28A0092B-C50C-407E-A947-70E740481C1C}">
                        <a14:useLocalDpi xmlns:a14="http://schemas.microsoft.com/office/drawing/2010/main" val="0"/>
                      </a:ext>
                    </a:extLst>
                  </a:blip>
                  <a:srcRect l="8604" t="11657" r="7229" b="8679"/>
                  <a:stretch/>
                </pic:blipFill>
                <pic:spPr bwMode="auto">
                  <a:xfrm>
                    <a:off x="0" y="0"/>
                    <a:ext cx="748702" cy="697087"/>
                  </a:xfrm>
                  <a:prstGeom prst="rect">
                    <a:avLst/>
                  </a:prstGeom>
                  <a:ln>
                    <a:noFill/>
                  </a:ln>
                  <a:extLst>
                    <a:ext uri="{53640926-AAD7-44D8-BBD7-CCE9431645EC}">
                      <a14:shadowObscured xmlns:a14="http://schemas.microsoft.com/office/drawing/2010/main"/>
                    </a:ext>
                  </a:extLst>
                </pic:spPr>
              </pic:pic>
            </a:graphicData>
          </a:graphic>
        </wp:inline>
      </w:drawing>
    </w:r>
  </w:p>
  <w:p w:rsidR="00AC246A" w:rsidRDefault="0019738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19738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572"/>
    <w:multiLevelType w:val="hybridMultilevel"/>
    <w:tmpl w:val="5B88C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621127"/>
    <w:multiLevelType w:val="hybridMultilevel"/>
    <w:tmpl w:val="805013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A03FFE"/>
    <w:multiLevelType w:val="hybridMultilevel"/>
    <w:tmpl w:val="2034AAF2"/>
    <w:lvl w:ilvl="0" w:tplc="88B0739A">
      <w:start w:val="2"/>
      <w:numFmt w:val="bullet"/>
      <w:lvlText w:val="-"/>
      <w:lvlJc w:val="left"/>
      <w:pPr>
        <w:ind w:left="360" w:hanging="360"/>
      </w:pPr>
      <w:rPr>
        <w:rFonts w:ascii="Century Gothic" w:eastAsiaTheme="minorHAnsi" w:hAnsi="Century Gothic" w:cstheme="minorBid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68A626D"/>
    <w:multiLevelType w:val="multilevel"/>
    <w:tmpl w:val="6ED2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60F06"/>
    <w:multiLevelType w:val="hybridMultilevel"/>
    <w:tmpl w:val="C43CA680"/>
    <w:lvl w:ilvl="0" w:tplc="6CC07E34">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40102A"/>
    <w:multiLevelType w:val="hybridMultilevel"/>
    <w:tmpl w:val="7D0A4F12"/>
    <w:lvl w:ilvl="0" w:tplc="5DC6051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A4C30D9"/>
    <w:multiLevelType w:val="hybridMultilevel"/>
    <w:tmpl w:val="6FC8AA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5AF0EB9"/>
    <w:multiLevelType w:val="hybridMultilevel"/>
    <w:tmpl w:val="870EA2DE"/>
    <w:lvl w:ilvl="0" w:tplc="8470459A">
      <w:numFmt w:val="bullet"/>
      <w:lvlText w:val="-"/>
      <w:lvlJc w:val="left"/>
      <w:pPr>
        <w:ind w:left="1440" w:hanging="360"/>
      </w:pPr>
      <w:rPr>
        <w:rFonts w:ascii="Century Gothic" w:eastAsiaTheme="minorHAnsi" w:hAnsi="Century Gothic"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4761139F"/>
    <w:multiLevelType w:val="hybridMultilevel"/>
    <w:tmpl w:val="0F5A7292"/>
    <w:lvl w:ilvl="0" w:tplc="178E094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B831E96"/>
    <w:multiLevelType w:val="hybridMultilevel"/>
    <w:tmpl w:val="ADA8997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9622FAE4">
      <w:start w:val="5"/>
      <w:numFmt w:val="bullet"/>
      <w:lvlText w:val=""/>
      <w:lvlJc w:val="left"/>
      <w:pPr>
        <w:ind w:left="2880" w:hanging="360"/>
      </w:pPr>
      <w:rPr>
        <w:rFonts w:ascii="Symbol" w:eastAsiaTheme="minorHAnsi" w:hAnsi="Symbol" w:cs="Verdana" w:hint="default"/>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4EF13102"/>
    <w:multiLevelType w:val="hybridMultilevel"/>
    <w:tmpl w:val="816C9D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750F18"/>
    <w:multiLevelType w:val="hybridMultilevel"/>
    <w:tmpl w:val="FC08647A"/>
    <w:lvl w:ilvl="0" w:tplc="53CC3EEA">
      <w:start w:val="1"/>
      <w:numFmt w:val="bullet"/>
      <w:lvlText w:val="-"/>
      <w:lvlJc w:val="left"/>
      <w:pPr>
        <w:ind w:left="1440" w:hanging="360"/>
      </w:pPr>
      <w:rPr>
        <w:rFonts w:ascii="Century Gothic" w:eastAsiaTheme="minorHAnsi" w:hAnsi="Century Gothic" w:cstheme="minorBidi"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513B0A09"/>
    <w:multiLevelType w:val="hybridMultilevel"/>
    <w:tmpl w:val="DDA8FBDE"/>
    <w:lvl w:ilvl="0" w:tplc="35488D30">
      <w:numFmt w:val="bullet"/>
      <w:lvlText w:val="-"/>
      <w:lvlJc w:val="left"/>
      <w:pPr>
        <w:ind w:left="7590" w:hanging="360"/>
      </w:pPr>
      <w:rPr>
        <w:rFonts w:ascii="Century Gothic" w:eastAsiaTheme="minorHAnsi" w:hAnsi="Century Gothic" w:cstheme="minorBidi" w:hint="default"/>
      </w:rPr>
    </w:lvl>
    <w:lvl w:ilvl="1" w:tplc="240A0003" w:tentative="1">
      <w:start w:val="1"/>
      <w:numFmt w:val="bullet"/>
      <w:lvlText w:val="o"/>
      <w:lvlJc w:val="left"/>
      <w:pPr>
        <w:ind w:left="8310" w:hanging="360"/>
      </w:pPr>
      <w:rPr>
        <w:rFonts w:ascii="Courier New" w:hAnsi="Courier New" w:cs="Courier New" w:hint="default"/>
      </w:rPr>
    </w:lvl>
    <w:lvl w:ilvl="2" w:tplc="240A0005" w:tentative="1">
      <w:start w:val="1"/>
      <w:numFmt w:val="bullet"/>
      <w:lvlText w:val=""/>
      <w:lvlJc w:val="left"/>
      <w:pPr>
        <w:ind w:left="9030" w:hanging="360"/>
      </w:pPr>
      <w:rPr>
        <w:rFonts w:ascii="Wingdings" w:hAnsi="Wingdings" w:hint="default"/>
      </w:rPr>
    </w:lvl>
    <w:lvl w:ilvl="3" w:tplc="240A0001" w:tentative="1">
      <w:start w:val="1"/>
      <w:numFmt w:val="bullet"/>
      <w:lvlText w:val=""/>
      <w:lvlJc w:val="left"/>
      <w:pPr>
        <w:ind w:left="9750" w:hanging="360"/>
      </w:pPr>
      <w:rPr>
        <w:rFonts w:ascii="Symbol" w:hAnsi="Symbol" w:hint="default"/>
      </w:rPr>
    </w:lvl>
    <w:lvl w:ilvl="4" w:tplc="240A0003" w:tentative="1">
      <w:start w:val="1"/>
      <w:numFmt w:val="bullet"/>
      <w:lvlText w:val="o"/>
      <w:lvlJc w:val="left"/>
      <w:pPr>
        <w:ind w:left="10470" w:hanging="360"/>
      </w:pPr>
      <w:rPr>
        <w:rFonts w:ascii="Courier New" w:hAnsi="Courier New" w:cs="Courier New" w:hint="default"/>
      </w:rPr>
    </w:lvl>
    <w:lvl w:ilvl="5" w:tplc="240A0005" w:tentative="1">
      <w:start w:val="1"/>
      <w:numFmt w:val="bullet"/>
      <w:lvlText w:val=""/>
      <w:lvlJc w:val="left"/>
      <w:pPr>
        <w:ind w:left="11190" w:hanging="360"/>
      </w:pPr>
      <w:rPr>
        <w:rFonts w:ascii="Wingdings" w:hAnsi="Wingdings" w:hint="default"/>
      </w:rPr>
    </w:lvl>
    <w:lvl w:ilvl="6" w:tplc="240A0001" w:tentative="1">
      <w:start w:val="1"/>
      <w:numFmt w:val="bullet"/>
      <w:lvlText w:val=""/>
      <w:lvlJc w:val="left"/>
      <w:pPr>
        <w:ind w:left="11910" w:hanging="360"/>
      </w:pPr>
      <w:rPr>
        <w:rFonts w:ascii="Symbol" w:hAnsi="Symbol" w:hint="default"/>
      </w:rPr>
    </w:lvl>
    <w:lvl w:ilvl="7" w:tplc="240A0003" w:tentative="1">
      <w:start w:val="1"/>
      <w:numFmt w:val="bullet"/>
      <w:lvlText w:val="o"/>
      <w:lvlJc w:val="left"/>
      <w:pPr>
        <w:ind w:left="12630" w:hanging="360"/>
      </w:pPr>
      <w:rPr>
        <w:rFonts w:ascii="Courier New" w:hAnsi="Courier New" w:cs="Courier New" w:hint="default"/>
      </w:rPr>
    </w:lvl>
    <w:lvl w:ilvl="8" w:tplc="240A0005" w:tentative="1">
      <w:start w:val="1"/>
      <w:numFmt w:val="bullet"/>
      <w:lvlText w:val=""/>
      <w:lvlJc w:val="left"/>
      <w:pPr>
        <w:ind w:left="13350" w:hanging="360"/>
      </w:pPr>
      <w:rPr>
        <w:rFonts w:ascii="Wingdings" w:hAnsi="Wingdings" w:hint="default"/>
      </w:rPr>
    </w:lvl>
  </w:abstractNum>
  <w:abstractNum w:abstractNumId="13" w15:restartNumberingAfterBreak="0">
    <w:nsid w:val="523464D2"/>
    <w:multiLevelType w:val="hybridMultilevel"/>
    <w:tmpl w:val="3866F89A"/>
    <w:lvl w:ilvl="0" w:tplc="240A000F">
      <w:start w:val="1"/>
      <w:numFmt w:val="decimal"/>
      <w:lvlText w:val="%1."/>
      <w:lvlJc w:val="left"/>
      <w:pPr>
        <w:ind w:left="360" w:hanging="360"/>
      </w:pPr>
      <w:rPr>
        <w:rFonts w:hint="default"/>
      </w:rPr>
    </w:lvl>
    <w:lvl w:ilvl="1" w:tplc="240A000F">
      <w:start w:val="1"/>
      <w:numFmt w:val="decimal"/>
      <w:lvlText w:val="%2."/>
      <w:lvlJc w:val="left"/>
      <w:pPr>
        <w:ind w:left="1080" w:hanging="360"/>
      </w:pPr>
      <w:rPr>
        <w:rFont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4" w15:restartNumberingAfterBreak="0">
    <w:nsid w:val="542B37BB"/>
    <w:multiLevelType w:val="hybridMultilevel"/>
    <w:tmpl w:val="6F86E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56A0272"/>
    <w:multiLevelType w:val="hybridMultilevel"/>
    <w:tmpl w:val="14CC398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AAB7C97"/>
    <w:multiLevelType w:val="hybridMultilevel"/>
    <w:tmpl w:val="6BCC06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E70072E"/>
    <w:multiLevelType w:val="hybridMultilevel"/>
    <w:tmpl w:val="71E00288"/>
    <w:lvl w:ilvl="0" w:tplc="040A000F">
      <w:start w:val="1"/>
      <w:numFmt w:val="decimal"/>
      <w:lvlText w:val="%1."/>
      <w:lvlJc w:val="left"/>
      <w:pPr>
        <w:ind w:left="720" w:hanging="360"/>
      </w:pPr>
      <w:rPr>
        <w:rFonts w:hint="default"/>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0D1552C"/>
    <w:multiLevelType w:val="hybridMultilevel"/>
    <w:tmpl w:val="78BC49FC"/>
    <w:lvl w:ilvl="0" w:tplc="E282515A">
      <w:start w:val="1"/>
      <w:numFmt w:val="lowerLetter"/>
      <w:lvlText w:val="%1."/>
      <w:lvlJc w:val="left"/>
      <w:pPr>
        <w:ind w:left="1211"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73393387"/>
    <w:multiLevelType w:val="multilevel"/>
    <w:tmpl w:val="22649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0B560A"/>
    <w:multiLevelType w:val="hybridMultilevel"/>
    <w:tmpl w:val="F61C55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4"/>
  </w:num>
  <w:num w:numId="2">
    <w:abstractNumId w:val="19"/>
  </w:num>
  <w:num w:numId="3">
    <w:abstractNumId w:val="3"/>
  </w:num>
  <w:num w:numId="4">
    <w:abstractNumId w:val="1"/>
  </w:num>
  <w:num w:numId="5">
    <w:abstractNumId w:val="0"/>
  </w:num>
  <w:num w:numId="6">
    <w:abstractNumId w:val="17"/>
  </w:num>
  <w:num w:numId="7">
    <w:abstractNumId w:val="20"/>
  </w:num>
  <w:num w:numId="8">
    <w:abstractNumId w:val="12"/>
  </w:num>
  <w:num w:numId="9">
    <w:abstractNumId w:val="13"/>
  </w:num>
  <w:num w:numId="10">
    <w:abstractNumId w:val="2"/>
  </w:num>
  <w:num w:numId="11">
    <w:abstractNumId w:val="8"/>
  </w:num>
  <w:num w:numId="12">
    <w:abstractNumId w:val="5"/>
  </w:num>
  <w:num w:numId="13">
    <w:abstractNumId w:val="18"/>
  </w:num>
  <w:num w:numId="14">
    <w:abstractNumId w:val="11"/>
  </w:num>
  <w:num w:numId="15">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 w:numId="18">
    <w:abstractNumId w:val="6"/>
  </w:num>
  <w:num w:numId="19">
    <w:abstractNumId w:val="16"/>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1A"/>
    <w:rsid w:val="00003184"/>
    <w:rsid w:val="0000797E"/>
    <w:rsid w:val="000150A9"/>
    <w:rsid w:val="0001541F"/>
    <w:rsid w:val="00016096"/>
    <w:rsid w:val="00021FB9"/>
    <w:rsid w:val="00025C25"/>
    <w:rsid w:val="00030583"/>
    <w:rsid w:val="0003147C"/>
    <w:rsid w:val="00031DFF"/>
    <w:rsid w:val="00033367"/>
    <w:rsid w:val="00040BCF"/>
    <w:rsid w:val="00042D14"/>
    <w:rsid w:val="00043EC7"/>
    <w:rsid w:val="0004494E"/>
    <w:rsid w:val="00046C37"/>
    <w:rsid w:val="00047702"/>
    <w:rsid w:val="000512BE"/>
    <w:rsid w:val="00053B21"/>
    <w:rsid w:val="0005560F"/>
    <w:rsid w:val="000564E1"/>
    <w:rsid w:val="00061C50"/>
    <w:rsid w:val="0006280C"/>
    <w:rsid w:val="00062A77"/>
    <w:rsid w:val="0007056B"/>
    <w:rsid w:val="00070D24"/>
    <w:rsid w:val="000726CF"/>
    <w:rsid w:val="00077E54"/>
    <w:rsid w:val="000829DD"/>
    <w:rsid w:val="0008394E"/>
    <w:rsid w:val="00083BB3"/>
    <w:rsid w:val="00083C0F"/>
    <w:rsid w:val="00083C66"/>
    <w:rsid w:val="00085D38"/>
    <w:rsid w:val="00087BA5"/>
    <w:rsid w:val="000908A2"/>
    <w:rsid w:val="0009179B"/>
    <w:rsid w:val="00093280"/>
    <w:rsid w:val="00093C46"/>
    <w:rsid w:val="00094DBD"/>
    <w:rsid w:val="00095D4D"/>
    <w:rsid w:val="00095E9B"/>
    <w:rsid w:val="00096A91"/>
    <w:rsid w:val="000A39C7"/>
    <w:rsid w:val="000A4AB8"/>
    <w:rsid w:val="000A6933"/>
    <w:rsid w:val="000A74C8"/>
    <w:rsid w:val="000B06A1"/>
    <w:rsid w:val="000B0919"/>
    <w:rsid w:val="000B339F"/>
    <w:rsid w:val="000B4501"/>
    <w:rsid w:val="000B518B"/>
    <w:rsid w:val="000B6525"/>
    <w:rsid w:val="000B6936"/>
    <w:rsid w:val="000B6A5D"/>
    <w:rsid w:val="000B6E94"/>
    <w:rsid w:val="000C05E3"/>
    <w:rsid w:val="000C2E28"/>
    <w:rsid w:val="000C3596"/>
    <w:rsid w:val="000C373F"/>
    <w:rsid w:val="000C3AD3"/>
    <w:rsid w:val="000C3D10"/>
    <w:rsid w:val="000C41B4"/>
    <w:rsid w:val="000C56CC"/>
    <w:rsid w:val="000D13A3"/>
    <w:rsid w:val="000D1A6A"/>
    <w:rsid w:val="000D4531"/>
    <w:rsid w:val="000D6343"/>
    <w:rsid w:val="000E33FE"/>
    <w:rsid w:val="000E79A6"/>
    <w:rsid w:val="000E7D15"/>
    <w:rsid w:val="000F3C09"/>
    <w:rsid w:val="000F4BFD"/>
    <w:rsid w:val="000F578D"/>
    <w:rsid w:val="0010065D"/>
    <w:rsid w:val="00103DF5"/>
    <w:rsid w:val="001043C1"/>
    <w:rsid w:val="0010493F"/>
    <w:rsid w:val="0011071F"/>
    <w:rsid w:val="0011211D"/>
    <w:rsid w:val="00112BBA"/>
    <w:rsid w:val="00113435"/>
    <w:rsid w:val="001148E1"/>
    <w:rsid w:val="00116F16"/>
    <w:rsid w:val="00120A8E"/>
    <w:rsid w:val="00126948"/>
    <w:rsid w:val="00132B33"/>
    <w:rsid w:val="0013328F"/>
    <w:rsid w:val="001348A1"/>
    <w:rsid w:val="00134AFC"/>
    <w:rsid w:val="00134EA6"/>
    <w:rsid w:val="001358E9"/>
    <w:rsid w:val="00145255"/>
    <w:rsid w:val="0014583E"/>
    <w:rsid w:val="001463BE"/>
    <w:rsid w:val="001503D8"/>
    <w:rsid w:val="001508CF"/>
    <w:rsid w:val="00152B4A"/>
    <w:rsid w:val="00154512"/>
    <w:rsid w:val="00157B3D"/>
    <w:rsid w:val="00160655"/>
    <w:rsid w:val="0016092D"/>
    <w:rsid w:val="00163882"/>
    <w:rsid w:val="001648B0"/>
    <w:rsid w:val="00165425"/>
    <w:rsid w:val="001666D0"/>
    <w:rsid w:val="00167EF9"/>
    <w:rsid w:val="001705B7"/>
    <w:rsid w:val="001705F3"/>
    <w:rsid w:val="001760C9"/>
    <w:rsid w:val="001811C9"/>
    <w:rsid w:val="00184485"/>
    <w:rsid w:val="001849E1"/>
    <w:rsid w:val="001902A8"/>
    <w:rsid w:val="00191640"/>
    <w:rsid w:val="00191DEA"/>
    <w:rsid w:val="00192048"/>
    <w:rsid w:val="00194E61"/>
    <w:rsid w:val="0019623E"/>
    <w:rsid w:val="00196A05"/>
    <w:rsid w:val="00197386"/>
    <w:rsid w:val="001A34AC"/>
    <w:rsid w:val="001A360A"/>
    <w:rsid w:val="001A5AA3"/>
    <w:rsid w:val="001A72C9"/>
    <w:rsid w:val="001A7681"/>
    <w:rsid w:val="001B1636"/>
    <w:rsid w:val="001B23B6"/>
    <w:rsid w:val="001B5343"/>
    <w:rsid w:val="001B5FE9"/>
    <w:rsid w:val="001B6162"/>
    <w:rsid w:val="001B7B4A"/>
    <w:rsid w:val="001B7BEB"/>
    <w:rsid w:val="001C0691"/>
    <w:rsid w:val="001C3764"/>
    <w:rsid w:val="001C659A"/>
    <w:rsid w:val="001D0A41"/>
    <w:rsid w:val="001D1AB8"/>
    <w:rsid w:val="001D29C2"/>
    <w:rsid w:val="001D3AD7"/>
    <w:rsid w:val="001D440C"/>
    <w:rsid w:val="001D4BDD"/>
    <w:rsid w:val="001D4E2D"/>
    <w:rsid w:val="001D5240"/>
    <w:rsid w:val="001E0C9C"/>
    <w:rsid w:val="001E100C"/>
    <w:rsid w:val="001E153F"/>
    <w:rsid w:val="001E1FAF"/>
    <w:rsid w:val="001E32EE"/>
    <w:rsid w:val="001E342D"/>
    <w:rsid w:val="001E3444"/>
    <w:rsid w:val="001E5141"/>
    <w:rsid w:val="001E6594"/>
    <w:rsid w:val="001E7758"/>
    <w:rsid w:val="001F37D3"/>
    <w:rsid w:val="001F4C05"/>
    <w:rsid w:val="001F5E6C"/>
    <w:rsid w:val="001F79A9"/>
    <w:rsid w:val="0020108E"/>
    <w:rsid w:val="0020244F"/>
    <w:rsid w:val="00205DCD"/>
    <w:rsid w:val="00206BD6"/>
    <w:rsid w:val="0020728A"/>
    <w:rsid w:val="00207310"/>
    <w:rsid w:val="00207E2B"/>
    <w:rsid w:val="00210A2B"/>
    <w:rsid w:val="002124A4"/>
    <w:rsid w:val="002125D6"/>
    <w:rsid w:val="0021299B"/>
    <w:rsid w:val="0021648C"/>
    <w:rsid w:val="002213B0"/>
    <w:rsid w:val="00222B7C"/>
    <w:rsid w:val="00232581"/>
    <w:rsid w:val="00234DF5"/>
    <w:rsid w:val="002409DA"/>
    <w:rsid w:val="00241BC8"/>
    <w:rsid w:val="00243565"/>
    <w:rsid w:val="00245336"/>
    <w:rsid w:val="00245906"/>
    <w:rsid w:val="0024725A"/>
    <w:rsid w:val="002515C8"/>
    <w:rsid w:val="002530D2"/>
    <w:rsid w:val="00253544"/>
    <w:rsid w:val="00256EE8"/>
    <w:rsid w:val="00257FC2"/>
    <w:rsid w:val="002601EC"/>
    <w:rsid w:val="00266F33"/>
    <w:rsid w:val="00267164"/>
    <w:rsid w:val="00267CB2"/>
    <w:rsid w:val="0027659F"/>
    <w:rsid w:val="002768F8"/>
    <w:rsid w:val="00276A30"/>
    <w:rsid w:val="00276AC8"/>
    <w:rsid w:val="00280D3A"/>
    <w:rsid w:val="00281957"/>
    <w:rsid w:val="002825D4"/>
    <w:rsid w:val="00282B5D"/>
    <w:rsid w:val="002850F9"/>
    <w:rsid w:val="002859D4"/>
    <w:rsid w:val="00286D91"/>
    <w:rsid w:val="00292C29"/>
    <w:rsid w:val="00293766"/>
    <w:rsid w:val="0029479C"/>
    <w:rsid w:val="00295400"/>
    <w:rsid w:val="002A4A9C"/>
    <w:rsid w:val="002A54AC"/>
    <w:rsid w:val="002A649E"/>
    <w:rsid w:val="002B1ECA"/>
    <w:rsid w:val="002B36D1"/>
    <w:rsid w:val="002B41A3"/>
    <w:rsid w:val="002B42B7"/>
    <w:rsid w:val="002B6C63"/>
    <w:rsid w:val="002B7950"/>
    <w:rsid w:val="002B7AC7"/>
    <w:rsid w:val="002C0C3C"/>
    <w:rsid w:val="002C3772"/>
    <w:rsid w:val="002C398F"/>
    <w:rsid w:val="002C52C6"/>
    <w:rsid w:val="002C6E2C"/>
    <w:rsid w:val="002C70A2"/>
    <w:rsid w:val="002D1E06"/>
    <w:rsid w:val="002D37F3"/>
    <w:rsid w:val="002D557B"/>
    <w:rsid w:val="002D5A5D"/>
    <w:rsid w:val="002D5AD1"/>
    <w:rsid w:val="002D6C0A"/>
    <w:rsid w:val="002E0671"/>
    <w:rsid w:val="002E1A8E"/>
    <w:rsid w:val="002E3A0D"/>
    <w:rsid w:val="002E421A"/>
    <w:rsid w:val="002E5CFD"/>
    <w:rsid w:val="002E649B"/>
    <w:rsid w:val="002E718E"/>
    <w:rsid w:val="002E769F"/>
    <w:rsid w:val="002E7AF1"/>
    <w:rsid w:val="002F1970"/>
    <w:rsid w:val="002F4D7E"/>
    <w:rsid w:val="002F7319"/>
    <w:rsid w:val="00301228"/>
    <w:rsid w:val="00302182"/>
    <w:rsid w:val="00303EDA"/>
    <w:rsid w:val="003041BB"/>
    <w:rsid w:val="0030533C"/>
    <w:rsid w:val="00306237"/>
    <w:rsid w:val="0030675E"/>
    <w:rsid w:val="0031210C"/>
    <w:rsid w:val="00313386"/>
    <w:rsid w:val="00313F41"/>
    <w:rsid w:val="00314C72"/>
    <w:rsid w:val="00315405"/>
    <w:rsid w:val="00315479"/>
    <w:rsid w:val="00316148"/>
    <w:rsid w:val="00316C9E"/>
    <w:rsid w:val="003202AB"/>
    <w:rsid w:val="00320D77"/>
    <w:rsid w:val="0032316E"/>
    <w:rsid w:val="003239FD"/>
    <w:rsid w:val="0032441B"/>
    <w:rsid w:val="00324A6D"/>
    <w:rsid w:val="0032784A"/>
    <w:rsid w:val="00332FCF"/>
    <w:rsid w:val="0033549D"/>
    <w:rsid w:val="00337964"/>
    <w:rsid w:val="003426D2"/>
    <w:rsid w:val="00343F70"/>
    <w:rsid w:val="00346D12"/>
    <w:rsid w:val="00352ECC"/>
    <w:rsid w:val="00352FA7"/>
    <w:rsid w:val="003530E3"/>
    <w:rsid w:val="0035345F"/>
    <w:rsid w:val="00354BFA"/>
    <w:rsid w:val="003550E0"/>
    <w:rsid w:val="00355913"/>
    <w:rsid w:val="00355D09"/>
    <w:rsid w:val="00357B0F"/>
    <w:rsid w:val="003608C5"/>
    <w:rsid w:val="0036204F"/>
    <w:rsid w:val="003620FC"/>
    <w:rsid w:val="00362BAD"/>
    <w:rsid w:val="0036347B"/>
    <w:rsid w:val="0036679A"/>
    <w:rsid w:val="00366FEC"/>
    <w:rsid w:val="003721AE"/>
    <w:rsid w:val="00373CD9"/>
    <w:rsid w:val="00375B73"/>
    <w:rsid w:val="00380270"/>
    <w:rsid w:val="00384206"/>
    <w:rsid w:val="00384BAA"/>
    <w:rsid w:val="00385576"/>
    <w:rsid w:val="00385D63"/>
    <w:rsid w:val="003901B5"/>
    <w:rsid w:val="00392342"/>
    <w:rsid w:val="00393A8B"/>
    <w:rsid w:val="0039400F"/>
    <w:rsid w:val="00394572"/>
    <w:rsid w:val="00395FD9"/>
    <w:rsid w:val="003A1FEA"/>
    <w:rsid w:val="003A225C"/>
    <w:rsid w:val="003A448E"/>
    <w:rsid w:val="003B063B"/>
    <w:rsid w:val="003B1EBD"/>
    <w:rsid w:val="003B6647"/>
    <w:rsid w:val="003B6E93"/>
    <w:rsid w:val="003C0CC0"/>
    <w:rsid w:val="003C0EA6"/>
    <w:rsid w:val="003C17DE"/>
    <w:rsid w:val="003C3EB2"/>
    <w:rsid w:val="003C6722"/>
    <w:rsid w:val="003D0FFB"/>
    <w:rsid w:val="003D37C0"/>
    <w:rsid w:val="003E09D7"/>
    <w:rsid w:val="003E0B6F"/>
    <w:rsid w:val="003E3274"/>
    <w:rsid w:val="003E3A2C"/>
    <w:rsid w:val="003E4379"/>
    <w:rsid w:val="003E73A3"/>
    <w:rsid w:val="003F0DC5"/>
    <w:rsid w:val="003F1B99"/>
    <w:rsid w:val="003F38F9"/>
    <w:rsid w:val="003F6780"/>
    <w:rsid w:val="0040021D"/>
    <w:rsid w:val="00401BD8"/>
    <w:rsid w:val="00402929"/>
    <w:rsid w:val="00403516"/>
    <w:rsid w:val="00403D33"/>
    <w:rsid w:val="004042F0"/>
    <w:rsid w:val="0040471F"/>
    <w:rsid w:val="00404AE6"/>
    <w:rsid w:val="004069AC"/>
    <w:rsid w:val="0040736D"/>
    <w:rsid w:val="0041155A"/>
    <w:rsid w:val="00414C7C"/>
    <w:rsid w:val="00416F65"/>
    <w:rsid w:val="00421E90"/>
    <w:rsid w:val="00423E50"/>
    <w:rsid w:val="0042419E"/>
    <w:rsid w:val="004266F5"/>
    <w:rsid w:val="00426D55"/>
    <w:rsid w:val="0042784A"/>
    <w:rsid w:val="004301D5"/>
    <w:rsid w:val="0043098D"/>
    <w:rsid w:val="00431D42"/>
    <w:rsid w:val="00431FE3"/>
    <w:rsid w:val="0043336B"/>
    <w:rsid w:val="00433ACC"/>
    <w:rsid w:val="00435D16"/>
    <w:rsid w:val="00440F80"/>
    <w:rsid w:val="00441DB1"/>
    <w:rsid w:val="004437AD"/>
    <w:rsid w:val="00443CBF"/>
    <w:rsid w:val="00444A60"/>
    <w:rsid w:val="004459EA"/>
    <w:rsid w:val="004557A8"/>
    <w:rsid w:val="00456747"/>
    <w:rsid w:val="004569CD"/>
    <w:rsid w:val="00460068"/>
    <w:rsid w:val="004604DB"/>
    <w:rsid w:val="00462536"/>
    <w:rsid w:val="0046395A"/>
    <w:rsid w:val="00465260"/>
    <w:rsid w:val="00465545"/>
    <w:rsid w:val="0046565E"/>
    <w:rsid w:val="004703D6"/>
    <w:rsid w:val="00470E6D"/>
    <w:rsid w:val="004730A3"/>
    <w:rsid w:val="00473BFA"/>
    <w:rsid w:val="00474D9A"/>
    <w:rsid w:val="00475245"/>
    <w:rsid w:val="00481EE0"/>
    <w:rsid w:val="004834B0"/>
    <w:rsid w:val="004907C3"/>
    <w:rsid w:val="004912BC"/>
    <w:rsid w:val="00491F3F"/>
    <w:rsid w:val="004920AD"/>
    <w:rsid w:val="004921BC"/>
    <w:rsid w:val="0049311D"/>
    <w:rsid w:val="00493643"/>
    <w:rsid w:val="004956B6"/>
    <w:rsid w:val="00497DE4"/>
    <w:rsid w:val="004A0718"/>
    <w:rsid w:val="004A46D8"/>
    <w:rsid w:val="004A4B2F"/>
    <w:rsid w:val="004A762B"/>
    <w:rsid w:val="004B6909"/>
    <w:rsid w:val="004B6DEB"/>
    <w:rsid w:val="004C0163"/>
    <w:rsid w:val="004C1765"/>
    <w:rsid w:val="004C378C"/>
    <w:rsid w:val="004C417C"/>
    <w:rsid w:val="004C5222"/>
    <w:rsid w:val="004C6A2F"/>
    <w:rsid w:val="004D1148"/>
    <w:rsid w:val="004D1C8D"/>
    <w:rsid w:val="004D4BE8"/>
    <w:rsid w:val="004E19E2"/>
    <w:rsid w:val="004E4271"/>
    <w:rsid w:val="004E4DA0"/>
    <w:rsid w:val="004E6457"/>
    <w:rsid w:val="004E76FC"/>
    <w:rsid w:val="004F38EC"/>
    <w:rsid w:val="004F400A"/>
    <w:rsid w:val="004F72FF"/>
    <w:rsid w:val="0050072C"/>
    <w:rsid w:val="00505E61"/>
    <w:rsid w:val="00506622"/>
    <w:rsid w:val="00511112"/>
    <w:rsid w:val="00512163"/>
    <w:rsid w:val="00512A6F"/>
    <w:rsid w:val="00512F54"/>
    <w:rsid w:val="00513CD3"/>
    <w:rsid w:val="00523794"/>
    <w:rsid w:val="00526EA0"/>
    <w:rsid w:val="00526ED0"/>
    <w:rsid w:val="00532977"/>
    <w:rsid w:val="005343F1"/>
    <w:rsid w:val="0053716E"/>
    <w:rsid w:val="005403D5"/>
    <w:rsid w:val="00540CE8"/>
    <w:rsid w:val="00541E05"/>
    <w:rsid w:val="00542078"/>
    <w:rsid w:val="00542A44"/>
    <w:rsid w:val="00544854"/>
    <w:rsid w:val="0055337F"/>
    <w:rsid w:val="00554B24"/>
    <w:rsid w:val="00554C0F"/>
    <w:rsid w:val="005553A1"/>
    <w:rsid w:val="00557DD7"/>
    <w:rsid w:val="005605B6"/>
    <w:rsid w:val="00560ECF"/>
    <w:rsid w:val="005614F0"/>
    <w:rsid w:val="005632EA"/>
    <w:rsid w:val="00563309"/>
    <w:rsid w:val="005658D8"/>
    <w:rsid w:val="00567407"/>
    <w:rsid w:val="00567D8D"/>
    <w:rsid w:val="00570F24"/>
    <w:rsid w:val="00572266"/>
    <w:rsid w:val="00573B8B"/>
    <w:rsid w:val="005771AA"/>
    <w:rsid w:val="00581519"/>
    <w:rsid w:val="00582A7B"/>
    <w:rsid w:val="00584540"/>
    <w:rsid w:val="00586711"/>
    <w:rsid w:val="0059174E"/>
    <w:rsid w:val="00594ABF"/>
    <w:rsid w:val="00594AC6"/>
    <w:rsid w:val="00595421"/>
    <w:rsid w:val="005961EF"/>
    <w:rsid w:val="00597D33"/>
    <w:rsid w:val="005A0A58"/>
    <w:rsid w:val="005A1148"/>
    <w:rsid w:val="005A6707"/>
    <w:rsid w:val="005A7789"/>
    <w:rsid w:val="005B053B"/>
    <w:rsid w:val="005B08EC"/>
    <w:rsid w:val="005B44D6"/>
    <w:rsid w:val="005B4DAE"/>
    <w:rsid w:val="005B7069"/>
    <w:rsid w:val="005C0BA9"/>
    <w:rsid w:val="005C3E40"/>
    <w:rsid w:val="005C5553"/>
    <w:rsid w:val="005C62D6"/>
    <w:rsid w:val="005C6609"/>
    <w:rsid w:val="005C68D7"/>
    <w:rsid w:val="005D0BB8"/>
    <w:rsid w:val="005D202A"/>
    <w:rsid w:val="005D70B2"/>
    <w:rsid w:val="005E27B6"/>
    <w:rsid w:val="005E4260"/>
    <w:rsid w:val="005E5B1D"/>
    <w:rsid w:val="005E6B44"/>
    <w:rsid w:val="005E7362"/>
    <w:rsid w:val="005E7DF1"/>
    <w:rsid w:val="005F0FEE"/>
    <w:rsid w:val="005F1D09"/>
    <w:rsid w:val="005F2C2A"/>
    <w:rsid w:val="005F55E0"/>
    <w:rsid w:val="005F7341"/>
    <w:rsid w:val="00602090"/>
    <w:rsid w:val="00604896"/>
    <w:rsid w:val="00604ED0"/>
    <w:rsid w:val="0060584E"/>
    <w:rsid w:val="006105C5"/>
    <w:rsid w:val="0061529C"/>
    <w:rsid w:val="0062092B"/>
    <w:rsid w:val="0062366A"/>
    <w:rsid w:val="006321C0"/>
    <w:rsid w:val="00634F2C"/>
    <w:rsid w:val="006401C5"/>
    <w:rsid w:val="00640F58"/>
    <w:rsid w:val="006453CD"/>
    <w:rsid w:val="00645B70"/>
    <w:rsid w:val="00653FB7"/>
    <w:rsid w:val="00655052"/>
    <w:rsid w:val="0065641A"/>
    <w:rsid w:val="00656D0F"/>
    <w:rsid w:val="00660DFE"/>
    <w:rsid w:val="00661A84"/>
    <w:rsid w:val="006628C4"/>
    <w:rsid w:val="00662CF4"/>
    <w:rsid w:val="00663B38"/>
    <w:rsid w:val="00667292"/>
    <w:rsid w:val="006677C8"/>
    <w:rsid w:val="0067092A"/>
    <w:rsid w:val="0067159F"/>
    <w:rsid w:val="00674DD4"/>
    <w:rsid w:val="00675609"/>
    <w:rsid w:val="00675EB5"/>
    <w:rsid w:val="00677231"/>
    <w:rsid w:val="00677AEB"/>
    <w:rsid w:val="00681187"/>
    <w:rsid w:val="00682222"/>
    <w:rsid w:val="00683DF1"/>
    <w:rsid w:val="00684681"/>
    <w:rsid w:val="00684B6B"/>
    <w:rsid w:val="00684DB1"/>
    <w:rsid w:val="00686359"/>
    <w:rsid w:val="00691E70"/>
    <w:rsid w:val="00692753"/>
    <w:rsid w:val="006937E5"/>
    <w:rsid w:val="0069427E"/>
    <w:rsid w:val="00696B01"/>
    <w:rsid w:val="0069794A"/>
    <w:rsid w:val="006A0294"/>
    <w:rsid w:val="006A0C9B"/>
    <w:rsid w:val="006A3569"/>
    <w:rsid w:val="006A39D8"/>
    <w:rsid w:val="006A4296"/>
    <w:rsid w:val="006A48D5"/>
    <w:rsid w:val="006A51A7"/>
    <w:rsid w:val="006A6069"/>
    <w:rsid w:val="006A747A"/>
    <w:rsid w:val="006B1573"/>
    <w:rsid w:val="006B2DCF"/>
    <w:rsid w:val="006B3F3C"/>
    <w:rsid w:val="006C401E"/>
    <w:rsid w:val="006C5AC1"/>
    <w:rsid w:val="006C79FF"/>
    <w:rsid w:val="006C7C45"/>
    <w:rsid w:val="006D1903"/>
    <w:rsid w:val="006D21CC"/>
    <w:rsid w:val="006D2ABE"/>
    <w:rsid w:val="006D4254"/>
    <w:rsid w:val="006D580B"/>
    <w:rsid w:val="006D77D2"/>
    <w:rsid w:val="006E1806"/>
    <w:rsid w:val="006E28F6"/>
    <w:rsid w:val="006E4E5D"/>
    <w:rsid w:val="006E54CB"/>
    <w:rsid w:val="006E5DF9"/>
    <w:rsid w:val="006E6580"/>
    <w:rsid w:val="006F0820"/>
    <w:rsid w:val="006F179D"/>
    <w:rsid w:val="006F1B36"/>
    <w:rsid w:val="006F3E67"/>
    <w:rsid w:val="006F483D"/>
    <w:rsid w:val="006F570B"/>
    <w:rsid w:val="006F6093"/>
    <w:rsid w:val="00702173"/>
    <w:rsid w:val="00704806"/>
    <w:rsid w:val="00711669"/>
    <w:rsid w:val="007169DC"/>
    <w:rsid w:val="0071716F"/>
    <w:rsid w:val="00720F78"/>
    <w:rsid w:val="007257F1"/>
    <w:rsid w:val="00726641"/>
    <w:rsid w:val="007278F3"/>
    <w:rsid w:val="00730CBC"/>
    <w:rsid w:val="007372FD"/>
    <w:rsid w:val="00740409"/>
    <w:rsid w:val="00740D65"/>
    <w:rsid w:val="007422CC"/>
    <w:rsid w:val="00742D0F"/>
    <w:rsid w:val="007453DF"/>
    <w:rsid w:val="007461AA"/>
    <w:rsid w:val="00754BDB"/>
    <w:rsid w:val="007574B3"/>
    <w:rsid w:val="007579A9"/>
    <w:rsid w:val="007664EC"/>
    <w:rsid w:val="00766938"/>
    <w:rsid w:val="007705D3"/>
    <w:rsid w:val="007707A9"/>
    <w:rsid w:val="00772A60"/>
    <w:rsid w:val="00777DA6"/>
    <w:rsid w:val="00780DA3"/>
    <w:rsid w:val="00781CB6"/>
    <w:rsid w:val="0079696F"/>
    <w:rsid w:val="00796C31"/>
    <w:rsid w:val="007A1F58"/>
    <w:rsid w:val="007A7EE0"/>
    <w:rsid w:val="007B15FD"/>
    <w:rsid w:val="007B58BF"/>
    <w:rsid w:val="007B5A00"/>
    <w:rsid w:val="007B78CC"/>
    <w:rsid w:val="007C07E9"/>
    <w:rsid w:val="007C2469"/>
    <w:rsid w:val="007C3704"/>
    <w:rsid w:val="007C72B4"/>
    <w:rsid w:val="007D09E9"/>
    <w:rsid w:val="007D3A41"/>
    <w:rsid w:val="007D5DB6"/>
    <w:rsid w:val="007E15A6"/>
    <w:rsid w:val="007E1FCF"/>
    <w:rsid w:val="007E2EE6"/>
    <w:rsid w:val="007E3FF8"/>
    <w:rsid w:val="007E4EF1"/>
    <w:rsid w:val="007E517B"/>
    <w:rsid w:val="007E70B9"/>
    <w:rsid w:val="007F3FCC"/>
    <w:rsid w:val="007F42AF"/>
    <w:rsid w:val="007F44A7"/>
    <w:rsid w:val="007F6110"/>
    <w:rsid w:val="007F642F"/>
    <w:rsid w:val="008001AA"/>
    <w:rsid w:val="008008A1"/>
    <w:rsid w:val="00801960"/>
    <w:rsid w:val="00804301"/>
    <w:rsid w:val="00805365"/>
    <w:rsid w:val="00806B7C"/>
    <w:rsid w:val="0080756E"/>
    <w:rsid w:val="008102D1"/>
    <w:rsid w:val="00816096"/>
    <w:rsid w:val="00823944"/>
    <w:rsid w:val="0082597B"/>
    <w:rsid w:val="00831429"/>
    <w:rsid w:val="0083538D"/>
    <w:rsid w:val="008358F1"/>
    <w:rsid w:val="00835F60"/>
    <w:rsid w:val="0083643E"/>
    <w:rsid w:val="00836F08"/>
    <w:rsid w:val="00837984"/>
    <w:rsid w:val="00840DDB"/>
    <w:rsid w:val="00841748"/>
    <w:rsid w:val="00843BD5"/>
    <w:rsid w:val="00844616"/>
    <w:rsid w:val="008459E7"/>
    <w:rsid w:val="00847A04"/>
    <w:rsid w:val="00850267"/>
    <w:rsid w:val="00852AD9"/>
    <w:rsid w:val="00853FD9"/>
    <w:rsid w:val="00863890"/>
    <w:rsid w:val="00864BD9"/>
    <w:rsid w:val="00864CDB"/>
    <w:rsid w:val="00865AA8"/>
    <w:rsid w:val="0087254A"/>
    <w:rsid w:val="0087278E"/>
    <w:rsid w:val="0087672E"/>
    <w:rsid w:val="00876A5A"/>
    <w:rsid w:val="00876AFB"/>
    <w:rsid w:val="008814CC"/>
    <w:rsid w:val="008816B5"/>
    <w:rsid w:val="00883E6E"/>
    <w:rsid w:val="00890C2F"/>
    <w:rsid w:val="00896E41"/>
    <w:rsid w:val="008A0A8C"/>
    <w:rsid w:val="008A123E"/>
    <w:rsid w:val="008A2F3D"/>
    <w:rsid w:val="008A358B"/>
    <w:rsid w:val="008A5FDC"/>
    <w:rsid w:val="008A6A5A"/>
    <w:rsid w:val="008B0E4F"/>
    <w:rsid w:val="008B3088"/>
    <w:rsid w:val="008B3A1A"/>
    <w:rsid w:val="008B602E"/>
    <w:rsid w:val="008B6766"/>
    <w:rsid w:val="008B6955"/>
    <w:rsid w:val="008B7B70"/>
    <w:rsid w:val="008C06BA"/>
    <w:rsid w:val="008C317A"/>
    <w:rsid w:val="008C4189"/>
    <w:rsid w:val="008C62B5"/>
    <w:rsid w:val="008C6824"/>
    <w:rsid w:val="008D1B3F"/>
    <w:rsid w:val="008D368E"/>
    <w:rsid w:val="008E19DA"/>
    <w:rsid w:val="008E21AB"/>
    <w:rsid w:val="008E2257"/>
    <w:rsid w:val="008E3D7C"/>
    <w:rsid w:val="008E44DD"/>
    <w:rsid w:val="008E493B"/>
    <w:rsid w:val="008E49AB"/>
    <w:rsid w:val="008E6252"/>
    <w:rsid w:val="008E755A"/>
    <w:rsid w:val="008E7637"/>
    <w:rsid w:val="008E77F7"/>
    <w:rsid w:val="008F01AE"/>
    <w:rsid w:val="008F0D08"/>
    <w:rsid w:val="008F1314"/>
    <w:rsid w:val="008F518D"/>
    <w:rsid w:val="008F6D3B"/>
    <w:rsid w:val="008F71DA"/>
    <w:rsid w:val="00901C2A"/>
    <w:rsid w:val="009020CA"/>
    <w:rsid w:val="00902739"/>
    <w:rsid w:val="0090530B"/>
    <w:rsid w:val="00905B24"/>
    <w:rsid w:val="00905D97"/>
    <w:rsid w:val="00906AFA"/>
    <w:rsid w:val="009109B7"/>
    <w:rsid w:val="0091218E"/>
    <w:rsid w:val="009137B8"/>
    <w:rsid w:val="00914370"/>
    <w:rsid w:val="009146F9"/>
    <w:rsid w:val="00914EA6"/>
    <w:rsid w:val="0091515E"/>
    <w:rsid w:val="00921D9A"/>
    <w:rsid w:val="00922693"/>
    <w:rsid w:val="00924BC1"/>
    <w:rsid w:val="009260A2"/>
    <w:rsid w:val="0092668E"/>
    <w:rsid w:val="00934A7E"/>
    <w:rsid w:val="00935204"/>
    <w:rsid w:val="00936B71"/>
    <w:rsid w:val="00940830"/>
    <w:rsid w:val="00941F8A"/>
    <w:rsid w:val="00942247"/>
    <w:rsid w:val="009433F2"/>
    <w:rsid w:val="00944D1E"/>
    <w:rsid w:val="009463DF"/>
    <w:rsid w:val="00951B0C"/>
    <w:rsid w:val="009524A1"/>
    <w:rsid w:val="0095283F"/>
    <w:rsid w:val="00954757"/>
    <w:rsid w:val="00956A0F"/>
    <w:rsid w:val="00956E18"/>
    <w:rsid w:val="00957CF1"/>
    <w:rsid w:val="00957EE2"/>
    <w:rsid w:val="009627BD"/>
    <w:rsid w:val="0096598D"/>
    <w:rsid w:val="00965CDE"/>
    <w:rsid w:val="00966379"/>
    <w:rsid w:val="009673B5"/>
    <w:rsid w:val="00967ADE"/>
    <w:rsid w:val="00967B9C"/>
    <w:rsid w:val="00973D22"/>
    <w:rsid w:val="00976F96"/>
    <w:rsid w:val="0098089B"/>
    <w:rsid w:val="00980F25"/>
    <w:rsid w:val="00981165"/>
    <w:rsid w:val="00981FFA"/>
    <w:rsid w:val="0098239D"/>
    <w:rsid w:val="00983ACA"/>
    <w:rsid w:val="00986512"/>
    <w:rsid w:val="009901D7"/>
    <w:rsid w:val="009910B2"/>
    <w:rsid w:val="00991B3D"/>
    <w:rsid w:val="00995453"/>
    <w:rsid w:val="009965DA"/>
    <w:rsid w:val="009A4C53"/>
    <w:rsid w:val="009A5A15"/>
    <w:rsid w:val="009A6C57"/>
    <w:rsid w:val="009B2A8F"/>
    <w:rsid w:val="009B6B13"/>
    <w:rsid w:val="009C0511"/>
    <w:rsid w:val="009C153E"/>
    <w:rsid w:val="009C22E8"/>
    <w:rsid w:val="009C378B"/>
    <w:rsid w:val="009C412A"/>
    <w:rsid w:val="009C63B7"/>
    <w:rsid w:val="009D160F"/>
    <w:rsid w:val="009D3AB5"/>
    <w:rsid w:val="009D3EA0"/>
    <w:rsid w:val="009D589D"/>
    <w:rsid w:val="009D7A01"/>
    <w:rsid w:val="009E1010"/>
    <w:rsid w:val="009E1EE4"/>
    <w:rsid w:val="009E2722"/>
    <w:rsid w:val="009E2E28"/>
    <w:rsid w:val="009E2F3F"/>
    <w:rsid w:val="009E385F"/>
    <w:rsid w:val="009E5C97"/>
    <w:rsid w:val="009E61A8"/>
    <w:rsid w:val="009E67CB"/>
    <w:rsid w:val="009F14CE"/>
    <w:rsid w:val="009F2950"/>
    <w:rsid w:val="009F5598"/>
    <w:rsid w:val="009F61F5"/>
    <w:rsid w:val="009F79E2"/>
    <w:rsid w:val="009F7E83"/>
    <w:rsid w:val="00A02EC6"/>
    <w:rsid w:val="00A07106"/>
    <w:rsid w:val="00A12338"/>
    <w:rsid w:val="00A14490"/>
    <w:rsid w:val="00A166AD"/>
    <w:rsid w:val="00A16EFE"/>
    <w:rsid w:val="00A20757"/>
    <w:rsid w:val="00A214D5"/>
    <w:rsid w:val="00A22D94"/>
    <w:rsid w:val="00A25CE2"/>
    <w:rsid w:val="00A30C17"/>
    <w:rsid w:val="00A31572"/>
    <w:rsid w:val="00A34571"/>
    <w:rsid w:val="00A3464E"/>
    <w:rsid w:val="00A35935"/>
    <w:rsid w:val="00A37659"/>
    <w:rsid w:val="00A44AC0"/>
    <w:rsid w:val="00A468A1"/>
    <w:rsid w:val="00A47CC0"/>
    <w:rsid w:val="00A514E8"/>
    <w:rsid w:val="00A53005"/>
    <w:rsid w:val="00A538A7"/>
    <w:rsid w:val="00A54D63"/>
    <w:rsid w:val="00A56A48"/>
    <w:rsid w:val="00A57ABC"/>
    <w:rsid w:val="00A62BF3"/>
    <w:rsid w:val="00A63019"/>
    <w:rsid w:val="00A633D5"/>
    <w:rsid w:val="00A6730F"/>
    <w:rsid w:val="00A70DA5"/>
    <w:rsid w:val="00A719F8"/>
    <w:rsid w:val="00A72AD9"/>
    <w:rsid w:val="00A80AB3"/>
    <w:rsid w:val="00A80B58"/>
    <w:rsid w:val="00A8195D"/>
    <w:rsid w:val="00A81E04"/>
    <w:rsid w:val="00A8206E"/>
    <w:rsid w:val="00A821CF"/>
    <w:rsid w:val="00A82FA7"/>
    <w:rsid w:val="00A8441F"/>
    <w:rsid w:val="00A86F51"/>
    <w:rsid w:val="00A874C7"/>
    <w:rsid w:val="00A87A51"/>
    <w:rsid w:val="00A953AB"/>
    <w:rsid w:val="00A97509"/>
    <w:rsid w:val="00AA041F"/>
    <w:rsid w:val="00AA119F"/>
    <w:rsid w:val="00AA2A94"/>
    <w:rsid w:val="00AB02E2"/>
    <w:rsid w:val="00AB3DFB"/>
    <w:rsid w:val="00AB59BA"/>
    <w:rsid w:val="00AB70FB"/>
    <w:rsid w:val="00AB7470"/>
    <w:rsid w:val="00AC0C31"/>
    <w:rsid w:val="00AC203A"/>
    <w:rsid w:val="00AC225C"/>
    <w:rsid w:val="00AC3889"/>
    <w:rsid w:val="00AC59FB"/>
    <w:rsid w:val="00AC5FCB"/>
    <w:rsid w:val="00AC7D59"/>
    <w:rsid w:val="00AD002D"/>
    <w:rsid w:val="00AD0FCA"/>
    <w:rsid w:val="00AD227D"/>
    <w:rsid w:val="00AD2FEA"/>
    <w:rsid w:val="00AD32DA"/>
    <w:rsid w:val="00AE0923"/>
    <w:rsid w:val="00AE2FEC"/>
    <w:rsid w:val="00AE505F"/>
    <w:rsid w:val="00AE7308"/>
    <w:rsid w:val="00AF6525"/>
    <w:rsid w:val="00AF7B5A"/>
    <w:rsid w:val="00B0307F"/>
    <w:rsid w:val="00B05303"/>
    <w:rsid w:val="00B05C39"/>
    <w:rsid w:val="00B05E53"/>
    <w:rsid w:val="00B05FA1"/>
    <w:rsid w:val="00B06B4C"/>
    <w:rsid w:val="00B12167"/>
    <w:rsid w:val="00B124C1"/>
    <w:rsid w:val="00B13059"/>
    <w:rsid w:val="00B13065"/>
    <w:rsid w:val="00B136C6"/>
    <w:rsid w:val="00B138F4"/>
    <w:rsid w:val="00B14E05"/>
    <w:rsid w:val="00B2205E"/>
    <w:rsid w:val="00B236D5"/>
    <w:rsid w:val="00B23FF7"/>
    <w:rsid w:val="00B24ECF"/>
    <w:rsid w:val="00B27CAF"/>
    <w:rsid w:val="00B31C69"/>
    <w:rsid w:val="00B357F2"/>
    <w:rsid w:val="00B41F83"/>
    <w:rsid w:val="00B42F7A"/>
    <w:rsid w:val="00B430F5"/>
    <w:rsid w:val="00B44D42"/>
    <w:rsid w:val="00B467F5"/>
    <w:rsid w:val="00B50776"/>
    <w:rsid w:val="00B51044"/>
    <w:rsid w:val="00B51244"/>
    <w:rsid w:val="00B525E2"/>
    <w:rsid w:val="00B5295D"/>
    <w:rsid w:val="00B5334F"/>
    <w:rsid w:val="00B5441A"/>
    <w:rsid w:val="00B54B0F"/>
    <w:rsid w:val="00B54DE3"/>
    <w:rsid w:val="00B55971"/>
    <w:rsid w:val="00B55A07"/>
    <w:rsid w:val="00B55AAA"/>
    <w:rsid w:val="00B55DD6"/>
    <w:rsid w:val="00B56647"/>
    <w:rsid w:val="00B56763"/>
    <w:rsid w:val="00B6049D"/>
    <w:rsid w:val="00B61294"/>
    <w:rsid w:val="00B6360E"/>
    <w:rsid w:val="00B63D8B"/>
    <w:rsid w:val="00B679AA"/>
    <w:rsid w:val="00B705AD"/>
    <w:rsid w:val="00B70925"/>
    <w:rsid w:val="00B71595"/>
    <w:rsid w:val="00B726CE"/>
    <w:rsid w:val="00B736BD"/>
    <w:rsid w:val="00B74619"/>
    <w:rsid w:val="00B7508E"/>
    <w:rsid w:val="00B76BFF"/>
    <w:rsid w:val="00B8213E"/>
    <w:rsid w:val="00B83EA4"/>
    <w:rsid w:val="00B84816"/>
    <w:rsid w:val="00B853F9"/>
    <w:rsid w:val="00B90895"/>
    <w:rsid w:val="00B90EE8"/>
    <w:rsid w:val="00B9137B"/>
    <w:rsid w:val="00B91BC2"/>
    <w:rsid w:val="00B91F2D"/>
    <w:rsid w:val="00B92090"/>
    <w:rsid w:val="00B9409E"/>
    <w:rsid w:val="00B94517"/>
    <w:rsid w:val="00B9537A"/>
    <w:rsid w:val="00B96C3E"/>
    <w:rsid w:val="00B97109"/>
    <w:rsid w:val="00BA069B"/>
    <w:rsid w:val="00BA1522"/>
    <w:rsid w:val="00BA1A76"/>
    <w:rsid w:val="00BA422A"/>
    <w:rsid w:val="00BA4EC9"/>
    <w:rsid w:val="00BA7778"/>
    <w:rsid w:val="00BB13A5"/>
    <w:rsid w:val="00BB3188"/>
    <w:rsid w:val="00BB7A1D"/>
    <w:rsid w:val="00BB7B46"/>
    <w:rsid w:val="00BC18E8"/>
    <w:rsid w:val="00BC407D"/>
    <w:rsid w:val="00BC5ABB"/>
    <w:rsid w:val="00BC7843"/>
    <w:rsid w:val="00BD3C6E"/>
    <w:rsid w:val="00BE05AB"/>
    <w:rsid w:val="00BE39AB"/>
    <w:rsid w:val="00BE6BD0"/>
    <w:rsid w:val="00BE780B"/>
    <w:rsid w:val="00BF0E9E"/>
    <w:rsid w:val="00BF269E"/>
    <w:rsid w:val="00BF3025"/>
    <w:rsid w:val="00BF3758"/>
    <w:rsid w:val="00BF4BBD"/>
    <w:rsid w:val="00BF6965"/>
    <w:rsid w:val="00BF6C5B"/>
    <w:rsid w:val="00C0016F"/>
    <w:rsid w:val="00C0148E"/>
    <w:rsid w:val="00C03555"/>
    <w:rsid w:val="00C0385C"/>
    <w:rsid w:val="00C055F3"/>
    <w:rsid w:val="00C06545"/>
    <w:rsid w:val="00C06DDA"/>
    <w:rsid w:val="00C06DFE"/>
    <w:rsid w:val="00C10280"/>
    <w:rsid w:val="00C1173A"/>
    <w:rsid w:val="00C145AE"/>
    <w:rsid w:val="00C146F1"/>
    <w:rsid w:val="00C1635C"/>
    <w:rsid w:val="00C16B63"/>
    <w:rsid w:val="00C16FAE"/>
    <w:rsid w:val="00C232B9"/>
    <w:rsid w:val="00C300E8"/>
    <w:rsid w:val="00C30132"/>
    <w:rsid w:val="00C32E48"/>
    <w:rsid w:val="00C3408B"/>
    <w:rsid w:val="00C348D4"/>
    <w:rsid w:val="00C40E9A"/>
    <w:rsid w:val="00C40FFC"/>
    <w:rsid w:val="00C50E68"/>
    <w:rsid w:val="00C5176A"/>
    <w:rsid w:val="00C53E96"/>
    <w:rsid w:val="00C56932"/>
    <w:rsid w:val="00C57E78"/>
    <w:rsid w:val="00C613FE"/>
    <w:rsid w:val="00C63D12"/>
    <w:rsid w:val="00C64D2B"/>
    <w:rsid w:val="00C653BE"/>
    <w:rsid w:val="00C65A89"/>
    <w:rsid w:val="00C70829"/>
    <w:rsid w:val="00C74939"/>
    <w:rsid w:val="00C83BB3"/>
    <w:rsid w:val="00C840BA"/>
    <w:rsid w:val="00C925E9"/>
    <w:rsid w:val="00C93915"/>
    <w:rsid w:val="00C9437F"/>
    <w:rsid w:val="00C94791"/>
    <w:rsid w:val="00C976AE"/>
    <w:rsid w:val="00CA0293"/>
    <w:rsid w:val="00CA094E"/>
    <w:rsid w:val="00CA22DA"/>
    <w:rsid w:val="00CA2ED4"/>
    <w:rsid w:val="00CA4B72"/>
    <w:rsid w:val="00CB1097"/>
    <w:rsid w:val="00CB1BF8"/>
    <w:rsid w:val="00CB2457"/>
    <w:rsid w:val="00CC03F6"/>
    <w:rsid w:val="00CC0609"/>
    <w:rsid w:val="00CC0D80"/>
    <w:rsid w:val="00CC2D6F"/>
    <w:rsid w:val="00CC4325"/>
    <w:rsid w:val="00CC4579"/>
    <w:rsid w:val="00CC696E"/>
    <w:rsid w:val="00CC76D0"/>
    <w:rsid w:val="00CD07CB"/>
    <w:rsid w:val="00CD0B61"/>
    <w:rsid w:val="00CD17D9"/>
    <w:rsid w:val="00CD1C49"/>
    <w:rsid w:val="00CD338C"/>
    <w:rsid w:val="00CD4962"/>
    <w:rsid w:val="00CD5B91"/>
    <w:rsid w:val="00CD72C7"/>
    <w:rsid w:val="00CD7661"/>
    <w:rsid w:val="00CE21E8"/>
    <w:rsid w:val="00CE45A4"/>
    <w:rsid w:val="00CE678A"/>
    <w:rsid w:val="00CE75C2"/>
    <w:rsid w:val="00CF2734"/>
    <w:rsid w:val="00CF342A"/>
    <w:rsid w:val="00CF47D2"/>
    <w:rsid w:val="00CF4CE8"/>
    <w:rsid w:val="00CF5CCD"/>
    <w:rsid w:val="00CF5D06"/>
    <w:rsid w:val="00CF664A"/>
    <w:rsid w:val="00D015BD"/>
    <w:rsid w:val="00D05E13"/>
    <w:rsid w:val="00D13CCD"/>
    <w:rsid w:val="00D161E0"/>
    <w:rsid w:val="00D21341"/>
    <w:rsid w:val="00D2168A"/>
    <w:rsid w:val="00D2183C"/>
    <w:rsid w:val="00D2294F"/>
    <w:rsid w:val="00D22D76"/>
    <w:rsid w:val="00D23A21"/>
    <w:rsid w:val="00D24653"/>
    <w:rsid w:val="00D24D37"/>
    <w:rsid w:val="00D25A0D"/>
    <w:rsid w:val="00D2662C"/>
    <w:rsid w:val="00D3074F"/>
    <w:rsid w:val="00D309B4"/>
    <w:rsid w:val="00D323B2"/>
    <w:rsid w:val="00D32DF7"/>
    <w:rsid w:val="00D34AD2"/>
    <w:rsid w:val="00D40ABF"/>
    <w:rsid w:val="00D5264F"/>
    <w:rsid w:val="00D52C09"/>
    <w:rsid w:val="00D56691"/>
    <w:rsid w:val="00D63AE3"/>
    <w:rsid w:val="00D64E0A"/>
    <w:rsid w:val="00D66CE7"/>
    <w:rsid w:val="00D66E87"/>
    <w:rsid w:val="00D72DE2"/>
    <w:rsid w:val="00D73256"/>
    <w:rsid w:val="00D738A3"/>
    <w:rsid w:val="00D75C2B"/>
    <w:rsid w:val="00D76247"/>
    <w:rsid w:val="00D770ED"/>
    <w:rsid w:val="00D77C4A"/>
    <w:rsid w:val="00D815CC"/>
    <w:rsid w:val="00D84681"/>
    <w:rsid w:val="00D858DD"/>
    <w:rsid w:val="00D85BEF"/>
    <w:rsid w:val="00D87EA9"/>
    <w:rsid w:val="00D903B3"/>
    <w:rsid w:val="00D9100C"/>
    <w:rsid w:val="00D92A58"/>
    <w:rsid w:val="00D92FCF"/>
    <w:rsid w:val="00D942A2"/>
    <w:rsid w:val="00D94DA5"/>
    <w:rsid w:val="00D96FF9"/>
    <w:rsid w:val="00DA0DFA"/>
    <w:rsid w:val="00DA1BA0"/>
    <w:rsid w:val="00DA31ED"/>
    <w:rsid w:val="00DA4556"/>
    <w:rsid w:val="00DA7260"/>
    <w:rsid w:val="00DA7E4A"/>
    <w:rsid w:val="00DB0260"/>
    <w:rsid w:val="00DB264D"/>
    <w:rsid w:val="00DB5B8F"/>
    <w:rsid w:val="00DB5DD0"/>
    <w:rsid w:val="00DC0BE5"/>
    <w:rsid w:val="00DC1B1D"/>
    <w:rsid w:val="00DC4238"/>
    <w:rsid w:val="00DD25C3"/>
    <w:rsid w:val="00DD3362"/>
    <w:rsid w:val="00DD7132"/>
    <w:rsid w:val="00DD714D"/>
    <w:rsid w:val="00DE2E1A"/>
    <w:rsid w:val="00DE51D6"/>
    <w:rsid w:val="00DE52C1"/>
    <w:rsid w:val="00DE63D3"/>
    <w:rsid w:val="00E00F69"/>
    <w:rsid w:val="00E068E5"/>
    <w:rsid w:val="00E074B4"/>
    <w:rsid w:val="00E12951"/>
    <w:rsid w:val="00E13798"/>
    <w:rsid w:val="00E16B5F"/>
    <w:rsid w:val="00E175CE"/>
    <w:rsid w:val="00E17745"/>
    <w:rsid w:val="00E17F5C"/>
    <w:rsid w:val="00E21162"/>
    <w:rsid w:val="00E2349E"/>
    <w:rsid w:val="00E247FC"/>
    <w:rsid w:val="00E24C7E"/>
    <w:rsid w:val="00E25B1B"/>
    <w:rsid w:val="00E270AF"/>
    <w:rsid w:val="00E315C8"/>
    <w:rsid w:val="00E32466"/>
    <w:rsid w:val="00E329D9"/>
    <w:rsid w:val="00E35356"/>
    <w:rsid w:val="00E361F6"/>
    <w:rsid w:val="00E36246"/>
    <w:rsid w:val="00E3716F"/>
    <w:rsid w:val="00E41357"/>
    <w:rsid w:val="00E4136B"/>
    <w:rsid w:val="00E41FA8"/>
    <w:rsid w:val="00E432C1"/>
    <w:rsid w:val="00E43EDD"/>
    <w:rsid w:val="00E44831"/>
    <w:rsid w:val="00E461EF"/>
    <w:rsid w:val="00E477AC"/>
    <w:rsid w:val="00E513C4"/>
    <w:rsid w:val="00E61125"/>
    <w:rsid w:val="00E61A81"/>
    <w:rsid w:val="00E64248"/>
    <w:rsid w:val="00E644AC"/>
    <w:rsid w:val="00E65AC5"/>
    <w:rsid w:val="00E6632A"/>
    <w:rsid w:val="00E72F63"/>
    <w:rsid w:val="00E7500F"/>
    <w:rsid w:val="00E8242D"/>
    <w:rsid w:val="00E82CE9"/>
    <w:rsid w:val="00E857EE"/>
    <w:rsid w:val="00E85B64"/>
    <w:rsid w:val="00E8620C"/>
    <w:rsid w:val="00E87993"/>
    <w:rsid w:val="00E90133"/>
    <w:rsid w:val="00E94F23"/>
    <w:rsid w:val="00E95046"/>
    <w:rsid w:val="00E9509D"/>
    <w:rsid w:val="00E9636C"/>
    <w:rsid w:val="00EA00B5"/>
    <w:rsid w:val="00EA18F4"/>
    <w:rsid w:val="00EA1F62"/>
    <w:rsid w:val="00EA2D7A"/>
    <w:rsid w:val="00EA428A"/>
    <w:rsid w:val="00EA521E"/>
    <w:rsid w:val="00EA5AAD"/>
    <w:rsid w:val="00EA5C6A"/>
    <w:rsid w:val="00EB03AD"/>
    <w:rsid w:val="00EB0CDA"/>
    <w:rsid w:val="00EB24B0"/>
    <w:rsid w:val="00EB304C"/>
    <w:rsid w:val="00EB305B"/>
    <w:rsid w:val="00EB46FD"/>
    <w:rsid w:val="00EB4B7F"/>
    <w:rsid w:val="00EC1232"/>
    <w:rsid w:val="00EC1E75"/>
    <w:rsid w:val="00EC61BB"/>
    <w:rsid w:val="00EC6FC8"/>
    <w:rsid w:val="00EC7B38"/>
    <w:rsid w:val="00ED1B8C"/>
    <w:rsid w:val="00ED1F7A"/>
    <w:rsid w:val="00ED31D4"/>
    <w:rsid w:val="00ED3A67"/>
    <w:rsid w:val="00ED3E4D"/>
    <w:rsid w:val="00ED45B7"/>
    <w:rsid w:val="00ED5916"/>
    <w:rsid w:val="00ED6021"/>
    <w:rsid w:val="00ED625F"/>
    <w:rsid w:val="00ED67F3"/>
    <w:rsid w:val="00ED6C8A"/>
    <w:rsid w:val="00EE0F5C"/>
    <w:rsid w:val="00EE189E"/>
    <w:rsid w:val="00EE4A03"/>
    <w:rsid w:val="00EE5B41"/>
    <w:rsid w:val="00EF1F0A"/>
    <w:rsid w:val="00EF2EC4"/>
    <w:rsid w:val="00EF4025"/>
    <w:rsid w:val="00EF410A"/>
    <w:rsid w:val="00EF56E2"/>
    <w:rsid w:val="00F021F2"/>
    <w:rsid w:val="00F04E78"/>
    <w:rsid w:val="00F06662"/>
    <w:rsid w:val="00F06992"/>
    <w:rsid w:val="00F105C6"/>
    <w:rsid w:val="00F10BDC"/>
    <w:rsid w:val="00F10DC4"/>
    <w:rsid w:val="00F10EF3"/>
    <w:rsid w:val="00F11179"/>
    <w:rsid w:val="00F11E62"/>
    <w:rsid w:val="00F12BFE"/>
    <w:rsid w:val="00F172F8"/>
    <w:rsid w:val="00F21C3B"/>
    <w:rsid w:val="00F2292B"/>
    <w:rsid w:val="00F23279"/>
    <w:rsid w:val="00F24C85"/>
    <w:rsid w:val="00F25D9D"/>
    <w:rsid w:val="00F278D0"/>
    <w:rsid w:val="00F3097D"/>
    <w:rsid w:val="00F3323A"/>
    <w:rsid w:val="00F345B5"/>
    <w:rsid w:val="00F34964"/>
    <w:rsid w:val="00F36C1A"/>
    <w:rsid w:val="00F378D4"/>
    <w:rsid w:val="00F4123D"/>
    <w:rsid w:val="00F41A38"/>
    <w:rsid w:val="00F41AD7"/>
    <w:rsid w:val="00F435F5"/>
    <w:rsid w:val="00F43CC3"/>
    <w:rsid w:val="00F43CCA"/>
    <w:rsid w:val="00F43F02"/>
    <w:rsid w:val="00F43F87"/>
    <w:rsid w:val="00F47691"/>
    <w:rsid w:val="00F50926"/>
    <w:rsid w:val="00F51B9D"/>
    <w:rsid w:val="00F51CE0"/>
    <w:rsid w:val="00F5288D"/>
    <w:rsid w:val="00F5300C"/>
    <w:rsid w:val="00F573EC"/>
    <w:rsid w:val="00F57DAE"/>
    <w:rsid w:val="00F61E22"/>
    <w:rsid w:val="00F637C6"/>
    <w:rsid w:val="00F64CCE"/>
    <w:rsid w:val="00F66EF6"/>
    <w:rsid w:val="00F677EC"/>
    <w:rsid w:val="00F67ADB"/>
    <w:rsid w:val="00F70DD7"/>
    <w:rsid w:val="00F71FB6"/>
    <w:rsid w:val="00F72ADD"/>
    <w:rsid w:val="00F74750"/>
    <w:rsid w:val="00F748B2"/>
    <w:rsid w:val="00F7579E"/>
    <w:rsid w:val="00F757F2"/>
    <w:rsid w:val="00F759B4"/>
    <w:rsid w:val="00F77442"/>
    <w:rsid w:val="00F810C4"/>
    <w:rsid w:val="00F81823"/>
    <w:rsid w:val="00F81DBD"/>
    <w:rsid w:val="00F861FC"/>
    <w:rsid w:val="00F90F22"/>
    <w:rsid w:val="00F91D12"/>
    <w:rsid w:val="00F93F1F"/>
    <w:rsid w:val="00F97C37"/>
    <w:rsid w:val="00F97E3D"/>
    <w:rsid w:val="00FA281A"/>
    <w:rsid w:val="00FA41F3"/>
    <w:rsid w:val="00FA4690"/>
    <w:rsid w:val="00FA5E58"/>
    <w:rsid w:val="00FA68BA"/>
    <w:rsid w:val="00FA71B9"/>
    <w:rsid w:val="00FB4164"/>
    <w:rsid w:val="00FB63E0"/>
    <w:rsid w:val="00FB7C8F"/>
    <w:rsid w:val="00FC0427"/>
    <w:rsid w:val="00FC11C4"/>
    <w:rsid w:val="00FC1BF0"/>
    <w:rsid w:val="00FC4B0F"/>
    <w:rsid w:val="00FC6160"/>
    <w:rsid w:val="00FC7411"/>
    <w:rsid w:val="00FD0A5C"/>
    <w:rsid w:val="00FD2571"/>
    <w:rsid w:val="00FD4DD0"/>
    <w:rsid w:val="00FD6FA0"/>
    <w:rsid w:val="00FE080B"/>
    <w:rsid w:val="00FE25B2"/>
    <w:rsid w:val="00FE3C3B"/>
    <w:rsid w:val="00FE4E69"/>
    <w:rsid w:val="00FF1539"/>
    <w:rsid w:val="00FF169A"/>
    <w:rsid w:val="00FF4219"/>
    <w:rsid w:val="00FF6E72"/>
    <w:rsid w:val="00FF73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F040"/>
  <w15:chartTrackingRefBased/>
  <w15:docId w15:val="{E6BE6D59-910D-416B-A6AC-3E1CFDE0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E0"/>
    <w:pPr>
      <w:spacing w:after="0" w:line="240" w:lineRule="auto"/>
    </w:pPr>
    <w:rPr>
      <w:sz w:val="24"/>
      <w:szCs w:val="24"/>
      <w:lang w:val="es-ES_tradnl"/>
    </w:rPr>
  </w:style>
  <w:style w:type="paragraph" w:styleId="Ttulo1">
    <w:name w:val="heading 1"/>
    <w:basedOn w:val="Normal"/>
    <w:next w:val="Normal"/>
    <w:link w:val="Ttulo1Car"/>
    <w:uiPriority w:val="9"/>
    <w:qFormat/>
    <w:rsid w:val="007B15FD"/>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21A"/>
    <w:pPr>
      <w:ind w:left="720"/>
      <w:contextualSpacing/>
    </w:pPr>
  </w:style>
  <w:style w:type="paragraph" w:styleId="Encabezado">
    <w:name w:val="header"/>
    <w:basedOn w:val="Normal"/>
    <w:link w:val="EncabezadoCar"/>
    <w:uiPriority w:val="99"/>
    <w:unhideWhenUsed/>
    <w:rsid w:val="002E421A"/>
    <w:pPr>
      <w:tabs>
        <w:tab w:val="center" w:pos="4419"/>
        <w:tab w:val="right" w:pos="8838"/>
      </w:tabs>
    </w:pPr>
  </w:style>
  <w:style w:type="character" w:customStyle="1" w:styleId="EncabezadoCar">
    <w:name w:val="Encabezado Car"/>
    <w:basedOn w:val="Fuentedeprrafopredeter"/>
    <w:link w:val="Encabezado"/>
    <w:uiPriority w:val="99"/>
    <w:rsid w:val="002E421A"/>
  </w:style>
  <w:style w:type="paragraph" w:styleId="Piedepgina">
    <w:name w:val="footer"/>
    <w:basedOn w:val="Normal"/>
    <w:link w:val="PiedepginaCar"/>
    <w:uiPriority w:val="99"/>
    <w:unhideWhenUsed/>
    <w:rsid w:val="002E421A"/>
    <w:pPr>
      <w:tabs>
        <w:tab w:val="center" w:pos="4419"/>
        <w:tab w:val="right" w:pos="8838"/>
      </w:tabs>
    </w:pPr>
  </w:style>
  <w:style w:type="character" w:customStyle="1" w:styleId="PiedepginaCar">
    <w:name w:val="Pie de página Car"/>
    <w:basedOn w:val="Fuentedeprrafopredeter"/>
    <w:link w:val="Piedepgina"/>
    <w:uiPriority w:val="99"/>
    <w:rsid w:val="002E421A"/>
  </w:style>
  <w:style w:type="paragraph" w:styleId="Sinespaciado">
    <w:name w:val="No Spacing"/>
    <w:uiPriority w:val="1"/>
    <w:qFormat/>
    <w:rsid w:val="002E421A"/>
    <w:pPr>
      <w:spacing w:after="0" w:line="240" w:lineRule="auto"/>
    </w:pPr>
  </w:style>
  <w:style w:type="character" w:styleId="Hipervnculo">
    <w:name w:val="Hyperlink"/>
    <w:basedOn w:val="Fuentedeprrafopredeter"/>
    <w:uiPriority w:val="99"/>
    <w:unhideWhenUsed/>
    <w:rsid w:val="002E421A"/>
    <w:rPr>
      <w:color w:val="0563C1" w:themeColor="hyperlink"/>
      <w:u w:val="single"/>
    </w:rPr>
  </w:style>
  <w:style w:type="paragraph" w:styleId="Textonotapie">
    <w:name w:val="footnote text"/>
    <w:basedOn w:val="Normal"/>
    <w:link w:val="TextonotapieCar"/>
    <w:uiPriority w:val="99"/>
    <w:semiHidden/>
    <w:unhideWhenUsed/>
    <w:rsid w:val="00ED625F"/>
    <w:rPr>
      <w:sz w:val="20"/>
      <w:szCs w:val="20"/>
    </w:rPr>
  </w:style>
  <w:style w:type="character" w:customStyle="1" w:styleId="TextonotapieCar">
    <w:name w:val="Texto nota pie Car"/>
    <w:basedOn w:val="Fuentedeprrafopredeter"/>
    <w:link w:val="Textonotapie"/>
    <w:uiPriority w:val="99"/>
    <w:semiHidden/>
    <w:rsid w:val="00ED625F"/>
    <w:rPr>
      <w:sz w:val="20"/>
      <w:szCs w:val="20"/>
      <w:lang w:val="es-ES_tradnl"/>
    </w:rPr>
  </w:style>
  <w:style w:type="character" w:styleId="Refdenotaalpie">
    <w:name w:val="footnote reference"/>
    <w:basedOn w:val="Fuentedeprrafopredeter"/>
    <w:uiPriority w:val="99"/>
    <w:semiHidden/>
    <w:unhideWhenUsed/>
    <w:rsid w:val="00ED625F"/>
    <w:rPr>
      <w:vertAlign w:val="superscript"/>
    </w:rPr>
  </w:style>
  <w:style w:type="paragraph" w:styleId="NormalWeb">
    <w:name w:val="Normal (Web)"/>
    <w:basedOn w:val="Normal"/>
    <w:uiPriority w:val="99"/>
    <w:unhideWhenUsed/>
    <w:rsid w:val="00ED625F"/>
    <w:pPr>
      <w:spacing w:before="100" w:beforeAutospacing="1" w:after="100" w:afterAutospacing="1"/>
    </w:pPr>
    <w:rPr>
      <w:rFonts w:ascii="Times New Roman" w:eastAsia="Times New Roman" w:hAnsi="Times New Roman" w:cs="Times New Roman"/>
      <w:lang w:eastAsia="es-CO"/>
    </w:rPr>
  </w:style>
  <w:style w:type="table" w:styleId="Tablaconcuadrcula">
    <w:name w:val="Table Grid"/>
    <w:basedOn w:val="Tablanormal"/>
    <w:uiPriority w:val="39"/>
    <w:rsid w:val="007A7EE0"/>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B15FD"/>
    <w:rPr>
      <w:rFonts w:asciiTheme="majorHAnsi" w:eastAsiaTheme="majorEastAsia" w:hAnsiTheme="majorHAnsi" w:cstheme="majorBidi"/>
      <w:color w:val="2E74B5" w:themeColor="accent1" w:themeShade="BF"/>
      <w:sz w:val="32"/>
      <w:szCs w:val="32"/>
      <w:lang w:eastAsia="es-CO"/>
    </w:rPr>
  </w:style>
  <w:style w:type="paragraph" w:customStyle="1" w:styleId="centrado">
    <w:name w:val="centrado"/>
    <w:basedOn w:val="Normal"/>
    <w:rsid w:val="00D87EA9"/>
    <w:pPr>
      <w:spacing w:before="100" w:beforeAutospacing="1" w:after="100" w:afterAutospacing="1"/>
    </w:pPr>
    <w:rPr>
      <w:rFonts w:ascii="Times New Roman" w:eastAsia="Times New Roman" w:hAnsi="Times New Roman" w:cs="Times New Roman"/>
      <w:lang w:val="es-CO" w:eastAsia="es-CO"/>
    </w:rPr>
  </w:style>
  <w:style w:type="paragraph" w:styleId="Descripcin">
    <w:name w:val="caption"/>
    <w:basedOn w:val="Normal"/>
    <w:next w:val="Normal"/>
    <w:uiPriority w:val="35"/>
    <w:semiHidden/>
    <w:unhideWhenUsed/>
    <w:qFormat/>
    <w:rsid w:val="00D87EA9"/>
    <w:pPr>
      <w:spacing w:after="200"/>
    </w:pPr>
    <w:rPr>
      <w:i/>
      <w:iCs/>
      <w:color w:val="44546A" w:themeColor="text2"/>
      <w:sz w:val="18"/>
      <w:szCs w:val="18"/>
      <w:lang w:val="es-CO"/>
    </w:rPr>
  </w:style>
  <w:style w:type="paragraph" w:customStyle="1" w:styleId="Default">
    <w:name w:val="Default"/>
    <w:rsid w:val="00D87EA9"/>
    <w:pPr>
      <w:autoSpaceDE w:val="0"/>
      <w:autoSpaceDN w:val="0"/>
      <w:adjustRightInd w:val="0"/>
      <w:spacing w:after="0" w:line="240" w:lineRule="auto"/>
    </w:pPr>
    <w:rPr>
      <w:rFonts w:ascii="Verdana" w:hAnsi="Verdana" w:cs="Verdana"/>
      <w:color w:val="000000"/>
      <w:sz w:val="24"/>
      <w:szCs w:val="24"/>
    </w:rPr>
  </w:style>
  <w:style w:type="paragraph" w:styleId="Bibliografa">
    <w:name w:val="Bibliography"/>
    <w:basedOn w:val="Normal"/>
    <w:next w:val="Normal"/>
    <w:uiPriority w:val="37"/>
    <w:unhideWhenUsed/>
    <w:rsid w:val="00D87EA9"/>
    <w:pPr>
      <w:spacing w:after="160" w:line="259" w:lineRule="auto"/>
    </w:pPr>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9229">
      <w:bodyDiv w:val="1"/>
      <w:marLeft w:val="0"/>
      <w:marRight w:val="0"/>
      <w:marTop w:val="0"/>
      <w:marBottom w:val="0"/>
      <w:divBdr>
        <w:top w:val="none" w:sz="0" w:space="0" w:color="auto"/>
        <w:left w:val="none" w:sz="0" w:space="0" w:color="auto"/>
        <w:bottom w:val="none" w:sz="0" w:space="0" w:color="auto"/>
        <w:right w:val="none" w:sz="0" w:space="0" w:color="auto"/>
      </w:divBdr>
    </w:div>
    <w:div w:id="159135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knowledge.worldbank.org/handle/10986/2967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ncomundial.org/es/publication/human-capita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ancilleria.gov.co/faq/que-costo-tiene-apostilla-y-legalizac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AND18</b:Tag>
    <b:SourceType>InternetSite</b:SourceType>
    <b:Guid>{387E2D3B-CE6F-48E7-BF70-747B967500D0}</b:Guid>
    <b:Author>
      <b:Author>
        <b:Corporate>ANDI</b:Corporate>
      </b:Author>
    </b:Author>
    <b:Title>SECTOR TRANSPORTE TERRESTRE DE PASAJEROS EN COLOMBIA</b:Title>
    <b:Year>2018</b:Year>
    <b:URL>http://www.andi.com.co/Uploads/SECTOR%20TRANSPORTE%20TERRESTRE%20DE%20PASAJEROS%20POR%20CARRETERA%20EN%20COLOMBIA%20VF.pdf </b:URL>
    <b:RefOrder>2</b:RefOrder>
  </b:Source>
  <b:Source>
    <b:Tag>DAN192</b:Tag>
    <b:SourceType>InternetSite</b:SourceType>
    <b:Guid>{41931C3D-4B0B-4694-A632-E6624048D575}</b:Guid>
    <b:Author>
      <b:Author>
        <b:Corporate>DANE</b:Corporate>
      </b:Author>
    </b:Author>
    <b:Title>Cuentas Nacionales - PIB</b:Title>
    <b:Year>2019</b:Year>
    <b:URL>https://www.dane.gov.co/files/investigaciones/boletines/pib/cuentas-nal-anuales/agregados-macroeconomicos-cuentas-nal-anuales-2005-2017p.xlsx</b:URL>
    <b:RefOrder>3</b:RefOrder>
  </b:Source>
  <b:Source>
    <b:Tag>Mun19</b:Tag>
    <b:SourceType>InternetSite</b:SourceType>
    <b:Guid>{6E6AA815-1A98-4963-8369-CE21BBAE84F4}</b:Guid>
    <b:Author>
      <b:Author>
        <b:Corporate>Mundo Noticias</b:Corporate>
      </b:Author>
    </b:Author>
    <b:Title>Por segunda vez, capturan individuo que suplantaba ser trabajador de Acuacar para exigir dinero a usuarios</b:Title>
    <b:Year>2019</b:Year>
    <b:Month>Enero</b:Month>
    <b:Day>26</b:Day>
    <b:URL>https://mundonoticias.com.co/por-segunda-vez-capturan-individuo-que-suplantaba-ser-trabajador-de-acuacar-para-exigir-dinero-a-usuarios/ </b:URL>
    <b:RefOrder>4</b:RefOrder>
  </b:Source>
  <b:Source>
    <b:Tag>Pol19</b:Tag>
    <b:SourceType>InternetSite</b:SourceType>
    <b:Guid>{96FE9E41-9279-4599-BAE6-B159373DE754}</b:Guid>
    <b:Author>
      <b:Author>
        <b:Corporate>Policía Nacional</b:Corporate>
      </b:Author>
    </b:Author>
    <b:Title>MinDefensa - Policía Nacional</b:Title>
    <b:InternetSiteTitle>Estadística delictiva</b:InternetSiteTitle>
    <b:Year>2019</b:Year>
    <b:Month>Junio</b:Month>
    <b:Day>09</b:Day>
    <b:URL>https://www.policia.gov.co/grupo-informaci%C3%B3n-criminalidad/estadistica-delictiva</b:URL>
    <b:RefOrder>5</b:RefOrder>
  </b:Source>
  <b:Source>
    <b:Tag>DAN19</b:Tag>
    <b:SourceType>DocumentFromInternetSite</b:SourceType>
    <b:Guid>{A8C0B32A-5E06-4979-AD9B-764EBADB9E90}</b:Guid>
    <b:Title>Resultados Censo Nacional de Población y Vivienda 2018</b:Title>
    <b:Year>2019</b:Year>
    <b:Author>
      <b:Author>
        <b:Corporate>DANE</b:Corporate>
      </b:Author>
    </b:Author>
    <b:URL>https://www.dane.gov.co/files/censo2018/informacion-tecnica/cnpv-2018-presentacion-3ra-entrega.pdf </b:URL>
    <b:RefOrder>6</b:RefOrder>
  </b:Source>
  <b:Source>
    <b:Tag>MON</b:Tag>
    <b:SourceType>InternetSite</b:SourceType>
    <b:Guid>{B514BC51-088E-428D-A93A-2CF1C1A2C994}</b:Guid>
    <b:Title>PREGUNTAS FRECUENTES : Equipaje y mascotas</b:Title>
    <b:URL>https://www.monbus.es/es/preguntas-frecuentes/categoria/59/equipaje-y-mascotas/</b:URL>
    <b:Author>
      <b:Author>
        <b:Corporate>MONBUS</b:Corporate>
      </b:Author>
    </b:Author>
    <b:RefOrder>7</b:RefOrder>
  </b:Source>
  <b:Source>
    <b:Tag>ALS</b:Tag>
    <b:SourceType>InternetSite</b:SourceType>
    <b:Guid>{30624D12-0759-4F9F-B551-C43DDC8AAD3C}</b:Guid>
    <b:Author>
      <b:Author>
        <b:Corporate>ALSA</b:Corporate>
      </b:Author>
    </b:Author>
    <b:URL>http://ayudaonline.alsa.es/pregunta-cliente/cuanto-equipaje-puedo-llevar/</b:URL>
    <b:RefOrder>8</b:RefOrder>
  </b:Source>
  <b:Source>
    <b:Tag>Ava</b:Tag>
    <b:SourceType>InternetSite</b:SourceType>
    <b:Guid>{C8836FA2-0780-44A0-9E5A-03F54E372759}</b:Guid>
    <b:Author>
      <b:Author>
        <b:Corporate>Avanzabus</b:Corporate>
      </b:Author>
    </b:Author>
    <b:Title>Ayuda Online</b:Title>
    <b:URL>http://ayuda.avanzabus.com/pregunta-usuario/medida-de-equipaje/</b:URL>
    <b:RefOrder>9</b:RefOrder>
  </b:Source>
  <b:Source>
    <b:Tag>Min06</b:Tag>
    <b:SourceType>DocumentFromInternetSite</b:SourceType>
    <b:Guid>{7020653D-26EF-4DEC-BC64-E9DFE2EFEC20}</b:Guid>
    <b:Author>
      <b:Author>
        <b:Corporate>Ministerio de Transporte</b:Corporate>
      </b:Author>
    </b:Author>
    <b:Title>Asunto: Transporte - Expedición tiquete a menores.</b:Title>
    <b:Year>2006</b:Year>
    <b:URL>https://www.google.com/url?sa=t&amp;rct=j&amp;q=&amp;esrc=s&amp;source=web&amp;cd=1&amp;cad=rja&amp;uact=8&amp;ved=2ahUKEwiXuu-xgcDjAhWrrFkKHbnbCmoQFjAAegQIABAC&amp;url=https%3A%2F%2Fwww.mintransporte.gov.co%2Fdescargar.php%3FidFile%3D2797&amp;usg=AOvVaw2sBh29V5X3iYIuske8q9vA</b:URL>
    <b:RefOrder>10</b:RefOrder>
  </b:Source>
  <b:Source>
    <b:Tag>Min18</b:Tag>
    <b:SourceType>InternetSite</b:SourceType>
    <b:Guid>{DAB6A77E-D201-4646-B1DE-1DA58E68DFF8}</b:Guid>
    <b:Author>
      <b:Author>
        <b:Corporate>Ministerio de Transporte</b:Corporate>
      </b:Author>
    </b:Author>
    <b:Title>Transporte en Cifras - Estadisticas 2017.pdf</b:Title>
    <b:Year>2018</b:Year>
    <b:Month>Agosto</b:Month>
    <b:Day>03</b:Day>
    <b:URL>https://www.mintransporte.gov.co/documentos/15/estadisticas/</b:URL>
    <b:RefOrder>11</b:RefOrder>
  </b:Source>
  <b:Source>
    <b:Tag>Sem19</b:Tag>
    <b:SourceType>InternetSite</b:SourceType>
    <b:Guid>{A76AD53B-7884-481A-A370-016CED52163F}</b:Guid>
    <b:Author>
      <b:Author>
        <b:Corporate>Semana</b:Corporate>
      </b:Author>
    </b:Author>
    <b:Title>Ladrones vestidos de Rappi asaltaron un edificio </b:Title>
    <b:Year>2019</b:Year>
    <b:Month>Julio</b:Month>
    <b:Day>03</b:Day>
    <b:URL>https://www.semana.com/nacion/articulo/ladrones-vestidos-de-rappi-asaltaron-un-edificio/604486</b:URL>
    <b:RefOrder>12</b:RefOrder>
  </b:Source>
  <b:Source>
    <b:Tag>Ort12</b:Tag>
    <b:SourceType>Book</b:SourceType>
    <b:Guid>{AB40C830-3A53-4590-B92E-5A51DFBDB0CD}</b:Guid>
    <b:Title>Estrategiaspara promover la accesibilidad, cobertura y calidad en el sistema de transporte público  urbano para la población con discapacidad física: caso Bogotá.</b:Title>
    <b:Year>2012</b:Year>
    <b:Author>
      <b:Author>
        <b:NameList>
          <b:Person>
            <b:Last>Martínez</b:Last>
            <b:First>Diana</b:First>
          </b:Person>
        </b:NameList>
      </b:Author>
      <b:BookAuthor>
        <b:NameList>
          <b:Person>
            <b:Last>Transporte</b:Last>
            <b:First>Trabajo</b:First>
            <b:Middle>final de maestría - Magister en Ingeniería de</b:Middle>
          </b:Person>
        </b:NameList>
      </b:BookAuthor>
    </b:Author>
    <b:Pages>1 - 173</b:Pages>
    <b:City>Bogotá</b:City>
    <b:Publisher>Universidad Nacional de Colombia</b:Publisher>
    <b:RefOrder>13</b:RefOrder>
  </b:Source>
  <b:Source>
    <b:Tag>DAN191</b:Tag>
    <b:SourceType>InternetSite</b:SourceType>
    <b:Guid>{8BDD1736-2AF4-4A2B-B857-163FA7979A54}</b:Guid>
    <b:Title>Índice de costos del transporte intermunicipal de pasajeros (ICTIP)</b:Title>
    <b:Year>2019</b:Year>
    <b:URL>https://www.dane.gov.co/index.php/estadisticas-por-tema/precios-y-costos/indice-de-costos-del-transporte-intermunicipal-de-pasajeros-ictip</b:URL>
    <b:Author>
      <b:Author>
        <b:Corporate>DANE </b:Corporate>
      </b:Author>
    </b:Author>
    <b:RefOrder>14</b:RefOrder>
  </b:Source>
  <b:Source>
    <b:Tag>Dan18</b:Tag>
    <b:SourceType>JournalArticle</b:SourceType>
    <b:Guid>{EB1CD947-8F1D-7544-8A50-0C227FC60EEF}</b:Guid>
    <b:Title>Productividad y distribución del ingreso: implicaciones sobre el salario mínimo colombiano, 2001-2016</b:Title>
    <b:Year>2018</b:Year>
    <b:Author>
      <b:Author>
        <b:NameList>
          <b:Person>
            <b:Last>Ossa</b:Last>
            <b:First>Daniel</b:First>
          </b:Person>
        </b:NameList>
      </b:Author>
    </b:Author>
    <b:JournalName>Revista de Economía Institucional</b:JournalName>
    <b:Pages>231-255</b:Pages>
    <b:RefOrder>15</b:RefOrder>
  </b:Source>
  <b:Source>
    <b:Tag>OEC11</b:Tag>
    <b:SourceType>Report</b:SourceType>
    <b:Guid>{F9CB8886-04D0-234A-A0E6-D3D6E59A1E22}</b:Guid>
    <b:Title>Measuring productivity: OECD Manual: Measurement of aggregate and industry-level productivity growth</b:Title>
    <b:Year>2011</b:Year>
    <b:Author>
      <b:Author>
        <b:Corporate>OECD</b:Corporate>
      </b:Author>
    </b:Author>
    <b:Publisher>OECD</b:Publisher>
    <b:City>Paris</b:City>
    <b:RefOrder>16</b:RefOrder>
  </b:Source>
  <b:Source>
    <b:Tag>MarcadorDePosición1</b:Tag>
    <b:SourceType>Report</b:SourceType>
    <b:Guid>{6E720A0F-CCA1-466D-A238-1E43642FC8F7}</b:Guid>
    <b:Author>
      <b:Author>
        <b:Corporate>Ministerio de Educación Nacional</b:Corporate>
      </b:Author>
    </b:Author>
    <b:Title>Informe de educación superior </b:Title>
    <b:Year>2018</b:Year>
    <b:Publisher>Ministerio de Educación Nacional</b:Publisher>
    <b:City>Bogotá</b:City>
    <b:RefOrder>1</b:RefOrder>
  </b:Source>
  <b:Source>
    <b:Tag>Min191</b:Tag>
    <b:SourceType>Report</b:SourceType>
    <b:Guid>{C4EF63CD-D561-4B41-BC46-5E1EA3C5BE9D}</b:Guid>
    <b:Author>
      <b:Author>
        <b:Corporate>Ministerio de Educación Nacional</b:Corporate>
      </b:Author>
    </b:Author>
    <b:Title>Derecho de petición</b:Title>
    <b:Year>2019</b:Year>
    <b:Publisher>Ministerio de Educación Nacional</b:Publisher>
    <b:City>Bogotá</b:City>
    <b:RefOrder>2</b:RefOrder>
  </b:Source>
  <b:Source>
    <b:Tag>Sch61</b:Tag>
    <b:SourceType>JournalArticle</b:SourceType>
    <b:Guid>{C62F4A20-F0F9-4389-B346-887C122A2B7F}</b:Guid>
    <b:Author>
      <b:Author>
        <b:NameList>
          <b:Person>
            <b:Last>Schultz</b:Last>
            <b:First>Theodore</b:First>
          </b:Person>
        </b:NameList>
      </b:Author>
    </b:Author>
    <b:Title>Investment in human capital</b:Title>
    <b:Year>1961</b:Year>
    <b:JournalName>The American Economics Review. </b:JournalName>
    <b:Pages>Vol. 51, No. 1 pp. 1-17</b:Pages>
    <b:RefOrder>3</b:RefOrder>
  </b:Source>
  <b:Source>
    <b:Tag>Pau90</b:Tag>
    <b:SourceType>JournalArticle</b:SourceType>
    <b:Guid>{6DD0123A-1835-4D36-B7ED-8AF2D1FF13AB}</b:Guid>
    <b:Author>
      <b:Author>
        <b:NameList>
          <b:Person>
            <b:Last>Romer</b:Last>
            <b:First>Paul</b:First>
            <b:Middle>M.</b:Middle>
          </b:Person>
        </b:NameList>
      </b:Author>
    </b:Author>
    <b:Title>Endogenous Technological Change </b:Title>
    <b:JournalName>Journal of Political Economy</b:JournalName>
    <b:Year>1990</b:Year>
    <b:Pages>Vol. 98(5), 71-102. </b:Pages>
    <b:RefOrder>4</b:RefOrder>
  </b:Source>
  <b:Source>
    <b:Tag>Ban18</b:Tag>
    <b:SourceType>InternetSite</b:SourceType>
    <b:Guid>{CEB46E1D-2C5B-4059-93C5-FFBF1974EA97}</b:Guid>
    <b:Title>Educación</b:Title>
    <b:Year>2018</b:Year>
    <b:Author>
      <b:Author>
        <b:Corporate>Banco Mundial </b:Corporate>
      </b:Author>
    </b:Author>
    <b:InternetSiteTitle>El GBM es la principal entidad de financiamiento de la educación en el mundo en desarrollo.</b:InternetSiteTitle>
    <b:Month>11</b:Month>
    <b:Day>12</b:Day>
    <b:URL>https://www.bancomundial.org/es/topic/education/overview </b:URL>
    <b:RefOrder>5</b:RefOrder>
  </b:Source>
  <b:Source>
    <b:Tag>Sol56</b:Tag>
    <b:SourceType>JournalArticle</b:SourceType>
    <b:Guid>{1462EBC8-6D42-41F1-B608-5787D41F8490}</b:Guid>
    <b:Title>A Contribution to the Theory of Economic Growth</b:Title>
    <b:Year>1956</b:Year>
    <b:JournalName>The MIT Press</b:JournalName>
    <b:Pages>65-94</b:Pages>
    <b:Author>
      <b:Author>
        <b:NameList>
          <b:Person>
            <b:Last>Solow</b:Last>
            <b:First>Robert</b:First>
          </b:Person>
        </b:NameList>
      </b:Author>
    </b:Author>
    <b:RefOrder>6</b:RefOrder>
  </b:Source>
  <b:Source>
    <b:Tag>Min19</b:Tag>
    <b:SourceType>Report</b:SourceType>
    <b:Guid>{2CB096BA-171A-4B41-A5FE-D561BBF7791A}</b:Guid>
    <b:Title>Derecho de petición</b:Title>
    <b:Year>2019</b:Year>
    <b:Author>
      <b:Author>
        <b:Corporate>Ministerio de Relaciones Exteriores</b:Corporate>
      </b:Author>
    </b:Author>
    <b:Publisher>Ministerio de Relaciones Exteriores</b:Publisher>
    <b:City>Bogotá</b:City>
    <b:RefOrder>7</b:RefOrder>
  </b:Source>
  <b:Source>
    <b:Tag>Smi58</b:Tag>
    <b:SourceType>Book</b:SourceType>
    <b:Guid>{72C6CDFC-7EE3-424C-B339-55162D2178EF}</b:Guid>
    <b:Title>Investigación sobre la naturaleza y causas de la riqueza de las Naciones</b:Title>
    <b:Year>1958</b:Year>
    <b:Publisher>Fondo de Cultura Económica</b:Publisher>
    <b:City>Mexico</b:City>
    <b:Author>
      <b:Author>
        <b:NameList>
          <b:Person>
            <b:Last>Smith</b:Last>
            <b:First>Adam</b:First>
          </b:Person>
        </b:NameList>
      </b:Author>
    </b:Author>
    <b:RefOrder>8</b:RefOrder>
  </b:Source>
</b:Sources>
</file>

<file path=customXml/itemProps1.xml><?xml version="1.0" encoding="utf-8"?>
<ds:datastoreItem xmlns:ds="http://schemas.openxmlformats.org/officeDocument/2006/customXml" ds:itemID="{19B2D6B2-7DB4-4E84-9226-AE219607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1977</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Apraez Utl.HR David Ricardo Racero</dc:creator>
  <cp:keywords/>
  <dc:description/>
  <cp:lastModifiedBy>hasbleidy suarez</cp:lastModifiedBy>
  <cp:revision>3</cp:revision>
  <dcterms:created xsi:type="dcterms:W3CDTF">2019-07-22T21:14:00Z</dcterms:created>
  <dcterms:modified xsi:type="dcterms:W3CDTF">2019-07-23T17:54:00Z</dcterms:modified>
</cp:coreProperties>
</file>