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60" w:rsidRDefault="006C5A60" w:rsidP="00194E09">
      <w:pPr>
        <w:spacing w:after="0" w:line="240" w:lineRule="auto"/>
        <w:rPr>
          <w:rFonts w:ascii="Arial" w:hAnsi="Arial" w:cs="Arial"/>
          <w:sz w:val="24"/>
          <w:szCs w:val="24"/>
        </w:rPr>
      </w:pPr>
    </w:p>
    <w:p w:rsidR="006C5A60" w:rsidRDefault="006C5A60" w:rsidP="00194E09">
      <w:pPr>
        <w:spacing w:after="0" w:line="240" w:lineRule="auto"/>
        <w:jc w:val="center"/>
        <w:rPr>
          <w:rFonts w:ascii="Arial" w:hAnsi="Arial" w:cs="Arial"/>
          <w:b/>
          <w:sz w:val="24"/>
          <w:szCs w:val="24"/>
        </w:rPr>
      </w:pPr>
      <w:r w:rsidRPr="006C5A60">
        <w:rPr>
          <w:rFonts w:ascii="Arial" w:hAnsi="Arial" w:cs="Arial"/>
          <w:b/>
          <w:sz w:val="24"/>
          <w:szCs w:val="24"/>
        </w:rPr>
        <w:t xml:space="preserve">PROYECTO DE LEY </w:t>
      </w:r>
      <w:r w:rsidR="002D3511">
        <w:rPr>
          <w:rFonts w:ascii="Arial" w:hAnsi="Arial" w:cs="Arial"/>
          <w:b/>
          <w:sz w:val="24"/>
          <w:szCs w:val="24"/>
        </w:rPr>
        <w:t xml:space="preserve">______ </w:t>
      </w:r>
      <w:r w:rsidR="00E302D2">
        <w:rPr>
          <w:rFonts w:ascii="Arial" w:hAnsi="Arial" w:cs="Arial"/>
          <w:b/>
          <w:sz w:val="24"/>
          <w:szCs w:val="24"/>
        </w:rPr>
        <w:t xml:space="preserve"> </w:t>
      </w:r>
      <w:r w:rsidR="00194E09">
        <w:rPr>
          <w:rFonts w:ascii="Arial" w:hAnsi="Arial" w:cs="Arial"/>
          <w:b/>
          <w:sz w:val="24"/>
          <w:szCs w:val="24"/>
        </w:rPr>
        <w:t xml:space="preserve"> </w:t>
      </w:r>
      <w:r w:rsidRPr="006C5A60">
        <w:rPr>
          <w:rFonts w:ascii="Arial" w:hAnsi="Arial" w:cs="Arial"/>
          <w:b/>
          <w:sz w:val="24"/>
          <w:szCs w:val="24"/>
        </w:rPr>
        <w:t>DE 2018 CÁMARA</w:t>
      </w:r>
    </w:p>
    <w:p w:rsidR="00194E09" w:rsidRPr="006C5A60" w:rsidRDefault="00194E09" w:rsidP="00194E09">
      <w:pPr>
        <w:spacing w:after="0" w:line="240" w:lineRule="auto"/>
        <w:jc w:val="center"/>
        <w:rPr>
          <w:rFonts w:ascii="Arial" w:hAnsi="Arial" w:cs="Arial"/>
          <w:b/>
          <w:sz w:val="24"/>
          <w:szCs w:val="24"/>
        </w:rPr>
      </w:pPr>
    </w:p>
    <w:p w:rsidR="006C5A60" w:rsidRDefault="006C5A60" w:rsidP="006C5A60">
      <w:pPr>
        <w:spacing w:after="0" w:line="240" w:lineRule="auto"/>
        <w:jc w:val="center"/>
        <w:rPr>
          <w:rFonts w:ascii="Arial" w:hAnsi="Arial" w:cs="Arial"/>
          <w:b/>
          <w:sz w:val="24"/>
          <w:szCs w:val="24"/>
        </w:rPr>
      </w:pPr>
      <w:r w:rsidRPr="006C5A60">
        <w:rPr>
          <w:rFonts w:ascii="Arial" w:hAnsi="Arial" w:cs="Arial"/>
          <w:b/>
          <w:sz w:val="24"/>
          <w:szCs w:val="24"/>
        </w:rPr>
        <w:t>“POR MEDIO DEL CUAL SE REFORMA LA LEY 30 DE 1992 - por el cual se organiza el servicio público de la Educación Superior -, Y SE DICTAN OTRAS DISPOSICIONES ORIENTADAS AL FORTALECIMIENTO DE LA EDUCACIÓN TERCIARIA “</w:t>
      </w:r>
    </w:p>
    <w:p w:rsidR="00963D08" w:rsidRDefault="00963D08" w:rsidP="006C5A60">
      <w:pPr>
        <w:spacing w:after="0" w:line="240" w:lineRule="auto"/>
        <w:jc w:val="center"/>
        <w:rPr>
          <w:rFonts w:ascii="Arial" w:hAnsi="Arial" w:cs="Arial"/>
          <w:b/>
          <w:sz w:val="24"/>
          <w:szCs w:val="24"/>
        </w:rPr>
      </w:pPr>
    </w:p>
    <w:p w:rsidR="006C5A60" w:rsidRPr="006C5A60" w:rsidRDefault="006C5A60" w:rsidP="00963D08">
      <w:pPr>
        <w:spacing w:after="0" w:line="240" w:lineRule="auto"/>
        <w:jc w:val="center"/>
        <w:rPr>
          <w:rFonts w:ascii="Arial" w:hAnsi="Arial" w:cs="Arial"/>
          <w:b/>
          <w:sz w:val="24"/>
          <w:szCs w:val="24"/>
        </w:rPr>
      </w:pPr>
      <w:r w:rsidRPr="006C5A60">
        <w:rPr>
          <w:rFonts w:ascii="Arial" w:hAnsi="Arial" w:cs="Arial"/>
          <w:b/>
          <w:sz w:val="24"/>
          <w:szCs w:val="24"/>
        </w:rPr>
        <w:t>EXPOSICIÓN DE MOTIVOS</w:t>
      </w:r>
    </w:p>
    <w:p w:rsidR="006C5A60" w:rsidRPr="006C5A60" w:rsidRDefault="006C5A60" w:rsidP="006C5A60">
      <w:pPr>
        <w:spacing w:after="0" w:line="240" w:lineRule="auto"/>
        <w:rPr>
          <w:rFonts w:ascii="Arial" w:hAnsi="Arial" w:cs="Arial"/>
          <w:sz w:val="24"/>
          <w:szCs w:val="24"/>
        </w:rPr>
      </w:pPr>
    </w:p>
    <w:p w:rsidR="006C5A60" w:rsidRPr="006C5A60" w:rsidRDefault="006C5A60" w:rsidP="006C5A60">
      <w:pPr>
        <w:spacing w:after="0" w:line="240" w:lineRule="auto"/>
        <w:jc w:val="both"/>
        <w:rPr>
          <w:rFonts w:ascii="Arial" w:hAnsi="Arial" w:cs="Arial"/>
          <w:sz w:val="24"/>
          <w:szCs w:val="24"/>
        </w:rPr>
      </w:pPr>
      <w:r w:rsidRPr="006C5A60">
        <w:rPr>
          <w:rFonts w:ascii="Arial" w:hAnsi="Arial" w:cs="Arial"/>
          <w:sz w:val="24"/>
          <w:szCs w:val="24"/>
        </w:rPr>
        <w:t xml:space="preserve">La presente Ley pretende introducir importantes cambios a la Ley 30 de 1992, - que es la ley rectora que organiza el servicio público de la Educación -Superior -, orientados al ajuste normativo de la financiación de la Educación Terciaria. Para tal finalidad dividiremos en tres (3) aspectos la justificación de los motivos que nos llevan a presentar este proyecto de ley, y que consiste en el de otorgar nuevas herramientas financieras a los centros educativos superiores con la finalidad de cumplir con los cometidos y responsabilidades en la formación de calidad a </w:t>
      </w:r>
      <w:bookmarkStart w:id="0" w:name="_GoBack"/>
      <w:bookmarkEnd w:id="0"/>
      <w:r w:rsidRPr="006C5A60">
        <w:rPr>
          <w:rFonts w:ascii="Arial" w:hAnsi="Arial" w:cs="Arial"/>
          <w:sz w:val="24"/>
          <w:szCs w:val="24"/>
        </w:rPr>
        <w:t>ciudadanos competentes en un país que ha entrado no sin dificultades a una etapa de su vida institucional denominado del pos conflicto donde el acceso al recurso humano calificado es fundamental. El primer aspecto hace relación al estado actual de la Educación Superior en Colombia en cuanto a su naturaleza y cobertura en la prestación del servicio; el Segundo, analiza la difícil situación financiera de las instituciones de Educación Superior derivada a posteriori de la ley 30 de 1992, del aumento de la cobertura y calidad en la prestación de este derecho de los jóvenes y en tercer lugar, el articulado con el debido sustento que permiten fortalecer con nuevos recursos la reforma aquí presentada.</w:t>
      </w:r>
    </w:p>
    <w:p w:rsidR="006C5A60" w:rsidRPr="006C5A60" w:rsidRDefault="006C5A60" w:rsidP="006C5A60">
      <w:pPr>
        <w:spacing w:after="0" w:line="240" w:lineRule="auto"/>
        <w:rPr>
          <w:rFonts w:ascii="Arial" w:hAnsi="Arial" w:cs="Arial"/>
          <w:b/>
          <w:sz w:val="24"/>
          <w:szCs w:val="24"/>
        </w:rPr>
      </w:pPr>
    </w:p>
    <w:p w:rsidR="006C5A60" w:rsidRPr="006C5A60" w:rsidRDefault="006C5A60" w:rsidP="006C5A60">
      <w:pPr>
        <w:spacing w:after="0" w:line="240" w:lineRule="auto"/>
        <w:rPr>
          <w:rFonts w:ascii="Arial" w:hAnsi="Arial" w:cs="Arial"/>
          <w:b/>
          <w:sz w:val="24"/>
          <w:szCs w:val="24"/>
        </w:rPr>
      </w:pPr>
      <w:r w:rsidRPr="006C5A60">
        <w:rPr>
          <w:rFonts w:ascii="Arial" w:hAnsi="Arial" w:cs="Arial"/>
          <w:b/>
          <w:sz w:val="24"/>
          <w:szCs w:val="24"/>
        </w:rPr>
        <w:t>CONTEXTO GENERAL DE LA EDUCACIÓN SUPERIOR (COBERTURA)</w:t>
      </w:r>
    </w:p>
    <w:p w:rsidR="006C5A60" w:rsidRPr="006C5A60" w:rsidRDefault="006C5A60" w:rsidP="006C5A60">
      <w:pPr>
        <w:spacing w:after="0" w:line="240" w:lineRule="auto"/>
        <w:jc w:val="both"/>
        <w:rPr>
          <w:rFonts w:ascii="Arial" w:hAnsi="Arial" w:cs="Arial"/>
          <w:sz w:val="24"/>
          <w:szCs w:val="24"/>
        </w:rPr>
      </w:pPr>
    </w:p>
    <w:p w:rsidR="006C5A60" w:rsidRPr="006C5A60" w:rsidRDefault="006C5A60" w:rsidP="006C5A60">
      <w:pPr>
        <w:spacing w:after="0" w:line="240" w:lineRule="auto"/>
        <w:jc w:val="both"/>
        <w:rPr>
          <w:rFonts w:ascii="Arial" w:hAnsi="Arial" w:cs="Arial"/>
          <w:sz w:val="24"/>
          <w:szCs w:val="24"/>
        </w:rPr>
      </w:pPr>
      <w:r w:rsidRPr="006C5A60">
        <w:rPr>
          <w:rFonts w:ascii="Arial" w:hAnsi="Arial" w:cs="Arial"/>
          <w:sz w:val="24"/>
          <w:szCs w:val="24"/>
        </w:rPr>
        <w:t>En Colombia existe 288 Instituciones de Educación Superior: 83 Universidades - 31 Oficial, 51 Privadas, 1 de Régimen Especial -, 123 Instituciones Universitarias / Escuelas Tecnológicas - 17 Oficiales, 94 Privadas, 12 de Régimen Especial -, 50 Instituciones Tecnológicas - 5 Oficiales, 39 Privadas, 6 de Régimen Especial-, 32 Instituciones técnicas profesionales - 9 Oficiales, 23 Privadas y 0 de Régimen Especial.</w:t>
      </w:r>
    </w:p>
    <w:p w:rsidR="006C5A60" w:rsidRPr="006C5A60" w:rsidRDefault="006C5A60" w:rsidP="006C5A60">
      <w:pPr>
        <w:spacing w:after="0" w:line="240" w:lineRule="auto"/>
        <w:jc w:val="both"/>
        <w:rPr>
          <w:rFonts w:ascii="Arial" w:hAnsi="Arial" w:cs="Arial"/>
          <w:sz w:val="24"/>
          <w:szCs w:val="24"/>
        </w:rPr>
      </w:pPr>
    </w:p>
    <w:p w:rsidR="006C5A60" w:rsidRPr="006C5A60" w:rsidRDefault="006C5A60" w:rsidP="006C5A60">
      <w:pPr>
        <w:spacing w:after="0" w:line="240" w:lineRule="auto"/>
        <w:jc w:val="both"/>
        <w:rPr>
          <w:rFonts w:ascii="Arial" w:hAnsi="Arial" w:cs="Arial"/>
          <w:sz w:val="24"/>
          <w:szCs w:val="24"/>
        </w:rPr>
      </w:pPr>
      <w:r w:rsidRPr="006C5A60">
        <w:rPr>
          <w:rFonts w:ascii="Arial" w:hAnsi="Arial" w:cs="Arial"/>
          <w:sz w:val="24"/>
          <w:szCs w:val="24"/>
        </w:rPr>
        <w:t xml:space="preserve">En Colombia, el Sistema de Educación Superior cuenta con 292 Instituciones de Educación Superior 81 Públicas y 211 Privadas entre universidades, Instituciones universitarias o escuelas tecnológicas, instituciones tecnológicas y también instituciones técnicas profesionales. La tasa de cobertura de alta calidad es del 19 </w:t>
      </w:r>
      <w:r w:rsidRPr="006C5A60">
        <w:rPr>
          <w:rFonts w:ascii="Arial" w:hAnsi="Arial" w:cs="Arial"/>
          <w:sz w:val="24"/>
          <w:szCs w:val="24"/>
        </w:rPr>
        <w:lastRenderedPageBreak/>
        <w:t>%. En el 2018 52 IES son acreditadas en Alta Calidad discriminadas en 24 oficiales y 28 Privadas que tienen 1.211 Programas acreditados de alta calidad de un total de 11.799 Programas. En el año 2017 se matricularon 2.446. 314 jóvenes en las IES.</w:t>
      </w:r>
    </w:p>
    <w:p w:rsidR="006C5A60" w:rsidRPr="006C5A60" w:rsidRDefault="006C5A60" w:rsidP="006C5A60">
      <w:pPr>
        <w:spacing w:after="0" w:line="240" w:lineRule="auto"/>
        <w:jc w:val="both"/>
        <w:rPr>
          <w:rFonts w:ascii="Arial" w:hAnsi="Arial" w:cs="Arial"/>
          <w:sz w:val="24"/>
          <w:szCs w:val="24"/>
        </w:rPr>
      </w:pPr>
    </w:p>
    <w:p w:rsidR="006C5A60" w:rsidRDefault="006C5A60" w:rsidP="006C5A60">
      <w:pPr>
        <w:spacing w:after="0" w:line="240" w:lineRule="auto"/>
        <w:jc w:val="both"/>
        <w:rPr>
          <w:rFonts w:ascii="Arial" w:hAnsi="Arial" w:cs="Arial"/>
          <w:sz w:val="24"/>
          <w:szCs w:val="24"/>
        </w:rPr>
      </w:pPr>
      <w:r w:rsidRPr="006C5A60">
        <w:rPr>
          <w:rFonts w:ascii="Arial" w:hAnsi="Arial" w:cs="Arial"/>
          <w:sz w:val="24"/>
          <w:szCs w:val="24"/>
        </w:rPr>
        <w:t>Según el Ministerio de Educación Nacional, la tasa de tránsito inmediato a la educación superior se ubica en un 38 %, es decir de cada 100 bachilleres que culminan la Edad Media, 38 ingresan a la educación terciaria. Para el año 2016 según información registrada por el Sistema Nacional de Información de Educación Superior estaban matriculados en Educación Superior aproximadamente 2 millones 394 mil 434 estudiantes, de los cuales el 49.89 %, esto es, 1 millón 194 mil 697 estudiantes son de instituciones oficiales y un 50.11 %, que significan 1 millon199 mil 737 estudiantes de instituciones privadas. En el año de 2017 se aumentó la matrícula a 2. Millones 446 mil 314 estudiantes. En el año de 1993- con la nueva ley de Educación Superior- en Programas de Pregrado en las 32 Universidades Estatales se encontraban matriculados 159.218 estudiantes. Comparado con el año 2010, según el MEN se presentó un crecimiento de 720 mil estudiantes que significó un aumento de la tasa de cobertura en educación superior- que se calcula como la proporción entre el total de la matrícula de pregrado reportada en el Sistema Nacional de Información de la Educación Superior SNIES, la cual incluye los niveles técnicos profesional, tecnológica y universitario y la proyección de población de 17 a 21 años Nacional y por departamentos del Departamento Administrativo Nacional de Estadística DANE -, de ese año ( 37.1% ) en 16 puntos porcentuales para el año 2017 que registró una tasa de cobertura en 52.8%. Este dato nos ubica dentro del promedio de América Latina y el Caribe, pero seguimos por debajo de países cercanos como Chile (74%) y Argentina (76%):</w:t>
      </w:r>
    </w:p>
    <w:p w:rsidR="00EE5A6D" w:rsidRPr="006C5A60" w:rsidRDefault="00EE5A6D" w:rsidP="006C5A60">
      <w:pPr>
        <w:spacing w:after="0" w:line="240" w:lineRule="auto"/>
        <w:jc w:val="both"/>
        <w:rPr>
          <w:rFonts w:ascii="Arial" w:hAnsi="Arial" w:cs="Arial"/>
          <w:sz w:val="24"/>
          <w:szCs w:val="24"/>
        </w:rPr>
      </w:pPr>
    </w:p>
    <w:p w:rsidR="006C5A60" w:rsidRPr="006C5A60" w:rsidRDefault="006C5A60" w:rsidP="006C5A60">
      <w:pPr>
        <w:spacing w:after="0" w:line="240" w:lineRule="auto"/>
        <w:jc w:val="both"/>
        <w:rPr>
          <w:rFonts w:ascii="Arial" w:hAnsi="Arial" w:cs="Arial"/>
          <w:sz w:val="24"/>
          <w:szCs w:val="24"/>
        </w:rPr>
      </w:pPr>
      <w:r w:rsidRPr="006C5A60">
        <w:rPr>
          <w:rFonts w:ascii="Arial" w:hAnsi="Arial" w:cs="Arial"/>
          <w:sz w:val="24"/>
          <w:szCs w:val="24"/>
        </w:rPr>
        <w:t>Si miramos con más detenimiento las cifras por departamento de la tasa de cobertura en Educación Superior se presenta una inequidad enorme: 24 ( Vaupés, Arauca, Amazonas, Vichada, Guainía, Putumayo, Guaviare, San Andrés, Providencia y Santa Catalina, La Guajira, Chocó, Córdoba, Caquetá, Nariño, Sucre, Casanare, Magdalena, Cundinamarca, César, Cauca, HUILA, Meta, TOLIMA, Bolívar, y Valle del Cauca ), los 33 departamentos ( se incluye Bogotá), tienen tasa inferiores a la Nacional por la limitación de la oferta que se presenta. Solamente Norte de Santander, Boyacá, Antioquia, Caldas, Risaralda, Atlántico, Quindío, Santander y Bogotá, D.C. Están por encima del promedio nacional registrando como la oferta de la Educación Superior se concentra en las principales ciudades del país.</w:t>
      </w:r>
    </w:p>
    <w:p w:rsidR="006C5A60" w:rsidRPr="006C5A60" w:rsidRDefault="006C5A60" w:rsidP="006C5A60">
      <w:pPr>
        <w:spacing w:after="0" w:line="240" w:lineRule="auto"/>
        <w:jc w:val="both"/>
        <w:rPr>
          <w:rFonts w:ascii="Arial" w:hAnsi="Arial" w:cs="Arial"/>
          <w:sz w:val="24"/>
          <w:szCs w:val="24"/>
        </w:rPr>
      </w:pPr>
    </w:p>
    <w:p w:rsidR="00EE5A6D" w:rsidRDefault="00EE5A6D" w:rsidP="006C5A60">
      <w:pPr>
        <w:spacing w:after="0" w:line="240" w:lineRule="auto"/>
        <w:rPr>
          <w:rFonts w:ascii="Arial" w:hAnsi="Arial" w:cs="Arial"/>
          <w:b/>
          <w:sz w:val="24"/>
          <w:szCs w:val="24"/>
        </w:rPr>
      </w:pPr>
    </w:p>
    <w:p w:rsidR="00EE5A6D" w:rsidRDefault="00EE5A6D" w:rsidP="006C5A60">
      <w:pPr>
        <w:spacing w:after="0" w:line="240" w:lineRule="auto"/>
        <w:rPr>
          <w:rFonts w:ascii="Arial" w:hAnsi="Arial" w:cs="Arial"/>
          <w:b/>
          <w:sz w:val="24"/>
          <w:szCs w:val="24"/>
        </w:rPr>
      </w:pPr>
    </w:p>
    <w:p w:rsidR="006C5A60" w:rsidRPr="006C5A60" w:rsidRDefault="006C5A60" w:rsidP="006C5A60">
      <w:pPr>
        <w:spacing w:after="0" w:line="240" w:lineRule="auto"/>
        <w:rPr>
          <w:rFonts w:ascii="Arial" w:hAnsi="Arial" w:cs="Arial"/>
          <w:b/>
          <w:sz w:val="24"/>
          <w:szCs w:val="24"/>
        </w:rPr>
      </w:pPr>
      <w:r w:rsidRPr="006C5A60">
        <w:rPr>
          <w:rFonts w:ascii="Arial" w:hAnsi="Arial" w:cs="Arial"/>
          <w:b/>
          <w:sz w:val="24"/>
          <w:szCs w:val="24"/>
        </w:rPr>
        <w:lastRenderedPageBreak/>
        <w:t>DESFINANCIACION DE LA EDUCACIÓN SUPERIOR PÚBLICA</w:t>
      </w:r>
    </w:p>
    <w:p w:rsidR="006C5A60" w:rsidRPr="006C5A60" w:rsidRDefault="006C5A60" w:rsidP="006C5A60">
      <w:pPr>
        <w:spacing w:after="0" w:line="240" w:lineRule="auto"/>
        <w:rPr>
          <w:rFonts w:ascii="Arial" w:hAnsi="Arial" w:cs="Arial"/>
          <w:sz w:val="24"/>
          <w:szCs w:val="24"/>
        </w:rPr>
      </w:pPr>
    </w:p>
    <w:p w:rsidR="006C5A60" w:rsidRPr="006C5A60" w:rsidRDefault="006C5A60" w:rsidP="006C5A60">
      <w:pPr>
        <w:spacing w:after="0" w:line="240" w:lineRule="auto"/>
        <w:jc w:val="both"/>
        <w:rPr>
          <w:rFonts w:ascii="Arial" w:hAnsi="Arial" w:cs="Arial"/>
          <w:sz w:val="24"/>
          <w:szCs w:val="24"/>
        </w:rPr>
      </w:pPr>
      <w:r w:rsidRPr="006C5A60">
        <w:rPr>
          <w:rFonts w:ascii="Arial" w:hAnsi="Arial" w:cs="Arial"/>
          <w:sz w:val="24"/>
          <w:szCs w:val="24"/>
        </w:rPr>
        <w:t>La Comisión VI de la Cámara de Representantes adelantó dos (2) Audiencias Públicas sobre financiamiento de la Educación Superior en donde representantes del Sistema Universitario Estatal, presentaron una evolución de la situación de las Universidades Públicas que registran la difícil situación de financiación en el cumplimiento de sus cometidos como consecuencia de situaciones presentadas a lo largo de estos los años posteriores a la promulgación de la ley 30 de 1992 que había establecido en su art. 86 que los ajustes anuales con base en la inflación y no teniendo en cuenta el crecimiento y evolución de las universidades. Entre estas situaciones se encuentran la ampliación de la cobertura, el nivel de formación de los docentes, el fortalecimiento de la misión investigativa, el, crecimiento en la Infraestructura física y tecnológica y la internacionalización y movilidad de las Universidades Públicas.</w:t>
      </w:r>
    </w:p>
    <w:p w:rsidR="006C5A60" w:rsidRPr="006C5A60" w:rsidRDefault="006C5A60" w:rsidP="006C5A60">
      <w:pPr>
        <w:spacing w:after="0" w:line="240" w:lineRule="auto"/>
        <w:jc w:val="both"/>
        <w:rPr>
          <w:rFonts w:ascii="Arial" w:hAnsi="Arial" w:cs="Arial"/>
          <w:sz w:val="24"/>
          <w:szCs w:val="24"/>
        </w:rPr>
      </w:pPr>
      <w:r w:rsidRPr="006C5A60">
        <w:rPr>
          <w:rFonts w:ascii="Arial" w:hAnsi="Arial" w:cs="Arial"/>
          <w:sz w:val="24"/>
          <w:szCs w:val="24"/>
        </w:rPr>
        <w:t>AMPLIACIÓN DE COBERTURA. En un comparativo entre los años de 2004 y 2015 se presentan los siguientes datos: de 365.085 a 561.303 estudiantes de Pregrado; de 16.492 a 38.087 estudiantes de Posgrado; de 1.078 programas a 1.312 Programas de Pregrado; de 852 a 1.329 Programas de Posgrado;</w:t>
      </w:r>
    </w:p>
    <w:p w:rsidR="006C5A60" w:rsidRPr="006C5A60" w:rsidRDefault="006C5A60" w:rsidP="006C5A60">
      <w:pPr>
        <w:spacing w:after="0" w:line="240" w:lineRule="auto"/>
        <w:jc w:val="both"/>
        <w:rPr>
          <w:rFonts w:ascii="Arial" w:hAnsi="Arial" w:cs="Arial"/>
          <w:sz w:val="24"/>
          <w:szCs w:val="24"/>
        </w:rPr>
      </w:pPr>
    </w:p>
    <w:p w:rsidR="006C5A60" w:rsidRPr="006C5A60" w:rsidRDefault="006C5A60" w:rsidP="006C5A60">
      <w:pPr>
        <w:spacing w:after="0" w:line="240" w:lineRule="auto"/>
        <w:jc w:val="both"/>
        <w:rPr>
          <w:rFonts w:ascii="Arial" w:hAnsi="Arial" w:cs="Arial"/>
          <w:sz w:val="24"/>
          <w:szCs w:val="24"/>
        </w:rPr>
      </w:pPr>
      <w:r w:rsidRPr="006C5A60">
        <w:rPr>
          <w:rFonts w:ascii="Arial" w:hAnsi="Arial" w:cs="Arial"/>
          <w:sz w:val="24"/>
          <w:szCs w:val="24"/>
        </w:rPr>
        <w:t>NIVEL FORMATIVO DE LOS DOCENTES. Planta docente congelada, Crecimiento de docentes ocasionales y cátedra, Crecimiento de contratos de Prestación de Servicios, Incremento de Gastos de Personal VS Incremento del IPC entre los años de 2012 a 2017 - en promedio una diferencia porcentual de 4 puntos por valor de 536 mil 219 millones de pesos, Crecimiento Transferencias VS Gasto Docente en 3.52 % entre el 2009 y el 2015 de este último en funcionamiento frente al de transferencias. Las IES gastan en promedio el 44% de sus ingresos en personal docentes.</w:t>
      </w:r>
    </w:p>
    <w:p w:rsidR="006C5A60" w:rsidRPr="006C5A60" w:rsidRDefault="006C5A60" w:rsidP="006C5A60">
      <w:pPr>
        <w:spacing w:after="0" w:line="240" w:lineRule="auto"/>
        <w:jc w:val="both"/>
        <w:rPr>
          <w:rFonts w:ascii="Arial" w:hAnsi="Arial" w:cs="Arial"/>
          <w:sz w:val="24"/>
          <w:szCs w:val="24"/>
        </w:rPr>
      </w:pPr>
    </w:p>
    <w:p w:rsidR="006C5A60" w:rsidRDefault="006C5A60" w:rsidP="006C5A60">
      <w:pPr>
        <w:spacing w:after="0" w:line="240" w:lineRule="auto"/>
        <w:jc w:val="both"/>
        <w:rPr>
          <w:rFonts w:ascii="Arial" w:hAnsi="Arial" w:cs="Arial"/>
          <w:sz w:val="24"/>
          <w:szCs w:val="24"/>
        </w:rPr>
      </w:pPr>
      <w:r w:rsidRPr="006C5A60">
        <w:rPr>
          <w:rFonts w:ascii="Arial" w:hAnsi="Arial" w:cs="Arial"/>
          <w:sz w:val="24"/>
          <w:szCs w:val="24"/>
        </w:rPr>
        <w:t xml:space="preserve">De otro lado, en un documento presentado recientemente por la empresa </w:t>
      </w:r>
      <w:r w:rsidR="008C320D" w:rsidRPr="006C5A60">
        <w:rPr>
          <w:rFonts w:ascii="Arial" w:hAnsi="Arial" w:cs="Arial"/>
          <w:sz w:val="24"/>
          <w:szCs w:val="24"/>
        </w:rPr>
        <w:t>consultora</w:t>
      </w:r>
      <w:r w:rsidRPr="006C5A60">
        <w:rPr>
          <w:rFonts w:ascii="Arial" w:hAnsi="Arial" w:cs="Arial"/>
          <w:sz w:val="24"/>
          <w:szCs w:val="24"/>
        </w:rPr>
        <w:t xml:space="preserve"> Cifras &amp; Conceptos a la Asociación Colombiana de Universidades ASCUN y titulado FINANCIACIÓN SOSTENIBLE DE LA EDUCACIÓN SUPERIOR, se plantea un análisis del Contexto donde se muestran las características más importantes del Sistema de Financiación de la Educación Superior y su impacto en la eficiencia de la misma, como también la percepción que genera en los diversos actores involucrados en el fortalecimiento de la Educación Superior, con el fin de plantear 10 propuestas para mejorar el Sistema de Financiación. Aspectos relevantes serían:</w:t>
      </w:r>
    </w:p>
    <w:p w:rsidR="006C5A60" w:rsidRPr="006C5A60" w:rsidRDefault="006C5A60" w:rsidP="006C5A60">
      <w:pPr>
        <w:spacing w:after="0" w:line="240" w:lineRule="auto"/>
        <w:jc w:val="both"/>
        <w:rPr>
          <w:rFonts w:ascii="Arial" w:hAnsi="Arial" w:cs="Arial"/>
          <w:sz w:val="24"/>
          <w:szCs w:val="24"/>
        </w:rPr>
      </w:pPr>
    </w:p>
    <w:p w:rsidR="006C5A60" w:rsidRDefault="006C5A60" w:rsidP="006C5A60">
      <w:pPr>
        <w:numPr>
          <w:ilvl w:val="0"/>
          <w:numId w:val="1"/>
        </w:numPr>
        <w:spacing w:after="0" w:line="240" w:lineRule="auto"/>
        <w:jc w:val="both"/>
        <w:rPr>
          <w:rFonts w:ascii="Arial" w:hAnsi="Arial" w:cs="Arial"/>
          <w:sz w:val="24"/>
          <w:szCs w:val="24"/>
        </w:rPr>
      </w:pPr>
      <w:r w:rsidRPr="006C5A60">
        <w:rPr>
          <w:rFonts w:ascii="Arial" w:hAnsi="Arial" w:cs="Arial"/>
          <w:sz w:val="24"/>
          <w:szCs w:val="24"/>
        </w:rPr>
        <w:t xml:space="preserve">El crecimiento de la educación superior ha producido un aumento en sus costos reales; 2. La situación fiscal no permite aportes significativos a la educación superior; 3. El sistema mixto de financiación contribuye </w:t>
      </w:r>
      <w:r w:rsidRPr="006C5A60">
        <w:rPr>
          <w:rFonts w:ascii="Arial" w:hAnsi="Arial" w:cs="Arial"/>
          <w:sz w:val="24"/>
          <w:szCs w:val="24"/>
        </w:rPr>
        <w:lastRenderedPageBreak/>
        <w:t>positivamente a la sostenibilidad del sistema; 4. Financiación de las funciones clásicas e la educación superior; 5. El modelo de financiamiento de las IES es inest</w:t>
      </w:r>
      <w:r w:rsidR="003D44BD">
        <w:rPr>
          <w:rFonts w:ascii="Arial" w:hAnsi="Arial" w:cs="Arial"/>
          <w:sz w:val="24"/>
          <w:szCs w:val="24"/>
        </w:rPr>
        <w:t>able, complejo y poco eficiente.</w:t>
      </w:r>
    </w:p>
    <w:p w:rsidR="005F0B3C" w:rsidRDefault="005F0B3C" w:rsidP="005F0B3C">
      <w:pPr>
        <w:spacing w:after="0" w:line="240" w:lineRule="auto"/>
        <w:jc w:val="both"/>
        <w:rPr>
          <w:rFonts w:ascii="Arial" w:hAnsi="Arial" w:cs="Arial"/>
          <w:sz w:val="24"/>
          <w:szCs w:val="24"/>
        </w:rPr>
      </w:pPr>
    </w:p>
    <w:p w:rsidR="005F0B3C" w:rsidRDefault="005F0B3C" w:rsidP="005F0B3C">
      <w:pPr>
        <w:spacing w:after="0" w:line="240" w:lineRule="auto"/>
        <w:jc w:val="center"/>
        <w:rPr>
          <w:rFonts w:ascii="Arial" w:hAnsi="Arial" w:cs="Arial"/>
          <w:sz w:val="24"/>
          <w:szCs w:val="24"/>
        </w:rPr>
      </w:pPr>
    </w:p>
    <w:p w:rsidR="00963D08" w:rsidRDefault="00963D08" w:rsidP="005F0B3C">
      <w:pPr>
        <w:spacing w:after="0" w:line="240" w:lineRule="auto"/>
        <w:jc w:val="center"/>
        <w:rPr>
          <w:rFonts w:ascii="Arial" w:hAnsi="Arial" w:cs="Arial"/>
          <w:sz w:val="24"/>
          <w:szCs w:val="24"/>
        </w:rPr>
      </w:pPr>
    </w:p>
    <w:p w:rsidR="00963D08" w:rsidRDefault="00963D08" w:rsidP="005F0B3C">
      <w:pPr>
        <w:spacing w:after="0" w:line="240" w:lineRule="auto"/>
        <w:jc w:val="center"/>
        <w:rPr>
          <w:rFonts w:ascii="Arial" w:hAnsi="Arial" w:cs="Arial"/>
          <w:sz w:val="24"/>
          <w:szCs w:val="24"/>
        </w:rPr>
      </w:pPr>
    </w:p>
    <w:p w:rsidR="00963D08" w:rsidRDefault="00963D08" w:rsidP="005F0B3C">
      <w:pPr>
        <w:spacing w:after="0" w:line="240" w:lineRule="auto"/>
        <w:jc w:val="center"/>
        <w:rPr>
          <w:rFonts w:ascii="Arial" w:hAnsi="Arial" w:cs="Arial"/>
          <w:sz w:val="24"/>
          <w:szCs w:val="24"/>
        </w:rPr>
      </w:pPr>
    </w:p>
    <w:p w:rsidR="00963D08" w:rsidRDefault="00963D08" w:rsidP="005F0B3C">
      <w:pPr>
        <w:spacing w:after="0" w:line="240" w:lineRule="auto"/>
        <w:jc w:val="center"/>
        <w:rPr>
          <w:rFonts w:ascii="Arial" w:hAnsi="Arial" w:cs="Arial"/>
          <w:sz w:val="24"/>
          <w:szCs w:val="24"/>
        </w:rPr>
      </w:pPr>
    </w:p>
    <w:p w:rsidR="00963D08" w:rsidRDefault="00963D08" w:rsidP="005F0B3C">
      <w:pPr>
        <w:spacing w:after="0" w:line="240" w:lineRule="auto"/>
        <w:jc w:val="center"/>
        <w:rPr>
          <w:rFonts w:ascii="Arial" w:hAnsi="Arial" w:cs="Arial"/>
          <w:sz w:val="24"/>
          <w:szCs w:val="24"/>
        </w:rPr>
      </w:pPr>
    </w:p>
    <w:p w:rsidR="00963D08" w:rsidRDefault="00963D08" w:rsidP="005F0B3C">
      <w:pPr>
        <w:spacing w:after="0" w:line="240" w:lineRule="auto"/>
        <w:jc w:val="center"/>
        <w:rPr>
          <w:rFonts w:ascii="Arial" w:hAnsi="Arial" w:cs="Arial"/>
          <w:sz w:val="24"/>
          <w:szCs w:val="24"/>
        </w:rPr>
      </w:pPr>
    </w:p>
    <w:p w:rsidR="00963D08" w:rsidRDefault="00963D08" w:rsidP="005F0B3C">
      <w:pPr>
        <w:spacing w:after="0" w:line="240" w:lineRule="auto"/>
        <w:jc w:val="center"/>
        <w:rPr>
          <w:rFonts w:ascii="Arial" w:hAnsi="Arial" w:cs="Arial"/>
          <w:sz w:val="24"/>
          <w:szCs w:val="24"/>
        </w:rPr>
      </w:pPr>
    </w:p>
    <w:p w:rsidR="00963D08" w:rsidRDefault="00963D08" w:rsidP="005F0B3C">
      <w:pPr>
        <w:spacing w:after="0" w:line="240" w:lineRule="auto"/>
        <w:jc w:val="center"/>
        <w:rPr>
          <w:rFonts w:ascii="Arial" w:hAnsi="Arial" w:cs="Arial"/>
          <w:sz w:val="24"/>
          <w:szCs w:val="24"/>
        </w:rPr>
      </w:pPr>
    </w:p>
    <w:p w:rsidR="005F0B3C" w:rsidRDefault="005F0B3C" w:rsidP="005F0B3C">
      <w:pPr>
        <w:spacing w:after="0" w:line="240" w:lineRule="auto"/>
        <w:jc w:val="center"/>
        <w:rPr>
          <w:rFonts w:ascii="Arial" w:hAnsi="Arial" w:cs="Arial"/>
          <w:sz w:val="24"/>
          <w:szCs w:val="24"/>
        </w:rPr>
      </w:pPr>
    </w:p>
    <w:p w:rsidR="005F0B3C" w:rsidRDefault="005F0B3C" w:rsidP="005F0B3C">
      <w:pPr>
        <w:spacing w:after="0" w:line="240" w:lineRule="auto"/>
        <w:jc w:val="center"/>
        <w:rPr>
          <w:rFonts w:ascii="Arial" w:hAnsi="Arial" w:cs="Arial"/>
          <w:sz w:val="24"/>
          <w:szCs w:val="24"/>
        </w:rPr>
      </w:pPr>
    </w:p>
    <w:p w:rsidR="005F0B3C" w:rsidRDefault="005F0B3C" w:rsidP="005F0B3C">
      <w:pPr>
        <w:spacing w:after="0" w:line="240" w:lineRule="auto"/>
        <w:jc w:val="center"/>
        <w:rPr>
          <w:rFonts w:ascii="Arial" w:hAnsi="Arial" w:cs="Arial"/>
          <w:sz w:val="24"/>
          <w:szCs w:val="24"/>
        </w:rPr>
      </w:pPr>
    </w:p>
    <w:p w:rsidR="005F0B3C" w:rsidRDefault="005F0B3C" w:rsidP="005F0B3C">
      <w:pPr>
        <w:spacing w:after="0" w:line="240" w:lineRule="auto"/>
        <w:jc w:val="center"/>
        <w:rPr>
          <w:rFonts w:ascii="Arial" w:hAnsi="Arial" w:cs="Arial"/>
          <w:sz w:val="24"/>
          <w:szCs w:val="24"/>
        </w:rPr>
      </w:pPr>
    </w:p>
    <w:p w:rsidR="005F0B3C" w:rsidRDefault="005F0B3C" w:rsidP="005F0B3C">
      <w:pPr>
        <w:spacing w:after="0" w:line="240" w:lineRule="auto"/>
        <w:jc w:val="center"/>
        <w:rPr>
          <w:rFonts w:ascii="Arial" w:hAnsi="Arial" w:cs="Arial"/>
          <w:sz w:val="24"/>
          <w:szCs w:val="24"/>
        </w:rPr>
      </w:pPr>
    </w:p>
    <w:p w:rsidR="005F0B3C" w:rsidRDefault="005F0B3C" w:rsidP="005F0B3C">
      <w:pPr>
        <w:spacing w:after="0" w:line="240" w:lineRule="auto"/>
        <w:jc w:val="center"/>
        <w:rPr>
          <w:rFonts w:ascii="Arial" w:hAnsi="Arial" w:cs="Arial"/>
          <w:sz w:val="24"/>
          <w:szCs w:val="24"/>
        </w:rPr>
      </w:pPr>
    </w:p>
    <w:p w:rsidR="005F0B3C" w:rsidRDefault="005F0B3C" w:rsidP="005F0B3C">
      <w:pPr>
        <w:spacing w:after="0" w:line="240" w:lineRule="auto"/>
        <w:jc w:val="center"/>
        <w:rPr>
          <w:rFonts w:ascii="Arial" w:hAnsi="Arial" w:cs="Arial"/>
          <w:sz w:val="24"/>
          <w:szCs w:val="24"/>
        </w:rPr>
      </w:pPr>
    </w:p>
    <w:p w:rsidR="008C320D" w:rsidRDefault="008C320D" w:rsidP="008C320D">
      <w:pPr>
        <w:spacing w:after="0" w:line="240" w:lineRule="auto"/>
        <w:ind w:left="360"/>
        <w:jc w:val="both"/>
        <w:rPr>
          <w:rFonts w:ascii="Arial" w:hAnsi="Arial" w:cs="Arial"/>
          <w:sz w:val="24"/>
          <w:szCs w:val="24"/>
        </w:rPr>
      </w:pPr>
    </w:p>
    <w:p w:rsidR="005F0B3C" w:rsidRDefault="005F0B3C" w:rsidP="008C320D">
      <w:pPr>
        <w:spacing w:after="0" w:line="240" w:lineRule="auto"/>
        <w:ind w:left="360"/>
        <w:jc w:val="both"/>
        <w:rPr>
          <w:rFonts w:ascii="Arial" w:hAnsi="Arial" w:cs="Arial"/>
          <w:sz w:val="24"/>
          <w:szCs w:val="24"/>
        </w:rPr>
      </w:pPr>
    </w:p>
    <w:p w:rsidR="008C320D" w:rsidRDefault="008C320D" w:rsidP="008C320D">
      <w:pPr>
        <w:spacing w:after="0" w:line="240" w:lineRule="auto"/>
        <w:ind w:left="360"/>
        <w:jc w:val="both"/>
        <w:rPr>
          <w:rFonts w:ascii="Arial" w:hAnsi="Arial" w:cs="Arial"/>
          <w:sz w:val="24"/>
          <w:szCs w:val="24"/>
        </w:rPr>
      </w:pPr>
    </w:p>
    <w:p w:rsidR="008C320D" w:rsidRDefault="008C320D" w:rsidP="008C320D">
      <w:pPr>
        <w:spacing w:after="0" w:line="240" w:lineRule="auto"/>
        <w:ind w:left="360"/>
        <w:jc w:val="center"/>
        <w:rPr>
          <w:rFonts w:ascii="Arial" w:hAnsi="Arial" w:cs="Arial"/>
          <w:b/>
          <w:sz w:val="24"/>
          <w:szCs w:val="24"/>
        </w:rPr>
      </w:pPr>
      <w:r w:rsidRPr="008C320D">
        <w:rPr>
          <w:rFonts w:ascii="Arial" w:hAnsi="Arial" w:cs="Arial"/>
          <w:b/>
          <w:sz w:val="24"/>
          <w:szCs w:val="24"/>
        </w:rPr>
        <w:t xml:space="preserve">ARTICULADO PROPUESTO PARA PRIMER DEBATE </w:t>
      </w:r>
    </w:p>
    <w:p w:rsidR="005F0B3C" w:rsidRPr="008C320D" w:rsidRDefault="005F0B3C" w:rsidP="008C320D">
      <w:pPr>
        <w:spacing w:after="0" w:line="240" w:lineRule="auto"/>
        <w:ind w:left="360"/>
        <w:jc w:val="center"/>
        <w:rPr>
          <w:rFonts w:ascii="Arial" w:hAnsi="Arial" w:cs="Arial"/>
          <w:b/>
          <w:sz w:val="24"/>
          <w:szCs w:val="24"/>
        </w:rPr>
      </w:pPr>
    </w:p>
    <w:p w:rsidR="009A5347" w:rsidRDefault="009A5347" w:rsidP="006C5A60">
      <w:pPr>
        <w:spacing w:after="0" w:line="240" w:lineRule="auto"/>
        <w:jc w:val="both"/>
        <w:rPr>
          <w:rFonts w:ascii="Arial" w:hAnsi="Arial" w:cs="Arial"/>
          <w:sz w:val="24"/>
          <w:szCs w:val="24"/>
        </w:rPr>
      </w:pPr>
    </w:p>
    <w:p w:rsidR="008C320D" w:rsidRDefault="008C320D" w:rsidP="008C320D">
      <w:pPr>
        <w:spacing w:after="0" w:line="240" w:lineRule="auto"/>
        <w:jc w:val="center"/>
        <w:rPr>
          <w:rFonts w:ascii="Arial" w:hAnsi="Arial" w:cs="Arial"/>
          <w:b/>
          <w:sz w:val="24"/>
          <w:szCs w:val="24"/>
        </w:rPr>
      </w:pPr>
      <w:r w:rsidRPr="008C320D">
        <w:rPr>
          <w:rFonts w:ascii="Arial" w:hAnsi="Arial" w:cs="Arial"/>
          <w:b/>
          <w:sz w:val="24"/>
          <w:szCs w:val="24"/>
        </w:rPr>
        <w:t>PROYECTO DE LEY ______   DE 2018 CÁMARA</w:t>
      </w:r>
    </w:p>
    <w:p w:rsidR="008C320D" w:rsidRPr="008C320D" w:rsidRDefault="008C320D" w:rsidP="005F0B3C">
      <w:pPr>
        <w:spacing w:after="0" w:line="240" w:lineRule="auto"/>
        <w:rPr>
          <w:rFonts w:ascii="Arial" w:hAnsi="Arial" w:cs="Arial"/>
          <w:b/>
          <w:sz w:val="24"/>
          <w:szCs w:val="24"/>
        </w:rPr>
      </w:pPr>
    </w:p>
    <w:p w:rsidR="008C320D" w:rsidRPr="008C320D" w:rsidRDefault="008C320D" w:rsidP="008C320D">
      <w:pPr>
        <w:spacing w:after="0" w:line="240" w:lineRule="auto"/>
        <w:jc w:val="center"/>
        <w:rPr>
          <w:rFonts w:ascii="Arial" w:hAnsi="Arial" w:cs="Arial"/>
          <w:b/>
          <w:sz w:val="24"/>
          <w:szCs w:val="24"/>
        </w:rPr>
      </w:pPr>
      <w:r w:rsidRPr="008C320D">
        <w:rPr>
          <w:rFonts w:ascii="Arial" w:hAnsi="Arial" w:cs="Arial"/>
          <w:b/>
          <w:sz w:val="24"/>
          <w:szCs w:val="24"/>
        </w:rPr>
        <w:t>“POR MEDIO DEL CUAL SE REFORMA LA LEY 30 DE 1992 - por el cual se organiza el servicio público de la Educación Superior -, Y SE DICTAN OTRAS DISPOSICIONES ORIENTADAS AL FORTALECIMIENTO DE LA EDUCACIÓN TERCIARIA “</w:t>
      </w:r>
    </w:p>
    <w:p w:rsidR="008C320D" w:rsidRPr="008C320D" w:rsidRDefault="008C320D" w:rsidP="008C320D">
      <w:pPr>
        <w:spacing w:after="0" w:line="240" w:lineRule="auto"/>
        <w:jc w:val="center"/>
        <w:rPr>
          <w:rFonts w:ascii="Arial" w:hAnsi="Arial" w:cs="Arial"/>
          <w:b/>
          <w:sz w:val="24"/>
          <w:szCs w:val="24"/>
        </w:rPr>
      </w:pPr>
    </w:p>
    <w:p w:rsidR="008C320D" w:rsidRPr="008C320D" w:rsidRDefault="008C320D" w:rsidP="008C320D">
      <w:pPr>
        <w:spacing w:after="0" w:line="240" w:lineRule="auto"/>
        <w:jc w:val="center"/>
        <w:rPr>
          <w:rFonts w:ascii="Arial" w:hAnsi="Arial" w:cs="Arial"/>
          <w:b/>
          <w:sz w:val="24"/>
          <w:szCs w:val="24"/>
        </w:rPr>
      </w:pPr>
      <w:r w:rsidRPr="008C320D">
        <w:rPr>
          <w:rFonts w:ascii="Arial" w:hAnsi="Arial" w:cs="Arial"/>
          <w:b/>
          <w:sz w:val="24"/>
          <w:szCs w:val="24"/>
        </w:rPr>
        <w:t xml:space="preserve">El congreso de Colombia </w:t>
      </w:r>
    </w:p>
    <w:p w:rsidR="008C320D" w:rsidRPr="008C320D" w:rsidRDefault="008C320D" w:rsidP="008C320D">
      <w:pPr>
        <w:spacing w:after="0" w:line="240" w:lineRule="auto"/>
        <w:jc w:val="center"/>
        <w:rPr>
          <w:rFonts w:ascii="Arial" w:hAnsi="Arial" w:cs="Arial"/>
          <w:b/>
          <w:sz w:val="24"/>
          <w:szCs w:val="24"/>
        </w:rPr>
      </w:pPr>
    </w:p>
    <w:p w:rsidR="008C320D" w:rsidRPr="005F0B3C" w:rsidRDefault="008C320D" w:rsidP="005F0B3C">
      <w:pPr>
        <w:spacing w:after="0" w:line="240" w:lineRule="auto"/>
        <w:jc w:val="center"/>
        <w:rPr>
          <w:rFonts w:ascii="Arial" w:hAnsi="Arial" w:cs="Arial"/>
          <w:b/>
          <w:sz w:val="24"/>
          <w:szCs w:val="24"/>
        </w:rPr>
      </w:pPr>
      <w:r w:rsidRPr="008C320D">
        <w:rPr>
          <w:rFonts w:ascii="Arial" w:hAnsi="Arial" w:cs="Arial"/>
          <w:b/>
          <w:sz w:val="24"/>
          <w:szCs w:val="24"/>
        </w:rPr>
        <w:t>Decreta:</w:t>
      </w:r>
    </w:p>
    <w:p w:rsidR="00E302D2" w:rsidRPr="006C5A60" w:rsidRDefault="00E302D2" w:rsidP="006C5A60">
      <w:pPr>
        <w:spacing w:after="0" w:line="240" w:lineRule="auto"/>
        <w:jc w:val="both"/>
        <w:rPr>
          <w:rFonts w:ascii="Arial" w:hAnsi="Arial" w:cs="Arial"/>
          <w:sz w:val="24"/>
          <w:szCs w:val="24"/>
        </w:rPr>
      </w:pPr>
    </w:p>
    <w:p w:rsidR="009A5347" w:rsidRPr="009A5347" w:rsidRDefault="009A5347" w:rsidP="009A5347">
      <w:pPr>
        <w:spacing w:after="0" w:line="240" w:lineRule="auto"/>
        <w:jc w:val="both"/>
        <w:rPr>
          <w:rFonts w:ascii="Arial" w:hAnsi="Arial" w:cs="Arial"/>
          <w:sz w:val="24"/>
          <w:szCs w:val="24"/>
        </w:rPr>
      </w:pPr>
      <w:r w:rsidRPr="009A5347">
        <w:rPr>
          <w:rFonts w:ascii="Arial" w:hAnsi="Arial" w:cs="Arial"/>
          <w:b/>
          <w:sz w:val="24"/>
          <w:szCs w:val="24"/>
        </w:rPr>
        <w:t>Artículo 1</w:t>
      </w:r>
      <w:r w:rsidRPr="009A5347">
        <w:rPr>
          <w:rFonts w:ascii="Arial" w:hAnsi="Arial" w:cs="Arial"/>
          <w:sz w:val="24"/>
          <w:szCs w:val="24"/>
        </w:rPr>
        <w:t>: Modifíquese el artículo 86 de la ley 30 1992, modificado por el artículo 223 de la ley 1753 de 2015 el cual quedara así:</w:t>
      </w:r>
    </w:p>
    <w:p w:rsidR="009A5347" w:rsidRPr="009A5347" w:rsidRDefault="009A5347" w:rsidP="009A5347">
      <w:pPr>
        <w:spacing w:after="0" w:line="240" w:lineRule="auto"/>
        <w:jc w:val="both"/>
        <w:rPr>
          <w:rFonts w:ascii="Arial" w:hAnsi="Arial" w:cs="Arial"/>
          <w:sz w:val="24"/>
          <w:szCs w:val="24"/>
        </w:rPr>
      </w:pPr>
    </w:p>
    <w:p w:rsidR="009A5347" w:rsidRDefault="009A5347" w:rsidP="009A5347">
      <w:pPr>
        <w:spacing w:after="0" w:line="240" w:lineRule="auto"/>
        <w:jc w:val="both"/>
        <w:rPr>
          <w:rFonts w:ascii="Arial" w:hAnsi="Arial" w:cs="Arial"/>
          <w:sz w:val="24"/>
          <w:szCs w:val="24"/>
        </w:rPr>
      </w:pPr>
      <w:r w:rsidRPr="009A5347">
        <w:rPr>
          <w:rFonts w:ascii="Arial" w:hAnsi="Arial" w:cs="Arial"/>
          <w:b/>
          <w:sz w:val="24"/>
          <w:szCs w:val="24"/>
        </w:rPr>
        <w:lastRenderedPageBreak/>
        <w:t>Artículo 86</w:t>
      </w:r>
      <w:r w:rsidRPr="009A5347">
        <w:rPr>
          <w:rFonts w:ascii="Arial" w:hAnsi="Arial" w:cs="Arial"/>
          <w:sz w:val="24"/>
          <w:szCs w:val="24"/>
        </w:rPr>
        <w:t>. Los presupuestos para los funcionarios e inversión de las instituciones de educación superior estatales u oficiales de orden nacional, departamental, distrital o municipal, estarán constituido por aportes del presupuesto general de la Nación, por aportes de los entes territoriales y por recursos y rentas propias de cada institución.</w:t>
      </w:r>
    </w:p>
    <w:p w:rsidR="00963D08" w:rsidRPr="009A5347" w:rsidRDefault="00963D08" w:rsidP="009A5347">
      <w:pPr>
        <w:spacing w:after="0" w:line="240" w:lineRule="auto"/>
        <w:jc w:val="both"/>
        <w:rPr>
          <w:rFonts w:ascii="Arial" w:hAnsi="Arial" w:cs="Arial"/>
          <w:sz w:val="24"/>
          <w:szCs w:val="24"/>
        </w:rPr>
      </w:pPr>
    </w:p>
    <w:p w:rsidR="009A5347" w:rsidRPr="009A5347" w:rsidRDefault="009A5347" w:rsidP="009A5347">
      <w:pPr>
        <w:spacing w:after="0" w:line="240" w:lineRule="auto"/>
        <w:jc w:val="both"/>
        <w:rPr>
          <w:rFonts w:ascii="Arial" w:hAnsi="Arial" w:cs="Arial"/>
          <w:sz w:val="24"/>
          <w:szCs w:val="24"/>
        </w:rPr>
      </w:pPr>
      <w:r w:rsidRPr="009A5347">
        <w:rPr>
          <w:rFonts w:ascii="Arial" w:hAnsi="Arial" w:cs="Arial"/>
          <w:sz w:val="24"/>
          <w:szCs w:val="24"/>
        </w:rPr>
        <w:t>Las universidades estatales u oficiales recibirán anualmente del presupuesto nacional y de las entidades territoriales aportes que signifiquen, como mínimo, un incremento de 1.76 puntos porcentuales por encima del IPC.</w:t>
      </w:r>
    </w:p>
    <w:p w:rsidR="009A5347" w:rsidRPr="009A5347" w:rsidRDefault="009A5347" w:rsidP="009A5347">
      <w:pPr>
        <w:spacing w:after="0" w:line="240" w:lineRule="auto"/>
        <w:jc w:val="both"/>
        <w:rPr>
          <w:rFonts w:ascii="Arial" w:hAnsi="Arial" w:cs="Arial"/>
          <w:sz w:val="24"/>
          <w:szCs w:val="24"/>
        </w:rPr>
      </w:pPr>
    </w:p>
    <w:p w:rsidR="009A5347" w:rsidRPr="009A5347" w:rsidRDefault="009A5347" w:rsidP="009A5347">
      <w:pPr>
        <w:spacing w:after="0" w:line="240" w:lineRule="auto"/>
        <w:jc w:val="both"/>
        <w:rPr>
          <w:rFonts w:ascii="Arial" w:hAnsi="Arial" w:cs="Arial"/>
          <w:sz w:val="24"/>
          <w:szCs w:val="24"/>
        </w:rPr>
      </w:pPr>
      <w:r w:rsidRPr="009A5347">
        <w:rPr>
          <w:rFonts w:ascii="Arial" w:hAnsi="Arial" w:cs="Arial"/>
          <w:b/>
          <w:sz w:val="24"/>
          <w:szCs w:val="24"/>
        </w:rPr>
        <w:t>Parágrafo 1</w:t>
      </w:r>
      <w:r w:rsidRPr="009A5347">
        <w:rPr>
          <w:rFonts w:ascii="Arial" w:hAnsi="Arial" w:cs="Arial"/>
          <w:sz w:val="24"/>
          <w:szCs w:val="24"/>
        </w:rPr>
        <w:t>. Para las instituciones de educación superior estatales u oficiales se tomarán como base el aporte ordinario del Presupuesto General de la Nación en 2018.</w:t>
      </w:r>
    </w:p>
    <w:p w:rsidR="009A5347" w:rsidRPr="009A5347" w:rsidRDefault="009A5347" w:rsidP="009A5347">
      <w:pPr>
        <w:spacing w:after="0" w:line="240" w:lineRule="auto"/>
        <w:jc w:val="both"/>
        <w:rPr>
          <w:rFonts w:ascii="Arial" w:hAnsi="Arial" w:cs="Arial"/>
          <w:sz w:val="24"/>
          <w:szCs w:val="24"/>
        </w:rPr>
      </w:pPr>
    </w:p>
    <w:p w:rsidR="009A5347" w:rsidRPr="009A5347" w:rsidRDefault="009A5347" w:rsidP="009A5347">
      <w:pPr>
        <w:numPr>
          <w:ilvl w:val="0"/>
          <w:numId w:val="4"/>
        </w:numPr>
        <w:spacing w:after="0" w:line="240" w:lineRule="auto"/>
        <w:jc w:val="both"/>
        <w:rPr>
          <w:rFonts w:ascii="Arial" w:hAnsi="Arial" w:cs="Arial"/>
          <w:sz w:val="24"/>
          <w:szCs w:val="24"/>
        </w:rPr>
      </w:pPr>
      <w:r w:rsidRPr="009A5347">
        <w:rPr>
          <w:rFonts w:ascii="Arial" w:hAnsi="Arial" w:cs="Arial"/>
          <w:sz w:val="24"/>
          <w:szCs w:val="24"/>
        </w:rPr>
        <w:t>Parágrafo Transitorio. Entre el año 2019 y hasta 2025 se destinará una asignación adicional anual al Ministerio de Educación Nacional de 2.46 puntos porcentuales real respecto a los, aportes de la Nación asignados a las instituciones de educación superior estatales u oficiales para funcionamiento del año inmediatamente anterior, los cuales serán distribuidos entre dichas instituciones de acuerdo a un esquema de bolsa concursante por desempeño de indicadores definidos por el Ministerio de Educación Superior y en razón al mejoramiento de la calidad de las instituciones que lo integran y/ o para cerrar las brechas regionales de coberturas entre esas IES estatales.</w:t>
      </w:r>
    </w:p>
    <w:p w:rsidR="009A5347" w:rsidRPr="009A5347" w:rsidRDefault="009A5347" w:rsidP="009A5347">
      <w:pPr>
        <w:spacing w:after="0" w:line="240" w:lineRule="auto"/>
        <w:jc w:val="both"/>
        <w:rPr>
          <w:rFonts w:ascii="Arial" w:hAnsi="Arial" w:cs="Arial"/>
          <w:sz w:val="24"/>
          <w:szCs w:val="24"/>
        </w:rPr>
      </w:pPr>
    </w:p>
    <w:p w:rsidR="009A5347" w:rsidRDefault="009A5347" w:rsidP="009A5347">
      <w:pPr>
        <w:spacing w:after="0" w:line="240" w:lineRule="auto"/>
        <w:jc w:val="both"/>
        <w:rPr>
          <w:rFonts w:ascii="Arial" w:hAnsi="Arial" w:cs="Arial"/>
          <w:sz w:val="24"/>
          <w:szCs w:val="24"/>
        </w:rPr>
      </w:pPr>
    </w:p>
    <w:p w:rsidR="005F0B3C" w:rsidRDefault="005F0B3C" w:rsidP="009A5347">
      <w:pPr>
        <w:spacing w:after="0" w:line="240" w:lineRule="auto"/>
        <w:jc w:val="both"/>
        <w:rPr>
          <w:rFonts w:ascii="Arial" w:hAnsi="Arial" w:cs="Arial"/>
          <w:sz w:val="24"/>
          <w:szCs w:val="24"/>
        </w:rPr>
      </w:pPr>
    </w:p>
    <w:p w:rsidR="005F0B3C" w:rsidRPr="009A5347" w:rsidRDefault="005F0B3C" w:rsidP="009A5347">
      <w:pPr>
        <w:spacing w:after="0" w:line="240" w:lineRule="auto"/>
        <w:jc w:val="both"/>
        <w:rPr>
          <w:rFonts w:ascii="Arial" w:hAnsi="Arial" w:cs="Arial"/>
          <w:sz w:val="24"/>
          <w:szCs w:val="24"/>
        </w:rPr>
      </w:pPr>
    </w:p>
    <w:p w:rsidR="009A5347" w:rsidRPr="009A5347" w:rsidRDefault="009A5347" w:rsidP="009A5347">
      <w:pPr>
        <w:spacing w:after="0" w:line="240" w:lineRule="auto"/>
        <w:jc w:val="both"/>
        <w:rPr>
          <w:rFonts w:ascii="Arial" w:hAnsi="Arial" w:cs="Arial"/>
          <w:sz w:val="24"/>
          <w:szCs w:val="24"/>
        </w:rPr>
      </w:pPr>
      <w:r w:rsidRPr="009A5347">
        <w:rPr>
          <w:rFonts w:ascii="Arial" w:hAnsi="Arial" w:cs="Arial"/>
          <w:b/>
          <w:sz w:val="24"/>
          <w:szCs w:val="24"/>
        </w:rPr>
        <w:t>Artículo 2</w:t>
      </w:r>
      <w:r w:rsidRPr="009A5347">
        <w:rPr>
          <w:rFonts w:ascii="Arial" w:hAnsi="Arial" w:cs="Arial"/>
          <w:sz w:val="24"/>
          <w:szCs w:val="24"/>
        </w:rPr>
        <w:t>. Modifíquese el artículo 87 de la Ley 30 de 1992, el cual quedará así:</w:t>
      </w:r>
    </w:p>
    <w:p w:rsidR="009A5347" w:rsidRPr="009A5347" w:rsidRDefault="009A5347" w:rsidP="009A5347">
      <w:pPr>
        <w:spacing w:after="0" w:line="240" w:lineRule="auto"/>
        <w:jc w:val="both"/>
        <w:rPr>
          <w:rFonts w:ascii="Arial" w:hAnsi="Arial" w:cs="Arial"/>
          <w:sz w:val="24"/>
          <w:szCs w:val="24"/>
        </w:rPr>
      </w:pPr>
    </w:p>
    <w:p w:rsidR="009A5347" w:rsidRPr="009A5347" w:rsidRDefault="009A5347" w:rsidP="009A5347">
      <w:pPr>
        <w:spacing w:after="0" w:line="240" w:lineRule="auto"/>
        <w:jc w:val="both"/>
        <w:rPr>
          <w:rFonts w:ascii="Arial" w:hAnsi="Arial" w:cs="Arial"/>
          <w:sz w:val="24"/>
          <w:szCs w:val="24"/>
        </w:rPr>
      </w:pPr>
      <w:r w:rsidRPr="009A5347">
        <w:rPr>
          <w:rFonts w:ascii="Arial" w:hAnsi="Arial" w:cs="Arial"/>
          <w:b/>
          <w:sz w:val="24"/>
          <w:szCs w:val="24"/>
        </w:rPr>
        <w:t>Artículo 87.</w:t>
      </w:r>
      <w:r w:rsidRPr="009A5347">
        <w:rPr>
          <w:rFonts w:ascii="Arial" w:hAnsi="Arial" w:cs="Arial"/>
          <w:sz w:val="24"/>
          <w:szCs w:val="24"/>
        </w:rPr>
        <w:t xml:space="preserve"> A partir de la entrada en vigencia de la presente ley, el Gobierno Nacional incrementará sus aportes parra las instituciones de educación superior estatales u oficiales, en porcentaje no inferior al 30% del incremento real del producto interno bruto.</w:t>
      </w:r>
    </w:p>
    <w:p w:rsidR="009A5347" w:rsidRPr="009A5347" w:rsidRDefault="009A5347" w:rsidP="009A5347">
      <w:pPr>
        <w:spacing w:after="0" w:line="240" w:lineRule="auto"/>
        <w:jc w:val="both"/>
        <w:rPr>
          <w:rFonts w:ascii="Arial" w:hAnsi="Arial" w:cs="Arial"/>
          <w:sz w:val="24"/>
          <w:szCs w:val="24"/>
        </w:rPr>
      </w:pPr>
      <w:r w:rsidRPr="009A5347">
        <w:rPr>
          <w:rFonts w:ascii="Arial" w:hAnsi="Arial" w:cs="Arial"/>
          <w:sz w:val="24"/>
          <w:szCs w:val="24"/>
        </w:rPr>
        <w:t>Este incremento se efectuará con conformidad con los objetos para el sistema de Universidades estatales u oficiales y demás instituciones.</w:t>
      </w:r>
    </w:p>
    <w:p w:rsidR="009A5347" w:rsidRPr="009A5347" w:rsidRDefault="009A5347" w:rsidP="009A5347">
      <w:pPr>
        <w:spacing w:after="0" w:line="240" w:lineRule="auto"/>
        <w:jc w:val="both"/>
        <w:rPr>
          <w:rFonts w:ascii="Arial" w:hAnsi="Arial" w:cs="Arial"/>
          <w:sz w:val="24"/>
          <w:szCs w:val="24"/>
        </w:rPr>
      </w:pPr>
    </w:p>
    <w:p w:rsidR="009A5347" w:rsidRPr="009A5347" w:rsidRDefault="009A5347" w:rsidP="009A5347">
      <w:pPr>
        <w:spacing w:after="0" w:line="240" w:lineRule="auto"/>
        <w:jc w:val="both"/>
        <w:rPr>
          <w:rFonts w:ascii="Arial" w:hAnsi="Arial" w:cs="Arial"/>
          <w:sz w:val="24"/>
          <w:szCs w:val="24"/>
        </w:rPr>
      </w:pPr>
      <w:r w:rsidRPr="009A5347">
        <w:rPr>
          <w:rFonts w:ascii="Arial" w:hAnsi="Arial" w:cs="Arial"/>
          <w:b/>
          <w:sz w:val="24"/>
          <w:szCs w:val="24"/>
        </w:rPr>
        <w:t>Parágrafo Transitorio Primero</w:t>
      </w:r>
      <w:r w:rsidRPr="009A5347">
        <w:rPr>
          <w:rFonts w:ascii="Arial" w:hAnsi="Arial" w:cs="Arial"/>
          <w:sz w:val="24"/>
          <w:szCs w:val="24"/>
        </w:rPr>
        <w:t xml:space="preserve">: a partir del 2019 y hasta el 2025, el gobierno nacional destinará anualmente recursos adicionales para el desarrollo de capacidad de las instituciones de educación superior estatales u oficiales: éstos recursos no </w:t>
      </w:r>
      <w:r w:rsidRPr="009A5347">
        <w:rPr>
          <w:rFonts w:ascii="Arial" w:hAnsi="Arial" w:cs="Arial"/>
          <w:sz w:val="24"/>
          <w:szCs w:val="24"/>
        </w:rPr>
        <w:lastRenderedPageBreak/>
        <w:t>harán parte de la base presupuestal de dichas instituciones. Para el año los recursos adicionales corresponderán a diez (10) por ciento de los aportes girados al presupuesto del Ministerio de Educación superior en la vigencia inmediatamente anterior. Sobre la base de los recursos recibidos en 2019, desde 2020 y hasta 2025, los recursos tendrán anualmente siempre un incremento en pesos constantes.</w:t>
      </w:r>
    </w:p>
    <w:p w:rsidR="009A5347" w:rsidRPr="009A5347" w:rsidRDefault="009A5347" w:rsidP="009A5347">
      <w:pPr>
        <w:spacing w:after="0" w:line="240" w:lineRule="auto"/>
        <w:jc w:val="both"/>
        <w:rPr>
          <w:rFonts w:ascii="Arial" w:hAnsi="Arial" w:cs="Arial"/>
          <w:sz w:val="24"/>
          <w:szCs w:val="24"/>
        </w:rPr>
      </w:pPr>
    </w:p>
    <w:p w:rsidR="009A5347" w:rsidRPr="009A5347" w:rsidRDefault="009A5347" w:rsidP="009A5347">
      <w:pPr>
        <w:spacing w:after="0" w:line="240" w:lineRule="auto"/>
        <w:jc w:val="both"/>
        <w:rPr>
          <w:rFonts w:ascii="Arial" w:hAnsi="Arial" w:cs="Arial"/>
          <w:sz w:val="24"/>
          <w:szCs w:val="24"/>
        </w:rPr>
      </w:pPr>
      <w:r w:rsidRPr="009A5347">
        <w:rPr>
          <w:rFonts w:ascii="Arial" w:hAnsi="Arial" w:cs="Arial"/>
          <w:b/>
          <w:sz w:val="24"/>
          <w:szCs w:val="24"/>
        </w:rPr>
        <w:t>Parágrafos Transitorio segundo</w:t>
      </w:r>
      <w:r w:rsidRPr="009A5347">
        <w:rPr>
          <w:rFonts w:ascii="Arial" w:hAnsi="Arial" w:cs="Arial"/>
          <w:sz w:val="24"/>
          <w:szCs w:val="24"/>
        </w:rPr>
        <w:t>: en el año 2025, antes de la aprobación del presupuesto general de la nación de las siguientes vigencias, el gobierno nacional establecerá el valor de los recursos adicionales de que trata el parágrafo transitorio primero, que se transferirá a las instituciones de educación superior estatales u oficiales en las siguientes vigencias y sus mecanismos de distribución.</w:t>
      </w:r>
    </w:p>
    <w:p w:rsidR="009A5347" w:rsidRPr="009A5347" w:rsidRDefault="009A5347" w:rsidP="009A5347">
      <w:pPr>
        <w:spacing w:after="0" w:line="240" w:lineRule="auto"/>
        <w:jc w:val="both"/>
        <w:rPr>
          <w:rFonts w:ascii="Arial" w:hAnsi="Arial" w:cs="Arial"/>
          <w:sz w:val="24"/>
          <w:szCs w:val="24"/>
        </w:rPr>
      </w:pPr>
      <w:r w:rsidRPr="009A5347">
        <w:rPr>
          <w:rFonts w:ascii="Arial" w:hAnsi="Arial" w:cs="Arial"/>
          <w:sz w:val="24"/>
          <w:szCs w:val="24"/>
        </w:rPr>
        <w:t>Parágrafo. La distribución de los recursos de los que trata el presente articulado deberá ser avalado por el consejo nacional de educación superior (CESU), prevista reglamentación del Gobierno Nacional.</w:t>
      </w:r>
    </w:p>
    <w:p w:rsidR="009A5347" w:rsidRPr="009A5347" w:rsidRDefault="009A5347" w:rsidP="009A5347">
      <w:pPr>
        <w:spacing w:after="0" w:line="240" w:lineRule="auto"/>
        <w:jc w:val="both"/>
        <w:rPr>
          <w:rFonts w:ascii="Arial" w:hAnsi="Arial" w:cs="Arial"/>
          <w:sz w:val="24"/>
          <w:szCs w:val="24"/>
        </w:rPr>
      </w:pPr>
    </w:p>
    <w:p w:rsidR="009A5347" w:rsidRPr="009A5347" w:rsidRDefault="009A5347" w:rsidP="009A5347">
      <w:pPr>
        <w:spacing w:after="0" w:line="240" w:lineRule="auto"/>
        <w:jc w:val="both"/>
        <w:rPr>
          <w:rFonts w:ascii="Arial" w:hAnsi="Arial" w:cs="Arial"/>
          <w:sz w:val="24"/>
          <w:szCs w:val="24"/>
        </w:rPr>
      </w:pPr>
      <w:r w:rsidRPr="009A5347">
        <w:rPr>
          <w:rFonts w:ascii="Arial" w:hAnsi="Arial" w:cs="Arial"/>
          <w:b/>
          <w:sz w:val="24"/>
          <w:szCs w:val="24"/>
        </w:rPr>
        <w:t>Artículo 3.</w:t>
      </w:r>
      <w:r w:rsidRPr="009A5347">
        <w:rPr>
          <w:rFonts w:ascii="Arial" w:hAnsi="Arial" w:cs="Arial"/>
          <w:sz w:val="24"/>
          <w:szCs w:val="24"/>
        </w:rPr>
        <w:t xml:space="preserve"> Para el año 2019 los recursos previstos en el numeral 5 del artículo 243 del Estatuto Tributario se distribuirá así:</w:t>
      </w:r>
    </w:p>
    <w:p w:rsidR="009A5347" w:rsidRPr="009A5347" w:rsidRDefault="009A5347" w:rsidP="009A5347">
      <w:pPr>
        <w:numPr>
          <w:ilvl w:val="0"/>
          <w:numId w:val="5"/>
        </w:numPr>
        <w:spacing w:after="0" w:line="240" w:lineRule="auto"/>
        <w:jc w:val="both"/>
        <w:rPr>
          <w:rFonts w:ascii="Arial" w:hAnsi="Arial" w:cs="Arial"/>
          <w:sz w:val="24"/>
          <w:szCs w:val="24"/>
        </w:rPr>
      </w:pPr>
      <w:r w:rsidRPr="009A5347">
        <w:rPr>
          <w:rFonts w:ascii="Arial" w:hAnsi="Arial" w:cs="Arial"/>
          <w:sz w:val="24"/>
          <w:szCs w:val="24"/>
        </w:rPr>
        <w:t>El 50% del 0.6 puntos para financiar las Instituciones de Educación Superior.</w:t>
      </w:r>
    </w:p>
    <w:p w:rsidR="009A5347" w:rsidRPr="009A5347" w:rsidRDefault="009A5347" w:rsidP="009A5347">
      <w:pPr>
        <w:numPr>
          <w:ilvl w:val="0"/>
          <w:numId w:val="5"/>
        </w:numPr>
        <w:spacing w:after="0" w:line="240" w:lineRule="auto"/>
        <w:jc w:val="both"/>
        <w:rPr>
          <w:rFonts w:ascii="Arial" w:hAnsi="Arial" w:cs="Arial"/>
          <w:sz w:val="24"/>
          <w:szCs w:val="24"/>
        </w:rPr>
      </w:pPr>
      <w:r w:rsidRPr="009A5347">
        <w:rPr>
          <w:rFonts w:ascii="Arial" w:hAnsi="Arial" w:cs="Arial"/>
          <w:sz w:val="24"/>
          <w:szCs w:val="24"/>
        </w:rPr>
        <w:t>El 50% del 0.6 puntos para financiar créditos beca a través del ICETEX los cuales incluye el programa Ser Pilo Paga.</w:t>
      </w:r>
    </w:p>
    <w:p w:rsidR="009A5347" w:rsidRPr="009A5347" w:rsidRDefault="009A5347" w:rsidP="009A5347">
      <w:pPr>
        <w:spacing w:after="0" w:line="240" w:lineRule="auto"/>
        <w:jc w:val="both"/>
        <w:rPr>
          <w:rFonts w:ascii="Arial" w:hAnsi="Arial" w:cs="Arial"/>
          <w:sz w:val="24"/>
          <w:szCs w:val="24"/>
        </w:rPr>
      </w:pPr>
    </w:p>
    <w:p w:rsidR="009A5347" w:rsidRPr="009A5347" w:rsidRDefault="009A5347" w:rsidP="009A5347">
      <w:pPr>
        <w:spacing w:after="0" w:line="240" w:lineRule="auto"/>
        <w:jc w:val="both"/>
        <w:rPr>
          <w:rFonts w:ascii="Arial" w:hAnsi="Arial" w:cs="Arial"/>
          <w:sz w:val="24"/>
          <w:szCs w:val="24"/>
        </w:rPr>
      </w:pPr>
      <w:r w:rsidRPr="009A5347">
        <w:rPr>
          <w:rFonts w:ascii="Arial" w:hAnsi="Arial" w:cs="Arial"/>
          <w:sz w:val="24"/>
          <w:szCs w:val="24"/>
        </w:rPr>
        <w:t>A partir del año 2020 la distribución será así:</w:t>
      </w:r>
    </w:p>
    <w:p w:rsidR="009A5347" w:rsidRPr="009A5347" w:rsidRDefault="009A5347" w:rsidP="009A5347">
      <w:pPr>
        <w:numPr>
          <w:ilvl w:val="0"/>
          <w:numId w:val="5"/>
        </w:numPr>
        <w:spacing w:after="0" w:line="240" w:lineRule="auto"/>
        <w:jc w:val="both"/>
        <w:rPr>
          <w:rFonts w:ascii="Arial" w:hAnsi="Arial" w:cs="Arial"/>
          <w:sz w:val="24"/>
          <w:szCs w:val="24"/>
        </w:rPr>
      </w:pPr>
      <w:r w:rsidRPr="009A5347">
        <w:rPr>
          <w:rFonts w:ascii="Arial" w:hAnsi="Arial" w:cs="Arial"/>
          <w:sz w:val="24"/>
          <w:szCs w:val="24"/>
        </w:rPr>
        <w:t>El 0.4 puntos para financiar las Instituciones de Educación Superior.</w:t>
      </w:r>
    </w:p>
    <w:p w:rsidR="009A5347" w:rsidRDefault="009A5347" w:rsidP="009A5347">
      <w:pPr>
        <w:numPr>
          <w:ilvl w:val="0"/>
          <w:numId w:val="5"/>
        </w:numPr>
        <w:spacing w:after="0" w:line="240" w:lineRule="auto"/>
        <w:jc w:val="both"/>
        <w:rPr>
          <w:rFonts w:ascii="Arial" w:hAnsi="Arial" w:cs="Arial"/>
          <w:sz w:val="24"/>
          <w:szCs w:val="24"/>
        </w:rPr>
      </w:pPr>
      <w:r w:rsidRPr="009A5347">
        <w:rPr>
          <w:rFonts w:ascii="Arial" w:hAnsi="Arial" w:cs="Arial"/>
          <w:sz w:val="24"/>
          <w:szCs w:val="24"/>
        </w:rPr>
        <w:t>El 02 punto para financiar créditos beca a través del ICETEX, los cu</w:t>
      </w:r>
      <w:r w:rsidR="00201108">
        <w:rPr>
          <w:rFonts w:ascii="Arial" w:hAnsi="Arial" w:cs="Arial"/>
          <w:sz w:val="24"/>
          <w:szCs w:val="24"/>
        </w:rPr>
        <w:t>ales el programa Ser Pilo Paga.</w:t>
      </w:r>
    </w:p>
    <w:p w:rsidR="00201108" w:rsidRDefault="00201108" w:rsidP="00201108">
      <w:pPr>
        <w:spacing w:after="0" w:line="240" w:lineRule="auto"/>
        <w:jc w:val="both"/>
        <w:rPr>
          <w:rFonts w:ascii="Arial" w:hAnsi="Arial" w:cs="Arial"/>
          <w:sz w:val="24"/>
          <w:szCs w:val="24"/>
        </w:rPr>
      </w:pPr>
    </w:p>
    <w:p w:rsidR="00201108" w:rsidRPr="00201108" w:rsidRDefault="00201108" w:rsidP="00201108">
      <w:pPr>
        <w:spacing w:after="0" w:line="240" w:lineRule="auto"/>
        <w:jc w:val="both"/>
        <w:rPr>
          <w:rFonts w:ascii="Arial" w:hAnsi="Arial" w:cs="Arial"/>
          <w:sz w:val="24"/>
          <w:szCs w:val="24"/>
        </w:rPr>
      </w:pPr>
      <w:r>
        <w:rPr>
          <w:rFonts w:ascii="Arial" w:hAnsi="Arial" w:cs="Arial"/>
          <w:b/>
          <w:sz w:val="24"/>
          <w:szCs w:val="24"/>
        </w:rPr>
        <w:t xml:space="preserve">Artículo 4. </w:t>
      </w:r>
      <w:r>
        <w:rPr>
          <w:rFonts w:ascii="Arial" w:hAnsi="Arial" w:cs="Arial"/>
          <w:sz w:val="24"/>
          <w:szCs w:val="24"/>
        </w:rPr>
        <w:t>La presente Ley rige a partir de la fecha de su promulgación.</w:t>
      </w:r>
    </w:p>
    <w:p w:rsidR="009A5347" w:rsidRDefault="009A5347" w:rsidP="009A5347">
      <w:pPr>
        <w:spacing w:after="0" w:line="240" w:lineRule="auto"/>
        <w:jc w:val="both"/>
        <w:rPr>
          <w:rFonts w:ascii="Arial" w:hAnsi="Arial" w:cs="Arial"/>
          <w:sz w:val="24"/>
          <w:szCs w:val="24"/>
        </w:rPr>
      </w:pPr>
    </w:p>
    <w:p w:rsidR="004B0C6E" w:rsidRDefault="004B0C6E" w:rsidP="009A5347">
      <w:pPr>
        <w:spacing w:after="0" w:line="240" w:lineRule="auto"/>
        <w:jc w:val="both"/>
        <w:rPr>
          <w:rFonts w:ascii="Arial" w:hAnsi="Arial" w:cs="Arial"/>
          <w:sz w:val="24"/>
          <w:szCs w:val="24"/>
        </w:rPr>
      </w:pPr>
    </w:p>
    <w:p w:rsidR="004B0C6E" w:rsidRDefault="004B0C6E" w:rsidP="009A5347">
      <w:pPr>
        <w:spacing w:after="0" w:line="240" w:lineRule="auto"/>
        <w:jc w:val="both"/>
        <w:rPr>
          <w:rFonts w:ascii="Arial" w:hAnsi="Arial" w:cs="Arial"/>
          <w:sz w:val="24"/>
          <w:szCs w:val="24"/>
        </w:rPr>
      </w:pPr>
    </w:p>
    <w:p w:rsidR="004B0C6E" w:rsidRDefault="004B0C6E" w:rsidP="009A5347">
      <w:pPr>
        <w:spacing w:after="0" w:line="240" w:lineRule="auto"/>
        <w:jc w:val="both"/>
        <w:rPr>
          <w:rFonts w:ascii="Arial" w:hAnsi="Arial" w:cs="Arial"/>
          <w:sz w:val="24"/>
          <w:szCs w:val="24"/>
        </w:rPr>
      </w:pPr>
    </w:p>
    <w:p w:rsidR="004B0C6E" w:rsidRPr="0036087F" w:rsidRDefault="004B0C6E" w:rsidP="009A5347">
      <w:pPr>
        <w:spacing w:after="0" w:line="240" w:lineRule="auto"/>
        <w:jc w:val="both"/>
        <w:rPr>
          <w:rFonts w:ascii="Arial" w:hAnsi="Arial" w:cs="Arial"/>
          <w:b/>
          <w:caps/>
          <w:sz w:val="24"/>
          <w:szCs w:val="24"/>
        </w:rPr>
      </w:pPr>
      <w:r w:rsidRPr="0036087F">
        <w:rPr>
          <w:rFonts w:ascii="Arial" w:hAnsi="Arial" w:cs="Arial"/>
          <w:b/>
          <w:caps/>
          <w:sz w:val="24"/>
          <w:szCs w:val="24"/>
        </w:rPr>
        <w:t>Hector Javier Osorio Botello</w:t>
      </w:r>
    </w:p>
    <w:p w:rsidR="004B0C6E" w:rsidRPr="0036087F" w:rsidRDefault="004B0C6E" w:rsidP="009A5347">
      <w:pPr>
        <w:spacing w:after="0" w:line="240" w:lineRule="auto"/>
        <w:jc w:val="both"/>
        <w:rPr>
          <w:rFonts w:ascii="Arial" w:hAnsi="Arial" w:cs="Arial"/>
          <w:b/>
          <w:caps/>
          <w:sz w:val="24"/>
          <w:szCs w:val="24"/>
        </w:rPr>
      </w:pPr>
      <w:r w:rsidRPr="0036087F">
        <w:rPr>
          <w:rFonts w:ascii="Arial" w:hAnsi="Arial" w:cs="Arial"/>
          <w:b/>
          <w:caps/>
          <w:sz w:val="24"/>
          <w:szCs w:val="24"/>
        </w:rPr>
        <w:t>Representante a la Cámara por el Departamento del Huila</w:t>
      </w:r>
    </w:p>
    <w:p w:rsidR="009A5347" w:rsidRPr="0036087F" w:rsidRDefault="009A5347" w:rsidP="009A5347">
      <w:pPr>
        <w:spacing w:after="0" w:line="240" w:lineRule="auto"/>
        <w:jc w:val="both"/>
        <w:rPr>
          <w:rFonts w:ascii="Arial" w:hAnsi="Arial" w:cs="Arial"/>
          <w:b/>
          <w:caps/>
          <w:sz w:val="24"/>
          <w:szCs w:val="24"/>
        </w:rPr>
      </w:pPr>
    </w:p>
    <w:p w:rsidR="00B217E2" w:rsidRPr="006C5A60" w:rsidRDefault="00B217E2" w:rsidP="006C5A60">
      <w:pPr>
        <w:spacing w:after="0" w:line="240" w:lineRule="auto"/>
        <w:jc w:val="both"/>
        <w:rPr>
          <w:rFonts w:ascii="Arial" w:hAnsi="Arial" w:cs="Arial"/>
          <w:sz w:val="24"/>
          <w:szCs w:val="24"/>
        </w:rPr>
      </w:pPr>
    </w:p>
    <w:sectPr w:rsidR="00B217E2" w:rsidRPr="006C5A60" w:rsidSect="00EE5A6D">
      <w:pgSz w:w="12240" w:h="15840" w:code="1"/>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6025"/>
    <w:multiLevelType w:val="multilevel"/>
    <w:tmpl w:val="5E78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27014"/>
    <w:multiLevelType w:val="multilevel"/>
    <w:tmpl w:val="FB46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11C90"/>
    <w:multiLevelType w:val="multilevel"/>
    <w:tmpl w:val="E3D6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7862D7"/>
    <w:multiLevelType w:val="multilevel"/>
    <w:tmpl w:val="578E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3B6FE6"/>
    <w:multiLevelType w:val="hybridMultilevel"/>
    <w:tmpl w:val="15DCDF8C"/>
    <w:lvl w:ilvl="0" w:tplc="55609A9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60"/>
    <w:rsid w:val="00194E09"/>
    <w:rsid w:val="00201108"/>
    <w:rsid w:val="002D3511"/>
    <w:rsid w:val="0036087F"/>
    <w:rsid w:val="003D44BD"/>
    <w:rsid w:val="004B0C6E"/>
    <w:rsid w:val="00531ABE"/>
    <w:rsid w:val="005B7F86"/>
    <w:rsid w:val="005F0B3C"/>
    <w:rsid w:val="006C5A60"/>
    <w:rsid w:val="008C320D"/>
    <w:rsid w:val="00963D08"/>
    <w:rsid w:val="009A5347"/>
    <w:rsid w:val="00B217E2"/>
    <w:rsid w:val="00BC789A"/>
    <w:rsid w:val="00E302D2"/>
    <w:rsid w:val="00EE5A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476"/>
  <w15:chartTrackingRefBased/>
  <w15:docId w15:val="{F79BE721-EFE5-4748-901A-9C679259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44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4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273111">
      <w:bodyDiv w:val="1"/>
      <w:marLeft w:val="0"/>
      <w:marRight w:val="0"/>
      <w:marTop w:val="0"/>
      <w:marBottom w:val="0"/>
      <w:divBdr>
        <w:top w:val="none" w:sz="0" w:space="0" w:color="auto"/>
        <w:left w:val="none" w:sz="0" w:space="0" w:color="auto"/>
        <w:bottom w:val="none" w:sz="0" w:space="0" w:color="auto"/>
        <w:right w:val="none" w:sz="0" w:space="0" w:color="auto"/>
      </w:divBdr>
      <w:divsChild>
        <w:div w:id="965238029">
          <w:marLeft w:val="0"/>
          <w:marRight w:val="0"/>
          <w:marTop w:val="0"/>
          <w:marBottom w:val="0"/>
          <w:divBdr>
            <w:top w:val="none" w:sz="0" w:space="0" w:color="auto"/>
            <w:left w:val="none" w:sz="0" w:space="0" w:color="auto"/>
            <w:bottom w:val="none" w:sz="0" w:space="0" w:color="auto"/>
            <w:right w:val="none" w:sz="0" w:space="0" w:color="auto"/>
          </w:divBdr>
        </w:div>
        <w:div w:id="1578200061">
          <w:marLeft w:val="0"/>
          <w:marRight w:val="0"/>
          <w:marTop w:val="0"/>
          <w:marBottom w:val="0"/>
          <w:divBdr>
            <w:top w:val="none" w:sz="0" w:space="0" w:color="auto"/>
            <w:left w:val="none" w:sz="0" w:space="0" w:color="auto"/>
            <w:bottom w:val="none" w:sz="0" w:space="0" w:color="auto"/>
            <w:right w:val="none" w:sz="0" w:space="0" w:color="auto"/>
          </w:divBdr>
        </w:div>
        <w:div w:id="2028099450">
          <w:marLeft w:val="0"/>
          <w:marRight w:val="0"/>
          <w:marTop w:val="0"/>
          <w:marBottom w:val="0"/>
          <w:divBdr>
            <w:top w:val="none" w:sz="0" w:space="0" w:color="auto"/>
            <w:left w:val="none" w:sz="0" w:space="0" w:color="auto"/>
            <w:bottom w:val="none" w:sz="0" w:space="0" w:color="auto"/>
            <w:right w:val="none" w:sz="0" w:space="0" w:color="auto"/>
          </w:divBdr>
        </w:div>
        <w:div w:id="306205767">
          <w:marLeft w:val="0"/>
          <w:marRight w:val="0"/>
          <w:marTop w:val="0"/>
          <w:marBottom w:val="0"/>
          <w:divBdr>
            <w:top w:val="none" w:sz="0" w:space="0" w:color="auto"/>
            <w:left w:val="none" w:sz="0" w:space="0" w:color="auto"/>
            <w:bottom w:val="none" w:sz="0" w:space="0" w:color="auto"/>
            <w:right w:val="none" w:sz="0" w:space="0" w:color="auto"/>
          </w:divBdr>
        </w:div>
        <w:div w:id="1407142971">
          <w:marLeft w:val="0"/>
          <w:marRight w:val="0"/>
          <w:marTop w:val="0"/>
          <w:marBottom w:val="0"/>
          <w:divBdr>
            <w:top w:val="none" w:sz="0" w:space="0" w:color="auto"/>
            <w:left w:val="none" w:sz="0" w:space="0" w:color="auto"/>
            <w:bottom w:val="none" w:sz="0" w:space="0" w:color="auto"/>
            <w:right w:val="none" w:sz="0" w:space="0" w:color="auto"/>
          </w:divBdr>
        </w:div>
        <w:div w:id="144519629">
          <w:marLeft w:val="0"/>
          <w:marRight w:val="0"/>
          <w:marTop w:val="0"/>
          <w:marBottom w:val="0"/>
          <w:divBdr>
            <w:top w:val="none" w:sz="0" w:space="0" w:color="auto"/>
            <w:left w:val="none" w:sz="0" w:space="0" w:color="auto"/>
            <w:bottom w:val="none" w:sz="0" w:space="0" w:color="auto"/>
            <w:right w:val="none" w:sz="0" w:space="0" w:color="auto"/>
          </w:divBdr>
        </w:div>
        <w:div w:id="543717647">
          <w:marLeft w:val="0"/>
          <w:marRight w:val="0"/>
          <w:marTop w:val="0"/>
          <w:marBottom w:val="0"/>
          <w:divBdr>
            <w:top w:val="none" w:sz="0" w:space="0" w:color="auto"/>
            <w:left w:val="none" w:sz="0" w:space="0" w:color="auto"/>
            <w:bottom w:val="none" w:sz="0" w:space="0" w:color="auto"/>
            <w:right w:val="none" w:sz="0" w:space="0" w:color="auto"/>
          </w:divBdr>
        </w:div>
        <w:div w:id="1547985529">
          <w:marLeft w:val="0"/>
          <w:marRight w:val="0"/>
          <w:marTop w:val="0"/>
          <w:marBottom w:val="0"/>
          <w:divBdr>
            <w:top w:val="none" w:sz="0" w:space="0" w:color="auto"/>
            <w:left w:val="none" w:sz="0" w:space="0" w:color="auto"/>
            <w:bottom w:val="none" w:sz="0" w:space="0" w:color="auto"/>
            <w:right w:val="none" w:sz="0" w:space="0" w:color="auto"/>
          </w:divBdr>
        </w:div>
        <w:div w:id="1870601614">
          <w:marLeft w:val="0"/>
          <w:marRight w:val="0"/>
          <w:marTop w:val="0"/>
          <w:marBottom w:val="0"/>
          <w:divBdr>
            <w:top w:val="none" w:sz="0" w:space="0" w:color="auto"/>
            <w:left w:val="none" w:sz="0" w:space="0" w:color="auto"/>
            <w:bottom w:val="none" w:sz="0" w:space="0" w:color="auto"/>
            <w:right w:val="none" w:sz="0" w:space="0" w:color="auto"/>
          </w:divBdr>
        </w:div>
        <w:div w:id="1935820967">
          <w:marLeft w:val="0"/>
          <w:marRight w:val="0"/>
          <w:marTop w:val="0"/>
          <w:marBottom w:val="0"/>
          <w:divBdr>
            <w:top w:val="none" w:sz="0" w:space="0" w:color="auto"/>
            <w:left w:val="none" w:sz="0" w:space="0" w:color="auto"/>
            <w:bottom w:val="none" w:sz="0" w:space="0" w:color="auto"/>
            <w:right w:val="none" w:sz="0" w:space="0" w:color="auto"/>
          </w:divBdr>
        </w:div>
        <w:div w:id="1069229926">
          <w:marLeft w:val="0"/>
          <w:marRight w:val="0"/>
          <w:marTop w:val="0"/>
          <w:marBottom w:val="0"/>
          <w:divBdr>
            <w:top w:val="none" w:sz="0" w:space="0" w:color="auto"/>
            <w:left w:val="none" w:sz="0" w:space="0" w:color="auto"/>
            <w:bottom w:val="none" w:sz="0" w:space="0" w:color="auto"/>
            <w:right w:val="none" w:sz="0" w:space="0" w:color="auto"/>
          </w:divBdr>
        </w:div>
        <w:div w:id="2008050784">
          <w:marLeft w:val="0"/>
          <w:marRight w:val="0"/>
          <w:marTop w:val="0"/>
          <w:marBottom w:val="0"/>
          <w:divBdr>
            <w:top w:val="none" w:sz="0" w:space="0" w:color="auto"/>
            <w:left w:val="none" w:sz="0" w:space="0" w:color="auto"/>
            <w:bottom w:val="none" w:sz="0" w:space="0" w:color="auto"/>
            <w:right w:val="none" w:sz="0" w:space="0" w:color="auto"/>
          </w:divBdr>
        </w:div>
        <w:div w:id="1137727371">
          <w:marLeft w:val="0"/>
          <w:marRight w:val="0"/>
          <w:marTop w:val="0"/>
          <w:marBottom w:val="0"/>
          <w:divBdr>
            <w:top w:val="none" w:sz="0" w:space="0" w:color="auto"/>
            <w:left w:val="none" w:sz="0" w:space="0" w:color="auto"/>
            <w:bottom w:val="none" w:sz="0" w:space="0" w:color="auto"/>
            <w:right w:val="none" w:sz="0" w:space="0" w:color="auto"/>
          </w:divBdr>
        </w:div>
        <w:div w:id="185103975">
          <w:marLeft w:val="0"/>
          <w:marRight w:val="0"/>
          <w:marTop w:val="0"/>
          <w:marBottom w:val="0"/>
          <w:divBdr>
            <w:top w:val="none" w:sz="0" w:space="0" w:color="auto"/>
            <w:left w:val="none" w:sz="0" w:space="0" w:color="auto"/>
            <w:bottom w:val="none" w:sz="0" w:space="0" w:color="auto"/>
            <w:right w:val="none" w:sz="0" w:space="0" w:color="auto"/>
          </w:divBdr>
        </w:div>
        <w:div w:id="1977753231">
          <w:marLeft w:val="0"/>
          <w:marRight w:val="0"/>
          <w:marTop w:val="0"/>
          <w:marBottom w:val="0"/>
          <w:divBdr>
            <w:top w:val="none" w:sz="0" w:space="0" w:color="auto"/>
            <w:left w:val="none" w:sz="0" w:space="0" w:color="auto"/>
            <w:bottom w:val="none" w:sz="0" w:space="0" w:color="auto"/>
            <w:right w:val="none" w:sz="0" w:space="0" w:color="auto"/>
          </w:divBdr>
        </w:div>
        <w:div w:id="1400206291">
          <w:marLeft w:val="0"/>
          <w:marRight w:val="0"/>
          <w:marTop w:val="0"/>
          <w:marBottom w:val="0"/>
          <w:divBdr>
            <w:top w:val="none" w:sz="0" w:space="0" w:color="auto"/>
            <w:left w:val="none" w:sz="0" w:space="0" w:color="auto"/>
            <w:bottom w:val="none" w:sz="0" w:space="0" w:color="auto"/>
            <w:right w:val="none" w:sz="0" w:space="0" w:color="auto"/>
          </w:divBdr>
        </w:div>
        <w:div w:id="493839678">
          <w:marLeft w:val="0"/>
          <w:marRight w:val="0"/>
          <w:marTop w:val="0"/>
          <w:marBottom w:val="0"/>
          <w:divBdr>
            <w:top w:val="none" w:sz="0" w:space="0" w:color="auto"/>
            <w:left w:val="none" w:sz="0" w:space="0" w:color="auto"/>
            <w:bottom w:val="none" w:sz="0" w:space="0" w:color="auto"/>
            <w:right w:val="none" w:sz="0" w:space="0" w:color="auto"/>
          </w:divBdr>
        </w:div>
        <w:div w:id="558171355">
          <w:marLeft w:val="0"/>
          <w:marRight w:val="0"/>
          <w:marTop w:val="0"/>
          <w:marBottom w:val="0"/>
          <w:divBdr>
            <w:top w:val="none" w:sz="0" w:space="0" w:color="auto"/>
            <w:left w:val="none" w:sz="0" w:space="0" w:color="auto"/>
            <w:bottom w:val="none" w:sz="0" w:space="0" w:color="auto"/>
            <w:right w:val="none" w:sz="0" w:space="0" w:color="auto"/>
          </w:divBdr>
        </w:div>
        <w:div w:id="1450080204">
          <w:marLeft w:val="0"/>
          <w:marRight w:val="0"/>
          <w:marTop w:val="0"/>
          <w:marBottom w:val="0"/>
          <w:divBdr>
            <w:top w:val="none" w:sz="0" w:space="0" w:color="auto"/>
            <w:left w:val="none" w:sz="0" w:space="0" w:color="auto"/>
            <w:bottom w:val="none" w:sz="0" w:space="0" w:color="auto"/>
            <w:right w:val="none" w:sz="0" w:space="0" w:color="auto"/>
          </w:divBdr>
        </w:div>
        <w:div w:id="2144302469">
          <w:marLeft w:val="0"/>
          <w:marRight w:val="0"/>
          <w:marTop w:val="0"/>
          <w:marBottom w:val="0"/>
          <w:divBdr>
            <w:top w:val="none" w:sz="0" w:space="0" w:color="auto"/>
            <w:left w:val="none" w:sz="0" w:space="0" w:color="auto"/>
            <w:bottom w:val="none" w:sz="0" w:space="0" w:color="auto"/>
            <w:right w:val="none" w:sz="0" w:space="0" w:color="auto"/>
          </w:divBdr>
        </w:div>
        <w:div w:id="528252859">
          <w:marLeft w:val="0"/>
          <w:marRight w:val="0"/>
          <w:marTop w:val="0"/>
          <w:marBottom w:val="0"/>
          <w:divBdr>
            <w:top w:val="none" w:sz="0" w:space="0" w:color="auto"/>
            <w:left w:val="none" w:sz="0" w:space="0" w:color="auto"/>
            <w:bottom w:val="none" w:sz="0" w:space="0" w:color="auto"/>
            <w:right w:val="none" w:sz="0" w:space="0" w:color="auto"/>
          </w:divBdr>
        </w:div>
        <w:div w:id="1342732514">
          <w:marLeft w:val="0"/>
          <w:marRight w:val="0"/>
          <w:marTop w:val="0"/>
          <w:marBottom w:val="0"/>
          <w:divBdr>
            <w:top w:val="none" w:sz="0" w:space="0" w:color="auto"/>
            <w:left w:val="none" w:sz="0" w:space="0" w:color="auto"/>
            <w:bottom w:val="none" w:sz="0" w:space="0" w:color="auto"/>
            <w:right w:val="none" w:sz="0" w:space="0" w:color="auto"/>
          </w:divBdr>
        </w:div>
        <w:div w:id="646545107">
          <w:marLeft w:val="0"/>
          <w:marRight w:val="0"/>
          <w:marTop w:val="0"/>
          <w:marBottom w:val="0"/>
          <w:divBdr>
            <w:top w:val="none" w:sz="0" w:space="0" w:color="auto"/>
            <w:left w:val="none" w:sz="0" w:space="0" w:color="auto"/>
            <w:bottom w:val="none" w:sz="0" w:space="0" w:color="auto"/>
            <w:right w:val="none" w:sz="0" w:space="0" w:color="auto"/>
          </w:divBdr>
        </w:div>
        <w:div w:id="323241843">
          <w:marLeft w:val="0"/>
          <w:marRight w:val="0"/>
          <w:marTop w:val="0"/>
          <w:marBottom w:val="0"/>
          <w:divBdr>
            <w:top w:val="none" w:sz="0" w:space="0" w:color="auto"/>
            <w:left w:val="none" w:sz="0" w:space="0" w:color="auto"/>
            <w:bottom w:val="none" w:sz="0" w:space="0" w:color="auto"/>
            <w:right w:val="none" w:sz="0" w:space="0" w:color="auto"/>
          </w:divBdr>
        </w:div>
        <w:div w:id="582187019">
          <w:marLeft w:val="0"/>
          <w:marRight w:val="0"/>
          <w:marTop w:val="0"/>
          <w:marBottom w:val="0"/>
          <w:divBdr>
            <w:top w:val="none" w:sz="0" w:space="0" w:color="auto"/>
            <w:left w:val="none" w:sz="0" w:space="0" w:color="auto"/>
            <w:bottom w:val="none" w:sz="0" w:space="0" w:color="auto"/>
            <w:right w:val="none" w:sz="0" w:space="0" w:color="auto"/>
          </w:divBdr>
        </w:div>
        <w:div w:id="1611625981">
          <w:marLeft w:val="0"/>
          <w:marRight w:val="0"/>
          <w:marTop w:val="0"/>
          <w:marBottom w:val="0"/>
          <w:divBdr>
            <w:top w:val="none" w:sz="0" w:space="0" w:color="auto"/>
            <w:left w:val="none" w:sz="0" w:space="0" w:color="auto"/>
            <w:bottom w:val="none" w:sz="0" w:space="0" w:color="auto"/>
            <w:right w:val="none" w:sz="0" w:space="0" w:color="auto"/>
          </w:divBdr>
        </w:div>
        <w:div w:id="196432785">
          <w:marLeft w:val="0"/>
          <w:marRight w:val="0"/>
          <w:marTop w:val="0"/>
          <w:marBottom w:val="0"/>
          <w:divBdr>
            <w:top w:val="none" w:sz="0" w:space="0" w:color="auto"/>
            <w:left w:val="none" w:sz="0" w:space="0" w:color="auto"/>
            <w:bottom w:val="none" w:sz="0" w:space="0" w:color="auto"/>
            <w:right w:val="none" w:sz="0" w:space="0" w:color="auto"/>
          </w:divBdr>
        </w:div>
        <w:div w:id="357122660">
          <w:marLeft w:val="0"/>
          <w:marRight w:val="0"/>
          <w:marTop w:val="0"/>
          <w:marBottom w:val="0"/>
          <w:divBdr>
            <w:top w:val="none" w:sz="0" w:space="0" w:color="auto"/>
            <w:left w:val="none" w:sz="0" w:space="0" w:color="auto"/>
            <w:bottom w:val="none" w:sz="0" w:space="0" w:color="auto"/>
            <w:right w:val="none" w:sz="0" w:space="0" w:color="auto"/>
          </w:divBdr>
        </w:div>
        <w:div w:id="2051610280">
          <w:marLeft w:val="0"/>
          <w:marRight w:val="0"/>
          <w:marTop w:val="0"/>
          <w:marBottom w:val="0"/>
          <w:divBdr>
            <w:top w:val="none" w:sz="0" w:space="0" w:color="auto"/>
            <w:left w:val="none" w:sz="0" w:space="0" w:color="auto"/>
            <w:bottom w:val="none" w:sz="0" w:space="0" w:color="auto"/>
            <w:right w:val="none" w:sz="0" w:space="0" w:color="auto"/>
          </w:divBdr>
        </w:div>
        <w:div w:id="737946696">
          <w:marLeft w:val="0"/>
          <w:marRight w:val="0"/>
          <w:marTop w:val="0"/>
          <w:marBottom w:val="0"/>
          <w:divBdr>
            <w:top w:val="none" w:sz="0" w:space="0" w:color="auto"/>
            <w:left w:val="none" w:sz="0" w:space="0" w:color="auto"/>
            <w:bottom w:val="none" w:sz="0" w:space="0" w:color="auto"/>
            <w:right w:val="none" w:sz="0" w:space="0" w:color="auto"/>
          </w:divBdr>
        </w:div>
        <w:div w:id="1558275980">
          <w:marLeft w:val="0"/>
          <w:marRight w:val="0"/>
          <w:marTop w:val="0"/>
          <w:marBottom w:val="0"/>
          <w:divBdr>
            <w:top w:val="none" w:sz="0" w:space="0" w:color="auto"/>
            <w:left w:val="none" w:sz="0" w:space="0" w:color="auto"/>
            <w:bottom w:val="none" w:sz="0" w:space="0" w:color="auto"/>
            <w:right w:val="none" w:sz="0" w:space="0" w:color="auto"/>
          </w:divBdr>
        </w:div>
        <w:div w:id="2118938039">
          <w:marLeft w:val="0"/>
          <w:marRight w:val="0"/>
          <w:marTop w:val="0"/>
          <w:marBottom w:val="0"/>
          <w:divBdr>
            <w:top w:val="none" w:sz="0" w:space="0" w:color="auto"/>
            <w:left w:val="none" w:sz="0" w:space="0" w:color="auto"/>
            <w:bottom w:val="none" w:sz="0" w:space="0" w:color="auto"/>
            <w:right w:val="none" w:sz="0" w:space="0" w:color="auto"/>
          </w:divBdr>
        </w:div>
        <w:div w:id="517889232">
          <w:marLeft w:val="0"/>
          <w:marRight w:val="0"/>
          <w:marTop w:val="0"/>
          <w:marBottom w:val="0"/>
          <w:divBdr>
            <w:top w:val="none" w:sz="0" w:space="0" w:color="auto"/>
            <w:left w:val="none" w:sz="0" w:space="0" w:color="auto"/>
            <w:bottom w:val="none" w:sz="0" w:space="0" w:color="auto"/>
            <w:right w:val="none" w:sz="0" w:space="0" w:color="auto"/>
          </w:divBdr>
        </w:div>
        <w:div w:id="51661357">
          <w:marLeft w:val="0"/>
          <w:marRight w:val="0"/>
          <w:marTop w:val="0"/>
          <w:marBottom w:val="0"/>
          <w:divBdr>
            <w:top w:val="none" w:sz="0" w:space="0" w:color="auto"/>
            <w:left w:val="none" w:sz="0" w:space="0" w:color="auto"/>
            <w:bottom w:val="none" w:sz="0" w:space="0" w:color="auto"/>
            <w:right w:val="none" w:sz="0" w:space="0" w:color="auto"/>
          </w:divBdr>
        </w:div>
        <w:div w:id="185160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1879</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osorio</dc:creator>
  <cp:keywords/>
  <dc:description/>
  <cp:lastModifiedBy>CONTRATISTA CS. SECRETARIA GENERAL</cp:lastModifiedBy>
  <cp:revision>16</cp:revision>
  <cp:lastPrinted>2018-06-07T19:28:00Z</cp:lastPrinted>
  <dcterms:created xsi:type="dcterms:W3CDTF">2018-06-05T21:17:00Z</dcterms:created>
  <dcterms:modified xsi:type="dcterms:W3CDTF">2018-06-07T19:31:00Z</dcterms:modified>
</cp:coreProperties>
</file>