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AE" w:rsidRPr="00606EAE" w:rsidRDefault="00606EAE" w:rsidP="00A91361">
      <w:pPr>
        <w:spacing w:line="276" w:lineRule="auto"/>
        <w:jc w:val="both"/>
        <w:rPr>
          <w:rFonts w:eastAsia="Calibri"/>
          <w:i/>
          <w:sz w:val="20"/>
          <w:lang w:val="es-CO"/>
        </w:rPr>
      </w:pPr>
    </w:p>
    <w:p w:rsidR="00606EAE" w:rsidRPr="00606EAE" w:rsidRDefault="00D83F92" w:rsidP="00D83F92">
      <w:pPr>
        <w:spacing w:line="276" w:lineRule="auto"/>
        <w:jc w:val="center"/>
        <w:rPr>
          <w:rFonts w:eastAsia="Calibri"/>
          <w:b/>
          <w:i/>
        </w:rPr>
      </w:pPr>
      <w:r w:rsidRPr="00E8718E">
        <w:rPr>
          <w:rFonts w:eastAsia="Calibri"/>
          <w:b/>
          <w:i/>
          <w:iCs/>
          <w:lang w:val="es-ES_tradnl"/>
        </w:rPr>
        <w:t>Proyecto de ley _</w:t>
      </w:r>
      <w:r>
        <w:rPr>
          <w:rFonts w:eastAsia="Calibri"/>
          <w:b/>
          <w:i/>
          <w:iCs/>
          <w:lang w:val="es-ES_tradnl"/>
        </w:rPr>
        <w:t>___</w:t>
      </w:r>
      <w:r w:rsidRPr="00E8718E">
        <w:rPr>
          <w:rFonts w:eastAsia="Calibri"/>
          <w:b/>
          <w:i/>
          <w:iCs/>
          <w:lang w:val="es-ES_tradnl"/>
        </w:rPr>
        <w:t>____</w:t>
      </w:r>
      <w:r>
        <w:rPr>
          <w:rFonts w:eastAsia="Calibri"/>
          <w:b/>
          <w:i/>
          <w:iCs/>
          <w:lang w:val="es-ES_tradnl"/>
        </w:rPr>
        <w:t xml:space="preserve"> de 2018 Cámara</w:t>
      </w:r>
    </w:p>
    <w:p w:rsidR="00606EAE" w:rsidRPr="00606EAE" w:rsidRDefault="00606EAE" w:rsidP="00A91361">
      <w:pPr>
        <w:spacing w:line="276" w:lineRule="auto"/>
        <w:jc w:val="both"/>
        <w:rPr>
          <w:rFonts w:eastAsia="Calibri"/>
          <w:i/>
          <w:sz w:val="20"/>
          <w:lang w:val="es-CO"/>
        </w:rPr>
      </w:pPr>
    </w:p>
    <w:p w:rsidR="00E8718E" w:rsidRDefault="00D83F92" w:rsidP="00D83F92">
      <w:pPr>
        <w:spacing w:line="276" w:lineRule="auto"/>
        <w:jc w:val="center"/>
        <w:rPr>
          <w:rFonts w:eastAsia="Calibri"/>
          <w:b/>
          <w:i/>
          <w:iCs/>
          <w:lang w:val="es-ES_tradnl"/>
        </w:rPr>
      </w:pPr>
      <w:r>
        <w:rPr>
          <w:rFonts w:eastAsia="Calibri"/>
          <w:b/>
          <w:i/>
          <w:iCs/>
          <w:lang w:val="es-ES_tradnl"/>
        </w:rPr>
        <w:t>“</w:t>
      </w:r>
      <w:r w:rsidRPr="00E8718E">
        <w:rPr>
          <w:rFonts w:eastAsia="Calibri"/>
          <w:b/>
          <w:i/>
          <w:iCs/>
          <w:lang w:val="es-ES_tradnl"/>
        </w:rPr>
        <w:t>POR MEDIO DEL CUAL SE ESTABLECE LA COMPARECENCIA OBLIGATORIA COMO PERITOS DE LOS TRIBUNALES DE ÉTICA DE LAS DIFERENTES PROFESIONES DE LAS CIENCIAS DE LA SA</w:t>
      </w:r>
      <w:bookmarkStart w:id="0" w:name="_GoBack"/>
      <w:bookmarkEnd w:id="0"/>
      <w:r w:rsidRPr="00E8718E">
        <w:rPr>
          <w:rFonts w:eastAsia="Calibri"/>
          <w:b/>
          <w:i/>
          <w:iCs/>
          <w:lang w:val="es-ES_tradnl"/>
        </w:rPr>
        <w:t>LUD EN PROCESOS PENALES Y DE RESPONSABILIDAD CIVIL Y SE DICTAN OTRAS DISPOSICIONES</w:t>
      </w:r>
      <w:r>
        <w:rPr>
          <w:rFonts w:eastAsia="Calibri"/>
          <w:b/>
          <w:i/>
          <w:iCs/>
          <w:lang w:val="es-ES_tradnl"/>
        </w:rPr>
        <w:t>”</w:t>
      </w:r>
      <w:r w:rsidR="00E8718E" w:rsidRPr="00E8718E">
        <w:rPr>
          <w:rFonts w:eastAsia="Calibri"/>
          <w:b/>
          <w:i/>
          <w:iCs/>
          <w:lang w:val="es-ES_tradnl"/>
        </w:rPr>
        <w:t>.</w:t>
      </w:r>
    </w:p>
    <w:p w:rsidR="00E8718E" w:rsidRPr="00E8718E" w:rsidRDefault="00E8718E" w:rsidP="00E8718E">
      <w:pPr>
        <w:spacing w:line="276" w:lineRule="auto"/>
        <w:jc w:val="both"/>
        <w:rPr>
          <w:rFonts w:eastAsia="Calibri"/>
          <w:b/>
          <w:i/>
          <w:iCs/>
          <w:lang w:val="es-CO"/>
        </w:rPr>
      </w:pPr>
    </w:p>
    <w:p w:rsidR="00E8718E" w:rsidRPr="00E8718E" w:rsidRDefault="00E8718E" w:rsidP="00E8718E">
      <w:pPr>
        <w:spacing w:line="276" w:lineRule="auto"/>
        <w:jc w:val="center"/>
        <w:rPr>
          <w:rFonts w:eastAsia="Calibri"/>
          <w:b/>
          <w:lang w:val="es-ES_tradnl"/>
        </w:rPr>
      </w:pPr>
      <w:r w:rsidRPr="00E8718E">
        <w:rPr>
          <w:rFonts w:eastAsia="Calibri"/>
          <w:b/>
          <w:lang w:val="es-ES_tradnl"/>
        </w:rPr>
        <w:t>El Congreso de Colombia,</w:t>
      </w:r>
    </w:p>
    <w:p w:rsidR="00E8718E" w:rsidRPr="00E8718E" w:rsidRDefault="00D83F92" w:rsidP="00E8718E">
      <w:pPr>
        <w:spacing w:line="276" w:lineRule="auto"/>
        <w:jc w:val="center"/>
        <w:rPr>
          <w:rFonts w:eastAsia="Calibri"/>
          <w:b/>
          <w:lang w:val="es-ES_tradnl"/>
        </w:rPr>
      </w:pPr>
      <w:r>
        <w:rPr>
          <w:rFonts w:eastAsia="Calibri"/>
          <w:b/>
          <w:lang w:val="es-ES_tradnl"/>
        </w:rPr>
        <w:t>DECRETA:</w:t>
      </w:r>
    </w:p>
    <w:p w:rsidR="00E8718E" w:rsidRPr="00E8718E" w:rsidRDefault="00E8718E" w:rsidP="00E8718E">
      <w:pPr>
        <w:spacing w:line="276" w:lineRule="auto"/>
        <w:jc w:val="both"/>
        <w:rPr>
          <w:rFonts w:eastAsia="Calibri"/>
          <w:b/>
          <w:lang w:val="es-ES_tradnl"/>
        </w:rPr>
      </w:pPr>
    </w:p>
    <w:p w:rsidR="00E8718E" w:rsidRPr="00E8718E" w:rsidRDefault="00E8718E" w:rsidP="00E8718E">
      <w:pPr>
        <w:spacing w:line="276" w:lineRule="auto"/>
        <w:jc w:val="both"/>
        <w:rPr>
          <w:rFonts w:eastAsia="Calibri"/>
          <w:lang w:val="es-ES_tradnl"/>
        </w:rPr>
      </w:pPr>
      <w:r w:rsidRPr="00E8718E">
        <w:rPr>
          <w:rFonts w:eastAsia="Calibri"/>
          <w:b/>
          <w:lang w:val="es-ES_tradnl"/>
        </w:rPr>
        <w:t>Artículo 1.</w:t>
      </w:r>
      <w:r w:rsidRPr="00E8718E">
        <w:rPr>
          <w:rFonts w:eastAsia="Calibri"/>
          <w:lang w:val="es-ES_tradnl"/>
        </w:rPr>
        <w:t xml:space="preserve"> Objeto: La presente ley tiene por objeto reformar el código de procedimiento penal y el código general del proceso con el fin de establecer la comparecencia obligatoria, en calidad de peritos, de los tribunales de ética de las diferentes profesiones de las ciencias de la salud, en los procesos penales y de responsabilidad civil que se desarrollen contra los profesionales de las distintas áreas, en los cuales la acción penal o la demanda surja como consecuencia de su actuar profesional. </w:t>
      </w:r>
    </w:p>
    <w:p w:rsidR="00E8718E" w:rsidRPr="00E8718E" w:rsidRDefault="00E8718E" w:rsidP="00E8718E">
      <w:pPr>
        <w:spacing w:line="276" w:lineRule="auto"/>
        <w:jc w:val="both"/>
        <w:rPr>
          <w:rFonts w:eastAsia="Calibri"/>
          <w:lang w:val="es-ES_tradnl"/>
        </w:rPr>
      </w:pPr>
    </w:p>
    <w:p w:rsidR="00E8718E" w:rsidRPr="00E8718E" w:rsidRDefault="00E8718E" w:rsidP="00E8718E">
      <w:pPr>
        <w:spacing w:line="276" w:lineRule="auto"/>
        <w:jc w:val="both"/>
        <w:rPr>
          <w:rFonts w:eastAsia="Calibri"/>
          <w:lang w:val="es-ES_tradnl"/>
        </w:rPr>
      </w:pPr>
      <w:r w:rsidRPr="00E8718E">
        <w:rPr>
          <w:rFonts w:eastAsia="Calibri"/>
          <w:b/>
          <w:lang w:val="es-ES_tradnl"/>
        </w:rPr>
        <w:t>Artículo 2</w:t>
      </w:r>
      <w:r w:rsidRPr="00E8718E">
        <w:rPr>
          <w:rFonts w:eastAsia="Calibri"/>
          <w:lang w:val="es-ES_tradnl"/>
        </w:rPr>
        <w:t>. Adiciónese el siguiente parágrafo al Artículo 406 de la ley 906 de 2004 “</w:t>
      </w:r>
      <w:r w:rsidRPr="00E8718E">
        <w:rPr>
          <w:rFonts w:eastAsia="Calibri"/>
          <w:i/>
          <w:lang w:val="es-ES_tradnl"/>
        </w:rPr>
        <w:t>Por la cual se expide el Código de Procedimiento Penal</w:t>
      </w:r>
      <w:r w:rsidRPr="00E8718E">
        <w:rPr>
          <w:rFonts w:eastAsia="Calibri"/>
          <w:lang w:val="es-ES_tradnl"/>
        </w:rPr>
        <w:t>”</w:t>
      </w:r>
    </w:p>
    <w:p w:rsidR="00E8718E" w:rsidRPr="00E8718E" w:rsidRDefault="00E8718E" w:rsidP="00E8718E">
      <w:pPr>
        <w:spacing w:line="276" w:lineRule="auto"/>
        <w:jc w:val="both"/>
        <w:rPr>
          <w:rFonts w:eastAsia="Calibri"/>
          <w:lang w:val="es-ES_tradnl"/>
        </w:rPr>
      </w:pPr>
    </w:p>
    <w:p w:rsidR="00E8718E" w:rsidRPr="00E8718E" w:rsidRDefault="00E8718E" w:rsidP="00E8718E">
      <w:pPr>
        <w:spacing w:line="276" w:lineRule="auto"/>
        <w:jc w:val="both"/>
        <w:rPr>
          <w:rFonts w:eastAsia="Calibri"/>
          <w:lang w:val="es-ES_tradnl"/>
        </w:rPr>
      </w:pPr>
      <w:r w:rsidRPr="00E8718E">
        <w:rPr>
          <w:rFonts w:eastAsia="Calibri"/>
          <w:b/>
          <w:lang w:val="es-CO"/>
        </w:rPr>
        <w:t>“Parágrafo:</w:t>
      </w:r>
      <w:r w:rsidRPr="00E8718E">
        <w:rPr>
          <w:rFonts w:eastAsia="Calibri"/>
          <w:lang w:val="es-CO"/>
        </w:rPr>
        <w:t xml:space="preserve"> En los procesos penales que se desarrollen contra </w:t>
      </w:r>
      <w:r w:rsidRPr="00E8718E">
        <w:rPr>
          <w:rFonts w:eastAsia="Calibri"/>
          <w:lang w:val="es-ES_tradnl"/>
        </w:rPr>
        <w:t xml:space="preserve">los profesionales de las ciencias de la salud que cuenten con un tribunal de ética, en los cuales la acción penal surja como consecuencia del actuar profesional del procesado, el juez deberá obligatoriamente decretar la comparecencia de un miembro de los tribunales de ética de su jurisdicción, en calidad de peritos, con el fin de dotar de mayores elementos técnicos la decisión judicial, fungiendo como garantes de la observancia de la lex artis en el transcurso del proceso y suplir el conocimiento técnico que requiera el juez.” </w:t>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ES_tradnl"/>
        </w:rPr>
      </w:pPr>
      <w:r w:rsidRPr="00E8718E">
        <w:rPr>
          <w:rFonts w:eastAsia="Calibri"/>
          <w:b/>
          <w:lang w:val="es-CO"/>
        </w:rPr>
        <w:t>Artículo 3.</w:t>
      </w:r>
      <w:r w:rsidRPr="00E8718E">
        <w:rPr>
          <w:rFonts w:eastAsia="Calibri"/>
          <w:lang w:val="es-CO"/>
        </w:rPr>
        <w:t xml:space="preserve"> </w:t>
      </w:r>
      <w:r w:rsidRPr="00E8718E">
        <w:rPr>
          <w:rFonts w:eastAsia="Calibri"/>
          <w:lang w:val="es-ES_tradnl"/>
        </w:rPr>
        <w:t>Adiciónese el siguiente parágrafo al Artículo 48 de la ley 1564 de 2012 “</w:t>
      </w:r>
      <w:r w:rsidRPr="00E8718E">
        <w:rPr>
          <w:rFonts w:eastAsia="Calibri"/>
          <w:i/>
          <w:lang w:val="es-ES_tradnl"/>
        </w:rPr>
        <w:t>Por la cual se expide el Código General del Proceso y se dictan otras disposiciones”</w:t>
      </w:r>
    </w:p>
    <w:p w:rsidR="00E8718E" w:rsidRPr="00E8718E" w:rsidRDefault="00E8718E" w:rsidP="00E8718E">
      <w:pPr>
        <w:spacing w:line="276" w:lineRule="auto"/>
        <w:jc w:val="both"/>
        <w:rPr>
          <w:rFonts w:eastAsia="Calibri"/>
          <w:lang w:val="es-ES_tradnl"/>
        </w:rPr>
      </w:pPr>
    </w:p>
    <w:p w:rsidR="00E8718E" w:rsidRDefault="00E8718E" w:rsidP="00E8718E">
      <w:pPr>
        <w:spacing w:line="276" w:lineRule="auto"/>
        <w:jc w:val="both"/>
        <w:rPr>
          <w:rFonts w:eastAsia="Calibri"/>
          <w:lang w:val="es-ES_tradnl"/>
        </w:rPr>
      </w:pPr>
      <w:r w:rsidRPr="00E8718E">
        <w:rPr>
          <w:rFonts w:eastAsia="Calibri"/>
          <w:b/>
          <w:lang w:val="es-CO"/>
        </w:rPr>
        <w:t>“Parágrafo:</w:t>
      </w:r>
      <w:r w:rsidRPr="00E8718E">
        <w:rPr>
          <w:rFonts w:eastAsia="Calibri"/>
          <w:lang w:val="es-CO"/>
        </w:rPr>
        <w:t xml:space="preserve"> En los procesos de responsabilidad civil que se desarrollen contra </w:t>
      </w:r>
      <w:r w:rsidRPr="00E8718E">
        <w:rPr>
          <w:rFonts w:eastAsia="Calibri"/>
          <w:lang w:val="es-ES_tradnl"/>
        </w:rPr>
        <w:t xml:space="preserve">los profesionales de las ciencias de la salud que cuenten con un tribunal de ética, en los cuales la demanda surja como consecuencia del actuar profesional del procesado, el juez deberá obligatoriamente decretar la comparecencia de un miembro de los tribunales de ética de su jurisdicción, en calidad de peritos, con el fin de dotar de mayores elementos técnicos la </w:t>
      </w:r>
    </w:p>
    <w:p w:rsidR="00E8718E" w:rsidRDefault="00E8718E" w:rsidP="00E8718E">
      <w:pPr>
        <w:spacing w:line="276" w:lineRule="auto"/>
        <w:jc w:val="both"/>
        <w:rPr>
          <w:rFonts w:eastAsia="Calibri"/>
          <w:lang w:val="es-ES_tradnl"/>
        </w:rPr>
      </w:pPr>
    </w:p>
    <w:p w:rsidR="00E8718E" w:rsidRDefault="00E8718E" w:rsidP="00E8718E">
      <w:pPr>
        <w:spacing w:line="276" w:lineRule="auto"/>
        <w:jc w:val="both"/>
        <w:rPr>
          <w:rFonts w:eastAsia="Calibri"/>
          <w:lang w:val="es-ES_tradnl"/>
        </w:rPr>
      </w:pPr>
    </w:p>
    <w:p w:rsidR="00E8718E" w:rsidRPr="00E8718E" w:rsidRDefault="00E8718E" w:rsidP="00E8718E">
      <w:pPr>
        <w:spacing w:line="276" w:lineRule="auto"/>
        <w:jc w:val="both"/>
        <w:rPr>
          <w:rFonts w:eastAsia="Calibri"/>
          <w:lang w:val="es-ES_tradnl"/>
        </w:rPr>
      </w:pPr>
      <w:r w:rsidRPr="00E8718E">
        <w:rPr>
          <w:rFonts w:eastAsia="Calibri"/>
          <w:lang w:val="es-ES_tradnl"/>
        </w:rPr>
        <w:lastRenderedPageBreak/>
        <w:t xml:space="preserve">decisión judicial, fungiendo como garantes de la observancia de la lex artis en el transcurso del proceso y suplir el conocimiento técnico que requiera el juez.” </w:t>
      </w:r>
    </w:p>
    <w:p w:rsidR="00E8718E" w:rsidRPr="00E8718E" w:rsidRDefault="00E8718E" w:rsidP="00E8718E">
      <w:pPr>
        <w:spacing w:line="276" w:lineRule="auto"/>
        <w:jc w:val="both"/>
        <w:rPr>
          <w:rFonts w:eastAsia="Calibri"/>
          <w:lang w:val="es-ES_tradnl"/>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ES_tradnl"/>
        </w:rPr>
      </w:pPr>
      <w:r w:rsidRPr="00E8718E">
        <w:rPr>
          <w:rFonts w:eastAsia="Calibri"/>
          <w:b/>
          <w:lang w:val="es-CO"/>
        </w:rPr>
        <w:t>Artículo 4.</w:t>
      </w:r>
      <w:r w:rsidRPr="00E8718E">
        <w:rPr>
          <w:rFonts w:eastAsia="Calibri"/>
          <w:lang w:val="es-CO"/>
        </w:rPr>
        <w:t xml:space="preserve"> Para garantizar la correcta comparecencia de los </w:t>
      </w:r>
      <w:r w:rsidRPr="00E8718E">
        <w:rPr>
          <w:rFonts w:eastAsia="Calibri"/>
          <w:lang w:val="es-ES_tradnl"/>
        </w:rPr>
        <w:t>tribunales de ética en calidad de peritos en los procesos penales y de responsabilidad civil enunciados previamente, el Estado proveerá los recursos y medios técnicos, humanos y financieros necesarios para el fortalecimiento de la acción general de los tribunales y en particular para la comparecencia técnica de los mismos en los procesos judiciales.</w:t>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ES_tradnl"/>
        </w:rPr>
      </w:pPr>
      <w:r w:rsidRPr="00E8718E">
        <w:rPr>
          <w:rFonts w:eastAsia="Calibri"/>
          <w:b/>
          <w:lang w:val="es-CO"/>
        </w:rPr>
        <w:t>Artículo 5.</w:t>
      </w:r>
      <w:r w:rsidRPr="00E8718E">
        <w:rPr>
          <w:rFonts w:eastAsia="Calibri"/>
          <w:lang w:val="es-CO"/>
        </w:rPr>
        <w:t xml:space="preserve"> </w:t>
      </w:r>
      <w:r w:rsidRPr="00E8718E">
        <w:rPr>
          <w:rFonts w:eastAsia="Calibri"/>
          <w:lang w:val="es-ES_tradnl"/>
        </w:rPr>
        <w:t xml:space="preserve">Vigencia. La presente ley rige a partir de su promulgación y deroga todas las leyes que le sean contrarias. </w:t>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___________________________________</w:t>
      </w:r>
    </w:p>
    <w:p w:rsidR="00E8718E" w:rsidRPr="00E8718E" w:rsidRDefault="00E8718E" w:rsidP="00E8718E">
      <w:pPr>
        <w:spacing w:line="276" w:lineRule="auto"/>
        <w:jc w:val="both"/>
        <w:rPr>
          <w:rFonts w:eastAsia="Calibri"/>
          <w:b/>
          <w:lang w:val="es-CO"/>
        </w:rPr>
      </w:pPr>
      <w:r w:rsidRPr="00E8718E">
        <w:rPr>
          <w:rFonts w:eastAsia="Calibri"/>
          <w:b/>
          <w:lang w:val="es-CO"/>
        </w:rPr>
        <w:t>Víctor Javier Correa Vélez</w:t>
      </w:r>
    </w:p>
    <w:p w:rsidR="00E8718E" w:rsidRPr="00E8718E" w:rsidRDefault="00E8718E" w:rsidP="00E8718E">
      <w:pPr>
        <w:spacing w:line="276" w:lineRule="auto"/>
        <w:jc w:val="both"/>
        <w:rPr>
          <w:rFonts w:eastAsia="Calibri"/>
          <w:b/>
          <w:lang w:val="es-CO"/>
        </w:rPr>
      </w:pPr>
      <w:r w:rsidRPr="00E8718E">
        <w:rPr>
          <w:rFonts w:eastAsia="Calibri"/>
          <w:b/>
          <w:lang w:val="es-CO"/>
        </w:rPr>
        <w:t>Representante a la Cámara</w:t>
      </w:r>
    </w:p>
    <w:p w:rsidR="00E8718E" w:rsidRPr="00E8718E" w:rsidRDefault="00E8718E" w:rsidP="00E8718E">
      <w:pPr>
        <w:spacing w:line="276" w:lineRule="auto"/>
        <w:jc w:val="both"/>
        <w:rPr>
          <w:rFonts w:eastAsia="Calibri"/>
          <w:b/>
          <w:lang w:val="es-CO"/>
        </w:rPr>
      </w:pPr>
      <w:r w:rsidRPr="00E8718E">
        <w:rPr>
          <w:rFonts w:eastAsia="Calibri"/>
          <w:b/>
          <w:lang w:val="es-CO"/>
        </w:rPr>
        <w:t>Polo Democrático Alternativo</w:t>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ab/>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Default="00E8718E" w:rsidP="00E8718E">
      <w:pPr>
        <w:spacing w:line="276" w:lineRule="auto"/>
        <w:jc w:val="center"/>
        <w:rPr>
          <w:rFonts w:eastAsia="Calibri"/>
          <w:b/>
          <w:i/>
          <w:lang w:val="es-CO"/>
        </w:rPr>
      </w:pPr>
      <w:r w:rsidRPr="00E8718E">
        <w:rPr>
          <w:rFonts w:eastAsia="Calibri"/>
          <w:b/>
          <w:i/>
          <w:lang w:val="es-CO"/>
        </w:rPr>
        <w:t>Exposición de motivos.</w:t>
      </w:r>
    </w:p>
    <w:p w:rsidR="00E8718E" w:rsidRPr="00E8718E" w:rsidRDefault="00E8718E" w:rsidP="00E8718E">
      <w:pPr>
        <w:spacing w:line="276" w:lineRule="auto"/>
        <w:jc w:val="center"/>
        <w:rPr>
          <w:rFonts w:eastAsia="Calibri"/>
          <w:b/>
          <w:i/>
          <w:lang w:val="es-CO"/>
        </w:rPr>
      </w:pPr>
    </w:p>
    <w:p w:rsidR="00E8718E" w:rsidRDefault="00E8718E" w:rsidP="00E8718E">
      <w:pPr>
        <w:numPr>
          <w:ilvl w:val="0"/>
          <w:numId w:val="26"/>
        </w:numPr>
        <w:spacing w:line="276" w:lineRule="auto"/>
        <w:jc w:val="both"/>
        <w:rPr>
          <w:rFonts w:eastAsia="Calibri"/>
          <w:b/>
          <w:lang w:val="es-CO"/>
        </w:rPr>
      </w:pPr>
      <w:r w:rsidRPr="00E8718E">
        <w:rPr>
          <w:rFonts w:eastAsia="Calibri"/>
          <w:b/>
          <w:lang w:val="es-CO"/>
        </w:rPr>
        <w:t xml:space="preserve">Fundamentos Constitucionales </w:t>
      </w:r>
    </w:p>
    <w:p w:rsidR="00203F37" w:rsidRPr="00E8718E" w:rsidRDefault="00203F37" w:rsidP="00203F37">
      <w:pPr>
        <w:spacing w:line="276" w:lineRule="auto"/>
        <w:ind w:left="1080"/>
        <w:jc w:val="both"/>
        <w:rPr>
          <w:rFonts w:eastAsia="Calibri"/>
          <w:b/>
          <w:lang w:val="es-CO"/>
        </w:rPr>
      </w:pPr>
    </w:p>
    <w:p w:rsidR="00E8718E" w:rsidRPr="00E8718E" w:rsidRDefault="00E8718E" w:rsidP="00E8718E">
      <w:pPr>
        <w:spacing w:line="276" w:lineRule="auto"/>
        <w:jc w:val="both"/>
        <w:rPr>
          <w:rFonts w:eastAsia="Calibri"/>
          <w:lang w:val="es-CO"/>
        </w:rPr>
      </w:pPr>
      <w:r w:rsidRPr="00E8718E">
        <w:rPr>
          <w:rFonts w:eastAsia="Calibri"/>
          <w:lang w:val="es-CO"/>
        </w:rPr>
        <w:t>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E8718E" w:rsidRPr="00E8718E" w:rsidRDefault="00E8718E" w:rsidP="00E8718E">
      <w:pPr>
        <w:spacing w:line="276" w:lineRule="auto"/>
        <w:jc w:val="both"/>
        <w:rPr>
          <w:rFonts w:eastAsia="Calibri"/>
          <w:lang w:val="es-CO"/>
        </w:rPr>
      </w:pPr>
      <w:r w:rsidRPr="00E8718E">
        <w:rPr>
          <w:rFonts w:eastAsia="Calibri"/>
          <w:lang w:val="es-CO"/>
        </w:rPr>
        <w:t>Artículo 11. El derecho a la vida es inviolable. No habrá pena de muerte.</w:t>
      </w:r>
    </w:p>
    <w:p w:rsidR="00E8718E" w:rsidRPr="00E8718E" w:rsidRDefault="00E8718E" w:rsidP="00E8718E">
      <w:pPr>
        <w:spacing w:line="276" w:lineRule="auto"/>
        <w:jc w:val="both"/>
        <w:rPr>
          <w:rFonts w:eastAsia="Calibri"/>
          <w:lang w:val="es-CO"/>
        </w:rPr>
      </w:pPr>
      <w:r w:rsidRPr="00E8718E">
        <w:rPr>
          <w:rFonts w:eastAsia="Calibri"/>
          <w:lang w:val="es-CO"/>
        </w:rPr>
        <w:t>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rsidR="00E8718E" w:rsidRPr="00E8718E" w:rsidRDefault="00E8718E" w:rsidP="00E8718E">
      <w:pPr>
        <w:spacing w:line="276" w:lineRule="auto"/>
        <w:jc w:val="both"/>
        <w:rPr>
          <w:rFonts w:eastAsia="Calibri"/>
          <w:lang w:val="es-CO"/>
        </w:rPr>
      </w:pPr>
      <w:r w:rsidRPr="00E8718E">
        <w:rPr>
          <w:rFonts w:eastAsia="Calibri"/>
          <w:lang w:val="es-CO"/>
        </w:rPr>
        <w:t>Artículo 29. 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w:t>
      </w:r>
    </w:p>
    <w:p w:rsidR="00203F37" w:rsidRDefault="00E8718E" w:rsidP="00E8718E">
      <w:pPr>
        <w:spacing w:line="276" w:lineRule="auto"/>
        <w:jc w:val="both"/>
        <w:rPr>
          <w:rFonts w:eastAsia="Calibri"/>
          <w:lang w:val="es-CO"/>
        </w:rPr>
      </w:pPr>
      <w:r w:rsidRPr="00E8718E">
        <w:rPr>
          <w:rFonts w:eastAsia="Calibri"/>
          <w:lang w:val="es-CO"/>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w:t>
      </w:r>
    </w:p>
    <w:p w:rsidR="00203F37" w:rsidRDefault="00203F37" w:rsidP="00E8718E">
      <w:pPr>
        <w:spacing w:line="276" w:lineRule="auto"/>
        <w:jc w:val="both"/>
        <w:rPr>
          <w:rFonts w:eastAsia="Calibri"/>
          <w:lang w:val="es-CO"/>
        </w:rPr>
      </w:pPr>
    </w:p>
    <w:p w:rsidR="00203F37" w:rsidRDefault="00203F37"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E8718E" w:rsidRPr="00E8718E" w:rsidRDefault="00E8718E" w:rsidP="00E8718E">
      <w:pPr>
        <w:spacing w:line="276" w:lineRule="auto"/>
        <w:jc w:val="both"/>
        <w:rPr>
          <w:rFonts w:eastAsia="Calibri"/>
          <w:lang w:val="es-CO"/>
        </w:rPr>
      </w:pPr>
      <w:r w:rsidRPr="00E8718E">
        <w:rPr>
          <w:rFonts w:eastAsia="Calibri"/>
          <w:lang w:val="es-CO"/>
        </w:rPr>
        <w:t>Artículo 48.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 La Seguridad Social podrá ser prestada por entidades públicas o privadas, de conformidad con la ley. No se podrán destinar ni utilizar los recursos de las instituciones de la Seguridad Social para fines diferentes a ella. La ley definirá los medios para que los recursos destinados a pensiones mantengan su poder adquisitivo constante.</w:t>
      </w:r>
    </w:p>
    <w:p w:rsidR="00E8718E" w:rsidRPr="00E8718E" w:rsidRDefault="00E8718E" w:rsidP="00E8718E">
      <w:pPr>
        <w:spacing w:line="276" w:lineRule="auto"/>
        <w:jc w:val="both"/>
        <w:rPr>
          <w:rFonts w:eastAsia="Calibri"/>
          <w:lang w:val="es-CO"/>
        </w:rPr>
      </w:pPr>
      <w:r w:rsidRPr="00E8718E">
        <w:rPr>
          <w:rFonts w:eastAsia="Calibri"/>
          <w:lang w:val="es-CO"/>
        </w:rPr>
        <w:t>Acto Legislativo 01 de 2005, artículo 1. Se adicionan los siguientes incisos y parágrafos al artículo 48 de la Constitución Política: 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 Sin perjuicio de los descuentos, deducciones y embargos a pensiones ordenados de acuerdo con la ley, por ningún motivo podrá dejarse de pagar, congelarse o reducirse el valor de la mesada de las pensiones reconocidas conforme a derecho. 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 En materia pensional se respetarán todos los derechos adquiridos. 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 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w:t>
      </w:r>
    </w:p>
    <w:p w:rsidR="00203F37" w:rsidRDefault="00203F37"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 xml:space="preserve">A partir de la vigencia del presente Acto Legislativo, no habrá regímenes especiales ni exceptuados, sin perjuicio del aplicable a la fuerza pública, al Presidente de la República y a lo establecido en los parágrafos del presente artículo. "Las personas cuyo derecho a la pensión se cause a partir de la vigencia del presente Acto Legislativo no podrán recibir más de trece (13) mesadas pensionales al año. Se entiende que la pensión se causa cuando se cumplen todos los requisitos para acceder a ella, aún cuando no se hubiese efectuado el reconocimiento". De los La ley establecerá un procedimiento breve para la revisión de las pensiones reconocidas con abuso del derecho o sin el cumplimiento de los requisitos establecidos en la ley o en las convenciones y laudos arbitrales válidamente celebrados. Parágrafo 1. A partir del 31 de julio de 2010, no podrán causarse pensiones superiores a veinticinco (25) salarios mínimos legales mensuales vigentes, con cargo a recursos de naturaleza pública. Parágrafo 2. A partir de la vigencia del presente Acto Legislativo no podrán establecerse en pactos, convenciones colectivas de trabajo, laudos o acto jurídico alguno, condiciones pensionales diferentes a las establecidas en las leyes del Sistema General de Pensiones. Parágrafo transitorio 1. El régimen pensional de los docentes nacionales, nacionalizados y territoriales, vinculados al servicio público educativo oficial es el establecido para el Magisterio en las disposiciones legales vigentes con anterioridad a la entrada en vigencia de la Ley 812 de 2003, y lo preceptuado en el artículo 81 de esta. Los docentes que se hayan vinculado o se vinculen a partir de la vigencia de la citada ley, tendrán los derechos de prima media establecidos en las leyes del Sistema General de Pensiones, en los términos del artículo 81 de la Ley 812 de 2003. Parágrafo transitorio 2.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 Parágrafo transitorio 3.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 Parágrafo transitorio 4.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 </w:t>
      </w:r>
    </w:p>
    <w:p w:rsidR="00203F37" w:rsidRDefault="00203F37"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 xml:space="preserve">Los requisitos y beneficios pensionales para las personas cobijadas por este régimen serán los exigidos por el artículo 36 de la Ley 100 de 1993 y demás normas que desarrollen dicho régimen. Parágrafo transitorio 5. De conformidad con lo dispuesto por el artículo 140 de la Ley 100 de 1993 y el Decreto 2090 de 2003, a partir de la entrada en vigencia de este último decreto, a los miembros del cuerpo de custodia y vigilancia Penitenciaria y Carcelaria Nacional se les aplicará el régimen de alto riesgo contemplado en el mismo. A quienes ingresaron con anterioridad a dicha fecha se aplicará el régimen hasta ese entonces vigente para dichas personas por razón de los riesgos de su labor, este es el dispuesto para el efecto por la Ley 32 de 1986, para lo cual deben haberse cubierto las cotizaciones correspondientes. Parágrafo transitorio 6. Se exceptúan de lo establecido por el inciso 8° del presente artículo, aquellas personas que perciban una pensión igual o inferior a tres (3) salarios mínimos legales mensuales vigentes, si la misma se causa antes del 31 de julio de 2011, quienes recibirán catorce (14) mesadas pensionales al año. </w:t>
      </w:r>
    </w:p>
    <w:p w:rsidR="00E8718E" w:rsidRDefault="00E8718E" w:rsidP="00E8718E">
      <w:pPr>
        <w:spacing w:line="276" w:lineRule="auto"/>
        <w:jc w:val="both"/>
        <w:rPr>
          <w:rFonts w:eastAsia="Calibri"/>
          <w:lang w:val="es-CO"/>
        </w:rPr>
      </w:pPr>
      <w:r w:rsidRPr="00E8718E">
        <w:rPr>
          <w:rFonts w:eastAsia="Calibri"/>
          <w:lang w:val="es-CO"/>
        </w:rPr>
        <w:t>Artículo 49. Acto Legislativo No. 02 de 2009, artículo 1. El artículo 49 de la Constitución Política quedará así: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de su comunidad. El porte y el consumo de sustancias estupefacientes o sicotrópicas está prohibido, salvo prescripción médica. Con fines preventivos y rehabilitadores la ley establecerá medidas y tratamientos administrativos de orden pedagógico, De los Derechos Sociales, Económicos y profiláctico o terapéutico para las personas que consuman dichas sustancias. El sometimiento a esas medidas y tratamientos requiere el consentimiento informado del adicto. 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203F37" w:rsidRPr="00E8718E" w:rsidRDefault="00203F37"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p>
    <w:p w:rsidR="00E8718E" w:rsidRPr="00203F37" w:rsidRDefault="00E8718E" w:rsidP="00203F37">
      <w:pPr>
        <w:numPr>
          <w:ilvl w:val="0"/>
          <w:numId w:val="26"/>
        </w:numPr>
        <w:spacing w:line="276" w:lineRule="auto"/>
        <w:jc w:val="both"/>
        <w:rPr>
          <w:rFonts w:eastAsia="Calibri"/>
          <w:b/>
          <w:lang w:val="es-CO"/>
        </w:rPr>
      </w:pPr>
      <w:r w:rsidRPr="00203F37">
        <w:rPr>
          <w:rFonts w:eastAsia="Calibri"/>
          <w:b/>
          <w:lang w:val="es-CO"/>
        </w:rPr>
        <w:t>Sobre la conveniencia del proyecto de ley.</w:t>
      </w:r>
    </w:p>
    <w:p w:rsidR="00203F37" w:rsidRDefault="00203F37"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 xml:space="preserve">La </w:t>
      </w:r>
      <w:r w:rsidR="00203F37" w:rsidRPr="00E8718E">
        <w:rPr>
          <w:rFonts w:eastAsia="Calibri"/>
          <w:lang w:val="es-CO"/>
        </w:rPr>
        <w:t>práctica</w:t>
      </w:r>
      <w:r w:rsidRPr="00E8718E">
        <w:rPr>
          <w:rFonts w:eastAsia="Calibri"/>
          <w:lang w:val="es-CO"/>
        </w:rPr>
        <w:t xml:space="preserve"> de la medicina ha evolucionado casi de manera simultánea a la historia de la humanidad. Esta práctica, que durante mucho tiempo fue asumida como una acción sobrenatural, divina o de brujería o hechicería, con el desarrollo de la ciencia y el avance en el conocimiento sobre el cuerpo humano, ha tecnificado, estandarizado y codificado su acción, llegando a hacer previsibles las causas y consecuencias tanto de la enfermedad como del acto médico.</w:t>
      </w:r>
    </w:p>
    <w:p w:rsidR="00E8718E" w:rsidRPr="00E8718E" w:rsidRDefault="00E8718E" w:rsidP="00E8718E">
      <w:pPr>
        <w:spacing w:line="276" w:lineRule="auto"/>
        <w:jc w:val="both"/>
        <w:rPr>
          <w:rFonts w:eastAsia="Calibri"/>
          <w:lang w:val="es-CO"/>
        </w:rPr>
      </w:pPr>
      <w:r w:rsidRPr="00E8718E">
        <w:rPr>
          <w:rFonts w:eastAsia="Calibri"/>
          <w:lang w:val="es-CO"/>
        </w:rPr>
        <w:t>En este sentido, y asumiendo la practica medica como una acción humana, el error siempre estará presente. A partir de esta premisa, la medicina y en concreto el medico ha sido cada vez mas un sujeto al que se le exige rigor y experticia en su práctica, haciendo mucho más reprochables los eventuales errores que como ser humano pueda llegar a cometer. Estos errores cometidos por los profesionales de la medicina durante siglos fueron reprochados únicamente ante la sociedad, ya que no existían los mecanismos judiciales para acceder a su juzgamiento.</w:t>
      </w:r>
    </w:p>
    <w:p w:rsidR="00E8718E" w:rsidRPr="00E8718E" w:rsidRDefault="00E8718E" w:rsidP="00E8718E">
      <w:pPr>
        <w:spacing w:line="276" w:lineRule="auto"/>
        <w:jc w:val="both"/>
        <w:rPr>
          <w:rFonts w:eastAsia="Calibri"/>
          <w:i/>
          <w:lang w:val="es-CO"/>
        </w:rPr>
      </w:pPr>
      <w:r w:rsidRPr="00E8718E">
        <w:rPr>
          <w:rFonts w:eastAsia="Calibri"/>
          <w:lang w:val="es-CO"/>
        </w:rPr>
        <w:t xml:space="preserve">Al respecto, Wilson Ruiz plantea </w:t>
      </w:r>
      <w:r w:rsidRPr="00E8718E">
        <w:rPr>
          <w:rFonts w:eastAsia="Calibri"/>
          <w:i/>
          <w:lang w:val="es-CO"/>
        </w:rPr>
        <w:t>“La verdad es que los galenos se han sucedido durante siglos legando su inmunidad, aunque las excepciones hayan existido y sean numerosas. Históricamente, sólo han estado sometidos a las reglas de la ética profesional y a su conciencia y en caso de quebrantarlas sólo estaban sujetos a la censura social. El juramento hipocrático así lo confirma al expresar que “Si observo mi juramento con fidelidad, séanme concedidos gozar plenamente mi vida y mi profesión, honrado siempre entre los hombres, si los quebranto y soy perjuro, caiga sobre mi la suerte contraria”. Es decir, si cumple con sus oficios terapéuticos será reverenciado como un sacerdote o como un dios verdadero; pero si no es así, paseará su vergüenza ante la sociedad.”</w:t>
      </w:r>
      <w:r w:rsidRPr="00E8718E">
        <w:rPr>
          <w:rFonts w:eastAsia="Calibri"/>
          <w:i/>
          <w:vertAlign w:val="superscript"/>
          <w:lang w:val="es-CO"/>
        </w:rPr>
        <w:footnoteReference w:id="1"/>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Con el desarrollo de la ciencia y de la medicina, como se dijo anteriormente, ha traído consigo la posibilidad de hacer mucho mas previsibles las consecuencias del actuar medico y ha llegado al punto de establecer criterios de amplio reconocimiento con patrones comunes de comportamiento que los médicos deben seguir para un correcto ejercicio de su profesión. A partir de esta previsibilidad, desde hace relativamente poco tiempo, la practica medica viene siendo objeto de reproches jurídicos, sean en ámbitos disciplinarios, de responsabilidad civil o penal, iniciando el camino de la responsabilidad médica.</w:t>
      </w:r>
    </w:p>
    <w:p w:rsidR="00E8718E" w:rsidRPr="00E8718E" w:rsidRDefault="00E8718E" w:rsidP="00E8718E">
      <w:pPr>
        <w:spacing w:line="276" w:lineRule="auto"/>
        <w:jc w:val="both"/>
        <w:rPr>
          <w:rFonts w:eastAsia="Calibri"/>
          <w:lang w:val="es-CO"/>
        </w:rPr>
      </w:pPr>
    </w:p>
    <w:p w:rsidR="00203F37" w:rsidRDefault="00203F37" w:rsidP="00E8718E">
      <w:pPr>
        <w:spacing w:line="276" w:lineRule="auto"/>
        <w:jc w:val="both"/>
        <w:rPr>
          <w:rFonts w:eastAsia="Calibri"/>
          <w:lang w:val="es-CO"/>
        </w:rPr>
      </w:pPr>
    </w:p>
    <w:p w:rsidR="00203F37" w:rsidRDefault="00203F37" w:rsidP="00E8718E">
      <w:pPr>
        <w:spacing w:line="276" w:lineRule="auto"/>
        <w:jc w:val="both"/>
        <w:rPr>
          <w:rFonts w:eastAsia="Calibri"/>
          <w:lang w:val="es-CO"/>
        </w:rPr>
      </w:pPr>
    </w:p>
    <w:p w:rsidR="00E8718E" w:rsidRPr="00E8718E" w:rsidRDefault="00E8718E" w:rsidP="00E8718E">
      <w:pPr>
        <w:spacing w:line="276" w:lineRule="auto"/>
        <w:jc w:val="both"/>
        <w:rPr>
          <w:rFonts w:eastAsia="Calibri"/>
          <w:i/>
          <w:lang w:val="es-CO"/>
        </w:rPr>
      </w:pPr>
      <w:r w:rsidRPr="00E8718E">
        <w:rPr>
          <w:rFonts w:eastAsia="Calibri"/>
          <w:lang w:val="es-CO"/>
        </w:rPr>
        <w:t xml:space="preserve">Sobre el particular, Francisco Bernate Ochoa plantea lo siguiente </w:t>
      </w:r>
      <w:r w:rsidRPr="00E8718E">
        <w:rPr>
          <w:rFonts w:eastAsia="Calibri"/>
          <w:i/>
          <w:lang w:val="es-CO"/>
        </w:rPr>
        <w:t>“Sí es de tiempos relativamente recientes que los profesionales de la salud se encuentren a sí mismos en el banquillo de los acusados en los juicios por responsabilidad médica, juicios de carácter civil o administrativo, y, en tiempos más recientes, penales. En un principio, ni siquiera se iniciaban estos procesos, por la dignidad que al interior de la comunidad ostentaba el médico, pero, posteriormente y en una tendencia cuyo origen se encuentra en los Estados Unidos, se iniciaron los procesos por mala práctica médica, y esta tendencia fue rápidamente haciendo ahínco en diferentes Estados. Se trata, en todo caso de una tendencia cuyos inicios son de principios del Siglo XX pero cuyo mayor desarrollo se da en la segunda mitad del mismo siglo.”</w:t>
      </w:r>
      <w:r w:rsidRPr="00E8718E">
        <w:rPr>
          <w:rFonts w:eastAsia="Calibri"/>
          <w:i/>
          <w:vertAlign w:val="superscript"/>
          <w:lang w:val="es-CO"/>
        </w:rPr>
        <w:footnoteReference w:id="2"/>
      </w:r>
    </w:p>
    <w:p w:rsidR="00E8718E" w:rsidRPr="00E8718E" w:rsidRDefault="00E8718E" w:rsidP="00E8718E">
      <w:pPr>
        <w:spacing w:line="276" w:lineRule="auto"/>
        <w:jc w:val="both"/>
        <w:rPr>
          <w:rFonts w:eastAsia="Calibri"/>
          <w:lang w:val="es-CO"/>
        </w:rPr>
      </w:pPr>
    </w:p>
    <w:p w:rsidR="00E8718E" w:rsidRPr="00E8718E" w:rsidRDefault="00E8718E" w:rsidP="00E8718E">
      <w:pPr>
        <w:spacing w:line="276" w:lineRule="auto"/>
        <w:jc w:val="both"/>
        <w:rPr>
          <w:rFonts w:eastAsia="Calibri"/>
          <w:lang w:val="es-CO"/>
        </w:rPr>
      </w:pPr>
      <w:r w:rsidRPr="00E8718E">
        <w:rPr>
          <w:rFonts w:eastAsia="Calibri"/>
          <w:lang w:val="es-CO"/>
        </w:rPr>
        <w:t>De esta forma, nuestro país ha regulado la actividad medica tanto de manera preventiva como de manera sancionadora con diferentes instrumentos jurídicos, como la ley 67 de 1935 que reglamento el ejercicio de la profesión de medicina y cirugía, el decreto 2831 de 1954 que estableció el código de moral médica, l ley 14 de 1962 por la cual se dictan normas relativas al ejercicio de la medicina y la cirugía, la ley 23 de 1981 por la cual se dictan normas en materia de ética medica y el decreto 3380 de 1981 que reglamento la ley 23.</w:t>
      </w:r>
      <w:r w:rsidRPr="00E8718E">
        <w:rPr>
          <w:rFonts w:eastAsia="Calibri"/>
          <w:vertAlign w:val="superscript"/>
          <w:lang w:val="es-CO"/>
        </w:rPr>
        <w:footnoteReference w:id="3"/>
      </w:r>
    </w:p>
    <w:p w:rsidR="00E8718E" w:rsidRPr="00E8718E" w:rsidRDefault="00E8718E" w:rsidP="00E8718E">
      <w:pPr>
        <w:spacing w:line="276" w:lineRule="auto"/>
        <w:jc w:val="both"/>
        <w:rPr>
          <w:rFonts w:eastAsia="Calibri"/>
          <w:i/>
          <w:lang w:val="es-CO"/>
        </w:rPr>
      </w:pPr>
      <w:r w:rsidRPr="00E8718E">
        <w:rPr>
          <w:rFonts w:eastAsia="Calibri"/>
          <w:lang w:val="es-CO"/>
        </w:rPr>
        <w:t xml:space="preserve">A partir de esta regulación de la actividad médica, la tendencia en nuestro país ha sido la de una proliferación de acciones jurídicas en contra de los profesionales de la salud, dados los problemas que el sistema de seguridad social presenta en términos de atención, de recursos y de profesionales, haciendo al medico casi que total responsable de los defectos de todo el sistema. Al respecto, Francisco  Bernate plantea que </w:t>
      </w:r>
      <w:r w:rsidRPr="00E8718E">
        <w:rPr>
          <w:rFonts w:eastAsia="Calibri"/>
          <w:i/>
          <w:lang w:val="es-CO"/>
        </w:rPr>
        <w:t>“Esto es particularmente evidente en el caso colombiano, en el que el incremento en las reclamaciones, aunado a la desmejora en la prestación de los servicios de salud y al número creciente de reclamos y quejas por parte de los pacientes, condujo a un tercer momento en la evolución de la responsabilidad médica en nuestro país, en la que las decisiones judiciales son cada vez más drásticas frente a los profesionales de la salud, creando incluso categorías específicas para exigir un mayor grado de responsabilidad en aquellos casos en que el daño sea causado por un médico, categorías que no se aplican en los demás casos de responsabilidad.”</w:t>
      </w:r>
      <w:r w:rsidRPr="00E8718E">
        <w:rPr>
          <w:rFonts w:eastAsia="Calibri"/>
          <w:i/>
          <w:vertAlign w:val="superscript"/>
          <w:lang w:val="es-CO"/>
        </w:rPr>
        <w:footnoteReference w:id="4"/>
      </w:r>
    </w:p>
    <w:p w:rsidR="00203F37" w:rsidRDefault="00203F37" w:rsidP="00E8718E">
      <w:pPr>
        <w:spacing w:line="276" w:lineRule="auto"/>
        <w:jc w:val="both"/>
        <w:rPr>
          <w:rFonts w:eastAsia="Calibri"/>
          <w:lang w:val="es-CO"/>
        </w:rPr>
      </w:pPr>
    </w:p>
    <w:p w:rsidR="00E8718E" w:rsidRDefault="00E8718E" w:rsidP="00E8718E">
      <w:pPr>
        <w:spacing w:line="276" w:lineRule="auto"/>
        <w:jc w:val="both"/>
        <w:rPr>
          <w:rFonts w:eastAsia="Calibri"/>
          <w:lang w:val="es-CO"/>
        </w:rPr>
      </w:pPr>
      <w:r w:rsidRPr="00E8718E">
        <w:rPr>
          <w:rFonts w:eastAsia="Calibri"/>
          <w:lang w:val="es-CO"/>
        </w:rPr>
        <w:t>Contando con esta realidad, este proyecto de ley plantea brindar mayor seguridad jurídica a los profesionales de la salud que se enfrenten a un juicio penal o de responsabilidad civil por las acciones que haya cometido en ejercicio de su profesión, haciendo obligatoria la comparecencia de un perito perteneciente a los tribunales de ética médica, con el fin de suplir los vacíos teóricos y técnicos que tenga el juez a la hora de tomar una decisión.</w:t>
      </w:r>
    </w:p>
    <w:p w:rsidR="00203F37" w:rsidRPr="00E8718E" w:rsidRDefault="00203F37" w:rsidP="00E8718E">
      <w:pPr>
        <w:spacing w:line="276" w:lineRule="auto"/>
        <w:jc w:val="both"/>
        <w:rPr>
          <w:rFonts w:eastAsia="Calibri"/>
          <w:lang w:val="es-CO"/>
        </w:rPr>
      </w:pPr>
    </w:p>
    <w:p w:rsidR="00E8718E" w:rsidRPr="00203F37" w:rsidRDefault="00E8718E" w:rsidP="00E8718E">
      <w:pPr>
        <w:numPr>
          <w:ilvl w:val="0"/>
          <w:numId w:val="26"/>
        </w:numPr>
        <w:spacing w:line="276" w:lineRule="auto"/>
        <w:jc w:val="both"/>
        <w:rPr>
          <w:rFonts w:eastAsia="Calibri"/>
          <w:b/>
          <w:lang w:val="es-CO"/>
        </w:rPr>
      </w:pPr>
      <w:r w:rsidRPr="00203F37">
        <w:rPr>
          <w:rFonts w:eastAsia="Calibri"/>
          <w:b/>
          <w:lang w:val="es-CO"/>
        </w:rPr>
        <w:t>Resumen del Proyecto de Ley</w:t>
      </w:r>
    </w:p>
    <w:p w:rsidR="00E8718E" w:rsidRPr="00E8718E" w:rsidRDefault="00E8718E" w:rsidP="00E8718E">
      <w:pPr>
        <w:spacing w:line="276" w:lineRule="auto"/>
        <w:jc w:val="both"/>
        <w:rPr>
          <w:rFonts w:eastAsia="Calibri"/>
          <w:lang w:val="es-ES_tradnl"/>
        </w:rPr>
      </w:pPr>
      <w:r w:rsidRPr="00E8718E">
        <w:rPr>
          <w:rFonts w:eastAsia="Calibri"/>
          <w:lang w:val="es-ES_tradnl"/>
        </w:rPr>
        <w:t xml:space="preserve">Este es un proyecto de ley que conta de 5 artículos. El articulo primero fija el objeto de reformar el código de procedimiento penal y el código general del proceso con el fin de establecer la comparecencia obligatoria, en calidad de peritos, de los tribunales de ética de las diferentes profesiones de las ciencias de la salud, en los procesos penales y de responsabilidad civil que se desarrollen contra los profesionales de las distintas áreas, en los cuales la acción penal o la demanda surja como consecuencia de su actuar profesional. El </w:t>
      </w:r>
      <w:r w:rsidR="00203F37" w:rsidRPr="00E8718E">
        <w:rPr>
          <w:rFonts w:eastAsia="Calibri"/>
          <w:lang w:val="es-ES_tradnl"/>
        </w:rPr>
        <w:t>artículo</w:t>
      </w:r>
      <w:r w:rsidRPr="00E8718E">
        <w:rPr>
          <w:rFonts w:eastAsia="Calibri"/>
          <w:lang w:val="es-ES_tradnl"/>
        </w:rPr>
        <w:t xml:space="preserve"> segundo introduce un parágrafo al artículo 406 de la Ley 906 de 2004, Código de procedimiento penal, incluyendo la idea del objeto en el proceso penal. De igual manera en el </w:t>
      </w:r>
      <w:r w:rsidR="00203F37" w:rsidRPr="00E8718E">
        <w:rPr>
          <w:rFonts w:eastAsia="Calibri"/>
          <w:lang w:val="es-ES_tradnl"/>
        </w:rPr>
        <w:t>artículo</w:t>
      </w:r>
      <w:r w:rsidRPr="00E8718E">
        <w:rPr>
          <w:rFonts w:eastAsia="Calibri"/>
          <w:lang w:val="es-ES_tradnl"/>
        </w:rPr>
        <w:t xml:space="preserve"> tercero se incluye otro parágrafo al </w:t>
      </w:r>
      <w:r w:rsidR="00203F37" w:rsidRPr="00E8718E">
        <w:rPr>
          <w:rFonts w:eastAsia="Calibri"/>
          <w:lang w:val="es-ES_tradnl"/>
        </w:rPr>
        <w:t>artículo</w:t>
      </w:r>
      <w:r w:rsidRPr="00E8718E">
        <w:rPr>
          <w:rFonts w:eastAsia="Calibri"/>
          <w:lang w:val="es-ES_tradnl"/>
        </w:rPr>
        <w:t xml:space="preserve"> 48 de la ley 1564 de 2012 “</w:t>
      </w:r>
      <w:r w:rsidRPr="00E8718E">
        <w:rPr>
          <w:rFonts w:eastAsia="Calibri"/>
          <w:i/>
          <w:lang w:val="es-ES_tradnl"/>
        </w:rPr>
        <w:t xml:space="preserve">Por la cual se expide el Código General del Proceso y se dictan otras disposiciones” </w:t>
      </w:r>
      <w:r w:rsidRPr="00E8718E">
        <w:rPr>
          <w:rFonts w:eastAsia="Calibri"/>
          <w:lang w:val="es-ES_tradnl"/>
        </w:rPr>
        <w:t>para los procesos de responsabilidad civil.</w:t>
      </w:r>
    </w:p>
    <w:p w:rsidR="00E8718E" w:rsidRPr="00E8718E" w:rsidRDefault="00E8718E" w:rsidP="00E8718E">
      <w:pPr>
        <w:spacing w:line="276" w:lineRule="auto"/>
        <w:jc w:val="both"/>
        <w:rPr>
          <w:rFonts w:eastAsia="Calibri"/>
          <w:lang w:val="es-ES_tradnl"/>
        </w:rPr>
      </w:pPr>
      <w:r w:rsidRPr="00E8718E">
        <w:rPr>
          <w:rFonts w:eastAsia="Calibri"/>
          <w:lang w:val="es-ES_tradnl"/>
        </w:rPr>
        <w:t xml:space="preserve">El artículo cuarto establece una obligación al Estado para garantizar los recursos para que los tribunales de ética puedan cumplir cabalmente esta nueva función que se les impone y el </w:t>
      </w:r>
      <w:r w:rsidR="00203F37" w:rsidRPr="00E8718E">
        <w:rPr>
          <w:rFonts w:eastAsia="Calibri"/>
          <w:lang w:val="es-ES_tradnl"/>
        </w:rPr>
        <w:t>artículo</w:t>
      </w:r>
      <w:r w:rsidRPr="00E8718E">
        <w:rPr>
          <w:rFonts w:eastAsia="Calibri"/>
          <w:lang w:val="es-ES_tradnl"/>
        </w:rPr>
        <w:t xml:space="preserve"> quinto establece la vigencia de la ley. </w:t>
      </w:r>
    </w:p>
    <w:p w:rsidR="00A91361" w:rsidRDefault="00A91361" w:rsidP="00A91361">
      <w:pPr>
        <w:spacing w:line="276" w:lineRule="auto"/>
        <w:jc w:val="both"/>
        <w:rPr>
          <w:rFonts w:eastAsia="Calibri"/>
          <w:lang w:val="es-ES_tradnl"/>
        </w:rPr>
      </w:pPr>
    </w:p>
    <w:p w:rsidR="00203F37" w:rsidRPr="00E8718E" w:rsidRDefault="00203F37" w:rsidP="00A91361">
      <w:pPr>
        <w:spacing w:line="276" w:lineRule="auto"/>
        <w:jc w:val="both"/>
        <w:rPr>
          <w:rFonts w:eastAsia="Calibri"/>
          <w:lang w:val="es-ES_tradnl"/>
        </w:rPr>
      </w:pPr>
    </w:p>
    <w:p w:rsidR="00A91361" w:rsidRPr="00A91361" w:rsidRDefault="00A91361" w:rsidP="00A91361">
      <w:pPr>
        <w:spacing w:line="276" w:lineRule="auto"/>
        <w:jc w:val="both"/>
        <w:rPr>
          <w:rFonts w:eastAsia="Calibri"/>
          <w:lang w:val="es-CO"/>
        </w:rPr>
      </w:pPr>
    </w:p>
    <w:p w:rsidR="00A91361" w:rsidRPr="00A91361" w:rsidRDefault="00A91361" w:rsidP="00A91361">
      <w:pPr>
        <w:spacing w:line="276" w:lineRule="auto"/>
        <w:jc w:val="both"/>
        <w:rPr>
          <w:rFonts w:eastAsia="Calibri"/>
          <w:lang w:val="es-CO"/>
        </w:rPr>
      </w:pPr>
      <w:r w:rsidRPr="00A91361">
        <w:rPr>
          <w:rFonts w:eastAsia="Calibri"/>
          <w:lang w:val="es-CO"/>
        </w:rPr>
        <w:t>___________________________________</w:t>
      </w:r>
    </w:p>
    <w:p w:rsidR="00A91361" w:rsidRPr="00A91361" w:rsidRDefault="00A91361" w:rsidP="00A91361">
      <w:pPr>
        <w:spacing w:line="276" w:lineRule="auto"/>
        <w:jc w:val="both"/>
        <w:rPr>
          <w:rFonts w:eastAsia="Calibri"/>
          <w:b/>
          <w:lang w:val="es-CO"/>
        </w:rPr>
      </w:pPr>
      <w:r w:rsidRPr="00A91361">
        <w:rPr>
          <w:rFonts w:eastAsia="Calibri"/>
          <w:b/>
          <w:lang w:val="es-CO"/>
        </w:rPr>
        <w:t>Víctor Javier Correa Vélez</w:t>
      </w:r>
    </w:p>
    <w:p w:rsidR="00A91361" w:rsidRPr="00A91361" w:rsidRDefault="00A91361" w:rsidP="00A91361">
      <w:pPr>
        <w:spacing w:line="276" w:lineRule="auto"/>
        <w:jc w:val="both"/>
        <w:rPr>
          <w:rFonts w:eastAsia="Calibri"/>
          <w:b/>
          <w:lang w:val="es-CO"/>
        </w:rPr>
      </w:pPr>
      <w:r w:rsidRPr="00A91361">
        <w:rPr>
          <w:rFonts w:eastAsia="Calibri"/>
          <w:b/>
          <w:lang w:val="es-CO"/>
        </w:rPr>
        <w:t>Representante a la Cámara</w:t>
      </w:r>
    </w:p>
    <w:p w:rsidR="00A91361" w:rsidRPr="00A91361" w:rsidRDefault="00A91361" w:rsidP="00A91361">
      <w:pPr>
        <w:spacing w:line="276" w:lineRule="auto"/>
        <w:jc w:val="both"/>
        <w:rPr>
          <w:rFonts w:eastAsia="Calibri"/>
          <w:b/>
          <w:lang w:val="es-CO"/>
        </w:rPr>
      </w:pPr>
      <w:r w:rsidRPr="00A91361">
        <w:rPr>
          <w:rFonts w:eastAsia="Calibri"/>
          <w:b/>
          <w:lang w:val="es-CO"/>
        </w:rPr>
        <w:t>Polo Democrático Alternativo</w:t>
      </w:r>
    </w:p>
    <w:p w:rsidR="00A91361" w:rsidRPr="00A91361" w:rsidRDefault="00A91361" w:rsidP="00A91361">
      <w:pPr>
        <w:spacing w:line="276" w:lineRule="auto"/>
        <w:jc w:val="both"/>
        <w:rPr>
          <w:rFonts w:eastAsia="Calibri"/>
          <w:b/>
          <w:lang w:val="es-CO"/>
        </w:rPr>
      </w:pPr>
    </w:p>
    <w:p w:rsidR="00FD1FA0" w:rsidRPr="00A91361" w:rsidRDefault="00FD1FA0" w:rsidP="00A91361">
      <w:pPr>
        <w:spacing w:line="276" w:lineRule="auto"/>
        <w:jc w:val="both"/>
        <w:rPr>
          <w:rFonts w:eastAsia="Calibri"/>
        </w:rPr>
      </w:pPr>
    </w:p>
    <w:sectPr w:rsidR="00FD1FA0" w:rsidRPr="00A91361" w:rsidSect="0028541B">
      <w:headerReference w:type="even" r:id="rId8"/>
      <w:headerReference w:type="default" r:id="rId9"/>
      <w:footerReference w:type="default" r:id="rId10"/>
      <w:headerReference w:type="firs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31" w:rsidRDefault="007C6F31" w:rsidP="00660B24">
      <w:r>
        <w:separator/>
      </w:r>
    </w:p>
  </w:endnote>
  <w:endnote w:type="continuationSeparator" w:id="0">
    <w:p w:rsidR="007C6F31" w:rsidRDefault="007C6F31" w:rsidP="006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5D" w:rsidRDefault="00A71C74" w:rsidP="00660B24">
    <w:pPr>
      <w:jc w:val="both"/>
      <w:rPr>
        <w:rFonts w:ascii="Arial" w:hAnsi="Arial" w:cs="Arial"/>
        <w:sz w:val="18"/>
        <w:szCs w:val="18"/>
        <w:lang w:val="es-AR" w:eastAsia="es-CO"/>
      </w:rPr>
    </w:pPr>
    <w:r>
      <w:rPr>
        <w:noProof/>
        <w:lang w:val="es-CO" w:eastAsia="es-CO"/>
      </w:rPr>
      <w:drawing>
        <wp:anchor distT="0" distB="0" distL="114300" distR="114300" simplePos="0" relativeHeight="251658752" behindDoc="1" locked="0" layoutInCell="1" allowOverlap="1">
          <wp:simplePos x="0" y="0"/>
          <wp:positionH relativeFrom="column">
            <wp:posOffset>5097780</wp:posOffset>
          </wp:positionH>
          <wp:positionV relativeFrom="paragraph">
            <wp:posOffset>-45720</wp:posOffset>
          </wp:positionV>
          <wp:extent cx="541020" cy="525780"/>
          <wp:effectExtent l="0" t="0" r="0" b="0"/>
          <wp:wrapNone/>
          <wp:docPr id="3" name="Imagen 4" descr="Descripción: 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B24" w:rsidRPr="004F4992">
      <w:rPr>
        <w:rFonts w:ascii="Arial" w:hAnsi="Arial" w:cs="Arial"/>
        <w:sz w:val="18"/>
        <w:szCs w:val="18"/>
        <w:lang w:val="es-AR" w:eastAsia="es-CO"/>
      </w:rPr>
      <w:t>Carrera 7 No 8 – 68 Edificio Nuevo del Congreso. Oficinas 607B y 606</w:t>
    </w:r>
  </w:p>
  <w:p w:rsidR="00073C5D" w:rsidRDefault="00660B24" w:rsidP="00073C5D">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660B24" w:rsidRDefault="00660B24" w:rsidP="00073C5D">
    <w:pPr>
      <w:jc w:val="both"/>
    </w:pPr>
    <w:r w:rsidRPr="004F4992">
      <w:rPr>
        <w:rFonts w:ascii="Arial" w:hAnsi="Arial" w:cs="Arial"/>
        <w:sz w:val="18"/>
        <w:szCs w:val="18"/>
        <w:lang w:val="es-AR" w:eastAsia="es-CO"/>
      </w:rPr>
      <w:t>Correo Electrónico:</w:t>
    </w:r>
    <w:r w:rsidR="00AE4AD1">
      <w:rPr>
        <w:rFonts w:ascii="Arial" w:hAnsi="Arial" w:cs="Arial"/>
        <w:sz w:val="18"/>
        <w:szCs w:val="18"/>
        <w:lang w:val="es-AR" w:eastAsia="es-CO"/>
      </w:rPr>
      <w:t xml:space="preserve"> victor.correa</w:t>
    </w:r>
    <w:r w:rsidR="009F32D7">
      <w:rPr>
        <w:rFonts w:ascii="Arial" w:hAnsi="Arial" w:cs="Arial"/>
        <w:sz w:val="18"/>
        <w:szCs w:val="18"/>
        <w:lang w:val="es-AR" w:eastAsia="es-CO"/>
      </w:rPr>
      <w:t>@camara</w:t>
    </w:r>
    <w:r w:rsidR="00EA2C69">
      <w:rPr>
        <w:rFonts w:ascii="Arial" w:hAnsi="Arial" w:cs="Arial"/>
        <w:sz w:val="18"/>
        <w:szCs w:val="18"/>
        <w:lang w:val="es-AR" w:eastAsia="es-CO"/>
      </w:rPr>
      <w:t>.gov.co</w:t>
    </w:r>
  </w:p>
  <w:p w:rsidR="00660B24" w:rsidRDefault="00660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31" w:rsidRDefault="007C6F31" w:rsidP="00660B24">
      <w:r>
        <w:separator/>
      </w:r>
    </w:p>
  </w:footnote>
  <w:footnote w:type="continuationSeparator" w:id="0">
    <w:p w:rsidR="007C6F31" w:rsidRDefault="007C6F31" w:rsidP="00660B24">
      <w:r>
        <w:continuationSeparator/>
      </w:r>
    </w:p>
  </w:footnote>
  <w:footnote w:id="1">
    <w:p w:rsidR="00E8718E" w:rsidRPr="00DA67E1" w:rsidRDefault="00E8718E" w:rsidP="00E8718E">
      <w:pPr>
        <w:jc w:val="both"/>
        <w:rPr>
          <w:rFonts w:ascii="Arial" w:hAnsi="Arial" w:cs="Arial"/>
          <w:color w:val="006621"/>
          <w:sz w:val="21"/>
          <w:szCs w:val="21"/>
          <w:shd w:val="clear" w:color="auto" w:fill="FFFFFF"/>
        </w:rPr>
      </w:pPr>
      <w:r>
        <w:rPr>
          <w:rStyle w:val="Refdenotaalpie"/>
        </w:rPr>
        <w:footnoteRef/>
      </w:r>
      <w:r>
        <w:t xml:space="preserve"> Ruiz Wilson. “La Responsabilidad Medica en Colombia”. </w:t>
      </w:r>
      <w:r w:rsidRPr="00B473DF">
        <w:t>Criterio Jurídic</w:t>
      </w:r>
      <w:r>
        <w:t>o.</w:t>
      </w:r>
      <w:r w:rsidRPr="00B473DF">
        <w:t xml:space="preserve"> Santiago de Cali V.4 2004 pp. 195-216</w:t>
      </w:r>
      <w:r>
        <w:t>. Pag 198. Tomado de &lt;</w:t>
      </w:r>
      <w:r w:rsidRPr="00B473DF">
        <w:rPr>
          <w:rFonts w:ascii="Arial" w:hAnsi="Arial" w:cs="Arial"/>
          <w:color w:val="006621"/>
          <w:sz w:val="21"/>
          <w:szCs w:val="21"/>
          <w:shd w:val="clear" w:color="auto" w:fill="FFFFFF"/>
        </w:rPr>
        <w:t xml:space="preserve"> </w:t>
      </w:r>
      <w:r>
        <w:rPr>
          <w:rFonts w:ascii="Arial" w:hAnsi="Arial" w:cs="Arial"/>
          <w:color w:val="006621"/>
          <w:sz w:val="21"/>
          <w:szCs w:val="21"/>
          <w:shd w:val="clear" w:color="auto" w:fill="FFFFFF"/>
        </w:rPr>
        <w:t>revistas.javerianacali.edu.co/index.php/criteriojuridico/article/download/232/962&gt;</w:t>
      </w:r>
    </w:p>
  </w:footnote>
  <w:footnote w:id="2">
    <w:p w:rsidR="00E8718E" w:rsidRDefault="00E8718E" w:rsidP="00E8718E">
      <w:pPr>
        <w:pStyle w:val="Textonotapie"/>
        <w:rPr>
          <w:sz w:val="18"/>
        </w:rPr>
      </w:pPr>
      <w:r>
        <w:rPr>
          <w:rStyle w:val="Refdenotaalpie"/>
        </w:rPr>
        <w:footnoteRef/>
      </w:r>
      <w:r>
        <w:t xml:space="preserve"> Bernate Ochoa Francisco. “</w:t>
      </w:r>
      <w:r w:rsidRPr="00BF1092">
        <w:t>Imputación objetiva y responsabilidad penal médica.</w:t>
      </w:r>
      <w:r>
        <w:t>” Facultad de Jurisprudencia. Bogotá: Editorial Universidad del Rosario, 2010.</w:t>
      </w:r>
      <w:r w:rsidRPr="00BF1092">
        <w:t xml:space="preserve"> </w:t>
      </w:r>
      <w:r>
        <w:t xml:space="preserve">312 p.—(Colección Textos de Jurisprudencia). Pag 23. Tomado de </w:t>
      </w:r>
      <w:r>
        <w:rPr>
          <w:sz w:val="18"/>
        </w:rPr>
        <w:t>&lt;</w:t>
      </w:r>
      <w:r w:rsidRPr="00BF1092">
        <w:t xml:space="preserve"> </w:t>
      </w:r>
      <w:hyperlink r:id="rId1" w:history="1">
        <w:r w:rsidRPr="003B48BD">
          <w:rPr>
            <w:rStyle w:val="Hipervnculo"/>
            <w:sz w:val="18"/>
          </w:rPr>
          <w:t>http://repository.urosario.edu.co/bitstream/handle/10336/11094/Imputacion%20objetiva.pdf</w:t>
        </w:r>
      </w:hyperlink>
      <w:r>
        <w:rPr>
          <w:sz w:val="18"/>
        </w:rPr>
        <w:t>&gt;</w:t>
      </w:r>
    </w:p>
    <w:p w:rsidR="00E8718E" w:rsidRPr="00BF1092" w:rsidRDefault="00E8718E" w:rsidP="00E8718E">
      <w:pPr>
        <w:pStyle w:val="Textonotapie"/>
        <w:rPr>
          <w:sz w:val="18"/>
        </w:rPr>
      </w:pPr>
    </w:p>
  </w:footnote>
  <w:footnote w:id="3">
    <w:p w:rsidR="00E8718E" w:rsidRPr="002B20BB" w:rsidRDefault="00E8718E" w:rsidP="00E8718E">
      <w:pPr>
        <w:pStyle w:val="Textonotapie"/>
        <w:rPr>
          <w:sz w:val="18"/>
        </w:rPr>
      </w:pPr>
      <w:r>
        <w:rPr>
          <w:rStyle w:val="Refdenotaalpie"/>
        </w:rPr>
        <w:footnoteRef/>
      </w:r>
      <w:r>
        <w:t xml:space="preserve"> Osorio Arango Mónica Liliana. “Breve aproximación a algunos aspectos de la responsabilidad penal medica”. Pontificia Universidad Javeriana. Facultad de Ciencias Jurídicas. 2002. Págs. 10 y 11. Tomado de &lt;</w:t>
      </w:r>
      <w:r w:rsidRPr="002B20BB">
        <w:t xml:space="preserve"> </w:t>
      </w:r>
      <w:hyperlink r:id="rId2" w:history="1">
        <w:r w:rsidRPr="003B48BD">
          <w:rPr>
            <w:rStyle w:val="Hipervnculo"/>
          </w:rPr>
          <w:t>http://www.javeriana.edu.co/biblos/tesis/derecho/dere4/Tesis-14.pdf</w:t>
        </w:r>
      </w:hyperlink>
      <w:r>
        <w:rPr>
          <w:sz w:val="18"/>
        </w:rPr>
        <w:t xml:space="preserve">&gt; </w:t>
      </w:r>
    </w:p>
  </w:footnote>
  <w:footnote w:id="4">
    <w:p w:rsidR="00E8718E" w:rsidRDefault="00E8718E" w:rsidP="00E8718E">
      <w:pPr>
        <w:pStyle w:val="Textonotapie"/>
        <w:rPr>
          <w:sz w:val="18"/>
        </w:rPr>
      </w:pPr>
      <w:r>
        <w:rPr>
          <w:rStyle w:val="Refdenotaalpie"/>
        </w:rPr>
        <w:footnoteRef/>
      </w:r>
      <w:r>
        <w:t xml:space="preserve"> Bernate Ochoa Francisco. “</w:t>
      </w:r>
      <w:r w:rsidRPr="00BF1092">
        <w:t>Imputación objetiva y responsabilidad penal médica.</w:t>
      </w:r>
      <w:r>
        <w:t>” Facultad de Jurisprudencia. Bogotá: Editorial Universidad del Rosario, 2010.</w:t>
      </w:r>
      <w:r w:rsidRPr="00BF1092">
        <w:t xml:space="preserve"> </w:t>
      </w:r>
      <w:r>
        <w:t xml:space="preserve">312 p.—(Colección Textos de Jurisprudencia). Pag 24. Tomado de </w:t>
      </w:r>
      <w:r>
        <w:rPr>
          <w:sz w:val="18"/>
        </w:rPr>
        <w:t>&lt;</w:t>
      </w:r>
      <w:r w:rsidRPr="00BF1092">
        <w:t xml:space="preserve"> </w:t>
      </w:r>
      <w:hyperlink r:id="rId3" w:history="1">
        <w:r w:rsidRPr="003B48BD">
          <w:rPr>
            <w:rStyle w:val="Hipervnculo"/>
            <w:sz w:val="18"/>
          </w:rPr>
          <w:t>http://repository.urosario.edu.co/bitstream/handle/10336/11094/Imputacion%20objetiva.pdf</w:t>
        </w:r>
      </w:hyperlink>
      <w:r>
        <w:rPr>
          <w:sz w:val="18"/>
        </w:rPr>
        <w:t>&gt;</w:t>
      </w:r>
    </w:p>
    <w:p w:rsidR="00E8718E" w:rsidRPr="00BF1092" w:rsidRDefault="00E8718E" w:rsidP="00E8718E">
      <w:pPr>
        <w:pStyle w:val="Textonotapie"/>
        <w:rPr>
          <w:sz w:val="18"/>
        </w:rPr>
      </w:pPr>
    </w:p>
    <w:p w:rsidR="00E8718E" w:rsidRDefault="00E8718E" w:rsidP="00E8718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89516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2" o:spid="_x0000_s2050" type="#_x0000_t75" style="position:absolute;margin-left:0;margin-top:0;width:441.9pt;height:186.7pt;z-index:-251658752;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7764"/>
      <w:docPartObj>
        <w:docPartGallery w:val="Page Numbers (Top of Page)"/>
        <w:docPartUnique/>
      </w:docPartObj>
    </w:sdtPr>
    <w:sdtEndPr/>
    <w:sdtContent>
      <w:p w:rsidR="00B714F3" w:rsidRDefault="00B714F3">
        <w:pPr>
          <w:pStyle w:val="Encabezado"/>
          <w:jc w:val="right"/>
        </w:pPr>
        <w:r>
          <w:fldChar w:fldCharType="begin"/>
        </w:r>
        <w:r>
          <w:instrText>PAGE   \* MERGEFORMAT</w:instrText>
        </w:r>
        <w:r>
          <w:fldChar w:fldCharType="separate"/>
        </w:r>
        <w:r w:rsidR="00895161">
          <w:rPr>
            <w:noProof/>
          </w:rPr>
          <w:t>1</w:t>
        </w:r>
        <w:r>
          <w:fldChar w:fldCharType="end"/>
        </w:r>
      </w:p>
    </w:sdtContent>
  </w:sdt>
  <w:p w:rsidR="009F32D7" w:rsidRDefault="009F32D7" w:rsidP="009F32D7">
    <w:pPr>
      <w:pStyle w:val="Sinespaciado"/>
      <w:jc w:val="center"/>
      <w:rPr>
        <w:b/>
        <w:noProof/>
        <w:lang w:eastAsia="es-CO"/>
      </w:rPr>
    </w:pPr>
  </w:p>
  <w:p w:rsidR="00895161" w:rsidRDefault="00895161" w:rsidP="009F32D7">
    <w:pPr>
      <w:pStyle w:val="Sinespaciado"/>
      <w:jc w:val="center"/>
      <w:rPr>
        <w:b/>
        <w:noProof/>
        <w:lang w:eastAsia="es-CO"/>
      </w:rPr>
    </w:pPr>
  </w:p>
  <w:p w:rsidR="00895161" w:rsidRDefault="00895161" w:rsidP="009F32D7">
    <w:pPr>
      <w:pStyle w:val="Sinespaciado"/>
      <w:jc w:val="center"/>
      <w:rPr>
        <w:b/>
        <w:noProof/>
        <w:lang w:eastAsia="es-CO"/>
      </w:rPr>
    </w:pPr>
  </w:p>
  <w:p w:rsidR="00895161" w:rsidRDefault="00895161" w:rsidP="009F32D7">
    <w:pPr>
      <w:pStyle w:val="Sinespaciado"/>
      <w:jc w:val="center"/>
      <w:rPr>
        <w:b/>
        <w:noProof/>
        <w:lang w:eastAsia="es-CO"/>
      </w:rPr>
    </w:pPr>
  </w:p>
  <w:p w:rsidR="00895161" w:rsidRDefault="00895161" w:rsidP="009F32D7">
    <w:pPr>
      <w:pStyle w:val="Sinespaci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89516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1" o:spid="_x0000_s2049" type="#_x0000_t75" style="position:absolute;margin-left:0;margin-top:0;width:441.9pt;height:186.7pt;z-index:-251659776;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290"/>
    <w:multiLevelType w:val="hybridMultilevel"/>
    <w:tmpl w:val="238AC982"/>
    <w:numStyleLink w:val="Estiloimportado4"/>
  </w:abstractNum>
  <w:abstractNum w:abstractNumId="1" w15:restartNumberingAfterBreak="0">
    <w:nsid w:val="0E74261C"/>
    <w:multiLevelType w:val="hybridMultilevel"/>
    <w:tmpl w:val="C1F6804A"/>
    <w:numStyleLink w:val="Estiloimportado1"/>
  </w:abstractNum>
  <w:abstractNum w:abstractNumId="2" w15:restartNumberingAfterBreak="0">
    <w:nsid w:val="0ED10C21"/>
    <w:multiLevelType w:val="multilevel"/>
    <w:tmpl w:val="7F50C824"/>
    <w:lvl w:ilvl="0">
      <w:start w:val="1"/>
      <w:numFmt w:val="lowerLetter"/>
      <w:lvlText w:val="%1."/>
      <w:lvlJc w:val="left"/>
      <w:pPr>
        <w:tabs>
          <w:tab w:val="num" w:pos="720"/>
        </w:tabs>
        <w:ind w:left="720" w:hanging="360"/>
      </w:pPr>
    </w:lvl>
    <w:lvl w:ilvl="1">
      <w:start w:val="1"/>
      <w:numFmt w:val="decimal"/>
      <w:lvlText w:val="%2."/>
      <w:lvlJc w:val="left"/>
      <w:pPr>
        <w:ind w:left="785"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84BB5"/>
    <w:multiLevelType w:val="hybridMultilevel"/>
    <w:tmpl w:val="25D0E664"/>
    <w:styleLink w:val="Estiloimportado2"/>
    <w:lvl w:ilvl="0" w:tplc="1A6E3D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10AF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86DC0">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D6ED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ABA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C693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43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0C10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4725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976311"/>
    <w:multiLevelType w:val="hybridMultilevel"/>
    <w:tmpl w:val="1EF61AA4"/>
    <w:numStyleLink w:val="Estiloimportado3"/>
  </w:abstractNum>
  <w:abstractNum w:abstractNumId="5" w15:restartNumberingAfterBreak="0">
    <w:nsid w:val="16C10D1C"/>
    <w:multiLevelType w:val="hybridMultilevel"/>
    <w:tmpl w:val="25D0E664"/>
    <w:numStyleLink w:val="Estiloimportado2"/>
  </w:abstractNum>
  <w:abstractNum w:abstractNumId="6" w15:restartNumberingAfterBreak="0">
    <w:nsid w:val="198E0FD4"/>
    <w:multiLevelType w:val="hybridMultilevel"/>
    <w:tmpl w:val="44EEDCE2"/>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3518D5"/>
    <w:multiLevelType w:val="hybridMultilevel"/>
    <w:tmpl w:val="C2BA071C"/>
    <w:lvl w:ilvl="0" w:tplc="2AE29710">
      <w:start w:val="1"/>
      <w:numFmt w:val="bullet"/>
      <w:lvlText w:val=""/>
      <w:lvlJc w:val="left"/>
      <w:pPr>
        <w:tabs>
          <w:tab w:val="num" w:pos="720"/>
        </w:tabs>
        <w:ind w:left="720" w:hanging="360"/>
      </w:pPr>
      <w:rPr>
        <w:rFonts w:ascii="Wingdings 3" w:hAnsi="Wingdings 3" w:hint="default"/>
      </w:rPr>
    </w:lvl>
    <w:lvl w:ilvl="1" w:tplc="A852FDE4" w:tentative="1">
      <w:start w:val="1"/>
      <w:numFmt w:val="bullet"/>
      <w:lvlText w:val=""/>
      <w:lvlJc w:val="left"/>
      <w:pPr>
        <w:tabs>
          <w:tab w:val="num" w:pos="1440"/>
        </w:tabs>
        <w:ind w:left="1440" w:hanging="360"/>
      </w:pPr>
      <w:rPr>
        <w:rFonts w:ascii="Wingdings 3" w:hAnsi="Wingdings 3" w:hint="default"/>
      </w:rPr>
    </w:lvl>
    <w:lvl w:ilvl="2" w:tplc="C7A815CC" w:tentative="1">
      <w:start w:val="1"/>
      <w:numFmt w:val="bullet"/>
      <w:lvlText w:val=""/>
      <w:lvlJc w:val="left"/>
      <w:pPr>
        <w:tabs>
          <w:tab w:val="num" w:pos="2160"/>
        </w:tabs>
        <w:ind w:left="2160" w:hanging="360"/>
      </w:pPr>
      <w:rPr>
        <w:rFonts w:ascii="Wingdings 3" w:hAnsi="Wingdings 3" w:hint="default"/>
      </w:rPr>
    </w:lvl>
    <w:lvl w:ilvl="3" w:tplc="8CBEF146" w:tentative="1">
      <w:start w:val="1"/>
      <w:numFmt w:val="bullet"/>
      <w:lvlText w:val=""/>
      <w:lvlJc w:val="left"/>
      <w:pPr>
        <w:tabs>
          <w:tab w:val="num" w:pos="2880"/>
        </w:tabs>
        <w:ind w:left="2880" w:hanging="360"/>
      </w:pPr>
      <w:rPr>
        <w:rFonts w:ascii="Wingdings 3" w:hAnsi="Wingdings 3" w:hint="default"/>
      </w:rPr>
    </w:lvl>
    <w:lvl w:ilvl="4" w:tplc="CF768BB6" w:tentative="1">
      <w:start w:val="1"/>
      <w:numFmt w:val="bullet"/>
      <w:lvlText w:val=""/>
      <w:lvlJc w:val="left"/>
      <w:pPr>
        <w:tabs>
          <w:tab w:val="num" w:pos="3600"/>
        </w:tabs>
        <w:ind w:left="3600" w:hanging="360"/>
      </w:pPr>
      <w:rPr>
        <w:rFonts w:ascii="Wingdings 3" w:hAnsi="Wingdings 3" w:hint="default"/>
      </w:rPr>
    </w:lvl>
    <w:lvl w:ilvl="5" w:tplc="4BC2A898" w:tentative="1">
      <w:start w:val="1"/>
      <w:numFmt w:val="bullet"/>
      <w:lvlText w:val=""/>
      <w:lvlJc w:val="left"/>
      <w:pPr>
        <w:tabs>
          <w:tab w:val="num" w:pos="4320"/>
        </w:tabs>
        <w:ind w:left="4320" w:hanging="360"/>
      </w:pPr>
      <w:rPr>
        <w:rFonts w:ascii="Wingdings 3" w:hAnsi="Wingdings 3" w:hint="default"/>
      </w:rPr>
    </w:lvl>
    <w:lvl w:ilvl="6" w:tplc="7546842C" w:tentative="1">
      <w:start w:val="1"/>
      <w:numFmt w:val="bullet"/>
      <w:lvlText w:val=""/>
      <w:lvlJc w:val="left"/>
      <w:pPr>
        <w:tabs>
          <w:tab w:val="num" w:pos="5040"/>
        </w:tabs>
        <w:ind w:left="5040" w:hanging="360"/>
      </w:pPr>
      <w:rPr>
        <w:rFonts w:ascii="Wingdings 3" w:hAnsi="Wingdings 3" w:hint="default"/>
      </w:rPr>
    </w:lvl>
    <w:lvl w:ilvl="7" w:tplc="09B0245E" w:tentative="1">
      <w:start w:val="1"/>
      <w:numFmt w:val="bullet"/>
      <w:lvlText w:val=""/>
      <w:lvlJc w:val="left"/>
      <w:pPr>
        <w:tabs>
          <w:tab w:val="num" w:pos="5760"/>
        </w:tabs>
        <w:ind w:left="5760" w:hanging="360"/>
      </w:pPr>
      <w:rPr>
        <w:rFonts w:ascii="Wingdings 3" w:hAnsi="Wingdings 3" w:hint="default"/>
      </w:rPr>
    </w:lvl>
    <w:lvl w:ilvl="8" w:tplc="8D9AC82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C86782D"/>
    <w:multiLevelType w:val="hybridMultilevel"/>
    <w:tmpl w:val="5A04A58E"/>
    <w:lvl w:ilvl="0" w:tplc="237A614E">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1EC06C54"/>
    <w:multiLevelType w:val="hybridMultilevel"/>
    <w:tmpl w:val="81D2DE88"/>
    <w:lvl w:ilvl="0" w:tplc="389C02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AF44AD"/>
    <w:multiLevelType w:val="hybridMultilevel"/>
    <w:tmpl w:val="C1F6804A"/>
    <w:styleLink w:val="Estiloimportado1"/>
    <w:lvl w:ilvl="0" w:tplc="F89AF2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D4C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6D9AE">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4B5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630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BA74E6">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E6D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2E31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18A7312"/>
    <w:multiLevelType w:val="multilevel"/>
    <w:tmpl w:val="8EEC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F3E1F"/>
    <w:multiLevelType w:val="hybridMultilevel"/>
    <w:tmpl w:val="F18E555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3C62AC3"/>
    <w:multiLevelType w:val="hybridMultilevel"/>
    <w:tmpl w:val="238AC982"/>
    <w:numStyleLink w:val="Estiloimportado4"/>
  </w:abstractNum>
  <w:abstractNum w:abstractNumId="14" w15:restartNumberingAfterBreak="0">
    <w:nsid w:val="3E296702"/>
    <w:multiLevelType w:val="hybridMultilevel"/>
    <w:tmpl w:val="1EF61AA4"/>
    <w:styleLink w:val="Estiloimportado3"/>
    <w:lvl w:ilvl="0" w:tplc="5A52562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AED1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645BF6">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E018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3891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97F8">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6AAF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2649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A4E32">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22C44FE"/>
    <w:multiLevelType w:val="hybridMultilevel"/>
    <w:tmpl w:val="3312AFBE"/>
    <w:lvl w:ilvl="0" w:tplc="44B430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7BE0648"/>
    <w:multiLevelType w:val="hybridMultilevel"/>
    <w:tmpl w:val="25D0E664"/>
    <w:numStyleLink w:val="Estiloimportado2"/>
  </w:abstractNum>
  <w:abstractNum w:abstractNumId="17" w15:restartNumberingAfterBreak="0">
    <w:nsid w:val="48DC5139"/>
    <w:multiLevelType w:val="hybridMultilevel"/>
    <w:tmpl w:val="729AE4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8F038A"/>
    <w:multiLevelType w:val="hybridMultilevel"/>
    <w:tmpl w:val="C1F6804A"/>
    <w:numStyleLink w:val="Estiloimportado1"/>
  </w:abstractNum>
  <w:abstractNum w:abstractNumId="19" w15:restartNumberingAfterBreak="0">
    <w:nsid w:val="5F9060BE"/>
    <w:multiLevelType w:val="hybridMultilevel"/>
    <w:tmpl w:val="4D5AD958"/>
    <w:styleLink w:val="Nmero"/>
    <w:lvl w:ilvl="0" w:tplc="BB2C045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ABC5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A3F1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362E3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6478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2A3F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B26F4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2260C">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8E56D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40533E5"/>
    <w:multiLevelType w:val="hybridMultilevel"/>
    <w:tmpl w:val="238AC982"/>
    <w:styleLink w:val="Estiloimportado4"/>
    <w:lvl w:ilvl="0" w:tplc="0FF8F1F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B476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AA1C0">
      <w:start w:val="1"/>
      <w:numFmt w:val="lowerRoman"/>
      <w:lvlText w:val="%3."/>
      <w:lvlJc w:val="left"/>
      <w:pPr>
        <w:ind w:left="21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4C320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C9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4A9796">
      <w:start w:val="1"/>
      <w:numFmt w:val="lowerRoman"/>
      <w:lvlText w:val="%6."/>
      <w:lvlJc w:val="left"/>
      <w:pPr>
        <w:ind w:left="43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4FF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3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4288C">
      <w:start w:val="1"/>
      <w:numFmt w:val="lowerRoman"/>
      <w:lvlText w:val="%9."/>
      <w:lvlJc w:val="left"/>
      <w:pPr>
        <w:ind w:left="64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F53B68"/>
    <w:multiLevelType w:val="hybridMultilevel"/>
    <w:tmpl w:val="1EF61AA4"/>
    <w:numStyleLink w:val="Estiloimportado3"/>
  </w:abstractNum>
  <w:abstractNum w:abstractNumId="22" w15:restartNumberingAfterBreak="0">
    <w:nsid w:val="7ABD0508"/>
    <w:multiLevelType w:val="hybridMultilevel"/>
    <w:tmpl w:val="0B0E8504"/>
    <w:lvl w:ilvl="0" w:tplc="D08E8C8A">
      <w:start w:val="4"/>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D729A7"/>
    <w:multiLevelType w:val="hybridMultilevel"/>
    <w:tmpl w:val="4016ED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
  </w:num>
  <w:num w:numId="4">
    <w:abstractNumId w:val="3"/>
  </w:num>
  <w:num w:numId="5">
    <w:abstractNumId w:val="16"/>
  </w:num>
  <w:num w:numId="6">
    <w:abstractNumId w:val="14"/>
  </w:num>
  <w:num w:numId="7">
    <w:abstractNumId w:val="21"/>
  </w:num>
  <w:num w:numId="8">
    <w:abstractNumId w:val="20"/>
  </w:num>
  <w:num w:numId="9">
    <w:abstractNumId w:val="13"/>
  </w:num>
  <w:num w:numId="10">
    <w:abstractNumId w:val="13"/>
    <w:lvlOverride w:ilvl="0">
      <w:lvl w:ilvl="0" w:tplc="36F60C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B487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2A844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BAF4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A0AF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8CDB4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B218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AC46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F4B1E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8"/>
  </w:num>
  <w:num w:numId="12">
    <w:abstractNumId w:val="5"/>
  </w:num>
  <w:num w:numId="13">
    <w:abstractNumId w:val="4"/>
  </w:num>
  <w:num w:numId="14">
    <w:abstractNumId w:val="0"/>
  </w:num>
  <w:num w:numId="15">
    <w:abstractNumId w:val="0"/>
    <w:lvlOverride w:ilvl="0">
      <w:lvl w:ilvl="0" w:tplc="CDD60C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9AD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C0F23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B496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9499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722C9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DE67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20C8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10A85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3"/>
  </w:num>
  <w:num w:numId="17">
    <w:abstractNumId w:val="6"/>
  </w:num>
  <w:num w:numId="18">
    <w:abstractNumId w:val="12"/>
  </w:num>
  <w:num w:numId="19">
    <w:abstractNumId w:val="15"/>
  </w:num>
  <w:num w:numId="20">
    <w:abstractNumId w:val="8"/>
  </w:num>
  <w:num w:numId="21">
    <w:abstractNumId w:val="2"/>
  </w:num>
  <w:num w:numId="22">
    <w:abstractNumId w:val="11"/>
  </w:num>
  <w:num w:numId="23">
    <w:abstractNumId w:val="17"/>
  </w:num>
  <w:num w:numId="24">
    <w:abstractNumId w:val="22"/>
  </w:num>
  <w:num w:numId="25">
    <w:abstractNumId w:val="7"/>
  </w:num>
  <w:num w:numId="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A"/>
    <w:rsid w:val="0003704D"/>
    <w:rsid w:val="00054001"/>
    <w:rsid w:val="00073C5D"/>
    <w:rsid w:val="0008195B"/>
    <w:rsid w:val="00092E74"/>
    <w:rsid w:val="000A71F7"/>
    <w:rsid w:val="000A721B"/>
    <w:rsid w:val="000B7072"/>
    <w:rsid w:val="00101CE5"/>
    <w:rsid w:val="0010228B"/>
    <w:rsid w:val="00106BF6"/>
    <w:rsid w:val="00112A12"/>
    <w:rsid w:val="0014204C"/>
    <w:rsid w:val="001847D6"/>
    <w:rsid w:val="001A3ED3"/>
    <w:rsid w:val="001D4F0B"/>
    <w:rsid w:val="001D5A6C"/>
    <w:rsid w:val="00203F37"/>
    <w:rsid w:val="0021682A"/>
    <w:rsid w:val="00250686"/>
    <w:rsid w:val="0025162D"/>
    <w:rsid w:val="0025345A"/>
    <w:rsid w:val="00256A29"/>
    <w:rsid w:val="00260D5E"/>
    <w:rsid w:val="00263C1E"/>
    <w:rsid w:val="0027030D"/>
    <w:rsid w:val="00272B3D"/>
    <w:rsid w:val="0027325E"/>
    <w:rsid w:val="00277D4E"/>
    <w:rsid w:val="0028541B"/>
    <w:rsid w:val="0028584B"/>
    <w:rsid w:val="002C40E3"/>
    <w:rsid w:val="00304FE6"/>
    <w:rsid w:val="003149F5"/>
    <w:rsid w:val="00340354"/>
    <w:rsid w:val="00343DC9"/>
    <w:rsid w:val="00346CEE"/>
    <w:rsid w:val="00372B46"/>
    <w:rsid w:val="003750E4"/>
    <w:rsid w:val="003A1DCC"/>
    <w:rsid w:val="003A28DD"/>
    <w:rsid w:val="003C2B42"/>
    <w:rsid w:val="003C37E0"/>
    <w:rsid w:val="003F6BD5"/>
    <w:rsid w:val="004059BA"/>
    <w:rsid w:val="00430747"/>
    <w:rsid w:val="00433417"/>
    <w:rsid w:val="00444608"/>
    <w:rsid w:val="004467CC"/>
    <w:rsid w:val="0046300E"/>
    <w:rsid w:val="00464497"/>
    <w:rsid w:val="0047032E"/>
    <w:rsid w:val="00480C66"/>
    <w:rsid w:val="004854E8"/>
    <w:rsid w:val="00490291"/>
    <w:rsid w:val="004A50CF"/>
    <w:rsid w:val="004A7A8E"/>
    <w:rsid w:val="004C1BA4"/>
    <w:rsid w:val="004C3605"/>
    <w:rsid w:val="004D2E1F"/>
    <w:rsid w:val="004E0CED"/>
    <w:rsid w:val="004F2CA6"/>
    <w:rsid w:val="004F6734"/>
    <w:rsid w:val="00537D81"/>
    <w:rsid w:val="00556EBE"/>
    <w:rsid w:val="005756CB"/>
    <w:rsid w:val="00575D94"/>
    <w:rsid w:val="0058531E"/>
    <w:rsid w:val="005927F3"/>
    <w:rsid w:val="00596135"/>
    <w:rsid w:val="005B58A5"/>
    <w:rsid w:val="005C1A3D"/>
    <w:rsid w:val="005D67AB"/>
    <w:rsid w:val="00606EAE"/>
    <w:rsid w:val="006323C9"/>
    <w:rsid w:val="00632FC2"/>
    <w:rsid w:val="00637E9B"/>
    <w:rsid w:val="00652325"/>
    <w:rsid w:val="00657556"/>
    <w:rsid w:val="00660B24"/>
    <w:rsid w:val="00665743"/>
    <w:rsid w:val="00667DB8"/>
    <w:rsid w:val="00682386"/>
    <w:rsid w:val="00695037"/>
    <w:rsid w:val="006A1792"/>
    <w:rsid w:val="006C69D9"/>
    <w:rsid w:val="006C7504"/>
    <w:rsid w:val="006F3B3E"/>
    <w:rsid w:val="00700751"/>
    <w:rsid w:val="00722BB1"/>
    <w:rsid w:val="00722DC6"/>
    <w:rsid w:val="00726D46"/>
    <w:rsid w:val="00730AF5"/>
    <w:rsid w:val="00733F71"/>
    <w:rsid w:val="00757FE4"/>
    <w:rsid w:val="00784FA6"/>
    <w:rsid w:val="00792A99"/>
    <w:rsid w:val="007934A1"/>
    <w:rsid w:val="00793DE6"/>
    <w:rsid w:val="007A45FB"/>
    <w:rsid w:val="007A547F"/>
    <w:rsid w:val="007C6F31"/>
    <w:rsid w:val="007F1409"/>
    <w:rsid w:val="007F5FAC"/>
    <w:rsid w:val="0080372F"/>
    <w:rsid w:val="00815D24"/>
    <w:rsid w:val="0081722E"/>
    <w:rsid w:val="00823039"/>
    <w:rsid w:val="00845DF9"/>
    <w:rsid w:val="008525DC"/>
    <w:rsid w:val="00853121"/>
    <w:rsid w:val="008553F7"/>
    <w:rsid w:val="00883C35"/>
    <w:rsid w:val="00895161"/>
    <w:rsid w:val="008A4D06"/>
    <w:rsid w:val="008B0F4A"/>
    <w:rsid w:val="008B138C"/>
    <w:rsid w:val="008B581D"/>
    <w:rsid w:val="008C1EBE"/>
    <w:rsid w:val="008C674A"/>
    <w:rsid w:val="008C6B71"/>
    <w:rsid w:val="00902721"/>
    <w:rsid w:val="009123EB"/>
    <w:rsid w:val="009267E3"/>
    <w:rsid w:val="00933CBC"/>
    <w:rsid w:val="00940F69"/>
    <w:rsid w:val="009444FE"/>
    <w:rsid w:val="00952E8C"/>
    <w:rsid w:val="009F32D7"/>
    <w:rsid w:val="009F5A75"/>
    <w:rsid w:val="009F6CF9"/>
    <w:rsid w:val="009F722D"/>
    <w:rsid w:val="00A00926"/>
    <w:rsid w:val="00A051DE"/>
    <w:rsid w:val="00A234D1"/>
    <w:rsid w:val="00A61A39"/>
    <w:rsid w:val="00A71C74"/>
    <w:rsid w:val="00A722BE"/>
    <w:rsid w:val="00A74EF8"/>
    <w:rsid w:val="00A8632F"/>
    <w:rsid w:val="00A86C25"/>
    <w:rsid w:val="00A87077"/>
    <w:rsid w:val="00A91361"/>
    <w:rsid w:val="00A95A63"/>
    <w:rsid w:val="00AB1790"/>
    <w:rsid w:val="00AB1CA8"/>
    <w:rsid w:val="00AE31A7"/>
    <w:rsid w:val="00AE4AD1"/>
    <w:rsid w:val="00AF7A01"/>
    <w:rsid w:val="00B1034F"/>
    <w:rsid w:val="00B13669"/>
    <w:rsid w:val="00B5608B"/>
    <w:rsid w:val="00B60562"/>
    <w:rsid w:val="00B62827"/>
    <w:rsid w:val="00B70AFF"/>
    <w:rsid w:val="00B714F3"/>
    <w:rsid w:val="00B86667"/>
    <w:rsid w:val="00B93F8D"/>
    <w:rsid w:val="00BE30B2"/>
    <w:rsid w:val="00C027E9"/>
    <w:rsid w:val="00C11C38"/>
    <w:rsid w:val="00C24696"/>
    <w:rsid w:val="00C27EB9"/>
    <w:rsid w:val="00C30244"/>
    <w:rsid w:val="00C30591"/>
    <w:rsid w:val="00C41702"/>
    <w:rsid w:val="00C83430"/>
    <w:rsid w:val="00C9764D"/>
    <w:rsid w:val="00C97C9F"/>
    <w:rsid w:val="00CA5B67"/>
    <w:rsid w:val="00CB05AC"/>
    <w:rsid w:val="00CC5923"/>
    <w:rsid w:val="00CD5BDE"/>
    <w:rsid w:val="00CE781B"/>
    <w:rsid w:val="00CF2DE5"/>
    <w:rsid w:val="00D03099"/>
    <w:rsid w:val="00D17180"/>
    <w:rsid w:val="00D7104D"/>
    <w:rsid w:val="00D73803"/>
    <w:rsid w:val="00D77771"/>
    <w:rsid w:val="00D82433"/>
    <w:rsid w:val="00D82DEC"/>
    <w:rsid w:val="00D83F92"/>
    <w:rsid w:val="00DB3F9D"/>
    <w:rsid w:val="00DC299C"/>
    <w:rsid w:val="00DE50B1"/>
    <w:rsid w:val="00E1232B"/>
    <w:rsid w:val="00E20C24"/>
    <w:rsid w:val="00E37010"/>
    <w:rsid w:val="00E51C96"/>
    <w:rsid w:val="00E62F90"/>
    <w:rsid w:val="00E84FC6"/>
    <w:rsid w:val="00E8718E"/>
    <w:rsid w:val="00E935D4"/>
    <w:rsid w:val="00E9671C"/>
    <w:rsid w:val="00EA2C69"/>
    <w:rsid w:val="00EA467A"/>
    <w:rsid w:val="00EB1222"/>
    <w:rsid w:val="00F23002"/>
    <w:rsid w:val="00F232C1"/>
    <w:rsid w:val="00F358B3"/>
    <w:rsid w:val="00F4084A"/>
    <w:rsid w:val="00F50B8D"/>
    <w:rsid w:val="00F74B44"/>
    <w:rsid w:val="00F80B04"/>
    <w:rsid w:val="00F84617"/>
    <w:rsid w:val="00F91906"/>
    <w:rsid w:val="00FD1FA0"/>
    <w:rsid w:val="00FD4D21"/>
    <w:rsid w:val="00FF3BE0"/>
    <w:rsid w:val="00FF7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524F4E7"/>
  <w15:chartTrackingRefBased/>
  <w15:docId w15:val="{7CF4431A-57AE-4ACA-930D-A949538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C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2386"/>
    <w:pPr>
      <w:jc w:val="both"/>
    </w:pPr>
    <w:rPr>
      <w:rFonts w:ascii="Arial" w:hAnsi="Arial"/>
      <w:szCs w:val="20"/>
    </w:rPr>
  </w:style>
  <w:style w:type="character" w:customStyle="1" w:styleId="Textoindependiente2Car">
    <w:name w:val="Texto independiente 2 Car"/>
    <w:link w:val="Textoindependiente2"/>
    <w:rsid w:val="0080372F"/>
    <w:rPr>
      <w:rFonts w:ascii="Arial" w:hAnsi="Arial"/>
      <w:sz w:val="24"/>
      <w:lang w:val="es-ES" w:eastAsia="es-ES"/>
    </w:rPr>
  </w:style>
  <w:style w:type="character" w:styleId="Hipervnculo">
    <w:name w:val="Hyperlink"/>
    <w:uiPriority w:val="99"/>
    <w:unhideWhenUsed/>
    <w:rsid w:val="008B0F4A"/>
    <w:rPr>
      <w:color w:val="0000FF"/>
      <w:u w:val="single"/>
    </w:rPr>
  </w:style>
  <w:style w:type="character" w:customStyle="1" w:styleId="apple-style-span">
    <w:name w:val="apple-style-span"/>
    <w:rsid w:val="008B0F4A"/>
  </w:style>
  <w:style w:type="paragraph" w:styleId="Prrafodelista">
    <w:name w:val="List Paragraph"/>
    <w:basedOn w:val="Normal"/>
    <w:uiPriority w:val="34"/>
    <w:qFormat/>
    <w:rsid w:val="008B0F4A"/>
    <w:pPr>
      <w:spacing w:after="200" w:line="276" w:lineRule="auto"/>
      <w:ind w:left="720"/>
      <w:contextualSpacing/>
    </w:pPr>
    <w:rPr>
      <w:rFonts w:ascii="Calibri" w:hAnsi="Calibri"/>
      <w:sz w:val="22"/>
      <w:szCs w:val="22"/>
      <w:lang w:val="es-CO" w:eastAsia="en-US"/>
    </w:rPr>
  </w:style>
  <w:style w:type="paragraph" w:styleId="Textodeglobo">
    <w:name w:val="Balloon Text"/>
    <w:basedOn w:val="Normal"/>
    <w:link w:val="TextodegloboCar"/>
    <w:rsid w:val="00430747"/>
    <w:rPr>
      <w:rFonts w:ascii="Tahoma" w:hAnsi="Tahoma" w:cs="Tahoma"/>
      <w:sz w:val="16"/>
      <w:szCs w:val="16"/>
    </w:rPr>
  </w:style>
  <w:style w:type="character" w:customStyle="1" w:styleId="TextodegloboCar">
    <w:name w:val="Texto de globo Car"/>
    <w:link w:val="Textodeglobo"/>
    <w:rsid w:val="00430747"/>
    <w:rPr>
      <w:rFonts w:ascii="Tahoma" w:hAnsi="Tahoma" w:cs="Tahoma"/>
      <w:sz w:val="16"/>
      <w:szCs w:val="16"/>
      <w:lang w:val="es-ES" w:eastAsia="es-ES"/>
    </w:rPr>
  </w:style>
  <w:style w:type="paragraph" w:styleId="Encabezado">
    <w:name w:val="header"/>
    <w:basedOn w:val="Normal"/>
    <w:link w:val="EncabezadoCar"/>
    <w:uiPriority w:val="99"/>
    <w:rsid w:val="00660B24"/>
    <w:pPr>
      <w:tabs>
        <w:tab w:val="center" w:pos="4419"/>
        <w:tab w:val="right" w:pos="8838"/>
      </w:tabs>
    </w:pPr>
  </w:style>
  <w:style w:type="character" w:customStyle="1" w:styleId="EncabezadoCar">
    <w:name w:val="Encabezado Car"/>
    <w:link w:val="Encabezado"/>
    <w:uiPriority w:val="99"/>
    <w:rsid w:val="00660B24"/>
    <w:rPr>
      <w:sz w:val="24"/>
      <w:szCs w:val="24"/>
      <w:lang w:val="es-ES" w:eastAsia="es-ES"/>
    </w:rPr>
  </w:style>
  <w:style w:type="paragraph" w:styleId="Piedepgina">
    <w:name w:val="footer"/>
    <w:basedOn w:val="Normal"/>
    <w:link w:val="PiedepginaCar"/>
    <w:uiPriority w:val="99"/>
    <w:rsid w:val="00660B24"/>
    <w:pPr>
      <w:tabs>
        <w:tab w:val="center" w:pos="4419"/>
        <w:tab w:val="right" w:pos="8838"/>
      </w:tabs>
    </w:pPr>
  </w:style>
  <w:style w:type="character" w:customStyle="1" w:styleId="PiedepginaCar">
    <w:name w:val="Pie de página Car"/>
    <w:link w:val="Piedepgina"/>
    <w:uiPriority w:val="99"/>
    <w:rsid w:val="00660B24"/>
    <w:rPr>
      <w:sz w:val="24"/>
      <w:szCs w:val="24"/>
      <w:lang w:val="es-ES" w:eastAsia="es-ES"/>
    </w:rPr>
  </w:style>
  <w:style w:type="character" w:styleId="Textoennegrita">
    <w:name w:val="Strong"/>
    <w:uiPriority w:val="22"/>
    <w:qFormat/>
    <w:rsid w:val="00B60562"/>
    <w:rPr>
      <w:b/>
      <w:bCs/>
    </w:rPr>
  </w:style>
  <w:style w:type="paragraph" w:customStyle="1" w:styleId="creditos">
    <w:name w:val="creditos"/>
    <w:basedOn w:val="Normal"/>
    <w:rsid w:val="00B60562"/>
    <w:pPr>
      <w:spacing w:before="100" w:beforeAutospacing="1" w:after="100" w:afterAutospacing="1" w:line="312" w:lineRule="atLeast"/>
    </w:pPr>
    <w:rPr>
      <w:color w:val="393939"/>
      <w:sz w:val="17"/>
      <w:szCs w:val="17"/>
      <w:lang w:val="es-CO" w:eastAsia="es-CO"/>
    </w:rPr>
  </w:style>
  <w:style w:type="paragraph" w:styleId="Sinespaciado">
    <w:name w:val="No Spacing"/>
    <w:uiPriority w:val="1"/>
    <w:qFormat/>
    <w:rsid w:val="009F32D7"/>
    <w:rPr>
      <w:rFonts w:ascii="Calibri" w:eastAsia="Calibri" w:hAnsi="Calibri"/>
      <w:sz w:val="22"/>
      <w:szCs w:val="22"/>
      <w:lang w:eastAsia="en-US"/>
    </w:rPr>
  </w:style>
  <w:style w:type="character" w:customStyle="1" w:styleId="apple-converted-space">
    <w:name w:val="apple-converted-space"/>
    <w:rsid w:val="00A95A63"/>
  </w:style>
  <w:style w:type="numbering" w:customStyle="1" w:styleId="Nmero">
    <w:name w:val="Número"/>
    <w:rsid w:val="005927F3"/>
    <w:pPr>
      <w:numPr>
        <w:numId w:val="1"/>
      </w:numPr>
    </w:pPr>
  </w:style>
  <w:style w:type="paragraph" w:styleId="Textoindependiente">
    <w:name w:val="Body Text"/>
    <w:basedOn w:val="Normal"/>
    <w:link w:val="TextoindependienteCar"/>
    <w:rsid w:val="006323C9"/>
    <w:pPr>
      <w:spacing w:after="120"/>
    </w:pPr>
  </w:style>
  <w:style w:type="character" w:customStyle="1" w:styleId="TextoindependienteCar">
    <w:name w:val="Texto independiente Car"/>
    <w:link w:val="Textoindependiente"/>
    <w:rsid w:val="006323C9"/>
    <w:rPr>
      <w:sz w:val="24"/>
      <w:szCs w:val="24"/>
      <w:lang w:val="es-ES" w:eastAsia="es-ES"/>
    </w:rPr>
  </w:style>
  <w:style w:type="paragraph" w:styleId="Textonotapie">
    <w:name w:val="footnote text"/>
    <w:basedOn w:val="Normal"/>
    <w:link w:val="TextonotapieCar"/>
    <w:uiPriority w:val="99"/>
    <w:unhideWhenUsed/>
    <w:rsid w:val="0014204C"/>
    <w:pPr>
      <w:pBdr>
        <w:top w:val="nil"/>
        <w:left w:val="nil"/>
        <w:bottom w:val="nil"/>
        <w:right w:val="nil"/>
        <w:between w:val="nil"/>
      </w:pBdr>
    </w:pPr>
    <w:rPr>
      <w:rFonts w:ascii="Calibri" w:eastAsia="Calibri" w:hAnsi="Calibri" w:cs="Calibri"/>
      <w:color w:val="000000"/>
      <w:sz w:val="20"/>
      <w:szCs w:val="20"/>
      <w:lang w:val="es-CO" w:eastAsia="es-CO"/>
    </w:rPr>
  </w:style>
  <w:style w:type="character" w:customStyle="1" w:styleId="TextonotapieCar">
    <w:name w:val="Texto nota pie Car"/>
    <w:link w:val="Textonotapie"/>
    <w:uiPriority w:val="99"/>
    <w:rsid w:val="0014204C"/>
    <w:rPr>
      <w:rFonts w:ascii="Calibri" w:eastAsia="Calibri" w:hAnsi="Calibri" w:cs="Calibri"/>
      <w:color w:val="000000"/>
    </w:rPr>
  </w:style>
  <w:style w:type="character" w:styleId="Refdenotaalpie">
    <w:name w:val="footnote reference"/>
    <w:uiPriority w:val="99"/>
    <w:unhideWhenUsed/>
    <w:rsid w:val="0014204C"/>
    <w:rPr>
      <w:vertAlign w:val="superscript"/>
    </w:rPr>
  </w:style>
  <w:style w:type="paragraph" w:customStyle="1" w:styleId="Cuerpo">
    <w:name w:val="Cuerpo"/>
    <w:rsid w:val="003A28DD"/>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customStyle="1" w:styleId="Hyperlink0">
    <w:name w:val="Hyperlink.0"/>
    <w:rsid w:val="003A28DD"/>
    <w:rPr>
      <w:color w:val="0000FF"/>
      <w:u w:val="single"/>
    </w:rPr>
  </w:style>
  <w:style w:type="numbering" w:customStyle="1" w:styleId="Estiloimportado1">
    <w:name w:val="Estilo importado 1"/>
    <w:rsid w:val="00695037"/>
    <w:pPr>
      <w:numPr>
        <w:numId w:val="2"/>
      </w:numPr>
    </w:pPr>
  </w:style>
  <w:style w:type="numbering" w:customStyle="1" w:styleId="Estiloimportado2">
    <w:name w:val="Estilo importado 2"/>
    <w:rsid w:val="00695037"/>
    <w:pPr>
      <w:numPr>
        <w:numId w:val="4"/>
      </w:numPr>
    </w:pPr>
  </w:style>
  <w:style w:type="numbering" w:customStyle="1" w:styleId="Estiloimportado3">
    <w:name w:val="Estilo importado 3"/>
    <w:rsid w:val="00695037"/>
    <w:pPr>
      <w:numPr>
        <w:numId w:val="6"/>
      </w:numPr>
    </w:pPr>
  </w:style>
  <w:style w:type="numbering" w:customStyle="1" w:styleId="Estiloimportado4">
    <w:name w:val="Estilo importado 4"/>
    <w:rsid w:val="0069503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2914">
      <w:bodyDiv w:val="1"/>
      <w:marLeft w:val="0"/>
      <w:marRight w:val="0"/>
      <w:marTop w:val="0"/>
      <w:marBottom w:val="0"/>
      <w:divBdr>
        <w:top w:val="none" w:sz="0" w:space="0" w:color="auto"/>
        <w:left w:val="none" w:sz="0" w:space="0" w:color="auto"/>
        <w:bottom w:val="none" w:sz="0" w:space="0" w:color="auto"/>
        <w:right w:val="none" w:sz="0" w:space="0" w:color="auto"/>
      </w:divBdr>
    </w:div>
    <w:div w:id="15393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repository.urosario.edu.co/bitstream/handle/10336/11094/Imputacion%20objetiva.pdf" TargetMode="External"/><Relationship Id="rId2" Type="http://schemas.openxmlformats.org/officeDocument/2006/relationships/hyperlink" Target="http://www.javeriana.edu.co/biblos/tesis/derecho/dere4/Tesis-14.pdf" TargetMode="External"/><Relationship Id="rId1" Type="http://schemas.openxmlformats.org/officeDocument/2006/relationships/hyperlink" Target="http://repository.urosario.edu.co/bitstream/handle/10336/11094/Imputacion%20objetiv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DD0C-9A58-4EF2-9939-8FF9A1AA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3552</Words>
  <Characters>18652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Bogotá, Julio de 2010</vt:lpstr>
    </vt:vector>
  </TitlesOfParts>
  <Company>Camara de Representantes</Company>
  <LinksUpToDate>false</LinksUpToDate>
  <CharactersWithSpaces>22160</CharactersWithSpaces>
  <SharedDoc>false</SharedDoc>
  <HLinks>
    <vt:vector size="6" baseType="variant">
      <vt:variant>
        <vt:i4>7143514</vt:i4>
      </vt:variant>
      <vt:variant>
        <vt:i4>0</vt:i4>
      </vt:variant>
      <vt:variant>
        <vt:i4>0</vt:i4>
      </vt:variant>
      <vt:variant>
        <vt:i4>5</vt:i4>
      </vt:variant>
      <vt:variant>
        <vt:lpwstr>mailto:comision.derechoshumanos@camara.gov.co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Julio de 2010</dc:title>
  <dc:subject/>
  <dc:creator>419B</dc:creator>
  <cp:keywords/>
  <cp:lastModifiedBy>hasbleidy suarez</cp:lastModifiedBy>
  <cp:revision>4</cp:revision>
  <cp:lastPrinted>2018-05-21T16:30:00Z</cp:lastPrinted>
  <dcterms:created xsi:type="dcterms:W3CDTF">2018-05-18T16:07:00Z</dcterms:created>
  <dcterms:modified xsi:type="dcterms:W3CDTF">2018-05-21T16:36:00Z</dcterms:modified>
</cp:coreProperties>
</file>