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9" w:rsidRPr="0094519B" w:rsidRDefault="001D0839" w:rsidP="001D0839">
      <w:pPr>
        <w:pStyle w:val="NormalWeb"/>
        <w:spacing w:before="0" w:beforeAutospacing="0" w:after="0" w:afterAutospacing="0"/>
        <w:jc w:val="center"/>
        <w:rPr>
          <w:rStyle w:val="Textoennegrita"/>
          <w:lang w:val="es-ES"/>
        </w:rPr>
      </w:pPr>
      <w:r w:rsidRPr="0094519B">
        <w:rPr>
          <w:rStyle w:val="Textoennegrita"/>
          <w:lang w:val="es-ES"/>
        </w:rPr>
        <w:t xml:space="preserve">PROYECTO DE LEY </w:t>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r>
      <w:r w:rsidRPr="0094519B">
        <w:rPr>
          <w:rStyle w:val="Textoennegrita"/>
          <w:lang w:val="es-ES"/>
        </w:rPr>
        <w:softHyphen/>
        <w:t>_________ DE</w:t>
      </w:r>
    </w:p>
    <w:p w:rsidR="001D0839" w:rsidRPr="0094519B" w:rsidRDefault="001D0839" w:rsidP="001D0839">
      <w:pPr>
        <w:pStyle w:val="NormalWeb"/>
        <w:spacing w:before="0" w:beforeAutospacing="0" w:after="0" w:afterAutospacing="0"/>
        <w:jc w:val="center"/>
        <w:rPr>
          <w:lang w:val="es-ES"/>
        </w:rPr>
      </w:pPr>
    </w:p>
    <w:p w:rsidR="001D0839" w:rsidRPr="0094519B" w:rsidRDefault="001D0839" w:rsidP="001D0839">
      <w:pPr>
        <w:jc w:val="center"/>
        <w:rPr>
          <w:i/>
          <w:lang w:val="es-ES"/>
        </w:rPr>
      </w:pPr>
      <w:r w:rsidRPr="0094519B">
        <w:rPr>
          <w:i/>
          <w:lang w:val="es-ES"/>
        </w:rPr>
        <w:t>“Por medio del cual se crea una nueva unidad monetaria y unidad de cuenta del país, en desarrollo del numeral 13 del artículo 150 de la Constitución Política.”</w:t>
      </w:r>
    </w:p>
    <w:p w:rsidR="001D0839" w:rsidRPr="0094519B" w:rsidRDefault="001D0839" w:rsidP="001D0839">
      <w:pPr>
        <w:jc w:val="center"/>
        <w:rPr>
          <w:lang w:val="es-ES"/>
        </w:rPr>
      </w:pPr>
    </w:p>
    <w:p w:rsidR="001D0839" w:rsidRPr="0094519B" w:rsidRDefault="001D0839" w:rsidP="001D0839">
      <w:pPr>
        <w:adjustRightInd w:val="0"/>
        <w:jc w:val="center"/>
        <w:textAlignment w:val="center"/>
        <w:rPr>
          <w:color w:val="000000"/>
          <w:lang w:val="es-ES_tradnl"/>
        </w:rPr>
      </w:pPr>
      <w:r w:rsidRPr="0094519B">
        <w:rPr>
          <w:color w:val="000000"/>
          <w:lang w:val="es-ES_tradnl"/>
        </w:rPr>
        <w:t>El Congreso de Colombia,</w:t>
      </w:r>
    </w:p>
    <w:p w:rsidR="001D0839" w:rsidRPr="0094519B" w:rsidRDefault="001D0839" w:rsidP="001D0839">
      <w:pPr>
        <w:adjustRightInd w:val="0"/>
        <w:jc w:val="center"/>
        <w:textAlignment w:val="center"/>
        <w:rPr>
          <w:color w:val="000000"/>
          <w:lang w:val="es-ES_tradnl"/>
        </w:rPr>
      </w:pPr>
    </w:p>
    <w:p w:rsidR="001D0839" w:rsidRPr="0094519B" w:rsidRDefault="001D0839" w:rsidP="001D0839">
      <w:pPr>
        <w:adjustRightInd w:val="0"/>
        <w:jc w:val="center"/>
        <w:textAlignment w:val="center"/>
        <w:rPr>
          <w:b/>
          <w:color w:val="000000"/>
          <w:lang w:val="es-ES_tradnl"/>
        </w:rPr>
      </w:pPr>
      <w:r w:rsidRPr="0094519B">
        <w:rPr>
          <w:b/>
          <w:color w:val="000000"/>
          <w:lang w:val="es-ES_tradnl"/>
        </w:rPr>
        <w:t>DECRETA:</w:t>
      </w:r>
    </w:p>
    <w:p w:rsidR="001D0839" w:rsidRPr="0094519B" w:rsidRDefault="001D0839" w:rsidP="001D0839">
      <w:pPr>
        <w:adjustRightInd w:val="0"/>
        <w:jc w:val="center"/>
        <w:textAlignment w:val="center"/>
        <w:rPr>
          <w:b/>
          <w:color w:val="000000"/>
          <w:lang w:val="es-ES_tradnl"/>
        </w:rPr>
      </w:pPr>
    </w:p>
    <w:p w:rsidR="001D0839" w:rsidRPr="0094519B" w:rsidRDefault="001D0839" w:rsidP="001D0839">
      <w:pPr>
        <w:adjustRightInd w:val="0"/>
        <w:jc w:val="center"/>
        <w:textAlignment w:val="center"/>
        <w:rPr>
          <w:b/>
          <w:color w:val="000000"/>
          <w:lang w:val="es-ES_tradnl"/>
        </w:rPr>
      </w:pPr>
    </w:p>
    <w:p w:rsidR="001D0839" w:rsidRPr="0094519B" w:rsidRDefault="001D0839" w:rsidP="001D0839">
      <w:pPr>
        <w:pStyle w:val="Ttulo1"/>
        <w:spacing w:before="0"/>
        <w:jc w:val="center"/>
        <w:rPr>
          <w:rFonts w:ascii="Times New Roman" w:hAnsi="Times New Roman" w:cs="Times New Roman"/>
          <w:b/>
          <w:color w:val="auto"/>
          <w:sz w:val="24"/>
          <w:szCs w:val="24"/>
        </w:rPr>
      </w:pPr>
      <w:r w:rsidRPr="0094519B">
        <w:rPr>
          <w:rFonts w:ascii="Times New Roman" w:hAnsi="Times New Roman" w:cs="Times New Roman"/>
          <w:b/>
          <w:color w:val="auto"/>
          <w:sz w:val="24"/>
          <w:szCs w:val="24"/>
        </w:rPr>
        <w:t>TÍTULO I</w:t>
      </w:r>
    </w:p>
    <w:p w:rsidR="001D0839" w:rsidRPr="0094519B" w:rsidRDefault="001D0839" w:rsidP="001D0839">
      <w:pPr>
        <w:adjustRightInd w:val="0"/>
        <w:jc w:val="center"/>
        <w:textAlignment w:val="center"/>
        <w:rPr>
          <w:b/>
          <w:color w:val="000000"/>
          <w:lang w:val="es-ES_tradnl"/>
        </w:rPr>
      </w:pPr>
      <w:r w:rsidRPr="0094519B">
        <w:rPr>
          <w:b/>
          <w:color w:val="000000"/>
          <w:lang w:val="es-ES_tradnl"/>
        </w:rPr>
        <w:t>Nueva unidad monetaria y unidad de cuenta del país</w:t>
      </w:r>
    </w:p>
    <w:p w:rsidR="001D0839" w:rsidRPr="0094519B" w:rsidRDefault="001D0839" w:rsidP="001D0839">
      <w:pPr>
        <w:adjustRightInd w:val="0"/>
        <w:jc w:val="center"/>
        <w:textAlignment w:val="center"/>
        <w:rPr>
          <w:b/>
          <w:color w:val="000000"/>
          <w:lang w:val="es-ES_tradnl"/>
        </w:rPr>
      </w:pPr>
    </w:p>
    <w:p w:rsidR="001D0839" w:rsidRPr="0094519B" w:rsidRDefault="001D0839" w:rsidP="001D0839">
      <w:pPr>
        <w:adjustRightInd w:val="0"/>
        <w:jc w:val="both"/>
        <w:textAlignment w:val="center"/>
        <w:rPr>
          <w:color w:val="000000"/>
          <w:lang w:val="es-ES_tradnl"/>
        </w:rPr>
      </w:pPr>
      <w:r w:rsidRPr="0094519B">
        <w:rPr>
          <w:b/>
          <w:color w:val="000000"/>
          <w:lang w:val="es-ES_tradnl"/>
        </w:rPr>
        <w:t>Artículo 1. Objeto.</w:t>
      </w:r>
      <w:r w:rsidRPr="0094519B">
        <w:rPr>
          <w:color w:val="000000"/>
          <w:lang w:val="es-ES_tradnl"/>
        </w:rPr>
        <w:t xml:space="preserve"> La presente ley tiene por objeto crear una nueva unidad monetaria y unidad de cuenta del país, así como establecer las</w:t>
      </w:r>
      <w:r>
        <w:rPr>
          <w:color w:val="000000"/>
          <w:lang w:val="es-ES_tradnl"/>
        </w:rPr>
        <w:t xml:space="preserve"> </w:t>
      </w:r>
      <w:r w:rsidRPr="0094519B">
        <w:rPr>
          <w:color w:val="000000"/>
          <w:lang w:val="es-ES_tradnl"/>
        </w:rPr>
        <w:t xml:space="preserve">reglas de transición para su implementación. </w:t>
      </w:r>
    </w:p>
    <w:p w:rsidR="001D0839" w:rsidRPr="0094519B" w:rsidRDefault="001D0839" w:rsidP="001D0839">
      <w:pPr>
        <w:adjustRightInd w:val="0"/>
        <w:jc w:val="both"/>
        <w:textAlignment w:val="center"/>
        <w:rPr>
          <w:b/>
          <w:color w:val="000000"/>
          <w:lang w:val="es-ES_tradnl"/>
        </w:rPr>
      </w:pPr>
    </w:p>
    <w:p w:rsidR="001D0839" w:rsidRPr="0094519B" w:rsidRDefault="001D0839" w:rsidP="001D0839">
      <w:pPr>
        <w:adjustRightInd w:val="0"/>
        <w:jc w:val="both"/>
        <w:textAlignment w:val="center"/>
        <w:rPr>
          <w:color w:val="000000"/>
          <w:lang w:val="es-ES_tradnl"/>
        </w:rPr>
      </w:pPr>
      <w:r w:rsidRPr="0094519B">
        <w:rPr>
          <w:b/>
          <w:color w:val="000000"/>
          <w:lang w:val="es-ES_tradnl"/>
        </w:rPr>
        <w:t>Artículo 2.</w:t>
      </w:r>
      <w:r>
        <w:rPr>
          <w:b/>
          <w:color w:val="000000"/>
          <w:lang w:val="es-ES_tradnl"/>
        </w:rPr>
        <w:t xml:space="preserve"> </w:t>
      </w:r>
      <w:r w:rsidRPr="0094519B">
        <w:rPr>
          <w:b/>
          <w:color w:val="000000"/>
          <w:lang w:val="es-ES_tradnl"/>
        </w:rPr>
        <w:t>Creación de la nueva unidad monetaria y unidad de cuenta del país.</w:t>
      </w:r>
      <w:r>
        <w:rPr>
          <w:b/>
          <w:color w:val="000000"/>
          <w:lang w:val="es-ES_tradnl"/>
        </w:rPr>
        <w:t xml:space="preserve"> </w:t>
      </w:r>
      <w:r w:rsidRPr="0094519B">
        <w:rPr>
          <w:color w:val="000000"/>
          <w:lang w:val="es-ES_tradnl"/>
        </w:rPr>
        <w:t>Créase</w:t>
      </w:r>
      <w:r>
        <w:rPr>
          <w:color w:val="000000"/>
          <w:lang w:val="es-ES_tradnl"/>
        </w:rPr>
        <w:t xml:space="preserve"> </w:t>
      </w:r>
      <w:r w:rsidRPr="0094519B">
        <w:rPr>
          <w:color w:val="000000"/>
          <w:lang w:val="es-ES_tradnl"/>
        </w:rPr>
        <w:t>una nueva unidad monetaria y unidad de cuenta del país</w:t>
      </w:r>
      <w:r>
        <w:rPr>
          <w:color w:val="000000"/>
          <w:lang w:val="es-ES_tradnl"/>
        </w:rPr>
        <w:t xml:space="preserve"> </w:t>
      </w:r>
      <w:r w:rsidRPr="0094519B">
        <w:rPr>
          <w:color w:val="000000"/>
          <w:lang w:val="es-ES_tradnl"/>
        </w:rPr>
        <w:t xml:space="preserve">denominada </w:t>
      </w:r>
      <w:r w:rsidRPr="0094519B">
        <w:rPr>
          <w:lang w:val="es-ES_tradnl"/>
        </w:rPr>
        <w:t>“Nuevo Peso</w:t>
      </w:r>
      <w:r w:rsidRPr="0094519B">
        <w:rPr>
          <w:i/>
          <w:lang w:val="es-ES_tradnl"/>
        </w:rPr>
        <w:t>”</w:t>
      </w:r>
      <w:r>
        <w:rPr>
          <w:i/>
          <w:lang w:val="es-ES_tradnl"/>
        </w:rPr>
        <w:t xml:space="preserve"> </w:t>
      </w:r>
      <w:r w:rsidRPr="0094519B">
        <w:rPr>
          <w:lang w:val="es-ES_tradnl"/>
        </w:rPr>
        <w:t xml:space="preserve">que </w:t>
      </w:r>
      <w:r w:rsidRPr="0094519B">
        <w:rPr>
          <w:color w:val="000000"/>
          <w:lang w:val="es-ES_tradnl"/>
        </w:rPr>
        <w:t>será emitida por el Banco de la República. La nueva unidad monetaria y unidad de cuenta del país</w:t>
      </w:r>
      <w:r>
        <w:rPr>
          <w:color w:val="000000"/>
          <w:lang w:val="es-ES_tradnl"/>
        </w:rPr>
        <w:t xml:space="preserve"> </w:t>
      </w:r>
      <w:r w:rsidRPr="0094519B">
        <w:rPr>
          <w:color w:val="000000"/>
          <w:lang w:val="es-ES_tradnl"/>
        </w:rPr>
        <w:t xml:space="preserve">será equivalente a mil pesos de la actual unidad monetaria y unidad de cuenta del país denominada “Peso” y se dividirá en </w:t>
      </w:r>
      <w:r w:rsidRPr="0094519B">
        <w:rPr>
          <w:i/>
          <w:color w:val="000000"/>
          <w:lang w:val="es-ES_tradnl"/>
        </w:rPr>
        <w:t>“</w:t>
      </w:r>
      <w:r w:rsidRPr="0094519B">
        <w:rPr>
          <w:color w:val="000000"/>
          <w:lang w:val="es-ES_tradnl"/>
        </w:rPr>
        <w:t>Cien Centavos</w:t>
      </w:r>
      <w:r w:rsidRPr="0094519B">
        <w:rPr>
          <w:i/>
          <w:color w:val="000000"/>
          <w:lang w:val="es-ES_tradnl"/>
        </w:rPr>
        <w:t>”</w:t>
      </w:r>
      <w:r w:rsidRPr="0094519B">
        <w:rPr>
          <w:color w:val="000000"/>
          <w:lang w:val="es-ES_tradnl"/>
        </w:rPr>
        <w:t>.</w:t>
      </w:r>
    </w:p>
    <w:p w:rsidR="001D0839" w:rsidRPr="0094519B" w:rsidRDefault="001D0839" w:rsidP="001D0839">
      <w:pPr>
        <w:adjustRightInd w:val="0"/>
        <w:jc w:val="both"/>
        <w:textAlignment w:val="center"/>
        <w:rPr>
          <w:color w:val="000000"/>
          <w:lang w:val="es-ES_tradnl"/>
        </w:rPr>
      </w:pPr>
    </w:p>
    <w:p w:rsidR="001D0839" w:rsidRPr="0094519B" w:rsidRDefault="001D0839" w:rsidP="001D0839">
      <w:pPr>
        <w:adjustRightInd w:val="0"/>
        <w:jc w:val="both"/>
        <w:textAlignment w:val="center"/>
        <w:rPr>
          <w:lang w:val="es-ES_tradnl"/>
        </w:rPr>
      </w:pPr>
      <w:r w:rsidRPr="0094519B">
        <w:rPr>
          <w:lang w:val="es-ES_tradnl"/>
        </w:rPr>
        <w:t>El “Nuevo Peso” será medio de pago de curso legal con poder liberatorio ilimitado.</w:t>
      </w:r>
    </w:p>
    <w:p w:rsidR="001D0839" w:rsidRPr="0094519B" w:rsidRDefault="001D0839" w:rsidP="001D0839">
      <w:pPr>
        <w:adjustRightInd w:val="0"/>
        <w:jc w:val="both"/>
        <w:textAlignment w:val="center"/>
        <w:rPr>
          <w:lang w:val="es-ES_tradnl"/>
        </w:rPr>
      </w:pPr>
    </w:p>
    <w:p w:rsidR="001D0839" w:rsidRPr="0094519B" w:rsidRDefault="001D0839" w:rsidP="001D0839">
      <w:pPr>
        <w:adjustRightInd w:val="0"/>
        <w:jc w:val="both"/>
        <w:textAlignment w:val="center"/>
        <w:rPr>
          <w:lang w:val="es-ES_tradnl"/>
        </w:rPr>
      </w:pPr>
      <w:r w:rsidRPr="0094519B">
        <w:rPr>
          <w:lang w:val="es-ES_tradnl"/>
        </w:rPr>
        <w:t>El Banco de la República y su Junta Directiva tendrán, respecto del “Nuevo Peso”, las mismas funciones otorgadas por la Constitución Política y la Ley</w:t>
      </w:r>
      <w:r>
        <w:rPr>
          <w:lang w:val="es-ES_tradnl"/>
        </w:rPr>
        <w:t xml:space="preserve"> </w:t>
      </w:r>
      <w:r w:rsidRPr="0094519B">
        <w:rPr>
          <w:lang w:val="es-ES_tradnl"/>
        </w:rPr>
        <w:t>31 de 1992.</w:t>
      </w:r>
    </w:p>
    <w:p w:rsidR="001D0839" w:rsidRPr="0094519B" w:rsidRDefault="001D0839" w:rsidP="001D0839">
      <w:pPr>
        <w:adjustRightInd w:val="0"/>
        <w:jc w:val="both"/>
        <w:textAlignment w:val="center"/>
        <w:rPr>
          <w:lang w:val="es-ES_tradnl"/>
        </w:rPr>
      </w:pPr>
    </w:p>
    <w:p w:rsidR="001D0839" w:rsidRPr="00B71302" w:rsidRDefault="001D0839" w:rsidP="001D0839">
      <w:pPr>
        <w:adjustRightInd w:val="0"/>
        <w:jc w:val="both"/>
        <w:textAlignment w:val="center"/>
        <w:rPr>
          <w:color w:val="000000"/>
          <w:lang w:val="es-ES_tradnl"/>
        </w:rPr>
      </w:pPr>
      <w:r w:rsidRPr="00B71302">
        <w:rPr>
          <w:b/>
          <w:color w:val="000000"/>
          <w:lang w:val="es-ES_tradnl"/>
        </w:rPr>
        <w:t>Artículo 3. Expresión contenida en billetes y monedas metálicas de la nueva unidad monetaria y unidad de cuenta del país.</w:t>
      </w:r>
      <w:r>
        <w:rPr>
          <w:b/>
          <w:color w:val="000000"/>
          <w:lang w:val="es-ES_tradnl"/>
        </w:rPr>
        <w:t xml:space="preserve"> </w:t>
      </w:r>
      <w:r w:rsidRPr="00B71302">
        <w:rPr>
          <w:color w:val="000000"/>
          <w:lang w:val="es-ES_tradnl"/>
        </w:rPr>
        <w:t>Los billetes y monedas metálicas</w:t>
      </w:r>
      <w:r>
        <w:rPr>
          <w:color w:val="000000"/>
          <w:lang w:val="es-ES_tradnl"/>
        </w:rPr>
        <w:t xml:space="preserve"> </w:t>
      </w:r>
      <w:r w:rsidRPr="00B71302">
        <w:rPr>
          <w:color w:val="000000"/>
          <w:lang w:val="es-ES_tradnl"/>
        </w:rPr>
        <w:t>que no representen fracciones,</w:t>
      </w:r>
      <w:r>
        <w:rPr>
          <w:color w:val="000000"/>
          <w:lang w:val="es-ES_tradnl"/>
        </w:rPr>
        <w:t xml:space="preserve"> </w:t>
      </w:r>
      <w:r w:rsidRPr="00B71302">
        <w:rPr>
          <w:color w:val="000000"/>
          <w:lang w:val="es-ES_tradnl"/>
        </w:rPr>
        <w:t xml:space="preserve">de la nueva unidad monetaria y unidad de cuenta del país, deberán contener la expresión “Nuevo Peso” o “Nuevos Pesos”, según corresponda, o el símbolo “N$”. </w:t>
      </w:r>
    </w:p>
    <w:p w:rsidR="001D0839" w:rsidRPr="00B71302" w:rsidRDefault="001D0839" w:rsidP="001D0839">
      <w:pPr>
        <w:adjustRightInd w:val="0"/>
        <w:jc w:val="both"/>
        <w:textAlignment w:val="center"/>
        <w:rPr>
          <w:color w:val="000000"/>
          <w:lang w:val="es-ES_tradnl"/>
        </w:rPr>
      </w:pPr>
    </w:p>
    <w:p w:rsidR="001D0839" w:rsidRPr="00B71302" w:rsidDel="00C06ADE" w:rsidRDefault="001D0839" w:rsidP="001D0839">
      <w:pPr>
        <w:adjustRightInd w:val="0"/>
        <w:jc w:val="both"/>
        <w:textAlignment w:val="center"/>
        <w:rPr>
          <w:color w:val="000000"/>
          <w:lang w:val="es-ES_tradnl"/>
        </w:rPr>
      </w:pPr>
      <w:r w:rsidRPr="00B71302" w:rsidDel="00C06ADE">
        <w:rPr>
          <w:color w:val="000000"/>
          <w:lang w:val="es-ES_tradnl"/>
        </w:rPr>
        <w:t xml:space="preserve">Las monedas metálicas que representen fracciones de la </w:t>
      </w:r>
      <w:r w:rsidRPr="00B71302">
        <w:rPr>
          <w:color w:val="000000"/>
          <w:lang w:val="es-ES_tradnl"/>
        </w:rPr>
        <w:t xml:space="preserve">nueva unidad monetaria y unidad de cuenta del país </w:t>
      </w:r>
      <w:r w:rsidRPr="00B71302" w:rsidDel="00C06ADE">
        <w:rPr>
          <w:color w:val="000000"/>
          <w:lang w:val="es-ES_tradnl"/>
        </w:rPr>
        <w:t xml:space="preserve">contendrán la expresión “Centavo” o “Centavos”, según corresponda, o su símbolo “C” sin anteponer la palabra “Nuevo” o “Nuevos”, según corresponda, ni la abreviatura “N”. </w:t>
      </w:r>
    </w:p>
    <w:p w:rsidR="001D0839" w:rsidRPr="00B71302" w:rsidRDefault="001D0839" w:rsidP="001D0839">
      <w:pPr>
        <w:adjustRightInd w:val="0"/>
        <w:jc w:val="both"/>
        <w:textAlignment w:val="center"/>
        <w:rPr>
          <w:b/>
          <w:color w:val="000000"/>
          <w:lang w:val="es-ES_tradnl"/>
        </w:rPr>
      </w:pPr>
    </w:p>
    <w:p w:rsidR="001D0839" w:rsidRPr="00B71302" w:rsidRDefault="001D0839" w:rsidP="001D0839">
      <w:pPr>
        <w:adjustRightInd w:val="0"/>
        <w:jc w:val="both"/>
        <w:textAlignment w:val="center"/>
      </w:pPr>
      <w:r w:rsidRPr="00B71302">
        <w:rPr>
          <w:b/>
          <w:lang w:val="es-ES_tradnl"/>
        </w:rPr>
        <w:t>Artículo 4.</w:t>
      </w:r>
      <w:r>
        <w:rPr>
          <w:b/>
          <w:lang w:val="es-ES_tradnl"/>
        </w:rPr>
        <w:t xml:space="preserve"> </w:t>
      </w:r>
      <w:r w:rsidRPr="00B71302">
        <w:rPr>
          <w:b/>
        </w:rPr>
        <w:t>Equivalencia y redondeo.</w:t>
      </w:r>
      <w:r w:rsidRPr="00B71302">
        <w:t xml:space="preserve"> Los valores expresados en la </w:t>
      </w:r>
      <w:r>
        <w:t xml:space="preserve">actual </w:t>
      </w:r>
      <w:r w:rsidRPr="00211ABA">
        <w:t xml:space="preserve">unidad monetaria y unidad de cuenta </w:t>
      </w:r>
      <w:r>
        <w:t xml:space="preserve">del país </w:t>
      </w:r>
      <w:r w:rsidRPr="00211ABA">
        <w:t>denominada “Peso”</w:t>
      </w:r>
      <w:r>
        <w:t xml:space="preserve"> </w:t>
      </w:r>
      <w:r w:rsidRPr="00211ABA">
        <w:t xml:space="preserve">tendrán equivalencia a la </w:t>
      </w:r>
      <w:r w:rsidRPr="00211ABA">
        <w:rPr>
          <w:color w:val="000000"/>
          <w:lang w:val="es-ES_tradnl"/>
        </w:rPr>
        <w:t>nueva unidad monetaria y unidad de cuenta del país denominada “Nuevo Peso”</w:t>
      </w:r>
      <w:r w:rsidRPr="00211ABA">
        <w:t xml:space="preserve">, dividiendo el valor de la </w:t>
      </w:r>
      <w:r>
        <w:t xml:space="preserve">actual </w:t>
      </w:r>
      <w:r w:rsidRPr="00211ABA">
        <w:t xml:space="preserve">unidad monetaria y unidad de cuenta </w:t>
      </w:r>
      <w:r>
        <w:t xml:space="preserve">del país </w:t>
      </w:r>
      <w:r w:rsidRPr="00211ABA">
        <w:t xml:space="preserve">por mil y la cifra que resulte de esta operación se expresará con dos decimales. En caso de que la tercera cifra decimal </w:t>
      </w:r>
      <w:r w:rsidRPr="00B71302">
        <w:t>que resulte de esta operación sea igual o superior a cinco, el redondeo del segundo decimal se efectuará a la cifra superior. Si el tercer decimal es menor a cinco, el valor del segundo decimal quedará igual.</w:t>
      </w:r>
    </w:p>
    <w:p w:rsidR="001D0839" w:rsidRPr="00B71302" w:rsidRDefault="001D0839" w:rsidP="001D0839">
      <w:pPr>
        <w:adjustRightInd w:val="0"/>
        <w:jc w:val="both"/>
        <w:textAlignment w:val="center"/>
      </w:pPr>
    </w:p>
    <w:p w:rsidR="001D0839" w:rsidRPr="00B71302" w:rsidRDefault="001D0839" w:rsidP="001D0839">
      <w:pPr>
        <w:adjustRightInd w:val="0"/>
        <w:jc w:val="both"/>
        <w:textAlignment w:val="center"/>
        <w:rPr>
          <w:lang w:val="es-ES_tradnl"/>
        </w:rPr>
      </w:pPr>
      <w:r w:rsidRPr="00B71302">
        <w:rPr>
          <w:b/>
          <w:lang w:val="es-ES_tradnl"/>
        </w:rPr>
        <w:t>Artículo 5. Protección de los derechos de consumidores y usuarios.</w:t>
      </w:r>
      <w:r w:rsidRPr="00B71302">
        <w:rPr>
          <w:lang w:val="es-ES_tradnl"/>
        </w:rPr>
        <w:t xml:space="preserve"> Para efectos de la protección de los derechos de los consumidores, la Superintendencia Financiera de Colombia y la Superintendencia de Industria y Comercio, en ejercicio de sus respectivas competencias, deberán establecer un régimen de protección de los derechos de consumidores y usuarios en donde se asegure, entre otros aspectos, la adecuada información a dichos consumidores respecto de la equivalencia entre las unidades monetarias, así como el adecuado cumplimiento del proceso de redondeo.</w:t>
      </w:r>
    </w:p>
    <w:p w:rsidR="001D0839" w:rsidRPr="00B71302" w:rsidRDefault="001D0839" w:rsidP="001D0839">
      <w:pPr>
        <w:adjustRightInd w:val="0"/>
        <w:jc w:val="both"/>
        <w:textAlignment w:val="center"/>
        <w:rPr>
          <w:b/>
          <w:lang w:val="es-ES_tradnl"/>
        </w:rPr>
      </w:pPr>
    </w:p>
    <w:p w:rsidR="001D0839" w:rsidRPr="00B71302" w:rsidRDefault="001D0839" w:rsidP="001D0839">
      <w:pPr>
        <w:jc w:val="both"/>
        <w:rPr>
          <w:b/>
          <w:color w:val="000000"/>
          <w:lang w:val="es-ES_tradnl"/>
        </w:rPr>
      </w:pPr>
    </w:p>
    <w:p w:rsidR="001D0839" w:rsidRPr="00B71302" w:rsidRDefault="001D0839" w:rsidP="001D0839">
      <w:pPr>
        <w:pStyle w:val="Ttulo1"/>
        <w:spacing w:before="0"/>
        <w:jc w:val="center"/>
        <w:rPr>
          <w:rFonts w:ascii="Times New Roman" w:hAnsi="Times New Roman" w:cs="Times New Roman"/>
          <w:b/>
          <w:color w:val="auto"/>
          <w:sz w:val="24"/>
          <w:szCs w:val="24"/>
        </w:rPr>
      </w:pPr>
      <w:r w:rsidRPr="00B71302">
        <w:rPr>
          <w:rFonts w:ascii="Times New Roman" w:hAnsi="Times New Roman" w:cs="Times New Roman"/>
          <w:b/>
          <w:color w:val="auto"/>
          <w:sz w:val="24"/>
          <w:szCs w:val="24"/>
        </w:rPr>
        <w:t>TÍTULO II</w:t>
      </w:r>
    </w:p>
    <w:p w:rsidR="001D0839" w:rsidRPr="00B71302" w:rsidRDefault="001D0839" w:rsidP="001D0839">
      <w:pPr>
        <w:adjustRightInd w:val="0"/>
        <w:jc w:val="center"/>
        <w:textAlignment w:val="center"/>
        <w:rPr>
          <w:b/>
          <w:color w:val="000000"/>
          <w:lang w:val="es-ES_tradnl"/>
        </w:rPr>
      </w:pPr>
      <w:r w:rsidRPr="00B71302">
        <w:rPr>
          <w:b/>
          <w:color w:val="000000"/>
          <w:lang w:val="es-ES_tradnl"/>
        </w:rPr>
        <w:t>Período de Transición</w:t>
      </w:r>
    </w:p>
    <w:p w:rsidR="001D0839" w:rsidRPr="00B71302" w:rsidRDefault="001D0839" w:rsidP="001D0839">
      <w:pPr>
        <w:adjustRightInd w:val="0"/>
        <w:jc w:val="center"/>
        <w:textAlignment w:val="center"/>
        <w:rPr>
          <w:b/>
          <w:color w:val="000000"/>
          <w:lang w:val="es-ES_tradnl"/>
        </w:rPr>
      </w:pPr>
    </w:p>
    <w:p w:rsidR="001D0839" w:rsidRPr="00690B88" w:rsidRDefault="001D0839" w:rsidP="001D0839">
      <w:pPr>
        <w:adjustRightInd w:val="0"/>
        <w:jc w:val="both"/>
        <w:textAlignment w:val="center"/>
        <w:rPr>
          <w:color w:val="000000"/>
          <w:lang w:val="es-ES_tradnl"/>
        </w:rPr>
      </w:pPr>
      <w:r w:rsidRPr="00765D8C">
        <w:rPr>
          <w:b/>
          <w:color w:val="000000"/>
          <w:lang w:val="es-ES_tradnl"/>
        </w:rPr>
        <w:t>Artículo 6</w:t>
      </w:r>
      <w:r w:rsidRPr="00765D8C">
        <w:rPr>
          <w:color w:val="000000"/>
          <w:lang w:val="es-ES_tradnl"/>
        </w:rPr>
        <w:t xml:space="preserve">. </w:t>
      </w:r>
      <w:r w:rsidRPr="00765D8C">
        <w:rPr>
          <w:b/>
          <w:color w:val="000000"/>
          <w:lang w:val="es-ES_tradnl"/>
        </w:rPr>
        <w:t xml:space="preserve">Inicio y duración del período de transición. </w:t>
      </w:r>
      <w:r w:rsidRPr="00765D8C">
        <w:rPr>
          <w:color w:val="000000"/>
          <w:lang w:val="es-ES_tradnl"/>
        </w:rPr>
        <w:t>El período de transición iniciará el primero de enero de 2020 y tendrá una duración de tres (3) años.</w:t>
      </w:r>
    </w:p>
    <w:p w:rsidR="001D0839" w:rsidRPr="00690B88" w:rsidRDefault="001D0839" w:rsidP="001D0839">
      <w:pPr>
        <w:adjustRightInd w:val="0"/>
        <w:jc w:val="both"/>
        <w:textAlignment w:val="center"/>
        <w:rPr>
          <w:color w:val="000000"/>
          <w:lang w:val="es-ES_tradnl"/>
        </w:rPr>
      </w:pPr>
    </w:p>
    <w:p w:rsidR="001D0839" w:rsidRDefault="001D0839" w:rsidP="001D0839">
      <w:pPr>
        <w:adjustRightInd w:val="0"/>
        <w:jc w:val="both"/>
        <w:textAlignment w:val="center"/>
        <w:rPr>
          <w:color w:val="000000"/>
          <w:lang w:val="es-ES_tradnl"/>
        </w:rPr>
      </w:pPr>
      <w:r w:rsidRPr="00690B88">
        <w:rPr>
          <w:b/>
          <w:color w:val="000000"/>
          <w:lang w:val="es-ES_tradnl"/>
        </w:rPr>
        <w:t xml:space="preserve">Parágrafo. </w:t>
      </w:r>
      <w:r w:rsidRPr="00690B88">
        <w:rPr>
          <w:color w:val="000000"/>
          <w:lang w:val="es-ES_tradnl"/>
        </w:rPr>
        <w:t>El período de transición para las monedas metálicas de la actual unidad monetaria y unidad de cuenta del país denominada “Peso” iniciará el primero de enero de 2020 y tendrá una duración de cuatro (4) años.</w:t>
      </w:r>
      <w:r>
        <w:rPr>
          <w:color w:val="000000"/>
          <w:lang w:val="es-ES_tradnl"/>
        </w:rPr>
        <w:t xml:space="preserve"> </w:t>
      </w:r>
    </w:p>
    <w:p w:rsidR="001D0839" w:rsidRPr="00B71302" w:rsidRDefault="001D0839" w:rsidP="001D0839">
      <w:pPr>
        <w:adjustRightInd w:val="0"/>
        <w:jc w:val="both"/>
        <w:textAlignment w:val="center"/>
        <w:rPr>
          <w:color w:val="000000"/>
          <w:lang w:val="es-ES_tradnl"/>
        </w:rPr>
      </w:pPr>
    </w:p>
    <w:p w:rsidR="001D0839" w:rsidRPr="00B71302" w:rsidRDefault="001D0839" w:rsidP="001D0839">
      <w:pPr>
        <w:adjustRightInd w:val="0"/>
        <w:jc w:val="both"/>
        <w:textAlignment w:val="center"/>
        <w:rPr>
          <w:color w:val="000000"/>
          <w:lang w:val="es-ES_tradnl"/>
        </w:rPr>
      </w:pPr>
      <w:r w:rsidRPr="00B71302">
        <w:rPr>
          <w:b/>
          <w:lang w:val="es-ES_tradnl"/>
        </w:rPr>
        <w:t>Artículo 7</w:t>
      </w:r>
      <w:r w:rsidRPr="00B71302">
        <w:rPr>
          <w:lang w:val="es-ES_tradnl"/>
        </w:rPr>
        <w:t>.</w:t>
      </w:r>
      <w:r>
        <w:rPr>
          <w:lang w:val="es-ES_tradnl"/>
        </w:rPr>
        <w:t xml:space="preserve"> </w:t>
      </w:r>
      <w:r w:rsidRPr="00B71302">
        <w:rPr>
          <w:b/>
          <w:lang w:val="es-ES_tradnl"/>
        </w:rPr>
        <w:t>Poder liberatorio y pago de obligaciones.</w:t>
      </w:r>
      <w:r w:rsidRPr="00B71302">
        <w:rPr>
          <w:lang w:val="es-ES_tradnl"/>
        </w:rPr>
        <w:t xml:space="preserve"> Durante el período de transición, </w:t>
      </w:r>
      <w:r w:rsidRPr="00B71302">
        <w:rPr>
          <w:color w:val="000000"/>
          <w:lang w:val="es-ES_tradnl"/>
        </w:rPr>
        <w:t>los billetes y monedas metálicas de la actual unidad monetaria y unidad de cuenta del país denominada “Peso” y los billetes y monedas metálicas de la nueva unidad monetaria y unidad de cuenta del país denominada “Nuevo Peso”, circularán de manera simultánea con poder liberatorio ilimitado.</w:t>
      </w:r>
    </w:p>
    <w:p w:rsidR="001D0839" w:rsidRPr="00B71302" w:rsidRDefault="001D0839" w:rsidP="001D0839">
      <w:pPr>
        <w:jc w:val="both"/>
        <w:rPr>
          <w:lang w:val="es-ES_tradnl"/>
        </w:rPr>
      </w:pPr>
    </w:p>
    <w:p w:rsidR="001D0839" w:rsidRPr="00B71302" w:rsidRDefault="001D0839" w:rsidP="001D0839">
      <w:pPr>
        <w:jc w:val="both"/>
        <w:rPr>
          <w:lang w:val="es-ES_tradnl"/>
        </w:rPr>
      </w:pPr>
      <w:r w:rsidRPr="00B71302">
        <w:rPr>
          <w:lang w:val="es-ES_tradnl"/>
        </w:rPr>
        <w:t xml:space="preserve">Durante este período, las obligaciones expresadas </w:t>
      </w:r>
      <w:r w:rsidRPr="00B71302">
        <w:t>en “Pesos”</w:t>
      </w:r>
      <w:r w:rsidRPr="00B71302">
        <w:rPr>
          <w:lang w:val="es-ES_tradnl"/>
        </w:rPr>
        <w:t xml:space="preserve"> o en “Nuevos Pesos”, independientemente de la fecha en que se hayan contraído, se podrán pagar con la actual</w:t>
      </w:r>
      <w:r w:rsidRPr="00B71302">
        <w:rPr>
          <w:color w:val="000000"/>
          <w:lang w:val="es-ES_tradnl"/>
        </w:rPr>
        <w:t xml:space="preserve"> unidad monetaria y unidad de cuenta del país denominada “Peso”</w:t>
      </w:r>
      <w:r>
        <w:rPr>
          <w:color w:val="000000"/>
          <w:lang w:val="es-ES_tradnl"/>
        </w:rPr>
        <w:t xml:space="preserve"> o </w:t>
      </w:r>
      <w:r w:rsidRPr="00B71302">
        <w:rPr>
          <w:lang w:val="es-ES_tradnl"/>
        </w:rPr>
        <w:t>con la</w:t>
      </w:r>
      <w:r>
        <w:rPr>
          <w:lang w:val="es-ES_tradnl"/>
        </w:rPr>
        <w:t xml:space="preserve"> </w:t>
      </w:r>
      <w:r w:rsidRPr="00B71302">
        <w:rPr>
          <w:color w:val="000000"/>
          <w:lang w:val="es-ES_tradnl"/>
        </w:rPr>
        <w:t>nueva unidad monetaria y unidad de cuenta del país denominada “Nuevo Peso”</w:t>
      </w:r>
      <w:r w:rsidRPr="00B71302">
        <w:rPr>
          <w:lang w:val="es-ES_tradnl"/>
        </w:rPr>
        <w:t>, para lo cual se aplicará la equivalencia y el redondeo previstos en esta ley.</w:t>
      </w:r>
    </w:p>
    <w:p w:rsidR="001D0839" w:rsidRPr="00B71302" w:rsidRDefault="001D0839" w:rsidP="001D0839">
      <w:pPr>
        <w:jc w:val="both"/>
        <w:rPr>
          <w:lang w:val="es-ES_tradnl"/>
        </w:rPr>
      </w:pPr>
    </w:p>
    <w:p w:rsidR="001D0839" w:rsidRPr="00B71302" w:rsidRDefault="001D0839" w:rsidP="001D0839">
      <w:pPr>
        <w:jc w:val="both"/>
        <w:rPr>
          <w:lang w:val="es-ES_tradnl"/>
        </w:rPr>
      </w:pPr>
      <w:r w:rsidRPr="00B71302">
        <w:rPr>
          <w:b/>
          <w:lang w:val="es-ES_tradnl"/>
        </w:rPr>
        <w:t>Parágrafo.</w:t>
      </w:r>
      <w:r w:rsidRPr="00B71302">
        <w:rPr>
          <w:lang w:val="es-ES_tradnl"/>
        </w:rPr>
        <w:t xml:space="preserve"> L</w:t>
      </w:r>
      <w:r>
        <w:rPr>
          <w:lang w:val="es-ES_tradnl"/>
        </w:rPr>
        <w:t>o</w:t>
      </w:r>
      <w:r w:rsidRPr="00B71302">
        <w:rPr>
          <w:lang w:val="es-ES_tradnl"/>
        </w:rPr>
        <w:t xml:space="preserve">s </w:t>
      </w:r>
      <w:r>
        <w:rPr>
          <w:lang w:val="es-ES_tradnl"/>
        </w:rPr>
        <w:t xml:space="preserve">establecimientos de crédito </w:t>
      </w:r>
      <w:r w:rsidRPr="00B71302">
        <w:rPr>
          <w:lang w:val="es-ES_tradnl"/>
        </w:rPr>
        <w:t xml:space="preserve">realizarán el cambio de los billetes y monedas metálicas de la actual </w:t>
      </w:r>
      <w:r w:rsidRPr="00B71302">
        <w:rPr>
          <w:color w:val="000000"/>
          <w:lang w:val="es-ES_tradnl"/>
        </w:rPr>
        <w:t xml:space="preserve">unidad monetaria y unidad de cuenta del país </w:t>
      </w:r>
      <w:r w:rsidRPr="00B71302">
        <w:rPr>
          <w:lang w:val="es-ES_tradnl"/>
        </w:rPr>
        <w:t xml:space="preserve">denominada “Peso” por aquellos de la </w:t>
      </w:r>
      <w:r w:rsidRPr="00B71302">
        <w:rPr>
          <w:color w:val="000000"/>
          <w:lang w:val="es-ES_tradnl"/>
        </w:rPr>
        <w:t>nueva unidad monetaria y unidad de cuenta del país denominada “Nuevo Peso”</w:t>
      </w:r>
      <w:r w:rsidRPr="00B71302">
        <w:rPr>
          <w:lang w:val="es-ES_tradnl"/>
        </w:rPr>
        <w:t>, de acuerdo con las normas que para tal efecto dicte la Junta Directiva del Banco de la República y atendiendo en todo caso las normas establecidas para el control del lavado de activos y la financiación del terrorismo.</w:t>
      </w:r>
    </w:p>
    <w:p w:rsidR="001D0839" w:rsidRDefault="001D0839" w:rsidP="001D0839">
      <w:pPr>
        <w:adjustRightInd w:val="0"/>
        <w:jc w:val="both"/>
        <w:textAlignment w:val="center"/>
        <w:rPr>
          <w:b/>
          <w:lang w:val="es-ES_tradnl"/>
        </w:rPr>
      </w:pPr>
    </w:p>
    <w:p w:rsidR="001D0839" w:rsidRPr="006D2620" w:rsidRDefault="001D0839" w:rsidP="001D0839">
      <w:pPr>
        <w:adjustRightInd w:val="0"/>
        <w:jc w:val="both"/>
        <w:textAlignment w:val="center"/>
        <w:rPr>
          <w:lang w:val="es-ES_tradnl"/>
        </w:rPr>
      </w:pPr>
      <w:r w:rsidRPr="00B71302">
        <w:rPr>
          <w:b/>
        </w:rPr>
        <w:t xml:space="preserve">Artículo </w:t>
      </w:r>
      <w:r>
        <w:rPr>
          <w:b/>
        </w:rPr>
        <w:t>8</w:t>
      </w:r>
      <w:r w:rsidRPr="0094519B">
        <w:rPr>
          <w:lang w:val="es-ES_tradnl"/>
        </w:rPr>
        <w:t>.</w:t>
      </w:r>
      <w:r>
        <w:rPr>
          <w:lang w:val="es-ES_tradnl"/>
        </w:rPr>
        <w:t xml:space="preserve"> </w:t>
      </w:r>
      <w:r w:rsidRPr="00C17562">
        <w:rPr>
          <w:b/>
          <w:lang w:val="es-ES_tradnl"/>
        </w:rPr>
        <w:t xml:space="preserve">Expresión. </w:t>
      </w:r>
      <w:r w:rsidRPr="00690B88">
        <w:t xml:space="preserve">A partir del inicio del período de transición, </w:t>
      </w:r>
      <w:r w:rsidRPr="00690B88">
        <w:rPr>
          <w:lang w:val="es-ES_tradnl"/>
        </w:rPr>
        <w:t>todo documento o registro que se expida o realice y contenga valores o cifras en moneda legal colombiana deberá</w:t>
      </w:r>
      <w:r>
        <w:rPr>
          <w:lang w:val="es-ES_tradnl"/>
        </w:rPr>
        <w:t>n</w:t>
      </w:r>
      <w:r w:rsidRPr="00690B88">
        <w:rPr>
          <w:lang w:val="es-ES_tradnl"/>
        </w:rPr>
        <w:t xml:space="preserve"> expresarse </w:t>
      </w:r>
      <w:r>
        <w:rPr>
          <w:lang w:val="es-ES_tradnl"/>
        </w:rPr>
        <w:t xml:space="preserve">únicamente </w:t>
      </w:r>
      <w:r w:rsidRPr="00690B88">
        <w:rPr>
          <w:lang w:val="es-ES_tradnl"/>
        </w:rPr>
        <w:t xml:space="preserve">en </w:t>
      </w:r>
      <w:r>
        <w:rPr>
          <w:lang w:val="es-ES_tradnl"/>
        </w:rPr>
        <w:t>“</w:t>
      </w:r>
      <w:r w:rsidRPr="00690B88">
        <w:rPr>
          <w:lang w:val="es-ES_tradnl"/>
        </w:rPr>
        <w:t>Nuevo</w:t>
      </w:r>
      <w:r>
        <w:rPr>
          <w:lang w:val="es-ES_tradnl"/>
        </w:rPr>
        <w:t>s</w:t>
      </w:r>
      <w:r w:rsidRPr="00690B88">
        <w:rPr>
          <w:lang w:val="es-ES_tradnl"/>
        </w:rPr>
        <w:t xml:space="preserve"> Peso</w:t>
      </w:r>
      <w:r>
        <w:rPr>
          <w:lang w:val="es-ES_tradnl"/>
        </w:rPr>
        <w:t>s”</w:t>
      </w:r>
      <w:r w:rsidRPr="00690B88">
        <w:rPr>
          <w:lang w:val="es-ES_tradnl"/>
        </w:rPr>
        <w:t>.</w:t>
      </w:r>
      <w:r w:rsidRPr="006D2620">
        <w:rPr>
          <w:lang w:val="es-ES_tradnl"/>
        </w:rPr>
        <w:t xml:space="preserve">  </w:t>
      </w:r>
    </w:p>
    <w:p w:rsidR="001D0839" w:rsidRPr="00B71302" w:rsidRDefault="001D0839" w:rsidP="001D0839">
      <w:pPr>
        <w:adjustRightInd w:val="0"/>
        <w:jc w:val="both"/>
        <w:textAlignment w:val="center"/>
        <w:rPr>
          <w:lang w:val="es-ES_tradnl"/>
        </w:rPr>
      </w:pPr>
    </w:p>
    <w:p w:rsidR="001D0839" w:rsidRPr="00B71302" w:rsidRDefault="001D0839" w:rsidP="001D0839">
      <w:pPr>
        <w:adjustRightInd w:val="0"/>
        <w:jc w:val="both"/>
        <w:textAlignment w:val="center"/>
        <w:rPr>
          <w:lang w:val="es-ES_tradnl"/>
        </w:rPr>
      </w:pPr>
      <w:r w:rsidRPr="00B71302">
        <w:rPr>
          <w:b/>
          <w:lang w:val="es-ES_tradnl"/>
        </w:rPr>
        <w:t>Parágrafo.</w:t>
      </w:r>
      <w:r w:rsidRPr="00B71302">
        <w:rPr>
          <w:lang w:val="es-ES_tradnl"/>
        </w:rPr>
        <w:t xml:space="preserve"> En todo caso, deberán atenderse las disposiciones contenidas en los regímenes de protección de los derechos de consumidores y usuarios que hayan definido la Superintendencia Financiera de Colombia y la Superintendencia de Industria y Comercio en atención a lo establecido en el artículo 5 de la presente ley.</w:t>
      </w:r>
    </w:p>
    <w:p w:rsidR="001D0839" w:rsidRPr="00B71302" w:rsidRDefault="001D0839" w:rsidP="001D0839">
      <w:pPr>
        <w:adjustRightInd w:val="0"/>
        <w:jc w:val="both"/>
        <w:textAlignment w:val="center"/>
        <w:rPr>
          <w:lang w:val="es-ES_tradnl"/>
        </w:rPr>
      </w:pPr>
    </w:p>
    <w:p w:rsidR="001D0839" w:rsidRPr="00B71302" w:rsidRDefault="001D0839" w:rsidP="001D0839">
      <w:pPr>
        <w:rPr>
          <w:b/>
          <w:lang w:val="es-ES_tradnl"/>
        </w:rPr>
      </w:pPr>
    </w:p>
    <w:p w:rsidR="001D0839" w:rsidRPr="00B71302" w:rsidRDefault="001D0839" w:rsidP="001D0839">
      <w:pPr>
        <w:pStyle w:val="Ttulo1"/>
        <w:spacing w:before="0"/>
        <w:jc w:val="center"/>
        <w:rPr>
          <w:rFonts w:ascii="Times New Roman" w:hAnsi="Times New Roman" w:cs="Times New Roman"/>
          <w:b/>
          <w:color w:val="auto"/>
          <w:sz w:val="24"/>
          <w:szCs w:val="24"/>
          <w:lang w:val="es-ES_tradnl"/>
        </w:rPr>
      </w:pPr>
      <w:r w:rsidRPr="00B71302">
        <w:rPr>
          <w:rFonts w:ascii="Times New Roman" w:hAnsi="Times New Roman" w:cs="Times New Roman"/>
          <w:b/>
          <w:color w:val="auto"/>
          <w:sz w:val="24"/>
          <w:szCs w:val="24"/>
        </w:rPr>
        <w:t>TÍTULO</w:t>
      </w:r>
      <w:r w:rsidRPr="00B71302">
        <w:rPr>
          <w:rFonts w:ascii="Times New Roman" w:hAnsi="Times New Roman" w:cs="Times New Roman"/>
          <w:b/>
          <w:color w:val="auto"/>
          <w:sz w:val="24"/>
          <w:szCs w:val="24"/>
          <w:lang w:val="es-ES_tradnl"/>
        </w:rPr>
        <w:t xml:space="preserve"> III</w:t>
      </w:r>
    </w:p>
    <w:p w:rsidR="001D0839" w:rsidRPr="00B71302" w:rsidRDefault="001D0839" w:rsidP="001D0839">
      <w:pPr>
        <w:adjustRightInd w:val="0"/>
        <w:jc w:val="center"/>
        <w:textAlignment w:val="center"/>
        <w:rPr>
          <w:b/>
          <w:color w:val="000000"/>
          <w:lang w:val="es-ES_tradnl"/>
        </w:rPr>
      </w:pPr>
      <w:r w:rsidRPr="00B71302">
        <w:rPr>
          <w:b/>
          <w:caps/>
          <w:color w:val="000000"/>
          <w:lang w:val="es-ES_tradnl"/>
        </w:rPr>
        <w:t>f</w:t>
      </w:r>
      <w:r w:rsidRPr="00B71302">
        <w:rPr>
          <w:b/>
          <w:color w:val="000000"/>
          <w:lang w:val="es-ES_tradnl"/>
        </w:rPr>
        <w:t>in del período de transición</w:t>
      </w:r>
    </w:p>
    <w:p w:rsidR="001D0839" w:rsidRPr="00B71302" w:rsidRDefault="001D0839" w:rsidP="001D0839">
      <w:pPr>
        <w:adjustRightInd w:val="0"/>
        <w:jc w:val="both"/>
        <w:textAlignment w:val="center"/>
        <w:rPr>
          <w:b/>
          <w:color w:val="000000"/>
          <w:lang w:val="es-ES_tradnl"/>
        </w:rPr>
      </w:pPr>
    </w:p>
    <w:p w:rsidR="001D0839" w:rsidRDefault="001D0839" w:rsidP="001D0839">
      <w:pPr>
        <w:pStyle w:val="Default"/>
        <w:jc w:val="both"/>
        <w:rPr>
          <w:rFonts w:ascii="Times New Roman" w:hAnsi="Times New Roman"/>
          <w:color w:val="auto"/>
        </w:rPr>
      </w:pPr>
      <w:r w:rsidRPr="00B71302">
        <w:rPr>
          <w:rFonts w:ascii="Times New Roman" w:hAnsi="Times New Roman"/>
          <w:b/>
          <w:color w:val="auto"/>
        </w:rPr>
        <w:t xml:space="preserve">Artículo </w:t>
      </w:r>
      <w:r>
        <w:rPr>
          <w:rFonts w:ascii="Times New Roman" w:hAnsi="Times New Roman"/>
          <w:b/>
          <w:color w:val="auto"/>
        </w:rPr>
        <w:t>9</w:t>
      </w:r>
      <w:r w:rsidRPr="0094519B">
        <w:rPr>
          <w:rFonts w:ascii="Times New Roman" w:hAnsi="Times New Roman"/>
          <w:b/>
          <w:color w:val="auto"/>
          <w:lang w:val="es-ES_tradnl"/>
        </w:rPr>
        <w:t>. Pérdida del curso legal y poder liberatorio ilimitado</w:t>
      </w:r>
      <w:r>
        <w:rPr>
          <w:rFonts w:ascii="Times New Roman" w:hAnsi="Times New Roman"/>
          <w:b/>
          <w:color w:val="auto"/>
          <w:lang w:val="es-ES_tradnl"/>
        </w:rPr>
        <w:t xml:space="preserve"> </w:t>
      </w:r>
      <w:r w:rsidRPr="0094519B">
        <w:rPr>
          <w:rFonts w:ascii="Times New Roman" w:hAnsi="Times New Roman"/>
          <w:b/>
          <w:color w:val="auto"/>
          <w:lang w:val="es-ES_tradnl"/>
        </w:rPr>
        <w:t>de la actual</w:t>
      </w:r>
      <w:r>
        <w:rPr>
          <w:rFonts w:ascii="Times New Roman" w:hAnsi="Times New Roman"/>
          <w:b/>
          <w:color w:val="auto"/>
          <w:lang w:val="es-ES_tradnl"/>
        </w:rPr>
        <w:t xml:space="preserve"> </w:t>
      </w:r>
      <w:r w:rsidRPr="00B71302">
        <w:rPr>
          <w:rFonts w:ascii="Times New Roman" w:hAnsi="Times New Roman"/>
          <w:b/>
          <w:lang w:val="es-ES_tradnl"/>
        </w:rPr>
        <w:t>unidad monetaria y unidad de cuenta del país</w:t>
      </w:r>
      <w:r>
        <w:rPr>
          <w:rFonts w:ascii="Times New Roman" w:hAnsi="Times New Roman"/>
          <w:b/>
          <w:lang w:val="es-ES_tradnl"/>
        </w:rPr>
        <w:t xml:space="preserve"> </w:t>
      </w:r>
      <w:r w:rsidRPr="0094519B">
        <w:rPr>
          <w:rFonts w:ascii="Times New Roman" w:hAnsi="Times New Roman"/>
          <w:b/>
          <w:color w:val="auto"/>
          <w:lang w:val="es-ES_tradnl"/>
        </w:rPr>
        <w:t>denominada “Peso”.</w:t>
      </w:r>
      <w:r>
        <w:rPr>
          <w:rFonts w:ascii="Times New Roman" w:hAnsi="Times New Roman"/>
          <w:b/>
          <w:color w:val="auto"/>
          <w:lang w:val="es-ES_tradnl"/>
        </w:rPr>
        <w:t xml:space="preserve"> </w:t>
      </w:r>
      <w:r w:rsidRPr="0094519B">
        <w:rPr>
          <w:rFonts w:ascii="Times New Roman" w:hAnsi="Times New Roman"/>
          <w:color w:val="auto"/>
        </w:rPr>
        <w:t xml:space="preserve">Al finalizar el período de transición, la actual </w:t>
      </w:r>
      <w:r w:rsidRPr="00B71302">
        <w:rPr>
          <w:rFonts w:ascii="Times New Roman" w:hAnsi="Times New Roman"/>
          <w:lang w:val="es-ES_tradnl"/>
        </w:rPr>
        <w:t xml:space="preserve">unidad monetaria y unidad de cuenta del país </w:t>
      </w:r>
      <w:r>
        <w:rPr>
          <w:rFonts w:ascii="Times New Roman" w:hAnsi="Times New Roman"/>
          <w:lang w:val="es-ES_tradnl"/>
        </w:rPr>
        <w:t xml:space="preserve">denominada “Peso” </w:t>
      </w:r>
      <w:r w:rsidRPr="0094519B">
        <w:rPr>
          <w:rFonts w:ascii="Times New Roman" w:hAnsi="Times New Roman"/>
          <w:color w:val="auto"/>
        </w:rPr>
        <w:t>perderá su curso legal y poder liberatorio ilimitado</w:t>
      </w:r>
      <w:r>
        <w:rPr>
          <w:rFonts w:ascii="Times New Roman" w:hAnsi="Times New Roman"/>
          <w:color w:val="auto"/>
        </w:rPr>
        <w:t xml:space="preserve">, de conformidad con lo establecido en el </w:t>
      </w:r>
      <w:r w:rsidRPr="0094519B">
        <w:rPr>
          <w:rFonts w:ascii="Times New Roman" w:hAnsi="Times New Roman"/>
          <w:color w:val="auto"/>
        </w:rPr>
        <w:t xml:space="preserve">artículo </w:t>
      </w:r>
      <w:r>
        <w:rPr>
          <w:rFonts w:ascii="Times New Roman" w:hAnsi="Times New Roman"/>
          <w:color w:val="auto"/>
        </w:rPr>
        <w:t>6</w:t>
      </w:r>
      <w:r w:rsidRPr="0094519B">
        <w:rPr>
          <w:rFonts w:ascii="Times New Roman" w:hAnsi="Times New Roman"/>
          <w:color w:val="auto"/>
        </w:rPr>
        <w:t xml:space="preserve"> de la presente ley</w:t>
      </w:r>
      <w:r>
        <w:rPr>
          <w:rFonts w:ascii="Times New Roman" w:hAnsi="Times New Roman"/>
          <w:color w:val="auto"/>
        </w:rPr>
        <w:t>.</w:t>
      </w:r>
    </w:p>
    <w:p w:rsidR="001D0839" w:rsidRDefault="001D0839" w:rsidP="001D0839">
      <w:pPr>
        <w:pStyle w:val="Default"/>
        <w:jc w:val="both"/>
        <w:rPr>
          <w:rFonts w:ascii="Times New Roman" w:hAnsi="Times New Roman"/>
          <w:color w:val="auto"/>
        </w:rPr>
      </w:pPr>
    </w:p>
    <w:p w:rsidR="001D0839" w:rsidRPr="0094519B" w:rsidRDefault="001D0839" w:rsidP="001D0839">
      <w:pPr>
        <w:pStyle w:val="Default"/>
        <w:jc w:val="both"/>
        <w:rPr>
          <w:rFonts w:ascii="Times New Roman" w:hAnsi="Times New Roman"/>
          <w:color w:val="auto"/>
        </w:rPr>
      </w:pPr>
      <w:r>
        <w:rPr>
          <w:rFonts w:ascii="Times New Roman" w:hAnsi="Times New Roman"/>
          <w:b/>
          <w:color w:val="auto"/>
        </w:rPr>
        <w:t xml:space="preserve">Parágrafo 1. </w:t>
      </w:r>
      <w:r>
        <w:rPr>
          <w:rFonts w:ascii="Times New Roman" w:hAnsi="Times New Roman"/>
          <w:color w:val="auto"/>
        </w:rPr>
        <w:t>Las</w:t>
      </w:r>
      <w:r w:rsidRPr="0040732C">
        <w:rPr>
          <w:rFonts w:ascii="Times New Roman" w:hAnsi="Times New Roman"/>
          <w:color w:val="auto"/>
        </w:rPr>
        <w:t xml:space="preserve"> monedas metálicas de la actual unidad monetaria y unidad de cuenta del país denominada “Peso</w:t>
      </w:r>
      <w:r>
        <w:rPr>
          <w:rFonts w:ascii="Times New Roman" w:hAnsi="Times New Roman"/>
          <w:color w:val="auto"/>
        </w:rPr>
        <w:t xml:space="preserve">”, perderán su curso legal y poder liberatorio ilimitado, una vez finalice el </w:t>
      </w:r>
      <w:r w:rsidRPr="0094519B">
        <w:rPr>
          <w:rFonts w:ascii="Times New Roman" w:hAnsi="Times New Roman"/>
          <w:color w:val="auto"/>
        </w:rPr>
        <w:t>período</w:t>
      </w:r>
      <w:r>
        <w:rPr>
          <w:rFonts w:ascii="Times New Roman" w:hAnsi="Times New Roman"/>
          <w:color w:val="auto"/>
        </w:rPr>
        <w:t xml:space="preserve"> de transición señalado en el parágrafo del artículo 6 de la presente ley.</w:t>
      </w:r>
    </w:p>
    <w:p w:rsidR="001D0839" w:rsidRPr="00B71302" w:rsidRDefault="001D0839" w:rsidP="001D0839">
      <w:pPr>
        <w:pStyle w:val="Default"/>
        <w:jc w:val="both"/>
        <w:rPr>
          <w:rFonts w:ascii="Times New Roman" w:hAnsi="Times New Roman"/>
          <w:color w:val="auto"/>
        </w:rPr>
      </w:pPr>
    </w:p>
    <w:p w:rsidR="001D0839" w:rsidRPr="0094519B" w:rsidRDefault="001D0839" w:rsidP="001D0839">
      <w:pPr>
        <w:pStyle w:val="Default"/>
        <w:jc w:val="both"/>
        <w:rPr>
          <w:rFonts w:ascii="Times New Roman" w:hAnsi="Times New Roman"/>
          <w:color w:val="auto"/>
        </w:rPr>
      </w:pPr>
      <w:r w:rsidRPr="00B71302">
        <w:rPr>
          <w:rFonts w:ascii="Times New Roman" w:hAnsi="Times New Roman"/>
          <w:b/>
          <w:color w:val="auto"/>
        </w:rPr>
        <w:t>Parágrafo</w:t>
      </w:r>
      <w:r>
        <w:rPr>
          <w:rFonts w:ascii="Times New Roman" w:hAnsi="Times New Roman"/>
          <w:b/>
          <w:color w:val="auto"/>
        </w:rPr>
        <w:t xml:space="preserve"> 2</w:t>
      </w:r>
      <w:r w:rsidRPr="00B71302">
        <w:rPr>
          <w:rFonts w:ascii="Times New Roman" w:hAnsi="Times New Roman"/>
          <w:color w:val="auto"/>
        </w:rPr>
        <w:t>.</w:t>
      </w:r>
      <w:r>
        <w:rPr>
          <w:rFonts w:ascii="Times New Roman" w:hAnsi="Times New Roman"/>
          <w:color w:val="auto"/>
        </w:rPr>
        <w:t xml:space="preserve"> </w:t>
      </w:r>
      <w:r w:rsidRPr="00B71302">
        <w:rPr>
          <w:rFonts w:ascii="Times New Roman" w:hAnsi="Times New Roman"/>
          <w:color w:val="auto"/>
        </w:rPr>
        <w:t xml:space="preserve">La Junta Directiva del Banco de la República, establecerá los términos y condiciones para que </w:t>
      </w:r>
      <w:r>
        <w:rPr>
          <w:rFonts w:ascii="Times New Roman" w:hAnsi="Times New Roman"/>
          <w:color w:val="auto"/>
        </w:rPr>
        <w:t>el Banco de la República y los establecimientos de crédito</w:t>
      </w:r>
      <w:r w:rsidRPr="00B71302">
        <w:rPr>
          <w:rFonts w:ascii="Times New Roman" w:hAnsi="Times New Roman"/>
          <w:color w:val="auto"/>
        </w:rPr>
        <w:t xml:space="preserve"> realice</w:t>
      </w:r>
      <w:r>
        <w:rPr>
          <w:rFonts w:ascii="Times New Roman" w:hAnsi="Times New Roman"/>
          <w:color w:val="auto"/>
        </w:rPr>
        <w:t>n</w:t>
      </w:r>
      <w:r w:rsidRPr="00B71302">
        <w:rPr>
          <w:rFonts w:ascii="Times New Roman" w:hAnsi="Times New Roman"/>
          <w:color w:val="auto"/>
        </w:rPr>
        <w:t xml:space="preserve"> el canje de</w:t>
      </w:r>
      <w:r>
        <w:rPr>
          <w:rFonts w:ascii="Times New Roman" w:hAnsi="Times New Roman"/>
          <w:color w:val="auto"/>
        </w:rPr>
        <w:t xml:space="preserve"> </w:t>
      </w:r>
      <w:r w:rsidRPr="00B71302">
        <w:rPr>
          <w:rFonts w:ascii="Times New Roman" w:hAnsi="Times New Roman"/>
          <w:color w:val="auto"/>
        </w:rPr>
        <w:t xml:space="preserve">los billetes y monedas metálicas </w:t>
      </w:r>
      <w:r>
        <w:rPr>
          <w:rFonts w:ascii="Times New Roman" w:hAnsi="Times New Roman"/>
          <w:color w:val="auto"/>
        </w:rPr>
        <w:t xml:space="preserve">denominados en “Pesos” </w:t>
      </w:r>
      <w:r w:rsidRPr="0094519B">
        <w:rPr>
          <w:rFonts w:ascii="Times New Roman" w:hAnsi="Times New Roman"/>
          <w:color w:val="auto"/>
        </w:rPr>
        <w:t xml:space="preserve">por aquellos </w:t>
      </w:r>
      <w:r>
        <w:rPr>
          <w:rFonts w:ascii="Times New Roman" w:hAnsi="Times New Roman"/>
          <w:color w:val="auto"/>
        </w:rPr>
        <w:t>denominados en “Nuevos Pesos” y sus centavos</w:t>
      </w:r>
      <w:r w:rsidRPr="0094519B">
        <w:rPr>
          <w:rFonts w:ascii="Times New Roman" w:hAnsi="Times New Roman"/>
          <w:lang w:val="es-ES_tradnl"/>
        </w:rPr>
        <w:t>, para lo cual</w:t>
      </w:r>
      <w:r>
        <w:rPr>
          <w:rFonts w:ascii="Times New Roman" w:hAnsi="Times New Roman"/>
          <w:lang w:val="es-ES_tradnl"/>
        </w:rPr>
        <w:t xml:space="preserve"> </w:t>
      </w:r>
      <w:r w:rsidRPr="0094519B">
        <w:rPr>
          <w:rFonts w:ascii="Times New Roman" w:hAnsi="Times New Roman"/>
          <w:lang w:val="es-ES_tradnl"/>
        </w:rPr>
        <w:t>se aplicará la equivalencia y redondeo previstos en la presente ley</w:t>
      </w:r>
      <w:r w:rsidRPr="0094519B">
        <w:rPr>
          <w:rFonts w:ascii="Times New Roman" w:hAnsi="Times New Roman"/>
          <w:color w:val="auto"/>
        </w:rPr>
        <w:t>.</w:t>
      </w:r>
      <w:r>
        <w:rPr>
          <w:rFonts w:ascii="Times New Roman" w:hAnsi="Times New Roman"/>
          <w:color w:val="auto"/>
        </w:rPr>
        <w:t xml:space="preserve"> Deberá llevarse un registro de las personas que realicen este proceso, el cual será reglamentado por la Superintendencia Financiera de Colombia.</w:t>
      </w:r>
    </w:p>
    <w:p w:rsidR="001D0839" w:rsidRPr="00B71302" w:rsidRDefault="001D0839" w:rsidP="001D0839">
      <w:pPr>
        <w:pStyle w:val="Default"/>
        <w:jc w:val="both"/>
        <w:rPr>
          <w:rFonts w:ascii="Times New Roman" w:hAnsi="Times New Roman"/>
          <w:color w:val="auto"/>
        </w:rPr>
      </w:pPr>
    </w:p>
    <w:p w:rsidR="001D0839" w:rsidRPr="0094519B" w:rsidRDefault="001D0839" w:rsidP="001D0839">
      <w:pPr>
        <w:pStyle w:val="Default"/>
        <w:jc w:val="both"/>
        <w:rPr>
          <w:rFonts w:ascii="Times New Roman" w:hAnsi="Times New Roman"/>
          <w:color w:val="auto"/>
        </w:rPr>
      </w:pPr>
      <w:r w:rsidRPr="00B71302">
        <w:rPr>
          <w:rFonts w:ascii="Times New Roman" w:hAnsi="Times New Roman"/>
          <w:b/>
          <w:color w:val="auto"/>
        </w:rPr>
        <w:t>Artículo 1</w:t>
      </w:r>
      <w:r>
        <w:rPr>
          <w:rFonts w:ascii="Times New Roman" w:hAnsi="Times New Roman"/>
          <w:b/>
          <w:color w:val="auto"/>
        </w:rPr>
        <w:t>0</w:t>
      </w:r>
      <w:r w:rsidRPr="0094519B">
        <w:rPr>
          <w:rFonts w:ascii="Times New Roman" w:hAnsi="Times New Roman"/>
          <w:b/>
          <w:color w:val="auto"/>
        </w:rPr>
        <w:t>.</w:t>
      </w:r>
      <w:r>
        <w:rPr>
          <w:rFonts w:ascii="Times New Roman" w:hAnsi="Times New Roman"/>
          <w:b/>
          <w:color w:val="auto"/>
        </w:rPr>
        <w:t xml:space="preserve"> </w:t>
      </w:r>
      <w:r w:rsidRPr="0094519B">
        <w:rPr>
          <w:rFonts w:ascii="Times New Roman" w:hAnsi="Times New Roman"/>
          <w:b/>
          <w:color w:val="auto"/>
        </w:rPr>
        <w:t xml:space="preserve">Expresión, equivalencia y redondeo de las cifras expresadas en </w:t>
      </w:r>
      <w:r>
        <w:rPr>
          <w:rFonts w:ascii="Times New Roman" w:hAnsi="Times New Roman"/>
          <w:b/>
          <w:color w:val="auto"/>
        </w:rPr>
        <w:t>“Pesos”</w:t>
      </w:r>
      <w:r w:rsidRPr="0094519B">
        <w:rPr>
          <w:rFonts w:ascii="Times New Roman" w:hAnsi="Times New Roman"/>
          <w:b/>
          <w:color w:val="auto"/>
        </w:rPr>
        <w:t>.</w:t>
      </w:r>
      <w:r>
        <w:rPr>
          <w:rFonts w:ascii="Times New Roman" w:hAnsi="Times New Roman"/>
          <w:b/>
          <w:color w:val="auto"/>
        </w:rPr>
        <w:t xml:space="preserve"> </w:t>
      </w:r>
      <w:r w:rsidRPr="0094519B">
        <w:rPr>
          <w:rFonts w:ascii="Times New Roman" w:hAnsi="Times New Roman"/>
          <w:color w:val="auto"/>
        </w:rPr>
        <w:t xml:space="preserve">Al finalizar el período de transición, </w:t>
      </w:r>
      <w:r w:rsidRPr="0094519B">
        <w:rPr>
          <w:rFonts w:ascii="Times New Roman" w:hAnsi="Times New Roman"/>
          <w:color w:val="000000" w:themeColor="text1"/>
        </w:rPr>
        <w:t>las cifras que hayan sido expres</w:t>
      </w:r>
      <w:r w:rsidRPr="0094519B">
        <w:rPr>
          <w:rFonts w:ascii="Times New Roman" w:hAnsi="Times New Roman"/>
          <w:color w:val="auto"/>
        </w:rPr>
        <w:t xml:space="preserve">adas en </w:t>
      </w:r>
      <w:r>
        <w:rPr>
          <w:rFonts w:ascii="Times New Roman" w:hAnsi="Times New Roman"/>
          <w:color w:val="auto"/>
        </w:rPr>
        <w:t xml:space="preserve">“Pesos” </w:t>
      </w:r>
      <w:r w:rsidRPr="0094519B">
        <w:rPr>
          <w:rFonts w:ascii="Times New Roman" w:hAnsi="Times New Roman"/>
          <w:color w:val="auto"/>
        </w:rPr>
        <w:t>en leyes, decretos, reglamentos, circulares, actos administrativos, contratos, decisiones judiciales u otras disposiciones, así como en cualquier acto o contrato de carácter privado,</w:t>
      </w:r>
      <w:r>
        <w:rPr>
          <w:rFonts w:ascii="Times New Roman" w:hAnsi="Times New Roman"/>
          <w:color w:val="auto"/>
        </w:rPr>
        <w:t xml:space="preserve"> </w:t>
      </w:r>
      <w:r w:rsidRPr="0094519B">
        <w:rPr>
          <w:rFonts w:ascii="Times New Roman" w:hAnsi="Times New Roman"/>
          <w:color w:val="auto"/>
        </w:rPr>
        <w:t>les aplicará lo previsto en esta ley</w:t>
      </w:r>
      <w:r>
        <w:rPr>
          <w:rFonts w:ascii="Times New Roman" w:hAnsi="Times New Roman"/>
          <w:color w:val="auto"/>
        </w:rPr>
        <w:t xml:space="preserve"> </w:t>
      </w:r>
      <w:r w:rsidRPr="0094519B">
        <w:rPr>
          <w:rFonts w:ascii="Times New Roman" w:hAnsi="Times New Roman"/>
          <w:color w:val="000000" w:themeColor="text1"/>
        </w:rPr>
        <w:t>para efectos de equivalencia</w:t>
      </w:r>
      <w:r>
        <w:rPr>
          <w:rFonts w:ascii="Times New Roman" w:hAnsi="Times New Roman"/>
          <w:color w:val="000000" w:themeColor="text1"/>
        </w:rPr>
        <w:t xml:space="preserve"> y</w:t>
      </w:r>
      <w:r w:rsidRPr="0094519B">
        <w:rPr>
          <w:rFonts w:ascii="Times New Roman" w:hAnsi="Times New Roman"/>
          <w:color w:val="000000" w:themeColor="text1"/>
        </w:rPr>
        <w:t xml:space="preserve"> redondeo a </w:t>
      </w:r>
      <w:r>
        <w:rPr>
          <w:rFonts w:ascii="Times New Roman" w:hAnsi="Times New Roman"/>
          <w:color w:val="000000" w:themeColor="text1"/>
        </w:rPr>
        <w:t>los “Nuevos Pesos”</w:t>
      </w:r>
      <w:r w:rsidRPr="0094519B">
        <w:rPr>
          <w:rFonts w:ascii="Times New Roman" w:hAnsi="Times New Roman"/>
          <w:color w:val="auto"/>
        </w:rPr>
        <w:t>.</w:t>
      </w:r>
    </w:p>
    <w:p w:rsidR="001D0839" w:rsidRPr="009A43E7" w:rsidRDefault="001D0839" w:rsidP="001D0839">
      <w:pPr>
        <w:adjustRightInd w:val="0"/>
        <w:jc w:val="both"/>
        <w:textAlignment w:val="center"/>
        <w:rPr>
          <w:color w:val="000000"/>
        </w:rPr>
      </w:pPr>
    </w:p>
    <w:p w:rsidR="001D0839" w:rsidRPr="00B71302" w:rsidRDefault="001D0839" w:rsidP="001D0839">
      <w:pPr>
        <w:adjustRightInd w:val="0"/>
        <w:jc w:val="both"/>
        <w:textAlignment w:val="center"/>
        <w:rPr>
          <w:lang w:val="es-ES_tradnl"/>
        </w:rPr>
      </w:pPr>
    </w:p>
    <w:p w:rsidR="001D0839" w:rsidRPr="00B71302" w:rsidRDefault="001D0839" w:rsidP="001D0839">
      <w:pPr>
        <w:jc w:val="center"/>
        <w:outlineLvl w:val="2"/>
        <w:rPr>
          <w:b/>
          <w:bCs/>
        </w:rPr>
      </w:pPr>
      <w:r w:rsidRPr="00B71302">
        <w:rPr>
          <w:b/>
          <w:bCs/>
        </w:rPr>
        <w:t>TÍTULO IV</w:t>
      </w:r>
    </w:p>
    <w:p w:rsidR="001D0839" w:rsidRPr="00B71302" w:rsidRDefault="001D0839" w:rsidP="001D0839">
      <w:pPr>
        <w:adjustRightInd w:val="0"/>
        <w:jc w:val="center"/>
        <w:textAlignment w:val="center"/>
        <w:rPr>
          <w:b/>
          <w:color w:val="000000"/>
          <w:lang w:val="es-ES_tradnl"/>
        </w:rPr>
      </w:pPr>
      <w:r w:rsidRPr="00B71302">
        <w:rPr>
          <w:b/>
          <w:color w:val="000000"/>
          <w:lang w:val="es-ES_tradnl"/>
        </w:rPr>
        <w:t xml:space="preserve">Disposiciones Generales </w:t>
      </w:r>
    </w:p>
    <w:p w:rsidR="001D0839" w:rsidRPr="00B71302" w:rsidRDefault="001D0839" w:rsidP="001D0839">
      <w:pPr>
        <w:adjustRightInd w:val="0"/>
        <w:jc w:val="center"/>
        <w:textAlignment w:val="center"/>
        <w:rPr>
          <w:b/>
          <w:caps/>
          <w:color w:val="000000"/>
          <w:lang w:val="es-ES_tradnl"/>
        </w:rPr>
      </w:pPr>
    </w:p>
    <w:p w:rsidR="001D0839" w:rsidRPr="006D2620" w:rsidRDefault="001D0839" w:rsidP="001D0839">
      <w:pPr>
        <w:jc w:val="both"/>
      </w:pPr>
      <w:r>
        <w:rPr>
          <w:b/>
        </w:rPr>
        <w:t xml:space="preserve">Artículo 11. </w:t>
      </w:r>
      <w:r w:rsidRPr="006D2620">
        <w:rPr>
          <w:b/>
          <w:lang w:val="es-ES_tradnl"/>
        </w:rPr>
        <w:t>Canje de los billetes y monedas metálicas.</w:t>
      </w:r>
      <w:r>
        <w:rPr>
          <w:b/>
          <w:lang w:val="es-ES_tradnl"/>
        </w:rPr>
        <w:t xml:space="preserve">  </w:t>
      </w:r>
      <w:r w:rsidRPr="006D2620">
        <w:rPr>
          <w:lang w:val="es-ES_tradnl"/>
        </w:rPr>
        <w:t>De conformidad con lo previsto</w:t>
      </w:r>
      <w:r w:rsidRPr="006D2620">
        <w:t xml:space="preserve"> en el artículo 10 de la Ley 31 de 1992, la Junta Directiva del Banco de la República establecerá  el momento a partir del cual determinadas denominaciones de billetes y monedas metálicas de la unidad monetaria y unidad de cuenta del país denominada “Peso” s</w:t>
      </w:r>
      <w:r>
        <w:t>ó</w:t>
      </w:r>
      <w:r w:rsidRPr="006D2620">
        <w:t xml:space="preserve">lo tendrán valor para ser canjeados en el Banco de la República y en los establecimientos de crédito por billetes y monedas metálicas de la nueva unidad monetaria y unidad de cuenta del país denominada Nuevo Peso, de acuerdo con los términos y condiciones que señale la Junta Directiva del Banco de la República. </w:t>
      </w:r>
    </w:p>
    <w:p w:rsidR="001D0839" w:rsidRPr="006D2620" w:rsidRDefault="001D0839" w:rsidP="001D0839">
      <w:pPr>
        <w:jc w:val="both"/>
      </w:pPr>
    </w:p>
    <w:p w:rsidR="001D0839" w:rsidRDefault="001D0839" w:rsidP="001D0839">
      <w:pPr>
        <w:jc w:val="both"/>
        <w:rPr>
          <w:b/>
        </w:rPr>
      </w:pPr>
      <w:r w:rsidRPr="006D2620">
        <w:t>Para estos efectos se aplicar</w:t>
      </w:r>
      <w:r>
        <w:t>á</w:t>
      </w:r>
      <w:r w:rsidRPr="006D2620">
        <w:t xml:space="preserve"> la equivalencia y redondeo previstos en esta ley</w:t>
      </w:r>
      <w:r>
        <w:t xml:space="preserve"> y deberá llevarse igualmente un registro de las personas que realicen este proceso, el cual será reglamentado por la Superintendencia Financiera de Colombia.</w:t>
      </w:r>
    </w:p>
    <w:p w:rsidR="001D0839" w:rsidRDefault="001D0839" w:rsidP="001D0839">
      <w:pPr>
        <w:jc w:val="both"/>
        <w:rPr>
          <w:b/>
        </w:rPr>
      </w:pPr>
    </w:p>
    <w:p w:rsidR="001D0839" w:rsidRDefault="001D0839" w:rsidP="001D0839">
      <w:pPr>
        <w:adjustRightInd w:val="0"/>
        <w:jc w:val="both"/>
        <w:textAlignment w:val="center"/>
        <w:rPr>
          <w:lang w:val="es-ES_tradnl"/>
        </w:rPr>
      </w:pPr>
      <w:r>
        <w:rPr>
          <w:b/>
          <w:lang w:val="es-ES_tradnl"/>
        </w:rPr>
        <w:t>Artículo 12.</w:t>
      </w:r>
      <w:r>
        <w:rPr>
          <w:lang w:val="es-ES_tradnl"/>
        </w:rPr>
        <w:t xml:space="preserve"> </w:t>
      </w:r>
      <w:r w:rsidRPr="00DC069B">
        <w:rPr>
          <w:b/>
          <w:lang w:val="es-ES_tradnl"/>
        </w:rPr>
        <w:t>Denominación.</w:t>
      </w:r>
      <w:r>
        <w:rPr>
          <w:lang w:val="es-ES_tradnl"/>
        </w:rPr>
        <w:t xml:space="preserve"> Tres (3) años después de finalizado el período de transición, la nueva unidad monetaria y unidad de cuenta del país “Nuevo Peso” se denominará “Peso” y el Banco de la República emitirá billetes de la nueva unidad monetaria y unidad de cuenta del país, en la cual no figure la palabra “Nuevo” o “Nuevos”, según corresponda, ni la abreviatura “N”. </w:t>
      </w:r>
    </w:p>
    <w:p w:rsidR="001D0839" w:rsidRPr="00C5567A" w:rsidRDefault="001D0839" w:rsidP="001D0839">
      <w:pPr>
        <w:adjustRightInd w:val="0"/>
        <w:jc w:val="both"/>
        <w:textAlignment w:val="center"/>
        <w:rPr>
          <w:b/>
          <w:bCs/>
          <w:color w:val="FF0000"/>
          <w:lang w:val="es-ES_tradnl"/>
        </w:rPr>
      </w:pPr>
    </w:p>
    <w:p w:rsidR="001D0839" w:rsidRDefault="001D0839" w:rsidP="001D0839">
      <w:pPr>
        <w:adjustRightInd w:val="0"/>
        <w:jc w:val="both"/>
        <w:textAlignment w:val="center"/>
        <w:rPr>
          <w:color w:val="000000"/>
          <w:lang w:val="es-ES_tradnl"/>
        </w:rPr>
      </w:pPr>
      <w:r>
        <w:rPr>
          <w:color w:val="000000"/>
          <w:lang w:val="es-ES_tradnl"/>
        </w:rPr>
        <w:t xml:space="preserve">La unidad monetaria y unidad de cuenta del país se representará con el símbolo “$” y los “Centavos” se representarán con el símbolo “C”. </w:t>
      </w:r>
    </w:p>
    <w:p w:rsidR="001D0839" w:rsidRDefault="001D0839" w:rsidP="001D0839">
      <w:pPr>
        <w:adjustRightInd w:val="0"/>
        <w:jc w:val="both"/>
        <w:textAlignment w:val="center"/>
        <w:rPr>
          <w:lang w:val="es-ES_tradnl"/>
        </w:rPr>
      </w:pPr>
    </w:p>
    <w:p w:rsidR="001D0839" w:rsidRDefault="001D0839" w:rsidP="001D0839">
      <w:pPr>
        <w:adjustRightInd w:val="0"/>
        <w:jc w:val="both"/>
        <w:textAlignment w:val="center"/>
        <w:rPr>
          <w:lang w:val="es-ES_tradnl"/>
        </w:rPr>
      </w:pPr>
      <w:r>
        <w:rPr>
          <w:b/>
          <w:lang w:val="es-ES_tradnl"/>
        </w:rPr>
        <w:t>Parágrafo 1.</w:t>
      </w:r>
      <w:r>
        <w:rPr>
          <w:lang w:val="es-ES_tradnl"/>
        </w:rPr>
        <w:t xml:space="preserve"> Podrán circular de manera simultánea billetes y monedas metálicas de la unidad monetaria y unidad de cuenta del país que se crea mediante la presente ley, en la que figuren la palabra “Nuevo” o “Nuevos”, según corresponda, y la abreviatura “N” o en la que no figuren la palabra “Nuevo” o “Nuevos”, según corresponda, ni la abreviatura “N”.</w:t>
      </w:r>
    </w:p>
    <w:p w:rsidR="001D0839" w:rsidRDefault="001D0839" w:rsidP="001D0839">
      <w:pPr>
        <w:adjustRightInd w:val="0"/>
        <w:jc w:val="both"/>
        <w:textAlignment w:val="center"/>
        <w:rPr>
          <w:lang w:val="es-ES_tradnl"/>
        </w:rPr>
      </w:pPr>
    </w:p>
    <w:p w:rsidR="001D0839" w:rsidRDefault="001D0839" w:rsidP="001D0839">
      <w:pPr>
        <w:adjustRightInd w:val="0"/>
        <w:jc w:val="both"/>
        <w:textAlignment w:val="center"/>
        <w:rPr>
          <w:lang w:val="es-ES_tradnl"/>
        </w:rPr>
      </w:pPr>
      <w:r>
        <w:rPr>
          <w:b/>
        </w:rPr>
        <w:t>Parágrafo 2</w:t>
      </w:r>
      <w:r w:rsidRPr="0094519B">
        <w:rPr>
          <w:b/>
        </w:rPr>
        <w:t>.</w:t>
      </w:r>
      <w:r>
        <w:rPr>
          <w:b/>
        </w:rPr>
        <w:t xml:space="preserve"> </w:t>
      </w:r>
      <w:r w:rsidRPr="0094519B">
        <w:t xml:space="preserve">Al finalizar el </w:t>
      </w:r>
      <w:r>
        <w:t>plazo establecido en el presente artículo</w:t>
      </w:r>
      <w:r w:rsidRPr="0094519B">
        <w:t xml:space="preserve">, </w:t>
      </w:r>
      <w:r w:rsidRPr="0094519B">
        <w:rPr>
          <w:color w:val="000000" w:themeColor="text1"/>
        </w:rPr>
        <w:t>las cifras que hayan sido expres</w:t>
      </w:r>
      <w:r w:rsidRPr="0094519B">
        <w:t xml:space="preserve">adas en </w:t>
      </w:r>
      <w:r>
        <w:t xml:space="preserve">“Nuevos Pesos”, así como aquellas expresadas en “Pesos” de la anterior unidad monetaria y unidad de cuenta, </w:t>
      </w:r>
      <w:r w:rsidRPr="0094519B">
        <w:t>en leyes, decretos, reglamentos, circulares, actos administrativos, contratos, decisiones judiciales u otras disposiciones, así como en cualquier acto o contrato de carácter privado,</w:t>
      </w:r>
      <w:r>
        <w:t xml:space="preserve"> </w:t>
      </w:r>
      <w:r w:rsidRPr="0094519B">
        <w:t>les aplicará lo previsto en esta ley</w:t>
      </w:r>
      <w:r>
        <w:t xml:space="preserve"> </w:t>
      </w:r>
      <w:r w:rsidRPr="0094519B">
        <w:rPr>
          <w:color w:val="000000" w:themeColor="text1"/>
        </w:rPr>
        <w:t>para efectos de equivalencia</w:t>
      </w:r>
      <w:r>
        <w:rPr>
          <w:color w:val="000000" w:themeColor="text1"/>
        </w:rPr>
        <w:t xml:space="preserve"> y</w:t>
      </w:r>
      <w:r w:rsidRPr="0094519B">
        <w:rPr>
          <w:color w:val="000000" w:themeColor="text1"/>
        </w:rPr>
        <w:t xml:space="preserve"> redondeo a </w:t>
      </w:r>
      <w:r>
        <w:rPr>
          <w:color w:val="000000" w:themeColor="text1"/>
        </w:rPr>
        <w:t>los “Pesos” correspondientes a la nueva unidad monetaria y unidad de cuenta creada mediante la presente ley</w:t>
      </w:r>
      <w:r w:rsidRPr="0094519B">
        <w:t>.</w:t>
      </w:r>
    </w:p>
    <w:p w:rsidR="001D0839" w:rsidRPr="00C5567A" w:rsidRDefault="001D0839" w:rsidP="001D0839">
      <w:pPr>
        <w:jc w:val="both"/>
        <w:rPr>
          <w:b/>
          <w:lang w:val="es-ES_tradnl"/>
        </w:rPr>
      </w:pPr>
    </w:p>
    <w:p w:rsidR="001D0839" w:rsidRPr="00B71302" w:rsidRDefault="001D0839" w:rsidP="001D0839">
      <w:pPr>
        <w:jc w:val="both"/>
      </w:pPr>
      <w:r w:rsidRPr="00B71302">
        <w:rPr>
          <w:b/>
        </w:rPr>
        <w:t>Artículo</w:t>
      </w:r>
      <w:r>
        <w:rPr>
          <w:b/>
        </w:rPr>
        <w:t xml:space="preserve"> </w:t>
      </w:r>
      <w:r w:rsidRPr="00B71302">
        <w:rPr>
          <w:b/>
        </w:rPr>
        <w:t>1</w:t>
      </w:r>
      <w:r>
        <w:rPr>
          <w:b/>
        </w:rPr>
        <w:t>3</w:t>
      </w:r>
      <w:r w:rsidRPr="00C17562">
        <w:rPr>
          <w:lang w:val="es-ES_tradnl"/>
        </w:rPr>
        <w:t>.</w:t>
      </w:r>
      <w:r>
        <w:rPr>
          <w:lang w:val="es-ES_tradnl"/>
        </w:rPr>
        <w:t xml:space="preserve"> </w:t>
      </w:r>
      <w:r w:rsidRPr="00C17562">
        <w:rPr>
          <w:b/>
          <w:lang w:val="es-ES_tradnl"/>
        </w:rPr>
        <w:t>No afectación de obligaciones contraídas.</w:t>
      </w:r>
      <w:r>
        <w:rPr>
          <w:b/>
          <w:lang w:val="es-ES_tradnl"/>
        </w:rPr>
        <w:t xml:space="preserve"> </w:t>
      </w:r>
      <w:r w:rsidRPr="00211ABA">
        <w:t>La expedición de la presente ley</w:t>
      </w:r>
      <w:r w:rsidRPr="00B71302">
        <w:t>, en relación con el cumplimiento de las obligaciones contraídas, no</w:t>
      </w:r>
      <w:r>
        <w:t xml:space="preserve"> </w:t>
      </w:r>
      <w:r w:rsidRPr="00B71302">
        <w:t xml:space="preserve">tiene efectos modificatorios, extintivos, revocatorios, rescisorios o resolutorios, ni autoriza su alteración unilateral, ni exime, ni excusa su </w:t>
      </w:r>
      <w:r>
        <w:t>in</w:t>
      </w:r>
      <w:r w:rsidRPr="00B71302">
        <w:t xml:space="preserve">cumplimiento. </w:t>
      </w:r>
    </w:p>
    <w:p w:rsidR="001D0839" w:rsidRPr="00B71302" w:rsidRDefault="001D0839" w:rsidP="001D0839">
      <w:pPr>
        <w:jc w:val="both"/>
        <w:rPr>
          <w:b/>
        </w:rPr>
      </w:pPr>
    </w:p>
    <w:p w:rsidR="001D0839" w:rsidRPr="00B71302" w:rsidRDefault="001D0839" w:rsidP="001D0839">
      <w:pPr>
        <w:jc w:val="both"/>
        <w:rPr>
          <w:color w:val="FF0000"/>
        </w:rPr>
      </w:pPr>
      <w:r w:rsidRPr="00B71302">
        <w:rPr>
          <w:b/>
        </w:rPr>
        <w:t>Artículo</w:t>
      </w:r>
      <w:r>
        <w:rPr>
          <w:b/>
        </w:rPr>
        <w:t xml:space="preserve"> </w:t>
      </w:r>
      <w:r w:rsidRPr="00B71302">
        <w:rPr>
          <w:b/>
        </w:rPr>
        <w:t>1</w:t>
      </w:r>
      <w:r>
        <w:rPr>
          <w:b/>
        </w:rPr>
        <w:t>4</w:t>
      </w:r>
      <w:r w:rsidRPr="00C17562">
        <w:rPr>
          <w:lang w:val="es-ES_tradnl"/>
        </w:rPr>
        <w:t>.</w:t>
      </w:r>
      <w:r>
        <w:rPr>
          <w:lang w:val="es-ES_tradnl"/>
        </w:rPr>
        <w:t xml:space="preserve"> </w:t>
      </w:r>
      <w:r w:rsidRPr="00C17562">
        <w:rPr>
          <w:b/>
          <w:lang w:val="es-ES_tradnl"/>
        </w:rPr>
        <w:t xml:space="preserve">Gratuidad de la conversión. </w:t>
      </w:r>
      <w:r w:rsidRPr="00C17562">
        <w:t>La conversión a la nueva unidad monetaria y unidad de cuenta del país, así como la realización de las operaciones previstas en esta ley</w:t>
      </w:r>
      <w:r w:rsidRPr="00B71302">
        <w:t>, será gratuita para el consumidor o usuario, sin que de ellos se pueda derivar el cobro de tarifas, comisiones o conceptos análogos. No producirán efecto alguno los pactos, convenios o cláusulas que contravenga</w:t>
      </w:r>
      <w:r>
        <w:t>n</w:t>
      </w:r>
      <w:r w:rsidRPr="00B71302">
        <w:t xml:space="preserve"> lo dispuesto en este artículo. </w:t>
      </w:r>
    </w:p>
    <w:p w:rsidR="001D0839" w:rsidRPr="00B71302" w:rsidRDefault="001D0839" w:rsidP="001D0839">
      <w:pPr>
        <w:adjustRightInd w:val="0"/>
        <w:jc w:val="both"/>
        <w:textAlignment w:val="center"/>
        <w:rPr>
          <w:b/>
          <w:lang w:val="es-ES_tradnl"/>
        </w:rPr>
      </w:pPr>
    </w:p>
    <w:p w:rsidR="001D0839" w:rsidRPr="00B71302" w:rsidRDefault="001D0839" w:rsidP="001D0839">
      <w:pPr>
        <w:adjustRightInd w:val="0"/>
        <w:jc w:val="both"/>
        <w:textAlignment w:val="center"/>
        <w:rPr>
          <w:lang w:val="es-ES_tradnl"/>
        </w:rPr>
      </w:pPr>
      <w:r w:rsidRPr="00B71302">
        <w:rPr>
          <w:b/>
          <w:lang w:val="es-ES_tradnl"/>
        </w:rPr>
        <w:t>Artículo 1</w:t>
      </w:r>
      <w:r>
        <w:rPr>
          <w:b/>
          <w:lang w:val="es-ES_tradnl"/>
        </w:rPr>
        <w:t>5</w:t>
      </w:r>
      <w:r w:rsidRPr="00C17562">
        <w:rPr>
          <w:lang w:val="es-ES_tradnl"/>
        </w:rPr>
        <w:t>.</w:t>
      </w:r>
      <w:r>
        <w:rPr>
          <w:lang w:val="es-ES_tradnl"/>
        </w:rPr>
        <w:t xml:space="preserve"> </w:t>
      </w:r>
      <w:r w:rsidRPr="00C17562">
        <w:rPr>
          <w:b/>
          <w:lang w:val="es-ES_tradnl"/>
        </w:rPr>
        <w:t>Reglamentación.</w:t>
      </w:r>
      <w:r>
        <w:rPr>
          <w:b/>
          <w:lang w:val="es-ES_tradnl"/>
        </w:rPr>
        <w:t xml:space="preserve"> </w:t>
      </w:r>
      <w:r w:rsidRPr="00211ABA">
        <w:rPr>
          <w:lang w:val="es-ES_tradnl"/>
        </w:rPr>
        <w:t>Sin perjuicio de las funciones otorgadas al Banco de la República y a su Junta Directiva</w:t>
      </w:r>
      <w:r w:rsidRPr="00B71302">
        <w:rPr>
          <w:lang w:val="es-ES_tradnl"/>
        </w:rPr>
        <w:t xml:space="preserve"> por la Constitución Política y el Titulo II, Capítulo I de la Ley 31 de 1992, el Gobierno Nacional y las demás autoridades competentes reglamentarán y coordinarán, en sus respectivas áreas, las medidas que aseguren la adecuada y oportuna aplicación de esta ley. </w:t>
      </w:r>
    </w:p>
    <w:p w:rsidR="001D0839" w:rsidRPr="00B71302" w:rsidRDefault="001D0839" w:rsidP="001D0839">
      <w:pPr>
        <w:jc w:val="both"/>
        <w:rPr>
          <w:b/>
          <w:color w:val="000000"/>
          <w:lang w:val="es-ES_tradnl"/>
        </w:rPr>
      </w:pPr>
    </w:p>
    <w:p w:rsidR="001D0839" w:rsidRDefault="001D0839" w:rsidP="001D0839">
      <w:pPr>
        <w:jc w:val="both"/>
        <w:rPr>
          <w:color w:val="000000"/>
          <w:lang w:val="es-ES_tradnl"/>
        </w:rPr>
      </w:pPr>
      <w:r w:rsidRPr="00B71302">
        <w:rPr>
          <w:b/>
          <w:color w:val="000000"/>
          <w:lang w:val="es-ES_tradnl"/>
        </w:rPr>
        <w:t>Artículo 1</w:t>
      </w:r>
      <w:r>
        <w:rPr>
          <w:b/>
          <w:color w:val="000000"/>
          <w:lang w:val="es-ES_tradnl"/>
        </w:rPr>
        <w:t>6</w:t>
      </w:r>
      <w:r w:rsidRPr="00C17562">
        <w:rPr>
          <w:b/>
          <w:color w:val="000000"/>
          <w:lang w:val="es-ES_tradnl"/>
        </w:rPr>
        <w:t>. Vigencia.</w:t>
      </w:r>
      <w:r>
        <w:rPr>
          <w:b/>
          <w:color w:val="000000"/>
          <w:lang w:val="es-ES_tradnl"/>
        </w:rPr>
        <w:t xml:space="preserve"> </w:t>
      </w:r>
      <w:r w:rsidRPr="00211ABA">
        <w:rPr>
          <w:color w:val="000000"/>
          <w:lang w:val="es-ES_tradnl"/>
        </w:rPr>
        <w:t>La presente ley rige a partir de la fecha de</w:t>
      </w:r>
      <w:r w:rsidRPr="00B71302">
        <w:rPr>
          <w:color w:val="000000"/>
          <w:lang w:val="es-ES_tradnl"/>
        </w:rPr>
        <w:t xml:space="preserve"> su publicación en el Diario Oficial</w:t>
      </w:r>
      <w:r>
        <w:rPr>
          <w:color w:val="000000"/>
          <w:lang w:val="es-ES_tradnl"/>
        </w:rPr>
        <w:t>.</w:t>
      </w:r>
    </w:p>
    <w:p w:rsidR="001D0839" w:rsidRDefault="001D0839" w:rsidP="001D0839">
      <w:pPr>
        <w:jc w:val="both"/>
        <w:rPr>
          <w:color w:val="000000"/>
          <w:lang w:val="es-ES_tradnl"/>
        </w:rPr>
      </w:pPr>
      <w:r>
        <w:rPr>
          <w:color w:val="000000"/>
          <w:lang w:val="es-ES_tradnl"/>
        </w:rPr>
        <w:t>De los Honorables Congresistas,</w:t>
      </w: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Pr="00BD3473" w:rsidRDefault="001D0839" w:rsidP="001D0839">
      <w:pPr>
        <w:jc w:val="both"/>
        <w:rPr>
          <w:b/>
          <w:color w:val="000000"/>
          <w:lang w:val="es-ES_tradnl"/>
        </w:rPr>
      </w:pPr>
      <w:r w:rsidRPr="00BD3473">
        <w:rPr>
          <w:b/>
          <w:color w:val="000000"/>
          <w:lang w:val="es-ES_tradnl"/>
        </w:rPr>
        <w:t>MAURICIO CÁRDENAS SANTAMARÍA</w:t>
      </w:r>
    </w:p>
    <w:p w:rsidR="001D0839" w:rsidRPr="00BD3473" w:rsidRDefault="001D0839" w:rsidP="001D0839">
      <w:pPr>
        <w:jc w:val="both"/>
        <w:rPr>
          <w:color w:val="000000"/>
          <w:lang w:val="es-ES_tradnl"/>
        </w:rPr>
      </w:pPr>
      <w:r w:rsidRPr="00BD3473">
        <w:rPr>
          <w:color w:val="000000"/>
          <w:lang w:val="es-ES_tradnl"/>
        </w:rPr>
        <w:t xml:space="preserve">Ministro de Hacienda y Crédito Público </w:t>
      </w: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Pr="00BD3473" w:rsidRDefault="001D0839" w:rsidP="001D0839">
      <w:pPr>
        <w:jc w:val="both"/>
        <w:rPr>
          <w:b/>
          <w:color w:val="000000"/>
          <w:lang w:val="es-ES_tradnl"/>
        </w:rPr>
      </w:pPr>
      <w:r>
        <w:rPr>
          <w:b/>
          <w:color w:val="000000"/>
          <w:lang w:val="es-ES_tradnl"/>
        </w:rPr>
        <w:t>ANTONIO GUERRA DE LA ESPRIELLA</w:t>
      </w:r>
    </w:p>
    <w:p w:rsidR="001D0839" w:rsidRDefault="001D0839" w:rsidP="001D0839">
      <w:pPr>
        <w:jc w:val="both"/>
        <w:rPr>
          <w:color w:val="000000"/>
          <w:lang w:val="es-ES_tradnl"/>
        </w:rPr>
      </w:pPr>
      <w:r>
        <w:rPr>
          <w:color w:val="000000"/>
          <w:lang w:val="es-ES_tradnl"/>
        </w:rPr>
        <w:t>Presidente Comisión Tercera</w:t>
      </w:r>
    </w:p>
    <w:p w:rsidR="001D0839" w:rsidRDefault="001D0839" w:rsidP="001D0839">
      <w:pPr>
        <w:jc w:val="both"/>
        <w:rPr>
          <w:color w:val="000000"/>
          <w:lang w:val="es-ES_tradnl"/>
        </w:rPr>
      </w:pPr>
      <w:r>
        <w:rPr>
          <w:color w:val="000000"/>
          <w:lang w:val="es-ES_tradnl"/>
        </w:rPr>
        <w:t>Senado de la República</w:t>
      </w: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Default="001D0839" w:rsidP="001D0839">
      <w:pPr>
        <w:jc w:val="both"/>
        <w:rPr>
          <w:color w:val="000000"/>
          <w:lang w:val="es-ES_tradnl"/>
        </w:rPr>
      </w:pPr>
    </w:p>
    <w:p w:rsidR="001D0839" w:rsidRPr="00BD3473" w:rsidRDefault="001D0839" w:rsidP="001D0839">
      <w:pPr>
        <w:jc w:val="both"/>
        <w:rPr>
          <w:b/>
          <w:color w:val="000000"/>
          <w:lang w:val="es-ES_tradnl"/>
        </w:rPr>
      </w:pPr>
      <w:r w:rsidRPr="00BD3473">
        <w:rPr>
          <w:b/>
          <w:color w:val="000000"/>
          <w:lang w:val="es-ES_tradnl"/>
        </w:rPr>
        <w:t>JACK HOUSNI JALLER</w:t>
      </w:r>
    </w:p>
    <w:p w:rsidR="001D0839" w:rsidRDefault="001D0839" w:rsidP="001D0839">
      <w:pPr>
        <w:jc w:val="both"/>
        <w:rPr>
          <w:color w:val="000000"/>
          <w:lang w:val="es-ES_tradnl"/>
        </w:rPr>
      </w:pPr>
      <w:r>
        <w:rPr>
          <w:color w:val="000000"/>
          <w:lang w:val="es-ES_tradnl"/>
        </w:rPr>
        <w:t>Presidente Comisión Tercera</w:t>
      </w:r>
    </w:p>
    <w:p w:rsidR="001D0839" w:rsidRDefault="001D0839" w:rsidP="001D0839">
      <w:pPr>
        <w:jc w:val="both"/>
        <w:rPr>
          <w:color w:val="000000"/>
          <w:lang w:val="es-ES_tradnl"/>
        </w:rPr>
      </w:pPr>
      <w:r>
        <w:rPr>
          <w:color w:val="000000"/>
          <w:lang w:val="es-ES_tradnl"/>
        </w:rPr>
        <w:t>Cámara de Representantes</w:t>
      </w:r>
    </w:p>
    <w:p w:rsidR="001D0839" w:rsidRPr="00282F63" w:rsidRDefault="001D0839" w:rsidP="001D0839">
      <w:pPr>
        <w:jc w:val="both"/>
        <w:rPr>
          <w:color w:val="000000"/>
          <w:lang w:val="es-ES_tradnl"/>
        </w:rPr>
      </w:pPr>
    </w:p>
    <w:p w:rsidR="00DC7E02" w:rsidRDefault="00DC7E02" w:rsidP="00FB2FA2">
      <w:pPr>
        <w:autoSpaceDE w:val="0"/>
        <w:autoSpaceDN w:val="0"/>
        <w:adjustRightInd w:val="0"/>
        <w:jc w:val="center"/>
        <w:rPr>
          <w:rFonts w:eastAsiaTheme="minorHAnsi"/>
          <w:color w:val="000000"/>
          <w:lang w:eastAsia="en-US"/>
        </w:rPr>
      </w:pPr>
    </w:p>
    <w:p w:rsidR="00FB2FA2" w:rsidRPr="00FB2FA2" w:rsidRDefault="00FB2FA2" w:rsidP="00FB2FA2">
      <w:pPr>
        <w:autoSpaceDE w:val="0"/>
        <w:autoSpaceDN w:val="0"/>
        <w:adjustRightInd w:val="0"/>
        <w:jc w:val="center"/>
        <w:rPr>
          <w:rFonts w:eastAsiaTheme="minorHAnsi"/>
          <w:color w:val="000000"/>
          <w:lang w:eastAsia="en-US"/>
        </w:rPr>
      </w:pPr>
    </w:p>
    <w:p w:rsidR="001D0839" w:rsidRDefault="001D0839">
      <w:pPr>
        <w:spacing w:after="160" w:line="259" w:lineRule="auto"/>
        <w:rPr>
          <w:rFonts w:eastAsiaTheme="minorHAnsi"/>
          <w:b/>
          <w:color w:val="000000"/>
          <w:lang w:eastAsia="en-US"/>
        </w:rPr>
      </w:pPr>
      <w:r>
        <w:rPr>
          <w:rFonts w:eastAsiaTheme="minorHAnsi"/>
          <w:b/>
          <w:color w:val="000000"/>
          <w:lang w:eastAsia="en-US"/>
        </w:rPr>
        <w:br w:type="page"/>
      </w:r>
    </w:p>
    <w:p w:rsidR="00DC7E02" w:rsidRPr="00FB2FA2" w:rsidRDefault="00DC7E02" w:rsidP="00FB2FA2">
      <w:pPr>
        <w:jc w:val="center"/>
        <w:rPr>
          <w:rFonts w:eastAsiaTheme="minorHAnsi"/>
          <w:b/>
          <w:color w:val="000000"/>
          <w:lang w:eastAsia="en-US"/>
        </w:rPr>
      </w:pPr>
      <w:bookmarkStart w:id="0" w:name="_GoBack"/>
      <w:bookmarkEnd w:id="0"/>
      <w:r w:rsidRPr="00FB2FA2">
        <w:rPr>
          <w:rFonts w:eastAsiaTheme="minorHAnsi"/>
          <w:b/>
          <w:color w:val="000000"/>
          <w:lang w:eastAsia="en-US"/>
        </w:rPr>
        <w:t>EXPOSICI</w:t>
      </w:r>
      <w:r w:rsidR="007C68EE">
        <w:rPr>
          <w:rFonts w:eastAsiaTheme="minorHAnsi"/>
          <w:b/>
          <w:color w:val="000000"/>
          <w:lang w:eastAsia="en-US"/>
        </w:rPr>
        <w:t>Ó</w:t>
      </w:r>
      <w:r w:rsidRPr="00FB2FA2">
        <w:rPr>
          <w:rFonts w:eastAsiaTheme="minorHAnsi"/>
          <w:b/>
          <w:color w:val="000000"/>
          <w:lang w:eastAsia="en-US"/>
        </w:rPr>
        <w:t>N DE MOTIVOS</w:t>
      </w:r>
    </w:p>
    <w:p w:rsidR="001239AC" w:rsidRPr="00FB2FA2" w:rsidRDefault="001239AC" w:rsidP="00FB2FA2">
      <w:pPr>
        <w:jc w:val="center"/>
        <w:rPr>
          <w:b/>
        </w:rPr>
      </w:pPr>
    </w:p>
    <w:p w:rsidR="00FB2FA2" w:rsidRPr="00060883" w:rsidRDefault="00DC7E02" w:rsidP="00FB2FA2">
      <w:pPr>
        <w:jc w:val="center"/>
        <w:rPr>
          <w:rFonts w:eastAsiaTheme="minorHAnsi"/>
          <w:b/>
          <w:i/>
          <w:color w:val="000000"/>
        </w:rPr>
      </w:pPr>
      <w:r w:rsidRPr="00FB2FA2">
        <w:rPr>
          <w:rFonts w:eastAsiaTheme="minorHAnsi"/>
          <w:b/>
          <w:color w:val="000000"/>
          <w:lang w:eastAsia="en-US"/>
        </w:rPr>
        <w:t xml:space="preserve">Proyecto de ley </w:t>
      </w:r>
      <w:r w:rsidRPr="00060883">
        <w:rPr>
          <w:rFonts w:eastAsiaTheme="minorHAnsi"/>
          <w:b/>
          <w:i/>
          <w:color w:val="000000"/>
        </w:rPr>
        <w:t>“</w:t>
      </w:r>
      <w:r w:rsidR="00AA5954" w:rsidRPr="000B4D98">
        <w:rPr>
          <w:rFonts w:eastAsiaTheme="minorHAnsi"/>
          <w:b/>
          <w:i/>
          <w:color w:val="000000"/>
          <w:lang w:eastAsia="en-US"/>
        </w:rPr>
        <w:t>Por medio de</w:t>
      </w:r>
      <w:r w:rsidRPr="00060883">
        <w:rPr>
          <w:rFonts w:eastAsiaTheme="minorHAnsi"/>
          <w:b/>
          <w:i/>
          <w:color w:val="000000"/>
        </w:rPr>
        <w:t xml:space="preserve"> la cual se </w:t>
      </w:r>
      <w:r w:rsidR="00707439" w:rsidRPr="00060883">
        <w:rPr>
          <w:rFonts w:eastAsiaTheme="minorHAnsi"/>
          <w:b/>
          <w:i/>
          <w:color w:val="000000"/>
        </w:rPr>
        <w:t xml:space="preserve">crea </w:t>
      </w:r>
      <w:r w:rsidR="00AA5954" w:rsidRPr="000B4D98">
        <w:rPr>
          <w:rFonts w:eastAsiaTheme="minorHAnsi"/>
          <w:b/>
          <w:i/>
          <w:color w:val="000000"/>
          <w:lang w:eastAsia="en-US"/>
        </w:rPr>
        <w:t>una</w:t>
      </w:r>
      <w:r w:rsidR="00707439" w:rsidRPr="00060883">
        <w:rPr>
          <w:rFonts w:eastAsiaTheme="minorHAnsi"/>
          <w:b/>
          <w:i/>
          <w:color w:val="000000"/>
        </w:rPr>
        <w:t xml:space="preserve"> nueva unidad monetaria</w:t>
      </w:r>
    </w:p>
    <w:p w:rsidR="00DC7E02" w:rsidRPr="00060883" w:rsidRDefault="00707439" w:rsidP="00FB2FA2">
      <w:pPr>
        <w:jc w:val="center"/>
        <w:rPr>
          <w:rFonts w:eastAsiaTheme="minorHAnsi"/>
          <w:b/>
          <w:i/>
          <w:color w:val="000000"/>
        </w:rPr>
      </w:pPr>
      <w:r w:rsidRPr="00060883">
        <w:rPr>
          <w:rFonts w:eastAsiaTheme="minorHAnsi"/>
          <w:b/>
          <w:i/>
          <w:color w:val="000000"/>
        </w:rPr>
        <w:t xml:space="preserve">y unidad de cuenta del país </w:t>
      </w:r>
      <w:r w:rsidR="00AA5954" w:rsidRPr="000B4D98">
        <w:rPr>
          <w:rFonts w:eastAsiaTheme="minorHAnsi"/>
          <w:b/>
          <w:i/>
          <w:color w:val="000000"/>
          <w:lang w:eastAsia="en-US"/>
        </w:rPr>
        <w:t>en desarrollo del numeral 13 del artículo 150 de la Constitución Política</w:t>
      </w:r>
      <w:r w:rsidR="00DC7E02" w:rsidRPr="00060883">
        <w:rPr>
          <w:rFonts w:eastAsiaTheme="minorHAnsi"/>
          <w:b/>
          <w:i/>
          <w:color w:val="000000"/>
        </w:rPr>
        <w:t>.”</w:t>
      </w:r>
    </w:p>
    <w:p w:rsidR="00FB2FA2" w:rsidRDefault="00FB2FA2" w:rsidP="00FB2FA2">
      <w:pPr>
        <w:jc w:val="center"/>
        <w:rPr>
          <w:rFonts w:eastAsiaTheme="minorHAnsi"/>
          <w:b/>
          <w:color w:val="000000"/>
          <w:lang w:eastAsia="en-US"/>
        </w:rPr>
      </w:pPr>
    </w:p>
    <w:p w:rsidR="00DC7E02" w:rsidRPr="00FB2FA2" w:rsidRDefault="00DC7E02" w:rsidP="00FB2FA2">
      <w:pPr>
        <w:jc w:val="both"/>
        <w:rPr>
          <w:b/>
        </w:rPr>
      </w:pPr>
    </w:p>
    <w:p w:rsidR="00DC7E02" w:rsidRPr="00FB2FA2" w:rsidRDefault="001239AC" w:rsidP="00FB2FA2">
      <w:pPr>
        <w:pStyle w:val="Prrafodelista"/>
        <w:numPr>
          <w:ilvl w:val="0"/>
          <w:numId w:val="5"/>
        </w:numPr>
        <w:autoSpaceDE w:val="0"/>
        <w:autoSpaceDN w:val="0"/>
        <w:adjustRightInd w:val="0"/>
        <w:spacing w:after="0" w:line="240" w:lineRule="auto"/>
        <w:jc w:val="both"/>
        <w:rPr>
          <w:rFonts w:ascii="Times New Roman" w:hAnsi="Times New Roman" w:cs="Times New Roman"/>
          <w:b/>
          <w:color w:val="000000"/>
          <w:sz w:val="24"/>
          <w:szCs w:val="24"/>
        </w:rPr>
      </w:pPr>
      <w:r w:rsidRPr="00FB2FA2">
        <w:rPr>
          <w:rFonts w:ascii="Times New Roman" w:hAnsi="Times New Roman" w:cs="Times New Roman"/>
          <w:b/>
          <w:color w:val="000000"/>
          <w:sz w:val="24"/>
          <w:szCs w:val="24"/>
        </w:rPr>
        <w:t>INTRODUCCIÓN</w:t>
      </w:r>
    </w:p>
    <w:p w:rsidR="001239AC" w:rsidRPr="00FB2FA2" w:rsidRDefault="001239AC" w:rsidP="00FB2FA2">
      <w:pPr>
        <w:autoSpaceDE w:val="0"/>
        <w:autoSpaceDN w:val="0"/>
        <w:adjustRightInd w:val="0"/>
        <w:jc w:val="both"/>
        <w:rPr>
          <w:rFonts w:eastAsiaTheme="minorHAnsi"/>
          <w:color w:val="000000"/>
          <w:lang w:eastAsia="en-US"/>
        </w:rPr>
      </w:pPr>
    </w:p>
    <w:p w:rsidR="00C807A8" w:rsidRPr="00FB2FA2" w:rsidRDefault="001239AC" w:rsidP="00FB2FA2">
      <w:pPr>
        <w:jc w:val="both"/>
        <w:rPr>
          <w:rFonts w:eastAsiaTheme="minorHAnsi"/>
          <w:color w:val="000000"/>
          <w:lang w:eastAsia="en-US"/>
        </w:rPr>
      </w:pPr>
      <w:r w:rsidRPr="00FB2FA2">
        <w:rPr>
          <w:rFonts w:eastAsiaTheme="minorHAnsi"/>
          <w:color w:val="000000"/>
          <w:lang w:eastAsia="en-US"/>
        </w:rPr>
        <w:t xml:space="preserve">Con el </w:t>
      </w:r>
      <w:r w:rsidR="00FB2FA2" w:rsidRPr="00FB2FA2">
        <w:rPr>
          <w:rFonts w:eastAsiaTheme="minorHAnsi"/>
          <w:color w:val="000000"/>
          <w:lang w:eastAsia="en-US"/>
        </w:rPr>
        <w:t xml:space="preserve">presente </w:t>
      </w:r>
      <w:r w:rsidRPr="00FB2FA2">
        <w:rPr>
          <w:rFonts w:eastAsiaTheme="minorHAnsi"/>
          <w:color w:val="000000"/>
          <w:lang w:eastAsia="en-US"/>
        </w:rPr>
        <w:t xml:space="preserve">proyecto de ley, </w:t>
      </w:r>
      <w:r w:rsidR="008863FB">
        <w:rPr>
          <w:rFonts w:eastAsiaTheme="minorHAnsi"/>
          <w:color w:val="000000"/>
          <w:lang w:eastAsia="en-US"/>
        </w:rPr>
        <w:t xml:space="preserve">los autores </w:t>
      </w:r>
      <w:r w:rsidRPr="00FB2FA2">
        <w:rPr>
          <w:rFonts w:eastAsiaTheme="minorHAnsi"/>
          <w:color w:val="000000"/>
          <w:lang w:eastAsia="en-US"/>
        </w:rPr>
        <w:t>busca</w:t>
      </w:r>
      <w:r w:rsidR="008863FB">
        <w:rPr>
          <w:rFonts w:eastAsiaTheme="minorHAnsi"/>
          <w:color w:val="000000"/>
          <w:lang w:eastAsia="en-US"/>
        </w:rPr>
        <w:t>n</w:t>
      </w:r>
      <w:r w:rsidRPr="00FB2FA2">
        <w:rPr>
          <w:rFonts w:eastAsiaTheme="minorHAnsi"/>
          <w:color w:val="000000"/>
          <w:lang w:eastAsia="en-US"/>
        </w:rPr>
        <w:t xml:space="preserve"> atender </w:t>
      </w:r>
      <w:r w:rsidR="00FB2FA2" w:rsidRPr="00FB2FA2">
        <w:rPr>
          <w:rFonts w:eastAsiaTheme="minorHAnsi"/>
          <w:color w:val="000000"/>
          <w:lang w:eastAsia="en-US"/>
        </w:rPr>
        <w:t>do</w:t>
      </w:r>
      <w:r w:rsidR="00C807A8" w:rsidRPr="00FB2FA2">
        <w:rPr>
          <w:rFonts w:eastAsiaTheme="minorHAnsi"/>
          <w:color w:val="000000"/>
          <w:lang w:eastAsia="en-US"/>
        </w:rPr>
        <w:t xml:space="preserve">s </w:t>
      </w:r>
      <w:r w:rsidRPr="00FB2FA2">
        <w:rPr>
          <w:rFonts w:eastAsiaTheme="minorHAnsi"/>
          <w:color w:val="000000"/>
          <w:lang w:eastAsia="en-US"/>
        </w:rPr>
        <w:t xml:space="preserve">importantes dimensiones: </w:t>
      </w:r>
      <w:r w:rsidR="00FB2FA2" w:rsidRPr="00FB2FA2">
        <w:rPr>
          <w:rFonts w:eastAsiaTheme="minorHAnsi"/>
          <w:color w:val="000000"/>
          <w:lang w:eastAsia="en-US"/>
        </w:rPr>
        <w:t xml:space="preserve">i) </w:t>
      </w:r>
      <w:r w:rsidRPr="00FB2FA2">
        <w:rPr>
          <w:rFonts w:eastAsiaTheme="minorHAnsi"/>
          <w:color w:val="000000"/>
          <w:lang w:eastAsia="en-US"/>
        </w:rPr>
        <w:t>la actualización del peso colombiano a estándares internacionales, creando una nueva unidad monetaria y unidad</w:t>
      </w:r>
      <w:r w:rsidR="00C807A8" w:rsidRPr="00FB2FA2">
        <w:rPr>
          <w:rFonts w:eastAsiaTheme="minorHAnsi"/>
          <w:color w:val="000000"/>
          <w:lang w:eastAsia="en-US"/>
        </w:rPr>
        <w:t xml:space="preserve"> de cuenta del país </w:t>
      </w:r>
      <w:r w:rsidRPr="00FB2FA2">
        <w:rPr>
          <w:rFonts w:eastAsiaTheme="minorHAnsi"/>
          <w:color w:val="000000"/>
          <w:lang w:eastAsia="en-US"/>
        </w:rPr>
        <w:t xml:space="preserve">simplificada, que </w:t>
      </w:r>
      <w:r w:rsidR="00C807A8" w:rsidRPr="00FB2FA2">
        <w:rPr>
          <w:rFonts w:eastAsiaTheme="minorHAnsi"/>
          <w:color w:val="000000"/>
          <w:lang w:eastAsia="en-US"/>
        </w:rPr>
        <w:t xml:space="preserve">implica la </w:t>
      </w:r>
      <w:r w:rsidRPr="00FB2FA2">
        <w:rPr>
          <w:rFonts w:eastAsiaTheme="minorHAnsi"/>
          <w:color w:val="000000"/>
          <w:lang w:eastAsia="en-US"/>
        </w:rPr>
        <w:t>eliminación de tres ceros a la moneda actual y la utilización de los centavos</w:t>
      </w:r>
      <w:r w:rsidR="00FB2FA2" w:rsidRPr="00FB2FA2">
        <w:rPr>
          <w:rFonts w:eastAsiaTheme="minorHAnsi"/>
          <w:color w:val="000000"/>
          <w:lang w:eastAsia="en-US"/>
        </w:rPr>
        <w:t>, y</w:t>
      </w:r>
      <w:r w:rsidR="00061FDA">
        <w:rPr>
          <w:rFonts w:eastAsiaTheme="minorHAnsi"/>
          <w:color w:val="000000"/>
          <w:lang w:eastAsia="en-US"/>
        </w:rPr>
        <w:t xml:space="preserve"> </w:t>
      </w:r>
      <w:r w:rsidR="00FB2FA2" w:rsidRPr="00FB2FA2">
        <w:rPr>
          <w:rFonts w:eastAsiaTheme="minorHAnsi"/>
          <w:color w:val="000000"/>
          <w:lang w:eastAsia="en-US"/>
        </w:rPr>
        <w:t xml:space="preserve">ii) </w:t>
      </w:r>
      <w:r w:rsidR="00C807A8" w:rsidRPr="00FB2FA2">
        <w:rPr>
          <w:rFonts w:eastAsiaTheme="minorHAnsi"/>
          <w:color w:val="000000"/>
          <w:lang w:eastAsia="en-US"/>
        </w:rPr>
        <w:t xml:space="preserve">la simplificación del manejo de las </w:t>
      </w:r>
      <w:r w:rsidR="00FB2FA2" w:rsidRPr="00FB2FA2">
        <w:rPr>
          <w:rFonts w:eastAsiaTheme="minorHAnsi"/>
          <w:color w:val="000000"/>
          <w:lang w:eastAsia="en-US"/>
        </w:rPr>
        <w:t>cifras</w:t>
      </w:r>
      <w:r w:rsidR="00C4544D" w:rsidRPr="00FB2FA2">
        <w:rPr>
          <w:rFonts w:eastAsiaTheme="minorHAnsi"/>
          <w:color w:val="000000"/>
          <w:lang w:eastAsia="en-US"/>
        </w:rPr>
        <w:t>.</w:t>
      </w:r>
    </w:p>
    <w:p w:rsidR="00C807A8" w:rsidRPr="00FB2FA2" w:rsidRDefault="00C807A8" w:rsidP="00FB2FA2">
      <w:pPr>
        <w:jc w:val="both"/>
        <w:rPr>
          <w:color w:val="000000"/>
          <w:spacing w:val="8"/>
        </w:rPr>
      </w:pPr>
    </w:p>
    <w:p w:rsidR="00C4544D" w:rsidRPr="00FB2FA2" w:rsidRDefault="001239AC" w:rsidP="00FB2FA2">
      <w:pPr>
        <w:jc w:val="both"/>
        <w:rPr>
          <w:rFonts w:eastAsiaTheme="minorHAnsi"/>
          <w:color w:val="000000"/>
          <w:lang w:eastAsia="en-US"/>
        </w:rPr>
      </w:pPr>
      <w:r w:rsidRPr="00E55906">
        <w:rPr>
          <w:rFonts w:eastAsiaTheme="minorHAnsi"/>
          <w:color w:val="000000"/>
          <w:lang w:eastAsia="en-US"/>
        </w:rPr>
        <w:t xml:space="preserve">El proyecto se estructura en </w:t>
      </w:r>
      <w:r w:rsidR="00FB2FA2" w:rsidRPr="00E55906">
        <w:rPr>
          <w:rFonts w:eastAsiaTheme="minorHAnsi"/>
          <w:color w:val="000000"/>
          <w:lang w:eastAsia="en-US"/>
        </w:rPr>
        <w:t>cuatro</w:t>
      </w:r>
      <w:r w:rsidRPr="00E55906">
        <w:rPr>
          <w:rFonts w:eastAsiaTheme="minorHAnsi"/>
          <w:color w:val="000000"/>
          <w:lang w:eastAsia="en-US"/>
        </w:rPr>
        <w:t xml:space="preserve"> títulos</w:t>
      </w:r>
      <w:r w:rsidR="005B5DA5" w:rsidRPr="00E55906">
        <w:rPr>
          <w:rFonts w:eastAsiaTheme="minorHAnsi"/>
          <w:color w:val="000000"/>
          <w:lang w:eastAsia="en-US"/>
        </w:rPr>
        <w:t>. El primero,</w:t>
      </w:r>
      <w:r w:rsidRPr="00E55906">
        <w:rPr>
          <w:rFonts w:eastAsiaTheme="minorHAnsi"/>
          <w:color w:val="000000"/>
          <w:lang w:eastAsia="en-US"/>
        </w:rPr>
        <w:t xml:space="preserve"> relacionado con </w:t>
      </w:r>
      <w:r w:rsidR="00FB2FA2" w:rsidRPr="00E55906">
        <w:rPr>
          <w:rFonts w:eastAsiaTheme="minorHAnsi"/>
          <w:color w:val="000000"/>
          <w:lang w:eastAsia="en-US"/>
        </w:rPr>
        <w:t>la creación de la nueva unidad monetaria y unidad de cuenta en el país</w:t>
      </w:r>
      <w:r w:rsidRPr="00E55906">
        <w:rPr>
          <w:rFonts w:eastAsiaTheme="minorHAnsi"/>
          <w:color w:val="000000"/>
          <w:lang w:eastAsia="en-US"/>
        </w:rPr>
        <w:t xml:space="preserve">, </w:t>
      </w:r>
      <w:r w:rsidR="00C4544D" w:rsidRPr="00E55906">
        <w:rPr>
          <w:rFonts w:eastAsiaTheme="minorHAnsi"/>
          <w:color w:val="000000"/>
          <w:lang w:eastAsia="en-US"/>
        </w:rPr>
        <w:t xml:space="preserve">el </w:t>
      </w:r>
      <w:r w:rsidR="005B5DA5" w:rsidRPr="00E55906">
        <w:rPr>
          <w:rFonts w:eastAsiaTheme="minorHAnsi"/>
          <w:color w:val="000000"/>
          <w:lang w:eastAsia="en-US"/>
        </w:rPr>
        <w:t>segundo se refiere</w:t>
      </w:r>
      <w:r w:rsidR="00061FDA">
        <w:rPr>
          <w:rFonts w:eastAsiaTheme="minorHAnsi"/>
          <w:color w:val="000000"/>
          <w:lang w:eastAsia="en-US"/>
        </w:rPr>
        <w:t xml:space="preserve"> </w:t>
      </w:r>
      <w:r w:rsidR="00D51409" w:rsidRPr="00E55906">
        <w:rPr>
          <w:rFonts w:eastAsiaTheme="minorHAnsi"/>
          <w:color w:val="000000"/>
          <w:lang w:eastAsia="en-US"/>
        </w:rPr>
        <w:t>a</w:t>
      </w:r>
      <w:r w:rsidR="005B5DA5" w:rsidRPr="00E55906">
        <w:rPr>
          <w:rFonts w:eastAsiaTheme="minorHAnsi"/>
          <w:color w:val="000000"/>
          <w:lang w:eastAsia="en-US"/>
        </w:rPr>
        <w:t xml:space="preserve">l </w:t>
      </w:r>
      <w:r w:rsidR="00C4544D" w:rsidRPr="00E55906">
        <w:rPr>
          <w:rFonts w:eastAsiaTheme="minorHAnsi"/>
          <w:color w:val="000000"/>
          <w:lang w:eastAsia="en-US"/>
        </w:rPr>
        <w:t>periodo de transición</w:t>
      </w:r>
      <w:r w:rsidR="005B5DA5" w:rsidRPr="00E55906">
        <w:rPr>
          <w:rFonts w:eastAsiaTheme="minorHAnsi"/>
          <w:color w:val="000000"/>
          <w:lang w:eastAsia="en-US"/>
        </w:rPr>
        <w:t xml:space="preserve"> que se otorgará para que el país se ajuste al cambio</w:t>
      </w:r>
      <w:r w:rsidR="00FB2FA2" w:rsidRPr="00E55906">
        <w:rPr>
          <w:rFonts w:eastAsiaTheme="minorHAnsi"/>
          <w:color w:val="000000"/>
          <w:lang w:eastAsia="en-US"/>
        </w:rPr>
        <w:t xml:space="preserve">, </w:t>
      </w:r>
      <w:r w:rsidR="005B5DA5" w:rsidRPr="00E55906">
        <w:rPr>
          <w:rFonts w:eastAsiaTheme="minorHAnsi"/>
          <w:color w:val="000000"/>
          <w:lang w:eastAsia="en-US"/>
        </w:rPr>
        <w:t>el tercero</w:t>
      </w:r>
      <w:r w:rsidR="00061FDA">
        <w:rPr>
          <w:rFonts w:eastAsiaTheme="minorHAnsi"/>
          <w:color w:val="000000"/>
          <w:lang w:eastAsia="en-US"/>
        </w:rPr>
        <w:t xml:space="preserve"> </w:t>
      </w:r>
      <w:r w:rsidR="00C4544D" w:rsidRPr="00E55906">
        <w:rPr>
          <w:rFonts w:eastAsiaTheme="minorHAnsi"/>
          <w:color w:val="000000"/>
          <w:lang w:eastAsia="en-US"/>
        </w:rPr>
        <w:t>con</w:t>
      </w:r>
      <w:r w:rsidR="005B5DA5" w:rsidRPr="00E55906">
        <w:rPr>
          <w:rFonts w:eastAsiaTheme="minorHAnsi"/>
          <w:color w:val="000000"/>
          <w:lang w:eastAsia="en-US"/>
        </w:rPr>
        <w:t>tiene</w:t>
      </w:r>
      <w:r w:rsidR="00061FDA">
        <w:rPr>
          <w:rFonts w:eastAsiaTheme="minorHAnsi"/>
          <w:color w:val="000000"/>
          <w:lang w:eastAsia="en-US"/>
        </w:rPr>
        <w:t xml:space="preserve"> </w:t>
      </w:r>
      <w:r w:rsidR="005B5DA5" w:rsidRPr="00E55906">
        <w:rPr>
          <w:rFonts w:eastAsiaTheme="minorHAnsi"/>
          <w:color w:val="000000"/>
          <w:lang w:eastAsia="en-US"/>
        </w:rPr>
        <w:t>las</w:t>
      </w:r>
      <w:r w:rsidR="00061FDA">
        <w:rPr>
          <w:rFonts w:eastAsiaTheme="minorHAnsi"/>
          <w:color w:val="000000"/>
          <w:lang w:eastAsia="en-US"/>
        </w:rPr>
        <w:t xml:space="preserve"> </w:t>
      </w:r>
      <w:r w:rsidRPr="00E55906">
        <w:rPr>
          <w:rFonts w:eastAsiaTheme="minorHAnsi"/>
          <w:color w:val="000000"/>
          <w:lang w:eastAsia="en-US"/>
        </w:rPr>
        <w:t>disposiciones</w:t>
      </w:r>
      <w:r w:rsidR="00C4544D" w:rsidRPr="00E55906">
        <w:rPr>
          <w:rFonts w:eastAsiaTheme="minorHAnsi"/>
          <w:color w:val="000000"/>
          <w:lang w:eastAsia="en-US"/>
        </w:rPr>
        <w:t xml:space="preserve"> que deberán aplica</w:t>
      </w:r>
      <w:r w:rsidR="005B5DA5" w:rsidRPr="00E55906">
        <w:rPr>
          <w:rFonts w:eastAsiaTheme="minorHAnsi"/>
          <w:color w:val="000000"/>
          <w:lang w:eastAsia="en-US"/>
        </w:rPr>
        <w:t>rse</w:t>
      </w:r>
      <w:r w:rsidR="00C4544D" w:rsidRPr="00E55906">
        <w:rPr>
          <w:rFonts w:eastAsiaTheme="minorHAnsi"/>
          <w:color w:val="000000"/>
          <w:lang w:eastAsia="en-US"/>
        </w:rPr>
        <w:t xml:space="preserve"> una vez finalizado el mencionado periodo</w:t>
      </w:r>
      <w:r w:rsidR="00FB2FA2" w:rsidRPr="00E55906">
        <w:rPr>
          <w:rFonts w:eastAsiaTheme="minorHAnsi"/>
          <w:color w:val="000000"/>
          <w:lang w:eastAsia="en-US"/>
        </w:rPr>
        <w:t xml:space="preserve"> de transición, y finalmente</w:t>
      </w:r>
      <w:r w:rsidR="005B5DA5" w:rsidRPr="00E55906">
        <w:rPr>
          <w:rFonts w:eastAsiaTheme="minorHAnsi"/>
          <w:color w:val="000000"/>
          <w:lang w:eastAsia="en-US"/>
        </w:rPr>
        <w:t>,</w:t>
      </w:r>
      <w:r w:rsidR="00FB2FA2" w:rsidRPr="00E55906">
        <w:rPr>
          <w:rFonts w:eastAsiaTheme="minorHAnsi"/>
          <w:color w:val="000000"/>
          <w:lang w:eastAsia="en-US"/>
        </w:rPr>
        <w:t xml:space="preserve"> un título </w:t>
      </w:r>
      <w:r w:rsidR="005B5DA5" w:rsidRPr="00E55906">
        <w:rPr>
          <w:rFonts w:eastAsiaTheme="minorHAnsi"/>
          <w:color w:val="000000"/>
          <w:lang w:eastAsia="en-US"/>
        </w:rPr>
        <w:t>con</w:t>
      </w:r>
      <w:r w:rsidR="00FB2FA2" w:rsidRPr="00E55906">
        <w:rPr>
          <w:rFonts w:eastAsiaTheme="minorHAnsi"/>
          <w:color w:val="000000"/>
          <w:lang w:eastAsia="en-US"/>
        </w:rPr>
        <w:t xml:space="preserve"> disposiciones generales</w:t>
      </w:r>
      <w:r w:rsidRPr="00E55906">
        <w:rPr>
          <w:rFonts w:eastAsiaTheme="minorHAnsi"/>
          <w:color w:val="000000"/>
          <w:lang w:eastAsia="en-US"/>
        </w:rPr>
        <w:t>.</w:t>
      </w:r>
    </w:p>
    <w:p w:rsidR="00C4544D" w:rsidRPr="00FB2FA2" w:rsidRDefault="00C4544D" w:rsidP="00FB2FA2">
      <w:pPr>
        <w:jc w:val="both"/>
        <w:rPr>
          <w:rFonts w:eastAsiaTheme="minorHAnsi"/>
          <w:color w:val="000000"/>
          <w:lang w:eastAsia="en-US"/>
        </w:rPr>
      </w:pPr>
    </w:p>
    <w:p w:rsidR="00B8508C" w:rsidRPr="00FB2FA2" w:rsidRDefault="00B8508C" w:rsidP="00FB2FA2">
      <w:pPr>
        <w:jc w:val="both"/>
      </w:pPr>
      <w:r w:rsidRPr="00FB2FA2">
        <w:t xml:space="preserve">En ejercicio de la facultad señalada en el artículo 154 y en desarrollo del numeral 13 del artículo 150 de la Constitución Política, el cual establece </w:t>
      </w:r>
      <w:r w:rsidR="00837BC0">
        <w:t>que a través de la ley es</w:t>
      </w:r>
      <w:r w:rsidR="00837BC0" w:rsidRPr="00FB2FA2">
        <w:t xml:space="preserve"> funci</w:t>
      </w:r>
      <w:r w:rsidR="00837BC0">
        <w:t>ón</w:t>
      </w:r>
      <w:r w:rsidRPr="00FB2FA2">
        <w:t xml:space="preserve"> del Congreso de la República determinar la moneda legal, la convertibilidad y el alcance de su poder liberatorio, y arreglar el sistema de pesas y medidas, </w:t>
      </w:r>
      <w:r w:rsidR="008863FB">
        <w:t xml:space="preserve">los autores </w:t>
      </w:r>
      <w:r w:rsidRPr="00FB2FA2">
        <w:t>presenta</w:t>
      </w:r>
      <w:r w:rsidR="008863FB">
        <w:t>n</w:t>
      </w:r>
      <w:r w:rsidRPr="00FB2FA2">
        <w:t xml:space="preserve"> al Honorable Congreso de la República el presente proyecto de ley.  </w:t>
      </w:r>
    </w:p>
    <w:p w:rsidR="00FB2FA2" w:rsidRDefault="00FB2FA2" w:rsidP="00FB2FA2">
      <w:pPr>
        <w:jc w:val="both"/>
        <w:rPr>
          <w:b/>
        </w:rPr>
      </w:pPr>
    </w:p>
    <w:p w:rsidR="00FB2FA2" w:rsidRPr="00FB2FA2" w:rsidRDefault="00FB2FA2" w:rsidP="00FB2FA2">
      <w:pPr>
        <w:jc w:val="both"/>
        <w:rPr>
          <w:b/>
        </w:rPr>
      </w:pPr>
    </w:p>
    <w:p w:rsidR="00C4544D" w:rsidRPr="00FB2FA2" w:rsidRDefault="00C4544D" w:rsidP="00FB2FA2">
      <w:pPr>
        <w:pStyle w:val="Prrafodelista"/>
        <w:numPr>
          <w:ilvl w:val="0"/>
          <w:numId w:val="5"/>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C</w:t>
      </w:r>
      <w:r w:rsidR="00B8508C" w:rsidRPr="00FB2FA2">
        <w:rPr>
          <w:rFonts w:ascii="Times New Roman" w:hAnsi="Times New Roman" w:cs="Times New Roman"/>
          <w:b/>
          <w:sz w:val="24"/>
          <w:szCs w:val="24"/>
        </w:rPr>
        <w:t>ONTEXTO</w:t>
      </w:r>
    </w:p>
    <w:p w:rsidR="00FB2FA2" w:rsidRDefault="00FB2FA2" w:rsidP="00FB2FA2">
      <w:pPr>
        <w:jc w:val="both"/>
        <w:rPr>
          <w:rFonts w:eastAsia="Calibri"/>
        </w:rPr>
      </w:pPr>
    </w:p>
    <w:p w:rsidR="00C4544D" w:rsidRPr="00FB2FA2" w:rsidRDefault="00C4544D" w:rsidP="00FB2FA2">
      <w:pPr>
        <w:jc w:val="both"/>
        <w:rPr>
          <w:rFonts w:eastAsia="Calibri"/>
        </w:rPr>
      </w:pPr>
      <w:r w:rsidRPr="00FB2FA2">
        <w:rPr>
          <w:rFonts w:eastAsia="Calibri"/>
        </w:rPr>
        <w:t xml:space="preserve">Colombia ha sufrido importantes transformaciones en los últimos años. Las reformas a la regulación del sistema financiero, sumadas a todas aquellas orientadas a garantizar la sostenibilidad de las finanzas públicas y al manejo coherente de la política económica, han permitido fortalecer la economía y hacerla menos vulnerable a choques externos e internos. Los bajos niveles de inflación alcanzados a partir de la adopción del esquema de inflación objetivo por parte del Banco de la República -especialmente durante la última década-, así como la confianza en la autoridad monetaria, han favorecido las decisiones de inversión de los agentes y han permitido proteger el poder adquisitivo de la moneda en beneficio de la población menos favorecida. </w:t>
      </w:r>
    </w:p>
    <w:p w:rsidR="00C4544D" w:rsidRPr="00FB2FA2" w:rsidRDefault="00C4544D" w:rsidP="00FB2FA2">
      <w:pPr>
        <w:jc w:val="both"/>
      </w:pPr>
    </w:p>
    <w:p w:rsidR="00C4544D" w:rsidRPr="00FB2FA2" w:rsidRDefault="00C4544D" w:rsidP="00FB2FA2">
      <w:pPr>
        <w:jc w:val="both"/>
        <w:rPr>
          <w:rFonts w:eastAsia="Calibri"/>
          <w:color w:val="FF0000"/>
        </w:rPr>
      </w:pPr>
      <w:r w:rsidRPr="00FB2FA2">
        <w:rPr>
          <w:rFonts w:eastAsia="Calibri"/>
        </w:rPr>
        <w:t xml:space="preserve">Todos estos avances han sido determinantes para afianzar las bases de un crecimiento sostenido de la economía que conduzca a reducir los niveles de pobreza, desempleo y desigualdad. </w:t>
      </w:r>
    </w:p>
    <w:p w:rsidR="00C4544D" w:rsidRPr="00FB2FA2" w:rsidRDefault="00C4544D" w:rsidP="00FB2FA2">
      <w:pPr>
        <w:jc w:val="both"/>
      </w:pPr>
      <w:r w:rsidRPr="00FB2FA2">
        <w:lastRenderedPageBreak/>
        <w:t xml:space="preserve">El presente proyecto de ley busca aumentar la eficiencia del peso colombiano, por medio de la conversión monetaria, consistente en la eliminación de tres ceros de billetes y monedas, lo que simplificará las transacciones entre los agentes de la economía, reduciendo los costos de transacción y por lo tanto, contribuyendo a la creación de un ambiente propicio para la competitividad y el crecimiento económico del país. </w:t>
      </w:r>
    </w:p>
    <w:p w:rsidR="00C4544D" w:rsidRPr="00FB2FA2" w:rsidRDefault="00C4544D" w:rsidP="00FB2FA2">
      <w:pPr>
        <w:jc w:val="both"/>
      </w:pPr>
    </w:p>
    <w:p w:rsidR="00B8508C" w:rsidRPr="00060883" w:rsidRDefault="00C4544D" w:rsidP="00060883">
      <w:pPr>
        <w:jc w:val="both"/>
        <w:rPr>
          <w:b/>
        </w:rPr>
      </w:pPr>
      <w:r w:rsidRPr="000B2BE6">
        <w:t xml:space="preserve">La propuesta, descrita en la </w:t>
      </w:r>
      <w:r w:rsidR="00D01DF6" w:rsidRPr="000B2BE6">
        <w:t>quinta</w:t>
      </w:r>
      <w:r w:rsidRPr="000B2BE6">
        <w:t xml:space="preserve"> parte de este documento se sustenta en algunos elementos teóricos mínimos y en el diagnóstico de la situación particular de la economía, aspectos que se revisan en las secciones tercera</w:t>
      </w:r>
      <w:r w:rsidR="00D01DF6" w:rsidRPr="000B2BE6">
        <w:t xml:space="preserve"> y cuarta</w:t>
      </w:r>
      <w:r w:rsidRPr="000B2BE6">
        <w:t>. Luego la exposición se complementa con un recuento de las experiencias internacionales en la materia, para finalizar, ofreciendo unas conclusiones</w:t>
      </w:r>
      <w:r w:rsidR="00D01DF6" w:rsidRPr="000B2BE6">
        <w:t xml:space="preserve"> y una explicación detallada del articulado propuesto.</w:t>
      </w:r>
    </w:p>
    <w:p w:rsidR="00FB2FA2" w:rsidRDefault="00FB2FA2" w:rsidP="00060883">
      <w:pPr>
        <w:pStyle w:val="Prrafodelista"/>
        <w:spacing w:after="0" w:line="240" w:lineRule="auto"/>
        <w:jc w:val="both"/>
        <w:rPr>
          <w:rFonts w:ascii="Times New Roman" w:hAnsi="Times New Roman"/>
          <w:b/>
          <w:sz w:val="24"/>
        </w:rPr>
      </w:pPr>
    </w:p>
    <w:p w:rsidR="00EC45DE" w:rsidRPr="00060883" w:rsidRDefault="00EC45DE" w:rsidP="00060883">
      <w:pPr>
        <w:pStyle w:val="Prrafodelista"/>
        <w:spacing w:after="0" w:line="240" w:lineRule="auto"/>
        <w:jc w:val="both"/>
        <w:rPr>
          <w:rFonts w:ascii="Times New Roman" w:hAnsi="Times New Roman"/>
          <w:b/>
          <w:sz w:val="24"/>
        </w:rPr>
      </w:pPr>
    </w:p>
    <w:p w:rsidR="00C4544D" w:rsidRPr="00FB2FA2" w:rsidRDefault="00B8508C" w:rsidP="00FB2FA2">
      <w:pPr>
        <w:pStyle w:val="Prrafodelista"/>
        <w:numPr>
          <w:ilvl w:val="0"/>
          <w:numId w:val="5"/>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 xml:space="preserve">MARCO TEÓRICO </w:t>
      </w:r>
    </w:p>
    <w:p w:rsidR="00FB2FA2" w:rsidRDefault="00FB2FA2" w:rsidP="00FB2FA2">
      <w:pPr>
        <w:jc w:val="both"/>
      </w:pPr>
    </w:p>
    <w:p w:rsidR="00C4544D" w:rsidRPr="00FB2FA2" w:rsidRDefault="00C4544D" w:rsidP="00FB2FA2">
      <w:pPr>
        <w:jc w:val="both"/>
      </w:pPr>
      <w:r w:rsidRPr="00FB2FA2">
        <w:t xml:space="preserve">Es importante recordar que cualquier economía moderna y descentralizada se basa en la compra y venta de bienes y servicios entre agentes económicos independientes. Este tipo de transacciones requiere de la adopción de alguna mercancía que opere como medio de intercambio. Sin ella, estas relaciones mutuamente beneficiosas entre agentes descentralizados, solo podrían efectuarse por la vía del trueque, lo que requeriría que el oferente y el demandante tuvieran disponibilidad de aquello requerido por la contraparte. El uso del dinero solucionó este problema. Con su introducción las sociedades disponen de un mecanismo que permite el intercambio en ausencia de la “doble coincidencia de necesidades”, esto es, no hace falta que quien tiene lo que busco requiera algo de lo que dispongo, pues me es posible obtenerlo a cambio de una mercancía que luego él o ella podrán a su vez intercambiar por lo que deseen. </w:t>
      </w:r>
    </w:p>
    <w:p w:rsidR="00B8508C" w:rsidRPr="00FB2FA2" w:rsidRDefault="00B8508C" w:rsidP="00FB2FA2">
      <w:pPr>
        <w:jc w:val="both"/>
      </w:pPr>
    </w:p>
    <w:p w:rsidR="00C4544D" w:rsidRPr="00FB2FA2" w:rsidRDefault="00C4544D" w:rsidP="00FB2FA2">
      <w:pPr>
        <w:jc w:val="both"/>
      </w:pPr>
      <w:r w:rsidRPr="00FB2FA2">
        <w:t xml:space="preserve">Como es natural, una mercancía adecuada para ese propósito debe cumplir con algunas características especiales de orden puramente físico o material. Ha de ser divisible, para poder adquirir fracciones o porciones de alguna mercancía en particular, fácil de portar y ser imperecedero, para ser trasladado sin mayor riesgo de pérdida o deterioro. Como es obvio, los billetes y monedas, acuñados por los bancos centrales y divisas de las economías modernas, satisfacen estas simples propiedades de orden físico. Adicionalmente se reconoce que una buena moneda debe cumplir con las siguientes funciones de índole puramente económica: medio de pago, depósito de valor y unidad de cuenta. </w:t>
      </w:r>
    </w:p>
    <w:p w:rsidR="00B8508C" w:rsidRPr="00FB2FA2" w:rsidRDefault="00B8508C" w:rsidP="00FB2FA2">
      <w:pPr>
        <w:jc w:val="both"/>
      </w:pPr>
    </w:p>
    <w:p w:rsidR="00C4544D" w:rsidRDefault="00C4544D" w:rsidP="00FB2FA2">
      <w:pPr>
        <w:jc w:val="both"/>
      </w:pPr>
      <w:r w:rsidRPr="00FB2FA2">
        <w:t>Siguiendo a Bofinger (2001)</w:t>
      </w:r>
      <w:r w:rsidR="007F2F29">
        <w:rPr>
          <w:rStyle w:val="Refdenotaalpie"/>
        </w:rPr>
        <w:footnoteReference w:id="2"/>
      </w:r>
      <w:r w:rsidRPr="00FB2FA2">
        <w:t>, en la medida en que en economías complejas se emplean diversos tipos de instrumentos como medios de pago, la definición de dinero se estrella contra problemas de clasificación y agregación, que hacen referencia a qué activos contar como dinero y a cómo ponderarlos al momento de agregarlos. Sin embargo, en lo que resta de este documento se empleará la expresión dinero en el sentido estricto de “circulante”: billetes y monedas.</w:t>
      </w:r>
    </w:p>
    <w:p w:rsidR="00061FDA" w:rsidRPr="00FB2FA2" w:rsidRDefault="00061FDA" w:rsidP="00FB2FA2">
      <w:pPr>
        <w:jc w:val="both"/>
      </w:pPr>
    </w:p>
    <w:p w:rsidR="00C4544D" w:rsidRPr="00FB2FA2" w:rsidRDefault="00C4544D" w:rsidP="00FB2FA2">
      <w:pPr>
        <w:jc w:val="both"/>
      </w:pPr>
      <w:r w:rsidRPr="00FB2FA2">
        <w:t xml:space="preserve">En lo relativo a la función </w:t>
      </w:r>
      <w:r w:rsidR="00BB0FFB">
        <w:t xml:space="preserve">de </w:t>
      </w:r>
      <w:r w:rsidRPr="00FB2FA2">
        <w:t>depósito de valor</w:t>
      </w:r>
      <w:r w:rsidR="00BB0FFB">
        <w:t>,</w:t>
      </w:r>
      <w:r w:rsidRPr="00FB2FA2">
        <w:t xml:space="preserve"> puede mencionarse que esta propiedad hace referencia a la capacidad del dinero para almacenar el producto del trabajo realizado hoy con miras a la satisfacción de necesidades en el futuro cercano o lejano. En esa forma el producto de una actividad productiva, efectuada y pagada hoy, puede servir para responder a necesidades que se presenten en el mañana. Como es natural esta propiedad requiere que el valor de la moneda se preserve razonablemente en el tiempo. En situaciones de alta inflación la moneda pierde aceleradamente su valor, por lo que este pasa a depositarse en activos fijos de menor liquidez, haciendo que el público pierda la confianza en la moneda y la repudie.</w:t>
      </w:r>
    </w:p>
    <w:p w:rsidR="00B8508C" w:rsidRPr="00FB2FA2" w:rsidRDefault="00B8508C" w:rsidP="00FB2FA2">
      <w:pPr>
        <w:jc w:val="both"/>
      </w:pPr>
    </w:p>
    <w:p w:rsidR="00C4544D" w:rsidRPr="00FB2FA2" w:rsidRDefault="00C4544D" w:rsidP="00FB2FA2">
      <w:pPr>
        <w:jc w:val="both"/>
      </w:pPr>
      <w:r w:rsidRPr="00FB2FA2">
        <w:t xml:space="preserve">Por último, la unidad de cuenta hace referencia a la utilidad que presta el dinero como medio apto para comparar el valor de ciertos bienes y servicios en la jurisdicción dentro de la cual se emplea como moneda legal o de curso forzoso. Así se establece el valor patrimonial de las compañías, el de los balances, inventarios, utilidades, impuestos, las cuentas fiscales del gobierno y los portafolios, entre otros. En virtud de esta función, es que se denomina la moneda como “numerario” pues sirve como patrón de medida para determinar el valor tanto de la producción como de los activos y pasivos existentes en la economía. Para que esta función se cumpla adecuadamente es necesario que la unidad permita la fácil realización de los cálculos correspondientes, la conversión a otras monedas y el almacenamiento de información contable a bajo costo.   </w:t>
      </w:r>
    </w:p>
    <w:p w:rsidR="00B8508C" w:rsidRDefault="00B8508C" w:rsidP="00FB2FA2">
      <w:pPr>
        <w:jc w:val="both"/>
      </w:pPr>
    </w:p>
    <w:p w:rsidR="00FB2FA2" w:rsidRPr="00FB2FA2" w:rsidRDefault="00FB2FA2" w:rsidP="00FB2FA2">
      <w:pPr>
        <w:jc w:val="both"/>
      </w:pPr>
    </w:p>
    <w:p w:rsidR="00C4544D" w:rsidRPr="00FB2FA2" w:rsidRDefault="00B8508C" w:rsidP="00FB2FA2">
      <w:pPr>
        <w:pStyle w:val="Prrafodelista"/>
        <w:numPr>
          <w:ilvl w:val="0"/>
          <w:numId w:val="5"/>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DIAGNÓSTICO EN COLOMBIA</w:t>
      </w:r>
    </w:p>
    <w:p w:rsidR="00FB2FA2" w:rsidRDefault="00FB2FA2" w:rsidP="00FB2FA2">
      <w:pPr>
        <w:jc w:val="both"/>
      </w:pPr>
    </w:p>
    <w:p w:rsidR="00C4544D" w:rsidRPr="00FB2FA2" w:rsidRDefault="00C4544D" w:rsidP="00FB2FA2">
      <w:pPr>
        <w:jc w:val="both"/>
      </w:pPr>
      <w:r w:rsidRPr="00FB2FA2">
        <w:t>Es importante entender las propiedades que presenta la moneda colombiana, para entender los motivos que justifican la aplicación de esta medida. Siguiendo las palabras de Vargas (2002)</w:t>
      </w:r>
      <w:r w:rsidR="007F2F29">
        <w:rPr>
          <w:rStyle w:val="Refdenotaalpie"/>
        </w:rPr>
        <w:footnoteReference w:id="3"/>
      </w:r>
      <w:r w:rsidRPr="00FB2FA2">
        <w:t>: “</w:t>
      </w:r>
      <w:r w:rsidRPr="00FB2FA2">
        <w:rPr>
          <w:i/>
        </w:rPr>
        <w:t>Cuando la moneda de un país presenta problemas para cumplir con sus funciones, surge la necesidad de sustituirla.”</w:t>
      </w:r>
      <w:r w:rsidRPr="00FB2FA2">
        <w:t xml:space="preserve"> En este sentido, es necesario poder diagnosticar si el peso colombiano presenta problemas, bajo el marco de las funciones que debe cumplir. </w:t>
      </w:r>
    </w:p>
    <w:p w:rsidR="00B8508C" w:rsidRPr="00FB2FA2" w:rsidRDefault="00B8508C" w:rsidP="00FB2FA2">
      <w:pPr>
        <w:jc w:val="both"/>
      </w:pPr>
    </w:p>
    <w:p w:rsidR="00C4544D" w:rsidRPr="00FB2FA2" w:rsidRDefault="00C4544D" w:rsidP="00FB2FA2">
      <w:pPr>
        <w:pStyle w:val="Prrafodelista"/>
        <w:numPr>
          <w:ilvl w:val="0"/>
          <w:numId w:val="6"/>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 xml:space="preserve">Depósito de valor: </w:t>
      </w:r>
    </w:p>
    <w:p w:rsidR="00FB2FA2" w:rsidRDefault="00FB2FA2" w:rsidP="00FB2FA2">
      <w:pPr>
        <w:jc w:val="both"/>
      </w:pPr>
    </w:p>
    <w:p w:rsidR="00C4544D" w:rsidRDefault="00C4544D" w:rsidP="00FB2FA2">
      <w:pPr>
        <w:jc w:val="both"/>
      </w:pPr>
      <w:r w:rsidRPr="00FB2FA2">
        <w:t xml:space="preserve">Al evaluar el comportamiento histórico de la inflación para Colombia, es claro que el país presentó periodos de importantes incrementos en el nivel de precios de la economía. Particularmente, se puede observar en el Gráfico 1, que entre la década de los 50’s y los 80’s era común observar inflaciones alrededor del 20% e incluso alrededor del 40%. Esto nunca constituyó episodios que se consideraran hiperinflacionarios, pero sí generó que fuera necesario realizar ajustes a los precios, lo que hizo que durante estos periodos se fueran acumulando dígitos en el peso colombiano. </w:t>
      </w:r>
    </w:p>
    <w:p w:rsidR="00EC45DE" w:rsidRDefault="00EC45DE" w:rsidP="00FB2FA2">
      <w:pPr>
        <w:jc w:val="both"/>
      </w:pPr>
    </w:p>
    <w:p w:rsidR="00EC45DE" w:rsidRDefault="00EC45DE" w:rsidP="00FB2FA2">
      <w:pPr>
        <w:jc w:val="both"/>
      </w:pPr>
    </w:p>
    <w:p w:rsidR="00EC45DE" w:rsidRDefault="00EC45DE" w:rsidP="00FB2FA2">
      <w:pPr>
        <w:jc w:val="both"/>
      </w:pPr>
    </w:p>
    <w:p w:rsidR="00EC45DE" w:rsidRPr="00FB2FA2" w:rsidRDefault="00EC45DE" w:rsidP="00FB2FA2">
      <w:pPr>
        <w:jc w:val="both"/>
      </w:pPr>
    </w:p>
    <w:p w:rsidR="00C4544D" w:rsidRPr="00FB2FA2" w:rsidRDefault="00C4544D" w:rsidP="00FB2FA2">
      <w:pPr>
        <w:jc w:val="center"/>
        <w:rPr>
          <w:b/>
        </w:rPr>
      </w:pPr>
      <w:r w:rsidRPr="00FB2FA2">
        <w:rPr>
          <w:b/>
        </w:rPr>
        <w:t>Gráfico 1. Comportamiento de la inflación</w:t>
      </w:r>
    </w:p>
    <w:p w:rsidR="00C4544D" w:rsidRPr="00FB2FA2" w:rsidRDefault="00C4544D" w:rsidP="00FB2FA2">
      <w:pPr>
        <w:jc w:val="center"/>
      </w:pPr>
      <w:r w:rsidRPr="00FB2FA2">
        <w:rPr>
          <w:noProof/>
        </w:rPr>
        <w:drawing>
          <wp:inline distT="0" distB="0" distL="0" distR="0">
            <wp:extent cx="4787900" cy="2719705"/>
            <wp:effectExtent l="0" t="0" r="0" b="44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8508C" w:rsidRPr="00FB2FA2" w:rsidRDefault="00B8508C" w:rsidP="00FB2FA2">
      <w:pPr>
        <w:jc w:val="both"/>
      </w:pPr>
    </w:p>
    <w:p w:rsidR="00C4544D" w:rsidRPr="00FB2FA2" w:rsidRDefault="00C4544D" w:rsidP="00FB2FA2">
      <w:pPr>
        <w:jc w:val="both"/>
      </w:pPr>
      <w:r w:rsidRPr="00FB2FA2">
        <w:t xml:space="preserve">Ahora bien, del gráfico también debe quedar claro que estos episodios de alta inflación ya quedaron en el pasado. Gracias a la independencia del Banco de la República y a la credibilidad de la política monetaria, la moneda ha mostrado desde la década de los 90’s una convergencia hacia niveles bajos, que ya para el año 2009 se ubicó dentro del rango meta. Este comportamiento estable que ha presentado el peso colombiano en las últimas décadas demuestra que la moneda conserva su propiedad de ser depósito de valor, pues cumple con su función de preservar el poder adquisitivo de los colombianos. </w:t>
      </w:r>
    </w:p>
    <w:p w:rsidR="00B8508C" w:rsidRPr="00FB2FA2" w:rsidRDefault="00B8508C" w:rsidP="00FB2FA2">
      <w:pPr>
        <w:jc w:val="both"/>
        <w:rPr>
          <w:b/>
        </w:rPr>
      </w:pPr>
    </w:p>
    <w:p w:rsidR="00C4544D" w:rsidRPr="00FB2FA2" w:rsidRDefault="00C4544D" w:rsidP="00FB2FA2">
      <w:pPr>
        <w:pStyle w:val="Prrafodelista"/>
        <w:numPr>
          <w:ilvl w:val="0"/>
          <w:numId w:val="6"/>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Medio de pago:</w:t>
      </w:r>
    </w:p>
    <w:p w:rsidR="00FB2FA2" w:rsidRDefault="00FB2FA2" w:rsidP="00FB2FA2">
      <w:pPr>
        <w:jc w:val="both"/>
      </w:pPr>
    </w:p>
    <w:p w:rsidR="00C4544D" w:rsidRPr="00FB2FA2" w:rsidRDefault="00C4544D" w:rsidP="00FB2FA2">
      <w:pPr>
        <w:jc w:val="both"/>
      </w:pPr>
      <w:r w:rsidRPr="00FB2FA2">
        <w:t xml:space="preserve">No hay duda de que el peso colombiano cumple su función de medio de pago en las transacciones realizadas al interior del país. Una forma de aproximarse a esta definición es mediante el concepto de velocidad del dinero. Bajo la definición de la ecuación cuantitativa del dinero, se estima que la velocidad del peso colombiano durante el 2017 se situó en 8,4 veces, y durante el 2016 se situó en 8,3 veces, mostrando que este es el número promedio de veces que circula la moneda colombiana para sustentar la producción del país. </w:t>
      </w:r>
    </w:p>
    <w:p w:rsidR="00B8508C" w:rsidRPr="00FB2FA2" w:rsidRDefault="00B8508C" w:rsidP="00FB2FA2">
      <w:pPr>
        <w:jc w:val="both"/>
      </w:pPr>
    </w:p>
    <w:p w:rsidR="00B8508C" w:rsidRPr="00FB2FA2" w:rsidRDefault="00C4544D" w:rsidP="00FB2FA2">
      <w:pPr>
        <w:jc w:val="both"/>
      </w:pPr>
      <w:r w:rsidRPr="00FB2FA2">
        <w:t xml:space="preserve">Adicionalmente, es claro que los ingresos de los colombianos son mayoritariamente en pesos nacionales. El porcentaje de ciudadanos que reciben ingresos en otras monedas resulta ser muy bajo. Por su parte, los colombianos se encuentran endeudados principalmente en pesos y sus ahorros se encuentran también principalmente representados en esta moneda.  </w:t>
      </w:r>
    </w:p>
    <w:p w:rsidR="00C4544D" w:rsidRPr="00FB2FA2" w:rsidRDefault="00C4544D" w:rsidP="00FB2FA2">
      <w:pPr>
        <w:jc w:val="both"/>
      </w:pPr>
    </w:p>
    <w:p w:rsidR="00C4544D" w:rsidRPr="00FB2FA2" w:rsidRDefault="00C4544D" w:rsidP="00FB2FA2">
      <w:pPr>
        <w:jc w:val="both"/>
      </w:pPr>
      <w:r w:rsidRPr="00FB2FA2">
        <w:lastRenderedPageBreak/>
        <w:t xml:space="preserve">Del anterior punto, debe quedar claro que la moneda colombiana no presenta problemas en su función de constituirse como medio de pago. </w:t>
      </w:r>
    </w:p>
    <w:p w:rsidR="00B8508C" w:rsidRDefault="00B8508C" w:rsidP="00FB2FA2">
      <w:pPr>
        <w:jc w:val="both"/>
        <w:rPr>
          <w:b/>
        </w:rPr>
      </w:pPr>
    </w:p>
    <w:p w:rsidR="00FB2FA2" w:rsidRDefault="00FB2FA2" w:rsidP="00FB2FA2">
      <w:pPr>
        <w:jc w:val="both"/>
        <w:rPr>
          <w:b/>
        </w:rPr>
      </w:pPr>
    </w:p>
    <w:p w:rsidR="00FB2FA2" w:rsidRPr="00FB2FA2" w:rsidRDefault="00FB2FA2" w:rsidP="00FB2FA2">
      <w:pPr>
        <w:jc w:val="both"/>
        <w:rPr>
          <w:b/>
        </w:rPr>
      </w:pPr>
    </w:p>
    <w:p w:rsidR="00C4544D" w:rsidRPr="00FB2FA2" w:rsidRDefault="00C4544D" w:rsidP="00FB2FA2">
      <w:pPr>
        <w:pStyle w:val="Prrafodelista"/>
        <w:numPr>
          <w:ilvl w:val="0"/>
          <w:numId w:val="6"/>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 xml:space="preserve">Unidad de cuenta: </w:t>
      </w:r>
    </w:p>
    <w:p w:rsidR="00FB2FA2" w:rsidRDefault="00FB2FA2" w:rsidP="00FB2FA2">
      <w:pPr>
        <w:jc w:val="both"/>
      </w:pPr>
    </w:p>
    <w:p w:rsidR="00C4544D" w:rsidRPr="00FB2FA2" w:rsidRDefault="00C4544D" w:rsidP="00FB2FA2">
      <w:pPr>
        <w:jc w:val="both"/>
      </w:pPr>
      <w:r w:rsidRPr="00FB2FA2">
        <w:t xml:space="preserve">Es claro que el peso colombiano es la unidad de cuenta por definición para la economía colombiana, teniendo en consideración que los bienes en la economía utilizan la moneda como numerario de referencia para el intercambio. Los precios para los productos colombianos se establecen en esta unidad de medida. </w:t>
      </w:r>
    </w:p>
    <w:p w:rsidR="00B8508C" w:rsidRPr="00FB2FA2" w:rsidRDefault="00B8508C" w:rsidP="00FB2FA2">
      <w:pPr>
        <w:jc w:val="both"/>
      </w:pPr>
    </w:p>
    <w:p w:rsidR="00C4544D" w:rsidRPr="00FB2FA2" w:rsidRDefault="00C4544D" w:rsidP="00FB2FA2">
      <w:pPr>
        <w:jc w:val="both"/>
      </w:pPr>
      <w:r w:rsidRPr="00FB2FA2">
        <w:t xml:space="preserve">Ahora bien, como unidad de medida, la moneda colombiana presenta algunas desventajas en términos de eficiencia al presentar varios dígitos. Como ya se mencionó, el comportamiento inflacionario en décadas pasadas dejó como legado varios dígitos que hacen engorrosos los procesos contables, que ocupan mayor espacio en las diferentes formas de bases de datos, sin tener mayor efecto real sobre la economía. </w:t>
      </w:r>
    </w:p>
    <w:p w:rsidR="00B8508C" w:rsidRPr="00FB2FA2" w:rsidRDefault="00B8508C" w:rsidP="00FB2FA2">
      <w:pPr>
        <w:jc w:val="both"/>
      </w:pPr>
    </w:p>
    <w:p w:rsidR="00C4544D" w:rsidRPr="00FB2FA2" w:rsidRDefault="00C4544D" w:rsidP="00FB2FA2">
      <w:pPr>
        <w:jc w:val="both"/>
      </w:pPr>
      <w:r w:rsidRPr="00FB2FA2">
        <w:t xml:space="preserve">Al realizar una comparación internacional del precio del dólar para distintos países (Cuadro 1) se observa el exceso de dígitos en el peso colombiano. Esto se debe en parte a que los demás países ya han realizado ajustes en la denominación de sus monedas (Ver contexto internacional). Para este punto, solo es importante mencionar que el orden de magnitud del peso colombiano es mayor al de sus pares de la región, lo cual puede ocasionar un efecto psicológico de menor valor para el resto del mundo.  </w:t>
      </w:r>
    </w:p>
    <w:p w:rsidR="00B8508C" w:rsidRPr="00FB2FA2" w:rsidRDefault="00B8508C" w:rsidP="00FB2FA2">
      <w:pPr>
        <w:jc w:val="both"/>
      </w:pPr>
    </w:p>
    <w:p w:rsidR="00C4544D" w:rsidRPr="00FB2FA2" w:rsidRDefault="00C4544D" w:rsidP="00FB2FA2">
      <w:pPr>
        <w:ind w:left="360"/>
        <w:jc w:val="center"/>
        <w:rPr>
          <w:b/>
          <w:bCs/>
          <w:lang w:val="es-ES_tradnl"/>
        </w:rPr>
      </w:pPr>
      <w:r w:rsidRPr="00FB2FA2">
        <w:rPr>
          <w:b/>
          <w:bCs/>
          <w:lang w:val="es-ES_tradnl"/>
        </w:rPr>
        <w:t>Cuadro 1</w:t>
      </w:r>
    </w:p>
    <w:p w:rsidR="00C4544D" w:rsidRPr="00FB2FA2" w:rsidRDefault="00C4544D" w:rsidP="00FB2FA2">
      <w:pPr>
        <w:ind w:left="360"/>
        <w:jc w:val="center"/>
        <w:rPr>
          <w:b/>
          <w:bCs/>
          <w:lang w:val="es-ES_tradnl"/>
        </w:rPr>
      </w:pPr>
      <w:r w:rsidRPr="00FB2FA2">
        <w:rPr>
          <w:b/>
          <w:bCs/>
          <w:lang w:val="es-ES_tradnl"/>
        </w:rPr>
        <w:t>Precio del dólar según moneda</w:t>
      </w:r>
    </w:p>
    <w:p w:rsidR="00C4544D" w:rsidRPr="00FB2FA2" w:rsidRDefault="00C4544D" w:rsidP="00FB2FA2">
      <w:pPr>
        <w:ind w:left="360"/>
        <w:jc w:val="center"/>
        <w:rPr>
          <w:b/>
          <w:bCs/>
          <w:lang w:val="es-ES_tradnl"/>
        </w:rPr>
      </w:pPr>
      <w:r w:rsidRPr="00FB2FA2">
        <w:rPr>
          <w:b/>
          <w:bCs/>
          <w:lang w:val="es-ES_tradnl"/>
        </w:rPr>
        <w:t>(Moneda extranjera por dólar)</w:t>
      </w:r>
    </w:p>
    <w:tbl>
      <w:tblPr>
        <w:tblW w:w="7382" w:type="dxa"/>
        <w:jc w:val="center"/>
        <w:tblCellMar>
          <w:left w:w="0" w:type="dxa"/>
          <w:right w:w="0" w:type="dxa"/>
        </w:tblCellMar>
        <w:tblLook w:val="04A0" w:firstRow="1" w:lastRow="0" w:firstColumn="1" w:lastColumn="0" w:noHBand="0" w:noVBand="1"/>
      </w:tblPr>
      <w:tblGrid>
        <w:gridCol w:w="1277"/>
        <w:gridCol w:w="876"/>
        <w:gridCol w:w="865"/>
        <w:gridCol w:w="865"/>
        <w:gridCol w:w="916"/>
        <w:gridCol w:w="865"/>
        <w:gridCol w:w="865"/>
        <w:gridCol w:w="865"/>
      </w:tblGrid>
      <w:tr w:rsidR="00C4544D" w:rsidRPr="00FB2FA2" w:rsidTr="00AF5E7C">
        <w:trPr>
          <w:trHeight w:val="300"/>
          <w:jc w:val="center"/>
        </w:trPr>
        <w:tc>
          <w:tcPr>
            <w:tcW w:w="1277" w:type="dxa"/>
            <w:shd w:val="clear" w:color="auto" w:fill="323E4F"/>
            <w:noWrap/>
            <w:tcMar>
              <w:top w:w="0" w:type="dxa"/>
              <w:left w:w="108" w:type="dxa"/>
              <w:bottom w:w="0" w:type="dxa"/>
              <w:right w:w="108" w:type="dxa"/>
            </w:tcMar>
            <w:vAlign w:val="center"/>
            <w:hideMark/>
          </w:tcPr>
          <w:p w:rsidR="00C4544D" w:rsidRPr="00FB2FA2" w:rsidRDefault="00C4544D" w:rsidP="00FB2FA2">
            <w:pPr>
              <w:jc w:val="center"/>
              <w:rPr>
                <w:b/>
                <w:bCs/>
                <w:lang w:val="es-ES_tradnl"/>
              </w:rPr>
            </w:pPr>
          </w:p>
        </w:tc>
        <w:tc>
          <w:tcPr>
            <w:tcW w:w="864" w:type="dxa"/>
            <w:shd w:val="clear" w:color="auto" w:fill="323E4F"/>
            <w:noWrap/>
            <w:tcMar>
              <w:top w:w="0" w:type="dxa"/>
              <w:left w:w="108" w:type="dxa"/>
              <w:bottom w:w="0" w:type="dxa"/>
              <w:right w:w="108" w:type="dxa"/>
            </w:tcMar>
            <w:vAlign w:val="center"/>
            <w:hideMark/>
          </w:tcPr>
          <w:p w:rsidR="00C4544D" w:rsidRPr="00FB2FA2" w:rsidRDefault="00C4544D" w:rsidP="00FB2FA2">
            <w:pPr>
              <w:jc w:val="center"/>
              <w:rPr>
                <w:b/>
                <w:bCs/>
                <w:color w:val="FFFFFF"/>
              </w:rPr>
            </w:pPr>
            <w:r w:rsidRPr="00FB2FA2">
              <w:rPr>
                <w:b/>
                <w:bCs/>
                <w:color w:val="FFFFFF"/>
              </w:rPr>
              <w:t>COL</w:t>
            </w:r>
          </w:p>
        </w:tc>
        <w:tc>
          <w:tcPr>
            <w:tcW w:w="865" w:type="dxa"/>
            <w:shd w:val="clear" w:color="auto" w:fill="323E4F"/>
            <w:noWrap/>
            <w:tcMar>
              <w:top w:w="0" w:type="dxa"/>
              <w:left w:w="108" w:type="dxa"/>
              <w:bottom w:w="0" w:type="dxa"/>
              <w:right w:w="108" w:type="dxa"/>
            </w:tcMar>
            <w:vAlign w:val="center"/>
            <w:hideMark/>
          </w:tcPr>
          <w:p w:rsidR="00C4544D" w:rsidRPr="00FB2FA2" w:rsidRDefault="00C4544D" w:rsidP="00FB2FA2">
            <w:pPr>
              <w:jc w:val="center"/>
              <w:rPr>
                <w:b/>
                <w:bCs/>
                <w:color w:val="FFFFFF"/>
              </w:rPr>
            </w:pPr>
            <w:r w:rsidRPr="00FB2FA2">
              <w:rPr>
                <w:b/>
                <w:bCs/>
                <w:color w:val="FFFFFF"/>
              </w:rPr>
              <w:t>BRA</w:t>
            </w:r>
          </w:p>
        </w:tc>
        <w:tc>
          <w:tcPr>
            <w:tcW w:w="865" w:type="dxa"/>
            <w:shd w:val="clear" w:color="auto" w:fill="323E4F"/>
            <w:noWrap/>
            <w:tcMar>
              <w:top w:w="0" w:type="dxa"/>
              <w:left w:w="108" w:type="dxa"/>
              <w:bottom w:w="0" w:type="dxa"/>
              <w:right w:w="108" w:type="dxa"/>
            </w:tcMar>
            <w:vAlign w:val="center"/>
            <w:hideMark/>
          </w:tcPr>
          <w:p w:rsidR="00C4544D" w:rsidRPr="00FB2FA2" w:rsidRDefault="00C4544D" w:rsidP="00FB2FA2">
            <w:pPr>
              <w:jc w:val="center"/>
              <w:rPr>
                <w:b/>
                <w:bCs/>
                <w:color w:val="FFFFFF"/>
              </w:rPr>
            </w:pPr>
            <w:r w:rsidRPr="00FB2FA2">
              <w:rPr>
                <w:b/>
                <w:bCs/>
                <w:color w:val="FFFFFF"/>
              </w:rPr>
              <w:t>ARG</w:t>
            </w:r>
          </w:p>
        </w:tc>
        <w:tc>
          <w:tcPr>
            <w:tcW w:w="916" w:type="dxa"/>
            <w:shd w:val="clear" w:color="auto" w:fill="323E4F"/>
            <w:noWrap/>
            <w:tcMar>
              <w:top w:w="0" w:type="dxa"/>
              <w:left w:w="108" w:type="dxa"/>
              <w:bottom w:w="0" w:type="dxa"/>
              <w:right w:w="108" w:type="dxa"/>
            </w:tcMar>
            <w:vAlign w:val="center"/>
            <w:hideMark/>
          </w:tcPr>
          <w:p w:rsidR="00C4544D" w:rsidRPr="00FB2FA2" w:rsidRDefault="00C4544D" w:rsidP="00FB2FA2">
            <w:pPr>
              <w:jc w:val="center"/>
              <w:rPr>
                <w:b/>
                <w:bCs/>
                <w:color w:val="FFFFFF"/>
              </w:rPr>
            </w:pPr>
            <w:r w:rsidRPr="00FB2FA2">
              <w:rPr>
                <w:b/>
                <w:bCs/>
                <w:color w:val="FFFFFF"/>
              </w:rPr>
              <w:t>MEX</w:t>
            </w:r>
          </w:p>
        </w:tc>
        <w:tc>
          <w:tcPr>
            <w:tcW w:w="865" w:type="dxa"/>
            <w:shd w:val="clear" w:color="auto" w:fill="323E4F"/>
            <w:noWrap/>
            <w:tcMar>
              <w:top w:w="0" w:type="dxa"/>
              <w:left w:w="108" w:type="dxa"/>
              <w:bottom w:w="0" w:type="dxa"/>
              <w:right w:w="108" w:type="dxa"/>
            </w:tcMar>
            <w:vAlign w:val="center"/>
            <w:hideMark/>
          </w:tcPr>
          <w:p w:rsidR="00C4544D" w:rsidRPr="00FB2FA2" w:rsidRDefault="00C4544D" w:rsidP="00FB2FA2">
            <w:pPr>
              <w:jc w:val="center"/>
              <w:rPr>
                <w:b/>
                <w:bCs/>
                <w:color w:val="FFFFFF"/>
              </w:rPr>
            </w:pPr>
            <w:r w:rsidRPr="00FB2FA2">
              <w:rPr>
                <w:b/>
                <w:bCs/>
                <w:color w:val="FFFFFF"/>
              </w:rPr>
              <w:t>CHI</w:t>
            </w:r>
          </w:p>
        </w:tc>
        <w:tc>
          <w:tcPr>
            <w:tcW w:w="865" w:type="dxa"/>
            <w:shd w:val="clear" w:color="auto" w:fill="323E4F"/>
            <w:noWrap/>
            <w:tcMar>
              <w:top w:w="0" w:type="dxa"/>
              <w:left w:w="108" w:type="dxa"/>
              <w:bottom w:w="0" w:type="dxa"/>
              <w:right w:w="108" w:type="dxa"/>
            </w:tcMar>
            <w:vAlign w:val="center"/>
            <w:hideMark/>
          </w:tcPr>
          <w:p w:rsidR="00C4544D" w:rsidRPr="00FB2FA2" w:rsidRDefault="00C4544D" w:rsidP="00FB2FA2">
            <w:pPr>
              <w:jc w:val="center"/>
              <w:rPr>
                <w:b/>
                <w:bCs/>
                <w:color w:val="FFFFFF"/>
              </w:rPr>
            </w:pPr>
            <w:r w:rsidRPr="00FB2FA2">
              <w:rPr>
                <w:b/>
                <w:bCs/>
                <w:color w:val="FFFFFF"/>
              </w:rPr>
              <w:t>PER</w:t>
            </w:r>
          </w:p>
        </w:tc>
        <w:tc>
          <w:tcPr>
            <w:tcW w:w="865" w:type="dxa"/>
            <w:shd w:val="clear" w:color="auto" w:fill="323E4F"/>
            <w:noWrap/>
            <w:tcMar>
              <w:top w:w="0" w:type="dxa"/>
              <w:left w:w="108" w:type="dxa"/>
              <w:bottom w:w="0" w:type="dxa"/>
              <w:right w:w="108" w:type="dxa"/>
            </w:tcMar>
            <w:vAlign w:val="center"/>
            <w:hideMark/>
          </w:tcPr>
          <w:p w:rsidR="00C4544D" w:rsidRPr="00FB2FA2" w:rsidRDefault="00C4544D" w:rsidP="00FB2FA2">
            <w:pPr>
              <w:jc w:val="center"/>
              <w:rPr>
                <w:b/>
                <w:bCs/>
                <w:color w:val="FFFFFF"/>
              </w:rPr>
            </w:pPr>
            <w:r w:rsidRPr="00FB2FA2">
              <w:rPr>
                <w:b/>
                <w:bCs/>
                <w:color w:val="FFFFFF"/>
              </w:rPr>
              <w:t>URU</w:t>
            </w:r>
          </w:p>
        </w:tc>
      </w:tr>
      <w:tr w:rsidR="00C4544D" w:rsidRPr="00FB2FA2" w:rsidTr="00AF5E7C">
        <w:trPr>
          <w:trHeight w:val="300"/>
          <w:jc w:val="center"/>
        </w:trPr>
        <w:tc>
          <w:tcPr>
            <w:tcW w:w="1277" w:type="dxa"/>
            <w:tcBorders>
              <w:top w:val="nil"/>
              <w:left w:val="nil"/>
              <w:bottom w:val="single" w:sz="8" w:space="0" w:color="auto"/>
              <w:right w:val="nil"/>
            </w:tcBorders>
            <w:noWrap/>
            <w:tcMar>
              <w:top w:w="0" w:type="dxa"/>
              <w:left w:w="108" w:type="dxa"/>
              <w:bottom w:w="0" w:type="dxa"/>
              <w:right w:w="108" w:type="dxa"/>
            </w:tcMar>
            <w:hideMark/>
          </w:tcPr>
          <w:p w:rsidR="00C4544D" w:rsidRPr="00FB2FA2" w:rsidRDefault="00C4544D" w:rsidP="00FB2FA2">
            <w:pPr>
              <w:jc w:val="center"/>
              <w:rPr>
                <w:b/>
                <w:bCs/>
              </w:rPr>
            </w:pPr>
            <w:r w:rsidRPr="00FB2FA2">
              <w:rPr>
                <w:b/>
                <w:bCs/>
              </w:rPr>
              <w:t>Promedio 2017</w:t>
            </w:r>
          </w:p>
        </w:tc>
        <w:tc>
          <w:tcPr>
            <w:tcW w:w="864" w:type="dxa"/>
            <w:tcBorders>
              <w:top w:val="nil"/>
              <w:left w:val="nil"/>
              <w:bottom w:val="single" w:sz="8" w:space="0" w:color="auto"/>
              <w:right w:val="nil"/>
            </w:tcBorders>
            <w:noWrap/>
            <w:tcMar>
              <w:top w:w="0" w:type="dxa"/>
              <w:left w:w="108" w:type="dxa"/>
              <w:bottom w:w="0" w:type="dxa"/>
              <w:right w:w="108" w:type="dxa"/>
            </w:tcMar>
            <w:vAlign w:val="center"/>
            <w:hideMark/>
          </w:tcPr>
          <w:p w:rsidR="00C4544D" w:rsidRPr="00FB2FA2" w:rsidRDefault="00C4544D" w:rsidP="00FB2FA2">
            <w:pPr>
              <w:jc w:val="center"/>
              <w:rPr>
                <w:b/>
                <w:bCs/>
              </w:rPr>
            </w:pPr>
            <w:r w:rsidRPr="00FB2FA2">
              <w:rPr>
                <w:b/>
                <w:bCs/>
              </w:rPr>
              <w:t>2951,5</w:t>
            </w:r>
          </w:p>
        </w:tc>
        <w:tc>
          <w:tcPr>
            <w:tcW w:w="865" w:type="dxa"/>
            <w:tcBorders>
              <w:top w:val="nil"/>
              <w:left w:val="nil"/>
              <w:bottom w:val="single" w:sz="8" w:space="0" w:color="auto"/>
              <w:right w:val="nil"/>
            </w:tcBorders>
            <w:noWrap/>
            <w:tcMar>
              <w:top w:w="0" w:type="dxa"/>
              <w:left w:w="108" w:type="dxa"/>
              <w:bottom w:w="0" w:type="dxa"/>
              <w:right w:w="108" w:type="dxa"/>
            </w:tcMar>
            <w:vAlign w:val="center"/>
            <w:hideMark/>
          </w:tcPr>
          <w:p w:rsidR="00C4544D" w:rsidRPr="00FB2FA2" w:rsidRDefault="00C4544D" w:rsidP="00FB2FA2">
            <w:pPr>
              <w:jc w:val="center"/>
              <w:rPr>
                <w:b/>
                <w:bCs/>
              </w:rPr>
            </w:pPr>
            <w:r w:rsidRPr="00FB2FA2">
              <w:rPr>
                <w:b/>
                <w:bCs/>
              </w:rPr>
              <w:t>3,2</w:t>
            </w:r>
          </w:p>
        </w:tc>
        <w:tc>
          <w:tcPr>
            <w:tcW w:w="865" w:type="dxa"/>
            <w:tcBorders>
              <w:top w:val="nil"/>
              <w:left w:val="nil"/>
              <w:bottom w:val="single" w:sz="8" w:space="0" w:color="auto"/>
              <w:right w:val="nil"/>
            </w:tcBorders>
            <w:noWrap/>
            <w:tcMar>
              <w:top w:w="0" w:type="dxa"/>
              <w:left w:w="108" w:type="dxa"/>
              <w:bottom w:w="0" w:type="dxa"/>
              <w:right w:w="108" w:type="dxa"/>
            </w:tcMar>
            <w:vAlign w:val="center"/>
            <w:hideMark/>
          </w:tcPr>
          <w:p w:rsidR="00C4544D" w:rsidRPr="00FB2FA2" w:rsidRDefault="00C4544D" w:rsidP="00FB2FA2">
            <w:pPr>
              <w:jc w:val="center"/>
              <w:rPr>
                <w:b/>
                <w:bCs/>
              </w:rPr>
            </w:pPr>
            <w:r w:rsidRPr="00FB2FA2">
              <w:rPr>
                <w:b/>
                <w:bCs/>
              </w:rPr>
              <w:t>16,6</w:t>
            </w:r>
          </w:p>
        </w:tc>
        <w:tc>
          <w:tcPr>
            <w:tcW w:w="916" w:type="dxa"/>
            <w:tcBorders>
              <w:top w:val="nil"/>
              <w:left w:val="nil"/>
              <w:bottom w:val="single" w:sz="8" w:space="0" w:color="auto"/>
              <w:right w:val="nil"/>
            </w:tcBorders>
            <w:noWrap/>
            <w:tcMar>
              <w:top w:w="0" w:type="dxa"/>
              <w:left w:w="108" w:type="dxa"/>
              <w:bottom w:w="0" w:type="dxa"/>
              <w:right w:w="108" w:type="dxa"/>
            </w:tcMar>
            <w:vAlign w:val="center"/>
            <w:hideMark/>
          </w:tcPr>
          <w:p w:rsidR="00C4544D" w:rsidRPr="00FB2FA2" w:rsidRDefault="00C4544D" w:rsidP="00FB2FA2">
            <w:pPr>
              <w:jc w:val="center"/>
              <w:rPr>
                <w:b/>
                <w:bCs/>
              </w:rPr>
            </w:pPr>
            <w:r w:rsidRPr="00FB2FA2">
              <w:rPr>
                <w:b/>
                <w:bCs/>
              </w:rPr>
              <w:t>18,9</w:t>
            </w:r>
          </w:p>
        </w:tc>
        <w:tc>
          <w:tcPr>
            <w:tcW w:w="865" w:type="dxa"/>
            <w:tcBorders>
              <w:top w:val="nil"/>
              <w:left w:val="nil"/>
              <w:bottom w:val="single" w:sz="8" w:space="0" w:color="auto"/>
              <w:right w:val="nil"/>
            </w:tcBorders>
            <w:noWrap/>
            <w:tcMar>
              <w:top w:w="0" w:type="dxa"/>
              <w:left w:w="108" w:type="dxa"/>
              <w:bottom w:w="0" w:type="dxa"/>
              <w:right w:w="108" w:type="dxa"/>
            </w:tcMar>
            <w:vAlign w:val="center"/>
            <w:hideMark/>
          </w:tcPr>
          <w:p w:rsidR="00C4544D" w:rsidRPr="00FB2FA2" w:rsidRDefault="00C4544D" w:rsidP="00FB2FA2">
            <w:pPr>
              <w:jc w:val="center"/>
              <w:rPr>
                <w:b/>
                <w:bCs/>
              </w:rPr>
            </w:pPr>
            <w:r w:rsidRPr="00FB2FA2">
              <w:rPr>
                <w:b/>
                <w:bCs/>
              </w:rPr>
              <w:t>648,8</w:t>
            </w:r>
          </w:p>
        </w:tc>
        <w:tc>
          <w:tcPr>
            <w:tcW w:w="865" w:type="dxa"/>
            <w:tcBorders>
              <w:top w:val="nil"/>
              <w:left w:val="nil"/>
              <w:bottom w:val="single" w:sz="8" w:space="0" w:color="auto"/>
              <w:right w:val="nil"/>
            </w:tcBorders>
            <w:noWrap/>
            <w:tcMar>
              <w:top w:w="0" w:type="dxa"/>
              <w:left w:w="108" w:type="dxa"/>
              <w:bottom w:w="0" w:type="dxa"/>
              <w:right w:w="108" w:type="dxa"/>
            </w:tcMar>
            <w:vAlign w:val="center"/>
            <w:hideMark/>
          </w:tcPr>
          <w:p w:rsidR="00C4544D" w:rsidRPr="00FB2FA2" w:rsidRDefault="00C4544D" w:rsidP="00FB2FA2">
            <w:pPr>
              <w:jc w:val="center"/>
              <w:rPr>
                <w:b/>
                <w:bCs/>
              </w:rPr>
            </w:pPr>
            <w:r w:rsidRPr="00FB2FA2">
              <w:rPr>
                <w:b/>
                <w:bCs/>
              </w:rPr>
              <w:t>3,3</w:t>
            </w:r>
          </w:p>
        </w:tc>
        <w:tc>
          <w:tcPr>
            <w:tcW w:w="865" w:type="dxa"/>
            <w:tcBorders>
              <w:top w:val="nil"/>
              <w:left w:val="nil"/>
              <w:bottom w:val="single" w:sz="8" w:space="0" w:color="auto"/>
              <w:right w:val="nil"/>
            </w:tcBorders>
            <w:noWrap/>
            <w:tcMar>
              <w:top w:w="0" w:type="dxa"/>
              <w:left w:w="108" w:type="dxa"/>
              <w:bottom w:w="0" w:type="dxa"/>
              <w:right w:w="108" w:type="dxa"/>
            </w:tcMar>
            <w:vAlign w:val="center"/>
            <w:hideMark/>
          </w:tcPr>
          <w:p w:rsidR="00C4544D" w:rsidRPr="00FB2FA2" w:rsidRDefault="00C4544D" w:rsidP="00FB2FA2">
            <w:pPr>
              <w:jc w:val="center"/>
              <w:rPr>
                <w:b/>
                <w:bCs/>
              </w:rPr>
            </w:pPr>
            <w:r w:rsidRPr="00FB2FA2">
              <w:rPr>
                <w:b/>
                <w:bCs/>
              </w:rPr>
              <w:t>28,6</w:t>
            </w:r>
          </w:p>
        </w:tc>
      </w:tr>
    </w:tbl>
    <w:p w:rsidR="00C4544D" w:rsidRPr="00322086" w:rsidRDefault="00C4544D" w:rsidP="00FB2FA2">
      <w:pPr>
        <w:ind w:left="360" w:firstLine="348"/>
        <w:rPr>
          <w:sz w:val="20"/>
          <w:lang w:val="es-ES_tradnl"/>
        </w:rPr>
      </w:pPr>
      <w:r w:rsidRPr="00322086">
        <w:rPr>
          <w:sz w:val="20"/>
          <w:lang w:val="es-ES_tradnl"/>
        </w:rPr>
        <w:t>Fuente: Bloomberg</w:t>
      </w:r>
    </w:p>
    <w:p w:rsidR="00C4544D" w:rsidRDefault="00C4544D" w:rsidP="00FB2FA2">
      <w:pPr>
        <w:ind w:left="360"/>
        <w:jc w:val="both"/>
        <w:rPr>
          <w:lang w:val="es-ES_tradnl"/>
        </w:rPr>
      </w:pPr>
    </w:p>
    <w:p w:rsidR="00FB2FA2" w:rsidRPr="00FB2FA2" w:rsidRDefault="00FB2FA2" w:rsidP="00060883">
      <w:pPr>
        <w:ind w:left="360"/>
        <w:jc w:val="both"/>
        <w:rPr>
          <w:lang w:val="es-ES_tradnl"/>
        </w:rPr>
      </w:pPr>
    </w:p>
    <w:p w:rsidR="00C4544D" w:rsidRPr="00FB2FA2" w:rsidRDefault="00B8508C" w:rsidP="00FB2FA2">
      <w:pPr>
        <w:pStyle w:val="Prrafodelista"/>
        <w:numPr>
          <w:ilvl w:val="0"/>
          <w:numId w:val="5"/>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 xml:space="preserve">PROPUESTA </w:t>
      </w:r>
    </w:p>
    <w:p w:rsidR="00FB2FA2" w:rsidRDefault="00FB2FA2" w:rsidP="00FB2FA2">
      <w:pPr>
        <w:jc w:val="both"/>
      </w:pPr>
    </w:p>
    <w:p w:rsidR="00C4544D" w:rsidRPr="00FB2FA2" w:rsidRDefault="00C4544D" w:rsidP="00FB2FA2">
      <w:pPr>
        <w:jc w:val="both"/>
      </w:pPr>
      <w:r w:rsidRPr="00FB2FA2">
        <w:t xml:space="preserve">El presente proyecto de ley busca aumentar la eficiencia del peso colombiano, por medio de la conversión monetaria, consistente en la eliminación de tres ceros de billetes y monedas. </w:t>
      </w:r>
    </w:p>
    <w:p w:rsidR="00FB2FA2" w:rsidRDefault="00FB2FA2" w:rsidP="00FB2FA2">
      <w:pPr>
        <w:jc w:val="both"/>
      </w:pPr>
    </w:p>
    <w:p w:rsidR="00C4544D" w:rsidRPr="00FB2FA2" w:rsidRDefault="00C4544D" w:rsidP="00FB2FA2">
      <w:pPr>
        <w:jc w:val="both"/>
      </w:pPr>
      <w:r w:rsidRPr="00FB2FA2">
        <w:t xml:space="preserve">En este punto, es importante esclarecer la diferencia entre una estabilización de la moneda y una normalización. Según Vargas (2002), una estabilización hace referencia a un cambio en medio de un programa de ajuste macroeconómico, con el objetivo de controlar niveles altos de inflación. Por su parte, la normalización implica un cambio en la unidad monetaria, sin que esto implique un objetivo de control inflacionario o que </w:t>
      </w:r>
      <w:r w:rsidRPr="00FB2FA2">
        <w:lastRenderedPageBreak/>
        <w:t>esté incluido en un programa de re-estructuración macroeconómica (Arango 1999</w:t>
      </w:r>
      <w:r w:rsidR="00F00E6C">
        <w:rPr>
          <w:rStyle w:val="Refdenotaalpie"/>
        </w:rPr>
        <w:footnoteReference w:id="4"/>
      </w:r>
      <w:r w:rsidRPr="00FB2FA2">
        <w:t xml:space="preserve">). En consecuencia, la eliminación de ceros se constituye como un programa de normalización y no </w:t>
      </w:r>
      <w:r w:rsidR="00BB0FFB">
        <w:t>como</w:t>
      </w:r>
      <w:r w:rsidRPr="00FB2FA2">
        <w:t xml:space="preserve"> un proyecto de estabilización. </w:t>
      </w:r>
    </w:p>
    <w:p w:rsidR="00C4544D" w:rsidRDefault="00C4544D" w:rsidP="00FB2FA2">
      <w:pPr>
        <w:jc w:val="both"/>
        <w:rPr>
          <w:i/>
        </w:rPr>
      </w:pPr>
    </w:p>
    <w:p w:rsidR="00EC45DE" w:rsidRPr="00FB2FA2" w:rsidRDefault="00EC45DE" w:rsidP="00FB2FA2">
      <w:pPr>
        <w:jc w:val="both"/>
        <w:rPr>
          <w:i/>
        </w:rPr>
      </w:pPr>
    </w:p>
    <w:p w:rsidR="00C4544D" w:rsidRPr="00FB2FA2" w:rsidRDefault="00C4544D" w:rsidP="00FB2FA2">
      <w:pPr>
        <w:pStyle w:val="Prrafodelista"/>
        <w:numPr>
          <w:ilvl w:val="1"/>
          <w:numId w:val="5"/>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Beneficios</w:t>
      </w:r>
    </w:p>
    <w:p w:rsidR="00FB2FA2" w:rsidRDefault="00FB2FA2" w:rsidP="00FB2FA2">
      <w:pPr>
        <w:jc w:val="both"/>
        <w:rPr>
          <w:lang w:val="es-ES_tradnl"/>
        </w:rPr>
      </w:pPr>
    </w:p>
    <w:p w:rsidR="00C4544D" w:rsidRPr="00FB2FA2" w:rsidRDefault="00C4544D" w:rsidP="00FB2FA2">
      <w:pPr>
        <w:jc w:val="both"/>
        <w:rPr>
          <w:lang w:val="es-ES_tradnl"/>
        </w:rPr>
      </w:pPr>
      <w:r w:rsidRPr="00FB2FA2">
        <w:rPr>
          <w:lang w:val="es-ES_tradnl"/>
        </w:rPr>
        <w:t xml:space="preserve">La aprobación de esta iniciativa, que se encuentra orientada a mejorar la eficiencia de nuestra moneda, generará los siguientes beneficios para la economía colombiana: </w:t>
      </w:r>
    </w:p>
    <w:p w:rsidR="00C4544D" w:rsidRPr="00FB2FA2" w:rsidRDefault="00C4544D" w:rsidP="00FB2FA2">
      <w:pPr>
        <w:jc w:val="both"/>
        <w:rPr>
          <w:lang w:val="es-ES_tradnl"/>
        </w:rPr>
      </w:pPr>
    </w:p>
    <w:p w:rsidR="00C4544D" w:rsidRPr="00FB2FA2" w:rsidRDefault="00C4544D" w:rsidP="00FB2FA2">
      <w:pPr>
        <w:numPr>
          <w:ilvl w:val="0"/>
          <w:numId w:val="2"/>
        </w:numPr>
        <w:ind w:left="714" w:hanging="357"/>
        <w:jc w:val="both"/>
        <w:rPr>
          <w:lang w:val="es-ES_tradnl"/>
        </w:rPr>
      </w:pPr>
      <w:r w:rsidRPr="00FB2FA2">
        <w:rPr>
          <w:lang w:val="es-ES_tradnl"/>
        </w:rPr>
        <w:t>Se simplificará la contabilidad del sector público y privado en libros y en medios electrónicos</w:t>
      </w:r>
      <w:r w:rsidR="00BB0FFB">
        <w:rPr>
          <w:lang w:val="es-ES_tradnl"/>
        </w:rPr>
        <w:t>.</w:t>
      </w:r>
    </w:p>
    <w:p w:rsidR="00C4544D" w:rsidRPr="00FB2FA2" w:rsidRDefault="00C4544D" w:rsidP="00FB2FA2">
      <w:pPr>
        <w:numPr>
          <w:ilvl w:val="0"/>
          <w:numId w:val="2"/>
        </w:numPr>
        <w:jc w:val="both"/>
        <w:rPr>
          <w:lang w:val="es-ES_tradnl"/>
        </w:rPr>
      </w:pPr>
      <w:r w:rsidRPr="00FB2FA2">
        <w:rPr>
          <w:lang w:val="es-ES_tradnl"/>
        </w:rPr>
        <w:t>Se facilitará el manejo y registro de las cifras en el presupuesto de la Nación y entidades públicas. Lo mismo ocurrirá para empresas del sector privado</w:t>
      </w:r>
      <w:r w:rsidR="00BB0FFB">
        <w:rPr>
          <w:lang w:val="es-ES_tradnl"/>
        </w:rPr>
        <w:t>.</w:t>
      </w:r>
    </w:p>
    <w:p w:rsidR="00C4544D" w:rsidRPr="00FB2FA2" w:rsidRDefault="00C4544D" w:rsidP="00FB2FA2">
      <w:pPr>
        <w:numPr>
          <w:ilvl w:val="0"/>
          <w:numId w:val="2"/>
        </w:numPr>
        <w:ind w:left="714" w:hanging="357"/>
        <w:jc w:val="both"/>
        <w:rPr>
          <w:lang w:val="es-ES_tradnl"/>
        </w:rPr>
      </w:pPr>
      <w:r w:rsidRPr="00FB2FA2">
        <w:rPr>
          <w:lang w:val="es-ES_tradnl"/>
        </w:rPr>
        <w:t xml:space="preserve">Eliminación de problemas técnicos y operativos causados por la aplicación de números grandes tanto en asuntos financieros como en programas de cálculo </w:t>
      </w:r>
    </w:p>
    <w:p w:rsidR="00C4544D" w:rsidRPr="00FB2FA2" w:rsidRDefault="00C4544D" w:rsidP="00FB2FA2">
      <w:pPr>
        <w:numPr>
          <w:ilvl w:val="0"/>
          <w:numId w:val="2"/>
        </w:numPr>
        <w:ind w:left="714" w:hanging="357"/>
        <w:jc w:val="both"/>
        <w:rPr>
          <w:lang w:val="es-ES_tradnl"/>
        </w:rPr>
      </w:pPr>
      <w:r w:rsidRPr="00FB2FA2">
        <w:rPr>
          <w:lang w:val="es-ES_tradnl"/>
        </w:rPr>
        <w:t>Ahorro de los costos de la publicación de cuentas a gran escala</w:t>
      </w:r>
      <w:r w:rsidR="00BB0FFB">
        <w:rPr>
          <w:lang w:val="es-ES_tradnl"/>
        </w:rPr>
        <w:t>.</w:t>
      </w:r>
    </w:p>
    <w:p w:rsidR="00C4544D" w:rsidRPr="00FB2FA2" w:rsidRDefault="00C4544D" w:rsidP="00FB2FA2">
      <w:pPr>
        <w:numPr>
          <w:ilvl w:val="0"/>
          <w:numId w:val="3"/>
        </w:numPr>
        <w:ind w:left="714" w:hanging="357"/>
        <w:jc w:val="both"/>
        <w:rPr>
          <w:lang w:val="es-ES_tradnl"/>
        </w:rPr>
      </w:pPr>
      <w:r w:rsidRPr="00FB2FA2">
        <w:rPr>
          <w:lang w:val="es-ES_tradnl"/>
        </w:rPr>
        <w:t>Se reducirán los costos de transacción: menores tiempos de digitación, simplificación en el manejo de cifras grandes, facilidad en la lectura de estados financieros y documentos contables, disminución en los requerimientos de almacenamiento</w:t>
      </w:r>
      <w:r w:rsidR="00BB0FFB">
        <w:rPr>
          <w:lang w:val="es-ES_tradnl"/>
        </w:rPr>
        <w:t>.</w:t>
      </w:r>
    </w:p>
    <w:p w:rsidR="00C4544D" w:rsidRPr="00FB2FA2" w:rsidRDefault="00C4544D" w:rsidP="00FB2FA2">
      <w:pPr>
        <w:numPr>
          <w:ilvl w:val="0"/>
          <w:numId w:val="3"/>
        </w:numPr>
        <w:ind w:left="714" w:hanging="357"/>
        <w:jc w:val="both"/>
        <w:rPr>
          <w:lang w:val="es-ES_tradnl"/>
        </w:rPr>
      </w:pPr>
      <w:r w:rsidRPr="00FB2FA2">
        <w:rPr>
          <w:bCs/>
          <w:lang w:val="es-ES_tradnl"/>
        </w:rPr>
        <w:t>Se evitará el desbordamiento de los formatos actuales y se reducirán los costos de impresión</w:t>
      </w:r>
      <w:r w:rsidR="00BB0FFB">
        <w:rPr>
          <w:bCs/>
          <w:lang w:val="es-ES_tradnl"/>
        </w:rPr>
        <w:t>.</w:t>
      </w:r>
    </w:p>
    <w:p w:rsidR="00C4544D" w:rsidRPr="00FB2FA2" w:rsidRDefault="00C4544D" w:rsidP="00FB2FA2">
      <w:pPr>
        <w:numPr>
          <w:ilvl w:val="0"/>
          <w:numId w:val="2"/>
        </w:numPr>
        <w:ind w:left="714" w:hanging="357"/>
        <w:jc w:val="both"/>
        <w:rPr>
          <w:lang w:val="es-ES_tradnl"/>
        </w:rPr>
      </w:pPr>
      <w:r w:rsidRPr="00FB2FA2">
        <w:rPr>
          <w:lang w:val="es-ES_tradnl"/>
        </w:rPr>
        <w:t xml:space="preserve">Igualación en términos de unidad de cuenta con nuestros pares comerciales que se encuentran en órdenes de magnitudes de máximo dos dígitos </w:t>
      </w:r>
    </w:p>
    <w:p w:rsidR="00C4544D" w:rsidRDefault="00C4544D" w:rsidP="00FB2FA2">
      <w:pPr>
        <w:numPr>
          <w:ilvl w:val="0"/>
          <w:numId w:val="2"/>
        </w:numPr>
        <w:ind w:left="714" w:hanging="357"/>
        <w:jc w:val="both"/>
        <w:rPr>
          <w:lang w:val="es-ES_tradnl"/>
        </w:rPr>
      </w:pPr>
      <w:r w:rsidRPr="00FB2FA2">
        <w:rPr>
          <w:lang w:val="es-ES_tradnl"/>
        </w:rPr>
        <w:t>Reduce el fenómeno de ilusión monetaria que sufren las personas por la presencia de mayores ceros, lo que tiende a generar presiones inflacionarias. (Ahmad, 2007</w:t>
      </w:r>
      <w:r w:rsidR="00F00E6C">
        <w:rPr>
          <w:rStyle w:val="Refdenotaalpie"/>
          <w:lang w:val="es-ES_tradnl"/>
        </w:rPr>
        <w:footnoteReference w:id="5"/>
      </w:r>
      <w:r w:rsidRPr="00FB2FA2">
        <w:rPr>
          <w:lang w:val="es-ES_tradnl"/>
        </w:rPr>
        <w:t xml:space="preserve">) </w:t>
      </w:r>
    </w:p>
    <w:p w:rsidR="00FB2FA2" w:rsidRPr="00FB2FA2" w:rsidRDefault="00FB2FA2" w:rsidP="00FB2FA2">
      <w:pPr>
        <w:ind w:left="714"/>
        <w:jc w:val="both"/>
        <w:rPr>
          <w:lang w:val="es-ES_tradnl"/>
        </w:rPr>
      </w:pPr>
    </w:p>
    <w:p w:rsidR="00C4544D" w:rsidRPr="00FB2FA2" w:rsidRDefault="00C4544D" w:rsidP="00FB2FA2">
      <w:pPr>
        <w:pStyle w:val="Prrafodelista"/>
        <w:numPr>
          <w:ilvl w:val="1"/>
          <w:numId w:val="5"/>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Costos</w:t>
      </w:r>
    </w:p>
    <w:p w:rsidR="00FB2FA2" w:rsidRDefault="00FB2FA2" w:rsidP="00FB2FA2">
      <w:pPr>
        <w:jc w:val="both"/>
        <w:rPr>
          <w:rFonts w:eastAsia="Calibri"/>
        </w:rPr>
      </w:pPr>
    </w:p>
    <w:p w:rsidR="00C4544D" w:rsidRPr="00FB2FA2" w:rsidRDefault="00C4544D" w:rsidP="00FB2FA2">
      <w:pPr>
        <w:jc w:val="both"/>
        <w:rPr>
          <w:rFonts w:eastAsia="Calibri"/>
        </w:rPr>
      </w:pPr>
      <w:r w:rsidRPr="00FB2FA2">
        <w:rPr>
          <w:rFonts w:eastAsia="Calibri"/>
        </w:rPr>
        <w:t xml:space="preserve">La conversión monetaria también tiene costos asociados. </w:t>
      </w:r>
    </w:p>
    <w:p w:rsidR="00B8508C" w:rsidRPr="00FB2FA2" w:rsidRDefault="00B8508C" w:rsidP="00FB2FA2">
      <w:pPr>
        <w:jc w:val="both"/>
        <w:rPr>
          <w:rFonts w:eastAsia="Calibri"/>
        </w:rPr>
      </w:pPr>
    </w:p>
    <w:p w:rsidR="00371001" w:rsidRPr="00047249" w:rsidRDefault="00C4544D" w:rsidP="00FB2FA2">
      <w:pPr>
        <w:pStyle w:val="Prrafodelista"/>
        <w:numPr>
          <w:ilvl w:val="0"/>
          <w:numId w:val="4"/>
        </w:numPr>
        <w:spacing w:after="0" w:line="240" w:lineRule="auto"/>
        <w:jc w:val="both"/>
        <w:rPr>
          <w:rFonts w:ascii="Times New Roman" w:hAnsi="Times New Roman" w:cs="Times New Roman"/>
          <w:b/>
          <w:sz w:val="24"/>
          <w:szCs w:val="24"/>
        </w:rPr>
      </w:pPr>
      <w:r w:rsidRPr="00FB2FA2">
        <w:rPr>
          <w:rFonts w:ascii="Times New Roman" w:eastAsia="Calibri" w:hAnsi="Times New Roman" w:cs="Times New Roman"/>
          <w:sz w:val="24"/>
          <w:szCs w:val="24"/>
        </w:rPr>
        <w:t>Por una parte, está el costo relacionado con el cambio de las monedas y billetes, que el Banco de la República tiene estimado en $</w:t>
      </w:r>
      <w:r w:rsidR="00E545EF">
        <w:rPr>
          <w:rFonts w:ascii="Times New Roman" w:eastAsia="Calibri" w:hAnsi="Times New Roman" w:cs="Times New Roman"/>
          <w:sz w:val="24"/>
          <w:szCs w:val="24"/>
        </w:rPr>
        <w:t xml:space="preserve">367 mil </w:t>
      </w:r>
      <w:r w:rsidRPr="00FB2FA2">
        <w:rPr>
          <w:rFonts w:ascii="Times New Roman" w:eastAsia="Calibri" w:hAnsi="Times New Roman" w:cs="Times New Roman"/>
          <w:sz w:val="24"/>
          <w:szCs w:val="24"/>
        </w:rPr>
        <w:t>millones</w:t>
      </w:r>
      <w:r w:rsidRPr="00FB2FA2">
        <w:rPr>
          <w:rStyle w:val="Refdenotaalpie"/>
          <w:rFonts w:ascii="Times New Roman" w:eastAsia="Calibri" w:hAnsi="Times New Roman" w:cs="Times New Roman"/>
          <w:sz w:val="24"/>
          <w:szCs w:val="24"/>
        </w:rPr>
        <w:footnoteReference w:id="6"/>
      </w:r>
      <w:r w:rsidRPr="00FB2FA2">
        <w:rPr>
          <w:rFonts w:ascii="Times New Roman" w:eastAsia="Calibri" w:hAnsi="Times New Roman" w:cs="Times New Roman"/>
          <w:sz w:val="24"/>
          <w:szCs w:val="24"/>
        </w:rPr>
        <w:t xml:space="preserve">, asociado principalmente al reemplazo de las monedas metálicas. </w:t>
      </w:r>
      <w:r w:rsidR="001F3ACD">
        <w:rPr>
          <w:rFonts w:ascii="Times New Roman" w:eastAsia="Calibri" w:hAnsi="Times New Roman" w:cs="Times New Roman"/>
          <w:sz w:val="24"/>
          <w:szCs w:val="24"/>
        </w:rPr>
        <w:t>T</w:t>
      </w:r>
      <w:r w:rsidR="00FB2FA2">
        <w:rPr>
          <w:rFonts w:ascii="Times New Roman" w:eastAsia="Calibri" w:hAnsi="Times New Roman" w:cs="Times New Roman"/>
          <w:sz w:val="24"/>
          <w:szCs w:val="24"/>
        </w:rPr>
        <w:t xml:space="preserve">eniendo en cuenta </w:t>
      </w:r>
      <w:r w:rsidRPr="00FB2FA2">
        <w:rPr>
          <w:rFonts w:ascii="Times New Roman" w:eastAsia="Calibri" w:hAnsi="Times New Roman" w:cs="Times New Roman"/>
          <w:sz w:val="24"/>
          <w:szCs w:val="24"/>
        </w:rPr>
        <w:t xml:space="preserve">que </w:t>
      </w:r>
      <w:r w:rsidR="001F3ACD">
        <w:rPr>
          <w:rFonts w:ascii="Times New Roman" w:eastAsia="Calibri" w:hAnsi="Times New Roman" w:cs="Times New Roman"/>
          <w:sz w:val="24"/>
          <w:szCs w:val="24"/>
        </w:rPr>
        <w:t>l</w:t>
      </w:r>
      <w:r w:rsidR="001F3ACD" w:rsidRPr="00FB2FA2">
        <w:rPr>
          <w:rFonts w:ascii="Times New Roman" w:eastAsia="Calibri" w:hAnsi="Times New Roman" w:cs="Times New Roman"/>
          <w:sz w:val="24"/>
          <w:szCs w:val="24"/>
        </w:rPr>
        <w:t>os</w:t>
      </w:r>
      <w:r w:rsidR="001F3ACD">
        <w:rPr>
          <w:rFonts w:ascii="Times New Roman" w:eastAsia="Calibri" w:hAnsi="Times New Roman" w:cs="Times New Roman"/>
          <w:sz w:val="24"/>
          <w:szCs w:val="24"/>
        </w:rPr>
        <w:t xml:space="preserve"> billetes</w:t>
      </w:r>
      <w:r w:rsidR="00061FDA">
        <w:rPr>
          <w:rFonts w:ascii="Times New Roman" w:eastAsia="Calibri" w:hAnsi="Times New Roman" w:cs="Times New Roman"/>
          <w:sz w:val="24"/>
          <w:szCs w:val="24"/>
        </w:rPr>
        <w:t xml:space="preserve"> </w:t>
      </w:r>
      <w:r w:rsidRPr="00FB2FA2">
        <w:rPr>
          <w:rFonts w:ascii="Times New Roman" w:eastAsia="Calibri" w:hAnsi="Times New Roman" w:cs="Times New Roman"/>
          <w:sz w:val="24"/>
          <w:szCs w:val="24"/>
        </w:rPr>
        <w:t>normalmente tienen una vida promedio de tres años, dependiendo de la denominación</w:t>
      </w:r>
      <w:r w:rsidR="00322086">
        <w:rPr>
          <w:rFonts w:ascii="Times New Roman" w:eastAsia="Calibri" w:hAnsi="Times New Roman" w:cs="Times New Roman"/>
          <w:sz w:val="24"/>
          <w:szCs w:val="24"/>
        </w:rPr>
        <w:t xml:space="preserve">, el </w:t>
      </w:r>
      <w:r w:rsidR="001F3ACD">
        <w:rPr>
          <w:rFonts w:ascii="Times New Roman" w:eastAsia="Calibri" w:hAnsi="Times New Roman" w:cs="Times New Roman"/>
          <w:sz w:val="24"/>
          <w:szCs w:val="24"/>
        </w:rPr>
        <w:t>costo del reemplazo de los mismos</w:t>
      </w:r>
      <w:r w:rsidR="00061FDA">
        <w:rPr>
          <w:rFonts w:ascii="Times New Roman" w:eastAsia="Calibri" w:hAnsi="Times New Roman" w:cs="Times New Roman"/>
          <w:sz w:val="24"/>
          <w:szCs w:val="24"/>
        </w:rPr>
        <w:t xml:space="preserve"> </w:t>
      </w:r>
      <w:r w:rsidR="00322086">
        <w:rPr>
          <w:rFonts w:ascii="Times New Roman" w:eastAsia="Calibri" w:hAnsi="Times New Roman" w:cs="Times New Roman"/>
          <w:sz w:val="24"/>
          <w:szCs w:val="24"/>
        </w:rPr>
        <w:t xml:space="preserve">quedaría </w:t>
      </w:r>
      <w:r w:rsidR="001F3ACD">
        <w:rPr>
          <w:rFonts w:ascii="Times New Roman" w:eastAsia="Calibri" w:hAnsi="Times New Roman" w:cs="Times New Roman"/>
          <w:sz w:val="24"/>
          <w:szCs w:val="24"/>
        </w:rPr>
        <w:t>atenuado</w:t>
      </w:r>
      <w:r w:rsidR="00061FDA">
        <w:rPr>
          <w:rFonts w:ascii="Times New Roman" w:eastAsia="Calibri" w:hAnsi="Times New Roman" w:cs="Times New Roman"/>
          <w:sz w:val="24"/>
          <w:szCs w:val="24"/>
        </w:rPr>
        <w:t xml:space="preserve"> </w:t>
      </w:r>
      <w:r w:rsidR="00322086">
        <w:rPr>
          <w:rFonts w:ascii="Times New Roman" w:eastAsia="Calibri" w:hAnsi="Times New Roman" w:cs="Times New Roman"/>
          <w:sz w:val="24"/>
          <w:szCs w:val="24"/>
        </w:rPr>
        <w:t xml:space="preserve">con el </w:t>
      </w:r>
      <w:r w:rsidR="00322086" w:rsidRPr="00371001">
        <w:rPr>
          <w:rFonts w:ascii="Times New Roman" w:eastAsia="Calibri" w:hAnsi="Times New Roman" w:cs="Times New Roman"/>
          <w:sz w:val="24"/>
          <w:szCs w:val="24"/>
        </w:rPr>
        <w:t>período de transición</w:t>
      </w:r>
      <w:r w:rsidRPr="00371001">
        <w:rPr>
          <w:rFonts w:ascii="Times New Roman" w:eastAsia="Calibri" w:hAnsi="Times New Roman" w:cs="Times New Roman"/>
          <w:sz w:val="24"/>
          <w:szCs w:val="24"/>
        </w:rPr>
        <w:t xml:space="preserve">. Por el contrario, el costo de las monedas sí es significativo, dado que estas </w:t>
      </w:r>
      <w:r w:rsidRPr="00371001">
        <w:rPr>
          <w:rFonts w:ascii="Times New Roman" w:eastAsia="Calibri" w:hAnsi="Times New Roman" w:cs="Times New Roman"/>
          <w:sz w:val="24"/>
          <w:szCs w:val="24"/>
        </w:rPr>
        <w:lastRenderedPageBreak/>
        <w:t>tienen u</w:t>
      </w:r>
      <w:r w:rsidRPr="00E96BCF">
        <w:rPr>
          <w:rFonts w:ascii="Times New Roman" w:eastAsia="Calibri" w:hAnsi="Times New Roman" w:cs="Times New Roman"/>
          <w:sz w:val="24"/>
          <w:szCs w:val="24"/>
        </w:rPr>
        <w:t>na vida útil de entre 15 y 20 años</w:t>
      </w:r>
      <w:r w:rsidR="00E545EF">
        <w:rPr>
          <w:rFonts w:ascii="Times New Roman" w:eastAsia="Calibri" w:hAnsi="Times New Roman" w:cs="Times New Roman"/>
          <w:sz w:val="24"/>
          <w:szCs w:val="24"/>
        </w:rPr>
        <w:t>. Dicho costo en todo caso, corresponde al costo total del reemplazo de las monedas durante los cinco años que dura el proceso completo.</w:t>
      </w:r>
    </w:p>
    <w:p w:rsidR="00371001" w:rsidRPr="00371001" w:rsidRDefault="00371001" w:rsidP="00047249">
      <w:pPr>
        <w:pStyle w:val="Prrafodelista"/>
        <w:jc w:val="both"/>
        <w:rPr>
          <w:rFonts w:ascii="Times New Roman" w:eastAsia="Calibri" w:hAnsi="Times New Roman" w:cs="Times New Roman"/>
          <w:sz w:val="24"/>
          <w:szCs w:val="24"/>
        </w:rPr>
      </w:pPr>
    </w:p>
    <w:p w:rsidR="00C4544D" w:rsidRPr="00047249" w:rsidRDefault="00E96BCF" w:rsidP="00047249">
      <w:pPr>
        <w:pStyle w:val="Prrafodelista"/>
        <w:numPr>
          <w:ilvl w:val="0"/>
          <w:numId w:val="4"/>
        </w:numPr>
        <w:jc w:val="both"/>
        <w:rPr>
          <w:rFonts w:ascii="Times New Roman" w:eastAsia="Calibri" w:hAnsi="Times New Roman" w:cs="Times New Roman"/>
          <w:sz w:val="24"/>
          <w:szCs w:val="24"/>
        </w:rPr>
      </w:pPr>
      <w:r w:rsidRPr="00047249">
        <w:rPr>
          <w:rFonts w:ascii="Times New Roman" w:eastAsia="Calibri" w:hAnsi="Times New Roman" w:cs="Times New Roman"/>
          <w:sz w:val="24"/>
          <w:szCs w:val="24"/>
        </w:rPr>
        <w:t xml:space="preserve">Los anteriores costos </w:t>
      </w:r>
      <w:r w:rsidR="00371001" w:rsidRPr="00047249">
        <w:rPr>
          <w:rFonts w:ascii="Times New Roman" w:eastAsia="Calibri" w:hAnsi="Times New Roman" w:cs="Times New Roman"/>
          <w:sz w:val="24"/>
          <w:szCs w:val="24"/>
        </w:rPr>
        <w:t>tendrían que incorporarse en el Presupuesto de</w:t>
      </w:r>
      <w:r>
        <w:rPr>
          <w:rFonts w:ascii="Times New Roman" w:eastAsia="Calibri" w:hAnsi="Times New Roman" w:cs="Times New Roman"/>
          <w:sz w:val="24"/>
          <w:szCs w:val="24"/>
        </w:rPr>
        <w:t xml:space="preserve">l Banco de la República </w:t>
      </w:r>
      <w:r w:rsidR="00371001" w:rsidRPr="00047249">
        <w:rPr>
          <w:rFonts w:ascii="Times New Roman" w:eastAsia="Calibri" w:hAnsi="Times New Roman" w:cs="Times New Roman"/>
          <w:sz w:val="24"/>
          <w:szCs w:val="24"/>
        </w:rPr>
        <w:t>y en el Marco de Gasto de</w:t>
      </w:r>
      <w:r>
        <w:rPr>
          <w:rFonts w:ascii="Times New Roman" w:eastAsia="Calibri" w:hAnsi="Times New Roman" w:cs="Times New Roman"/>
          <w:sz w:val="24"/>
          <w:szCs w:val="24"/>
        </w:rPr>
        <w:t xml:space="preserve"> dicha entidad</w:t>
      </w:r>
      <w:r w:rsidR="00371001" w:rsidRPr="00047249">
        <w:rPr>
          <w:rFonts w:ascii="Times New Roman" w:eastAsia="Calibri" w:hAnsi="Times New Roman" w:cs="Times New Roman"/>
          <w:sz w:val="24"/>
          <w:szCs w:val="24"/>
        </w:rPr>
        <w:t>, así como el costo de la campaña de divulgación.</w:t>
      </w:r>
    </w:p>
    <w:p w:rsidR="00C4544D" w:rsidRPr="00E96BCF" w:rsidRDefault="00C4544D" w:rsidP="00FB2FA2">
      <w:pPr>
        <w:pStyle w:val="Prrafodelista"/>
        <w:spacing w:after="0" w:line="240" w:lineRule="auto"/>
        <w:jc w:val="both"/>
        <w:rPr>
          <w:rFonts w:ascii="Times New Roman" w:eastAsia="Calibri" w:hAnsi="Times New Roman" w:cs="Times New Roman"/>
          <w:sz w:val="24"/>
          <w:szCs w:val="24"/>
        </w:rPr>
      </w:pPr>
    </w:p>
    <w:p w:rsidR="00C4544D" w:rsidRPr="00FB2FA2" w:rsidRDefault="00C4544D" w:rsidP="00FB2FA2">
      <w:pPr>
        <w:pStyle w:val="Prrafodelista"/>
        <w:numPr>
          <w:ilvl w:val="0"/>
          <w:numId w:val="4"/>
        </w:numPr>
        <w:spacing w:after="0" w:line="240" w:lineRule="auto"/>
        <w:jc w:val="both"/>
        <w:rPr>
          <w:rFonts w:ascii="Times New Roman" w:eastAsia="Calibri" w:hAnsi="Times New Roman" w:cs="Times New Roman"/>
          <w:sz w:val="24"/>
          <w:szCs w:val="24"/>
        </w:rPr>
      </w:pPr>
      <w:r w:rsidRPr="00047249">
        <w:rPr>
          <w:rFonts w:ascii="Times New Roman" w:eastAsia="Times New Roman" w:hAnsi="Times New Roman" w:cs="Times New Roman"/>
          <w:sz w:val="24"/>
          <w:szCs w:val="24"/>
          <w:lang w:val="es-ES_tradnl" w:eastAsia="es-CO"/>
        </w:rPr>
        <w:t xml:space="preserve">Ahora bien, una medida de esta envergadura y naturaleza puede causar confusión en las personas al momento de su puesta en marcha. Se tienen previstas campañas de difusión y educación, que le permita a los agentes conocer lo relacionado con el nuevo </w:t>
      </w:r>
      <w:r w:rsidRPr="00FB2FA2">
        <w:rPr>
          <w:rFonts w:ascii="Times New Roman" w:eastAsia="Times New Roman" w:hAnsi="Times New Roman" w:cs="Times New Roman"/>
          <w:sz w:val="24"/>
          <w:szCs w:val="24"/>
          <w:lang w:val="es-ES_tradnl" w:eastAsia="es-CO"/>
        </w:rPr>
        <w:t>peso: los billetes, las monedas, períodos de transición, conversión de unidades, redondeo, conversión de activos y pasivos, etc</w:t>
      </w:r>
      <w:r w:rsidR="00322086">
        <w:rPr>
          <w:rFonts w:ascii="Times New Roman" w:eastAsia="Times New Roman" w:hAnsi="Times New Roman" w:cs="Times New Roman"/>
          <w:sz w:val="24"/>
          <w:szCs w:val="24"/>
          <w:lang w:val="es-ES_tradnl" w:eastAsia="es-CO"/>
        </w:rPr>
        <w:t>.</w:t>
      </w:r>
    </w:p>
    <w:p w:rsidR="00C4544D" w:rsidRPr="00FB2FA2" w:rsidRDefault="00C4544D" w:rsidP="00FB2FA2">
      <w:pPr>
        <w:pStyle w:val="Prrafodelista"/>
        <w:spacing w:after="0" w:line="240" w:lineRule="auto"/>
        <w:jc w:val="both"/>
        <w:rPr>
          <w:rFonts w:ascii="Times New Roman" w:eastAsia="Times New Roman" w:hAnsi="Times New Roman" w:cs="Times New Roman"/>
          <w:sz w:val="24"/>
          <w:szCs w:val="24"/>
          <w:lang w:val="es-ES_tradnl" w:eastAsia="es-CO"/>
        </w:rPr>
      </w:pPr>
    </w:p>
    <w:p w:rsidR="00C4544D" w:rsidRPr="00FB2FA2" w:rsidRDefault="00FD48E3" w:rsidP="00FB2FA2">
      <w:pPr>
        <w:pStyle w:val="Prrafodelista"/>
        <w:numPr>
          <w:ilvl w:val="0"/>
          <w:numId w:val="4"/>
        </w:num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es-ES_tradnl" w:eastAsia="es-CO"/>
        </w:rPr>
        <w:t xml:space="preserve">Durante el </w:t>
      </w:r>
      <w:r w:rsidR="00C4544D" w:rsidRPr="00FB2FA2">
        <w:rPr>
          <w:rFonts w:ascii="Times New Roman" w:eastAsia="Times New Roman" w:hAnsi="Times New Roman" w:cs="Times New Roman"/>
          <w:sz w:val="24"/>
          <w:szCs w:val="24"/>
          <w:lang w:val="es-ES_tradnl" w:eastAsia="es-CO"/>
        </w:rPr>
        <w:t>periodo de transición</w:t>
      </w:r>
      <w:r w:rsidR="00061FDA">
        <w:rPr>
          <w:rFonts w:ascii="Times New Roman" w:eastAsia="Times New Roman" w:hAnsi="Times New Roman" w:cs="Times New Roman"/>
          <w:sz w:val="24"/>
          <w:szCs w:val="24"/>
          <w:lang w:val="es-ES_tradnl" w:eastAsia="es-CO"/>
        </w:rPr>
        <w:t xml:space="preserve"> </w:t>
      </w:r>
      <w:r w:rsidR="00C4544D" w:rsidRPr="00FB2FA2">
        <w:rPr>
          <w:rFonts w:ascii="Times New Roman" w:eastAsia="Calibri" w:hAnsi="Times New Roman" w:cs="Times New Roman"/>
          <w:sz w:val="24"/>
          <w:szCs w:val="24"/>
        </w:rPr>
        <w:t>circularán al mismo tiempo los billetes y monedas actuales y los nuevos, con el propósito de que el cambio se haga de manera progresiva, lo que facilitará la adaptación y el acoplamiento del público a</w:t>
      </w:r>
      <w:r w:rsidR="00B8508C" w:rsidRPr="00FB2FA2">
        <w:rPr>
          <w:rFonts w:ascii="Times New Roman" w:eastAsia="Calibri" w:hAnsi="Times New Roman" w:cs="Times New Roman"/>
          <w:sz w:val="24"/>
          <w:szCs w:val="24"/>
        </w:rPr>
        <w:t>l</w:t>
      </w:r>
      <w:r w:rsidR="00061FDA">
        <w:rPr>
          <w:rFonts w:ascii="Times New Roman" w:eastAsia="Calibri" w:hAnsi="Times New Roman" w:cs="Times New Roman"/>
          <w:sz w:val="24"/>
          <w:szCs w:val="24"/>
        </w:rPr>
        <w:t xml:space="preserve"> </w:t>
      </w:r>
      <w:r w:rsidR="00C4544D" w:rsidRPr="00FB2FA2">
        <w:rPr>
          <w:rFonts w:ascii="Times New Roman" w:eastAsia="Calibri" w:hAnsi="Times New Roman" w:cs="Times New Roman"/>
          <w:i/>
          <w:sz w:val="24"/>
          <w:szCs w:val="24"/>
        </w:rPr>
        <w:t>nuevo peso.</w:t>
      </w:r>
    </w:p>
    <w:p w:rsidR="00C4544D" w:rsidRPr="00FB2FA2" w:rsidRDefault="00C4544D" w:rsidP="00FB2FA2">
      <w:pPr>
        <w:pStyle w:val="Prrafodelista"/>
        <w:spacing w:after="0" w:line="240" w:lineRule="auto"/>
        <w:jc w:val="both"/>
        <w:rPr>
          <w:rFonts w:ascii="Times New Roman" w:eastAsia="Calibri" w:hAnsi="Times New Roman" w:cs="Times New Roman"/>
          <w:sz w:val="24"/>
          <w:szCs w:val="24"/>
        </w:rPr>
      </w:pPr>
    </w:p>
    <w:p w:rsidR="00C4544D" w:rsidRPr="00FB2FA2" w:rsidRDefault="00C4544D" w:rsidP="00FB2FA2">
      <w:pPr>
        <w:pStyle w:val="Prrafodelista"/>
        <w:numPr>
          <w:ilvl w:val="0"/>
          <w:numId w:val="4"/>
        </w:numPr>
        <w:spacing w:after="0" w:line="240" w:lineRule="auto"/>
        <w:jc w:val="both"/>
        <w:rPr>
          <w:rFonts w:ascii="Times New Roman" w:eastAsia="Times New Roman" w:hAnsi="Times New Roman" w:cs="Times New Roman"/>
          <w:sz w:val="24"/>
          <w:szCs w:val="24"/>
          <w:lang w:val="es-ES_tradnl" w:eastAsia="es-CO"/>
        </w:rPr>
      </w:pPr>
      <w:r w:rsidRPr="00FB2FA2">
        <w:rPr>
          <w:rFonts w:ascii="Times New Roman" w:eastAsia="Times New Roman" w:hAnsi="Times New Roman" w:cs="Times New Roman"/>
          <w:sz w:val="24"/>
          <w:szCs w:val="24"/>
          <w:lang w:val="es-ES_tradnl" w:eastAsia="es-CO"/>
        </w:rPr>
        <w:t>Finalmente, cabe llamar la atención sobre el hecho de que, pese a que en principio, la eliminación de los tres ceros no debería tener efectos económicos importantes, podrían darse algunos fenómenos de corto plazo. La literatura internacional hace referencia al efecto que pueda tener el “redondeo” una vez eliminados los ceros. Más específicamente, una vez en circulación el Nuevo Peso, los agentes podrían, por factores psicológicos y de percepción, elevar el precio de los bienes y servicios que ofrecen en el mercado, lo que podría traducirse en un aumento generalizado en el nivel de precios de la economía. Sin embargo, este repunte de la inflación sería transitorio y los precios terminarían estabilizándose rápidamente, una vez los agentes comprendan y se adapten al Nuevo Peso (Tarhan, 2006</w:t>
      </w:r>
      <w:r w:rsidR="00F00E6C">
        <w:rPr>
          <w:rStyle w:val="Refdenotaalpie"/>
          <w:rFonts w:ascii="Times New Roman" w:eastAsia="Times New Roman" w:hAnsi="Times New Roman" w:cs="Times New Roman"/>
          <w:sz w:val="24"/>
          <w:szCs w:val="24"/>
          <w:lang w:val="es-ES_tradnl" w:eastAsia="es-CO"/>
        </w:rPr>
        <w:footnoteReference w:id="7"/>
      </w:r>
      <w:r w:rsidRPr="00FB2FA2">
        <w:rPr>
          <w:rFonts w:ascii="Times New Roman" w:eastAsia="Times New Roman" w:hAnsi="Times New Roman" w:cs="Times New Roman"/>
          <w:sz w:val="24"/>
          <w:szCs w:val="24"/>
          <w:lang w:val="es-ES_tradnl" w:eastAsia="es-CO"/>
        </w:rPr>
        <w:t xml:space="preserve">). </w:t>
      </w:r>
    </w:p>
    <w:p w:rsidR="00C4544D" w:rsidRDefault="00C4544D" w:rsidP="00FB2FA2">
      <w:pPr>
        <w:jc w:val="both"/>
        <w:rPr>
          <w:b/>
          <w:lang w:val="es-ES_tradnl"/>
        </w:rPr>
      </w:pPr>
    </w:p>
    <w:p w:rsidR="00322086" w:rsidRPr="00FB2FA2" w:rsidRDefault="00322086" w:rsidP="00FB2FA2">
      <w:pPr>
        <w:jc w:val="both"/>
        <w:rPr>
          <w:b/>
          <w:lang w:val="es-ES_tradnl"/>
        </w:rPr>
      </w:pPr>
    </w:p>
    <w:p w:rsidR="00C4544D" w:rsidRPr="00FB2FA2" w:rsidRDefault="00322086" w:rsidP="00FB2FA2">
      <w:pPr>
        <w:pStyle w:val="Prrafodelista"/>
        <w:numPr>
          <w:ilvl w:val="0"/>
          <w:numId w:val="5"/>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 xml:space="preserve">EXPERIENCIA INTERNACIONAL </w:t>
      </w:r>
    </w:p>
    <w:p w:rsidR="00322086" w:rsidRDefault="00322086" w:rsidP="00FB2FA2">
      <w:pPr>
        <w:jc w:val="both"/>
        <w:rPr>
          <w:rFonts w:eastAsia="Calibri"/>
          <w:lang w:val="es-ES_tradnl"/>
        </w:rPr>
      </w:pPr>
    </w:p>
    <w:p w:rsidR="00C4544D" w:rsidRPr="00FB2FA2" w:rsidRDefault="00C4544D" w:rsidP="00FB2FA2">
      <w:pPr>
        <w:jc w:val="both"/>
        <w:rPr>
          <w:rFonts w:eastAsia="Calibri"/>
          <w:lang w:val="es-ES_tradnl"/>
        </w:rPr>
      </w:pPr>
      <w:r w:rsidRPr="00FB2FA2">
        <w:rPr>
          <w:rFonts w:eastAsia="Calibri"/>
          <w:lang w:val="es-ES_tradnl"/>
        </w:rPr>
        <w:t>Haciendo una revisión a los casos internacionales donde se ha</w:t>
      </w:r>
      <w:r w:rsidR="007C7A36">
        <w:rPr>
          <w:rFonts w:eastAsia="Calibri"/>
          <w:lang w:val="es-ES_tradnl"/>
        </w:rPr>
        <w:t>n</w:t>
      </w:r>
      <w:r w:rsidRPr="00FB2FA2">
        <w:rPr>
          <w:rFonts w:eastAsia="Calibri"/>
          <w:lang w:val="es-ES_tradnl"/>
        </w:rPr>
        <w:t xml:space="preserve"> adoptado medidas semejantes a las que se proponen en esta iniciativa, podemos concluir que las modificaciones o sustituciones a la unidad monetaria se han presentado por al m</w:t>
      </w:r>
      <w:r w:rsidR="00060883">
        <w:rPr>
          <w:rFonts w:eastAsia="Calibri"/>
          <w:lang w:val="es-ES_tradnl"/>
        </w:rPr>
        <w:t>enos dos razones fundamentales.</w:t>
      </w:r>
    </w:p>
    <w:p w:rsidR="00C4544D" w:rsidRPr="00FB2FA2" w:rsidRDefault="00C4544D" w:rsidP="00FB2FA2">
      <w:pPr>
        <w:jc w:val="both"/>
        <w:rPr>
          <w:rFonts w:eastAsia="Calibri"/>
          <w:lang w:val="es-ES_tradnl"/>
        </w:rPr>
      </w:pPr>
    </w:p>
    <w:p w:rsidR="00C4544D" w:rsidRPr="00FB2FA2" w:rsidRDefault="00C4544D" w:rsidP="00FB2FA2">
      <w:pPr>
        <w:jc w:val="both"/>
        <w:rPr>
          <w:rFonts w:eastAsia="Calibri"/>
          <w:lang w:val="es-ES_tradnl"/>
        </w:rPr>
      </w:pPr>
      <w:r w:rsidRPr="00FB2FA2">
        <w:rPr>
          <w:rFonts w:eastAsia="Calibri"/>
          <w:lang w:val="es-ES_tradnl"/>
        </w:rPr>
        <w:t xml:space="preserve">En primer lugar, como se muestra en el Cuadro 2, se ha realizado en momentos de ajuste macroeconómico, donde la inflación ha elevado tanto los precios que las cifras se hacen inmanejables y se emplean como medida para recuperar la reserva de valor como característica del dinero, ante una situación de hiperinflación. </w:t>
      </w:r>
    </w:p>
    <w:p w:rsidR="00322086" w:rsidRDefault="00322086">
      <w:pPr>
        <w:spacing w:after="160" w:line="259" w:lineRule="auto"/>
        <w:rPr>
          <w:rFonts w:eastAsia="Calibri"/>
          <w:b/>
        </w:rPr>
      </w:pPr>
    </w:p>
    <w:p w:rsidR="00446E30" w:rsidRDefault="00446E30">
      <w:pPr>
        <w:spacing w:after="160" w:line="259" w:lineRule="auto"/>
        <w:rPr>
          <w:rFonts w:eastAsia="Calibri"/>
          <w:b/>
        </w:rPr>
      </w:pPr>
      <w:r>
        <w:rPr>
          <w:rFonts w:eastAsia="Calibri"/>
          <w:b/>
        </w:rPr>
        <w:br w:type="page"/>
      </w:r>
    </w:p>
    <w:p w:rsidR="00C4544D" w:rsidRPr="00FB2FA2" w:rsidRDefault="00C4544D" w:rsidP="00322086">
      <w:pPr>
        <w:jc w:val="center"/>
        <w:rPr>
          <w:rFonts w:eastAsia="Calibri"/>
          <w:b/>
        </w:rPr>
      </w:pPr>
      <w:r w:rsidRPr="00FB2FA2">
        <w:rPr>
          <w:rFonts w:eastAsia="Calibri"/>
          <w:b/>
        </w:rPr>
        <w:lastRenderedPageBreak/>
        <w:t>Cuadro 2</w:t>
      </w:r>
    </w:p>
    <w:p w:rsidR="00C4544D" w:rsidRPr="00FB2FA2" w:rsidRDefault="00C4544D" w:rsidP="00322086">
      <w:pPr>
        <w:jc w:val="center"/>
        <w:rPr>
          <w:rFonts w:eastAsia="Calibri"/>
          <w:b/>
        </w:rPr>
      </w:pPr>
      <w:r w:rsidRPr="00FB2FA2">
        <w:rPr>
          <w:rFonts w:eastAsia="Calibri"/>
          <w:b/>
        </w:rPr>
        <w:t>Algunos procesos de eliminación de ceros de billetes y monedas según el país</w:t>
      </w:r>
    </w:p>
    <w:p w:rsidR="00C4544D" w:rsidRPr="00FB2FA2" w:rsidRDefault="00C4544D" w:rsidP="00322086">
      <w:pPr>
        <w:jc w:val="center"/>
        <w:rPr>
          <w:rFonts w:eastAsia="Calibri"/>
        </w:rPr>
      </w:pPr>
      <w:r w:rsidRPr="00FB2FA2">
        <w:rPr>
          <w:noProof/>
        </w:rPr>
        <w:drawing>
          <wp:inline distT="0" distB="0" distL="0" distR="0">
            <wp:extent cx="5612130" cy="2795090"/>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795090"/>
                    </a:xfrm>
                    <a:prstGeom prst="rect">
                      <a:avLst/>
                    </a:prstGeom>
                    <a:noFill/>
                    <a:ln>
                      <a:noFill/>
                    </a:ln>
                  </pic:spPr>
                </pic:pic>
              </a:graphicData>
            </a:graphic>
          </wp:inline>
        </w:drawing>
      </w:r>
    </w:p>
    <w:p w:rsidR="005753DD" w:rsidRPr="00FB2FA2" w:rsidRDefault="005753DD" w:rsidP="00FB2FA2">
      <w:pPr>
        <w:jc w:val="both"/>
        <w:rPr>
          <w:rFonts w:eastAsia="Calibri"/>
          <w:lang w:val="es-ES_tradnl"/>
        </w:rPr>
      </w:pPr>
    </w:p>
    <w:p w:rsidR="00C4544D" w:rsidRPr="00FB2FA2" w:rsidRDefault="00C4544D" w:rsidP="00FB2FA2">
      <w:pPr>
        <w:jc w:val="both"/>
        <w:rPr>
          <w:rFonts w:eastAsia="Calibri"/>
          <w:lang w:val="es-ES_tradnl"/>
        </w:rPr>
      </w:pPr>
      <w:r w:rsidRPr="00FB2FA2">
        <w:rPr>
          <w:rFonts w:eastAsia="Calibri"/>
          <w:lang w:val="es-ES_tradnl"/>
        </w:rPr>
        <w:t>El caso más dramático de este tipo de intervención es el de Zimbabue, luego de que en 2009 llegara a tener billetes de 100 billones de dólares zimbabuenses. Ese ha sido el billete de más alta denominación del mundo. En la actualidad, la moneda legal de ese país es el dólar americano.</w:t>
      </w:r>
    </w:p>
    <w:p w:rsidR="00C4544D" w:rsidRPr="00FB2FA2" w:rsidRDefault="00C4544D" w:rsidP="00FB2FA2">
      <w:pPr>
        <w:jc w:val="both"/>
        <w:rPr>
          <w:rFonts w:eastAsia="Calibri"/>
          <w:lang w:val="es-ES_tradnl"/>
        </w:rPr>
      </w:pPr>
    </w:p>
    <w:p w:rsidR="005753DD" w:rsidRPr="00FB2FA2" w:rsidRDefault="00C4544D" w:rsidP="00FB2FA2">
      <w:pPr>
        <w:jc w:val="both"/>
        <w:rPr>
          <w:rFonts w:eastAsia="Calibri"/>
          <w:lang w:val="es-ES_tradnl"/>
        </w:rPr>
      </w:pPr>
      <w:r w:rsidRPr="00FB2FA2">
        <w:rPr>
          <w:rFonts w:eastAsia="Calibri"/>
          <w:lang w:val="es-ES_tradnl"/>
        </w:rPr>
        <w:t xml:space="preserve">En América Latina, por su parte, el caso más emblemático es el de Brasil, toda vez que esta nación realizó múltiples reducciones de ceros en su moneda hasta el año 2002. Brasil redujo ceros en su moneda en cinco oportunidades hasta igualarse a los estándares internacionales. </w:t>
      </w:r>
    </w:p>
    <w:p w:rsidR="005753DD" w:rsidRPr="00FB2FA2" w:rsidRDefault="005753DD" w:rsidP="00FB2FA2">
      <w:pPr>
        <w:jc w:val="both"/>
        <w:rPr>
          <w:rFonts w:eastAsia="Calibri"/>
          <w:lang w:val="es-ES_tradnl"/>
        </w:rPr>
      </w:pPr>
    </w:p>
    <w:p w:rsidR="00C4544D" w:rsidRPr="00FB2FA2" w:rsidRDefault="00C4544D" w:rsidP="00FB2FA2">
      <w:pPr>
        <w:jc w:val="both"/>
        <w:rPr>
          <w:rFonts w:eastAsia="Calibri"/>
          <w:lang w:val="es-ES_tradnl"/>
        </w:rPr>
      </w:pPr>
      <w:r w:rsidRPr="00FB2FA2">
        <w:rPr>
          <w:rFonts w:eastAsia="Calibri"/>
          <w:lang w:val="es-ES_tradnl"/>
        </w:rPr>
        <w:t>Otro caso a destacar es el de Argentina, país que, gracias a la multiplicidad de crisis por las cuales ha atravesado esta economía a lo largo de su historia, el Gobierno ha decidido utilizar esta herramienta de eliminar ceros a la moneda en más de 12 oportunidades en 40 años. Cabe resaltar que el resultado de estos cambios llevo a este país a implementar un sistema de convertibilidad con relación directa respecto del dólar.</w:t>
      </w:r>
    </w:p>
    <w:p w:rsidR="00C4544D" w:rsidRPr="00FB2FA2" w:rsidRDefault="00C4544D" w:rsidP="00FB2FA2">
      <w:pPr>
        <w:jc w:val="both"/>
        <w:rPr>
          <w:rFonts w:eastAsia="Calibri"/>
          <w:lang w:val="es-ES_tradnl"/>
        </w:rPr>
      </w:pPr>
    </w:p>
    <w:p w:rsidR="00C4544D" w:rsidRPr="00FB2FA2" w:rsidRDefault="00C4544D" w:rsidP="00FB2FA2">
      <w:pPr>
        <w:jc w:val="both"/>
        <w:rPr>
          <w:rFonts w:eastAsia="Calibri"/>
        </w:rPr>
      </w:pPr>
      <w:r w:rsidRPr="00FB2FA2">
        <w:rPr>
          <w:rFonts w:eastAsia="Calibri"/>
        </w:rPr>
        <w:t xml:space="preserve">Existe, sin embargo, un segundo factor que ha determinado que las diferentes economías decidan hacer modificaciones o sustituciones a la unidad monetaria de su país. Se trata de la búsqueda de un balance respecto de las demás monedas de la región y una simplificación del manejo de cantidades, dejando de lado el argumento de ajuste macroeconómico o como producto de una crisis. </w:t>
      </w:r>
    </w:p>
    <w:p w:rsidR="00C4544D" w:rsidRPr="00FB2FA2" w:rsidRDefault="00C4544D" w:rsidP="00FB2FA2">
      <w:pPr>
        <w:jc w:val="both"/>
        <w:rPr>
          <w:rFonts w:eastAsia="Calibri"/>
        </w:rPr>
      </w:pPr>
    </w:p>
    <w:p w:rsidR="00C4544D" w:rsidRPr="00FB2FA2" w:rsidRDefault="00C4544D" w:rsidP="00FB2FA2">
      <w:pPr>
        <w:jc w:val="both"/>
      </w:pPr>
      <w:r w:rsidRPr="00FB2FA2">
        <w:rPr>
          <w:rFonts w:eastAsia="Calibri"/>
        </w:rPr>
        <w:t xml:space="preserve">Tal vez el caso más reconocido de este tipo de intervención dentro del continente fue el de México. </w:t>
      </w:r>
      <w:r w:rsidRPr="00FB2FA2">
        <w:t xml:space="preserve">Los argumentos de las autoridades oficiales para sustentar la eliminación de tres ceros en la moneda nacional, y </w:t>
      </w:r>
      <w:r w:rsidRPr="00FB2FA2">
        <w:lastRenderedPageBreak/>
        <w:t xml:space="preserve">constituir el nuevo peso apuntaron fundamentalmente a la necesidad de simplificar las transacciones que, con tantos ceros se hacían en extremo complicadas, ya que hacia la década de 1980 la inestabilidad económica del país había provocado estadísticas inflacionarias ascendentes, generando a su vez un fuerte aumento en el precio de los bienes, lo que trajo la necesidad de emisiones con denominaciones cada vez más altas. Estas unidades dejaron de ser prácticas en la medida en que no reflejaban de manera precisa las verdaderas reservas de plata y oro del país y las funciones operativas relacionadas con la moneda. </w:t>
      </w:r>
    </w:p>
    <w:p w:rsidR="00C4544D" w:rsidRPr="00FB2FA2" w:rsidRDefault="00C4544D" w:rsidP="00FB2FA2">
      <w:pPr>
        <w:jc w:val="both"/>
      </w:pPr>
    </w:p>
    <w:p w:rsidR="00C4544D" w:rsidRPr="00FB2FA2" w:rsidRDefault="00C4544D" w:rsidP="00FB2FA2">
      <w:pPr>
        <w:jc w:val="both"/>
      </w:pPr>
      <w:r w:rsidRPr="00FB2FA2">
        <w:t>El cambio se realizó en 1993 y contribuyó en la disminución de la inflación en un entorno de ajuste macroeconómico. A la nueva unidad del sistema monetario mexicano, equivalente a mil pesos de la unidad anterior, se le antepuso transitoriamente el adjetivo `nuevo´, que se eliminó a partir de 1996. Las evaluaciones posteriores mostraron que no hubo mayores costos asociados a la reforma en los paquetes tecnológicos de las empresas.</w:t>
      </w:r>
    </w:p>
    <w:p w:rsidR="00C4544D" w:rsidRPr="00FB2FA2" w:rsidRDefault="00C4544D" w:rsidP="00FB2FA2">
      <w:pPr>
        <w:jc w:val="both"/>
      </w:pPr>
    </w:p>
    <w:p w:rsidR="00C4544D" w:rsidRPr="00FB2FA2" w:rsidRDefault="00C4544D" w:rsidP="00FB2FA2">
      <w:pPr>
        <w:jc w:val="both"/>
      </w:pPr>
      <w:r w:rsidRPr="00FB2FA2">
        <w:t xml:space="preserve">Otro caso para mencionar es el del Gobierno de Paraguay, el cual ha propuesto eliminar tres ceros de su moneda, el guaraní, para simplificar las transacciones diarias comerciales y contables, según afirma el Banco Central de Paraguay. Se trataría del primer cambio en más de seis décadas que sufrirá la divisa de ese país que, para evitar confusión con la anterior, pasará a denominarse 'nuevo guaraní' durante un periodo de dos años en el que convivirán ambas monedas, aunque mantendrán los mismos colores y figuras. </w:t>
      </w:r>
    </w:p>
    <w:p w:rsidR="00C4544D" w:rsidRPr="00FB2FA2" w:rsidRDefault="00C4544D" w:rsidP="00FB2FA2">
      <w:pPr>
        <w:jc w:val="both"/>
      </w:pPr>
    </w:p>
    <w:p w:rsidR="00C4544D" w:rsidRPr="00FB2FA2" w:rsidRDefault="00C4544D" w:rsidP="00FB2FA2">
      <w:pPr>
        <w:jc w:val="both"/>
        <w:rPr>
          <w:rFonts w:eastAsia="Calibri"/>
        </w:rPr>
      </w:pPr>
      <w:r w:rsidRPr="00FB2FA2">
        <w:t xml:space="preserve">Dentro de este contexto, no cabe duda de que en Colombia </w:t>
      </w:r>
      <w:r w:rsidRPr="00FB2FA2">
        <w:rPr>
          <w:rFonts w:eastAsia="Calibri"/>
        </w:rPr>
        <w:t>la eliminación de los ceros no se encuentra enmarcada en un plan de ajuste macroeconómico: nuestra economía se encuentra en buen momento. La alta denominación de nuestros billetes es el resultado no de la coyuntura actual, sino de procesos inflacionarios anteriores a la década de los noventa, en los que los precios crecieron de manera sostenida (aunque no superaron el 30%).</w:t>
      </w:r>
    </w:p>
    <w:p w:rsidR="00057BE7" w:rsidRDefault="00057BE7" w:rsidP="00FB2FA2">
      <w:pPr>
        <w:jc w:val="both"/>
        <w:rPr>
          <w:rFonts w:eastAsia="Calibri"/>
        </w:rPr>
      </w:pPr>
    </w:p>
    <w:p w:rsidR="00C4544D" w:rsidRPr="00FB2FA2" w:rsidRDefault="00C4544D" w:rsidP="00FB2FA2">
      <w:pPr>
        <w:jc w:val="both"/>
        <w:rPr>
          <w:rFonts w:eastAsia="Calibri"/>
          <w:lang w:val="es-ES_tradnl"/>
        </w:rPr>
      </w:pPr>
      <w:r w:rsidRPr="00FB2FA2">
        <w:rPr>
          <w:rFonts w:eastAsia="Calibri"/>
          <w:lang w:val="es-ES_tradnl"/>
        </w:rPr>
        <w:t xml:space="preserve">En la actualidad Colombia se encuentra en los primeros puestos del ranking de países con billetes de más alta denominación. Como se observa en el Cuadro 3, nuestro país se encuentra rodeado en ese ranking de países como Vietnam, Irán, Uganda, entre otros, países cuyas condiciones económicas son, en términos generales, muy diferentes a la nuestra. Por ejemplo, los niveles de inflación de nuestro país son inferiores a los de la mayoría de países del cuadro. Así, se </w:t>
      </w:r>
      <w:r w:rsidR="006A0B8F" w:rsidRPr="00FB2FA2">
        <w:rPr>
          <w:rFonts w:eastAsia="Calibri"/>
          <w:lang w:val="es-ES_tradnl"/>
        </w:rPr>
        <w:t>pued</w:t>
      </w:r>
      <w:r w:rsidR="006A0B8F">
        <w:rPr>
          <w:rFonts w:eastAsia="Calibri"/>
          <w:lang w:val="es-ES_tradnl"/>
        </w:rPr>
        <w:t>e</w:t>
      </w:r>
      <w:r w:rsidRPr="00FB2FA2">
        <w:rPr>
          <w:rFonts w:eastAsia="Calibri"/>
          <w:lang w:val="es-ES_tradnl"/>
        </w:rPr>
        <w:t xml:space="preserve"> concluir que </w:t>
      </w:r>
      <w:r w:rsidRPr="00FB2FA2">
        <w:rPr>
          <w:rFonts w:eastAsia="Calibri"/>
        </w:rPr>
        <w:t xml:space="preserve">la economía </w:t>
      </w:r>
      <w:r w:rsidR="007C7A36">
        <w:rPr>
          <w:rFonts w:eastAsia="Calibri"/>
        </w:rPr>
        <w:t>c</w:t>
      </w:r>
      <w:r w:rsidR="007C7A36" w:rsidRPr="00FB2FA2">
        <w:rPr>
          <w:rFonts w:eastAsia="Calibri"/>
        </w:rPr>
        <w:t xml:space="preserve">olombiana </w:t>
      </w:r>
      <w:r w:rsidRPr="00FB2FA2">
        <w:rPr>
          <w:rFonts w:eastAsia="Calibri"/>
        </w:rPr>
        <w:t>es muy diferente a la mayoría de las que en él se presentan.</w:t>
      </w:r>
    </w:p>
    <w:p w:rsidR="00E13704" w:rsidRDefault="00E13704" w:rsidP="00446E30">
      <w:pPr>
        <w:rPr>
          <w:rFonts w:eastAsia="Calibri"/>
          <w:b/>
        </w:rPr>
      </w:pPr>
    </w:p>
    <w:p w:rsidR="00446E30" w:rsidRDefault="00446E30">
      <w:pPr>
        <w:spacing w:after="160" w:line="259" w:lineRule="auto"/>
        <w:rPr>
          <w:rFonts w:eastAsia="Calibri"/>
          <w:b/>
        </w:rPr>
      </w:pPr>
      <w:r>
        <w:rPr>
          <w:rFonts w:eastAsia="Calibri"/>
          <w:b/>
        </w:rPr>
        <w:br w:type="page"/>
      </w:r>
    </w:p>
    <w:p w:rsidR="00C4544D" w:rsidRPr="00FB2FA2" w:rsidRDefault="00C4544D" w:rsidP="00322086">
      <w:pPr>
        <w:jc w:val="center"/>
        <w:rPr>
          <w:rFonts w:eastAsia="Calibri"/>
          <w:b/>
        </w:rPr>
      </w:pPr>
      <w:r w:rsidRPr="00FB2FA2">
        <w:rPr>
          <w:rFonts w:eastAsia="Calibri"/>
          <w:b/>
        </w:rPr>
        <w:lastRenderedPageBreak/>
        <w:t>Cuadro 3</w:t>
      </w:r>
    </w:p>
    <w:p w:rsidR="00C4544D" w:rsidRDefault="00C4544D" w:rsidP="00322086">
      <w:pPr>
        <w:jc w:val="center"/>
        <w:rPr>
          <w:rFonts w:eastAsia="Calibri"/>
          <w:b/>
        </w:rPr>
      </w:pPr>
      <w:r w:rsidRPr="00FB2FA2">
        <w:rPr>
          <w:rFonts w:eastAsia="Calibri"/>
          <w:b/>
        </w:rPr>
        <w:t>Ranking de países de acuerdo a su cambio con el dólar</w:t>
      </w:r>
    </w:p>
    <w:p w:rsidR="00EC45DE" w:rsidRPr="00FB2FA2" w:rsidRDefault="00EC45DE" w:rsidP="00322086">
      <w:pPr>
        <w:jc w:val="center"/>
        <w:rPr>
          <w:rFonts w:eastAsia="Calibri"/>
          <w:b/>
        </w:rPr>
      </w:pPr>
    </w:p>
    <w:p w:rsidR="00C4544D" w:rsidRPr="00FB2FA2" w:rsidRDefault="00C4544D" w:rsidP="00322086">
      <w:pPr>
        <w:jc w:val="center"/>
        <w:rPr>
          <w:rFonts w:eastAsia="Calibri"/>
          <w:b/>
        </w:rPr>
      </w:pPr>
      <w:r w:rsidRPr="00FB2FA2">
        <w:rPr>
          <w:noProof/>
        </w:rPr>
        <w:drawing>
          <wp:inline distT="0" distB="0" distL="0" distR="0">
            <wp:extent cx="5146711" cy="4126727"/>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471" cy="4139364"/>
                    </a:xfrm>
                    <a:prstGeom prst="rect">
                      <a:avLst/>
                    </a:prstGeom>
                    <a:noFill/>
                    <a:ln>
                      <a:noFill/>
                    </a:ln>
                  </pic:spPr>
                </pic:pic>
              </a:graphicData>
            </a:graphic>
          </wp:inline>
        </w:drawing>
      </w:r>
    </w:p>
    <w:p w:rsidR="00C4544D" w:rsidRPr="00322086" w:rsidRDefault="00C4544D" w:rsidP="00322086">
      <w:pPr>
        <w:ind w:left="142" w:firstLine="566"/>
        <w:jc w:val="both"/>
        <w:rPr>
          <w:sz w:val="20"/>
        </w:rPr>
      </w:pPr>
      <w:r w:rsidRPr="00322086">
        <w:rPr>
          <w:rFonts w:eastAsia="Calibri"/>
          <w:sz w:val="20"/>
        </w:rPr>
        <w:t xml:space="preserve">Fuente: </w:t>
      </w:r>
      <w:r w:rsidRPr="00322086">
        <w:rPr>
          <w:sz w:val="20"/>
        </w:rPr>
        <w:t>Bancos centrales, Fondo Monetario Internacional. Cálculos DGPM</w:t>
      </w:r>
    </w:p>
    <w:p w:rsidR="00C4544D" w:rsidRPr="00FB2FA2" w:rsidRDefault="00C4544D" w:rsidP="00FB2FA2">
      <w:pPr>
        <w:jc w:val="both"/>
        <w:rPr>
          <w:rFonts w:eastAsia="Calibri"/>
        </w:rPr>
      </w:pPr>
    </w:p>
    <w:p w:rsidR="00C4544D" w:rsidRPr="00FB2FA2" w:rsidRDefault="00C4544D" w:rsidP="00FB2FA2">
      <w:pPr>
        <w:jc w:val="both"/>
        <w:rPr>
          <w:rFonts w:eastAsia="Calibri"/>
        </w:rPr>
      </w:pPr>
      <w:r w:rsidRPr="00FB2FA2">
        <w:rPr>
          <w:rFonts w:eastAsia="Calibri"/>
        </w:rPr>
        <w:t>El beneficio de la eliminación de los tres ceros está relacionado con temas operativos y de eficiencia. La literatura internacional coincide en que este tipo de procesos son más exitosos cuando las condiciones del país son estructuralmente adecuadas, como es el caso de Colombia (Araki, 2001</w:t>
      </w:r>
      <w:r w:rsidR="00132E57">
        <w:rPr>
          <w:rStyle w:val="Refdenotaalpie"/>
          <w:rFonts w:eastAsia="Calibri"/>
        </w:rPr>
        <w:footnoteReference w:id="8"/>
      </w:r>
      <w:r w:rsidRPr="00FB2FA2">
        <w:rPr>
          <w:rFonts w:eastAsia="Calibri"/>
        </w:rPr>
        <w:t>; Caballero, 2002</w:t>
      </w:r>
      <w:r w:rsidR="00132E57">
        <w:rPr>
          <w:rStyle w:val="Refdenotaalpie"/>
          <w:rFonts w:eastAsia="Calibri"/>
        </w:rPr>
        <w:footnoteReference w:id="9"/>
      </w:r>
      <w:r w:rsidRPr="00FB2FA2">
        <w:rPr>
          <w:rFonts w:eastAsia="Calibri"/>
        </w:rPr>
        <w:t xml:space="preserve">; FMI, </w:t>
      </w:r>
      <w:r w:rsidRPr="00FB2FA2">
        <w:rPr>
          <w:rFonts w:eastAsia="Calibri"/>
        </w:rPr>
        <w:lastRenderedPageBreak/>
        <w:t>2003</w:t>
      </w:r>
      <w:r w:rsidR="00132E57">
        <w:rPr>
          <w:rStyle w:val="Refdenotaalpie"/>
          <w:rFonts w:eastAsia="Calibri"/>
        </w:rPr>
        <w:footnoteReference w:id="10"/>
      </w:r>
      <w:r w:rsidRPr="00FB2FA2">
        <w:rPr>
          <w:rFonts w:eastAsia="Calibri"/>
        </w:rPr>
        <w:t>; Calomiris 2006</w:t>
      </w:r>
      <w:r w:rsidR="00132E57">
        <w:rPr>
          <w:rStyle w:val="Refdenotaalpie"/>
          <w:rFonts w:eastAsia="Calibri"/>
        </w:rPr>
        <w:footnoteReference w:id="11"/>
      </w:r>
      <w:r w:rsidRPr="00FB2FA2">
        <w:rPr>
          <w:rFonts w:eastAsia="Calibri"/>
        </w:rPr>
        <w:t xml:space="preserve">; Ahmad, 2007). En el caso </w:t>
      </w:r>
      <w:r w:rsidR="007C7A36">
        <w:rPr>
          <w:rFonts w:eastAsia="Calibri"/>
        </w:rPr>
        <w:t>c</w:t>
      </w:r>
      <w:r w:rsidR="007C7A36" w:rsidRPr="00FB2FA2">
        <w:rPr>
          <w:rFonts w:eastAsia="Calibri"/>
        </w:rPr>
        <w:t>olombiano</w:t>
      </w:r>
      <w:r w:rsidRPr="00FB2FA2">
        <w:rPr>
          <w:rFonts w:eastAsia="Calibri"/>
        </w:rPr>
        <w:t>, en los últimos años hemos alcanzado históricas cifras en el manejo de la inflación, lo que sin duda nos permite afirmar con certeza que las condiciones económicas están dadas con suficiencia para tomar una decisión de esta naturaleza.</w:t>
      </w:r>
    </w:p>
    <w:p w:rsidR="00446E30" w:rsidRDefault="00446E30" w:rsidP="00FB2FA2">
      <w:pPr>
        <w:jc w:val="both"/>
        <w:rPr>
          <w:rFonts w:eastAsia="Calibri"/>
        </w:rPr>
      </w:pPr>
    </w:p>
    <w:p w:rsidR="00446E30" w:rsidRDefault="00446E30">
      <w:pPr>
        <w:spacing w:after="160" w:line="259" w:lineRule="auto"/>
        <w:rPr>
          <w:rFonts w:eastAsiaTheme="minorHAnsi"/>
          <w:b/>
          <w:lang w:eastAsia="en-US"/>
        </w:rPr>
      </w:pPr>
      <w:r>
        <w:rPr>
          <w:b/>
        </w:rPr>
        <w:br w:type="page"/>
      </w:r>
    </w:p>
    <w:p w:rsidR="00C4544D" w:rsidRPr="00FB2FA2" w:rsidRDefault="00322086" w:rsidP="00FB2FA2">
      <w:pPr>
        <w:pStyle w:val="Prrafodelista"/>
        <w:numPr>
          <w:ilvl w:val="0"/>
          <w:numId w:val="5"/>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lastRenderedPageBreak/>
        <w:t>CONCLUSIÓN</w:t>
      </w:r>
    </w:p>
    <w:p w:rsidR="00322086" w:rsidRDefault="00322086" w:rsidP="00FB2FA2">
      <w:pPr>
        <w:jc w:val="both"/>
        <w:rPr>
          <w:rFonts w:eastAsia="Calibri"/>
        </w:rPr>
      </w:pPr>
    </w:p>
    <w:p w:rsidR="00C4544D" w:rsidRPr="00FB2FA2" w:rsidRDefault="00C4544D" w:rsidP="00FB2FA2">
      <w:pPr>
        <w:jc w:val="both"/>
        <w:rPr>
          <w:b/>
        </w:rPr>
      </w:pPr>
      <w:r w:rsidRPr="00FB2FA2">
        <w:rPr>
          <w:rFonts w:eastAsia="Calibri"/>
        </w:rPr>
        <w:t>El reducir tres ceros a la moneda representa un cambio institucional importante. La reducción de los costos transaccionales y operacionales resultantes de la reforma que aquí se propone, aumentará la productividad y competitividad de la economía en su conjunto. A lo anterior se suma el hecho de que la elaboración de los presupuestos y el manejo contable se hace más simple tanto para el sector público como el privado. Adicionalmente, la conversión también implica menores costos de almacenamiento electrónico, aspecto que es particularmente relevante para el sector financiero. Por último, la eliminación de los tres ceros hará más fácil la comparación de la moneda colombiana con las del resto del mundo, pues muchas de ellas se encuentran en el rango de uno o dos dígitos.</w:t>
      </w:r>
    </w:p>
    <w:p w:rsidR="00C4544D" w:rsidRDefault="00C4544D" w:rsidP="00FB2FA2">
      <w:pPr>
        <w:autoSpaceDE w:val="0"/>
        <w:autoSpaceDN w:val="0"/>
        <w:adjustRightInd w:val="0"/>
        <w:jc w:val="both"/>
        <w:rPr>
          <w:rFonts w:eastAsiaTheme="minorHAnsi"/>
          <w:color w:val="000000"/>
          <w:lang w:eastAsia="en-US"/>
        </w:rPr>
      </w:pPr>
    </w:p>
    <w:p w:rsidR="00322086" w:rsidRPr="00FB2FA2" w:rsidRDefault="00322086" w:rsidP="00FB2FA2">
      <w:pPr>
        <w:autoSpaceDE w:val="0"/>
        <w:autoSpaceDN w:val="0"/>
        <w:adjustRightInd w:val="0"/>
        <w:jc w:val="both"/>
        <w:rPr>
          <w:rFonts w:eastAsiaTheme="minorHAnsi"/>
          <w:color w:val="000000"/>
          <w:lang w:eastAsia="en-US"/>
        </w:rPr>
      </w:pPr>
    </w:p>
    <w:p w:rsidR="005753DD" w:rsidRPr="00FB2FA2" w:rsidRDefault="00322086" w:rsidP="00FB2FA2">
      <w:pPr>
        <w:pStyle w:val="Prrafodelista"/>
        <w:numPr>
          <w:ilvl w:val="0"/>
          <w:numId w:val="5"/>
        </w:numPr>
        <w:spacing w:after="0" w:line="240" w:lineRule="auto"/>
        <w:jc w:val="both"/>
        <w:rPr>
          <w:rFonts w:ascii="Times New Roman" w:hAnsi="Times New Roman" w:cs="Times New Roman"/>
          <w:b/>
          <w:sz w:val="24"/>
          <w:szCs w:val="24"/>
        </w:rPr>
      </w:pPr>
      <w:r w:rsidRPr="00FB2FA2">
        <w:rPr>
          <w:rFonts w:ascii="Times New Roman" w:hAnsi="Times New Roman" w:cs="Times New Roman"/>
          <w:b/>
          <w:sz w:val="24"/>
          <w:szCs w:val="24"/>
        </w:rPr>
        <w:t xml:space="preserve">CONTENIDO DEL PROYECTO DE LEY. </w:t>
      </w:r>
    </w:p>
    <w:p w:rsidR="005753DD" w:rsidRPr="00FB2FA2" w:rsidRDefault="005753DD" w:rsidP="00FB2FA2">
      <w:pPr>
        <w:pStyle w:val="Prrafodelista"/>
        <w:spacing w:after="0" w:line="240" w:lineRule="auto"/>
        <w:jc w:val="both"/>
        <w:rPr>
          <w:rFonts w:ascii="Times New Roman" w:hAnsi="Times New Roman" w:cs="Times New Roman"/>
          <w:b/>
          <w:sz w:val="24"/>
          <w:szCs w:val="24"/>
        </w:rPr>
      </w:pPr>
    </w:p>
    <w:p w:rsidR="005753DD" w:rsidRDefault="005753DD" w:rsidP="00FB2FA2">
      <w:pPr>
        <w:pStyle w:val="Prrafodelista"/>
        <w:numPr>
          <w:ilvl w:val="1"/>
          <w:numId w:val="5"/>
        </w:numPr>
        <w:autoSpaceDE w:val="0"/>
        <w:autoSpaceDN w:val="0"/>
        <w:adjustRightInd w:val="0"/>
        <w:spacing w:after="0" w:line="240" w:lineRule="auto"/>
        <w:jc w:val="both"/>
        <w:textAlignment w:val="center"/>
        <w:rPr>
          <w:rFonts w:ascii="Times New Roman" w:hAnsi="Times New Roman" w:cs="Times New Roman"/>
          <w:b/>
          <w:color w:val="000000"/>
          <w:sz w:val="24"/>
          <w:szCs w:val="24"/>
          <w:lang w:val="es-ES_tradnl"/>
        </w:rPr>
      </w:pPr>
      <w:r w:rsidRPr="00FB2FA2">
        <w:rPr>
          <w:rFonts w:ascii="Times New Roman" w:hAnsi="Times New Roman" w:cs="Times New Roman"/>
          <w:b/>
          <w:color w:val="000000"/>
          <w:sz w:val="24"/>
          <w:szCs w:val="24"/>
        </w:rPr>
        <w:t>Título I.</w:t>
      </w:r>
      <w:r w:rsidR="00061FDA">
        <w:rPr>
          <w:rFonts w:ascii="Times New Roman" w:hAnsi="Times New Roman" w:cs="Times New Roman"/>
          <w:b/>
          <w:color w:val="000000"/>
          <w:sz w:val="24"/>
          <w:szCs w:val="24"/>
        </w:rPr>
        <w:t xml:space="preserve"> </w:t>
      </w:r>
      <w:r w:rsidRPr="00FB2FA2">
        <w:rPr>
          <w:rFonts w:ascii="Times New Roman" w:hAnsi="Times New Roman" w:cs="Times New Roman"/>
          <w:b/>
          <w:color w:val="000000"/>
          <w:sz w:val="24"/>
          <w:szCs w:val="24"/>
          <w:lang w:val="es-ES_tradnl"/>
        </w:rPr>
        <w:t>Nueva unidad monetaria y unidad de cuenta del país</w:t>
      </w:r>
    </w:p>
    <w:p w:rsidR="00322086" w:rsidRDefault="00322086" w:rsidP="00FB2FA2">
      <w:pPr>
        <w:autoSpaceDE w:val="0"/>
        <w:autoSpaceDN w:val="0"/>
        <w:adjustRightInd w:val="0"/>
        <w:jc w:val="both"/>
        <w:rPr>
          <w:rFonts w:eastAsiaTheme="minorHAnsi"/>
          <w:color w:val="000000"/>
        </w:rPr>
      </w:pPr>
    </w:p>
    <w:p w:rsidR="005753DD" w:rsidRPr="00FB2FA2" w:rsidRDefault="005753DD" w:rsidP="00FB2FA2">
      <w:pPr>
        <w:autoSpaceDE w:val="0"/>
        <w:autoSpaceDN w:val="0"/>
        <w:adjustRightInd w:val="0"/>
        <w:jc w:val="both"/>
        <w:rPr>
          <w:rFonts w:eastAsiaTheme="minorHAnsi"/>
          <w:color w:val="000000"/>
        </w:rPr>
      </w:pPr>
      <w:r w:rsidRPr="00FB2FA2">
        <w:rPr>
          <w:rFonts w:eastAsiaTheme="minorHAnsi"/>
          <w:color w:val="000000"/>
        </w:rPr>
        <w:t xml:space="preserve">Dentro de este título se encuentra la </w:t>
      </w:r>
      <w:r w:rsidR="00EC45DE" w:rsidRPr="00FB2FA2">
        <w:rPr>
          <w:rFonts w:eastAsiaTheme="minorHAnsi"/>
          <w:color w:val="000000"/>
        </w:rPr>
        <w:t>disposici</w:t>
      </w:r>
      <w:r w:rsidR="00EC45DE">
        <w:rPr>
          <w:rFonts w:eastAsiaTheme="minorHAnsi"/>
          <w:color w:val="000000"/>
        </w:rPr>
        <w:t>ón</w:t>
      </w:r>
      <w:r w:rsidR="00061FDA">
        <w:rPr>
          <w:rFonts w:eastAsiaTheme="minorHAnsi"/>
          <w:color w:val="000000"/>
        </w:rPr>
        <w:t xml:space="preserve"> </w:t>
      </w:r>
      <w:r w:rsidRPr="00FB2FA2">
        <w:rPr>
          <w:rFonts w:eastAsiaTheme="minorHAnsi"/>
          <w:color w:val="000000"/>
        </w:rPr>
        <w:t>que crea la nueva unidad monetaria y unidad de cuenta en Colombia denominada “Nuevo Peso</w:t>
      </w:r>
      <w:r w:rsidRPr="00FB2FA2">
        <w:rPr>
          <w:rFonts w:eastAsiaTheme="minorHAnsi"/>
          <w:i/>
          <w:iCs/>
          <w:color w:val="000000"/>
        </w:rPr>
        <w:t>”</w:t>
      </w:r>
      <w:r w:rsidRPr="00FB2FA2">
        <w:rPr>
          <w:rFonts w:eastAsiaTheme="minorHAnsi"/>
          <w:color w:val="000000"/>
        </w:rPr>
        <w:t xml:space="preserve">, que es equivalente a mil pesos de la actual unidad monetaria y unidad de cuenta del país denominada “Peso” </w:t>
      </w:r>
      <w:r w:rsidR="00EC45DE">
        <w:rPr>
          <w:rFonts w:eastAsiaTheme="minorHAnsi"/>
          <w:color w:val="000000"/>
        </w:rPr>
        <w:t>y</w:t>
      </w:r>
      <w:r w:rsidR="00061FDA">
        <w:rPr>
          <w:rFonts w:eastAsiaTheme="minorHAnsi"/>
          <w:color w:val="000000"/>
        </w:rPr>
        <w:t xml:space="preserve"> </w:t>
      </w:r>
      <w:r w:rsidRPr="00FB2FA2">
        <w:rPr>
          <w:rFonts w:eastAsiaTheme="minorHAnsi"/>
          <w:color w:val="000000"/>
        </w:rPr>
        <w:t>establece que la nueva unidad se dividirá en centavos.</w:t>
      </w:r>
    </w:p>
    <w:p w:rsidR="00E74BA3" w:rsidRPr="00FB2FA2" w:rsidRDefault="00E74BA3" w:rsidP="00FB2FA2">
      <w:pPr>
        <w:autoSpaceDE w:val="0"/>
        <w:autoSpaceDN w:val="0"/>
        <w:adjustRightInd w:val="0"/>
        <w:jc w:val="both"/>
        <w:rPr>
          <w:rFonts w:eastAsiaTheme="minorHAnsi"/>
          <w:color w:val="000000"/>
        </w:rPr>
      </w:pPr>
    </w:p>
    <w:p w:rsidR="005753DD" w:rsidRPr="00FB2FA2" w:rsidRDefault="00EC45DE" w:rsidP="00FB2FA2">
      <w:pPr>
        <w:autoSpaceDE w:val="0"/>
        <w:autoSpaceDN w:val="0"/>
        <w:adjustRightInd w:val="0"/>
        <w:jc w:val="both"/>
        <w:rPr>
          <w:rFonts w:eastAsiaTheme="minorHAnsi"/>
          <w:color w:val="000000"/>
        </w:rPr>
      </w:pPr>
      <w:r>
        <w:rPr>
          <w:rFonts w:eastAsiaTheme="minorHAnsi"/>
          <w:color w:val="000000"/>
        </w:rPr>
        <w:t>En tal sentido, s</w:t>
      </w:r>
      <w:r w:rsidRPr="00FB2FA2">
        <w:rPr>
          <w:rFonts w:eastAsiaTheme="minorHAnsi"/>
          <w:color w:val="000000"/>
        </w:rPr>
        <w:t xml:space="preserve">e </w:t>
      </w:r>
      <w:r w:rsidR="00E74BA3" w:rsidRPr="00FB2FA2">
        <w:rPr>
          <w:rFonts w:eastAsiaTheme="minorHAnsi"/>
          <w:color w:val="000000"/>
        </w:rPr>
        <w:t xml:space="preserve">menciona </w:t>
      </w:r>
      <w:r w:rsidR="005753DD" w:rsidRPr="00FB2FA2">
        <w:rPr>
          <w:rFonts w:eastAsiaTheme="minorHAnsi"/>
          <w:color w:val="000000"/>
        </w:rPr>
        <w:t xml:space="preserve">que </w:t>
      </w:r>
      <w:r w:rsidR="00322086">
        <w:rPr>
          <w:rFonts w:eastAsiaTheme="minorHAnsi"/>
          <w:color w:val="000000"/>
        </w:rPr>
        <w:t xml:space="preserve">el </w:t>
      </w:r>
      <w:r w:rsidR="005753DD" w:rsidRPr="00FB2FA2">
        <w:rPr>
          <w:rFonts w:eastAsiaTheme="minorHAnsi"/>
          <w:color w:val="000000"/>
        </w:rPr>
        <w:t xml:space="preserve">Banco de la República </w:t>
      </w:r>
      <w:r w:rsidR="00322086">
        <w:rPr>
          <w:rFonts w:eastAsiaTheme="minorHAnsi"/>
          <w:color w:val="000000"/>
        </w:rPr>
        <w:t>y</w:t>
      </w:r>
      <w:r w:rsidR="00061FDA">
        <w:rPr>
          <w:rFonts w:eastAsiaTheme="minorHAnsi"/>
          <w:color w:val="000000"/>
        </w:rPr>
        <w:t xml:space="preserve"> </w:t>
      </w:r>
      <w:r w:rsidR="00E74BA3" w:rsidRPr="00FB2FA2">
        <w:rPr>
          <w:rFonts w:eastAsiaTheme="minorHAnsi"/>
          <w:color w:val="000000"/>
        </w:rPr>
        <w:t xml:space="preserve">su </w:t>
      </w:r>
      <w:r w:rsidR="005753DD" w:rsidRPr="00FB2FA2">
        <w:rPr>
          <w:rFonts w:eastAsiaTheme="minorHAnsi"/>
          <w:color w:val="000000"/>
        </w:rPr>
        <w:t>Junta</w:t>
      </w:r>
      <w:r w:rsidR="00322086">
        <w:rPr>
          <w:rFonts w:eastAsiaTheme="minorHAnsi"/>
          <w:color w:val="000000"/>
        </w:rPr>
        <w:t xml:space="preserve"> Directiva tendrán frente al “Nuevo Peso” las mismas </w:t>
      </w:r>
      <w:r w:rsidR="00322086" w:rsidRPr="00FB2FA2">
        <w:rPr>
          <w:rFonts w:eastAsiaTheme="minorHAnsi"/>
          <w:color w:val="000000"/>
        </w:rPr>
        <w:t xml:space="preserve">atribuciones </w:t>
      </w:r>
      <w:r w:rsidR="005753DD" w:rsidRPr="00FB2FA2">
        <w:rPr>
          <w:rFonts w:eastAsiaTheme="minorHAnsi"/>
          <w:color w:val="000000"/>
        </w:rPr>
        <w:t xml:space="preserve">emanadas de la </w:t>
      </w:r>
      <w:r w:rsidR="00E74BA3" w:rsidRPr="00FB2FA2">
        <w:rPr>
          <w:rFonts w:eastAsiaTheme="minorHAnsi"/>
          <w:color w:val="000000"/>
        </w:rPr>
        <w:t>Constitución Política de Colombia y de la Ley 31 de 1992</w:t>
      </w:r>
      <w:r w:rsidR="00322086">
        <w:rPr>
          <w:rFonts w:eastAsiaTheme="minorHAnsi"/>
          <w:color w:val="000000"/>
        </w:rPr>
        <w:t>.</w:t>
      </w:r>
    </w:p>
    <w:p w:rsidR="000B2BE6" w:rsidRDefault="000B2BE6" w:rsidP="000B2BE6">
      <w:pPr>
        <w:adjustRightInd w:val="0"/>
        <w:jc w:val="both"/>
        <w:textAlignment w:val="center"/>
        <w:rPr>
          <w:rFonts w:eastAsiaTheme="minorHAnsi"/>
          <w:color w:val="000000"/>
        </w:rPr>
      </w:pPr>
    </w:p>
    <w:p w:rsidR="000B2BE6" w:rsidRPr="000B2BE6" w:rsidRDefault="00EC45DE" w:rsidP="000B2BE6">
      <w:pPr>
        <w:adjustRightInd w:val="0"/>
        <w:jc w:val="both"/>
        <w:textAlignment w:val="center"/>
        <w:rPr>
          <w:lang w:val="es-ES_tradnl"/>
        </w:rPr>
      </w:pPr>
      <w:r>
        <w:rPr>
          <w:lang w:val="es-ES_tradnl"/>
        </w:rPr>
        <w:t xml:space="preserve">Adicionalmente </w:t>
      </w:r>
      <w:r w:rsidR="000B2BE6" w:rsidRPr="000B2BE6">
        <w:rPr>
          <w:lang w:val="es-ES_tradnl"/>
        </w:rPr>
        <w:t>establece que</w:t>
      </w:r>
      <w:r w:rsidR="00061FDA">
        <w:rPr>
          <w:lang w:val="es-ES_tradnl"/>
        </w:rPr>
        <w:t xml:space="preserve"> </w:t>
      </w:r>
      <w:r w:rsidR="000B2BE6">
        <w:rPr>
          <w:lang w:val="es-ES_tradnl"/>
        </w:rPr>
        <w:t>l</w:t>
      </w:r>
      <w:r w:rsidR="000B2BE6" w:rsidRPr="000B2BE6">
        <w:rPr>
          <w:lang w:val="es-ES_tradnl"/>
        </w:rPr>
        <w:t xml:space="preserve">os billetes y monedas metálicas que no representen fracciones, de la nueva unidad monetaria y unidad de cuenta del país, deberán contener la expresión “Nuevo Peso” o “Nuevos Pesos”, según corresponda, o el símbolo “N$”. </w:t>
      </w:r>
    </w:p>
    <w:p w:rsidR="000B2BE6" w:rsidRPr="000B2BE6" w:rsidRDefault="000B2BE6" w:rsidP="000B2BE6">
      <w:pPr>
        <w:adjustRightInd w:val="0"/>
        <w:jc w:val="both"/>
        <w:textAlignment w:val="center"/>
        <w:rPr>
          <w:lang w:val="es-ES_tradnl"/>
        </w:rPr>
      </w:pPr>
    </w:p>
    <w:p w:rsidR="005753DD" w:rsidRPr="00FB2FA2" w:rsidRDefault="000B2BE6" w:rsidP="000B2BE6">
      <w:pPr>
        <w:adjustRightInd w:val="0"/>
        <w:jc w:val="both"/>
        <w:textAlignment w:val="center"/>
        <w:rPr>
          <w:color w:val="000000"/>
          <w:lang w:val="es-ES_tradnl"/>
        </w:rPr>
      </w:pPr>
      <w:r>
        <w:rPr>
          <w:lang w:val="es-ES_tradnl"/>
        </w:rPr>
        <w:t>Por su parte, l</w:t>
      </w:r>
      <w:r w:rsidRPr="000B2BE6">
        <w:rPr>
          <w:lang w:val="es-ES_tradnl"/>
        </w:rPr>
        <w:t>as monedas metálicas que representen fracciones de la nueva unidad monetaria y unidad de cuenta del país contendrán la expresión “Centavo” o “Centavos”, según corresponda, o su símbolo “C” sin anteponer la palabra “Nuevo” o “Nuevos”, según corresponda, ni la abreviatura “N”.</w:t>
      </w:r>
    </w:p>
    <w:p w:rsidR="00E74BA3" w:rsidRPr="00322086" w:rsidRDefault="00E74BA3" w:rsidP="00FB2FA2">
      <w:pPr>
        <w:adjustRightInd w:val="0"/>
        <w:jc w:val="both"/>
        <w:textAlignment w:val="center"/>
        <w:rPr>
          <w:color w:val="000000"/>
          <w:lang w:val="es-ES_tradnl"/>
        </w:rPr>
      </w:pPr>
    </w:p>
    <w:p w:rsidR="005C3433" w:rsidRDefault="000B2BE6" w:rsidP="005C3433">
      <w:pPr>
        <w:adjustRightInd w:val="0"/>
        <w:jc w:val="both"/>
        <w:textAlignment w:val="center"/>
      </w:pPr>
      <w:r>
        <w:rPr>
          <w:color w:val="000000"/>
          <w:lang w:val="es-ES_tradnl"/>
        </w:rPr>
        <w:t xml:space="preserve">Así mismo, </w:t>
      </w:r>
      <w:r w:rsidR="00A775F9">
        <w:rPr>
          <w:color w:val="000000"/>
          <w:lang w:val="es-ES_tradnl"/>
        </w:rPr>
        <w:t>s</w:t>
      </w:r>
      <w:r w:rsidR="00322086" w:rsidRPr="00322086">
        <w:rPr>
          <w:color w:val="000000"/>
          <w:lang w:val="es-ES_tradnl"/>
        </w:rPr>
        <w:t xml:space="preserve">e </w:t>
      </w:r>
      <w:r w:rsidR="00A775F9">
        <w:rPr>
          <w:color w:val="000000"/>
          <w:lang w:val="es-ES_tradnl"/>
        </w:rPr>
        <w:t xml:space="preserve">indica </w:t>
      </w:r>
      <w:r w:rsidR="00322086" w:rsidRPr="00322086">
        <w:rPr>
          <w:color w:val="000000"/>
          <w:lang w:val="es-ES_tradnl"/>
        </w:rPr>
        <w:t xml:space="preserve">que </w:t>
      </w:r>
      <w:r w:rsidR="00FD48E3">
        <w:rPr>
          <w:color w:val="000000"/>
          <w:lang w:val="es-ES_tradnl"/>
        </w:rPr>
        <w:t>la equivalencia de l</w:t>
      </w:r>
      <w:r>
        <w:rPr>
          <w:color w:val="000000"/>
          <w:lang w:val="es-ES_tradnl"/>
        </w:rPr>
        <w:t xml:space="preserve">os “Pesos” a los “Nuevos Pesos” </w:t>
      </w:r>
      <w:r w:rsidR="005C3433">
        <w:rPr>
          <w:color w:val="000000"/>
          <w:lang w:val="es-ES_tradnl"/>
        </w:rPr>
        <w:t>será el valor de l</w:t>
      </w:r>
      <w:r>
        <w:rPr>
          <w:color w:val="000000"/>
          <w:lang w:val="es-ES_tradnl"/>
        </w:rPr>
        <w:t>os</w:t>
      </w:r>
      <w:r w:rsidR="005C3433">
        <w:rPr>
          <w:color w:val="000000"/>
          <w:lang w:val="es-ES_tradnl"/>
        </w:rPr>
        <w:t xml:space="preserve"> primer</w:t>
      </w:r>
      <w:r>
        <w:rPr>
          <w:color w:val="000000"/>
          <w:lang w:val="es-ES_tradnl"/>
        </w:rPr>
        <w:t>os</w:t>
      </w:r>
      <w:r w:rsidR="005C3433">
        <w:rPr>
          <w:color w:val="000000"/>
          <w:lang w:val="es-ES_tradnl"/>
        </w:rPr>
        <w:t xml:space="preserve"> dividido por </w:t>
      </w:r>
      <w:r w:rsidR="00972D88">
        <w:rPr>
          <w:color w:val="000000"/>
          <w:lang w:val="es-ES_tradnl"/>
        </w:rPr>
        <w:t>mil</w:t>
      </w:r>
      <w:r w:rsidR="005C3433">
        <w:rPr>
          <w:color w:val="000000"/>
          <w:lang w:val="es-ES_tradnl"/>
        </w:rPr>
        <w:t xml:space="preserve"> y la cifra resultante se expresará con dos decimales.</w:t>
      </w:r>
      <w:r w:rsidR="00061FDA">
        <w:rPr>
          <w:color w:val="000000"/>
          <w:lang w:val="es-ES_tradnl"/>
        </w:rPr>
        <w:t xml:space="preserve"> </w:t>
      </w:r>
      <w:r w:rsidR="00EC45DE">
        <w:rPr>
          <w:color w:val="000000"/>
          <w:lang w:val="es-ES_tradnl"/>
        </w:rPr>
        <w:t>Al respecto, indica que u</w:t>
      </w:r>
      <w:r w:rsidR="005C3433">
        <w:rPr>
          <w:color w:val="000000"/>
          <w:lang w:val="es-ES_tradnl"/>
        </w:rPr>
        <w:t xml:space="preserve">na vez realizadas las conversiones y si es existiera una </w:t>
      </w:r>
      <w:r w:rsidR="005C3433" w:rsidRPr="00EE6305">
        <w:t>tercera cifra decimal igual o superior a cinco, el redondeo del segundo decimal se efectuará a la cifra superior. Si e</w:t>
      </w:r>
      <w:r w:rsidR="005C3433">
        <w:t xml:space="preserve">ste fuera </w:t>
      </w:r>
      <w:r w:rsidR="005C3433" w:rsidRPr="00EE6305">
        <w:t xml:space="preserve">menor, el </w:t>
      </w:r>
      <w:r w:rsidR="005C3433">
        <w:t xml:space="preserve">valor del </w:t>
      </w:r>
      <w:r w:rsidR="005C3433" w:rsidRPr="00EE6305">
        <w:t xml:space="preserve">segundo decimal </w:t>
      </w:r>
      <w:r w:rsidR="005C3433">
        <w:t>será el mismo</w:t>
      </w:r>
      <w:r w:rsidR="005C3433" w:rsidRPr="00554D3A">
        <w:t>.</w:t>
      </w:r>
    </w:p>
    <w:p w:rsidR="00AF5E7C" w:rsidRPr="003C0AD9" w:rsidRDefault="00AF5E7C" w:rsidP="003C0AD9">
      <w:pPr>
        <w:adjustRightInd w:val="0"/>
        <w:jc w:val="both"/>
        <w:textAlignment w:val="center"/>
      </w:pPr>
    </w:p>
    <w:p w:rsidR="00C40B71" w:rsidRDefault="00AF5E7C" w:rsidP="00C40B71">
      <w:pPr>
        <w:adjustRightInd w:val="0"/>
        <w:jc w:val="both"/>
        <w:textAlignment w:val="center"/>
        <w:rPr>
          <w:lang w:val="es-ES_tradnl"/>
        </w:rPr>
      </w:pPr>
      <w:r w:rsidRPr="00057BE7">
        <w:rPr>
          <w:lang w:val="es-ES_tradnl"/>
        </w:rPr>
        <w:t>Finalmente</w:t>
      </w:r>
      <w:r>
        <w:rPr>
          <w:lang w:val="es-ES_tradnl"/>
        </w:rPr>
        <w:t xml:space="preserve"> y con el fin de brindar protección a los consumidores de bienes y servicios en la economía, se ordena a la</w:t>
      </w:r>
      <w:r w:rsidR="00061FDA">
        <w:rPr>
          <w:lang w:val="es-ES_tradnl"/>
        </w:rPr>
        <w:t xml:space="preserve"> </w:t>
      </w:r>
      <w:r>
        <w:rPr>
          <w:lang w:val="es-ES_tradnl"/>
        </w:rPr>
        <w:t xml:space="preserve">Superintendencia Financiera de Colombia y </w:t>
      </w:r>
      <w:r w:rsidR="00103398">
        <w:rPr>
          <w:lang w:val="es-ES_tradnl"/>
        </w:rPr>
        <w:t xml:space="preserve">a </w:t>
      </w:r>
      <w:r>
        <w:rPr>
          <w:lang w:val="es-ES_tradnl"/>
        </w:rPr>
        <w:t xml:space="preserve">la Superintendencia de Industria y Comercio, </w:t>
      </w:r>
      <w:r w:rsidR="00103398">
        <w:rPr>
          <w:lang w:val="es-ES_tradnl"/>
        </w:rPr>
        <w:lastRenderedPageBreak/>
        <w:t xml:space="preserve">dentro de la órbita de sus competencias, </w:t>
      </w:r>
      <w:r w:rsidR="00C40B71">
        <w:rPr>
          <w:lang w:val="es-ES_tradnl"/>
        </w:rPr>
        <w:t xml:space="preserve">a establecer </w:t>
      </w:r>
      <w:r>
        <w:rPr>
          <w:lang w:val="es-ES_tradnl"/>
        </w:rPr>
        <w:t xml:space="preserve">un régimen de protección </w:t>
      </w:r>
      <w:r w:rsidR="00C40B71">
        <w:rPr>
          <w:lang w:val="es-ES_tradnl"/>
        </w:rPr>
        <w:t xml:space="preserve">de los derechos de los consumidores y usuarios, en </w:t>
      </w:r>
      <w:r w:rsidR="007C7A36">
        <w:rPr>
          <w:lang w:val="es-ES_tradnl"/>
        </w:rPr>
        <w:t xml:space="preserve">el que </w:t>
      </w:r>
      <w:r w:rsidR="00C40B71">
        <w:rPr>
          <w:lang w:val="es-ES_tradnl"/>
        </w:rPr>
        <w:t xml:space="preserve">se asegure entre otros aspectos, </w:t>
      </w:r>
      <w:r w:rsidR="00C40B71" w:rsidRPr="00AE72D8">
        <w:rPr>
          <w:lang w:val="es-ES_tradnl"/>
        </w:rPr>
        <w:t>la adecuada información a dichos consumidores respecto de la equivalencia entre las unidades monetarias, así como el adecuado cumplimiento del proceso de redondeo.</w:t>
      </w:r>
    </w:p>
    <w:p w:rsidR="00C40B71" w:rsidRDefault="00C40B71" w:rsidP="00AF5E7C">
      <w:pPr>
        <w:adjustRightInd w:val="0"/>
        <w:jc w:val="both"/>
        <w:textAlignment w:val="center"/>
        <w:rPr>
          <w:lang w:val="es-ES_tradnl"/>
        </w:rPr>
      </w:pPr>
    </w:p>
    <w:p w:rsidR="00AF5E7C" w:rsidRPr="003C0AD9" w:rsidRDefault="00AF5E7C" w:rsidP="005C3433">
      <w:pPr>
        <w:adjustRightInd w:val="0"/>
        <w:jc w:val="both"/>
        <w:textAlignment w:val="center"/>
        <w:rPr>
          <w:lang w:val="es-ES_tradnl"/>
        </w:rPr>
      </w:pPr>
    </w:p>
    <w:p w:rsidR="00322086" w:rsidRPr="00C2232D" w:rsidRDefault="00322086" w:rsidP="00322086">
      <w:pPr>
        <w:pStyle w:val="Prrafodelista"/>
        <w:numPr>
          <w:ilvl w:val="1"/>
          <w:numId w:val="5"/>
        </w:numPr>
        <w:autoSpaceDE w:val="0"/>
        <w:autoSpaceDN w:val="0"/>
        <w:adjustRightInd w:val="0"/>
        <w:spacing w:after="0" w:line="240" w:lineRule="auto"/>
        <w:jc w:val="both"/>
        <w:textAlignment w:val="center"/>
        <w:rPr>
          <w:rFonts w:ascii="Times New Roman" w:hAnsi="Times New Roman" w:cs="Times New Roman"/>
          <w:b/>
          <w:color w:val="000000"/>
          <w:sz w:val="24"/>
          <w:szCs w:val="24"/>
          <w:lang w:val="es-ES_tradnl"/>
        </w:rPr>
      </w:pPr>
      <w:r w:rsidRPr="00FB2FA2">
        <w:rPr>
          <w:rFonts w:ascii="Times New Roman" w:hAnsi="Times New Roman" w:cs="Times New Roman"/>
          <w:b/>
          <w:color w:val="000000"/>
          <w:sz w:val="24"/>
          <w:szCs w:val="24"/>
        </w:rPr>
        <w:t xml:space="preserve">Título </w:t>
      </w:r>
      <w:r>
        <w:rPr>
          <w:rFonts w:ascii="Times New Roman" w:hAnsi="Times New Roman" w:cs="Times New Roman"/>
          <w:b/>
          <w:color w:val="000000"/>
          <w:sz w:val="24"/>
          <w:szCs w:val="24"/>
        </w:rPr>
        <w:t>I</w:t>
      </w:r>
      <w:r w:rsidRPr="00FB2FA2">
        <w:rPr>
          <w:rFonts w:ascii="Times New Roman" w:hAnsi="Times New Roman" w:cs="Times New Roman"/>
          <w:b/>
          <w:color w:val="000000"/>
          <w:sz w:val="24"/>
          <w:szCs w:val="24"/>
        </w:rPr>
        <w:t>I.</w:t>
      </w:r>
      <w:r w:rsidR="00061FDA">
        <w:rPr>
          <w:rFonts w:ascii="Times New Roman" w:hAnsi="Times New Roman" w:cs="Times New Roman"/>
          <w:b/>
          <w:color w:val="000000"/>
          <w:sz w:val="24"/>
          <w:szCs w:val="24"/>
        </w:rPr>
        <w:t xml:space="preserve"> </w:t>
      </w:r>
      <w:r w:rsidRPr="00322086">
        <w:rPr>
          <w:rFonts w:ascii="Times New Roman" w:hAnsi="Times New Roman" w:cs="Times New Roman"/>
          <w:b/>
          <w:color w:val="000000"/>
          <w:sz w:val="24"/>
          <w:szCs w:val="24"/>
        </w:rPr>
        <w:t>Período de Transición</w:t>
      </w:r>
    </w:p>
    <w:p w:rsidR="005753DD" w:rsidRDefault="005753DD" w:rsidP="00FB2FA2">
      <w:pPr>
        <w:autoSpaceDE w:val="0"/>
        <w:autoSpaceDN w:val="0"/>
        <w:adjustRightInd w:val="0"/>
        <w:jc w:val="both"/>
        <w:rPr>
          <w:rFonts w:eastAsiaTheme="minorHAnsi"/>
          <w:color w:val="000000"/>
          <w:lang w:eastAsia="en-US"/>
        </w:rPr>
      </w:pPr>
    </w:p>
    <w:p w:rsidR="00C2232D" w:rsidRDefault="00322086" w:rsidP="00322086">
      <w:pPr>
        <w:pStyle w:val="NormalWeb"/>
        <w:spacing w:before="0" w:beforeAutospacing="0" w:after="0" w:afterAutospacing="0"/>
        <w:jc w:val="both"/>
        <w:rPr>
          <w:rFonts w:eastAsiaTheme="minorHAnsi"/>
          <w:color w:val="000000"/>
          <w:lang w:eastAsia="en-US"/>
        </w:rPr>
      </w:pPr>
      <w:r w:rsidRPr="00FB2FA2">
        <w:rPr>
          <w:rFonts w:eastAsiaTheme="minorHAnsi"/>
          <w:color w:val="000000"/>
          <w:lang w:eastAsia="en-US"/>
        </w:rPr>
        <w:t xml:space="preserve">Se establece </w:t>
      </w:r>
      <w:r w:rsidR="005C3433">
        <w:rPr>
          <w:rFonts w:eastAsiaTheme="minorHAnsi"/>
          <w:color w:val="000000"/>
          <w:lang w:eastAsia="en-US"/>
        </w:rPr>
        <w:t xml:space="preserve">que existirá </w:t>
      </w:r>
      <w:r w:rsidRPr="00FB2FA2">
        <w:rPr>
          <w:rFonts w:eastAsiaTheme="minorHAnsi"/>
          <w:color w:val="000000"/>
          <w:lang w:eastAsia="en-US"/>
        </w:rPr>
        <w:t>un período de transición</w:t>
      </w:r>
      <w:r w:rsidR="00C40B71">
        <w:rPr>
          <w:rFonts w:eastAsiaTheme="minorHAnsi"/>
          <w:color w:val="000000"/>
          <w:lang w:eastAsia="en-US"/>
        </w:rPr>
        <w:t xml:space="preserve">, </w:t>
      </w:r>
      <w:r>
        <w:rPr>
          <w:rFonts w:eastAsiaTheme="minorHAnsi"/>
          <w:color w:val="000000"/>
          <w:lang w:eastAsia="en-US"/>
        </w:rPr>
        <w:t xml:space="preserve">durante </w:t>
      </w:r>
      <w:r w:rsidRPr="00FB2FA2">
        <w:rPr>
          <w:rFonts w:eastAsiaTheme="minorHAnsi"/>
          <w:color w:val="000000"/>
          <w:lang w:eastAsia="en-US"/>
        </w:rPr>
        <w:t>el cual circularán simultáneamente ambas denominaciones</w:t>
      </w:r>
      <w:r w:rsidR="00C2232D">
        <w:rPr>
          <w:rFonts w:eastAsiaTheme="minorHAnsi"/>
          <w:color w:val="000000"/>
          <w:lang w:eastAsia="en-US"/>
        </w:rPr>
        <w:t xml:space="preserve"> (“Peso” y “Nuevo Peso”). Dicho período permitirá </w:t>
      </w:r>
      <w:r w:rsidRPr="00FB2FA2">
        <w:rPr>
          <w:rFonts w:eastAsiaTheme="minorHAnsi"/>
          <w:color w:val="000000"/>
          <w:lang w:eastAsia="en-US"/>
        </w:rPr>
        <w:t xml:space="preserve">emprender los procedimientos necesarios para el cambio en las monedas y billetes que circulan en el país, así como las </w:t>
      </w:r>
      <w:r w:rsidR="00C2232D">
        <w:rPr>
          <w:rFonts w:eastAsiaTheme="minorHAnsi"/>
          <w:color w:val="000000"/>
          <w:lang w:eastAsia="en-US"/>
        </w:rPr>
        <w:t>campañas educativas necesarias</w:t>
      </w:r>
      <w:r w:rsidR="00103398">
        <w:rPr>
          <w:rFonts w:eastAsiaTheme="minorHAnsi"/>
          <w:color w:val="000000"/>
          <w:lang w:eastAsia="en-US"/>
        </w:rPr>
        <w:t xml:space="preserve"> para adaptarse al cambio</w:t>
      </w:r>
      <w:r w:rsidR="00C2232D">
        <w:rPr>
          <w:rFonts w:eastAsiaTheme="minorHAnsi"/>
          <w:color w:val="000000"/>
          <w:lang w:eastAsia="en-US"/>
        </w:rPr>
        <w:t>.</w:t>
      </w:r>
    </w:p>
    <w:p w:rsidR="00322086" w:rsidRPr="00FB2FA2" w:rsidRDefault="00322086" w:rsidP="00322086">
      <w:pPr>
        <w:pStyle w:val="NormalWeb"/>
        <w:spacing w:before="0" w:beforeAutospacing="0" w:after="0" w:afterAutospacing="0"/>
        <w:jc w:val="both"/>
        <w:rPr>
          <w:rFonts w:eastAsiaTheme="minorHAnsi"/>
          <w:color w:val="000000"/>
          <w:lang w:eastAsia="en-US"/>
        </w:rPr>
      </w:pPr>
    </w:p>
    <w:p w:rsidR="004614D7" w:rsidRDefault="00A775F9" w:rsidP="00322086">
      <w:pPr>
        <w:autoSpaceDE w:val="0"/>
        <w:autoSpaceDN w:val="0"/>
        <w:adjustRightInd w:val="0"/>
        <w:jc w:val="both"/>
        <w:rPr>
          <w:rFonts w:eastAsiaTheme="minorHAnsi"/>
          <w:color w:val="000000"/>
          <w:lang w:eastAsia="en-US"/>
        </w:rPr>
      </w:pPr>
      <w:r w:rsidRPr="00A775F9">
        <w:rPr>
          <w:rFonts w:eastAsiaTheme="minorHAnsi"/>
          <w:color w:val="000000"/>
          <w:lang w:eastAsia="en-US"/>
        </w:rPr>
        <w:t xml:space="preserve">Este </w:t>
      </w:r>
      <w:r w:rsidR="00176AA5" w:rsidRPr="00A775F9">
        <w:rPr>
          <w:rFonts w:eastAsiaTheme="minorHAnsi"/>
          <w:color w:val="000000"/>
          <w:lang w:eastAsia="en-US"/>
        </w:rPr>
        <w:t xml:space="preserve">período de transición </w:t>
      </w:r>
      <w:r w:rsidR="00103398">
        <w:rPr>
          <w:rFonts w:eastAsiaTheme="minorHAnsi"/>
          <w:color w:val="000000"/>
          <w:lang w:eastAsia="en-US"/>
        </w:rPr>
        <w:t>iniciará</w:t>
      </w:r>
      <w:r w:rsidR="004E491D">
        <w:rPr>
          <w:rFonts w:eastAsiaTheme="minorHAnsi"/>
          <w:color w:val="000000"/>
          <w:lang w:eastAsia="en-US"/>
        </w:rPr>
        <w:t xml:space="preserve"> a partir de</w:t>
      </w:r>
      <w:r w:rsidR="00E13704">
        <w:rPr>
          <w:rFonts w:eastAsiaTheme="minorHAnsi"/>
          <w:color w:val="000000"/>
          <w:lang w:eastAsia="en-US"/>
        </w:rPr>
        <w:t xml:space="preserve">l primero de enero de 2020 </w:t>
      </w:r>
      <w:r w:rsidR="00176AA5" w:rsidRPr="00A775F9">
        <w:rPr>
          <w:rFonts w:eastAsiaTheme="minorHAnsi"/>
          <w:color w:val="000000"/>
          <w:lang w:eastAsia="en-US"/>
        </w:rPr>
        <w:t xml:space="preserve">y tendrá una duración de </w:t>
      </w:r>
      <w:r w:rsidR="00446E30">
        <w:rPr>
          <w:rFonts w:eastAsiaTheme="minorHAnsi"/>
          <w:color w:val="000000"/>
          <w:lang w:eastAsia="en-US"/>
        </w:rPr>
        <w:t>tre</w:t>
      </w:r>
      <w:r w:rsidR="00E13704">
        <w:rPr>
          <w:rFonts w:eastAsiaTheme="minorHAnsi"/>
          <w:color w:val="000000"/>
          <w:lang w:eastAsia="en-US"/>
        </w:rPr>
        <w:t xml:space="preserve">s </w:t>
      </w:r>
      <w:r w:rsidR="004E491D">
        <w:rPr>
          <w:rFonts w:eastAsiaTheme="minorHAnsi"/>
          <w:color w:val="000000"/>
          <w:lang w:eastAsia="en-US"/>
        </w:rPr>
        <w:t>(</w:t>
      </w:r>
      <w:r w:rsidR="00446E30">
        <w:rPr>
          <w:rFonts w:eastAsiaTheme="minorHAnsi"/>
          <w:color w:val="000000"/>
          <w:lang w:eastAsia="en-US"/>
        </w:rPr>
        <w:t>3</w:t>
      </w:r>
      <w:r w:rsidR="004E491D">
        <w:rPr>
          <w:rFonts w:eastAsiaTheme="minorHAnsi"/>
          <w:color w:val="000000"/>
          <w:lang w:eastAsia="en-US"/>
        </w:rPr>
        <w:t>) años</w:t>
      </w:r>
      <w:r w:rsidR="00176AA5" w:rsidRPr="00A775F9">
        <w:rPr>
          <w:rFonts w:eastAsiaTheme="minorHAnsi"/>
          <w:color w:val="000000"/>
          <w:lang w:eastAsia="en-US"/>
        </w:rPr>
        <w:t xml:space="preserve">. No obstante, </w:t>
      </w:r>
      <w:r w:rsidR="004E491D">
        <w:rPr>
          <w:rFonts w:eastAsiaTheme="minorHAnsi"/>
          <w:color w:val="000000"/>
          <w:lang w:eastAsia="en-US"/>
        </w:rPr>
        <w:t xml:space="preserve">se </w:t>
      </w:r>
      <w:r w:rsidR="00176AA5" w:rsidRPr="00A775F9">
        <w:rPr>
          <w:rFonts w:eastAsiaTheme="minorHAnsi"/>
          <w:color w:val="000000"/>
          <w:lang w:eastAsia="en-US"/>
        </w:rPr>
        <w:t>establece un período de transición más amplio</w:t>
      </w:r>
      <w:r w:rsidR="004E491D">
        <w:rPr>
          <w:rFonts w:eastAsiaTheme="minorHAnsi"/>
          <w:color w:val="000000"/>
          <w:lang w:eastAsia="en-US"/>
        </w:rPr>
        <w:t xml:space="preserve"> (duración de cuatro años)</w:t>
      </w:r>
      <w:r w:rsidR="00176AA5" w:rsidRPr="00A775F9">
        <w:rPr>
          <w:rFonts w:eastAsiaTheme="minorHAnsi"/>
          <w:color w:val="000000"/>
          <w:lang w:eastAsia="en-US"/>
        </w:rPr>
        <w:t xml:space="preserve"> para la circulación de las monedas metálicas de </w:t>
      </w:r>
      <w:r w:rsidR="007617F8">
        <w:rPr>
          <w:rFonts w:eastAsiaTheme="minorHAnsi"/>
          <w:color w:val="000000"/>
          <w:lang w:eastAsia="en-US"/>
        </w:rPr>
        <w:t>la actual unidad monetaria denominada</w:t>
      </w:r>
      <w:r w:rsidR="00061FDA">
        <w:rPr>
          <w:rFonts w:eastAsiaTheme="minorHAnsi"/>
          <w:color w:val="000000"/>
          <w:lang w:eastAsia="en-US"/>
        </w:rPr>
        <w:t xml:space="preserve"> </w:t>
      </w:r>
      <w:r w:rsidRPr="00A775F9">
        <w:rPr>
          <w:rFonts w:eastAsiaTheme="minorHAnsi"/>
          <w:color w:val="000000"/>
          <w:lang w:eastAsia="en-US"/>
        </w:rPr>
        <w:t>“Pesos”</w:t>
      </w:r>
      <w:r w:rsidR="00176AA5" w:rsidRPr="00A775F9">
        <w:rPr>
          <w:rFonts w:eastAsiaTheme="minorHAnsi"/>
          <w:color w:val="000000"/>
          <w:lang w:eastAsia="en-US"/>
        </w:rPr>
        <w:t>, teniendo en cuenta los procesos operativos que se requieren para la puesta en circulación de las nuevas monedas metálicas, lo cual hace necesario mantener por más tiempo la circulación de las monedas metálicas actuales.</w:t>
      </w:r>
    </w:p>
    <w:p w:rsidR="00C2232D" w:rsidRDefault="00C2232D" w:rsidP="00C2232D">
      <w:pPr>
        <w:autoSpaceDE w:val="0"/>
        <w:autoSpaceDN w:val="0"/>
        <w:adjustRightInd w:val="0"/>
        <w:jc w:val="both"/>
        <w:rPr>
          <w:rFonts w:eastAsiaTheme="minorHAnsi"/>
          <w:color w:val="000000"/>
        </w:rPr>
      </w:pPr>
    </w:p>
    <w:p w:rsidR="00FD1C2D" w:rsidRPr="00FB2FA2" w:rsidRDefault="00FD1C2D" w:rsidP="00C2232D">
      <w:pPr>
        <w:autoSpaceDE w:val="0"/>
        <w:autoSpaceDN w:val="0"/>
        <w:adjustRightInd w:val="0"/>
        <w:jc w:val="both"/>
        <w:rPr>
          <w:rFonts w:eastAsiaTheme="minorHAnsi"/>
          <w:color w:val="000000"/>
        </w:rPr>
      </w:pPr>
      <w:r>
        <w:rPr>
          <w:rFonts w:eastAsiaTheme="minorHAnsi"/>
          <w:color w:val="000000"/>
        </w:rPr>
        <w:t>Se aclara que durante el mencionado periodo de transición l</w:t>
      </w:r>
      <w:r w:rsidR="00A775F9">
        <w:rPr>
          <w:rFonts w:eastAsiaTheme="minorHAnsi"/>
          <w:color w:val="000000"/>
        </w:rPr>
        <w:t>o</w:t>
      </w:r>
      <w:r>
        <w:rPr>
          <w:rFonts w:eastAsiaTheme="minorHAnsi"/>
          <w:color w:val="000000"/>
        </w:rPr>
        <w:t>s</w:t>
      </w:r>
      <w:r w:rsidR="00A775F9">
        <w:rPr>
          <w:rFonts w:eastAsiaTheme="minorHAnsi"/>
          <w:color w:val="000000"/>
        </w:rPr>
        <w:t xml:space="preserve"> billetes y monedas metálicas </w:t>
      </w:r>
      <w:r w:rsidR="00103398">
        <w:rPr>
          <w:rFonts w:eastAsiaTheme="minorHAnsi"/>
          <w:color w:val="000000"/>
        </w:rPr>
        <w:t xml:space="preserve">denominadas </w:t>
      </w:r>
      <w:r w:rsidR="00A775F9">
        <w:rPr>
          <w:rFonts w:eastAsiaTheme="minorHAnsi"/>
          <w:color w:val="000000"/>
        </w:rPr>
        <w:t xml:space="preserve">en “Pesos” y “Nuevos Pesos” </w:t>
      </w:r>
      <w:r>
        <w:rPr>
          <w:rFonts w:eastAsiaTheme="minorHAnsi"/>
          <w:color w:val="000000"/>
        </w:rPr>
        <w:t>circular</w:t>
      </w:r>
      <w:r w:rsidR="00972D88">
        <w:rPr>
          <w:rFonts w:eastAsiaTheme="minorHAnsi"/>
          <w:color w:val="000000"/>
        </w:rPr>
        <w:t>á</w:t>
      </w:r>
      <w:r>
        <w:rPr>
          <w:rFonts w:eastAsiaTheme="minorHAnsi"/>
          <w:color w:val="000000"/>
        </w:rPr>
        <w:t>n con poder liberatorio</w:t>
      </w:r>
      <w:r w:rsidR="00A775F9">
        <w:rPr>
          <w:rFonts w:eastAsiaTheme="minorHAnsi"/>
          <w:color w:val="000000"/>
        </w:rPr>
        <w:t xml:space="preserve"> ilimitado</w:t>
      </w:r>
      <w:r>
        <w:rPr>
          <w:rFonts w:eastAsiaTheme="minorHAnsi"/>
          <w:color w:val="000000"/>
        </w:rPr>
        <w:t xml:space="preserve">, y todas aquellas obligaciones expresadas en estas dos </w:t>
      </w:r>
      <w:r w:rsidR="00A775F9">
        <w:rPr>
          <w:rFonts w:eastAsiaTheme="minorHAnsi"/>
          <w:color w:val="000000"/>
        </w:rPr>
        <w:t xml:space="preserve">denominaciones </w:t>
      </w:r>
      <w:r>
        <w:rPr>
          <w:rFonts w:eastAsiaTheme="minorHAnsi"/>
          <w:color w:val="000000"/>
        </w:rPr>
        <w:t>se podrán pagar con cualquiera de las dos indistintamente.</w:t>
      </w:r>
    </w:p>
    <w:p w:rsidR="00FD1C2D" w:rsidRPr="00A775F9" w:rsidRDefault="00FD1C2D" w:rsidP="004614D7">
      <w:pPr>
        <w:jc w:val="both"/>
      </w:pPr>
    </w:p>
    <w:p w:rsidR="001E5F26" w:rsidRPr="00354D68" w:rsidRDefault="001E5F26" w:rsidP="004614D7">
      <w:pPr>
        <w:jc w:val="both"/>
        <w:rPr>
          <w:lang w:val="es-ES_tradnl"/>
        </w:rPr>
      </w:pPr>
      <w:r w:rsidRPr="00A775F9">
        <w:rPr>
          <w:lang w:val="es-ES_tradnl"/>
        </w:rPr>
        <w:t>Igualmente, se menciona que l</w:t>
      </w:r>
      <w:r w:rsidR="00742CB2">
        <w:rPr>
          <w:lang w:val="es-ES_tradnl"/>
        </w:rPr>
        <w:t>o</w:t>
      </w:r>
      <w:r w:rsidRPr="00A775F9">
        <w:rPr>
          <w:lang w:val="es-ES_tradnl"/>
        </w:rPr>
        <w:t xml:space="preserve">s </w:t>
      </w:r>
      <w:r w:rsidR="00446E30">
        <w:rPr>
          <w:lang w:val="es-ES_tradnl"/>
        </w:rPr>
        <w:t xml:space="preserve">establecimientos de crédito </w:t>
      </w:r>
      <w:r w:rsidRPr="00A775F9">
        <w:rPr>
          <w:lang w:val="es-ES_tradnl"/>
        </w:rPr>
        <w:t xml:space="preserve">realizarán el cambio de los billetes y monedas metálicas </w:t>
      </w:r>
      <w:r w:rsidR="00103398">
        <w:rPr>
          <w:lang w:val="es-ES_tradnl"/>
        </w:rPr>
        <w:t xml:space="preserve">denominadas </w:t>
      </w:r>
      <w:r w:rsidR="00A775F9" w:rsidRPr="00A775F9">
        <w:rPr>
          <w:lang w:val="es-ES_tradnl"/>
        </w:rPr>
        <w:t xml:space="preserve">en “Pesos” </w:t>
      </w:r>
      <w:r w:rsidRPr="00A775F9">
        <w:rPr>
          <w:lang w:val="es-ES_tradnl"/>
        </w:rPr>
        <w:t xml:space="preserve">por aquellos </w:t>
      </w:r>
      <w:r w:rsidR="00103398">
        <w:rPr>
          <w:lang w:val="es-ES_tradnl"/>
        </w:rPr>
        <w:t xml:space="preserve">expresados </w:t>
      </w:r>
      <w:r w:rsidR="00A775F9" w:rsidRPr="00A775F9">
        <w:rPr>
          <w:lang w:val="es-ES_tradnl"/>
        </w:rPr>
        <w:t>en “Nuevos Pesos”</w:t>
      </w:r>
      <w:r w:rsidRPr="00A775F9">
        <w:rPr>
          <w:lang w:val="es-ES_tradnl"/>
        </w:rPr>
        <w:t>, de acuerdo con las normas que para tal efecto dicte la Junta Directiva del Banco de la República y atendiendo en todo caso las normas establecidas para el control del lavado de activos y la financiación del terrorismo</w:t>
      </w:r>
      <w:r w:rsidR="00742CB2">
        <w:rPr>
          <w:lang w:val="es-ES_tradnl"/>
        </w:rPr>
        <w:t>, reconociendo el alto estándar que en este frente mantienen dichas entidades</w:t>
      </w:r>
      <w:r w:rsidRPr="00A775F9">
        <w:rPr>
          <w:lang w:val="es-ES_tradnl"/>
        </w:rPr>
        <w:t>.</w:t>
      </w:r>
    </w:p>
    <w:p w:rsidR="004614D7" w:rsidRDefault="004614D7" w:rsidP="003C0AD9">
      <w:pPr>
        <w:adjustRightInd w:val="0"/>
        <w:jc w:val="both"/>
        <w:textAlignment w:val="center"/>
        <w:rPr>
          <w:rFonts w:eastAsiaTheme="minorHAnsi"/>
          <w:color w:val="000000"/>
          <w:lang w:val="es-ES_tradnl" w:eastAsia="en-US"/>
        </w:rPr>
      </w:pPr>
    </w:p>
    <w:p w:rsidR="00E13704" w:rsidRDefault="00E13704" w:rsidP="003C0AD9">
      <w:pPr>
        <w:adjustRightInd w:val="0"/>
        <w:jc w:val="both"/>
        <w:textAlignment w:val="center"/>
        <w:rPr>
          <w:rFonts w:eastAsiaTheme="minorHAnsi"/>
          <w:color w:val="000000"/>
          <w:lang w:val="es-ES_tradnl" w:eastAsia="en-US"/>
        </w:rPr>
      </w:pPr>
      <w:r>
        <w:rPr>
          <w:rFonts w:eastAsiaTheme="minorHAnsi"/>
          <w:color w:val="000000"/>
          <w:lang w:val="es-ES_tradnl" w:eastAsia="en-US"/>
        </w:rPr>
        <w:t>Finalmente, se establece que una vez comience el período de transición, todas las cifras deberán expresarse en “Nuevos Pesos” por lo cual la etapa previa al inicio de dicho período de transición, deberá ser usada por los diferentes actores para realizar los ajustes que sean necesarios para este propósito.</w:t>
      </w:r>
    </w:p>
    <w:p w:rsidR="00742CB2" w:rsidRPr="001D69C8" w:rsidRDefault="00742CB2" w:rsidP="003C0AD9">
      <w:pPr>
        <w:adjustRightInd w:val="0"/>
        <w:jc w:val="both"/>
        <w:textAlignment w:val="center"/>
        <w:rPr>
          <w:rFonts w:eastAsiaTheme="minorHAnsi"/>
          <w:color w:val="000000"/>
          <w:lang w:val="es-ES_tradnl" w:eastAsia="en-US"/>
        </w:rPr>
      </w:pPr>
    </w:p>
    <w:p w:rsidR="00C2232D" w:rsidRPr="00176AA5" w:rsidRDefault="00C2232D" w:rsidP="00322086">
      <w:pPr>
        <w:pStyle w:val="Prrafodelista"/>
        <w:numPr>
          <w:ilvl w:val="1"/>
          <w:numId w:val="5"/>
        </w:numPr>
        <w:autoSpaceDE w:val="0"/>
        <w:autoSpaceDN w:val="0"/>
        <w:adjustRightInd w:val="0"/>
        <w:spacing w:after="0" w:line="240" w:lineRule="auto"/>
        <w:jc w:val="both"/>
        <w:textAlignment w:val="center"/>
        <w:rPr>
          <w:rFonts w:ascii="Times New Roman" w:hAnsi="Times New Roman" w:cs="Times New Roman"/>
          <w:b/>
          <w:color w:val="000000"/>
          <w:sz w:val="24"/>
          <w:szCs w:val="24"/>
          <w:lang w:val="es-ES_tradnl"/>
        </w:rPr>
      </w:pPr>
      <w:r w:rsidRPr="00176AA5">
        <w:rPr>
          <w:rFonts w:ascii="Times New Roman" w:hAnsi="Times New Roman" w:cs="Times New Roman"/>
          <w:b/>
          <w:color w:val="000000"/>
          <w:sz w:val="24"/>
          <w:szCs w:val="24"/>
          <w:lang w:val="es-ES_tradnl"/>
        </w:rPr>
        <w:t>Título III. Fin del Período de Transición</w:t>
      </w:r>
    </w:p>
    <w:p w:rsidR="00C2232D" w:rsidRPr="00B94F63" w:rsidRDefault="00C2232D" w:rsidP="00C2232D">
      <w:pPr>
        <w:autoSpaceDE w:val="0"/>
        <w:autoSpaceDN w:val="0"/>
        <w:adjustRightInd w:val="0"/>
        <w:jc w:val="both"/>
        <w:textAlignment w:val="center"/>
        <w:rPr>
          <w:color w:val="000000"/>
          <w:lang w:val="es-ES_tradnl"/>
        </w:rPr>
      </w:pPr>
    </w:p>
    <w:p w:rsidR="00176AA5" w:rsidRPr="00A775F9" w:rsidRDefault="00C2232D" w:rsidP="00B94F63">
      <w:pPr>
        <w:pStyle w:val="Default"/>
        <w:jc w:val="both"/>
        <w:rPr>
          <w:rFonts w:ascii="Times New Roman" w:hAnsi="Times New Roman"/>
        </w:rPr>
      </w:pPr>
      <w:r w:rsidRPr="00A775F9">
        <w:rPr>
          <w:rFonts w:ascii="Times New Roman" w:hAnsi="Times New Roman"/>
        </w:rPr>
        <w:t xml:space="preserve">Una vez finalizado el período de transición, </w:t>
      </w:r>
      <w:r w:rsidR="00E06E0B" w:rsidRPr="00A775F9">
        <w:rPr>
          <w:rFonts w:ascii="Times New Roman" w:hAnsi="Times New Roman"/>
        </w:rPr>
        <w:t xml:space="preserve">los billetes y monedas metálicas </w:t>
      </w:r>
      <w:r w:rsidR="00A775F9" w:rsidRPr="00A775F9">
        <w:rPr>
          <w:rFonts w:ascii="Times New Roman" w:hAnsi="Times New Roman"/>
        </w:rPr>
        <w:t xml:space="preserve">denominados en “Pesos” </w:t>
      </w:r>
      <w:r w:rsidR="00176AA5" w:rsidRPr="00A775F9">
        <w:rPr>
          <w:rFonts w:ascii="Times New Roman" w:hAnsi="Times New Roman"/>
        </w:rPr>
        <w:t xml:space="preserve">perderán su curso legal y poder liberatorio ilimitado, sin perjuicio del período de transición </w:t>
      </w:r>
      <w:r w:rsidR="007617F8">
        <w:rPr>
          <w:rFonts w:ascii="Times New Roman" w:hAnsi="Times New Roman"/>
        </w:rPr>
        <w:t>establecido en el parágrafo del artículo 6 del proyecto para</w:t>
      </w:r>
      <w:r w:rsidR="00061FDA">
        <w:rPr>
          <w:rFonts w:ascii="Times New Roman" w:hAnsi="Times New Roman"/>
        </w:rPr>
        <w:t xml:space="preserve"> </w:t>
      </w:r>
      <w:r w:rsidR="00176AA5" w:rsidRPr="00A775F9">
        <w:rPr>
          <w:rFonts w:ascii="Times New Roman" w:hAnsi="Times New Roman"/>
        </w:rPr>
        <w:t>las monedas metálicas de</w:t>
      </w:r>
      <w:r w:rsidR="00A775F9" w:rsidRPr="00A775F9">
        <w:rPr>
          <w:rFonts w:ascii="Times New Roman" w:hAnsi="Times New Roman"/>
        </w:rPr>
        <w:t>nominadas en “Pesos”</w:t>
      </w:r>
      <w:r w:rsidR="00176AA5" w:rsidRPr="00A775F9">
        <w:rPr>
          <w:rFonts w:ascii="Times New Roman" w:hAnsi="Times New Roman"/>
        </w:rPr>
        <w:t>.</w:t>
      </w:r>
    </w:p>
    <w:p w:rsidR="00176AA5" w:rsidRDefault="00176AA5" w:rsidP="00B94F63">
      <w:pPr>
        <w:pStyle w:val="Default"/>
        <w:jc w:val="both"/>
        <w:rPr>
          <w:rFonts w:ascii="Times New Roman" w:hAnsi="Times New Roman"/>
          <w:highlight w:val="yellow"/>
        </w:rPr>
      </w:pPr>
    </w:p>
    <w:p w:rsidR="00672608" w:rsidRPr="00B94F63" w:rsidRDefault="00176AA5" w:rsidP="00C02851">
      <w:pPr>
        <w:pStyle w:val="Default"/>
        <w:jc w:val="both"/>
      </w:pPr>
      <w:r w:rsidRPr="00A775F9">
        <w:rPr>
          <w:rFonts w:ascii="Times New Roman" w:hAnsi="Times New Roman"/>
        </w:rPr>
        <w:lastRenderedPageBreak/>
        <w:t xml:space="preserve">Se </w:t>
      </w:r>
      <w:r w:rsidR="007617F8">
        <w:rPr>
          <w:rFonts w:ascii="Times New Roman" w:hAnsi="Times New Roman"/>
        </w:rPr>
        <w:t>propone</w:t>
      </w:r>
      <w:r w:rsidR="00061FDA">
        <w:rPr>
          <w:rFonts w:ascii="Times New Roman" w:hAnsi="Times New Roman"/>
        </w:rPr>
        <w:t xml:space="preserve"> </w:t>
      </w:r>
      <w:r w:rsidRPr="00A775F9">
        <w:rPr>
          <w:rFonts w:ascii="Times New Roman" w:hAnsi="Times New Roman"/>
        </w:rPr>
        <w:t xml:space="preserve">en todo caso, que </w:t>
      </w:r>
      <w:r w:rsidR="004E491D">
        <w:rPr>
          <w:rFonts w:ascii="Times New Roman" w:hAnsi="Times New Roman"/>
        </w:rPr>
        <w:t xml:space="preserve">una vez finalizado el período de transición, </w:t>
      </w:r>
      <w:r w:rsidRPr="00A775F9">
        <w:rPr>
          <w:rFonts w:ascii="Times New Roman" w:hAnsi="Times New Roman"/>
        </w:rPr>
        <w:t xml:space="preserve">la Junta Directiva del Banco de la República establecerá los términos y condiciones para </w:t>
      </w:r>
      <w:r w:rsidR="004E491D">
        <w:rPr>
          <w:rFonts w:ascii="Times New Roman" w:hAnsi="Times New Roman"/>
        </w:rPr>
        <w:t xml:space="preserve">que </w:t>
      </w:r>
      <w:r w:rsidR="00E433F0">
        <w:rPr>
          <w:rFonts w:ascii="Times New Roman" w:hAnsi="Times New Roman"/>
        </w:rPr>
        <w:t xml:space="preserve">se realice en dicha entidad y en los </w:t>
      </w:r>
      <w:r w:rsidR="00E13704">
        <w:rPr>
          <w:rFonts w:ascii="Times New Roman" w:hAnsi="Times New Roman"/>
        </w:rPr>
        <w:t>establecimientos de crédito</w:t>
      </w:r>
      <w:r w:rsidR="00E433F0">
        <w:rPr>
          <w:rFonts w:ascii="Times New Roman" w:hAnsi="Times New Roman"/>
        </w:rPr>
        <w:t xml:space="preserve"> </w:t>
      </w:r>
      <w:r w:rsidRPr="00A775F9">
        <w:rPr>
          <w:rFonts w:ascii="Times New Roman" w:hAnsi="Times New Roman"/>
        </w:rPr>
        <w:t>el canje de los billetes y monedas de</w:t>
      </w:r>
      <w:r w:rsidR="00A775F9" w:rsidRPr="00A775F9">
        <w:rPr>
          <w:rFonts w:ascii="Times New Roman" w:hAnsi="Times New Roman"/>
        </w:rPr>
        <w:t xml:space="preserve">nominados en “Pesos” </w:t>
      </w:r>
      <w:r w:rsidRPr="00A775F9">
        <w:rPr>
          <w:rFonts w:ascii="Times New Roman" w:hAnsi="Times New Roman"/>
        </w:rPr>
        <w:t>por aquellos de</w:t>
      </w:r>
      <w:r w:rsidR="00A775F9" w:rsidRPr="00A775F9">
        <w:rPr>
          <w:rFonts w:ascii="Times New Roman" w:hAnsi="Times New Roman"/>
        </w:rPr>
        <w:t>nominados en “Nuevos Pesos”</w:t>
      </w:r>
      <w:r w:rsidR="00E433F0">
        <w:rPr>
          <w:rFonts w:ascii="Times New Roman" w:hAnsi="Times New Roman"/>
        </w:rPr>
        <w:t>, llevando un registro de las personas que hagan este proceso, el cuál será reglamentado por la Superintendencia Financiera.</w:t>
      </w:r>
    </w:p>
    <w:p w:rsidR="004E491D" w:rsidRDefault="004E491D" w:rsidP="00C2232D">
      <w:pPr>
        <w:pStyle w:val="NormalWeb"/>
        <w:spacing w:before="0" w:beforeAutospacing="0" w:after="0" w:afterAutospacing="0"/>
        <w:jc w:val="both"/>
        <w:rPr>
          <w:rFonts w:eastAsiaTheme="minorHAnsi"/>
          <w:color w:val="000000"/>
          <w:lang w:eastAsia="en-US"/>
        </w:rPr>
      </w:pPr>
    </w:p>
    <w:p w:rsidR="00C2232D" w:rsidRPr="00FB2FA2" w:rsidRDefault="00C2232D" w:rsidP="00C2232D">
      <w:pPr>
        <w:pStyle w:val="NormalWeb"/>
        <w:spacing w:before="0" w:beforeAutospacing="0" w:after="0" w:afterAutospacing="0"/>
        <w:jc w:val="both"/>
        <w:rPr>
          <w:rFonts w:eastAsiaTheme="minorHAnsi"/>
          <w:color w:val="000000"/>
          <w:lang w:eastAsia="en-US"/>
        </w:rPr>
      </w:pPr>
      <w:r w:rsidRPr="00B94F63">
        <w:rPr>
          <w:rFonts w:eastAsiaTheme="minorHAnsi"/>
          <w:color w:val="000000"/>
          <w:lang w:eastAsia="en-US"/>
        </w:rPr>
        <w:t>En los análisis realizados por el Banco de la República, dicha entidad ha identificado que la adopción de la nueva familia de billetes del año</w:t>
      </w:r>
      <w:r w:rsidRPr="00FB2FA2">
        <w:rPr>
          <w:rFonts w:eastAsiaTheme="minorHAnsi"/>
          <w:color w:val="000000"/>
          <w:lang w:eastAsia="en-US"/>
        </w:rPr>
        <w:t xml:space="preserve"> 2015, en los cuales ya no se encuentran los tres ceros en el valor facial del billete, </w:t>
      </w:r>
      <w:r w:rsidR="00103398">
        <w:rPr>
          <w:rFonts w:eastAsiaTheme="minorHAnsi"/>
          <w:color w:val="000000"/>
          <w:lang w:eastAsia="en-US"/>
        </w:rPr>
        <w:t>debido a que</w:t>
      </w:r>
      <w:r w:rsidRPr="00FB2FA2">
        <w:rPr>
          <w:rFonts w:eastAsiaTheme="minorHAnsi"/>
          <w:color w:val="000000"/>
          <w:lang w:eastAsia="en-US"/>
        </w:rPr>
        <w:t xml:space="preserve"> fueron reemplazados por la palabra “MIL”, facilita el proceso de adopción de la nueva denominación, pues involucra en una primera instancia el cambio de la palabra “MIL” por la palabra “NUEVOS</w:t>
      </w:r>
      <w:r w:rsidR="00C02851">
        <w:rPr>
          <w:rFonts w:eastAsiaTheme="minorHAnsi"/>
          <w:color w:val="000000"/>
          <w:lang w:eastAsia="en-US"/>
        </w:rPr>
        <w:t>”</w:t>
      </w:r>
      <w:r w:rsidRPr="00FB2FA2">
        <w:rPr>
          <w:rFonts w:eastAsiaTheme="minorHAnsi"/>
          <w:color w:val="000000"/>
          <w:lang w:eastAsia="en-US"/>
        </w:rPr>
        <w:t xml:space="preserve">. </w:t>
      </w:r>
      <w:r w:rsidR="00103398">
        <w:rPr>
          <w:rFonts w:eastAsiaTheme="minorHAnsi"/>
          <w:color w:val="000000"/>
          <w:lang w:eastAsia="en-US"/>
        </w:rPr>
        <w:t>En este sentido</w:t>
      </w:r>
      <w:r w:rsidRPr="00FB2FA2">
        <w:rPr>
          <w:rFonts w:eastAsiaTheme="minorHAnsi"/>
          <w:color w:val="000000"/>
          <w:lang w:eastAsia="en-US"/>
        </w:rPr>
        <w:t xml:space="preserve">, en la medida en que el diseño de los billetes se mantendría, </w:t>
      </w:r>
      <w:r w:rsidR="00103398">
        <w:rPr>
          <w:rFonts w:eastAsiaTheme="minorHAnsi"/>
          <w:color w:val="000000"/>
          <w:lang w:eastAsia="en-US"/>
        </w:rPr>
        <w:t xml:space="preserve">se </w:t>
      </w:r>
      <w:r w:rsidRPr="00FB2FA2">
        <w:rPr>
          <w:rFonts w:eastAsiaTheme="minorHAnsi"/>
          <w:color w:val="000000"/>
          <w:lang w:eastAsia="en-US"/>
        </w:rPr>
        <w:t>mitiga</w:t>
      </w:r>
      <w:r w:rsidR="00103398">
        <w:rPr>
          <w:rFonts w:eastAsiaTheme="minorHAnsi"/>
          <w:color w:val="000000"/>
          <w:lang w:eastAsia="en-US"/>
        </w:rPr>
        <w:t>n</w:t>
      </w:r>
      <w:r w:rsidRPr="00FB2FA2">
        <w:rPr>
          <w:rFonts w:eastAsiaTheme="minorHAnsi"/>
          <w:color w:val="000000"/>
          <w:lang w:eastAsia="en-US"/>
        </w:rPr>
        <w:t xml:space="preserve"> eventuales costos en los que se incurriría por modificaciones en las especificaciones de los billetes (papel moneda) y la paleta de colores de cada uno de ellos, pues se mantienen inalterados frente a la denominación actual.</w:t>
      </w:r>
    </w:p>
    <w:p w:rsidR="00C2232D" w:rsidRPr="00FB2FA2" w:rsidRDefault="00C2232D" w:rsidP="00C2232D">
      <w:pPr>
        <w:autoSpaceDE w:val="0"/>
        <w:autoSpaceDN w:val="0"/>
        <w:adjustRightInd w:val="0"/>
        <w:jc w:val="both"/>
        <w:rPr>
          <w:rFonts w:eastAsiaTheme="minorHAnsi"/>
          <w:color w:val="000000"/>
          <w:lang w:eastAsia="en-US"/>
        </w:rPr>
      </w:pPr>
    </w:p>
    <w:p w:rsidR="00C2232D" w:rsidRPr="00C2232D" w:rsidRDefault="00C2232D" w:rsidP="00C2232D">
      <w:pPr>
        <w:autoSpaceDE w:val="0"/>
        <w:autoSpaceDN w:val="0"/>
        <w:adjustRightInd w:val="0"/>
        <w:jc w:val="both"/>
        <w:textAlignment w:val="center"/>
        <w:rPr>
          <w:color w:val="000000"/>
          <w:lang w:val="es-ES_tradnl"/>
        </w:rPr>
      </w:pPr>
    </w:p>
    <w:p w:rsidR="00C2232D" w:rsidRPr="00322086" w:rsidRDefault="00C2232D" w:rsidP="00322086">
      <w:pPr>
        <w:pStyle w:val="Prrafodelista"/>
        <w:numPr>
          <w:ilvl w:val="1"/>
          <w:numId w:val="5"/>
        </w:numPr>
        <w:autoSpaceDE w:val="0"/>
        <w:autoSpaceDN w:val="0"/>
        <w:adjustRightInd w:val="0"/>
        <w:spacing w:after="0" w:line="240" w:lineRule="auto"/>
        <w:jc w:val="both"/>
        <w:textAlignment w:val="center"/>
        <w:rPr>
          <w:rFonts w:ascii="Times New Roman" w:hAnsi="Times New Roman" w:cs="Times New Roman"/>
          <w:b/>
          <w:color w:val="000000"/>
          <w:sz w:val="24"/>
          <w:szCs w:val="24"/>
          <w:lang w:val="es-ES_tradnl"/>
        </w:rPr>
      </w:pPr>
      <w:r>
        <w:rPr>
          <w:rFonts w:ascii="Times New Roman" w:hAnsi="Times New Roman" w:cs="Times New Roman"/>
          <w:b/>
          <w:color w:val="000000"/>
          <w:sz w:val="24"/>
          <w:szCs w:val="24"/>
          <w:lang w:val="es-ES_tradnl"/>
        </w:rPr>
        <w:t>Título IV. Disposiciones Generales</w:t>
      </w:r>
    </w:p>
    <w:p w:rsidR="00322086" w:rsidRDefault="00322086" w:rsidP="00FB2FA2">
      <w:pPr>
        <w:autoSpaceDE w:val="0"/>
        <w:autoSpaceDN w:val="0"/>
        <w:adjustRightInd w:val="0"/>
        <w:jc w:val="both"/>
        <w:rPr>
          <w:rFonts w:eastAsiaTheme="minorHAnsi"/>
          <w:color w:val="000000"/>
          <w:lang w:eastAsia="en-US"/>
        </w:rPr>
      </w:pPr>
    </w:p>
    <w:p w:rsidR="00E13704" w:rsidRDefault="00E13704" w:rsidP="00E13704">
      <w:pPr>
        <w:adjustRightInd w:val="0"/>
        <w:jc w:val="both"/>
        <w:textAlignment w:val="center"/>
        <w:rPr>
          <w:rFonts w:eastAsiaTheme="minorHAnsi"/>
          <w:color w:val="000000"/>
          <w:lang w:val="es-ES_tradnl" w:eastAsia="en-US"/>
        </w:rPr>
      </w:pPr>
      <w:r>
        <w:rPr>
          <w:rFonts w:eastAsiaTheme="minorHAnsi"/>
          <w:color w:val="000000"/>
          <w:lang w:val="es-ES_tradnl" w:eastAsia="en-US"/>
        </w:rPr>
        <w:t>En primer lugar, se establece que la J</w:t>
      </w:r>
      <w:r w:rsidR="00143440">
        <w:rPr>
          <w:rFonts w:eastAsiaTheme="minorHAnsi"/>
          <w:color w:val="000000"/>
          <w:lang w:val="es-ES_tradnl" w:eastAsia="en-US"/>
        </w:rPr>
        <w:t xml:space="preserve">unta </w:t>
      </w:r>
      <w:r>
        <w:rPr>
          <w:rFonts w:eastAsiaTheme="minorHAnsi"/>
          <w:color w:val="000000"/>
          <w:lang w:val="es-ES_tradnl" w:eastAsia="en-US"/>
        </w:rPr>
        <w:t>D</w:t>
      </w:r>
      <w:r w:rsidR="00143440">
        <w:rPr>
          <w:rFonts w:eastAsiaTheme="minorHAnsi"/>
          <w:color w:val="000000"/>
          <w:lang w:val="es-ES_tradnl" w:eastAsia="en-US"/>
        </w:rPr>
        <w:t xml:space="preserve">irectiva del </w:t>
      </w:r>
      <w:r>
        <w:rPr>
          <w:rFonts w:eastAsiaTheme="minorHAnsi"/>
          <w:color w:val="000000"/>
          <w:lang w:val="es-ES_tradnl" w:eastAsia="en-US"/>
        </w:rPr>
        <w:t>B</w:t>
      </w:r>
      <w:r w:rsidR="00143440">
        <w:rPr>
          <w:rFonts w:eastAsiaTheme="minorHAnsi"/>
          <w:color w:val="000000"/>
          <w:lang w:val="es-ES_tradnl" w:eastAsia="en-US"/>
        </w:rPr>
        <w:t xml:space="preserve">anco de la </w:t>
      </w:r>
      <w:r>
        <w:rPr>
          <w:rFonts w:eastAsiaTheme="minorHAnsi"/>
          <w:color w:val="000000"/>
          <w:lang w:val="es-ES_tradnl" w:eastAsia="en-US"/>
        </w:rPr>
        <w:t>R</w:t>
      </w:r>
      <w:r w:rsidR="00143440">
        <w:rPr>
          <w:rFonts w:eastAsiaTheme="minorHAnsi"/>
          <w:color w:val="000000"/>
          <w:lang w:val="es-ES_tradnl" w:eastAsia="en-US"/>
        </w:rPr>
        <w:t>epública</w:t>
      </w:r>
      <w:r>
        <w:rPr>
          <w:rFonts w:eastAsiaTheme="minorHAnsi"/>
          <w:color w:val="000000"/>
          <w:lang w:val="es-ES_tradnl" w:eastAsia="en-US"/>
        </w:rPr>
        <w:t xml:space="preserve"> podrá </w:t>
      </w:r>
      <w:r w:rsidR="00143440">
        <w:rPr>
          <w:rFonts w:eastAsiaTheme="minorHAnsi"/>
          <w:color w:val="000000"/>
          <w:lang w:val="es-ES_tradnl" w:eastAsia="en-US"/>
        </w:rPr>
        <w:t>determinar</w:t>
      </w:r>
      <w:r>
        <w:rPr>
          <w:rFonts w:eastAsiaTheme="minorHAnsi"/>
          <w:color w:val="000000"/>
          <w:lang w:val="es-ES_tradnl" w:eastAsia="en-US"/>
        </w:rPr>
        <w:t xml:space="preserve"> unos plazos más cortos a los establecidos en el período de transición para que algunas denominaciones tengan valor únicamente para ser canjeadas en el Banco de la República o en los establecimientos de crédito.</w:t>
      </w:r>
    </w:p>
    <w:p w:rsidR="001417E5" w:rsidRDefault="001417E5" w:rsidP="00E13704">
      <w:pPr>
        <w:adjustRightInd w:val="0"/>
        <w:jc w:val="both"/>
        <w:textAlignment w:val="center"/>
        <w:rPr>
          <w:rFonts w:eastAsiaTheme="minorHAnsi"/>
          <w:color w:val="000000"/>
          <w:lang w:val="es-ES_tradnl" w:eastAsia="en-US"/>
        </w:rPr>
      </w:pPr>
    </w:p>
    <w:p w:rsidR="001417E5" w:rsidRDefault="001417E5" w:rsidP="00E13704">
      <w:pPr>
        <w:adjustRightInd w:val="0"/>
        <w:jc w:val="both"/>
        <w:textAlignment w:val="center"/>
        <w:rPr>
          <w:rFonts w:eastAsiaTheme="minorHAnsi"/>
          <w:color w:val="000000"/>
          <w:lang w:val="es-ES_tradnl" w:eastAsia="en-US"/>
        </w:rPr>
      </w:pPr>
      <w:r>
        <w:rPr>
          <w:rFonts w:eastAsiaTheme="minorHAnsi"/>
          <w:color w:val="000000"/>
          <w:lang w:val="es-ES_tradnl" w:eastAsia="en-US"/>
        </w:rPr>
        <w:t xml:space="preserve">Se establece que </w:t>
      </w:r>
      <w:r w:rsidR="002B0484">
        <w:rPr>
          <w:rFonts w:eastAsiaTheme="minorHAnsi"/>
          <w:color w:val="000000"/>
          <w:lang w:val="es-ES_tradnl" w:eastAsia="en-US"/>
        </w:rPr>
        <w:t xml:space="preserve">tres </w:t>
      </w:r>
      <w:r>
        <w:rPr>
          <w:rFonts w:eastAsiaTheme="minorHAnsi"/>
          <w:color w:val="000000"/>
          <w:lang w:val="es-ES_tradnl" w:eastAsia="en-US"/>
        </w:rPr>
        <w:t>años después de finalizado el período de transición, la unidad monetaria y unidad de cuenta volverá a llamarse nuevamente “Peso” y podrán circular en forma simultánea los billetes y monedas de los recién nombrados “Pesos” así como aquellos en “Nuevos Pesos”. Con esto</w:t>
      </w:r>
      <w:r w:rsidR="00F2606C">
        <w:rPr>
          <w:rFonts w:eastAsiaTheme="minorHAnsi"/>
          <w:color w:val="000000"/>
          <w:lang w:val="es-ES_tradnl" w:eastAsia="en-US"/>
        </w:rPr>
        <w:t>,</w:t>
      </w:r>
      <w:r>
        <w:rPr>
          <w:rFonts w:eastAsiaTheme="minorHAnsi"/>
          <w:color w:val="000000"/>
          <w:lang w:val="es-ES_tradnl" w:eastAsia="en-US"/>
        </w:rPr>
        <w:t xml:space="preserve"> se asegura que</w:t>
      </w:r>
      <w:r w:rsidR="002B0484">
        <w:rPr>
          <w:rFonts w:eastAsiaTheme="minorHAnsi"/>
          <w:color w:val="000000"/>
          <w:lang w:val="es-ES_tradnl" w:eastAsia="en-US"/>
        </w:rPr>
        <w:t xml:space="preserve"> una vez</w:t>
      </w:r>
      <w:r>
        <w:rPr>
          <w:rFonts w:eastAsiaTheme="minorHAnsi"/>
          <w:color w:val="000000"/>
          <w:lang w:val="es-ES_tradnl" w:eastAsia="en-US"/>
        </w:rPr>
        <w:t xml:space="preserve"> finalizado todo el proceso</w:t>
      </w:r>
      <w:r w:rsidR="002B0484">
        <w:rPr>
          <w:rFonts w:eastAsiaTheme="minorHAnsi"/>
          <w:color w:val="000000"/>
          <w:lang w:val="es-ES_tradnl" w:eastAsia="en-US"/>
        </w:rPr>
        <w:t xml:space="preserve">, es decir tres </w:t>
      </w:r>
      <w:r>
        <w:rPr>
          <w:rFonts w:eastAsiaTheme="minorHAnsi"/>
          <w:color w:val="000000"/>
          <w:lang w:val="es-ES_tradnl" w:eastAsia="en-US"/>
        </w:rPr>
        <w:t>años después del período de transición</w:t>
      </w:r>
      <w:r w:rsidR="002B0484">
        <w:rPr>
          <w:rFonts w:eastAsiaTheme="minorHAnsi"/>
          <w:color w:val="000000"/>
          <w:lang w:val="es-ES_tradnl" w:eastAsia="en-US"/>
        </w:rPr>
        <w:t>,</w:t>
      </w:r>
      <w:r>
        <w:rPr>
          <w:rFonts w:eastAsiaTheme="minorHAnsi"/>
          <w:color w:val="000000"/>
          <w:lang w:val="es-ES_tradnl" w:eastAsia="en-US"/>
        </w:rPr>
        <w:t xml:space="preserve"> se regresa nuevamente a la denominación original sin tener que mantener la palabra “Nuevo”.</w:t>
      </w:r>
    </w:p>
    <w:p w:rsidR="00E13704" w:rsidRDefault="00E13704" w:rsidP="00C2232D">
      <w:pPr>
        <w:autoSpaceDE w:val="0"/>
        <w:autoSpaceDN w:val="0"/>
        <w:adjustRightInd w:val="0"/>
        <w:jc w:val="both"/>
        <w:rPr>
          <w:rFonts w:eastAsiaTheme="minorHAnsi"/>
          <w:color w:val="000000"/>
          <w:lang w:val="es-ES_tradnl" w:eastAsia="en-US"/>
        </w:rPr>
      </w:pPr>
    </w:p>
    <w:p w:rsidR="00C2232D" w:rsidRPr="00C2232D" w:rsidRDefault="00E13704" w:rsidP="00C2232D">
      <w:pPr>
        <w:autoSpaceDE w:val="0"/>
        <w:autoSpaceDN w:val="0"/>
        <w:adjustRightInd w:val="0"/>
        <w:jc w:val="both"/>
        <w:rPr>
          <w:rFonts w:eastAsiaTheme="minorHAnsi"/>
          <w:color w:val="000000"/>
          <w:lang w:eastAsia="en-US"/>
        </w:rPr>
      </w:pPr>
      <w:r>
        <w:rPr>
          <w:rFonts w:eastAsiaTheme="minorHAnsi"/>
          <w:color w:val="000000"/>
          <w:lang w:val="es-ES_tradnl" w:eastAsia="en-US"/>
        </w:rPr>
        <w:t>Así mismo, e</w:t>
      </w:r>
      <w:r w:rsidR="00BB1F8F">
        <w:rPr>
          <w:rFonts w:eastAsiaTheme="minorHAnsi"/>
          <w:color w:val="000000"/>
          <w:lang w:eastAsia="en-US"/>
        </w:rPr>
        <w:t>n este título</w:t>
      </w:r>
      <w:r w:rsidR="00061FDA">
        <w:rPr>
          <w:rFonts w:eastAsiaTheme="minorHAnsi"/>
          <w:color w:val="000000"/>
          <w:lang w:eastAsia="en-US"/>
        </w:rPr>
        <w:t xml:space="preserve"> </w:t>
      </w:r>
      <w:r w:rsidR="00C2232D">
        <w:rPr>
          <w:rFonts w:eastAsiaTheme="minorHAnsi"/>
          <w:color w:val="000000"/>
          <w:lang w:eastAsia="en-US"/>
        </w:rPr>
        <w:t>se establece que l</w:t>
      </w:r>
      <w:r w:rsidR="00C2232D" w:rsidRPr="00C2232D">
        <w:rPr>
          <w:rFonts w:eastAsiaTheme="minorHAnsi"/>
          <w:color w:val="000000"/>
          <w:lang w:eastAsia="en-US"/>
        </w:rPr>
        <w:t xml:space="preserve">a expedición de la </w:t>
      </w:r>
      <w:r w:rsidR="00C2232D">
        <w:rPr>
          <w:rFonts w:eastAsiaTheme="minorHAnsi"/>
          <w:color w:val="000000"/>
          <w:lang w:eastAsia="en-US"/>
        </w:rPr>
        <w:t>ley</w:t>
      </w:r>
      <w:r w:rsidR="00C2232D" w:rsidRPr="00C2232D">
        <w:rPr>
          <w:rFonts w:eastAsiaTheme="minorHAnsi"/>
          <w:color w:val="000000"/>
          <w:lang w:eastAsia="en-US"/>
        </w:rPr>
        <w:t xml:space="preserve"> no tiene </w:t>
      </w:r>
      <w:r w:rsidR="001C62B8">
        <w:rPr>
          <w:rFonts w:eastAsiaTheme="minorHAnsi"/>
          <w:color w:val="000000"/>
          <w:lang w:eastAsia="en-US"/>
        </w:rPr>
        <w:t xml:space="preserve">ningún </w:t>
      </w:r>
      <w:r w:rsidR="00C2232D" w:rsidRPr="00C2232D">
        <w:rPr>
          <w:rFonts w:eastAsiaTheme="minorHAnsi"/>
          <w:color w:val="000000"/>
          <w:lang w:eastAsia="en-US"/>
        </w:rPr>
        <w:t xml:space="preserve">efecto </w:t>
      </w:r>
      <w:r w:rsidR="001C62B8">
        <w:rPr>
          <w:rFonts w:eastAsiaTheme="minorHAnsi"/>
          <w:color w:val="000000"/>
          <w:lang w:eastAsia="en-US"/>
        </w:rPr>
        <w:t xml:space="preserve">sobre las </w:t>
      </w:r>
      <w:r w:rsidR="00C2232D" w:rsidRPr="00C2232D">
        <w:rPr>
          <w:rFonts w:eastAsiaTheme="minorHAnsi"/>
          <w:color w:val="000000"/>
          <w:lang w:eastAsia="en-US"/>
        </w:rPr>
        <w:t>obligaciones contraídas</w:t>
      </w:r>
      <w:r w:rsidR="00C2232D">
        <w:rPr>
          <w:rFonts w:eastAsiaTheme="minorHAnsi"/>
          <w:color w:val="000000"/>
          <w:lang w:eastAsia="en-US"/>
        </w:rPr>
        <w:t>.</w:t>
      </w:r>
      <w:r w:rsidR="001C62B8">
        <w:rPr>
          <w:rFonts w:eastAsiaTheme="minorHAnsi"/>
          <w:color w:val="000000"/>
          <w:lang w:eastAsia="en-US"/>
        </w:rPr>
        <w:t xml:space="preserve"> No </w:t>
      </w:r>
      <w:r w:rsidR="00C2232D" w:rsidRPr="00C2232D">
        <w:rPr>
          <w:rFonts w:eastAsiaTheme="minorHAnsi"/>
          <w:color w:val="000000"/>
          <w:lang w:eastAsia="en-US"/>
        </w:rPr>
        <w:t xml:space="preserve">autoriza su alteración unilateral, ni exime, ni excusa su </w:t>
      </w:r>
      <w:r w:rsidR="00061FDA">
        <w:rPr>
          <w:rFonts w:eastAsiaTheme="minorHAnsi"/>
          <w:color w:val="000000"/>
          <w:lang w:eastAsia="en-US"/>
        </w:rPr>
        <w:t>in</w:t>
      </w:r>
      <w:r w:rsidR="00C2232D" w:rsidRPr="00C2232D">
        <w:rPr>
          <w:rFonts w:eastAsiaTheme="minorHAnsi"/>
          <w:color w:val="000000"/>
          <w:lang w:eastAsia="en-US"/>
        </w:rPr>
        <w:t>cumplimien</w:t>
      </w:r>
      <w:r w:rsidR="001C62B8">
        <w:rPr>
          <w:rFonts w:eastAsiaTheme="minorHAnsi"/>
          <w:color w:val="000000"/>
          <w:lang w:eastAsia="en-US"/>
        </w:rPr>
        <w:t>to.</w:t>
      </w:r>
    </w:p>
    <w:p w:rsidR="00C2232D" w:rsidRPr="00C2232D" w:rsidRDefault="00C2232D" w:rsidP="00C2232D">
      <w:pPr>
        <w:autoSpaceDE w:val="0"/>
        <w:autoSpaceDN w:val="0"/>
        <w:adjustRightInd w:val="0"/>
        <w:jc w:val="both"/>
        <w:rPr>
          <w:rFonts w:eastAsiaTheme="minorHAnsi"/>
          <w:color w:val="000000"/>
          <w:lang w:eastAsia="en-US"/>
        </w:rPr>
      </w:pPr>
    </w:p>
    <w:p w:rsidR="00C2232D" w:rsidRPr="00C2232D" w:rsidRDefault="001C62B8" w:rsidP="00C2232D">
      <w:pPr>
        <w:autoSpaceDE w:val="0"/>
        <w:autoSpaceDN w:val="0"/>
        <w:adjustRightInd w:val="0"/>
        <w:jc w:val="both"/>
        <w:rPr>
          <w:rFonts w:eastAsiaTheme="minorHAnsi"/>
          <w:color w:val="000000"/>
          <w:lang w:eastAsia="en-US"/>
        </w:rPr>
      </w:pPr>
      <w:r>
        <w:rPr>
          <w:rFonts w:eastAsiaTheme="minorHAnsi"/>
          <w:color w:val="000000"/>
          <w:lang w:eastAsia="en-US"/>
        </w:rPr>
        <w:t>Adicionalmente, se aclara que l</w:t>
      </w:r>
      <w:r w:rsidR="00C2232D" w:rsidRPr="00C2232D">
        <w:rPr>
          <w:rFonts w:eastAsiaTheme="minorHAnsi"/>
          <w:color w:val="000000"/>
          <w:lang w:eastAsia="en-US"/>
        </w:rPr>
        <w:t>a conversión a la nueva unidad monetaria y unidad de cuenta del país, será gratuita para el consumidor o usuario</w:t>
      </w:r>
      <w:r>
        <w:rPr>
          <w:rFonts w:eastAsiaTheme="minorHAnsi"/>
          <w:color w:val="000000"/>
          <w:lang w:eastAsia="en-US"/>
        </w:rPr>
        <w:t xml:space="preserve">, considerando </w:t>
      </w:r>
      <w:r w:rsidR="00C2232D" w:rsidRPr="00C2232D">
        <w:rPr>
          <w:rFonts w:eastAsiaTheme="minorHAnsi"/>
          <w:color w:val="000000"/>
          <w:lang w:eastAsia="en-US"/>
        </w:rPr>
        <w:t xml:space="preserve">ineficaz cualquier cláusula, pacto o convenio que contravenga </w:t>
      </w:r>
      <w:r>
        <w:rPr>
          <w:rFonts w:eastAsiaTheme="minorHAnsi"/>
          <w:color w:val="000000"/>
          <w:lang w:eastAsia="en-US"/>
        </w:rPr>
        <w:t>dicha disposición.</w:t>
      </w:r>
    </w:p>
    <w:p w:rsidR="00C2232D" w:rsidRPr="00C2232D" w:rsidRDefault="00C2232D" w:rsidP="00C2232D">
      <w:pPr>
        <w:autoSpaceDE w:val="0"/>
        <w:autoSpaceDN w:val="0"/>
        <w:adjustRightInd w:val="0"/>
        <w:jc w:val="both"/>
        <w:rPr>
          <w:rFonts w:eastAsiaTheme="minorHAnsi"/>
          <w:color w:val="000000"/>
          <w:lang w:eastAsia="en-US"/>
        </w:rPr>
      </w:pPr>
    </w:p>
    <w:p w:rsidR="00AF5E7C" w:rsidRDefault="001C62B8" w:rsidP="001C62B8">
      <w:pPr>
        <w:autoSpaceDE w:val="0"/>
        <w:autoSpaceDN w:val="0"/>
        <w:adjustRightInd w:val="0"/>
        <w:jc w:val="both"/>
        <w:rPr>
          <w:rFonts w:eastAsiaTheme="minorHAnsi"/>
          <w:color w:val="000000"/>
          <w:lang w:eastAsia="en-US"/>
        </w:rPr>
      </w:pPr>
      <w:r>
        <w:rPr>
          <w:rFonts w:eastAsiaTheme="minorHAnsi"/>
          <w:color w:val="000000"/>
          <w:lang w:eastAsia="en-US"/>
        </w:rPr>
        <w:t>Finalmente se otorga a</w:t>
      </w:r>
      <w:r w:rsidR="00C2232D" w:rsidRPr="00C2232D">
        <w:rPr>
          <w:rFonts w:eastAsiaTheme="minorHAnsi"/>
          <w:color w:val="000000"/>
          <w:lang w:eastAsia="en-US"/>
        </w:rPr>
        <w:t>l Gobierno Nacional</w:t>
      </w:r>
      <w:r w:rsidR="00142595">
        <w:rPr>
          <w:rFonts w:eastAsiaTheme="minorHAnsi"/>
          <w:color w:val="000000"/>
          <w:lang w:eastAsia="en-US"/>
        </w:rPr>
        <w:t xml:space="preserve"> y a las demás autoridades competentes,</w:t>
      </w:r>
      <w:r w:rsidR="00061FDA">
        <w:rPr>
          <w:rFonts w:eastAsiaTheme="minorHAnsi"/>
          <w:color w:val="000000"/>
          <w:lang w:eastAsia="en-US"/>
        </w:rPr>
        <w:t xml:space="preserve"> </w:t>
      </w:r>
      <w:r>
        <w:rPr>
          <w:rFonts w:eastAsiaTheme="minorHAnsi"/>
          <w:color w:val="000000"/>
          <w:lang w:eastAsia="en-US"/>
        </w:rPr>
        <w:t>la facultad de reglamentar y coordinar</w:t>
      </w:r>
      <w:r w:rsidR="00C2232D" w:rsidRPr="00C2232D">
        <w:rPr>
          <w:rFonts w:eastAsiaTheme="minorHAnsi"/>
          <w:color w:val="000000"/>
          <w:lang w:eastAsia="en-US"/>
        </w:rPr>
        <w:t xml:space="preserve"> las medidas que aseguren la adecuada y oportuna </w:t>
      </w:r>
      <w:r>
        <w:rPr>
          <w:rFonts w:eastAsiaTheme="minorHAnsi"/>
          <w:color w:val="000000"/>
          <w:lang w:eastAsia="en-US"/>
        </w:rPr>
        <w:t>adopción de la nueva denominación, s</w:t>
      </w:r>
      <w:r w:rsidRPr="00C2232D">
        <w:rPr>
          <w:rFonts w:eastAsiaTheme="minorHAnsi"/>
          <w:color w:val="000000"/>
          <w:lang w:eastAsia="en-US"/>
        </w:rPr>
        <w:t xml:space="preserve">in perjuicio de las funciones </w:t>
      </w:r>
      <w:r>
        <w:rPr>
          <w:rFonts w:eastAsiaTheme="minorHAnsi"/>
          <w:color w:val="000000"/>
          <w:lang w:eastAsia="en-US"/>
        </w:rPr>
        <w:t xml:space="preserve">y facultades del Banco de la República y </w:t>
      </w:r>
      <w:r w:rsidRPr="00C2232D">
        <w:rPr>
          <w:rFonts w:eastAsiaTheme="minorHAnsi"/>
          <w:color w:val="000000"/>
          <w:lang w:eastAsia="en-US"/>
        </w:rPr>
        <w:t>su Junta Directiva</w:t>
      </w:r>
      <w:r>
        <w:rPr>
          <w:rFonts w:eastAsiaTheme="minorHAnsi"/>
          <w:color w:val="000000"/>
          <w:lang w:eastAsia="en-US"/>
        </w:rPr>
        <w:t>.</w:t>
      </w:r>
    </w:p>
    <w:p w:rsidR="00143440" w:rsidRDefault="00143440" w:rsidP="001C62B8">
      <w:pPr>
        <w:autoSpaceDE w:val="0"/>
        <w:autoSpaceDN w:val="0"/>
        <w:adjustRightInd w:val="0"/>
        <w:jc w:val="both"/>
        <w:rPr>
          <w:rFonts w:eastAsiaTheme="minorHAnsi"/>
          <w:color w:val="000000"/>
          <w:lang w:eastAsia="en-US"/>
        </w:rPr>
      </w:pPr>
    </w:p>
    <w:p w:rsidR="00143440" w:rsidRDefault="00143440" w:rsidP="001C62B8">
      <w:pPr>
        <w:autoSpaceDE w:val="0"/>
        <w:autoSpaceDN w:val="0"/>
        <w:adjustRightInd w:val="0"/>
        <w:jc w:val="both"/>
        <w:rPr>
          <w:rFonts w:eastAsiaTheme="minorHAnsi"/>
          <w:color w:val="000000"/>
          <w:lang w:eastAsia="en-US"/>
        </w:rPr>
      </w:pPr>
    </w:p>
    <w:p w:rsidR="00143440" w:rsidRDefault="00143440" w:rsidP="001C62B8">
      <w:pPr>
        <w:autoSpaceDE w:val="0"/>
        <w:autoSpaceDN w:val="0"/>
        <w:adjustRightInd w:val="0"/>
        <w:jc w:val="both"/>
        <w:rPr>
          <w:rFonts w:eastAsiaTheme="minorHAnsi"/>
          <w:color w:val="000000"/>
          <w:lang w:eastAsia="en-US"/>
        </w:rPr>
      </w:pPr>
    </w:p>
    <w:p w:rsidR="00143440" w:rsidRDefault="00143440" w:rsidP="001C62B8">
      <w:pPr>
        <w:autoSpaceDE w:val="0"/>
        <w:autoSpaceDN w:val="0"/>
        <w:adjustRightInd w:val="0"/>
        <w:jc w:val="both"/>
        <w:rPr>
          <w:rFonts w:eastAsiaTheme="minorHAnsi"/>
          <w:color w:val="000000"/>
          <w:lang w:eastAsia="en-US"/>
        </w:rPr>
      </w:pPr>
    </w:p>
    <w:p w:rsidR="00143440" w:rsidRDefault="00143440" w:rsidP="00143440">
      <w:pPr>
        <w:jc w:val="both"/>
        <w:rPr>
          <w:color w:val="000000"/>
          <w:lang w:val="es-ES_tradnl"/>
        </w:rPr>
      </w:pPr>
      <w:r>
        <w:rPr>
          <w:color w:val="000000"/>
          <w:lang w:val="es-ES_tradnl"/>
        </w:rPr>
        <w:t>De los Honorables Congresistas,</w:t>
      </w: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470E31" w:rsidRPr="00BD3473" w:rsidRDefault="00470E31" w:rsidP="00470E31">
      <w:pPr>
        <w:jc w:val="both"/>
        <w:rPr>
          <w:b/>
          <w:color w:val="000000"/>
          <w:lang w:val="es-ES_tradnl"/>
        </w:rPr>
      </w:pPr>
      <w:r w:rsidRPr="00BD3473">
        <w:rPr>
          <w:b/>
          <w:color w:val="000000"/>
          <w:lang w:val="es-ES_tradnl"/>
        </w:rPr>
        <w:t>MAURICIO CÁRDENAS SANTAMARÍA</w:t>
      </w:r>
    </w:p>
    <w:p w:rsidR="00470E31" w:rsidRPr="00BD3473" w:rsidRDefault="00470E31" w:rsidP="00470E31">
      <w:pPr>
        <w:jc w:val="both"/>
        <w:rPr>
          <w:color w:val="000000"/>
          <w:lang w:val="es-ES_tradnl"/>
        </w:rPr>
      </w:pPr>
      <w:r w:rsidRPr="00BD3473">
        <w:rPr>
          <w:color w:val="000000"/>
          <w:lang w:val="es-ES_tradnl"/>
        </w:rPr>
        <w:t xml:space="preserve">Ministro de Hacienda y Crédito Público </w:t>
      </w: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Pr="00BD3473" w:rsidRDefault="00143440" w:rsidP="00143440">
      <w:pPr>
        <w:jc w:val="both"/>
        <w:rPr>
          <w:b/>
          <w:color w:val="000000"/>
          <w:lang w:val="es-ES_tradnl"/>
        </w:rPr>
      </w:pPr>
      <w:r>
        <w:rPr>
          <w:b/>
          <w:color w:val="000000"/>
          <w:lang w:val="es-ES_tradnl"/>
        </w:rPr>
        <w:t>ANTONIO GUERRA DE LA ESPRIELLA</w:t>
      </w:r>
    </w:p>
    <w:p w:rsidR="00143440" w:rsidRDefault="00143440" w:rsidP="00143440">
      <w:pPr>
        <w:jc w:val="both"/>
        <w:rPr>
          <w:color w:val="000000"/>
          <w:lang w:val="es-ES_tradnl"/>
        </w:rPr>
      </w:pPr>
      <w:r>
        <w:rPr>
          <w:color w:val="000000"/>
          <w:lang w:val="es-ES_tradnl"/>
        </w:rPr>
        <w:t>Presidente Comisión Tercera</w:t>
      </w:r>
    </w:p>
    <w:p w:rsidR="00143440" w:rsidRDefault="00143440" w:rsidP="00143440">
      <w:pPr>
        <w:jc w:val="both"/>
        <w:rPr>
          <w:color w:val="000000"/>
          <w:lang w:val="es-ES_tradnl"/>
        </w:rPr>
      </w:pPr>
      <w:r>
        <w:rPr>
          <w:color w:val="000000"/>
          <w:lang w:val="es-ES_tradnl"/>
        </w:rPr>
        <w:t>Senado de la República</w:t>
      </w: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470E31" w:rsidRDefault="00470E31" w:rsidP="00143440">
      <w:pPr>
        <w:jc w:val="both"/>
        <w:rPr>
          <w:color w:val="000000"/>
          <w:lang w:val="es-ES_tradnl"/>
        </w:rPr>
      </w:pPr>
    </w:p>
    <w:p w:rsidR="00143440" w:rsidRDefault="00143440" w:rsidP="00143440">
      <w:pPr>
        <w:jc w:val="both"/>
        <w:rPr>
          <w:color w:val="000000"/>
          <w:lang w:val="es-ES_tradnl"/>
        </w:rPr>
      </w:pPr>
    </w:p>
    <w:p w:rsidR="00470E31" w:rsidRDefault="00470E31" w:rsidP="00143440">
      <w:pPr>
        <w:jc w:val="both"/>
        <w:rPr>
          <w:color w:val="000000"/>
          <w:lang w:val="es-ES_tradnl"/>
        </w:rPr>
      </w:pPr>
    </w:p>
    <w:p w:rsidR="00470E31" w:rsidRPr="00BD3473" w:rsidRDefault="00470E31" w:rsidP="00470E31">
      <w:pPr>
        <w:jc w:val="both"/>
        <w:rPr>
          <w:b/>
          <w:color w:val="000000"/>
          <w:lang w:val="es-ES_tradnl"/>
        </w:rPr>
      </w:pPr>
      <w:r w:rsidRPr="00BD3473">
        <w:rPr>
          <w:b/>
          <w:color w:val="000000"/>
          <w:lang w:val="es-ES_tradnl"/>
        </w:rPr>
        <w:t>JACK HOUSNI JALLER</w:t>
      </w:r>
    </w:p>
    <w:p w:rsidR="00470E31" w:rsidRDefault="00470E31" w:rsidP="00470E31">
      <w:pPr>
        <w:jc w:val="both"/>
        <w:rPr>
          <w:color w:val="000000"/>
          <w:lang w:val="es-ES_tradnl"/>
        </w:rPr>
      </w:pPr>
      <w:r>
        <w:rPr>
          <w:color w:val="000000"/>
          <w:lang w:val="es-ES_tradnl"/>
        </w:rPr>
        <w:t>Presidente Comisión Tercera</w:t>
      </w:r>
    </w:p>
    <w:p w:rsidR="00470E31" w:rsidRDefault="00470E31" w:rsidP="00470E31">
      <w:pPr>
        <w:jc w:val="both"/>
        <w:rPr>
          <w:color w:val="000000"/>
          <w:lang w:val="es-ES_tradnl"/>
        </w:rPr>
      </w:pPr>
      <w:r>
        <w:rPr>
          <w:color w:val="000000"/>
          <w:lang w:val="es-ES_tradnl"/>
        </w:rPr>
        <w:t>Cámara de Representantes</w:t>
      </w:r>
    </w:p>
    <w:p w:rsidR="00470E31" w:rsidRDefault="00470E31" w:rsidP="00143440">
      <w:pPr>
        <w:jc w:val="both"/>
        <w:rPr>
          <w:color w:val="000000"/>
          <w:lang w:val="es-ES_tradnl"/>
        </w:rPr>
      </w:pPr>
    </w:p>
    <w:p w:rsidR="00470E31" w:rsidRDefault="00470E31" w:rsidP="00143440">
      <w:pPr>
        <w:jc w:val="both"/>
        <w:rPr>
          <w:color w:val="000000"/>
          <w:lang w:val="es-ES_tradnl"/>
        </w:rPr>
      </w:pPr>
    </w:p>
    <w:p w:rsidR="00143440" w:rsidRDefault="00143440" w:rsidP="00143440">
      <w:pPr>
        <w:jc w:val="both"/>
        <w:rPr>
          <w:color w:val="000000"/>
          <w:lang w:val="es-ES_tradnl"/>
        </w:rPr>
      </w:pPr>
    </w:p>
    <w:p w:rsidR="00143440" w:rsidRDefault="00143440" w:rsidP="00143440">
      <w:pPr>
        <w:jc w:val="both"/>
        <w:rPr>
          <w:color w:val="000000"/>
          <w:lang w:val="es-ES_tradnl"/>
        </w:rPr>
      </w:pPr>
    </w:p>
    <w:p w:rsidR="00143440" w:rsidRPr="00282F63" w:rsidRDefault="00143440" w:rsidP="00143440">
      <w:pPr>
        <w:jc w:val="both"/>
        <w:rPr>
          <w:color w:val="000000"/>
          <w:lang w:val="es-ES_tradnl"/>
        </w:rPr>
      </w:pPr>
    </w:p>
    <w:p w:rsidR="00143440" w:rsidRPr="001C62B8" w:rsidRDefault="00143440" w:rsidP="001C62B8">
      <w:pPr>
        <w:autoSpaceDE w:val="0"/>
        <w:autoSpaceDN w:val="0"/>
        <w:adjustRightInd w:val="0"/>
        <w:jc w:val="both"/>
        <w:rPr>
          <w:rFonts w:eastAsiaTheme="minorHAnsi"/>
          <w:color w:val="000000"/>
          <w:lang w:eastAsia="en-US"/>
        </w:rPr>
      </w:pPr>
    </w:p>
    <w:sectPr w:rsidR="00143440" w:rsidRPr="001C62B8" w:rsidSect="00AF5E7C">
      <w:footerReference w:type="default" r:id="rId10"/>
      <w:pgSz w:w="12240" w:h="15840" w:code="1"/>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A0" w:rsidRDefault="007F1DA0" w:rsidP="00C4544D">
      <w:r>
        <w:separator/>
      </w:r>
    </w:p>
  </w:endnote>
  <w:endnote w:type="continuationSeparator" w:id="0">
    <w:p w:rsidR="007F1DA0" w:rsidRDefault="007F1DA0" w:rsidP="00C4544D">
      <w:r>
        <w:continuationSeparator/>
      </w:r>
    </w:p>
  </w:endnote>
  <w:endnote w:type="continuationNotice" w:id="1">
    <w:p w:rsidR="007F1DA0" w:rsidRDefault="007F1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224090"/>
      <w:docPartObj>
        <w:docPartGallery w:val="Page Numbers (Bottom of Page)"/>
        <w:docPartUnique/>
      </w:docPartObj>
    </w:sdtPr>
    <w:sdtEndPr/>
    <w:sdtContent>
      <w:p w:rsidR="00AF5E7C" w:rsidRDefault="00DF16B1">
        <w:pPr>
          <w:pStyle w:val="Piedepgina"/>
          <w:jc w:val="right"/>
        </w:pPr>
        <w:r>
          <w:fldChar w:fldCharType="begin"/>
        </w:r>
        <w:r w:rsidR="00AF5E7C">
          <w:instrText>PAGE   \* MERGEFORMAT</w:instrText>
        </w:r>
        <w:r>
          <w:fldChar w:fldCharType="separate"/>
        </w:r>
        <w:r w:rsidR="001D0839" w:rsidRPr="001D0839">
          <w:rPr>
            <w:noProof/>
            <w:lang w:val="es-ES"/>
          </w:rPr>
          <w:t>6</w:t>
        </w:r>
        <w:r>
          <w:fldChar w:fldCharType="end"/>
        </w:r>
      </w:p>
    </w:sdtContent>
  </w:sdt>
  <w:p w:rsidR="00AF5E7C" w:rsidRDefault="00AF5E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A0" w:rsidRDefault="007F1DA0" w:rsidP="00C4544D">
      <w:r>
        <w:separator/>
      </w:r>
    </w:p>
  </w:footnote>
  <w:footnote w:type="continuationSeparator" w:id="0">
    <w:p w:rsidR="007F1DA0" w:rsidRDefault="007F1DA0" w:rsidP="00C4544D">
      <w:r>
        <w:continuationSeparator/>
      </w:r>
    </w:p>
  </w:footnote>
  <w:footnote w:type="continuationNotice" w:id="1">
    <w:p w:rsidR="007F1DA0" w:rsidRDefault="007F1DA0"/>
  </w:footnote>
  <w:footnote w:id="2">
    <w:p w:rsidR="007F2F29" w:rsidRPr="00060883" w:rsidRDefault="007F2F29" w:rsidP="00F00E6C">
      <w:pPr>
        <w:pStyle w:val="Textonotapie"/>
        <w:jc w:val="both"/>
        <w:rPr>
          <w:lang w:val="en-US"/>
        </w:rPr>
      </w:pPr>
      <w:r w:rsidRPr="00060883">
        <w:rPr>
          <w:rStyle w:val="Refdenotaalpie"/>
        </w:rPr>
        <w:footnoteRef/>
      </w:r>
      <w:r w:rsidRPr="00060883">
        <w:rPr>
          <w:lang w:val="en-US"/>
        </w:rPr>
        <w:t>Bofinger, P., Reischle, J. y Andrea Schachter</w:t>
      </w:r>
      <w:r w:rsidR="00132E57" w:rsidRPr="00060883">
        <w:rPr>
          <w:lang w:val="en-US"/>
        </w:rPr>
        <w:t xml:space="preserve"> (2001):</w:t>
      </w:r>
      <w:r w:rsidRPr="00060883">
        <w:rPr>
          <w:lang w:val="en-US"/>
        </w:rPr>
        <w:t xml:space="preserve"> Monetary Policy: Goals, Institutions, Strategies, and Instruments, Oxford University Press</w:t>
      </w:r>
      <w:r w:rsidR="00132E57" w:rsidRPr="00060883">
        <w:rPr>
          <w:lang w:val="en-US"/>
        </w:rPr>
        <w:t>.</w:t>
      </w:r>
    </w:p>
  </w:footnote>
  <w:footnote w:id="3">
    <w:p w:rsidR="007F2F29" w:rsidRPr="00060883" w:rsidRDefault="007F2F29" w:rsidP="00F00E6C">
      <w:pPr>
        <w:pStyle w:val="Textonotapie"/>
        <w:jc w:val="both"/>
      </w:pPr>
      <w:r w:rsidRPr="00060883">
        <w:rPr>
          <w:rStyle w:val="Refdenotaalpie"/>
        </w:rPr>
        <w:footnoteRef/>
      </w:r>
      <w:r w:rsidRPr="00060883">
        <w:t xml:space="preserve"> Vargas Buendia, Juan Manuel (2002)</w:t>
      </w:r>
      <w:r w:rsidR="00F00E6C" w:rsidRPr="00060883">
        <w:t>:</w:t>
      </w:r>
      <w:r w:rsidRPr="00060883">
        <w:t xml:space="preserve"> Sustitución Monetaria en Colombia: Costos Y Beneficios.</w:t>
      </w:r>
      <w:r w:rsidR="00F00E6C" w:rsidRPr="00060883">
        <w:t xml:space="preserve"> Trabajo de grado Magíster en Ciencias Económicas de la Universidad Nacional de Colombia</w:t>
      </w:r>
    </w:p>
  </w:footnote>
  <w:footnote w:id="4">
    <w:p w:rsidR="00F00E6C" w:rsidRPr="00060883" w:rsidRDefault="00F00E6C" w:rsidP="00F00E6C">
      <w:pPr>
        <w:pStyle w:val="Textonotapie"/>
        <w:jc w:val="both"/>
      </w:pPr>
      <w:r w:rsidRPr="00060883">
        <w:rPr>
          <w:rStyle w:val="Refdenotaalpie"/>
        </w:rPr>
        <w:footnoteRef/>
      </w:r>
      <w:r w:rsidRPr="00060883">
        <w:t xml:space="preserve"> Arango, Luis Eduardo (1999): Un perfil de las necesidades de moneda en la próxima década. Bogotá: mimeo.</w:t>
      </w:r>
    </w:p>
  </w:footnote>
  <w:footnote w:id="5">
    <w:p w:rsidR="00F00E6C" w:rsidRPr="00060883" w:rsidRDefault="00F00E6C">
      <w:pPr>
        <w:pStyle w:val="Textonotapie"/>
      </w:pPr>
      <w:r w:rsidRPr="00060883">
        <w:rPr>
          <w:rStyle w:val="Refdenotaalpie"/>
        </w:rPr>
        <w:footnoteRef/>
      </w:r>
      <w:r w:rsidRPr="00060883">
        <w:t xml:space="preserve"> Ahmad, Mahmud (2007): Al-Islam al-libaralí. Beirut.</w:t>
      </w:r>
    </w:p>
  </w:footnote>
  <w:footnote w:id="6">
    <w:p w:rsidR="00AF5E7C" w:rsidRPr="00060883" w:rsidRDefault="00AF5E7C" w:rsidP="00C4544D">
      <w:pPr>
        <w:pStyle w:val="Textonotapie"/>
        <w:jc w:val="both"/>
      </w:pPr>
      <w:r w:rsidRPr="00060883">
        <w:rPr>
          <w:rStyle w:val="Refdenotaalpie"/>
        </w:rPr>
        <w:footnoteRef/>
      </w:r>
      <w:r w:rsidRPr="00060883">
        <w:t xml:space="preserve"> Cifra calculada teniendo en cuenta la tasa de cambio, precios de materias primas y cantidad de monedas en circulación a marzo de 2018. </w:t>
      </w:r>
    </w:p>
  </w:footnote>
  <w:footnote w:id="7">
    <w:p w:rsidR="00F00E6C" w:rsidRPr="00060883" w:rsidRDefault="00F00E6C">
      <w:pPr>
        <w:pStyle w:val="Textonotapie"/>
        <w:rPr>
          <w:lang w:val="en-US"/>
        </w:rPr>
      </w:pPr>
      <w:r w:rsidRPr="00060883">
        <w:rPr>
          <w:rStyle w:val="Refdenotaalpie"/>
        </w:rPr>
        <w:footnoteRef/>
      </w:r>
      <w:r w:rsidRPr="00060883">
        <w:rPr>
          <w:lang w:val="en-US"/>
        </w:rPr>
        <w:t>Tarhan, S. (2006) : “The New Turkish Lira”, www.econ.umn.edu/tarhan</w:t>
      </w:r>
    </w:p>
  </w:footnote>
  <w:footnote w:id="8">
    <w:p w:rsidR="00132E57" w:rsidRPr="00060883" w:rsidRDefault="00132E57">
      <w:pPr>
        <w:pStyle w:val="Textonotapie"/>
        <w:rPr>
          <w:lang w:val="en-US"/>
        </w:rPr>
      </w:pPr>
      <w:r w:rsidRPr="00060883">
        <w:rPr>
          <w:rStyle w:val="Refdenotaalpie"/>
        </w:rPr>
        <w:footnoteRef/>
      </w:r>
      <w:r w:rsidRPr="00060883">
        <w:rPr>
          <w:lang w:val="en-US"/>
        </w:rPr>
        <w:t xml:space="preserve"> Araki, N. (2001): Exchange Rate Policy of Russia: Lessons to learn from Russian Experiences, Economic and Social Research Institute, Rus</w:t>
      </w:r>
      <w:r w:rsidR="00E13704">
        <w:rPr>
          <w:lang w:val="en-US"/>
        </w:rPr>
        <w:t>s</w:t>
      </w:r>
      <w:r w:rsidRPr="00060883">
        <w:rPr>
          <w:lang w:val="en-US"/>
        </w:rPr>
        <w:t>ia</w:t>
      </w:r>
    </w:p>
  </w:footnote>
  <w:footnote w:id="9">
    <w:p w:rsidR="00132E57" w:rsidRPr="00060883" w:rsidRDefault="00132E57">
      <w:pPr>
        <w:pStyle w:val="Textonotapie"/>
      </w:pPr>
      <w:r w:rsidRPr="00060883">
        <w:rPr>
          <w:rStyle w:val="Refdenotaalpie"/>
        </w:rPr>
        <w:footnoteRef/>
      </w:r>
      <w:r w:rsidRPr="00060883">
        <w:t xml:space="preserve"> Caballero, R. (2002): “Volatilidad Macroeconómica en Latinoamérica: Una vision y tres casos de estudio”, National Bureau of</w:t>
      </w:r>
      <w:r w:rsidR="00E13704">
        <w:t xml:space="preserve"> </w:t>
      </w:r>
      <w:r w:rsidRPr="00060883">
        <w:t>Economic</w:t>
      </w:r>
      <w:r w:rsidR="00E13704">
        <w:t xml:space="preserve"> </w:t>
      </w:r>
      <w:r w:rsidRPr="00060883">
        <w:t>Research, Working</w:t>
      </w:r>
      <w:r w:rsidR="00E13704">
        <w:t xml:space="preserve"> </w:t>
      </w:r>
      <w:r w:rsidRPr="00060883">
        <w:t>Paper No. 7782</w:t>
      </w:r>
    </w:p>
  </w:footnote>
  <w:footnote w:id="10">
    <w:p w:rsidR="00132E57" w:rsidRPr="00060883" w:rsidRDefault="00132E57">
      <w:pPr>
        <w:pStyle w:val="Textonotapie"/>
      </w:pPr>
      <w:r w:rsidRPr="00060883">
        <w:rPr>
          <w:rStyle w:val="Refdenotaalpie"/>
        </w:rPr>
        <w:footnoteRef/>
      </w:r>
      <w:r w:rsidRPr="00060883">
        <w:t xml:space="preserve"> Fondo Monetario Internacional (2003): Lecciones de la Crisis en Argentina.</w:t>
      </w:r>
    </w:p>
  </w:footnote>
  <w:footnote w:id="11">
    <w:p w:rsidR="00132E57" w:rsidRPr="00060883" w:rsidRDefault="00132E57">
      <w:pPr>
        <w:pStyle w:val="Textonotapie"/>
        <w:rPr>
          <w:lang w:val="en-US"/>
        </w:rPr>
      </w:pPr>
      <w:r w:rsidRPr="00060883">
        <w:rPr>
          <w:rStyle w:val="Refdenotaalpie"/>
        </w:rPr>
        <w:footnoteRef/>
      </w:r>
      <w:r w:rsidRPr="00060883">
        <w:rPr>
          <w:lang w:val="en-US"/>
        </w:rPr>
        <w:t>Calomiris, C. (2006): “Devaluation with Contract Redenomination in Argentina”, National Bureau of Economic Research Working Paper No. 12644.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40D"/>
    <w:multiLevelType w:val="hybridMultilevel"/>
    <w:tmpl w:val="9A424B9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C4023"/>
    <w:multiLevelType w:val="hybridMultilevel"/>
    <w:tmpl w:val="C45CA8D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D82C58"/>
    <w:multiLevelType w:val="hybridMultilevel"/>
    <w:tmpl w:val="B69CF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43076D"/>
    <w:multiLevelType w:val="hybridMultilevel"/>
    <w:tmpl w:val="BE0E9C86"/>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272203CF"/>
    <w:multiLevelType w:val="multilevel"/>
    <w:tmpl w:val="CCEE62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8392279"/>
    <w:multiLevelType w:val="hybridMultilevel"/>
    <w:tmpl w:val="A3EAD0E6"/>
    <w:lvl w:ilvl="0" w:tplc="6818D8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567B75"/>
    <w:multiLevelType w:val="hybridMultilevel"/>
    <w:tmpl w:val="18D053FC"/>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DD73C9"/>
    <w:multiLevelType w:val="hybridMultilevel"/>
    <w:tmpl w:val="C45CA8D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AC7B8D"/>
    <w:multiLevelType w:val="hybridMultilevel"/>
    <w:tmpl w:val="597C7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9906EA"/>
    <w:multiLevelType w:val="multilevel"/>
    <w:tmpl w:val="E8302274"/>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2"/>
  </w:num>
  <w:num w:numId="3">
    <w:abstractNumId w:val="8"/>
  </w:num>
  <w:num w:numId="4">
    <w:abstractNumId w:val="9"/>
  </w:num>
  <w:num w:numId="5">
    <w:abstractNumId w:val="7"/>
  </w:num>
  <w:num w:numId="6">
    <w:abstractNumId w:val="3"/>
  </w:num>
  <w:num w:numId="7">
    <w:abstractNumId w:val="0"/>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F6"/>
    <w:rsid w:val="00034C9D"/>
    <w:rsid w:val="00047249"/>
    <w:rsid w:val="00057BE7"/>
    <w:rsid w:val="00060883"/>
    <w:rsid w:val="00061FDA"/>
    <w:rsid w:val="00096940"/>
    <w:rsid w:val="000B2BE6"/>
    <w:rsid w:val="000B4D98"/>
    <w:rsid w:val="00103398"/>
    <w:rsid w:val="001239AC"/>
    <w:rsid w:val="001266DF"/>
    <w:rsid w:val="00132E57"/>
    <w:rsid w:val="001417E5"/>
    <w:rsid w:val="00142595"/>
    <w:rsid w:val="00143440"/>
    <w:rsid w:val="0015290D"/>
    <w:rsid w:val="00153189"/>
    <w:rsid w:val="00176AA5"/>
    <w:rsid w:val="001C25BC"/>
    <w:rsid w:val="001C62B8"/>
    <w:rsid w:val="001D03D1"/>
    <w:rsid w:val="001D0839"/>
    <w:rsid w:val="001D6513"/>
    <w:rsid w:val="001D69C8"/>
    <w:rsid w:val="001D78F6"/>
    <w:rsid w:val="001E5F26"/>
    <w:rsid w:val="001F3ACD"/>
    <w:rsid w:val="00215118"/>
    <w:rsid w:val="00292426"/>
    <w:rsid w:val="002B0484"/>
    <w:rsid w:val="002D08D7"/>
    <w:rsid w:val="00322086"/>
    <w:rsid w:val="003642C3"/>
    <w:rsid w:val="00371001"/>
    <w:rsid w:val="003C0AD9"/>
    <w:rsid w:val="003D6C81"/>
    <w:rsid w:val="004153A2"/>
    <w:rsid w:val="00436284"/>
    <w:rsid w:val="00446E30"/>
    <w:rsid w:val="004614D7"/>
    <w:rsid w:val="00470E31"/>
    <w:rsid w:val="004A596E"/>
    <w:rsid w:val="004A6A52"/>
    <w:rsid w:val="004E491D"/>
    <w:rsid w:val="004F31AF"/>
    <w:rsid w:val="00505B87"/>
    <w:rsid w:val="00512DAC"/>
    <w:rsid w:val="00523288"/>
    <w:rsid w:val="005753DD"/>
    <w:rsid w:val="00580391"/>
    <w:rsid w:val="00591D12"/>
    <w:rsid w:val="005B2908"/>
    <w:rsid w:val="005B5DA5"/>
    <w:rsid w:val="005C2A8B"/>
    <w:rsid w:val="005C3433"/>
    <w:rsid w:val="005E3334"/>
    <w:rsid w:val="006065D1"/>
    <w:rsid w:val="006309E6"/>
    <w:rsid w:val="0064298D"/>
    <w:rsid w:val="00672608"/>
    <w:rsid w:val="00673E85"/>
    <w:rsid w:val="00680BC3"/>
    <w:rsid w:val="006A0B8F"/>
    <w:rsid w:val="006A78B2"/>
    <w:rsid w:val="006A7F85"/>
    <w:rsid w:val="00704D0A"/>
    <w:rsid w:val="00707439"/>
    <w:rsid w:val="00742CB2"/>
    <w:rsid w:val="007617F8"/>
    <w:rsid w:val="007841DD"/>
    <w:rsid w:val="007C68EE"/>
    <w:rsid w:val="007C7A36"/>
    <w:rsid w:val="007F1DA0"/>
    <w:rsid w:val="007F2F29"/>
    <w:rsid w:val="007F6124"/>
    <w:rsid w:val="00837BC0"/>
    <w:rsid w:val="00841A12"/>
    <w:rsid w:val="00864237"/>
    <w:rsid w:val="00875B9A"/>
    <w:rsid w:val="00883A7B"/>
    <w:rsid w:val="008863FB"/>
    <w:rsid w:val="008A1F22"/>
    <w:rsid w:val="008A6116"/>
    <w:rsid w:val="008D7560"/>
    <w:rsid w:val="009275CA"/>
    <w:rsid w:val="00972D88"/>
    <w:rsid w:val="009E42CE"/>
    <w:rsid w:val="00A47D35"/>
    <w:rsid w:val="00A775F9"/>
    <w:rsid w:val="00AA5954"/>
    <w:rsid w:val="00AF27FF"/>
    <w:rsid w:val="00AF5E7C"/>
    <w:rsid w:val="00B178D6"/>
    <w:rsid w:val="00B508D6"/>
    <w:rsid w:val="00B517AB"/>
    <w:rsid w:val="00B8443B"/>
    <w:rsid w:val="00B8508C"/>
    <w:rsid w:val="00B94F63"/>
    <w:rsid w:val="00BB0FFB"/>
    <w:rsid w:val="00BB1F8F"/>
    <w:rsid w:val="00BB35DE"/>
    <w:rsid w:val="00C02851"/>
    <w:rsid w:val="00C2232D"/>
    <w:rsid w:val="00C372F6"/>
    <w:rsid w:val="00C40B71"/>
    <w:rsid w:val="00C4544D"/>
    <w:rsid w:val="00C70452"/>
    <w:rsid w:val="00C77549"/>
    <w:rsid w:val="00C807A8"/>
    <w:rsid w:val="00CA20ED"/>
    <w:rsid w:val="00D0080A"/>
    <w:rsid w:val="00D01DF6"/>
    <w:rsid w:val="00D51409"/>
    <w:rsid w:val="00D81356"/>
    <w:rsid w:val="00DA3146"/>
    <w:rsid w:val="00DA3F60"/>
    <w:rsid w:val="00DB685D"/>
    <w:rsid w:val="00DC7E02"/>
    <w:rsid w:val="00DD02F9"/>
    <w:rsid w:val="00DF16B1"/>
    <w:rsid w:val="00E04D27"/>
    <w:rsid w:val="00E06E0B"/>
    <w:rsid w:val="00E13704"/>
    <w:rsid w:val="00E267F4"/>
    <w:rsid w:val="00E433F0"/>
    <w:rsid w:val="00E470FB"/>
    <w:rsid w:val="00E545EF"/>
    <w:rsid w:val="00E55906"/>
    <w:rsid w:val="00E741A6"/>
    <w:rsid w:val="00E747E2"/>
    <w:rsid w:val="00E74BA3"/>
    <w:rsid w:val="00E75506"/>
    <w:rsid w:val="00E96BCF"/>
    <w:rsid w:val="00EB283B"/>
    <w:rsid w:val="00EB467B"/>
    <w:rsid w:val="00EC45DE"/>
    <w:rsid w:val="00ED484F"/>
    <w:rsid w:val="00F00E6C"/>
    <w:rsid w:val="00F2606C"/>
    <w:rsid w:val="00F47519"/>
    <w:rsid w:val="00F73E8C"/>
    <w:rsid w:val="00F87F1C"/>
    <w:rsid w:val="00FB2FA2"/>
    <w:rsid w:val="00FB7478"/>
    <w:rsid w:val="00FC38E5"/>
    <w:rsid w:val="00FD1C2D"/>
    <w:rsid w:val="00FD48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736FF-61CA-4C0A-B79D-6FB7E0A5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02"/>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DC7E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7E02"/>
    <w:rPr>
      <w:rFonts w:asciiTheme="majorHAnsi" w:eastAsiaTheme="majorEastAsia" w:hAnsiTheme="majorHAnsi" w:cstheme="majorBidi"/>
      <w:color w:val="2E74B5" w:themeColor="accent1" w:themeShade="BF"/>
      <w:sz w:val="32"/>
      <w:szCs w:val="32"/>
      <w:lang w:eastAsia="es-CO"/>
    </w:rPr>
  </w:style>
  <w:style w:type="paragraph" w:styleId="NormalWeb">
    <w:name w:val="Normal (Web)"/>
    <w:basedOn w:val="Normal"/>
    <w:uiPriority w:val="99"/>
    <w:unhideWhenUsed/>
    <w:rsid w:val="00DC7E02"/>
    <w:pPr>
      <w:spacing w:before="100" w:beforeAutospacing="1" w:after="100" w:afterAutospacing="1"/>
    </w:pPr>
  </w:style>
  <w:style w:type="character" w:styleId="Textoennegrita">
    <w:name w:val="Strong"/>
    <w:basedOn w:val="Fuentedeprrafopredeter"/>
    <w:uiPriority w:val="22"/>
    <w:qFormat/>
    <w:rsid w:val="00DC7E02"/>
    <w:rPr>
      <w:b/>
      <w:bCs/>
    </w:rPr>
  </w:style>
  <w:style w:type="paragraph" w:styleId="Piedepgina">
    <w:name w:val="footer"/>
    <w:basedOn w:val="Normal"/>
    <w:link w:val="PiedepginaCar"/>
    <w:uiPriority w:val="99"/>
    <w:unhideWhenUsed/>
    <w:rsid w:val="00DC7E02"/>
    <w:pPr>
      <w:tabs>
        <w:tab w:val="center" w:pos="4419"/>
        <w:tab w:val="right" w:pos="8838"/>
      </w:tabs>
    </w:pPr>
  </w:style>
  <w:style w:type="character" w:customStyle="1" w:styleId="PiedepginaCar">
    <w:name w:val="Pie de página Car"/>
    <w:basedOn w:val="Fuentedeprrafopredeter"/>
    <w:link w:val="Piedepgina"/>
    <w:uiPriority w:val="99"/>
    <w:rsid w:val="00DC7E02"/>
    <w:rPr>
      <w:rFonts w:ascii="Times New Roman" w:eastAsia="Times New Roman" w:hAnsi="Times New Roman" w:cs="Times New Roman"/>
      <w:sz w:val="24"/>
      <w:szCs w:val="24"/>
      <w:lang w:eastAsia="es-CO"/>
    </w:rPr>
  </w:style>
  <w:style w:type="paragraph" w:customStyle="1" w:styleId="Default">
    <w:name w:val="Default"/>
    <w:basedOn w:val="Normal"/>
    <w:rsid w:val="00DC7E02"/>
    <w:pPr>
      <w:autoSpaceDE w:val="0"/>
      <w:autoSpaceDN w:val="0"/>
    </w:pPr>
    <w:rPr>
      <w:rFonts w:ascii="Calibri" w:eastAsiaTheme="minorHAnsi" w:hAnsi="Calibri"/>
      <w:color w:val="000000"/>
      <w:lang w:eastAsia="en-US"/>
    </w:rPr>
  </w:style>
  <w:style w:type="character" w:styleId="Refdecomentario">
    <w:name w:val="annotation reference"/>
    <w:basedOn w:val="Fuentedeprrafopredeter"/>
    <w:uiPriority w:val="99"/>
    <w:semiHidden/>
    <w:unhideWhenUsed/>
    <w:rsid w:val="00DC7E02"/>
    <w:rPr>
      <w:sz w:val="16"/>
      <w:szCs w:val="16"/>
    </w:rPr>
  </w:style>
  <w:style w:type="paragraph" w:styleId="Textocomentario">
    <w:name w:val="annotation text"/>
    <w:basedOn w:val="Normal"/>
    <w:link w:val="TextocomentarioCar"/>
    <w:uiPriority w:val="99"/>
    <w:semiHidden/>
    <w:unhideWhenUsed/>
    <w:rsid w:val="00DC7E02"/>
    <w:rPr>
      <w:sz w:val="20"/>
      <w:szCs w:val="20"/>
    </w:rPr>
  </w:style>
  <w:style w:type="character" w:customStyle="1" w:styleId="TextocomentarioCar">
    <w:name w:val="Texto comentario Car"/>
    <w:basedOn w:val="Fuentedeprrafopredeter"/>
    <w:link w:val="Textocomentario"/>
    <w:uiPriority w:val="99"/>
    <w:semiHidden/>
    <w:rsid w:val="00DC7E02"/>
    <w:rPr>
      <w:rFonts w:ascii="Times New Roman" w:eastAsia="Times New Roman" w:hAnsi="Times New Roman" w:cs="Times New Roman"/>
      <w:sz w:val="20"/>
      <w:szCs w:val="20"/>
      <w:lang w:eastAsia="es-CO"/>
    </w:rPr>
  </w:style>
  <w:style w:type="paragraph" w:styleId="Textodeglobo">
    <w:name w:val="Balloon Text"/>
    <w:basedOn w:val="Normal"/>
    <w:link w:val="TextodegloboCar"/>
    <w:uiPriority w:val="99"/>
    <w:semiHidden/>
    <w:unhideWhenUsed/>
    <w:rsid w:val="00DC7E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E02"/>
    <w:rPr>
      <w:rFonts w:ascii="Segoe UI" w:eastAsia="Times New Roman" w:hAnsi="Segoe UI" w:cs="Segoe UI"/>
      <w:sz w:val="18"/>
      <w:szCs w:val="18"/>
      <w:lang w:eastAsia="es-CO"/>
    </w:rPr>
  </w:style>
  <w:style w:type="paragraph" w:styleId="Prrafodelista">
    <w:name w:val="List Paragraph"/>
    <w:basedOn w:val="Normal"/>
    <w:uiPriority w:val="34"/>
    <w:qFormat/>
    <w:rsid w:val="00C4544D"/>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C4544D"/>
    <w:rPr>
      <w:sz w:val="20"/>
      <w:szCs w:val="20"/>
    </w:rPr>
  </w:style>
  <w:style w:type="character" w:customStyle="1" w:styleId="TextonotapieCar">
    <w:name w:val="Texto nota pie Car"/>
    <w:basedOn w:val="Fuentedeprrafopredeter"/>
    <w:link w:val="Textonotapie"/>
    <w:uiPriority w:val="99"/>
    <w:rsid w:val="00C4544D"/>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C4544D"/>
    <w:rPr>
      <w:vertAlign w:val="superscript"/>
    </w:rPr>
  </w:style>
  <w:style w:type="paragraph" w:styleId="Asuntodelcomentario">
    <w:name w:val="annotation subject"/>
    <w:basedOn w:val="Textocomentario"/>
    <w:next w:val="Textocomentario"/>
    <w:link w:val="AsuntodelcomentarioCar"/>
    <w:uiPriority w:val="99"/>
    <w:semiHidden/>
    <w:unhideWhenUsed/>
    <w:rsid w:val="00060883"/>
    <w:rPr>
      <w:b/>
      <w:bCs/>
    </w:rPr>
  </w:style>
  <w:style w:type="character" w:customStyle="1" w:styleId="AsuntodelcomentarioCar">
    <w:name w:val="Asunto del comentario Car"/>
    <w:basedOn w:val="TextocomentarioCar"/>
    <w:link w:val="Asuntodelcomentario"/>
    <w:uiPriority w:val="99"/>
    <w:semiHidden/>
    <w:rsid w:val="00060883"/>
    <w:rPr>
      <w:rFonts w:ascii="Times New Roman" w:eastAsia="Times New Roman" w:hAnsi="Times New Roman" w:cs="Times New Roman"/>
      <w:b/>
      <w:bCs/>
      <w:sz w:val="20"/>
      <w:szCs w:val="20"/>
      <w:lang w:eastAsia="es-CO"/>
    </w:rPr>
  </w:style>
  <w:style w:type="paragraph" w:styleId="Revisin">
    <w:name w:val="Revision"/>
    <w:hidden/>
    <w:uiPriority w:val="99"/>
    <w:semiHidden/>
    <w:rsid w:val="00060883"/>
    <w:pPr>
      <w:spacing w:after="0"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60883"/>
    <w:pPr>
      <w:tabs>
        <w:tab w:val="center" w:pos="4419"/>
        <w:tab w:val="right" w:pos="8838"/>
      </w:tabs>
    </w:pPr>
  </w:style>
  <w:style w:type="character" w:customStyle="1" w:styleId="EncabezadoCar">
    <w:name w:val="Encabezado Car"/>
    <w:basedOn w:val="Fuentedeprrafopredeter"/>
    <w:link w:val="Encabezado"/>
    <w:uiPriority w:val="99"/>
    <w:rsid w:val="00060883"/>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JGAONA\Downloads\1.3.1.IPC_Total%20nacional%20-%20IQ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lumMod val="50000"/>
                </a:schemeClr>
              </a:solidFill>
              <a:round/>
            </a:ln>
            <a:effectLst/>
          </c:spPr>
          <c:marker>
            <c:symbol val="none"/>
          </c:marker>
          <c:cat>
            <c:numRef>
              <c:f>Sheet1!$H$22:$H$772</c:f>
              <c:numCache>
                <c:formatCode>mmm\-yy</c:formatCode>
                <c:ptCount val="751"/>
                <c:pt idx="0">
                  <c:v>20271</c:v>
                </c:pt>
                <c:pt idx="1">
                  <c:v>20302</c:v>
                </c:pt>
                <c:pt idx="2">
                  <c:v>20333</c:v>
                </c:pt>
                <c:pt idx="3">
                  <c:v>20363</c:v>
                </c:pt>
                <c:pt idx="4">
                  <c:v>20394</c:v>
                </c:pt>
                <c:pt idx="5">
                  <c:v>20424</c:v>
                </c:pt>
                <c:pt idx="6">
                  <c:v>20455</c:v>
                </c:pt>
                <c:pt idx="7">
                  <c:v>20486</c:v>
                </c:pt>
                <c:pt idx="8">
                  <c:v>20515</c:v>
                </c:pt>
                <c:pt idx="9">
                  <c:v>20546</c:v>
                </c:pt>
                <c:pt idx="10">
                  <c:v>20576</c:v>
                </c:pt>
                <c:pt idx="11">
                  <c:v>20607</c:v>
                </c:pt>
                <c:pt idx="12">
                  <c:v>20637</c:v>
                </c:pt>
                <c:pt idx="13">
                  <c:v>20668</c:v>
                </c:pt>
                <c:pt idx="14">
                  <c:v>20699</c:v>
                </c:pt>
                <c:pt idx="15">
                  <c:v>20729</c:v>
                </c:pt>
                <c:pt idx="16">
                  <c:v>20760</c:v>
                </c:pt>
                <c:pt idx="17">
                  <c:v>20790</c:v>
                </c:pt>
                <c:pt idx="18">
                  <c:v>20821</c:v>
                </c:pt>
                <c:pt idx="19">
                  <c:v>20852</c:v>
                </c:pt>
                <c:pt idx="20">
                  <c:v>20880</c:v>
                </c:pt>
                <c:pt idx="21">
                  <c:v>20911</c:v>
                </c:pt>
                <c:pt idx="22">
                  <c:v>20941</c:v>
                </c:pt>
                <c:pt idx="23">
                  <c:v>20972</c:v>
                </c:pt>
                <c:pt idx="24">
                  <c:v>21002</c:v>
                </c:pt>
                <c:pt idx="25">
                  <c:v>21033</c:v>
                </c:pt>
                <c:pt idx="26">
                  <c:v>21064</c:v>
                </c:pt>
                <c:pt idx="27">
                  <c:v>21094</c:v>
                </c:pt>
                <c:pt idx="28">
                  <c:v>21125</c:v>
                </c:pt>
                <c:pt idx="29">
                  <c:v>21155</c:v>
                </c:pt>
                <c:pt idx="30">
                  <c:v>21186</c:v>
                </c:pt>
                <c:pt idx="31">
                  <c:v>21217</c:v>
                </c:pt>
                <c:pt idx="32">
                  <c:v>21245</c:v>
                </c:pt>
                <c:pt idx="33">
                  <c:v>21276</c:v>
                </c:pt>
                <c:pt idx="34">
                  <c:v>21306</c:v>
                </c:pt>
                <c:pt idx="35">
                  <c:v>21337</c:v>
                </c:pt>
                <c:pt idx="36">
                  <c:v>21367</c:v>
                </c:pt>
                <c:pt idx="37">
                  <c:v>21398</c:v>
                </c:pt>
                <c:pt idx="38">
                  <c:v>21429</c:v>
                </c:pt>
                <c:pt idx="39">
                  <c:v>21459</c:v>
                </c:pt>
                <c:pt idx="40">
                  <c:v>21490</c:v>
                </c:pt>
                <c:pt idx="41">
                  <c:v>21520</c:v>
                </c:pt>
                <c:pt idx="42">
                  <c:v>21551</c:v>
                </c:pt>
                <c:pt idx="43">
                  <c:v>21582</c:v>
                </c:pt>
                <c:pt idx="44">
                  <c:v>21610</c:v>
                </c:pt>
                <c:pt idx="45">
                  <c:v>21641</c:v>
                </c:pt>
                <c:pt idx="46">
                  <c:v>21671</c:v>
                </c:pt>
                <c:pt idx="47">
                  <c:v>21702</c:v>
                </c:pt>
                <c:pt idx="48">
                  <c:v>21732</c:v>
                </c:pt>
                <c:pt idx="49">
                  <c:v>21763</c:v>
                </c:pt>
                <c:pt idx="50">
                  <c:v>21794</c:v>
                </c:pt>
                <c:pt idx="51">
                  <c:v>21824</c:v>
                </c:pt>
                <c:pt idx="52">
                  <c:v>21855</c:v>
                </c:pt>
                <c:pt idx="53">
                  <c:v>21885</c:v>
                </c:pt>
                <c:pt idx="54">
                  <c:v>21916</c:v>
                </c:pt>
                <c:pt idx="55">
                  <c:v>21947</c:v>
                </c:pt>
                <c:pt idx="56">
                  <c:v>21976</c:v>
                </c:pt>
                <c:pt idx="57">
                  <c:v>22007</c:v>
                </c:pt>
                <c:pt idx="58">
                  <c:v>22037</c:v>
                </c:pt>
                <c:pt idx="59">
                  <c:v>22068</c:v>
                </c:pt>
                <c:pt idx="60">
                  <c:v>22098</c:v>
                </c:pt>
                <c:pt idx="61">
                  <c:v>22129</c:v>
                </c:pt>
                <c:pt idx="62">
                  <c:v>22160</c:v>
                </c:pt>
                <c:pt idx="63">
                  <c:v>22190</c:v>
                </c:pt>
                <c:pt idx="64">
                  <c:v>22221</c:v>
                </c:pt>
                <c:pt idx="65">
                  <c:v>22251</c:v>
                </c:pt>
                <c:pt idx="66">
                  <c:v>22282</c:v>
                </c:pt>
                <c:pt idx="67">
                  <c:v>22313</c:v>
                </c:pt>
                <c:pt idx="68">
                  <c:v>22341</c:v>
                </c:pt>
                <c:pt idx="69">
                  <c:v>22372</c:v>
                </c:pt>
                <c:pt idx="70">
                  <c:v>22402</c:v>
                </c:pt>
                <c:pt idx="71">
                  <c:v>22433</c:v>
                </c:pt>
                <c:pt idx="72">
                  <c:v>22463</c:v>
                </c:pt>
                <c:pt idx="73">
                  <c:v>22494</c:v>
                </c:pt>
                <c:pt idx="74">
                  <c:v>22525</c:v>
                </c:pt>
                <c:pt idx="75">
                  <c:v>22555</c:v>
                </c:pt>
                <c:pt idx="76">
                  <c:v>22586</c:v>
                </c:pt>
                <c:pt idx="77">
                  <c:v>22616</c:v>
                </c:pt>
                <c:pt idx="78">
                  <c:v>22647</c:v>
                </c:pt>
                <c:pt idx="79">
                  <c:v>22678</c:v>
                </c:pt>
                <c:pt idx="80">
                  <c:v>22706</c:v>
                </c:pt>
                <c:pt idx="81">
                  <c:v>22737</c:v>
                </c:pt>
                <c:pt idx="82">
                  <c:v>22767</c:v>
                </c:pt>
                <c:pt idx="83">
                  <c:v>22798</c:v>
                </c:pt>
                <c:pt idx="84">
                  <c:v>22828</c:v>
                </c:pt>
                <c:pt idx="85">
                  <c:v>22859</c:v>
                </c:pt>
                <c:pt idx="86">
                  <c:v>22890</c:v>
                </c:pt>
                <c:pt idx="87">
                  <c:v>22920</c:v>
                </c:pt>
                <c:pt idx="88">
                  <c:v>22951</c:v>
                </c:pt>
                <c:pt idx="89">
                  <c:v>22981</c:v>
                </c:pt>
                <c:pt idx="90">
                  <c:v>23012</c:v>
                </c:pt>
                <c:pt idx="91">
                  <c:v>23043</c:v>
                </c:pt>
                <c:pt idx="92">
                  <c:v>23071</c:v>
                </c:pt>
                <c:pt idx="93">
                  <c:v>23102</c:v>
                </c:pt>
                <c:pt idx="94">
                  <c:v>23132</c:v>
                </c:pt>
                <c:pt idx="95">
                  <c:v>23163</c:v>
                </c:pt>
                <c:pt idx="96">
                  <c:v>23193</c:v>
                </c:pt>
                <c:pt idx="97">
                  <c:v>23224</c:v>
                </c:pt>
                <c:pt idx="98">
                  <c:v>23255</c:v>
                </c:pt>
                <c:pt idx="99">
                  <c:v>23285</c:v>
                </c:pt>
                <c:pt idx="100">
                  <c:v>23316</c:v>
                </c:pt>
                <c:pt idx="101">
                  <c:v>23346</c:v>
                </c:pt>
                <c:pt idx="102">
                  <c:v>23377</c:v>
                </c:pt>
                <c:pt idx="103">
                  <c:v>23408</c:v>
                </c:pt>
                <c:pt idx="104">
                  <c:v>23437</c:v>
                </c:pt>
                <c:pt idx="105">
                  <c:v>23468</c:v>
                </c:pt>
                <c:pt idx="106">
                  <c:v>23498</c:v>
                </c:pt>
                <c:pt idx="107">
                  <c:v>23529</c:v>
                </c:pt>
                <c:pt idx="108">
                  <c:v>23559</c:v>
                </c:pt>
                <c:pt idx="109">
                  <c:v>23590</c:v>
                </c:pt>
                <c:pt idx="110">
                  <c:v>23621</c:v>
                </c:pt>
                <c:pt idx="111">
                  <c:v>23651</c:v>
                </c:pt>
                <c:pt idx="112">
                  <c:v>23682</c:v>
                </c:pt>
                <c:pt idx="113">
                  <c:v>23712</c:v>
                </c:pt>
                <c:pt idx="114">
                  <c:v>23743</c:v>
                </c:pt>
                <c:pt idx="115">
                  <c:v>23774</c:v>
                </c:pt>
                <c:pt idx="116">
                  <c:v>23802</c:v>
                </c:pt>
                <c:pt idx="117">
                  <c:v>23833</c:v>
                </c:pt>
                <c:pt idx="118">
                  <c:v>23863</c:v>
                </c:pt>
                <c:pt idx="119">
                  <c:v>23894</c:v>
                </c:pt>
                <c:pt idx="120">
                  <c:v>23924</c:v>
                </c:pt>
                <c:pt idx="121">
                  <c:v>23955</c:v>
                </c:pt>
                <c:pt idx="122">
                  <c:v>23986</c:v>
                </c:pt>
                <c:pt idx="123">
                  <c:v>24016</c:v>
                </c:pt>
                <c:pt idx="124">
                  <c:v>24047</c:v>
                </c:pt>
                <c:pt idx="125">
                  <c:v>24077</c:v>
                </c:pt>
                <c:pt idx="126">
                  <c:v>24108</c:v>
                </c:pt>
                <c:pt idx="127">
                  <c:v>24139</c:v>
                </c:pt>
                <c:pt idx="128">
                  <c:v>24167</c:v>
                </c:pt>
                <c:pt idx="129">
                  <c:v>24198</c:v>
                </c:pt>
                <c:pt idx="130">
                  <c:v>24228</c:v>
                </c:pt>
                <c:pt idx="131">
                  <c:v>24259</c:v>
                </c:pt>
                <c:pt idx="132">
                  <c:v>24289</c:v>
                </c:pt>
                <c:pt idx="133">
                  <c:v>24320</c:v>
                </c:pt>
                <c:pt idx="134">
                  <c:v>24351</c:v>
                </c:pt>
                <c:pt idx="135">
                  <c:v>24381</c:v>
                </c:pt>
                <c:pt idx="136">
                  <c:v>24412</c:v>
                </c:pt>
                <c:pt idx="137">
                  <c:v>24442</c:v>
                </c:pt>
                <c:pt idx="138">
                  <c:v>24473</c:v>
                </c:pt>
                <c:pt idx="139">
                  <c:v>24504</c:v>
                </c:pt>
                <c:pt idx="140">
                  <c:v>24532</c:v>
                </c:pt>
                <c:pt idx="141">
                  <c:v>24563</c:v>
                </c:pt>
                <c:pt idx="142">
                  <c:v>24593</c:v>
                </c:pt>
                <c:pt idx="143">
                  <c:v>24624</c:v>
                </c:pt>
                <c:pt idx="144">
                  <c:v>24654</c:v>
                </c:pt>
                <c:pt idx="145">
                  <c:v>24685</c:v>
                </c:pt>
                <c:pt idx="146">
                  <c:v>24716</c:v>
                </c:pt>
                <c:pt idx="147">
                  <c:v>24746</c:v>
                </c:pt>
                <c:pt idx="148">
                  <c:v>24777</c:v>
                </c:pt>
                <c:pt idx="149">
                  <c:v>24807</c:v>
                </c:pt>
                <c:pt idx="150">
                  <c:v>24838</c:v>
                </c:pt>
                <c:pt idx="151">
                  <c:v>24869</c:v>
                </c:pt>
                <c:pt idx="152">
                  <c:v>24898</c:v>
                </c:pt>
                <c:pt idx="153">
                  <c:v>24929</c:v>
                </c:pt>
                <c:pt idx="154">
                  <c:v>24959</c:v>
                </c:pt>
                <c:pt idx="155">
                  <c:v>24990</c:v>
                </c:pt>
                <c:pt idx="156">
                  <c:v>25020</c:v>
                </c:pt>
                <c:pt idx="157">
                  <c:v>25051</c:v>
                </c:pt>
                <c:pt idx="158">
                  <c:v>25082</c:v>
                </c:pt>
                <c:pt idx="159">
                  <c:v>25112</c:v>
                </c:pt>
                <c:pt idx="160">
                  <c:v>25143</c:v>
                </c:pt>
                <c:pt idx="161">
                  <c:v>25173</c:v>
                </c:pt>
                <c:pt idx="162">
                  <c:v>25204</c:v>
                </c:pt>
                <c:pt idx="163">
                  <c:v>25235</c:v>
                </c:pt>
                <c:pt idx="164">
                  <c:v>25263</c:v>
                </c:pt>
                <c:pt idx="165">
                  <c:v>25294</c:v>
                </c:pt>
                <c:pt idx="166">
                  <c:v>25324</c:v>
                </c:pt>
                <c:pt idx="167">
                  <c:v>25355</c:v>
                </c:pt>
                <c:pt idx="168">
                  <c:v>25385</c:v>
                </c:pt>
                <c:pt idx="169">
                  <c:v>25416</c:v>
                </c:pt>
                <c:pt idx="170">
                  <c:v>25447</c:v>
                </c:pt>
                <c:pt idx="171">
                  <c:v>25477</c:v>
                </c:pt>
                <c:pt idx="172">
                  <c:v>25508</c:v>
                </c:pt>
                <c:pt idx="173">
                  <c:v>25538</c:v>
                </c:pt>
                <c:pt idx="174">
                  <c:v>25569</c:v>
                </c:pt>
                <c:pt idx="175">
                  <c:v>25600</c:v>
                </c:pt>
                <c:pt idx="176">
                  <c:v>25628</c:v>
                </c:pt>
                <c:pt idx="177">
                  <c:v>25659</c:v>
                </c:pt>
                <c:pt idx="178">
                  <c:v>25689</c:v>
                </c:pt>
                <c:pt idx="179">
                  <c:v>25720</c:v>
                </c:pt>
                <c:pt idx="180">
                  <c:v>25750</c:v>
                </c:pt>
                <c:pt idx="181">
                  <c:v>25781</c:v>
                </c:pt>
                <c:pt idx="182">
                  <c:v>25812</c:v>
                </c:pt>
                <c:pt idx="183">
                  <c:v>25842</c:v>
                </c:pt>
                <c:pt idx="184">
                  <c:v>25873</c:v>
                </c:pt>
                <c:pt idx="185">
                  <c:v>25903</c:v>
                </c:pt>
                <c:pt idx="186">
                  <c:v>25934</c:v>
                </c:pt>
                <c:pt idx="187">
                  <c:v>25965</c:v>
                </c:pt>
                <c:pt idx="188">
                  <c:v>25993</c:v>
                </c:pt>
                <c:pt idx="189">
                  <c:v>26024</c:v>
                </c:pt>
                <c:pt idx="190">
                  <c:v>26054</c:v>
                </c:pt>
                <c:pt idx="191">
                  <c:v>26085</c:v>
                </c:pt>
                <c:pt idx="192">
                  <c:v>26115</c:v>
                </c:pt>
                <c:pt idx="193">
                  <c:v>26146</c:v>
                </c:pt>
                <c:pt idx="194">
                  <c:v>26177</c:v>
                </c:pt>
                <c:pt idx="195">
                  <c:v>26207</c:v>
                </c:pt>
                <c:pt idx="196">
                  <c:v>26238</c:v>
                </c:pt>
                <c:pt idx="197">
                  <c:v>26268</c:v>
                </c:pt>
                <c:pt idx="198">
                  <c:v>26299</c:v>
                </c:pt>
                <c:pt idx="199">
                  <c:v>26330</c:v>
                </c:pt>
                <c:pt idx="200">
                  <c:v>26359</c:v>
                </c:pt>
                <c:pt idx="201">
                  <c:v>26390</c:v>
                </c:pt>
                <c:pt idx="202">
                  <c:v>26420</c:v>
                </c:pt>
                <c:pt idx="203">
                  <c:v>26451</c:v>
                </c:pt>
                <c:pt idx="204">
                  <c:v>26481</c:v>
                </c:pt>
                <c:pt idx="205">
                  <c:v>26512</c:v>
                </c:pt>
                <c:pt idx="206">
                  <c:v>26543</c:v>
                </c:pt>
                <c:pt idx="207">
                  <c:v>26573</c:v>
                </c:pt>
                <c:pt idx="208">
                  <c:v>26604</c:v>
                </c:pt>
                <c:pt idx="209">
                  <c:v>26634</c:v>
                </c:pt>
                <c:pt idx="210">
                  <c:v>26665</c:v>
                </c:pt>
                <c:pt idx="211">
                  <c:v>26696</c:v>
                </c:pt>
                <c:pt idx="212">
                  <c:v>26724</c:v>
                </c:pt>
                <c:pt idx="213">
                  <c:v>26755</c:v>
                </c:pt>
                <c:pt idx="214">
                  <c:v>26785</c:v>
                </c:pt>
                <c:pt idx="215">
                  <c:v>26816</c:v>
                </c:pt>
                <c:pt idx="216">
                  <c:v>26846</c:v>
                </c:pt>
                <c:pt idx="217">
                  <c:v>26877</c:v>
                </c:pt>
                <c:pt idx="218">
                  <c:v>26908</c:v>
                </c:pt>
                <c:pt idx="219">
                  <c:v>26938</c:v>
                </c:pt>
                <c:pt idx="220">
                  <c:v>26969</c:v>
                </c:pt>
                <c:pt idx="221">
                  <c:v>26999</c:v>
                </c:pt>
                <c:pt idx="222">
                  <c:v>27030</c:v>
                </c:pt>
                <c:pt idx="223">
                  <c:v>27061</c:v>
                </c:pt>
                <c:pt idx="224">
                  <c:v>27089</c:v>
                </c:pt>
                <c:pt idx="225">
                  <c:v>27120</c:v>
                </c:pt>
                <c:pt idx="226">
                  <c:v>27150</c:v>
                </c:pt>
                <c:pt idx="227">
                  <c:v>27181</c:v>
                </c:pt>
                <c:pt idx="228">
                  <c:v>27211</c:v>
                </c:pt>
                <c:pt idx="229">
                  <c:v>27242</c:v>
                </c:pt>
                <c:pt idx="230">
                  <c:v>27273</c:v>
                </c:pt>
                <c:pt idx="231">
                  <c:v>27303</c:v>
                </c:pt>
                <c:pt idx="232">
                  <c:v>27334</c:v>
                </c:pt>
                <c:pt idx="233">
                  <c:v>27364</c:v>
                </c:pt>
                <c:pt idx="234">
                  <c:v>27395</c:v>
                </c:pt>
                <c:pt idx="235">
                  <c:v>27426</c:v>
                </c:pt>
                <c:pt idx="236">
                  <c:v>27454</c:v>
                </c:pt>
                <c:pt idx="237">
                  <c:v>27485</c:v>
                </c:pt>
                <c:pt idx="238">
                  <c:v>27515</c:v>
                </c:pt>
                <c:pt idx="239">
                  <c:v>27546</c:v>
                </c:pt>
                <c:pt idx="240">
                  <c:v>27576</c:v>
                </c:pt>
                <c:pt idx="241">
                  <c:v>27607</c:v>
                </c:pt>
                <c:pt idx="242">
                  <c:v>27638</c:v>
                </c:pt>
                <c:pt idx="243">
                  <c:v>27668</c:v>
                </c:pt>
                <c:pt idx="244">
                  <c:v>27699</c:v>
                </c:pt>
                <c:pt idx="245">
                  <c:v>27729</c:v>
                </c:pt>
                <c:pt idx="246">
                  <c:v>27760</c:v>
                </c:pt>
                <c:pt idx="247">
                  <c:v>27791</c:v>
                </c:pt>
                <c:pt idx="248">
                  <c:v>27820</c:v>
                </c:pt>
                <c:pt idx="249">
                  <c:v>27851</c:v>
                </c:pt>
                <c:pt idx="250">
                  <c:v>27881</c:v>
                </c:pt>
                <c:pt idx="251">
                  <c:v>27912</c:v>
                </c:pt>
                <c:pt idx="252">
                  <c:v>27942</c:v>
                </c:pt>
                <c:pt idx="253">
                  <c:v>27973</c:v>
                </c:pt>
                <c:pt idx="254">
                  <c:v>28004</c:v>
                </c:pt>
                <c:pt idx="255">
                  <c:v>28034</c:v>
                </c:pt>
                <c:pt idx="256">
                  <c:v>28065</c:v>
                </c:pt>
                <c:pt idx="257">
                  <c:v>28095</c:v>
                </c:pt>
                <c:pt idx="258">
                  <c:v>28126</c:v>
                </c:pt>
                <c:pt idx="259">
                  <c:v>28157</c:v>
                </c:pt>
                <c:pt idx="260">
                  <c:v>28185</c:v>
                </c:pt>
                <c:pt idx="261">
                  <c:v>28216</c:v>
                </c:pt>
                <c:pt idx="262">
                  <c:v>28246</c:v>
                </c:pt>
                <c:pt idx="263">
                  <c:v>28277</c:v>
                </c:pt>
                <c:pt idx="264">
                  <c:v>28307</c:v>
                </c:pt>
                <c:pt idx="265">
                  <c:v>28338</c:v>
                </c:pt>
                <c:pt idx="266">
                  <c:v>28369</c:v>
                </c:pt>
                <c:pt idx="267">
                  <c:v>28399</c:v>
                </c:pt>
                <c:pt idx="268">
                  <c:v>28430</c:v>
                </c:pt>
                <c:pt idx="269">
                  <c:v>28460</c:v>
                </c:pt>
                <c:pt idx="270">
                  <c:v>28491</c:v>
                </c:pt>
                <c:pt idx="271">
                  <c:v>28522</c:v>
                </c:pt>
                <c:pt idx="272">
                  <c:v>28550</c:v>
                </c:pt>
                <c:pt idx="273">
                  <c:v>28581</c:v>
                </c:pt>
                <c:pt idx="274">
                  <c:v>28611</c:v>
                </c:pt>
                <c:pt idx="275">
                  <c:v>28642</c:v>
                </c:pt>
                <c:pt idx="276">
                  <c:v>28672</c:v>
                </c:pt>
                <c:pt idx="277">
                  <c:v>28703</c:v>
                </c:pt>
                <c:pt idx="278">
                  <c:v>28734</c:v>
                </c:pt>
                <c:pt idx="279">
                  <c:v>28764</c:v>
                </c:pt>
                <c:pt idx="280">
                  <c:v>28795</c:v>
                </c:pt>
                <c:pt idx="281">
                  <c:v>28825</c:v>
                </c:pt>
                <c:pt idx="282">
                  <c:v>28856</c:v>
                </c:pt>
                <c:pt idx="283">
                  <c:v>28887</c:v>
                </c:pt>
                <c:pt idx="284">
                  <c:v>28915</c:v>
                </c:pt>
                <c:pt idx="285">
                  <c:v>28946</c:v>
                </c:pt>
                <c:pt idx="286">
                  <c:v>28976</c:v>
                </c:pt>
                <c:pt idx="287">
                  <c:v>29007</c:v>
                </c:pt>
                <c:pt idx="288">
                  <c:v>29037</c:v>
                </c:pt>
                <c:pt idx="289">
                  <c:v>29068</c:v>
                </c:pt>
                <c:pt idx="290">
                  <c:v>29099</c:v>
                </c:pt>
                <c:pt idx="291">
                  <c:v>29129</c:v>
                </c:pt>
                <c:pt idx="292">
                  <c:v>29160</c:v>
                </c:pt>
                <c:pt idx="293">
                  <c:v>29190</c:v>
                </c:pt>
                <c:pt idx="294">
                  <c:v>29221</c:v>
                </c:pt>
                <c:pt idx="295">
                  <c:v>29252</c:v>
                </c:pt>
                <c:pt idx="296">
                  <c:v>29281</c:v>
                </c:pt>
                <c:pt idx="297">
                  <c:v>29312</c:v>
                </c:pt>
                <c:pt idx="298">
                  <c:v>29342</c:v>
                </c:pt>
                <c:pt idx="299">
                  <c:v>29373</c:v>
                </c:pt>
                <c:pt idx="300">
                  <c:v>29403</c:v>
                </c:pt>
                <c:pt idx="301">
                  <c:v>29434</c:v>
                </c:pt>
                <c:pt idx="302">
                  <c:v>29465</c:v>
                </c:pt>
                <c:pt idx="303">
                  <c:v>29495</c:v>
                </c:pt>
                <c:pt idx="304">
                  <c:v>29526</c:v>
                </c:pt>
                <c:pt idx="305">
                  <c:v>29556</c:v>
                </c:pt>
                <c:pt idx="306">
                  <c:v>29587</c:v>
                </c:pt>
                <c:pt idx="307">
                  <c:v>29618</c:v>
                </c:pt>
                <c:pt idx="308">
                  <c:v>29646</c:v>
                </c:pt>
                <c:pt idx="309">
                  <c:v>29677</c:v>
                </c:pt>
                <c:pt idx="310">
                  <c:v>29707</c:v>
                </c:pt>
                <c:pt idx="311">
                  <c:v>29738</c:v>
                </c:pt>
                <c:pt idx="312">
                  <c:v>29768</c:v>
                </c:pt>
                <c:pt idx="313">
                  <c:v>29799</c:v>
                </c:pt>
                <c:pt idx="314">
                  <c:v>29830</c:v>
                </c:pt>
                <c:pt idx="315">
                  <c:v>29860</c:v>
                </c:pt>
                <c:pt idx="316">
                  <c:v>29891</c:v>
                </c:pt>
                <c:pt idx="317">
                  <c:v>29921</c:v>
                </c:pt>
                <c:pt idx="318">
                  <c:v>29952</c:v>
                </c:pt>
                <c:pt idx="319">
                  <c:v>29983</c:v>
                </c:pt>
                <c:pt idx="320">
                  <c:v>30011</c:v>
                </c:pt>
                <c:pt idx="321">
                  <c:v>30042</c:v>
                </c:pt>
                <c:pt idx="322">
                  <c:v>30072</c:v>
                </c:pt>
                <c:pt idx="323">
                  <c:v>30103</c:v>
                </c:pt>
                <c:pt idx="324">
                  <c:v>30133</c:v>
                </c:pt>
                <c:pt idx="325">
                  <c:v>30164</c:v>
                </c:pt>
                <c:pt idx="326">
                  <c:v>30195</c:v>
                </c:pt>
                <c:pt idx="327">
                  <c:v>30225</c:v>
                </c:pt>
                <c:pt idx="328">
                  <c:v>30256</c:v>
                </c:pt>
                <c:pt idx="329">
                  <c:v>30286</c:v>
                </c:pt>
                <c:pt idx="330">
                  <c:v>30317</c:v>
                </c:pt>
                <c:pt idx="331">
                  <c:v>30348</c:v>
                </c:pt>
                <c:pt idx="332">
                  <c:v>30376</c:v>
                </c:pt>
                <c:pt idx="333">
                  <c:v>30407</c:v>
                </c:pt>
                <c:pt idx="334">
                  <c:v>30437</c:v>
                </c:pt>
                <c:pt idx="335">
                  <c:v>30468</c:v>
                </c:pt>
                <c:pt idx="336">
                  <c:v>30498</c:v>
                </c:pt>
                <c:pt idx="337">
                  <c:v>30529</c:v>
                </c:pt>
                <c:pt idx="338">
                  <c:v>30560</c:v>
                </c:pt>
                <c:pt idx="339">
                  <c:v>30590</c:v>
                </c:pt>
                <c:pt idx="340">
                  <c:v>30621</c:v>
                </c:pt>
                <c:pt idx="341">
                  <c:v>30651</c:v>
                </c:pt>
                <c:pt idx="342">
                  <c:v>30682</c:v>
                </c:pt>
                <c:pt idx="343">
                  <c:v>30713</c:v>
                </c:pt>
                <c:pt idx="344">
                  <c:v>30742</c:v>
                </c:pt>
                <c:pt idx="345">
                  <c:v>30773</c:v>
                </c:pt>
                <c:pt idx="346">
                  <c:v>30803</c:v>
                </c:pt>
                <c:pt idx="347">
                  <c:v>30834</c:v>
                </c:pt>
                <c:pt idx="348">
                  <c:v>30864</c:v>
                </c:pt>
                <c:pt idx="349">
                  <c:v>30895</c:v>
                </c:pt>
                <c:pt idx="350">
                  <c:v>30926</c:v>
                </c:pt>
                <c:pt idx="351">
                  <c:v>30956</c:v>
                </c:pt>
                <c:pt idx="352">
                  <c:v>30987</c:v>
                </c:pt>
                <c:pt idx="353">
                  <c:v>31017</c:v>
                </c:pt>
                <c:pt idx="354">
                  <c:v>31048</c:v>
                </c:pt>
                <c:pt idx="355">
                  <c:v>31079</c:v>
                </c:pt>
                <c:pt idx="356">
                  <c:v>31107</c:v>
                </c:pt>
                <c:pt idx="357">
                  <c:v>31138</c:v>
                </c:pt>
                <c:pt idx="358">
                  <c:v>31168</c:v>
                </c:pt>
                <c:pt idx="359">
                  <c:v>31199</c:v>
                </c:pt>
                <c:pt idx="360">
                  <c:v>31229</c:v>
                </c:pt>
                <c:pt idx="361">
                  <c:v>31260</c:v>
                </c:pt>
                <c:pt idx="362">
                  <c:v>31291</c:v>
                </c:pt>
                <c:pt idx="363">
                  <c:v>31321</c:v>
                </c:pt>
                <c:pt idx="364">
                  <c:v>31352</c:v>
                </c:pt>
                <c:pt idx="365">
                  <c:v>31382</c:v>
                </c:pt>
                <c:pt idx="366">
                  <c:v>31413</c:v>
                </c:pt>
                <c:pt idx="367">
                  <c:v>31444</c:v>
                </c:pt>
                <c:pt idx="368">
                  <c:v>31472</c:v>
                </c:pt>
                <c:pt idx="369">
                  <c:v>31503</c:v>
                </c:pt>
                <c:pt idx="370">
                  <c:v>31533</c:v>
                </c:pt>
                <c:pt idx="371">
                  <c:v>31564</c:v>
                </c:pt>
                <c:pt idx="372">
                  <c:v>31594</c:v>
                </c:pt>
                <c:pt idx="373">
                  <c:v>31625</c:v>
                </c:pt>
                <c:pt idx="374">
                  <c:v>31656</c:v>
                </c:pt>
                <c:pt idx="375">
                  <c:v>31686</c:v>
                </c:pt>
                <c:pt idx="376">
                  <c:v>31717</c:v>
                </c:pt>
                <c:pt idx="377">
                  <c:v>31747</c:v>
                </c:pt>
                <c:pt idx="378">
                  <c:v>31778</c:v>
                </c:pt>
                <c:pt idx="379">
                  <c:v>31809</c:v>
                </c:pt>
                <c:pt idx="380">
                  <c:v>31837</c:v>
                </c:pt>
                <c:pt idx="381">
                  <c:v>31868</c:v>
                </c:pt>
                <c:pt idx="382">
                  <c:v>31898</c:v>
                </c:pt>
                <c:pt idx="383">
                  <c:v>31929</c:v>
                </c:pt>
                <c:pt idx="384">
                  <c:v>31959</c:v>
                </c:pt>
                <c:pt idx="385">
                  <c:v>31990</c:v>
                </c:pt>
                <c:pt idx="386">
                  <c:v>32021</c:v>
                </c:pt>
                <c:pt idx="387">
                  <c:v>32051</c:v>
                </c:pt>
                <c:pt idx="388">
                  <c:v>32082</c:v>
                </c:pt>
                <c:pt idx="389">
                  <c:v>32112</c:v>
                </c:pt>
                <c:pt idx="390">
                  <c:v>32143</c:v>
                </c:pt>
                <c:pt idx="391">
                  <c:v>32174</c:v>
                </c:pt>
                <c:pt idx="392">
                  <c:v>32203</c:v>
                </c:pt>
                <c:pt idx="393">
                  <c:v>32234</c:v>
                </c:pt>
                <c:pt idx="394">
                  <c:v>32264</c:v>
                </c:pt>
                <c:pt idx="395">
                  <c:v>32295</c:v>
                </c:pt>
                <c:pt idx="396">
                  <c:v>32325</c:v>
                </c:pt>
                <c:pt idx="397">
                  <c:v>32356</c:v>
                </c:pt>
                <c:pt idx="398">
                  <c:v>32387</c:v>
                </c:pt>
                <c:pt idx="399">
                  <c:v>32417</c:v>
                </c:pt>
                <c:pt idx="400">
                  <c:v>32448</c:v>
                </c:pt>
                <c:pt idx="401">
                  <c:v>32478</c:v>
                </c:pt>
                <c:pt idx="402">
                  <c:v>32509</c:v>
                </c:pt>
                <c:pt idx="403">
                  <c:v>32540</c:v>
                </c:pt>
                <c:pt idx="404">
                  <c:v>32568</c:v>
                </c:pt>
                <c:pt idx="405">
                  <c:v>32599</c:v>
                </c:pt>
                <c:pt idx="406">
                  <c:v>32629</c:v>
                </c:pt>
                <c:pt idx="407">
                  <c:v>32660</c:v>
                </c:pt>
                <c:pt idx="408">
                  <c:v>32690</c:v>
                </c:pt>
                <c:pt idx="409">
                  <c:v>32721</c:v>
                </c:pt>
                <c:pt idx="410">
                  <c:v>32752</c:v>
                </c:pt>
                <c:pt idx="411">
                  <c:v>32782</c:v>
                </c:pt>
                <c:pt idx="412">
                  <c:v>32813</c:v>
                </c:pt>
                <c:pt idx="413">
                  <c:v>32843</c:v>
                </c:pt>
                <c:pt idx="414">
                  <c:v>32874</c:v>
                </c:pt>
                <c:pt idx="415">
                  <c:v>32905</c:v>
                </c:pt>
                <c:pt idx="416">
                  <c:v>32933</c:v>
                </c:pt>
                <c:pt idx="417">
                  <c:v>32964</c:v>
                </c:pt>
                <c:pt idx="418">
                  <c:v>32994</c:v>
                </c:pt>
                <c:pt idx="419">
                  <c:v>33025</c:v>
                </c:pt>
                <c:pt idx="420">
                  <c:v>33055</c:v>
                </c:pt>
                <c:pt idx="421">
                  <c:v>33086</c:v>
                </c:pt>
                <c:pt idx="422">
                  <c:v>33117</c:v>
                </c:pt>
                <c:pt idx="423">
                  <c:v>33147</c:v>
                </c:pt>
                <c:pt idx="424">
                  <c:v>33178</c:v>
                </c:pt>
                <c:pt idx="425">
                  <c:v>33208</c:v>
                </c:pt>
                <c:pt idx="426">
                  <c:v>33239</c:v>
                </c:pt>
                <c:pt idx="427">
                  <c:v>33270</c:v>
                </c:pt>
                <c:pt idx="428">
                  <c:v>33298</c:v>
                </c:pt>
                <c:pt idx="429">
                  <c:v>33329</c:v>
                </c:pt>
                <c:pt idx="430">
                  <c:v>33359</c:v>
                </c:pt>
                <c:pt idx="431">
                  <c:v>33390</c:v>
                </c:pt>
                <c:pt idx="432">
                  <c:v>33420</c:v>
                </c:pt>
                <c:pt idx="433">
                  <c:v>33451</c:v>
                </c:pt>
                <c:pt idx="434">
                  <c:v>33482</c:v>
                </c:pt>
                <c:pt idx="435">
                  <c:v>33512</c:v>
                </c:pt>
                <c:pt idx="436">
                  <c:v>33543</c:v>
                </c:pt>
                <c:pt idx="437">
                  <c:v>33573</c:v>
                </c:pt>
                <c:pt idx="438">
                  <c:v>33604</c:v>
                </c:pt>
                <c:pt idx="439">
                  <c:v>33635</c:v>
                </c:pt>
                <c:pt idx="440">
                  <c:v>33664</c:v>
                </c:pt>
                <c:pt idx="441">
                  <c:v>33695</c:v>
                </c:pt>
                <c:pt idx="442">
                  <c:v>33725</c:v>
                </c:pt>
                <c:pt idx="443">
                  <c:v>33756</c:v>
                </c:pt>
                <c:pt idx="444">
                  <c:v>33786</c:v>
                </c:pt>
                <c:pt idx="445">
                  <c:v>33817</c:v>
                </c:pt>
                <c:pt idx="446">
                  <c:v>33848</c:v>
                </c:pt>
                <c:pt idx="447">
                  <c:v>33878</c:v>
                </c:pt>
                <c:pt idx="448">
                  <c:v>33909</c:v>
                </c:pt>
                <c:pt idx="449">
                  <c:v>33939</c:v>
                </c:pt>
                <c:pt idx="450">
                  <c:v>33970</c:v>
                </c:pt>
                <c:pt idx="451">
                  <c:v>34001</c:v>
                </c:pt>
                <c:pt idx="452">
                  <c:v>34029</c:v>
                </c:pt>
                <c:pt idx="453">
                  <c:v>34060</c:v>
                </c:pt>
                <c:pt idx="454">
                  <c:v>34090</c:v>
                </c:pt>
                <c:pt idx="455">
                  <c:v>34121</c:v>
                </c:pt>
                <c:pt idx="456">
                  <c:v>34151</c:v>
                </c:pt>
                <c:pt idx="457">
                  <c:v>34182</c:v>
                </c:pt>
                <c:pt idx="458">
                  <c:v>34213</c:v>
                </c:pt>
                <c:pt idx="459">
                  <c:v>34243</c:v>
                </c:pt>
                <c:pt idx="460">
                  <c:v>34274</c:v>
                </c:pt>
                <c:pt idx="461">
                  <c:v>34304</c:v>
                </c:pt>
                <c:pt idx="462">
                  <c:v>34335</c:v>
                </c:pt>
                <c:pt idx="463">
                  <c:v>34366</c:v>
                </c:pt>
                <c:pt idx="464">
                  <c:v>34394</c:v>
                </c:pt>
                <c:pt idx="465">
                  <c:v>34425</c:v>
                </c:pt>
                <c:pt idx="466">
                  <c:v>34455</c:v>
                </c:pt>
                <c:pt idx="467">
                  <c:v>34486</c:v>
                </c:pt>
                <c:pt idx="468">
                  <c:v>34516</c:v>
                </c:pt>
                <c:pt idx="469">
                  <c:v>34547</c:v>
                </c:pt>
                <c:pt idx="470">
                  <c:v>34578</c:v>
                </c:pt>
                <c:pt idx="471">
                  <c:v>34608</c:v>
                </c:pt>
                <c:pt idx="472">
                  <c:v>34639</c:v>
                </c:pt>
                <c:pt idx="473">
                  <c:v>34669</c:v>
                </c:pt>
                <c:pt idx="474">
                  <c:v>34700</c:v>
                </c:pt>
                <c:pt idx="475">
                  <c:v>34731</c:v>
                </c:pt>
                <c:pt idx="476">
                  <c:v>34759</c:v>
                </c:pt>
                <c:pt idx="477">
                  <c:v>34790</c:v>
                </c:pt>
                <c:pt idx="478">
                  <c:v>34820</c:v>
                </c:pt>
                <c:pt idx="479">
                  <c:v>34851</c:v>
                </c:pt>
                <c:pt idx="480">
                  <c:v>34881</c:v>
                </c:pt>
                <c:pt idx="481">
                  <c:v>34912</c:v>
                </c:pt>
                <c:pt idx="482">
                  <c:v>34943</c:v>
                </c:pt>
                <c:pt idx="483">
                  <c:v>34973</c:v>
                </c:pt>
                <c:pt idx="484">
                  <c:v>35004</c:v>
                </c:pt>
                <c:pt idx="485">
                  <c:v>35034</c:v>
                </c:pt>
                <c:pt idx="486">
                  <c:v>35065</c:v>
                </c:pt>
                <c:pt idx="487">
                  <c:v>35096</c:v>
                </c:pt>
                <c:pt idx="488">
                  <c:v>35125</c:v>
                </c:pt>
                <c:pt idx="489">
                  <c:v>35156</c:v>
                </c:pt>
                <c:pt idx="490">
                  <c:v>35186</c:v>
                </c:pt>
                <c:pt idx="491">
                  <c:v>35217</c:v>
                </c:pt>
                <c:pt idx="492">
                  <c:v>35247</c:v>
                </c:pt>
                <c:pt idx="493">
                  <c:v>35278</c:v>
                </c:pt>
                <c:pt idx="494">
                  <c:v>35309</c:v>
                </c:pt>
                <c:pt idx="495">
                  <c:v>35339</c:v>
                </c:pt>
                <c:pt idx="496">
                  <c:v>35370</c:v>
                </c:pt>
                <c:pt idx="497">
                  <c:v>35400</c:v>
                </c:pt>
                <c:pt idx="498">
                  <c:v>35431</c:v>
                </c:pt>
                <c:pt idx="499">
                  <c:v>35462</c:v>
                </c:pt>
                <c:pt idx="500">
                  <c:v>35490</c:v>
                </c:pt>
                <c:pt idx="501">
                  <c:v>35521</c:v>
                </c:pt>
                <c:pt idx="502">
                  <c:v>35551</c:v>
                </c:pt>
                <c:pt idx="503">
                  <c:v>35582</c:v>
                </c:pt>
                <c:pt idx="504">
                  <c:v>35612</c:v>
                </c:pt>
                <c:pt idx="505">
                  <c:v>35643</c:v>
                </c:pt>
                <c:pt idx="506">
                  <c:v>35674</c:v>
                </c:pt>
                <c:pt idx="507">
                  <c:v>35704</c:v>
                </c:pt>
                <c:pt idx="508">
                  <c:v>35735</c:v>
                </c:pt>
                <c:pt idx="509">
                  <c:v>35765</c:v>
                </c:pt>
                <c:pt idx="510">
                  <c:v>35796</c:v>
                </c:pt>
                <c:pt idx="511">
                  <c:v>35827</c:v>
                </c:pt>
                <c:pt idx="512">
                  <c:v>35855</c:v>
                </c:pt>
                <c:pt idx="513">
                  <c:v>35886</c:v>
                </c:pt>
                <c:pt idx="514">
                  <c:v>35916</c:v>
                </c:pt>
                <c:pt idx="515">
                  <c:v>35947</c:v>
                </c:pt>
                <c:pt idx="516">
                  <c:v>35977</c:v>
                </c:pt>
                <c:pt idx="517">
                  <c:v>36008</c:v>
                </c:pt>
                <c:pt idx="518">
                  <c:v>36039</c:v>
                </c:pt>
                <c:pt idx="519">
                  <c:v>36069</c:v>
                </c:pt>
                <c:pt idx="520">
                  <c:v>36100</c:v>
                </c:pt>
                <c:pt idx="521">
                  <c:v>36130</c:v>
                </c:pt>
                <c:pt idx="522">
                  <c:v>36161</c:v>
                </c:pt>
                <c:pt idx="523">
                  <c:v>36192</c:v>
                </c:pt>
                <c:pt idx="524">
                  <c:v>36220</c:v>
                </c:pt>
                <c:pt idx="525">
                  <c:v>36251</c:v>
                </c:pt>
                <c:pt idx="526">
                  <c:v>36281</c:v>
                </c:pt>
                <c:pt idx="527">
                  <c:v>36312</c:v>
                </c:pt>
                <c:pt idx="528">
                  <c:v>36342</c:v>
                </c:pt>
                <c:pt idx="529">
                  <c:v>36373</c:v>
                </c:pt>
                <c:pt idx="530">
                  <c:v>36404</c:v>
                </c:pt>
                <c:pt idx="531">
                  <c:v>36434</c:v>
                </c:pt>
                <c:pt idx="532">
                  <c:v>36465</c:v>
                </c:pt>
                <c:pt idx="533">
                  <c:v>36495</c:v>
                </c:pt>
                <c:pt idx="534">
                  <c:v>36526</c:v>
                </c:pt>
                <c:pt idx="535">
                  <c:v>36557</c:v>
                </c:pt>
                <c:pt idx="536">
                  <c:v>36586</c:v>
                </c:pt>
                <c:pt idx="537">
                  <c:v>36617</c:v>
                </c:pt>
                <c:pt idx="538">
                  <c:v>36647</c:v>
                </c:pt>
                <c:pt idx="539">
                  <c:v>36678</c:v>
                </c:pt>
                <c:pt idx="540">
                  <c:v>36708</c:v>
                </c:pt>
                <c:pt idx="541">
                  <c:v>36739</c:v>
                </c:pt>
                <c:pt idx="542">
                  <c:v>36770</c:v>
                </c:pt>
                <c:pt idx="543">
                  <c:v>36800</c:v>
                </c:pt>
                <c:pt idx="544">
                  <c:v>36831</c:v>
                </c:pt>
                <c:pt idx="545">
                  <c:v>36861</c:v>
                </c:pt>
                <c:pt idx="546">
                  <c:v>36892</c:v>
                </c:pt>
                <c:pt idx="547">
                  <c:v>36923</c:v>
                </c:pt>
                <c:pt idx="548">
                  <c:v>36951</c:v>
                </c:pt>
                <c:pt idx="549">
                  <c:v>36982</c:v>
                </c:pt>
                <c:pt idx="550">
                  <c:v>37012</c:v>
                </c:pt>
                <c:pt idx="551">
                  <c:v>37043</c:v>
                </c:pt>
                <c:pt idx="552">
                  <c:v>37073</c:v>
                </c:pt>
                <c:pt idx="553">
                  <c:v>37104</c:v>
                </c:pt>
                <c:pt idx="554">
                  <c:v>37135</c:v>
                </c:pt>
                <c:pt idx="555">
                  <c:v>37165</c:v>
                </c:pt>
                <c:pt idx="556">
                  <c:v>37196</c:v>
                </c:pt>
                <c:pt idx="557">
                  <c:v>37226</c:v>
                </c:pt>
                <c:pt idx="558">
                  <c:v>37257</c:v>
                </c:pt>
                <c:pt idx="559">
                  <c:v>37288</c:v>
                </c:pt>
                <c:pt idx="560">
                  <c:v>37316</c:v>
                </c:pt>
                <c:pt idx="561">
                  <c:v>37347</c:v>
                </c:pt>
                <c:pt idx="562">
                  <c:v>37377</c:v>
                </c:pt>
                <c:pt idx="563">
                  <c:v>37408</c:v>
                </c:pt>
                <c:pt idx="564">
                  <c:v>37438</c:v>
                </c:pt>
                <c:pt idx="565">
                  <c:v>37469</c:v>
                </c:pt>
                <c:pt idx="566">
                  <c:v>37500</c:v>
                </c:pt>
                <c:pt idx="567">
                  <c:v>37530</c:v>
                </c:pt>
                <c:pt idx="568">
                  <c:v>37561</c:v>
                </c:pt>
                <c:pt idx="569">
                  <c:v>37591</c:v>
                </c:pt>
                <c:pt idx="570">
                  <c:v>37622</c:v>
                </c:pt>
                <c:pt idx="571">
                  <c:v>37653</c:v>
                </c:pt>
                <c:pt idx="572">
                  <c:v>37681</c:v>
                </c:pt>
                <c:pt idx="573">
                  <c:v>37712</c:v>
                </c:pt>
                <c:pt idx="574">
                  <c:v>37742</c:v>
                </c:pt>
                <c:pt idx="575">
                  <c:v>37773</c:v>
                </c:pt>
                <c:pt idx="576">
                  <c:v>37803</c:v>
                </c:pt>
                <c:pt idx="577">
                  <c:v>37834</c:v>
                </c:pt>
                <c:pt idx="578">
                  <c:v>37865</c:v>
                </c:pt>
                <c:pt idx="579">
                  <c:v>37895</c:v>
                </c:pt>
                <c:pt idx="580">
                  <c:v>37926</c:v>
                </c:pt>
                <c:pt idx="581">
                  <c:v>37956</c:v>
                </c:pt>
                <c:pt idx="582">
                  <c:v>37987</c:v>
                </c:pt>
                <c:pt idx="583">
                  <c:v>38018</c:v>
                </c:pt>
                <c:pt idx="584">
                  <c:v>38047</c:v>
                </c:pt>
                <c:pt idx="585">
                  <c:v>38078</c:v>
                </c:pt>
                <c:pt idx="586">
                  <c:v>38108</c:v>
                </c:pt>
                <c:pt idx="587">
                  <c:v>38139</c:v>
                </c:pt>
                <c:pt idx="588">
                  <c:v>38169</c:v>
                </c:pt>
                <c:pt idx="589">
                  <c:v>38200</c:v>
                </c:pt>
                <c:pt idx="590">
                  <c:v>38231</c:v>
                </c:pt>
                <c:pt idx="591">
                  <c:v>38261</c:v>
                </c:pt>
                <c:pt idx="592">
                  <c:v>38292</c:v>
                </c:pt>
                <c:pt idx="593">
                  <c:v>38322</c:v>
                </c:pt>
                <c:pt idx="594">
                  <c:v>38353</c:v>
                </c:pt>
                <c:pt idx="595">
                  <c:v>38384</c:v>
                </c:pt>
                <c:pt idx="596">
                  <c:v>38412</c:v>
                </c:pt>
                <c:pt idx="597">
                  <c:v>38443</c:v>
                </c:pt>
                <c:pt idx="598">
                  <c:v>38473</c:v>
                </c:pt>
                <c:pt idx="599">
                  <c:v>38504</c:v>
                </c:pt>
                <c:pt idx="600">
                  <c:v>38534</c:v>
                </c:pt>
                <c:pt idx="601">
                  <c:v>38565</c:v>
                </c:pt>
                <c:pt idx="602">
                  <c:v>38596</c:v>
                </c:pt>
                <c:pt idx="603">
                  <c:v>38626</c:v>
                </c:pt>
                <c:pt idx="604">
                  <c:v>38657</c:v>
                </c:pt>
                <c:pt idx="605">
                  <c:v>38687</c:v>
                </c:pt>
                <c:pt idx="606">
                  <c:v>38718</c:v>
                </c:pt>
                <c:pt idx="607">
                  <c:v>38749</c:v>
                </c:pt>
                <c:pt idx="608">
                  <c:v>38777</c:v>
                </c:pt>
                <c:pt idx="609">
                  <c:v>38808</c:v>
                </c:pt>
                <c:pt idx="610">
                  <c:v>38838</c:v>
                </c:pt>
                <c:pt idx="611">
                  <c:v>38869</c:v>
                </c:pt>
                <c:pt idx="612">
                  <c:v>38899</c:v>
                </c:pt>
                <c:pt idx="613">
                  <c:v>38930</c:v>
                </c:pt>
                <c:pt idx="614">
                  <c:v>38961</c:v>
                </c:pt>
                <c:pt idx="615">
                  <c:v>38991</c:v>
                </c:pt>
                <c:pt idx="616">
                  <c:v>39022</c:v>
                </c:pt>
                <c:pt idx="617">
                  <c:v>39052</c:v>
                </c:pt>
                <c:pt idx="618">
                  <c:v>39083</c:v>
                </c:pt>
                <c:pt idx="619">
                  <c:v>39114</c:v>
                </c:pt>
                <c:pt idx="620">
                  <c:v>39142</c:v>
                </c:pt>
                <c:pt idx="621">
                  <c:v>39173</c:v>
                </c:pt>
                <c:pt idx="622">
                  <c:v>39203</c:v>
                </c:pt>
                <c:pt idx="623">
                  <c:v>39234</c:v>
                </c:pt>
                <c:pt idx="624">
                  <c:v>39264</c:v>
                </c:pt>
                <c:pt idx="625">
                  <c:v>39295</c:v>
                </c:pt>
                <c:pt idx="626">
                  <c:v>39326</c:v>
                </c:pt>
                <c:pt idx="627">
                  <c:v>39356</c:v>
                </c:pt>
                <c:pt idx="628">
                  <c:v>39387</c:v>
                </c:pt>
                <c:pt idx="629">
                  <c:v>39417</c:v>
                </c:pt>
                <c:pt idx="630">
                  <c:v>39448</c:v>
                </c:pt>
                <c:pt idx="631">
                  <c:v>39479</c:v>
                </c:pt>
                <c:pt idx="632">
                  <c:v>39508</c:v>
                </c:pt>
                <c:pt idx="633">
                  <c:v>39539</c:v>
                </c:pt>
                <c:pt idx="634">
                  <c:v>39569</c:v>
                </c:pt>
                <c:pt idx="635">
                  <c:v>39600</c:v>
                </c:pt>
                <c:pt idx="636">
                  <c:v>39630</c:v>
                </c:pt>
                <c:pt idx="637">
                  <c:v>39661</c:v>
                </c:pt>
                <c:pt idx="638">
                  <c:v>39692</c:v>
                </c:pt>
                <c:pt idx="639">
                  <c:v>39722</c:v>
                </c:pt>
                <c:pt idx="640">
                  <c:v>39753</c:v>
                </c:pt>
                <c:pt idx="641">
                  <c:v>39783</c:v>
                </c:pt>
                <c:pt idx="642">
                  <c:v>39814</c:v>
                </c:pt>
                <c:pt idx="643">
                  <c:v>39845</c:v>
                </c:pt>
                <c:pt idx="644">
                  <c:v>39873</c:v>
                </c:pt>
                <c:pt idx="645">
                  <c:v>39904</c:v>
                </c:pt>
                <c:pt idx="646">
                  <c:v>39934</c:v>
                </c:pt>
                <c:pt idx="647">
                  <c:v>39965</c:v>
                </c:pt>
                <c:pt idx="648">
                  <c:v>39995</c:v>
                </c:pt>
                <c:pt idx="649">
                  <c:v>40026</c:v>
                </c:pt>
                <c:pt idx="650">
                  <c:v>40057</c:v>
                </c:pt>
                <c:pt idx="651">
                  <c:v>40087</c:v>
                </c:pt>
                <c:pt idx="652">
                  <c:v>40118</c:v>
                </c:pt>
                <c:pt idx="653">
                  <c:v>40148</c:v>
                </c:pt>
                <c:pt idx="654">
                  <c:v>40179</c:v>
                </c:pt>
                <c:pt idx="655">
                  <c:v>40210</c:v>
                </c:pt>
                <c:pt idx="656">
                  <c:v>40238</c:v>
                </c:pt>
                <c:pt idx="657">
                  <c:v>40269</c:v>
                </c:pt>
                <c:pt idx="658">
                  <c:v>40299</c:v>
                </c:pt>
                <c:pt idx="659">
                  <c:v>40330</c:v>
                </c:pt>
                <c:pt idx="660">
                  <c:v>40360</c:v>
                </c:pt>
                <c:pt idx="661">
                  <c:v>40391</c:v>
                </c:pt>
                <c:pt idx="662">
                  <c:v>40422</c:v>
                </c:pt>
                <c:pt idx="663">
                  <c:v>40452</c:v>
                </c:pt>
                <c:pt idx="664">
                  <c:v>40483</c:v>
                </c:pt>
                <c:pt idx="665">
                  <c:v>40513</c:v>
                </c:pt>
                <c:pt idx="666">
                  <c:v>40544</c:v>
                </c:pt>
                <c:pt idx="667">
                  <c:v>40575</c:v>
                </c:pt>
                <c:pt idx="668">
                  <c:v>40603</c:v>
                </c:pt>
                <c:pt idx="669">
                  <c:v>40634</c:v>
                </c:pt>
                <c:pt idx="670">
                  <c:v>40664</c:v>
                </c:pt>
                <c:pt idx="671">
                  <c:v>40695</c:v>
                </c:pt>
                <c:pt idx="672">
                  <c:v>40725</c:v>
                </c:pt>
                <c:pt idx="673">
                  <c:v>40756</c:v>
                </c:pt>
                <c:pt idx="674">
                  <c:v>40787</c:v>
                </c:pt>
                <c:pt idx="675">
                  <c:v>40817</c:v>
                </c:pt>
                <c:pt idx="676">
                  <c:v>40848</c:v>
                </c:pt>
                <c:pt idx="677">
                  <c:v>40878</c:v>
                </c:pt>
                <c:pt idx="678">
                  <c:v>40909</c:v>
                </c:pt>
                <c:pt idx="679">
                  <c:v>40940</c:v>
                </c:pt>
                <c:pt idx="680">
                  <c:v>40969</c:v>
                </c:pt>
                <c:pt idx="681">
                  <c:v>41000</c:v>
                </c:pt>
                <c:pt idx="682">
                  <c:v>41030</c:v>
                </c:pt>
                <c:pt idx="683">
                  <c:v>41061</c:v>
                </c:pt>
                <c:pt idx="684">
                  <c:v>41091</c:v>
                </c:pt>
                <c:pt idx="685">
                  <c:v>41122</c:v>
                </c:pt>
                <c:pt idx="686">
                  <c:v>41153</c:v>
                </c:pt>
                <c:pt idx="687">
                  <c:v>41183</c:v>
                </c:pt>
                <c:pt idx="688">
                  <c:v>41214</c:v>
                </c:pt>
                <c:pt idx="689">
                  <c:v>41244</c:v>
                </c:pt>
                <c:pt idx="690">
                  <c:v>41275</c:v>
                </c:pt>
                <c:pt idx="691">
                  <c:v>41306</c:v>
                </c:pt>
                <c:pt idx="692">
                  <c:v>41334</c:v>
                </c:pt>
                <c:pt idx="693">
                  <c:v>41365</c:v>
                </c:pt>
                <c:pt idx="694">
                  <c:v>41395</c:v>
                </c:pt>
                <c:pt idx="695">
                  <c:v>41426</c:v>
                </c:pt>
                <c:pt idx="696">
                  <c:v>41456</c:v>
                </c:pt>
                <c:pt idx="697">
                  <c:v>41487</c:v>
                </c:pt>
                <c:pt idx="698">
                  <c:v>41518</c:v>
                </c:pt>
                <c:pt idx="699">
                  <c:v>41548</c:v>
                </c:pt>
                <c:pt idx="700">
                  <c:v>41579</c:v>
                </c:pt>
                <c:pt idx="701">
                  <c:v>41609</c:v>
                </c:pt>
                <c:pt idx="702">
                  <c:v>41640</c:v>
                </c:pt>
                <c:pt idx="703">
                  <c:v>41671</c:v>
                </c:pt>
                <c:pt idx="704">
                  <c:v>41699</c:v>
                </c:pt>
                <c:pt idx="705">
                  <c:v>41730</c:v>
                </c:pt>
                <c:pt idx="706">
                  <c:v>41760</c:v>
                </c:pt>
                <c:pt idx="707">
                  <c:v>41791</c:v>
                </c:pt>
                <c:pt idx="708">
                  <c:v>41821</c:v>
                </c:pt>
                <c:pt idx="709">
                  <c:v>41852</c:v>
                </c:pt>
                <c:pt idx="710">
                  <c:v>41883</c:v>
                </c:pt>
                <c:pt idx="711">
                  <c:v>41913</c:v>
                </c:pt>
                <c:pt idx="712">
                  <c:v>41944</c:v>
                </c:pt>
                <c:pt idx="713">
                  <c:v>41974</c:v>
                </c:pt>
                <c:pt idx="714">
                  <c:v>42005</c:v>
                </c:pt>
                <c:pt idx="715">
                  <c:v>42036</c:v>
                </c:pt>
                <c:pt idx="716">
                  <c:v>42064</c:v>
                </c:pt>
                <c:pt idx="717">
                  <c:v>42095</c:v>
                </c:pt>
                <c:pt idx="718">
                  <c:v>42125</c:v>
                </c:pt>
                <c:pt idx="719">
                  <c:v>42156</c:v>
                </c:pt>
                <c:pt idx="720">
                  <c:v>42186</c:v>
                </c:pt>
                <c:pt idx="721">
                  <c:v>42217</c:v>
                </c:pt>
                <c:pt idx="722">
                  <c:v>42248</c:v>
                </c:pt>
                <c:pt idx="723">
                  <c:v>42278</c:v>
                </c:pt>
                <c:pt idx="724">
                  <c:v>42309</c:v>
                </c:pt>
                <c:pt idx="725">
                  <c:v>42339</c:v>
                </c:pt>
                <c:pt idx="726">
                  <c:v>42370</c:v>
                </c:pt>
                <c:pt idx="727">
                  <c:v>42401</c:v>
                </c:pt>
                <c:pt idx="728">
                  <c:v>42430</c:v>
                </c:pt>
                <c:pt idx="729">
                  <c:v>42461</c:v>
                </c:pt>
                <c:pt idx="730">
                  <c:v>42491</c:v>
                </c:pt>
                <c:pt idx="731">
                  <c:v>42522</c:v>
                </c:pt>
                <c:pt idx="732">
                  <c:v>42552</c:v>
                </c:pt>
                <c:pt idx="733">
                  <c:v>42583</c:v>
                </c:pt>
                <c:pt idx="734">
                  <c:v>42614</c:v>
                </c:pt>
                <c:pt idx="735">
                  <c:v>42644</c:v>
                </c:pt>
                <c:pt idx="736">
                  <c:v>42675</c:v>
                </c:pt>
                <c:pt idx="737">
                  <c:v>42705</c:v>
                </c:pt>
                <c:pt idx="738">
                  <c:v>42736</c:v>
                </c:pt>
                <c:pt idx="739">
                  <c:v>42767</c:v>
                </c:pt>
                <c:pt idx="740">
                  <c:v>42795</c:v>
                </c:pt>
                <c:pt idx="741">
                  <c:v>42826</c:v>
                </c:pt>
                <c:pt idx="742">
                  <c:v>42856</c:v>
                </c:pt>
                <c:pt idx="743">
                  <c:v>42887</c:v>
                </c:pt>
                <c:pt idx="744">
                  <c:v>42917</c:v>
                </c:pt>
                <c:pt idx="745">
                  <c:v>42948</c:v>
                </c:pt>
                <c:pt idx="746">
                  <c:v>42979</c:v>
                </c:pt>
                <c:pt idx="747">
                  <c:v>43009</c:v>
                </c:pt>
                <c:pt idx="748">
                  <c:v>43040</c:v>
                </c:pt>
                <c:pt idx="749">
                  <c:v>43070</c:v>
                </c:pt>
                <c:pt idx="750">
                  <c:v>43101</c:v>
                </c:pt>
              </c:numCache>
            </c:numRef>
          </c:cat>
          <c:val>
            <c:numRef>
              <c:f>Sheet1!$F$22:$F$772</c:f>
              <c:numCache>
                <c:formatCode>0.00%</c:formatCode>
                <c:ptCount val="751"/>
                <c:pt idx="0">
                  <c:v>-8.7000000000000046E-3</c:v>
                </c:pt>
                <c:pt idx="1">
                  <c:v>-1.0000000000000005E-4</c:v>
                </c:pt>
                <c:pt idx="2">
                  <c:v>8.4000000000000047E-3</c:v>
                </c:pt>
                <c:pt idx="3">
                  <c:v>7.7000000000000028E-3</c:v>
                </c:pt>
                <c:pt idx="4">
                  <c:v>1.4400000000000003E-2</c:v>
                </c:pt>
                <c:pt idx="5">
                  <c:v>2.0299999999999999E-2</c:v>
                </c:pt>
                <c:pt idx="6">
                  <c:v>2.1000000000000008E-2</c:v>
                </c:pt>
                <c:pt idx="7">
                  <c:v>2.5700000000000004E-2</c:v>
                </c:pt>
                <c:pt idx="8">
                  <c:v>3.1000000000000014E-2</c:v>
                </c:pt>
                <c:pt idx="9">
                  <c:v>3.0400000000000014E-2</c:v>
                </c:pt>
                <c:pt idx="10">
                  <c:v>4.2500000000000017E-2</c:v>
                </c:pt>
                <c:pt idx="11">
                  <c:v>5.2800000000000021E-2</c:v>
                </c:pt>
                <c:pt idx="12">
                  <c:v>6.3600000000000004E-2</c:v>
                </c:pt>
                <c:pt idx="13">
                  <c:v>5.7600000000000012E-2</c:v>
                </c:pt>
                <c:pt idx="14">
                  <c:v>7.2600000000000012E-2</c:v>
                </c:pt>
                <c:pt idx="15">
                  <c:v>8.3100000000000049E-2</c:v>
                </c:pt>
                <c:pt idx="16">
                  <c:v>8.8300000000000031E-2</c:v>
                </c:pt>
                <c:pt idx="17">
                  <c:v>7.9100000000000031E-2</c:v>
                </c:pt>
                <c:pt idx="18">
                  <c:v>9.3000000000000055E-2</c:v>
                </c:pt>
                <c:pt idx="19">
                  <c:v>0.10299999999999998</c:v>
                </c:pt>
                <c:pt idx="20">
                  <c:v>0.11210000000000003</c:v>
                </c:pt>
                <c:pt idx="21">
                  <c:v>0.12970000000000001</c:v>
                </c:pt>
                <c:pt idx="22">
                  <c:v>0.1358</c:v>
                </c:pt>
                <c:pt idx="23">
                  <c:v>0.17150000000000001</c:v>
                </c:pt>
                <c:pt idx="24">
                  <c:v>0.19390000000000004</c:v>
                </c:pt>
                <c:pt idx="25">
                  <c:v>0.21430000000000005</c:v>
                </c:pt>
                <c:pt idx="26">
                  <c:v>0.20930000000000001</c:v>
                </c:pt>
                <c:pt idx="27">
                  <c:v>0.21170000000000005</c:v>
                </c:pt>
                <c:pt idx="28">
                  <c:v>0.19840000000000005</c:v>
                </c:pt>
                <c:pt idx="29">
                  <c:v>0.20690000000000006</c:v>
                </c:pt>
                <c:pt idx="30">
                  <c:v>0.19460000000000002</c:v>
                </c:pt>
                <c:pt idx="31">
                  <c:v>0.18050000000000005</c:v>
                </c:pt>
                <c:pt idx="32">
                  <c:v>0.17860000000000001</c:v>
                </c:pt>
                <c:pt idx="33">
                  <c:v>0.17240000000000005</c:v>
                </c:pt>
                <c:pt idx="34">
                  <c:v>0.18060000000000001</c:v>
                </c:pt>
                <c:pt idx="35">
                  <c:v>0.13900000000000001</c:v>
                </c:pt>
                <c:pt idx="36">
                  <c:v>0.10990000000000003</c:v>
                </c:pt>
                <c:pt idx="37">
                  <c:v>0.10470000000000003</c:v>
                </c:pt>
                <c:pt idx="38">
                  <c:v>0.1014</c:v>
                </c:pt>
                <c:pt idx="39">
                  <c:v>8.9200000000000029E-2</c:v>
                </c:pt>
                <c:pt idx="40">
                  <c:v>8.5400000000000004E-2</c:v>
                </c:pt>
                <c:pt idx="41">
                  <c:v>7.9800000000000038E-2</c:v>
                </c:pt>
                <c:pt idx="42">
                  <c:v>9.4700000000000034E-2</c:v>
                </c:pt>
                <c:pt idx="43">
                  <c:v>0.10340000000000002</c:v>
                </c:pt>
                <c:pt idx="44">
                  <c:v>9.090000000000005E-2</c:v>
                </c:pt>
                <c:pt idx="45">
                  <c:v>8.9600000000000068E-2</c:v>
                </c:pt>
                <c:pt idx="46">
                  <c:v>7.6200000000000004E-2</c:v>
                </c:pt>
                <c:pt idx="47">
                  <c:v>7.8700000000000034E-2</c:v>
                </c:pt>
                <c:pt idx="48">
                  <c:v>8.410000000000005E-2</c:v>
                </c:pt>
                <c:pt idx="49">
                  <c:v>7.7800000000000022E-2</c:v>
                </c:pt>
                <c:pt idx="50">
                  <c:v>7.2300000000000031E-2</c:v>
                </c:pt>
                <c:pt idx="51">
                  <c:v>7.1400000000000019E-2</c:v>
                </c:pt>
                <c:pt idx="52">
                  <c:v>7.420000000000003E-2</c:v>
                </c:pt>
                <c:pt idx="53">
                  <c:v>7.8100000000000017E-2</c:v>
                </c:pt>
                <c:pt idx="54">
                  <c:v>6.5199999999999994E-2</c:v>
                </c:pt>
                <c:pt idx="55">
                  <c:v>5.2400000000000016E-2</c:v>
                </c:pt>
                <c:pt idx="56">
                  <c:v>6.140000000000001E-2</c:v>
                </c:pt>
                <c:pt idx="57">
                  <c:v>5.4900000000000018E-2</c:v>
                </c:pt>
                <c:pt idx="58">
                  <c:v>5.5200000000000013E-2</c:v>
                </c:pt>
                <c:pt idx="59">
                  <c:v>4.930000000000001E-2</c:v>
                </c:pt>
                <c:pt idx="60">
                  <c:v>4.7900000000000012E-2</c:v>
                </c:pt>
                <c:pt idx="61">
                  <c:v>4.9600000000000012E-2</c:v>
                </c:pt>
                <c:pt idx="62">
                  <c:v>5.570000000000002E-2</c:v>
                </c:pt>
                <c:pt idx="63">
                  <c:v>6.1199999999999997E-2</c:v>
                </c:pt>
                <c:pt idx="64">
                  <c:v>7.130000000000003E-2</c:v>
                </c:pt>
                <c:pt idx="65">
                  <c:v>7.350000000000001E-2</c:v>
                </c:pt>
                <c:pt idx="66">
                  <c:v>7.5900000000000009E-2</c:v>
                </c:pt>
                <c:pt idx="67">
                  <c:v>8.3600000000000077E-2</c:v>
                </c:pt>
                <c:pt idx="68">
                  <c:v>8.7000000000000022E-2</c:v>
                </c:pt>
                <c:pt idx="69">
                  <c:v>9.8700000000000079E-2</c:v>
                </c:pt>
                <c:pt idx="70">
                  <c:v>0.1023</c:v>
                </c:pt>
                <c:pt idx="71">
                  <c:v>0.10270000000000003</c:v>
                </c:pt>
                <c:pt idx="72">
                  <c:v>0.1003</c:v>
                </c:pt>
                <c:pt idx="73">
                  <c:v>8.4000000000000047E-2</c:v>
                </c:pt>
                <c:pt idx="74">
                  <c:v>7.470000000000003E-2</c:v>
                </c:pt>
                <c:pt idx="75">
                  <c:v>6.8099999999999994E-2</c:v>
                </c:pt>
                <c:pt idx="76">
                  <c:v>6.1300000000000014E-2</c:v>
                </c:pt>
                <c:pt idx="77">
                  <c:v>5.740000000000002E-2</c:v>
                </c:pt>
                <c:pt idx="78">
                  <c:v>5.6300000000000017E-2</c:v>
                </c:pt>
                <c:pt idx="79">
                  <c:v>5.2900000000000016E-2</c:v>
                </c:pt>
                <c:pt idx="80">
                  <c:v>4.5400000000000017E-2</c:v>
                </c:pt>
                <c:pt idx="81">
                  <c:v>3.6600000000000014E-2</c:v>
                </c:pt>
                <c:pt idx="82">
                  <c:v>2.6300000000000007E-2</c:v>
                </c:pt>
                <c:pt idx="83">
                  <c:v>2.5700000000000004E-2</c:v>
                </c:pt>
                <c:pt idx="84">
                  <c:v>3.3000000000000002E-2</c:v>
                </c:pt>
                <c:pt idx="85">
                  <c:v>4.5500000000000013E-2</c:v>
                </c:pt>
                <c:pt idx="86">
                  <c:v>5.850000000000001E-2</c:v>
                </c:pt>
                <c:pt idx="87">
                  <c:v>6.0100000000000015E-2</c:v>
                </c:pt>
                <c:pt idx="88">
                  <c:v>6.1500000000000013E-2</c:v>
                </c:pt>
                <c:pt idx="89">
                  <c:v>6.3000000000000014E-2</c:v>
                </c:pt>
                <c:pt idx="90">
                  <c:v>9.7900000000000015E-2</c:v>
                </c:pt>
                <c:pt idx="91">
                  <c:v>0.16340000000000005</c:v>
                </c:pt>
                <c:pt idx="92">
                  <c:v>0.21290000000000006</c:v>
                </c:pt>
                <c:pt idx="93">
                  <c:v>0.25080000000000002</c:v>
                </c:pt>
                <c:pt idx="94">
                  <c:v>0.26520000000000005</c:v>
                </c:pt>
                <c:pt idx="95">
                  <c:v>0.29240000000000016</c:v>
                </c:pt>
                <c:pt idx="96">
                  <c:v>0.28990000000000016</c:v>
                </c:pt>
                <c:pt idx="97">
                  <c:v>0.29280000000000012</c:v>
                </c:pt>
                <c:pt idx="98">
                  <c:v>0.29830000000000012</c:v>
                </c:pt>
                <c:pt idx="99">
                  <c:v>0.31550000000000011</c:v>
                </c:pt>
                <c:pt idx="100">
                  <c:v>0.3344000000000002</c:v>
                </c:pt>
                <c:pt idx="101">
                  <c:v>0.33600000000000013</c:v>
                </c:pt>
                <c:pt idx="102">
                  <c:v>0.30670000000000008</c:v>
                </c:pt>
                <c:pt idx="103">
                  <c:v>0.23880000000000001</c:v>
                </c:pt>
                <c:pt idx="104">
                  <c:v>0.2051</c:v>
                </c:pt>
                <c:pt idx="105">
                  <c:v>0.18180000000000004</c:v>
                </c:pt>
                <c:pt idx="106">
                  <c:v>0.20430000000000001</c:v>
                </c:pt>
                <c:pt idx="107">
                  <c:v>0.19580000000000003</c:v>
                </c:pt>
                <c:pt idx="108">
                  <c:v>0.17670000000000005</c:v>
                </c:pt>
                <c:pt idx="109">
                  <c:v>0.15630000000000005</c:v>
                </c:pt>
                <c:pt idx="110">
                  <c:v>0.13700000000000001</c:v>
                </c:pt>
                <c:pt idx="111">
                  <c:v>0.11010000000000002</c:v>
                </c:pt>
                <c:pt idx="112">
                  <c:v>9.6200000000000035E-2</c:v>
                </c:pt>
                <c:pt idx="113">
                  <c:v>8.8000000000000037E-2</c:v>
                </c:pt>
                <c:pt idx="114">
                  <c:v>8.7500000000000022E-2</c:v>
                </c:pt>
                <c:pt idx="115">
                  <c:v>7.1000000000000008E-2</c:v>
                </c:pt>
                <c:pt idx="116">
                  <c:v>6.1600000000000002E-2</c:v>
                </c:pt>
                <c:pt idx="117">
                  <c:v>5.570000000000002E-2</c:v>
                </c:pt>
                <c:pt idx="118">
                  <c:v>3.6000000000000011E-2</c:v>
                </c:pt>
                <c:pt idx="119">
                  <c:v>3.6100000000000014E-2</c:v>
                </c:pt>
                <c:pt idx="120">
                  <c:v>4.5700000000000018E-2</c:v>
                </c:pt>
                <c:pt idx="121">
                  <c:v>6.370000000000002E-2</c:v>
                </c:pt>
                <c:pt idx="122">
                  <c:v>8.050000000000003E-2</c:v>
                </c:pt>
                <c:pt idx="123">
                  <c:v>0.11230000000000001</c:v>
                </c:pt>
                <c:pt idx="124">
                  <c:v>0.11860000000000002</c:v>
                </c:pt>
                <c:pt idx="125">
                  <c:v>0.14440000000000006</c:v>
                </c:pt>
                <c:pt idx="126">
                  <c:v>0.14300000000000004</c:v>
                </c:pt>
                <c:pt idx="127">
                  <c:v>0.16900000000000004</c:v>
                </c:pt>
                <c:pt idx="128">
                  <c:v>0.18090000000000006</c:v>
                </c:pt>
                <c:pt idx="129">
                  <c:v>0.19510000000000002</c:v>
                </c:pt>
                <c:pt idx="130">
                  <c:v>0.19420000000000004</c:v>
                </c:pt>
                <c:pt idx="131">
                  <c:v>0.17560000000000001</c:v>
                </c:pt>
                <c:pt idx="132">
                  <c:v>0.17580000000000001</c:v>
                </c:pt>
                <c:pt idx="133">
                  <c:v>0.17040000000000005</c:v>
                </c:pt>
                <c:pt idx="134">
                  <c:v>0.17240000000000005</c:v>
                </c:pt>
                <c:pt idx="135">
                  <c:v>0.16000000000000003</c:v>
                </c:pt>
                <c:pt idx="136">
                  <c:v>0.14700000000000005</c:v>
                </c:pt>
                <c:pt idx="137">
                  <c:v>0.12859999999999999</c:v>
                </c:pt>
                <c:pt idx="138">
                  <c:v>0.12010000000000003</c:v>
                </c:pt>
                <c:pt idx="139">
                  <c:v>0.11090000000000001</c:v>
                </c:pt>
                <c:pt idx="140">
                  <c:v>9.6200000000000035E-2</c:v>
                </c:pt>
                <c:pt idx="141">
                  <c:v>6.8700000000000011E-2</c:v>
                </c:pt>
                <c:pt idx="142">
                  <c:v>6.3000000000000014E-2</c:v>
                </c:pt>
                <c:pt idx="143">
                  <c:v>8.2399999999999987E-2</c:v>
                </c:pt>
                <c:pt idx="144">
                  <c:v>8.3000000000000032E-2</c:v>
                </c:pt>
                <c:pt idx="145">
                  <c:v>8.4000000000000047E-2</c:v>
                </c:pt>
                <c:pt idx="146">
                  <c:v>7.6000000000000012E-2</c:v>
                </c:pt>
                <c:pt idx="147">
                  <c:v>7.2800000000000031E-2</c:v>
                </c:pt>
                <c:pt idx="148">
                  <c:v>7.6000000000000012E-2</c:v>
                </c:pt>
                <c:pt idx="149">
                  <c:v>7.1700000000000014E-2</c:v>
                </c:pt>
                <c:pt idx="150">
                  <c:v>7.6800000000000021E-2</c:v>
                </c:pt>
                <c:pt idx="151">
                  <c:v>7.1800000000000017E-2</c:v>
                </c:pt>
                <c:pt idx="152">
                  <c:v>7.1400000000000019E-2</c:v>
                </c:pt>
                <c:pt idx="153">
                  <c:v>8.4800000000000028E-2</c:v>
                </c:pt>
                <c:pt idx="154">
                  <c:v>8.5200000000000026E-2</c:v>
                </c:pt>
                <c:pt idx="155">
                  <c:v>7.0400000000000032E-2</c:v>
                </c:pt>
                <c:pt idx="156">
                  <c:v>7.7300000000000021E-2</c:v>
                </c:pt>
                <c:pt idx="157">
                  <c:v>7.6500000000000012E-2</c:v>
                </c:pt>
                <c:pt idx="158">
                  <c:v>7.4300000000000047E-2</c:v>
                </c:pt>
                <c:pt idx="159">
                  <c:v>6.9700000000000026E-2</c:v>
                </c:pt>
                <c:pt idx="160">
                  <c:v>7.1199999999999999E-2</c:v>
                </c:pt>
                <c:pt idx="161">
                  <c:v>6.5100000000000019E-2</c:v>
                </c:pt>
                <c:pt idx="162">
                  <c:v>6.7100000000000021E-2</c:v>
                </c:pt>
                <c:pt idx="163">
                  <c:v>6.4100000000000032E-2</c:v>
                </c:pt>
                <c:pt idx="164">
                  <c:v>6.1700000000000012E-2</c:v>
                </c:pt>
                <c:pt idx="165">
                  <c:v>6.1800000000000015E-2</c:v>
                </c:pt>
                <c:pt idx="166">
                  <c:v>6.4200000000000021E-2</c:v>
                </c:pt>
                <c:pt idx="167">
                  <c:v>6.5800000000000011E-2</c:v>
                </c:pt>
                <c:pt idx="168">
                  <c:v>6.1600000000000002E-2</c:v>
                </c:pt>
                <c:pt idx="169">
                  <c:v>6.8099999999999994E-2</c:v>
                </c:pt>
                <c:pt idx="170">
                  <c:v>7.350000000000001E-2</c:v>
                </c:pt>
                <c:pt idx="171">
                  <c:v>8.3700000000000052E-2</c:v>
                </c:pt>
                <c:pt idx="172">
                  <c:v>7.8900000000000012E-2</c:v>
                </c:pt>
                <c:pt idx="173">
                  <c:v>8.6300000000000002E-2</c:v>
                </c:pt>
                <c:pt idx="174">
                  <c:v>7.3600000000000013E-2</c:v>
                </c:pt>
                <c:pt idx="175">
                  <c:v>7.690000000000001E-2</c:v>
                </c:pt>
                <c:pt idx="176">
                  <c:v>7.7200000000000019E-2</c:v>
                </c:pt>
                <c:pt idx="177">
                  <c:v>7.4300000000000047E-2</c:v>
                </c:pt>
                <c:pt idx="178">
                  <c:v>7.010000000000001E-2</c:v>
                </c:pt>
                <c:pt idx="179">
                  <c:v>7.5600000000000014E-2</c:v>
                </c:pt>
                <c:pt idx="180">
                  <c:v>7.4400000000000022E-2</c:v>
                </c:pt>
                <c:pt idx="181">
                  <c:v>6.4300000000000024E-2</c:v>
                </c:pt>
                <c:pt idx="182">
                  <c:v>6.5100000000000019E-2</c:v>
                </c:pt>
                <c:pt idx="183">
                  <c:v>5.220000000000001E-2</c:v>
                </c:pt>
                <c:pt idx="184">
                  <c:v>6.1199999999999997E-2</c:v>
                </c:pt>
                <c:pt idx="185">
                  <c:v>6.5800000000000011E-2</c:v>
                </c:pt>
                <c:pt idx="186">
                  <c:v>8.2600000000000021E-2</c:v>
                </c:pt>
                <c:pt idx="187">
                  <c:v>9.1500000000000026E-2</c:v>
                </c:pt>
                <c:pt idx="188">
                  <c:v>9.3000000000000055E-2</c:v>
                </c:pt>
                <c:pt idx="189">
                  <c:v>9.7800000000000026E-2</c:v>
                </c:pt>
                <c:pt idx="190">
                  <c:v>0.10539999999999998</c:v>
                </c:pt>
                <c:pt idx="191">
                  <c:v>0.1</c:v>
                </c:pt>
                <c:pt idx="192">
                  <c:v>0.11190000000000001</c:v>
                </c:pt>
                <c:pt idx="193">
                  <c:v>0.1303</c:v>
                </c:pt>
                <c:pt idx="194">
                  <c:v>0.13139999999999999</c:v>
                </c:pt>
                <c:pt idx="195">
                  <c:v>0.14650000000000005</c:v>
                </c:pt>
                <c:pt idx="196">
                  <c:v>0.14600000000000005</c:v>
                </c:pt>
                <c:pt idx="197">
                  <c:v>0.14030000000000001</c:v>
                </c:pt>
                <c:pt idx="198">
                  <c:v>0.13500000000000001</c:v>
                </c:pt>
                <c:pt idx="199">
                  <c:v>0.13840000000000005</c:v>
                </c:pt>
                <c:pt idx="200">
                  <c:v>0.13830000000000001</c:v>
                </c:pt>
                <c:pt idx="201">
                  <c:v>0.1346</c:v>
                </c:pt>
                <c:pt idx="202">
                  <c:v>0.13020000000000001</c:v>
                </c:pt>
                <c:pt idx="203">
                  <c:v>0.13569999999999999</c:v>
                </c:pt>
                <c:pt idx="204">
                  <c:v>0.13339999999999999</c:v>
                </c:pt>
                <c:pt idx="205">
                  <c:v>0.129</c:v>
                </c:pt>
                <c:pt idx="206">
                  <c:v>0.13600000000000001</c:v>
                </c:pt>
                <c:pt idx="207">
                  <c:v>0.14240000000000005</c:v>
                </c:pt>
                <c:pt idx="208">
                  <c:v>0.1431</c:v>
                </c:pt>
                <c:pt idx="209">
                  <c:v>0.13990000000000005</c:v>
                </c:pt>
                <c:pt idx="210">
                  <c:v>0.13950000000000001</c:v>
                </c:pt>
                <c:pt idx="211">
                  <c:v>0.14940000000000006</c:v>
                </c:pt>
                <c:pt idx="212">
                  <c:v>0.17750000000000005</c:v>
                </c:pt>
                <c:pt idx="213">
                  <c:v>0.20090000000000005</c:v>
                </c:pt>
                <c:pt idx="214">
                  <c:v>0.22700000000000004</c:v>
                </c:pt>
                <c:pt idx="215">
                  <c:v>0.23769999999999999</c:v>
                </c:pt>
                <c:pt idx="216">
                  <c:v>0.24780000000000005</c:v>
                </c:pt>
                <c:pt idx="217">
                  <c:v>0.23440000000000005</c:v>
                </c:pt>
                <c:pt idx="218">
                  <c:v>0.2336</c:v>
                </c:pt>
                <c:pt idx="219">
                  <c:v>0.21640000000000006</c:v>
                </c:pt>
                <c:pt idx="220">
                  <c:v>0.22890000000000005</c:v>
                </c:pt>
                <c:pt idx="221">
                  <c:v>0.24080000000000001</c:v>
                </c:pt>
                <c:pt idx="222">
                  <c:v>0.26279999999999998</c:v>
                </c:pt>
                <c:pt idx="223">
                  <c:v>0.26910000000000001</c:v>
                </c:pt>
                <c:pt idx="224">
                  <c:v>0.26700000000000002</c:v>
                </c:pt>
                <c:pt idx="225">
                  <c:v>0.25729999999999997</c:v>
                </c:pt>
                <c:pt idx="226">
                  <c:v>0.23530000000000001</c:v>
                </c:pt>
                <c:pt idx="227">
                  <c:v>0.22450000000000003</c:v>
                </c:pt>
                <c:pt idx="228">
                  <c:v>0.21200000000000005</c:v>
                </c:pt>
                <c:pt idx="229">
                  <c:v>0.22060000000000002</c:v>
                </c:pt>
                <c:pt idx="230">
                  <c:v>0.22260000000000002</c:v>
                </c:pt>
                <c:pt idx="231">
                  <c:v>0.26700000000000002</c:v>
                </c:pt>
                <c:pt idx="232">
                  <c:v>0.25419999999999998</c:v>
                </c:pt>
                <c:pt idx="233">
                  <c:v>0.26350000000000001</c:v>
                </c:pt>
                <c:pt idx="234">
                  <c:v>0.2636</c:v>
                </c:pt>
                <c:pt idx="235">
                  <c:v>0.25290000000000001</c:v>
                </c:pt>
                <c:pt idx="236">
                  <c:v>0.24630000000000005</c:v>
                </c:pt>
                <c:pt idx="237">
                  <c:v>0.24390000000000006</c:v>
                </c:pt>
                <c:pt idx="238">
                  <c:v>0.25180000000000002</c:v>
                </c:pt>
                <c:pt idx="239">
                  <c:v>0.24800000000000005</c:v>
                </c:pt>
                <c:pt idx="240">
                  <c:v>0.24360000000000001</c:v>
                </c:pt>
                <c:pt idx="241">
                  <c:v>0.23990000000000006</c:v>
                </c:pt>
                <c:pt idx="242">
                  <c:v>0.23750000000000004</c:v>
                </c:pt>
                <c:pt idx="243">
                  <c:v>0.19910000000000003</c:v>
                </c:pt>
                <c:pt idx="244">
                  <c:v>0.19250000000000003</c:v>
                </c:pt>
                <c:pt idx="245">
                  <c:v>0.17770000000000005</c:v>
                </c:pt>
                <c:pt idx="246">
                  <c:v>0.1711</c:v>
                </c:pt>
                <c:pt idx="247">
                  <c:v>0.17860000000000001</c:v>
                </c:pt>
                <c:pt idx="248">
                  <c:v>0.17119999999999999</c:v>
                </c:pt>
                <c:pt idx="249">
                  <c:v>0.16350000000000003</c:v>
                </c:pt>
                <c:pt idx="250">
                  <c:v>0.15690000000000007</c:v>
                </c:pt>
                <c:pt idx="251">
                  <c:v>0.17730000000000001</c:v>
                </c:pt>
                <c:pt idx="252">
                  <c:v>0.20080000000000001</c:v>
                </c:pt>
                <c:pt idx="253">
                  <c:v>0.21820000000000006</c:v>
                </c:pt>
                <c:pt idx="254">
                  <c:v>0.22270000000000004</c:v>
                </c:pt>
                <c:pt idx="255">
                  <c:v>0.23039999999999999</c:v>
                </c:pt>
                <c:pt idx="256">
                  <c:v>0.25310000000000005</c:v>
                </c:pt>
                <c:pt idx="257">
                  <c:v>0.2576</c:v>
                </c:pt>
                <c:pt idx="258">
                  <c:v>0.25719999999999998</c:v>
                </c:pt>
                <c:pt idx="259">
                  <c:v>0.2753000000000001</c:v>
                </c:pt>
                <c:pt idx="260">
                  <c:v>0.29910000000000009</c:v>
                </c:pt>
                <c:pt idx="261">
                  <c:v>0.36630000000000013</c:v>
                </c:pt>
                <c:pt idx="262">
                  <c:v>0.40850000000000009</c:v>
                </c:pt>
                <c:pt idx="263">
                  <c:v>0.41650000000000009</c:v>
                </c:pt>
                <c:pt idx="264">
                  <c:v>0.39450000000000013</c:v>
                </c:pt>
                <c:pt idx="265">
                  <c:v>0.3701000000000001</c:v>
                </c:pt>
                <c:pt idx="266">
                  <c:v>0.34870000000000007</c:v>
                </c:pt>
                <c:pt idx="267">
                  <c:v>0.32400000000000012</c:v>
                </c:pt>
                <c:pt idx="268">
                  <c:v>0.29440000000000011</c:v>
                </c:pt>
                <c:pt idx="269">
                  <c:v>0.28710000000000002</c:v>
                </c:pt>
                <c:pt idx="270">
                  <c:v>0.2722</c:v>
                </c:pt>
                <c:pt idx="271">
                  <c:v>0.24360000000000001</c:v>
                </c:pt>
                <c:pt idx="272">
                  <c:v>0.23400000000000001</c:v>
                </c:pt>
                <c:pt idx="273">
                  <c:v>0.17080000000000001</c:v>
                </c:pt>
                <c:pt idx="274">
                  <c:v>0.14750000000000005</c:v>
                </c:pt>
                <c:pt idx="275">
                  <c:v>0.14130000000000001</c:v>
                </c:pt>
                <c:pt idx="276">
                  <c:v>0.12690000000000001</c:v>
                </c:pt>
                <c:pt idx="277">
                  <c:v>0.1321</c:v>
                </c:pt>
                <c:pt idx="278">
                  <c:v>0.1353</c:v>
                </c:pt>
                <c:pt idx="279">
                  <c:v>0.16160000000000002</c:v>
                </c:pt>
                <c:pt idx="280">
                  <c:v>0.17620000000000005</c:v>
                </c:pt>
                <c:pt idx="281">
                  <c:v>0.18420000000000006</c:v>
                </c:pt>
                <c:pt idx="282">
                  <c:v>0.21040000000000006</c:v>
                </c:pt>
                <c:pt idx="283">
                  <c:v>0.21490000000000006</c:v>
                </c:pt>
                <c:pt idx="284">
                  <c:v>0.22530000000000003</c:v>
                </c:pt>
                <c:pt idx="285">
                  <c:v>0.22790000000000005</c:v>
                </c:pt>
                <c:pt idx="286">
                  <c:v>0.22610000000000002</c:v>
                </c:pt>
                <c:pt idx="287">
                  <c:v>0.21570000000000006</c:v>
                </c:pt>
                <c:pt idx="288">
                  <c:v>0.23469999999999999</c:v>
                </c:pt>
                <c:pt idx="289">
                  <c:v>0.25510000000000005</c:v>
                </c:pt>
                <c:pt idx="290">
                  <c:v>0.27710000000000001</c:v>
                </c:pt>
                <c:pt idx="291">
                  <c:v>0.26870000000000005</c:v>
                </c:pt>
                <c:pt idx="292">
                  <c:v>0.28150000000000008</c:v>
                </c:pt>
                <c:pt idx="293">
                  <c:v>0.28800000000000009</c:v>
                </c:pt>
                <c:pt idx="294">
                  <c:v>0.27590000000000009</c:v>
                </c:pt>
                <c:pt idx="295">
                  <c:v>0.26620000000000005</c:v>
                </c:pt>
                <c:pt idx="296">
                  <c:v>0.24200000000000005</c:v>
                </c:pt>
                <c:pt idx="297">
                  <c:v>0.26640000000000008</c:v>
                </c:pt>
                <c:pt idx="298">
                  <c:v>0.28270000000000001</c:v>
                </c:pt>
                <c:pt idx="299">
                  <c:v>0.2772</c:v>
                </c:pt>
                <c:pt idx="300">
                  <c:v>0.2737</c:v>
                </c:pt>
                <c:pt idx="301">
                  <c:v>0.26129999999999998</c:v>
                </c:pt>
                <c:pt idx="302">
                  <c:v>0.25490000000000002</c:v>
                </c:pt>
                <c:pt idx="303">
                  <c:v>0.26520000000000005</c:v>
                </c:pt>
                <c:pt idx="304">
                  <c:v>0.26200000000000001</c:v>
                </c:pt>
                <c:pt idx="305">
                  <c:v>0.25850000000000001</c:v>
                </c:pt>
                <c:pt idx="306">
                  <c:v>0.25669999999999998</c:v>
                </c:pt>
                <c:pt idx="307">
                  <c:v>0.28000000000000008</c:v>
                </c:pt>
                <c:pt idx="308">
                  <c:v>0.28820000000000001</c:v>
                </c:pt>
                <c:pt idx="309">
                  <c:v>0.27050000000000002</c:v>
                </c:pt>
                <c:pt idx="310">
                  <c:v>0.26020000000000004</c:v>
                </c:pt>
                <c:pt idx="311">
                  <c:v>0.2787</c:v>
                </c:pt>
                <c:pt idx="312">
                  <c:v>0.28930000000000011</c:v>
                </c:pt>
                <c:pt idx="313">
                  <c:v>0.29520000000000002</c:v>
                </c:pt>
                <c:pt idx="314">
                  <c:v>0.28330000000000011</c:v>
                </c:pt>
                <c:pt idx="315">
                  <c:v>0.27100000000000002</c:v>
                </c:pt>
                <c:pt idx="316">
                  <c:v>0.26350000000000001</c:v>
                </c:pt>
                <c:pt idx="317">
                  <c:v>0.2636</c:v>
                </c:pt>
                <c:pt idx="318">
                  <c:v>0.26029999999999998</c:v>
                </c:pt>
                <c:pt idx="319">
                  <c:v>0.251</c:v>
                </c:pt>
                <c:pt idx="320">
                  <c:v>0.24550000000000005</c:v>
                </c:pt>
                <c:pt idx="321">
                  <c:v>0.24770000000000006</c:v>
                </c:pt>
                <c:pt idx="322">
                  <c:v>0.24780000000000005</c:v>
                </c:pt>
                <c:pt idx="323">
                  <c:v>0.24190000000000006</c:v>
                </c:pt>
                <c:pt idx="324">
                  <c:v>0.23540000000000005</c:v>
                </c:pt>
                <c:pt idx="325">
                  <c:v>0.2346</c:v>
                </c:pt>
                <c:pt idx="326">
                  <c:v>0.24520000000000006</c:v>
                </c:pt>
                <c:pt idx="327">
                  <c:v>0.25260000000000005</c:v>
                </c:pt>
                <c:pt idx="328">
                  <c:v>0.24790000000000006</c:v>
                </c:pt>
                <c:pt idx="329">
                  <c:v>0.24030000000000001</c:v>
                </c:pt>
                <c:pt idx="330">
                  <c:v>0.23080000000000001</c:v>
                </c:pt>
                <c:pt idx="331">
                  <c:v>0.21880000000000005</c:v>
                </c:pt>
                <c:pt idx="332">
                  <c:v>0.21850000000000006</c:v>
                </c:pt>
                <c:pt idx="333">
                  <c:v>0.22420000000000004</c:v>
                </c:pt>
                <c:pt idx="334">
                  <c:v>0.22280000000000003</c:v>
                </c:pt>
                <c:pt idx="335">
                  <c:v>0.2046</c:v>
                </c:pt>
                <c:pt idx="336">
                  <c:v>0.19820000000000004</c:v>
                </c:pt>
                <c:pt idx="337">
                  <c:v>0.18320000000000006</c:v>
                </c:pt>
                <c:pt idx="338">
                  <c:v>0.17419999999999999</c:v>
                </c:pt>
                <c:pt idx="339">
                  <c:v>0.17200000000000001</c:v>
                </c:pt>
                <c:pt idx="340">
                  <c:v>0.17040000000000005</c:v>
                </c:pt>
                <c:pt idx="341">
                  <c:v>0.16640000000000005</c:v>
                </c:pt>
                <c:pt idx="342">
                  <c:v>0.17019999999999999</c:v>
                </c:pt>
                <c:pt idx="343">
                  <c:v>0.17200000000000001</c:v>
                </c:pt>
                <c:pt idx="344">
                  <c:v>0.16640000000000005</c:v>
                </c:pt>
                <c:pt idx="345">
                  <c:v>0.15420000000000006</c:v>
                </c:pt>
                <c:pt idx="346">
                  <c:v>0.1416</c:v>
                </c:pt>
                <c:pt idx="347">
                  <c:v>0.15170000000000006</c:v>
                </c:pt>
                <c:pt idx="348">
                  <c:v>0.15670000000000006</c:v>
                </c:pt>
                <c:pt idx="349">
                  <c:v>0.16190000000000004</c:v>
                </c:pt>
                <c:pt idx="350">
                  <c:v>0.16510000000000002</c:v>
                </c:pt>
                <c:pt idx="351">
                  <c:v>0.15270000000000006</c:v>
                </c:pt>
                <c:pt idx="352">
                  <c:v>0.16390000000000005</c:v>
                </c:pt>
                <c:pt idx="353">
                  <c:v>0.18280000000000005</c:v>
                </c:pt>
                <c:pt idx="354">
                  <c:v>0.19270000000000004</c:v>
                </c:pt>
                <c:pt idx="355">
                  <c:v>0.21240000000000006</c:v>
                </c:pt>
                <c:pt idx="356">
                  <c:v>0.22820000000000001</c:v>
                </c:pt>
                <c:pt idx="357">
                  <c:v>0.23810000000000001</c:v>
                </c:pt>
                <c:pt idx="358">
                  <c:v>0.27610000000000001</c:v>
                </c:pt>
                <c:pt idx="359">
                  <c:v>0.27910000000000001</c:v>
                </c:pt>
                <c:pt idx="360">
                  <c:v>0.25640000000000002</c:v>
                </c:pt>
                <c:pt idx="361">
                  <c:v>0.24670000000000006</c:v>
                </c:pt>
                <c:pt idx="362">
                  <c:v>0.24400000000000005</c:v>
                </c:pt>
                <c:pt idx="363">
                  <c:v>0.24770000000000006</c:v>
                </c:pt>
                <c:pt idx="364">
                  <c:v>0.23490000000000005</c:v>
                </c:pt>
                <c:pt idx="365">
                  <c:v>0.22450000000000003</c:v>
                </c:pt>
                <c:pt idx="366">
                  <c:v>0.23550000000000001</c:v>
                </c:pt>
                <c:pt idx="367">
                  <c:v>0.23719999999999999</c:v>
                </c:pt>
                <c:pt idx="368">
                  <c:v>0.22650000000000003</c:v>
                </c:pt>
                <c:pt idx="369">
                  <c:v>0.22540000000000004</c:v>
                </c:pt>
                <c:pt idx="370">
                  <c:v>0.16400000000000003</c:v>
                </c:pt>
                <c:pt idx="371">
                  <c:v>0.1346</c:v>
                </c:pt>
                <c:pt idx="372">
                  <c:v>0.1411</c:v>
                </c:pt>
                <c:pt idx="373">
                  <c:v>0.16170000000000004</c:v>
                </c:pt>
                <c:pt idx="374">
                  <c:v>0.16790000000000005</c:v>
                </c:pt>
                <c:pt idx="375">
                  <c:v>0.18170000000000006</c:v>
                </c:pt>
                <c:pt idx="376">
                  <c:v>0.19540000000000005</c:v>
                </c:pt>
                <c:pt idx="377">
                  <c:v>0.20950000000000005</c:v>
                </c:pt>
                <c:pt idx="378">
                  <c:v>0.21090000000000006</c:v>
                </c:pt>
                <c:pt idx="379">
                  <c:v>0.19770000000000001</c:v>
                </c:pt>
                <c:pt idx="380">
                  <c:v>0.2036</c:v>
                </c:pt>
                <c:pt idx="381">
                  <c:v>0.19800000000000004</c:v>
                </c:pt>
                <c:pt idx="382">
                  <c:v>0.22730000000000003</c:v>
                </c:pt>
                <c:pt idx="383">
                  <c:v>0.24810000000000001</c:v>
                </c:pt>
                <c:pt idx="384">
                  <c:v>0.26650000000000001</c:v>
                </c:pt>
                <c:pt idx="385">
                  <c:v>0.25269999999999998</c:v>
                </c:pt>
                <c:pt idx="386">
                  <c:v>0.25010000000000004</c:v>
                </c:pt>
                <c:pt idx="387">
                  <c:v>0.24800000000000005</c:v>
                </c:pt>
                <c:pt idx="388">
                  <c:v>0.24730000000000005</c:v>
                </c:pt>
                <c:pt idx="389">
                  <c:v>0.24020000000000005</c:v>
                </c:pt>
                <c:pt idx="390">
                  <c:v>0.23700000000000004</c:v>
                </c:pt>
                <c:pt idx="391">
                  <c:v>0.26129999999999998</c:v>
                </c:pt>
                <c:pt idx="392">
                  <c:v>0.2636</c:v>
                </c:pt>
                <c:pt idx="393">
                  <c:v>0.28410000000000002</c:v>
                </c:pt>
                <c:pt idx="394">
                  <c:v>0.28440000000000015</c:v>
                </c:pt>
                <c:pt idx="395">
                  <c:v>0.30270000000000002</c:v>
                </c:pt>
                <c:pt idx="396">
                  <c:v>0.30260000000000009</c:v>
                </c:pt>
                <c:pt idx="397">
                  <c:v>0.29650000000000015</c:v>
                </c:pt>
                <c:pt idx="398">
                  <c:v>0.29000000000000009</c:v>
                </c:pt>
                <c:pt idx="399">
                  <c:v>0.28590000000000015</c:v>
                </c:pt>
                <c:pt idx="400">
                  <c:v>0.2768000000000001</c:v>
                </c:pt>
                <c:pt idx="401">
                  <c:v>0.28120000000000001</c:v>
                </c:pt>
                <c:pt idx="402">
                  <c:v>0.27910000000000001</c:v>
                </c:pt>
                <c:pt idx="403">
                  <c:v>0.27029999999999998</c:v>
                </c:pt>
                <c:pt idx="404">
                  <c:v>0.26529999999999998</c:v>
                </c:pt>
                <c:pt idx="405">
                  <c:v>0.24850000000000005</c:v>
                </c:pt>
                <c:pt idx="406">
                  <c:v>0.24880000000000005</c:v>
                </c:pt>
                <c:pt idx="407">
                  <c:v>0.23630000000000001</c:v>
                </c:pt>
                <c:pt idx="408">
                  <c:v>0.23760000000000001</c:v>
                </c:pt>
                <c:pt idx="409">
                  <c:v>0.25690000000000002</c:v>
                </c:pt>
                <c:pt idx="410">
                  <c:v>0.26550000000000001</c:v>
                </c:pt>
                <c:pt idx="411">
                  <c:v>0.2661</c:v>
                </c:pt>
                <c:pt idx="412">
                  <c:v>0.27090000000000009</c:v>
                </c:pt>
                <c:pt idx="413">
                  <c:v>0.26120000000000004</c:v>
                </c:pt>
                <c:pt idx="414">
                  <c:v>0.26690000000000008</c:v>
                </c:pt>
                <c:pt idx="415">
                  <c:v>0.2712</c:v>
                </c:pt>
                <c:pt idx="416">
                  <c:v>0.2763000000000001</c:v>
                </c:pt>
                <c:pt idx="417">
                  <c:v>0.2798000000000001</c:v>
                </c:pt>
                <c:pt idx="418">
                  <c:v>0.2824000000000001</c:v>
                </c:pt>
                <c:pt idx="419">
                  <c:v>0.28970000000000001</c:v>
                </c:pt>
                <c:pt idx="420">
                  <c:v>0.28720000000000001</c:v>
                </c:pt>
                <c:pt idx="421">
                  <c:v>0.28980000000000011</c:v>
                </c:pt>
                <c:pt idx="422">
                  <c:v>0.30240000000000011</c:v>
                </c:pt>
                <c:pt idx="423">
                  <c:v>0.30650000000000016</c:v>
                </c:pt>
                <c:pt idx="424">
                  <c:v>0.30970000000000009</c:v>
                </c:pt>
                <c:pt idx="425">
                  <c:v>0.32360000000000011</c:v>
                </c:pt>
                <c:pt idx="426">
                  <c:v>0.31980000000000014</c:v>
                </c:pt>
                <c:pt idx="427">
                  <c:v>0.31650000000000011</c:v>
                </c:pt>
                <c:pt idx="428">
                  <c:v>0.31180000000000013</c:v>
                </c:pt>
                <c:pt idx="429">
                  <c:v>0.31160000000000015</c:v>
                </c:pt>
                <c:pt idx="430">
                  <c:v>0.31490000000000012</c:v>
                </c:pt>
                <c:pt idx="431">
                  <c:v>0.31000000000000011</c:v>
                </c:pt>
                <c:pt idx="432">
                  <c:v>0.31600000000000011</c:v>
                </c:pt>
                <c:pt idx="433">
                  <c:v>0.31200000000000011</c:v>
                </c:pt>
                <c:pt idx="434">
                  <c:v>0.30010000000000009</c:v>
                </c:pt>
                <c:pt idx="435">
                  <c:v>0.29250000000000009</c:v>
                </c:pt>
                <c:pt idx="436">
                  <c:v>0.28220000000000001</c:v>
                </c:pt>
                <c:pt idx="437">
                  <c:v>0.26820000000000005</c:v>
                </c:pt>
                <c:pt idx="438">
                  <c:v>0.2743000000000001</c:v>
                </c:pt>
                <c:pt idx="439">
                  <c:v>0.27350000000000002</c:v>
                </c:pt>
                <c:pt idx="440">
                  <c:v>0.2708000000000001</c:v>
                </c:pt>
                <c:pt idx="441">
                  <c:v>0.27150000000000002</c:v>
                </c:pt>
                <c:pt idx="442">
                  <c:v>0.27300000000000002</c:v>
                </c:pt>
                <c:pt idx="443">
                  <c:v>0.28130000000000011</c:v>
                </c:pt>
                <c:pt idx="444">
                  <c:v>0.28360000000000002</c:v>
                </c:pt>
                <c:pt idx="445">
                  <c:v>0.27700000000000002</c:v>
                </c:pt>
                <c:pt idx="446">
                  <c:v>0.26920000000000005</c:v>
                </c:pt>
                <c:pt idx="447">
                  <c:v>0.26320000000000005</c:v>
                </c:pt>
                <c:pt idx="448">
                  <c:v>0.25700000000000001</c:v>
                </c:pt>
                <c:pt idx="449">
                  <c:v>0.25130000000000002</c:v>
                </c:pt>
                <c:pt idx="450">
                  <c:v>0.24820000000000006</c:v>
                </c:pt>
                <c:pt idx="451">
                  <c:v>0.24710000000000001</c:v>
                </c:pt>
                <c:pt idx="452">
                  <c:v>0.24180000000000001</c:v>
                </c:pt>
                <c:pt idx="453">
                  <c:v>0.23080000000000001</c:v>
                </c:pt>
                <c:pt idx="454">
                  <c:v>0.22210000000000002</c:v>
                </c:pt>
                <c:pt idx="455">
                  <c:v>0.21380000000000005</c:v>
                </c:pt>
                <c:pt idx="456">
                  <c:v>0.2046</c:v>
                </c:pt>
                <c:pt idx="457">
                  <c:v>0.21070000000000005</c:v>
                </c:pt>
                <c:pt idx="458">
                  <c:v>0.21430000000000005</c:v>
                </c:pt>
                <c:pt idx="459">
                  <c:v>0.21690000000000006</c:v>
                </c:pt>
                <c:pt idx="460">
                  <c:v>0.22370000000000004</c:v>
                </c:pt>
                <c:pt idx="461">
                  <c:v>0.22600000000000003</c:v>
                </c:pt>
                <c:pt idx="462">
                  <c:v>0.22500000000000003</c:v>
                </c:pt>
                <c:pt idx="463">
                  <c:v>0.2301</c:v>
                </c:pt>
                <c:pt idx="464">
                  <c:v>0.2341</c:v>
                </c:pt>
                <c:pt idx="465">
                  <c:v>0.23940000000000006</c:v>
                </c:pt>
                <c:pt idx="466">
                  <c:v>0.23860000000000001</c:v>
                </c:pt>
                <c:pt idx="467">
                  <c:v>0.23080000000000001</c:v>
                </c:pt>
                <c:pt idx="468">
                  <c:v>0.22690000000000005</c:v>
                </c:pt>
                <c:pt idx="469">
                  <c:v>0.22350000000000003</c:v>
                </c:pt>
                <c:pt idx="470">
                  <c:v>0.22310000000000002</c:v>
                </c:pt>
                <c:pt idx="471">
                  <c:v>0.22370000000000004</c:v>
                </c:pt>
                <c:pt idx="472">
                  <c:v>0.22160000000000002</c:v>
                </c:pt>
                <c:pt idx="473">
                  <c:v>0.22590000000000005</c:v>
                </c:pt>
                <c:pt idx="474">
                  <c:v>0.21040000000000006</c:v>
                </c:pt>
                <c:pt idx="475">
                  <c:v>0.20860000000000001</c:v>
                </c:pt>
                <c:pt idx="476">
                  <c:v>0.21330000000000005</c:v>
                </c:pt>
                <c:pt idx="477">
                  <c:v>0.21170000000000005</c:v>
                </c:pt>
                <c:pt idx="478">
                  <c:v>0.21300000000000005</c:v>
                </c:pt>
                <c:pt idx="479">
                  <c:v>0.21660000000000001</c:v>
                </c:pt>
                <c:pt idx="480">
                  <c:v>0.21500000000000005</c:v>
                </c:pt>
                <c:pt idx="481">
                  <c:v>0.21090000000000006</c:v>
                </c:pt>
                <c:pt idx="482">
                  <c:v>0.20790000000000006</c:v>
                </c:pt>
                <c:pt idx="483">
                  <c:v>0.20519999999999999</c:v>
                </c:pt>
                <c:pt idx="484">
                  <c:v>0.20130000000000001</c:v>
                </c:pt>
                <c:pt idx="485">
                  <c:v>0.19460000000000002</c:v>
                </c:pt>
                <c:pt idx="486">
                  <c:v>0.20240000000000005</c:v>
                </c:pt>
                <c:pt idx="487">
                  <c:v>0.20810000000000001</c:v>
                </c:pt>
                <c:pt idx="488">
                  <c:v>0.20200000000000001</c:v>
                </c:pt>
                <c:pt idx="489">
                  <c:v>0.19900000000000004</c:v>
                </c:pt>
                <c:pt idx="490">
                  <c:v>0.19780000000000003</c:v>
                </c:pt>
                <c:pt idx="491">
                  <c:v>0.19700000000000004</c:v>
                </c:pt>
                <c:pt idx="492">
                  <c:v>0.20569999999999999</c:v>
                </c:pt>
                <c:pt idx="493">
                  <c:v>0.21130000000000004</c:v>
                </c:pt>
                <c:pt idx="494">
                  <c:v>0.21550000000000005</c:v>
                </c:pt>
                <c:pt idx="495">
                  <c:v>0.21870000000000006</c:v>
                </c:pt>
                <c:pt idx="496">
                  <c:v>0.21880000000000005</c:v>
                </c:pt>
                <c:pt idx="497">
                  <c:v>0.21630000000000005</c:v>
                </c:pt>
                <c:pt idx="498">
                  <c:v>0.20619999999999999</c:v>
                </c:pt>
                <c:pt idx="499">
                  <c:v>0.19580000000000003</c:v>
                </c:pt>
                <c:pt idx="500">
                  <c:v>0.18930000000000005</c:v>
                </c:pt>
                <c:pt idx="501">
                  <c:v>0.18520000000000006</c:v>
                </c:pt>
                <c:pt idx="502">
                  <c:v>0.18600000000000005</c:v>
                </c:pt>
                <c:pt idx="503">
                  <c:v>0.18670000000000006</c:v>
                </c:pt>
                <c:pt idx="504">
                  <c:v>0.17880000000000001</c:v>
                </c:pt>
                <c:pt idx="505">
                  <c:v>0.17930000000000001</c:v>
                </c:pt>
                <c:pt idx="506">
                  <c:v>0.18010000000000001</c:v>
                </c:pt>
                <c:pt idx="507">
                  <c:v>0.17800000000000005</c:v>
                </c:pt>
                <c:pt idx="508">
                  <c:v>0.17810000000000001</c:v>
                </c:pt>
                <c:pt idx="509">
                  <c:v>0.17680000000000001</c:v>
                </c:pt>
                <c:pt idx="510">
                  <c:v>0.17840000000000006</c:v>
                </c:pt>
                <c:pt idx="511">
                  <c:v>0.18030000000000004</c:v>
                </c:pt>
                <c:pt idx="512">
                  <c:v>0.19240000000000004</c:v>
                </c:pt>
                <c:pt idx="513">
                  <c:v>0.20740000000000006</c:v>
                </c:pt>
                <c:pt idx="514">
                  <c:v>0.20669999999999999</c:v>
                </c:pt>
                <c:pt idx="515">
                  <c:v>0.20690000000000006</c:v>
                </c:pt>
                <c:pt idx="516">
                  <c:v>0.20269999999999999</c:v>
                </c:pt>
                <c:pt idx="517">
                  <c:v>0.18940000000000007</c:v>
                </c:pt>
                <c:pt idx="518">
                  <c:v>0.17800000000000005</c:v>
                </c:pt>
                <c:pt idx="519">
                  <c:v>0.17090000000000005</c:v>
                </c:pt>
                <c:pt idx="520">
                  <c:v>0.16350000000000003</c:v>
                </c:pt>
                <c:pt idx="521">
                  <c:v>0.16700000000000004</c:v>
                </c:pt>
                <c:pt idx="522">
                  <c:v>0.17180699999999999</c:v>
                </c:pt>
                <c:pt idx="523">
                  <c:v>0.15381100000000006</c:v>
                </c:pt>
                <c:pt idx="524">
                  <c:v>0.1351</c:v>
                </c:pt>
                <c:pt idx="525">
                  <c:v>0.11170500000000004</c:v>
                </c:pt>
                <c:pt idx="526">
                  <c:v>9.9844000000000058E-2</c:v>
                </c:pt>
                <c:pt idx="527">
                  <c:v>8.9606000000000061E-2</c:v>
                </c:pt>
                <c:pt idx="528">
                  <c:v>8.7812999999999988E-2</c:v>
                </c:pt>
                <c:pt idx="529">
                  <c:v>9.2835000000000029E-2</c:v>
                </c:pt>
                <c:pt idx="530">
                  <c:v>9.3287000000000037E-2</c:v>
                </c:pt>
                <c:pt idx="531">
                  <c:v>9.3203000000000036E-2</c:v>
                </c:pt>
                <c:pt idx="532">
                  <c:v>9.6499000000000001E-2</c:v>
                </c:pt>
                <c:pt idx="533">
                  <c:v>9.231700000000001E-2</c:v>
                </c:pt>
                <c:pt idx="534">
                  <c:v>8.2487000000000005E-2</c:v>
                </c:pt>
                <c:pt idx="535">
                  <c:v>8.8914000000000035E-2</c:v>
                </c:pt>
                <c:pt idx="536">
                  <c:v>9.7252000000000005E-2</c:v>
                </c:pt>
                <c:pt idx="537">
                  <c:v>9.9563000000000068E-2</c:v>
                </c:pt>
                <c:pt idx="538">
                  <c:v>0.10003099999999998</c:v>
                </c:pt>
                <c:pt idx="539">
                  <c:v>9.6754000000000062E-2</c:v>
                </c:pt>
                <c:pt idx="540">
                  <c:v>9.2918000000000001E-2</c:v>
                </c:pt>
                <c:pt idx="541">
                  <c:v>9.0966000000000047E-2</c:v>
                </c:pt>
                <c:pt idx="542">
                  <c:v>9.2000000000000026E-2</c:v>
                </c:pt>
                <c:pt idx="543">
                  <c:v>8.9861000000000052E-2</c:v>
                </c:pt>
                <c:pt idx="544">
                  <c:v>8.8229000000000057E-2</c:v>
                </c:pt>
                <c:pt idx="545">
                  <c:v>8.7482000000000004E-2</c:v>
                </c:pt>
                <c:pt idx="546">
                  <c:v>8.4922000000000067E-2</c:v>
                </c:pt>
                <c:pt idx="547">
                  <c:v>8.0583000000000002E-2</c:v>
                </c:pt>
                <c:pt idx="548">
                  <c:v>7.8143000000000004E-2</c:v>
                </c:pt>
                <c:pt idx="549">
                  <c:v>7.9759000000000024E-2</c:v>
                </c:pt>
                <c:pt idx="550">
                  <c:v>7.8654000000000002E-2</c:v>
                </c:pt>
                <c:pt idx="551">
                  <c:v>7.9298000000000021E-2</c:v>
                </c:pt>
                <c:pt idx="552">
                  <c:v>8.0895000000000078E-2</c:v>
                </c:pt>
                <c:pt idx="553">
                  <c:v>8.0302000000000012E-2</c:v>
                </c:pt>
                <c:pt idx="554">
                  <c:v>7.9712000000000047E-2</c:v>
                </c:pt>
                <c:pt idx="555">
                  <c:v>8.0059000000000047E-2</c:v>
                </c:pt>
                <c:pt idx="556">
                  <c:v>7.7782000000000032E-2</c:v>
                </c:pt>
                <c:pt idx="557">
                  <c:v>7.6464000000000018E-2</c:v>
                </c:pt>
                <c:pt idx="558">
                  <c:v>7.3748000000000008E-2</c:v>
                </c:pt>
                <c:pt idx="559">
                  <c:v>6.7042000000000032E-2</c:v>
                </c:pt>
                <c:pt idx="560">
                  <c:v>5.8915000000000016E-2</c:v>
                </c:pt>
                <c:pt idx="561">
                  <c:v>5.6481000000000003E-2</c:v>
                </c:pt>
                <c:pt idx="562">
                  <c:v>5.8379000000000007E-2</c:v>
                </c:pt>
                <c:pt idx="563">
                  <c:v>6.2489000000000017E-2</c:v>
                </c:pt>
                <c:pt idx="564">
                  <c:v>6.1570999999999994E-2</c:v>
                </c:pt>
                <c:pt idx="565">
                  <c:v>5.9811000000000031E-2</c:v>
                </c:pt>
                <c:pt idx="566">
                  <c:v>5.969600000000002E-2</c:v>
                </c:pt>
                <c:pt idx="567">
                  <c:v>6.3650999999999999E-2</c:v>
                </c:pt>
                <c:pt idx="568">
                  <c:v>7.0677000000000004E-2</c:v>
                </c:pt>
                <c:pt idx="569">
                  <c:v>6.9928000000000018E-2</c:v>
                </c:pt>
                <c:pt idx="570">
                  <c:v>7.3943000000000009E-2</c:v>
                </c:pt>
                <c:pt idx="571">
                  <c:v>7.2394000000000042E-2</c:v>
                </c:pt>
                <c:pt idx="572">
                  <c:v>7.6001000000000013E-2</c:v>
                </c:pt>
                <c:pt idx="573">
                  <c:v>7.8481000000000009E-2</c:v>
                </c:pt>
                <c:pt idx="574">
                  <c:v>7.7314000000000022E-2</c:v>
                </c:pt>
                <c:pt idx="575">
                  <c:v>7.2127000000000011E-2</c:v>
                </c:pt>
                <c:pt idx="576">
                  <c:v>7.0351000000000011E-2</c:v>
                </c:pt>
                <c:pt idx="577">
                  <c:v>7.2645000000000001E-2</c:v>
                </c:pt>
                <c:pt idx="578">
                  <c:v>7.1148000000000003E-2</c:v>
                </c:pt>
                <c:pt idx="579">
                  <c:v>6.5834000000000031E-2</c:v>
                </c:pt>
                <c:pt idx="580">
                  <c:v>6.1287000000000008E-2</c:v>
                </c:pt>
                <c:pt idx="581">
                  <c:v>6.4906000000000033E-2</c:v>
                </c:pt>
                <c:pt idx="582">
                  <c:v>6.1875000000000006E-2</c:v>
                </c:pt>
                <c:pt idx="583">
                  <c:v>6.2809000000000018E-2</c:v>
                </c:pt>
                <c:pt idx="584">
                  <c:v>6.2148000000000009E-2</c:v>
                </c:pt>
                <c:pt idx="585">
                  <c:v>5.4887000000000033E-2</c:v>
                </c:pt>
                <c:pt idx="586">
                  <c:v>5.3742000000000019E-2</c:v>
                </c:pt>
                <c:pt idx="587">
                  <c:v>6.0681000000000013E-2</c:v>
                </c:pt>
                <c:pt idx="588">
                  <c:v>6.1873000000000004E-2</c:v>
                </c:pt>
                <c:pt idx="589">
                  <c:v>5.8922000000000016E-2</c:v>
                </c:pt>
                <c:pt idx="590">
                  <c:v>5.9726000000000029E-2</c:v>
                </c:pt>
                <c:pt idx="591">
                  <c:v>5.8983000000000015E-2</c:v>
                </c:pt>
                <c:pt idx="592">
                  <c:v>5.8238000000000012E-2</c:v>
                </c:pt>
                <c:pt idx="593">
                  <c:v>5.497500000000001E-2</c:v>
                </c:pt>
                <c:pt idx="594">
                  <c:v>5.430500000000002E-2</c:v>
                </c:pt>
                <c:pt idx="595">
                  <c:v>5.2461000000000028E-2</c:v>
                </c:pt>
                <c:pt idx="596">
                  <c:v>5.0265000000000004E-2</c:v>
                </c:pt>
                <c:pt idx="597">
                  <c:v>5.0082000000000029E-2</c:v>
                </c:pt>
                <c:pt idx="598">
                  <c:v>5.0365000000000014E-2</c:v>
                </c:pt>
                <c:pt idx="599">
                  <c:v>4.8250999999999995E-2</c:v>
                </c:pt>
                <c:pt idx="600">
                  <c:v>4.9085000000000018E-2</c:v>
                </c:pt>
                <c:pt idx="601">
                  <c:v>4.8785000000000016E-2</c:v>
                </c:pt>
                <c:pt idx="602">
                  <c:v>5.0161000000000004E-2</c:v>
                </c:pt>
                <c:pt idx="603">
                  <c:v>5.2682000000000014E-2</c:v>
                </c:pt>
                <c:pt idx="604">
                  <c:v>5.0966000000000011E-2</c:v>
                </c:pt>
                <c:pt idx="605">
                  <c:v>4.8548999999999995E-2</c:v>
                </c:pt>
                <c:pt idx="606">
                  <c:v>4.5631000000000012E-2</c:v>
                </c:pt>
                <c:pt idx="607">
                  <c:v>4.1855999999999997E-2</c:v>
                </c:pt>
                <c:pt idx="608">
                  <c:v>4.1119999999999997E-2</c:v>
                </c:pt>
                <c:pt idx="609">
                  <c:v>4.1214000000000001E-2</c:v>
                </c:pt>
                <c:pt idx="610">
                  <c:v>4.0384000000000017E-2</c:v>
                </c:pt>
                <c:pt idx="611">
                  <c:v>3.9382000000000007E-2</c:v>
                </c:pt>
                <c:pt idx="612">
                  <c:v>4.3169000000000006E-2</c:v>
                </c:pt>
                <c:pt idx="613">
                  <c:v>4.7244999999999995E-2</c:v>
                </c:pt>
                <c:pt idx="614">
                  <c:v>4.5769000000000018E-2</c:v>
                </c:pt>
                <c:pt idx="615">
                  <c:v>4.1859E-2</c:v>
                </c:pt>
                <c:pt idx="616">
                  <c:v>4.3136000000000015E-2</c:v>
                </c:pt>
                <c:pt idx="617">
                  <c:v>4.4779000000000013E-2</c:v>
                </c:pt>
                <c:pt idx="618">
                  <c:v>4.7118000000000014E-2</c:v>
                </c:pt>
                <c:pt idx="619">
                  <c:v>5.2468000000000029E-2</c:v>
                </c:pt>
                <c:pt idx="620">
                  <c:v>5.7805000000000016E-2</c:v>
                </c:pt>
                <c:pt idx="621">
                  <c:v>6.2563000000000021E-2</c:v>
                </c:pt>
                <c:pt idx="622">
                  <c:v>6.2264000000000014E-2</c:v>
                </c:pt>
                <c:pt idx="623">
                  <c:v>6.033800000000003E-2</c:v>
                </c:pt>
                <c:pt idx="624">
                  <c:v>5.7718000000000033E-2</c:v>
                </c:pt>
                <c:pt idx="625">
                  <c:v>5.2178000000000009E-2</c:v>
                </c:pt>
                <c:pt idx="626">
                  <c:v>5.0049999999999997E-2</c:v>
                </c:pt>
                <c:pt idx="627">
                  <c:v>5.1633000000000012E-2</c:v>
                </c:pt>
                <c:pt idx="628">
                  <c:v>5.4121000000000009E-2</c:v>
                </c:pt>
                <c:pt idx="629">
                  <c:v>5.6940999999999992E-2</c:v>
                </c:pt>
                <c:pt idx="630">
                  <c:v>5.9970000000000016E-2</c:v>
                </c:pt>
                <c:pt idx="631">
                  <c:v>6.3519999999999993E-2</c:v>
                </c:pt>
                <c:pt idx="632">
                  <c:v>5.9260000000000014E-2</c:v>
                </c:pt>
                <c:pt idx="633">
                  <c:v>5.7279999999999998E-2</c:v>
                </c:pt>
                <c:pt idx="634">
                  <c:v>6.3943E-2</c:v>
                </c:pt>
                <c:pt idx="635">
                  <c:v>7.1804000000000021E-2</c:v>
                </c:pt>
                <c:pt idx="636">
                  <c:v>7.5196000000000027E-2</c:v>
                </c:pt>
                <c:pt idx="637">
                  <c:v>7.8693000000000013E-2</c:v>
                </c:pt>
                <c:pt idx="638">
                  <c:v>7.573700000000004E-2</c:v>
                </c:pt>
                <c:pt idx="639">
                  <c:v>7.9397000000000037E-2</c:v>
                </c:pt>
                <c:pt idx="640">
                  <c:v>7.7301000000000022E-2</c:v>
                </c:pt>
                <c:pt idx="641">
                  <c:v>7.6748000000000011E-2</c:v>
                </c:pt>
                <c:pt idx="642">
                  <c:v>7.178155999999998E-2</c:v>
                </c:pt>
                <c:pt idx="643">
                  <c:v>6.4667480000000027E-2</c:v>
                </c:pt>
                <c:pt idx="644">
                  <c:v>6.1407950000000017E-2</c:v>
                </c:pt>
                <c:pt idx="645">
                  <c:v>5.7298670000000031E-2</c:v>
                </c:pt>
                <c:pt idx="646">
                  <c:v>4.7686230000000031E-2</c:v>
                </c:pt>
                <c:pt idx="647">
                  <c:v>3.8148619999999994E-2</c:v>
                </c:pt>
                <c:pt idx="648">
                  <c:v>3.276757000000001E-2</c:v>
                </c:pt>
                <c:pt idx="649">
                  <c:v>3.1250210000000014E-2</c:v>
                </c:pt>
                <c:pt idx="650">
                  <c:v>3.2089570000000012E-2</c:v>
                </c:pt>
                <c:pt idx="651">
                  <c:v>2.721595000000001E-2</c:v>
                </c:pt>
                <c:pt idx="652">
                  <c:v>2.3685190000000002E-2</c:v>
                </c:pt>
                <c:pt idx="653">
                  <c:v>2.0018079999999997E-2</c:v>
                </c:pt>
                <c:pt idx="654">
                  <c:v>2.0996249999999998E-2</c:v>
                </c:pt>
                <c:pt idx="655">
                  <c:v>2.0909350000000007E-2</c:v>
                </c:pt>
                <c:pt idx="656">
                  <c:v>1.8395080000000001E-2</c:v>
                </c:pt>
                <c:pt idx="657">
                  <c:v>1.9808410000000005E-2</c:v>
                </c:pt>
                <c:pt idx="658">
                  <c:v>2.0717970000000002E-2</c:v>
                </c:pt>
                <c:pt idx="659">
                  <c:v>2.2451340000000018E-2</c:v>
                </c:pt>
                <c:pt idx="660">
                  <c:v>2.2418040000000014E-2</c:v>
                </c:pt>
                <c:pt idx="661">
                  <c:v>2.3114369999999995E-2</c:v>
                </c:pt>
                <c:pt idx="662">
                  <c:v>2.2846390000000015E-2</c:v>
                </c:pt>
                <c:pt idx="663">
                  <c:v>2.3250730000000001E-2</c:v>
                </c:pt>
                <c:pt idx="664">
                  <c:v>2.5909830000000002E-2</c:v>
                </c:pt>
                <c:pt idx="665">
                  <c:v>3.1712220000000006E-2</c:v>
                </c:pt>
                <c:pt idx="666">
                  <c:v>3.4000000000000002E-2</c:v>
                </c:pt>
                <c:pt idx="667">
                  <c:v>3.1677470000000013E-2</c:v>
                </c:pt>
                <c:pt idx="668">
                  <c:v>3.1864440000000008E-2</c:v>
                </c:pt>
                <c:pt idx="669">
                  <c:v>2.8359519999999996E-2</c:v>
                </c:pt>
                <c:pt idx="670">
                  <c:v>3.0224410000000004E-2</c:v>
                </c:pt>
                <c:pt idx="671">
                  <c:v>3.2325910000000013E-2</c:v>
                </c:pt>
                <c:pt idx="672">
                  <c:v>3.419624000000001E-2</c:v>
                </c:pt>
                <c:pt idx="673">
                  <c:v>3.2716929999999998E-2</c:v>
                </c:pt>
                <c:pt idx="674">
                  <c:v>3.7313450000000005E-2</c:v>
                </c:pt>
                <c:pt idx="675">
                  <c:v>4.0199500000000013E-2</c:v>
                </c:pt>
                <c:pt idx="676">
                  <c:v>3.9629730000000009E-2</c:v>
                </c:pt>
                <c:pt idx="677">
                  <c:v>3.7257870000000012E-2</c:v>
                </c:pt>
                <c:pt idx="678">
                  <c:v>3.5430960000000011E-2</c:v>
                </c:pt>
                <c:pt idx="679">
                  <c:v>3.5515270000000015E-2</c:v>
                </c:pt>
                <c:pt idx="680">
                  <c:v>3.3992050000000003E-2</c:v>
                </c:pt>
                <c:pt idx="681">
                  <c:v>3.4252190000000002E-2</c:v>
                </c:pt>
                <c:pt idx="682">
                  <c:v>3.4409280000000014E-2</c:v>
                </c:pt>
                <c:pt idx="683">
                  <c:v>3.1984829999999999E-2</c:v>
                </c:pt>
                <c:pt idx="684">
                  <c:v>3.0330260000000008E-2</c:v>
                </c:pt>
                <c:pt idx="685">
                  <c:v>3.1072120000000012E-2</c:v>
                </c:pt>
                <c:pt idx="686">
                  <c:v>3.0841610000000012E-2</c:v>
                </c:pt>
                <c:pt idx="687">
                  <c:v>3.0570150000000004E-2</c:v>
                </c:pt>
                <c:pt idx="688">
                  <c:v>2.7731110000000017E-2</c:v>
                </c:pt>
                <c:pt idx="689">
                  <c:v>2.4353449999999995E-2</c:v>
                </c:pt>
                <c:pt idx="690">
                  <c:v>1.9952919999999999E-2</c:v>
                </c:pt>
                <c:pt idx="691">
                  <c:v>1.8263690000000003E-2</c:v>
                </c:pt>
                <c:pt idx="692">
                  <c:v>1.9114699999999998E-2</c:v>
                </c:pt>
                <c:pt idx="693">
                  <c:v>2.0219529999999996E-2</c:v>
                </c:pt>
                <c:pt idx="694">
                  <c:v>2.0002549999999997E-2</c:v>
                </c:pt>
                <c:pt idx="695">
                  <c:v>2.1552189999999995E-2</c:v>
                </c:pt>
                <c:pt idx="696">
                  <c:v>2.2231460000000015E-2</c:v>
                </c:pt>
                <c:pt idx="697">
                  <c:v>2.2664600000000007E-2</c:v>
                </c:pt>
                <c:pt idx="698">
                  <c:v>2.2731760000000014E-2</c:v>
                </c:pt>
                <c:pt idx="699">
                  <c:v>1.8413060000000002E-2</c:v>
                </c:pt>
                <c:pt idx="700">
                  <c:v>1.7602030000000005E-2</c:v>
                </c:pt>
                <c:pt idx="701">
                  <c:v>1.9378150000000007E-2</c:v>
                </c:pt>
                <c:pt idx="702">
                  <c:v>2.1291550000000006E-2</c:v>
                </c:pt>
                <c:pt idx="703">
                  <c:v>2.3189140000000007E-2</c:v>
                </c:pt>
                <c:pt idx="704">
                  <c:v>2.5113380000000005E-2</c:v>
                </c:pt>
                <c:pt idx="705">
                  <c:v>2.7207240000000018E-2</c:v>
                </c:pt>
                <c:pt idx="706">
                  <c:v>2.9307659999999996E-2</c:v>
                </c:pt>
                <c:pt idx="707">
                  <c:v>2.7853160000000012E-2</c:v>
                </c:pt>
                <c:pt idx="708">
                  <c:v>2.8946409999999988E-2</c:v>
                </c:pt>
                <c:pt idx="709">
                  <c:v>3.0177720000000005E-2</c:v>
                </c:pt>
                <c:pt idx="710">
                  <c:v>2.8564429999999981E-2</c:v>
                </c:pt>
                <c:pt idx="711">
                  <c:v>3.2940730000000015E-2</c:v>
                </c:pt>
                <c:pt idx="712">
                  <c:v>3.6543580000000006E-2</c:v>
                </c:pt>
                <c:pt idx="713">
                  <c:v>3.6576800000000013E-2</c:v>
                </c:pt>
                <c:pt idx="714">
                  <c:v>3.8207080000000004E-2</c:v>
                </c:pt>
                <c:pt idx="715">
                  <c:v>4.3559959999999995E-2</c:v>
                </c:pt>
                <c:pt idx="716">
                  <c:v>4.5552000000000016E-2</c:v>
                </c:pt>
                <c:pt idx="717">
                  <c:v>4.6378219999999998E-2</c:v>
                </c:pt>
                <c:pt idx="718">
                  <c:v>4.4079940000000012E-2</c:v>
                </c:pt>
                <c:pt idx="719">
                  <c:v>4.4202820000000011E-2</c:v>
                </c:pt>
                <c:pt idx="720">
                  <c:v>4.4556780000000011E-2</c:v>
                </c:pt>
                <c:pt idx="721">
                  <c:v>4.7442760000000014E-2</c:v>
                </c:pt>
                <c:pt idx="722">
                  <c:v>5.3506700000000018E-2</c:v>
                </c:pt>
                <c:pt idx="723">
                  <c:v>5.8947700000000013E-2</c:v>
                </c:pt>
                <c:pt idx="724">
                  <c:v>6.393092000000003E-2</c:v>
                </c:pt>
                <c:pt idx="725">
                  <c:v>6.7690890000000031E-2</c:v>
                </c:pt>
                <c:pt idx="726">
                  <c:v>7.4547400000000014E-2</c:v>
                </c:pt>
                <c:pt idx="727">
                  <c:v>7.592856000000002E-2</c:v>
                </c:pt>
                <c:pt idx="728">
                  <c:v>7.9756340000000037E-2</c:v>
                </c:pt>
                <c:pt idx="729">
                  <c:v>7.9316040000000046E-2</c:v>
                </c:pt>
                <c:pt idx="730">
                  <c:v>8.1972090000000011E-2</c:v>
                </c:pt>
                <c:pt idx="731">
                  <c:v>8.6021920000000029E-2</c:v>
                </c:pt>
                <c:pt idx="732">
                  <c:v>8.9650490000000083E-2</c:v>
                </c:pt>
                <c:pt idx="733">
                  <c:v>8.0975660000000046E-2</c:v>
                </c:pt>
                <c:pt idx="734">
                  <c:v>7.2728520000000033E-2</c:v>
                </c:pt>
                <c:pt idx="735">
                  <c:v>6.4822680000000035E-2</c:v>
                </c:pt>
                <c:pt idx="736">
                  <c:v>5.9625030000000016E-2</c:v>
                </c:pt>
                <c:pt idx="737">
                  <c:v>5.7474080000000004E-2</c:v>
                </c:pt>
                <c:pt idx="738">
                  <c:v>5.4691890000000014E-2</c:v>
                </c:pt>
                <c:pt idx="739">
                  <c:v>5.1839799999999998E-2</c:v>
                </c:pt>
                <c:pt idx="740">
                  <c:v>4.6860569999999997E-2</c:v>
                </c:pt>
                <c:pt idx="741">
                  <c:v>4.6627490000000014E-2</c:v>
                </c:pt>
                <c:pt idx="742">
                  <c:v>4.3665219999999991E-2</c:v>
                </c:pt>
                <c:pt idx="743">
                  <c:v>3.9873730000000024E-2</c:v>
                </c:pt>
                <c:pt idx="744">
                  <c:v>3.3965420000000003E-2</c:v>
                </c:pt>
                <c:pt idx="745">
                  <c:v>3.8736630000000001E-2</c:v>
                </c:pt>
                <c:pt idx="746">
                  <c:v>3.9704259999999998E-2</c:v>
                </c:pt>
                <c:pt idx="747">
                  <c:v>4.050136E-2</c:v>
                </c:pt>
                <c:pt idx="748">
                  <c:v>4.1217490000000016E-2</c:v>
                </c:pt>
                <c:pt idx="749">
                  <c:v>4.0886220000000029E-2</c:v>
                </c:pt>
                <c:pt idx="750">
                  <c:v>3.6795280000000014E-2</c:v>
                </c:pt>
              </c:numCache>
            </c:numRef>
          </c:val>
          <c:smooth val="0"/>
          <c:extLst>
            <c:ext xmlns:c16="http://schemas.microsoft.com/office/drawing/2014/chart" uri="{C3380CC4-5D6E-409C-BE32-E72D297353CC}">
              <c16:uniqueId val="{00000000-AFD9-4EC0-A2F0-E95D5AB933BD}"/>
            </c:ext>
          </c:extLst>
        </c:ser>
        <c:dLbls>
          <c:showLegendKey val="0"/>
          <c:showVal val="0"/>
          <c:showCatName val="0"/>
          <c:showSerName val="0"/>
          <c:showPercent val="0"/>
          <c:showBubbleSize val="0"/>
        </c:dLbls>
        <c:smooth val="0"/>
        <c:axId val="-382352208"/>
        <c:axId val="-382351664"/>
      </c:lineChart>
      <c:dateAx>
        <c:axId val="-382352208"/>
        <c:scaling>
          <c:orientation val="minMax"/>
          <c:min val="20455"/>
        </c:scaling>
        <c:delete val="0"/>
        <c:axPos val="b"/>
        <c:numFmt formatCode="[$-C0A]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crossAx val="-382351664"/>
        <c:crosses val="autoZero"/>
        <c:auto val="1"/>
        <c:lblOffset val="100"/>
        <c:baseTimeUnit val="months"/>
        <c:majorUnit val="24"/>
        <c:majorTimeUnit val="months"/>
      </c:dateAx>
      <c:valAx>
        <c:axId val="-382351664"/>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ill Sans MT" panose="020B0502020104020203" pitchFamily="34" charset="0"/>
                <a:ea typeface="+mn-ea"/>
                <a:cs typeface="+mn-cs"/>
              </a:defRPr>
            </a:pPr>
            <a:endParaRPr lang="es-CO"/>
          </a:p>
        </c:txPr>
        <c:crossAx val="-382352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latin typeface="Gill Sans MT" panose="020B0502020104020203" pitchFamily="34" charset="0"/>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6203</Words>
  <Characters>34122</Characters>
  <Application>Microsoft Office Word</Application>
  <DocSecurity>4</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flega</dc:creator>
  <cp:keywords/>
  <dc:description/>
  <cp:lastModifiedBy>hasbleidy suarez</cp:lastModifiedBy>
  <cp:revision>2</cp:revision>
  <cp:lastPrinted>2018-04-11T16:53:00Z</cp:lastPrinted>
  <dcterms:created xsi:type="dcterms:W3CDTF">2018-04-11T22:59:00Z</dcterms:created>
  <dcterms:modified xsi:type="dcterms:W3CDTF">2018-04-11T22:59:00Z</dcterms:modified>
</cp:coreProperties>
</file>