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1867A" w14:textId="15BF484C" w:rsidR="004F5B8F" w:rsidRPr="00E30827" w:rsidRDefault="004F5B8F" w:rsidP="004F5B8F">
      <w:pPr>
        <w:jc w:val="center"/>
        <w:rPr>
          <w:rFonts w:cs="Leelawadee"/>
          <w:b/>
          <w:color w:val="000000" w:themeColor="text1"/>
          <w:szCs w:val="24"/>
          <w:lang w:val="es-ES_tradnl"/>
        </w:rPr>
      </w:pPr>
      <w:r>
        <w:rPr>
          <w:rFonts w:cs="Leelawadee"/>
          <w:b/>
          <w:color w:val="000000" w:themeColor="text1"/>
          <w:szCs w:val="24"/>
          <w:lang w:val="es-ES_tradnl"/>
        </w:rPr>
        <w:t>PROYECTO DE LEY No. ____ DE 2017</w:t>
      </w:r>
      <w:r w:rsidRPr="00E30827">
        <w:rPr>
          <w:rFonts w:cs="Leelawadee"/>
          <w:b/>
          <w:color w:val="000000" w:themeColor="text1"/>
          <w:szCs w:val="24"/>
          <w:lang w:val="es-ES_tradnl"/>
        </w:rPr>
        <w:t xml:space="preserve"> </w:t>
      </w:r>
      <w:r w:rsidR="007B0CA3">
        <w:rPr>
          <w:rFonts w:cs="Leelawadee"/>
          <w:b/>
          <w:color w:val="000000" w:themeColor="text1"/>
          <w:szCs w:val="24"/>
          <w:lang w:val="es-ES_tradnl"/>
        </w:rPr>
        <w:t>CÁMARA</w:t>
      </w:r>
    </w:p>
    <w:p w14:paraId="2E90C0BA" w14:textId="77777777" w:rsidR="004F5B8F" w:rsidRPr="00E30827" w:rsidRDefault="004F5B8F" w:rsidP="004F5B8F">
      <w:pPr>
        <w:jc w:val="center"/>
        <w:rPr>
          <w:rFonts w:cs="Leelawadee"/>
          <w:b/>
          <w:color w:val="000000" w:themeColor="text1"/>
          <w:szCs w:val="24"/>
          <w:lang w:val="es-ES_tradnl"/>
        </w:rPr>
      </w:pPr>
    </w:p>
    <w:p w14:paraId="2E240C97" w14:textId="77777777" w:rsidR="004F5B8F" w:rsidRDefault="004F5B8F" w:rsidP="004F5B8F">
      <w:pPr>
        <w:adjustRightInd w:val="0"/>
        <w:jc w:val="center"/>
        <w:textAlignment w:val="center"/>
        <w:rPr>
          <w:rFonts w:eastAsia="Leelawadee,Leelawadee,Leelawade" w:cs="Leelawadee"/>
          <w:color w:val="000000" w:themeColor="text1"/>
          <w:szCs w:val="24"/>
          <w:lang w:eastAsia="es-ES"/>
        </w:rPr>
      </w:pPr>
      <w:r w:rsidRPr="00E30827">
        <w:rPr>
          <w:rFonts w:eastAsia="Leelawadee,Leelawadee,Leelawade" w:cs="Leelawadee"/>
          <w:b/>
          <w:bCs/>
          <w:color w:val="000000" w:themeColor="text1"/>
          <w:szCs w:val="24"/>
          <w:lang w:eastAsia="es-ES"/>
        </w:rPr>
        <w:t xml:space="preserve">“POR MEDIO DE LA CUAL </w:t>
      </w:r>
      <w:r>
        <w:rPr>
          <w:rFonts w:eastAsia="Leelawadee,Leelawadee,Leelawade" w:cs="Leelawadee"/>
          <w:b/>
          <w:bCs/>
          <w:color w:val="000000" w:themeColor="text1"/>
          <w:szCs w:val="24"/>
          <w:lang w:eastAsia="es-ES"/>
        </w:rPr>
        <w:t>SE GARANTIZAN MEDIDAS POSITIVAS EN FAVOR DE LAS PERSONAS QUE PADECEN ENFERMEDADES HUÉRFANAS EN SITUACIÓN DE DISCAPACIDAD Y SE DICTAN OTRAS DISPOSICIONES</w:t>
      </w:r>
      <w:r w:rsidRPr="00E30827">
        <w:rPr>
          <w:rFonts w:eastAsia="Leelawadee,Leelawadee,Leelawade" w:cs="Leelawadee"/>
          <w:b/>
          <w:bCs/>
          <w:color w:val="000000" w:themeColor="text1"/>
          <w:szCs w:val="24"/>
          <w:lang w:eastAsia="es-ES"/>
        </w:rPr>
        <w:t>”</w:t>
      </w:r>
      <w:r w:rsidRPr="00E30827">
        <w:rPr>
          <w:rFonts w:eastAsia="Leelawadee,Leelawadee,Leelawade" w:cs="Leelawadee"/>
          <w:color w:val="000000" w:themeColor="text1"/>
          <w:szCs w:val="24"/>
          <w:lang w:eastAsia="es-ES"/>
        </w:rPr>
        <w:t>.</w:t>
      </w:r>
    </w:p>
    <w:p w14:paraId="0481882A" w14:textId="77777777" w:rsidR="004F5B8F" w:rsidRDefault="004F5B8F" w:rsidP="004F5B8F">
      <w:pPr>
        <w:adjustRightInd w:val="0"/>
        <w:jc w:val="center"/>
        <w:textAlignment w:val="center"/>
        <w:rPr>
          <w:rFonts w:eastAsia="Leelawadee,Leelawadee,Leelawade" w:cs="Leelawadee"/>
          <w:color w:val="000000" w:themeColor="text1"/>
          <w:szCs w:val="24"/>
          <w:lang w:eastAsia="es-ES"/>
        </w:rPr>
      </w:pPr>
    </w:p>
    <w:p w14:paraId="6E74B542" w14:textId="3803CAA2" w:rsidR="00763252" w:rsidRPr="00E30827" w:rsidRDefault="00763252" w:rsidP="004F5B8F">
      <w:pPr>
        <w:adjustRightInd w:val="0"/>
        <w:jc w:val="center"/>
        <w:textAlignment w:val="center"/>
        <w:rPr>
          <w:rFonts w:eastAsia="Times New Roman" w:cs="Leelawadee"/>
          <w:b/>
          <w:color w:val="000000" w:themeColor="text1"/>
          <w:szCs w:val="24"/>
          <w:lang w:val="es-ES_tradnl" w:eastAsia="es-ES" w:bidi="ar-YE"/>
        </w:rPr>
      </w:pPr>
      <w:r w:rsidRPr="00E30827">
        <w:rPr>
          <w:rFonts w:eastAsia="Times New Roman" w:cs="Leelawadee"/>
          <w:b/>
          <w:color w:val="000000" w:themeColor="text1"/>
          <w:szCs w:val="24"/>
          <w:lang w:val="es-ES_tradnl" w:eastAsia="es-ES" w:bidi="ar-YE"/>
        </w:rPr>
        <w:t>El Congreso de Colombia</w:t>
      </w:r>
    </w:p>
    <w:p w14:paraId="0E5A8E67" w14:textId="77777777" w:rsidR="00763252" w:rsidRPr="00E30827" w:rsidRDefault="00763252" w:rsidP="00B77A19">
      <w:pPr>
        <w:adjustRightInd w:val="0"/>
        <w:jc w:val="center"/>
        <w:textAlignment w:val="center"/>
        <w:rPr>
          <w:rFonts w:eastAsia="Times New Roman" w:cs="Leelawadee"/>
          <w:b/>
          <w:color w:val="000000" w:themeColor="text1"/>
          <w:szCs w:val="24"/>
          <w:lang w:val="es-ES_tradnl" w:eastAsia="es-ES" w:bidi="ar-YE"/>
        </w:rPr>
      </w:pPr>
    </w:p>
    <w:p w14:paraId="4315CEC6" w14:textId="77777777" w:rsidR="00763252" w:rsidRPr="00E30827" w:rsidRDefault="00763252" w:rsidP="00B77A19">
      <w:pPr>
        <w:adjustRightInd w:val="0"/>
        <w:jc w:val="center"/>
        <w:textAlignment w:val="center"/>
        <w:rPr>
          <w:rFonts w:eastAsia="Times New Roman" w:cs="Leelawadee"/>
          <w:b/>
          <w:color w:val="000000" w:themeColor="text1"/>
          <w:szCs w:val="24"/>
          <w:lang w:val="es-ES_tradnl" w:eastAsia="es-ES" w:bidi="ar-YE"/>
        </w:rPr>
      </w:pPr>
      <w:r w:rsidRPr="00E30827">
        <w:rPr>
          <w:rFonts w:eastAsia="Times New Roman" w:cs="Leelawadee"/>
          <w:b/>
          <w:color w:val="000000" w:themeColor="text1"/>
          <w:szCs w:val="24"/>
          <w:lang w:val="es-ES_tradnl" w:eastAsia="es-ES" w:bidi="ar-YE"/>
        </w:rPr>
        <w:t>DECRETA:</w:t>
      </w:r>
    </w:p>
    <w:p w14:paraId="36AA551A" w14:textId="77777777" w:rsidR="00763252" w:rsidRPr="00E30827" w:rsidRDefault="00763252" w:rsidP="00B77A19">
      <w:pPr>
        <w:jc w:val="center"/>
        <w:rPr>
          <w:rFonts w:cs="Leelawadee"/>
          <w:color w:val="000000" w:themeColor="text1"/>
          <w:szCs w:val="24"/>
        </w:rPr>
      </w:pPr>
    </w:p>
    <w:p w14:paraId="3F8F91C0" w14:textId="31A3E1AD" w:rsidR="00763252" w:rsidRDefault="3961B456" w:rsidP="00B77A19">
      <w:pPr>
        <w:rPr>
          <w:rFonts w:eastAsia="Leelawadee" w:cs="Leelawadee"/>
          <w:color w:val="000000" w:themeColor="text1"/>
          <w:szCs w:val="24"/>
          <w:lang w:val="es-ES" w:eastAsia="es-CO"/>
        </w:rPr>
      </w:pPr>
      <w:r w:rsidRPr="00E30827">
        <w:rPr>
          <w:rFonts w:eastAsia="Leelawadee" w:cs="Leelawadee"/>
          <w:b/>
          <w:bCs/>
          <w:color w:val="000000" w:themeColor="text1"/>
          <w:szCs w:val="24"/>
        </w:rPr>
        <w:t>Artículo 1º. Objeto.</w:t>
      </w:r>
      <w:r w:rsidRPr="00E30827">
        <w:rPr>
          <w:rFonts w:eastAsia="Leelawadee" w:cs="Leelawadee"/>
          <w:color w:val="000000" w:themeColor="text1"/>
          <w:szCs w:val="24"/>
        </w:rPr>
        <w:t xml:space="preserve"> </w:t>
      </w:r>
      <w:r w:rsidRPr="00E30827">
        <w:rPr>
          <w:rFonts w:eastAsia="Leelawadee" w:cs="Leelawadee"/>
          <w:color w:val="000000" w:themeColor="text1"/>
          <w:szCs w:val="24"/>
          <w:lang w:val="es-ES"/>
        </w:rPr>
        <w:t>L</w:t>
      </w:r>
      <w:r w:rsidR="00261ACC">
        <w:rPr>
          <w:rFonts w:eastAsia="Leelawadee" w:cs="Leelawadee"/>
          <w:color w:val="000000" w:themeColor="text1"/>
          <w:szCs w:val="24"/>
          <w:lang w:val="es-ES"/>
        </w:rPr>
        <w:t xml:space="preserve">a presente ley </w:t>
      </w:r>
      <w:r w:rsidR="00886A6E">
        <w:rPr>
          <w:rFonts w:eastAsia="Leelawadee" w:cs="Leelawadee"/>
          <w:color w:val="000000" w:themeColor="text1"/>
          <w:szCs w:val="24"/>
          <w:lang w:val="es-ES"/>
        </w:rPr>
        <w:t>bu</w:t>
      </w:r>
      <w:bookmarkStart w:id="0" w:name="_GoBack"/>
      <w:bookmarkEnd w:id="0"/>
      <w:r w:rsidR="00886A6E">
        <w:rPr>
          <w:rFonts w:eastAsia="Leelawadee" w:cs="Leelawadee"/>
          <w:color w:val="000000" w:themeColor="text1"/>
          <w:szCs w:val="24"/>
          <w:lang w:val="es-ES"/>
        </w:rPr>
        <w:t>sca establecer medidas de inserción social dirigida a la población</w:t>
      </w:r>
      <w:r w:rsidR="00886A6E" w:rsidRPr="00886A6E">
        <w:rPr>
          <w:rFonts w:eastAsia="Leelawadee" w:cs="Leelawadee"/>
          <w:color w:val="000000" w:themeColor="text1"/>
          <w:szCs w:val="24"/>
          <w:lang w:val="es-ES"/>
        </w:rPr>
        <w:t xml:space="preserve"> </w:t>
      </w:r>
      <w:r w:rsidR="00D749A3">
        <w:rPr>
          <w:rFonts w:eastAsia="Leelawadee" w:cs="Leelawadee"/>
          <w:color w:val="000000" w:themeColor="text1"/>
          <w:szCs w:val="24"/>
          <w:lang w:val="es-ES"/>
        </w:rPr>
        <w:t>definida en numeral 1 del artículo 2 de la Ley 1618 de 2013</w:t>
      </w:r>
      <w:r w:rsidR="00886A6E">
        <w:rPr>
          <w:rFonts w:eastAsia="Leelawadee" w:cs="Leelawadee"/>
          <w:color w:val="000000" w:themeColor="text1"/>
          <w:szCs w:val="24"/>
          <w:lang w:val="es-ES"/>
        </w:rPr>
        <w:t xml:space="preserve"> </w:t>
      </w:r>
      <w:r w:rsidR="00A51A12">
        <w:rPr>
          <w:rFonts w:eastAsia="Leelawadee" w:cs="Leelawadee"/>
          <w:color w:val="000000" w:themeColor="text1"/>
          <w:szCs w:val="24"/>
          <w:lang w:val="es-ES"/>
        </w:rPr>
        <w:t xml:space="preserve">considerada como </w:t>
      </w:r>
      <w:r w:rsidR="00886A6E">
        <w:rPr>
          <w:rFonts w:eastAsia="Leelawadee" w:cs="Leelawadee"/>
          <w:color w:val="000000" w:themeColor="text1"/>
          <w:szCs w:val="24"/>
          <w:lang w:val="es-ES"/>
        </w:rPr>
        <w:t>de especial protección en virtud del ar</w:t>
      </w:r>
      <w:r w:rsidR="004E2681">
        <w:rPr>
          <w:rFonts w:eastAsia="Leelawadee" w:cs="Leelawadee"/>
          <w:color w:val="000000" w:themeColor="text1"/>
          <w:szCs w:val="24"/>
          <w:lang w:val="es-ES"/>
        </w:rPr>
        <w:t>tículo 11 de la Ley 1751 de 2015</w:t>
      </w:r>
      <w:r w:rsidR="00886A6E">
        <w:rPr>
          <w:rFonts w:eastAsia="Leelawadee" w:cs="Leelawadee"/>
          <w:color w:val="000000" w:themeColor="text1"/>
          <w:szCs w:val="24"/>
          <w:lang w:val="es-ES"/>
        </w:rPr>
        <w:t xml:space="preserve"> </w:t>
      </w:r>
      <w:r w:rsidR="00D749A3">
        <w:rPr>
          <w:rFonts w:eastAsia="Leelawadee" w:cs="Leelawadee"/>
          <w:color w:val="000000" w:themeColor="text1"/>
          <w:szCs w:val="24"/>
          <w:lang w:val="es-ES"/>
        </w:rPr>
        <w:t>y</w:t>
      </w:r>
      <w:r w:rsidR="00A51A12">
        <w:rPr>
          <w:rFonts w:eastAsia="Leelawadee" w:cs="Leelawadee"/>
          <w:color w:val="000000" w:themeColor="text1"/>
          <w:szCs w:val="24"/>
          <w:lang w:val="es-ES"/>
        </w:rPr>
        <w:t xml:space="preserve"> que a su vez</w:t>
      </w:r>
      <w:r w:rsidR="00D749A3">
        <w:rPr>
          <w:rFonts w:eastAsia="Leelawadee" w:cs="Leelawadee"/>
          <w:color w:val="000000" w:themeColor="text1"/>
          <w:szCs w:val="24"/>
          <w:lang w:val="es-ES"/>
        </w:rPr>
        <w:t xml:space="preserve"> </w:t>
      </w:r>
      <w:r w:rsidR="00886A6E">
        <w:rPr>
          <w:rFonts w:eastAsia="Leelawadee" w:cs="Leelawadee"/>
          <w:color w:val="000000" w:themeColor="text1"/>
          <w:szCs w:val="24"/>
          <w:lang w:val="es-ES"/>
        </w:rPr>
        <w:t>se encuentran amparadas en el mecanismo de aseguramiento establecido por la Ley 1392 del 2010 y su</w:t>
      </w:r>
      <w:r w:rsidR="00A51A12">
        <w:rPr>
          <w:rFonts w:eastAsia="Leelawadee" w:cs="Leelawadee"/>
          <w:color w:val="000000" w:themeColor="text1"/>
          <w:szCs w:val="24"/>
          <w:lang w:val="es-ES"/>
        </w:rPr>
        <w:t xml:space="preserve"> respectivo</w:t>
      </w:r>
      <w:r w:rsidR="00886A6E">
        <w:rPr>
          <w:rFonts w:eastAsia="Leelawadee" w:cs="Leelawadee"/>
          <w:color w:val="000000" w:themeColor="text1"/>
          <w:szCs w:val="24"/>
          <w:lang w:val="es-ES"/>
        </w:rPr>
        <w:t xml:space="preserve"> reglamento</w:t>
      </w:r>
      <w:r w:rsidRPr="00E30827">
        <w:rPr>
          <w:rFonts w:eastAsia="Leelawadee" w:cs="Leelawadee"/>
          <w:color w:val="000000" w:themeColor="text1"/>
          <w:szCs w:val="24"/>
          <w:lang w:val="es-ES" w:eastAsia="es-CO"/>
        </w:rPr>
        <w:t>.</w:t>
      </w:r>
    </w:p>
    <w:p w14:paraId="761DC740" w14:textId="77777777" w:rsidR="00CF6762" w:rsidRDefault="00CF6762" w:rsidP="00CF6762">
      <w:pPr>
        <w:autoSpaceDE w:val="0"/>
        <w:autoSpaceDN w:val="0"/>
        <w:adjustRightInd w:val="0"/>
      </w:pPr>
    </w:p>
    <w:p w14:paraId="31A7315F" w14:textId="6F71D5DD" w:rsidR="00CF6762" w:rsidRPr="00886A6E" w:rsidRDefault="00CF6762" w:rsidP="00CF6762">
      <w:pPr>
        <w:rPr>
          <w:rFonts w:cs="Leelawadee"/>
          <w:szCs w:val="24"/>
          <w:lang w:val="es-ES_tradnl"/>
        </w:rPr>
      </w:pPr>
      <w:r>
        <w:t>Para las personas objeto de la presente ley se presume su incapacidad médica.</w:t>
      </w:r>
    </w:p>
    <w:p w14:paraId="01D73B49" w14:textId="77777777" w:rsidR="00763252" w:rsidRPr="00886A6E" w:rsidRDefault="00763252" w:rsidP="00B77A19">
      <w:pPr>
        <w:rPr>
          <w:rFonts w:cs="Leelawadee"/>
          <w:szCs w:val="24"/>
        </w:rPr>
      </w:pPr>
    </w:p>
    <w:p w14:paraId="1544E10C" w14:textId="687E6F06" w:rsidR="00886A6E" w:rsidRPr="003362A4" w:rsidRDefault="003362A4" w:rsidP="003362A4">
      <w:pPr>
        <w:jc w:val="center"/>
        <w:rPr>
          <w:rFonts w:cs="Leelawadee"/>
          <w:b/>
          <w:szCs w:val="24"/>
        </w:rPr>
      </w:pPr>
      <w:r>
        <w:rPr>
          <w:rFonts w:cs="Leelawadee"/>
          <w:b/>
          <w:szCs w:val="24"/>
        </w:rPr>
        <w:t>Parte I. A</w:t>
      </w:r>
      <w:r w:rsidR="00886A6E" w:rsidRPr="003362A4">
        <w:rPr>
          <w:rFonts w:cs="Leelawadee"/>
          <w:b/>
          <w:szCs w:val="24"/>
        </w:rPr>
        <w:t>cceso a bienes y servicios</w:t>
      </w:r>
    </w:p>
    <w:p w14:paraId="08D658E8" w14:textId="77777777" w:rsidR="00886A6E" w:rsidRDefault="00886A6E" w:rsidP="00B77A19">
      <w:pPr>
        <w:rPr>
          <w:rFonts w:cs="Leelawadee"/>
          <w:szCs w:val="24"/>
        </w:rPr>
      </w:pPr>
    </w:p>
    <w:p w14:paraId="26D12989" w14:textId="344B539D" w:rsidR="00886A6E" w:rsidRPr="0036171A" w:rsidRDefault="00A51A12" w:rsidP="00B77A19">
      <w:pPr>
        <w:autoSpaceDE w:val="0"/>
        <w:autoSpaceDN w:val="0"/>
        <w:adjustRightInd w:val="0"/>
        <w:rPr>
          <w:szCs w:val="24"/>
        </w:rPr>
      </w:pPr>
      <w:r w:rsidRPr="0036171A">
        <w:rPr>
          <w:rFonts w:eastAsia="Leelawadee"/>
          <w:b/>
          <w:bCs/>
          <w:color w:val="000000" w:themeColor="text1"/>
          <w:szCs w:val="24"/>
        </w:rPr>
        <w:t>Artículo 2º. Subsidio de sostenimiento.</w:t>
      </w:r>
      <w:r w:rsidRPr="0036171A">
        <w:rPr>
          <w:rFonts w:eastAsia="Leelawadee"/>
          <w:color w:val="000000" w:themeColor="text1"/>
          <w:szCs w:val="24"/>
        </w:rPr>
        <w:t xml:space="preserve"> </w:t>
      </w:r>
      <w:r w:rsidRPr="0036171A">
        <w:rPr>
          <w:szCs w:val="24"/>
        </w:rPr>
        <w:t>El Estado otorgará a favor de la población objeto de la presente ley un subsidio de sostenimiento mensual cuyo monto será la mitad del salario mínimo legal mensual vigente decretado para la respectiva vigencia fiscal.</w:t>
      </w:r>
    </w:p>
    <w:p w14:paraId="628284ED" w14:textId="77777777" w:rsidR="00A51A12" w:rsidRPr="0036171A" w:rsidRDefault="00A51A12" w:rsidP="00B77A19">
      <w:pPr>
        <w:autoSpaceDE w:val="0"/>
        <w:autoSpaceDN w:val="0"/>
        <w:adjustRightInd w:val="0"/>
        <w:rPr>
          <w:szCs w:val="24"/>
        </w:rPr>
      </w:pPr>
    </w:p>
    <w:p w14:paraId="5AB787C3" w14:textId="62301DF1" w:rsidR="00A51A12" w:rsidRDefault="00A51A12" w:rsidP="00B77A19">
      <w:pPr>
        <w:autoSpaceDE w:val="0"/>
        <w:autoSpaceDN w:val="0"/>
        <w:adjustRightInd w:val="0"/>
        <w:rPr>
          <w:szCs w:val="24"/>
        </w:rPr>
      </w:pPr>
      <w:r w:rsidRPr="0036171A">
        <w:rPr>
          <w:szCs w:val="24"/>
        </w:rPr>
        <w:t>Se autoriza al Gobierno Nacional para que realice las apropiaciones presupuestales que sean requeridas para el cumplimiento de esta disposición.</w:t>
      </w:r>
    </w:p>
    <w:p w14:paraId="75FEF6E2" w14:textId="77777777" w:rsidR="0036171A" w:rsidRDefault="0036171A" w:rsidP="00B77A19">
      <w:pPr>
        <w:autoSpaceDE w:val="0"/>
        <w:autoSpaceDN w:val="0"/>
        <w:adjustRightInd w:val="0"/>
        <w:rPr>
          <w:szCs w:val="24"/>
        </w:rPr>
      </w:pPr>
    </w:p>
    <w:p w14:paraId="515224A0" w14:textId="025E0F7A" w:rsidR="0036171A" w:rsidRPr="0036171A" w:rsidRDefault="0036171A" w:rsidP="00B77A19">
      <w:pPr>
        <w:autoSpaceDE w:val="0"/>
        <w:autoSpaceDN w:val="0"/>
        <w:adjustRightInd w:val="0"/>
        <w:rPr>
          <w:szCs w:val="24"/>
          <w:lang w:val="es-ES" w:eastAsia="es-CO"/>
        </w:rPr>
      </w:pPr>
      <w:r w:rsidRPr="0036171A">
        <w:rPr>
          <w:b/>
          <w:szCs w:val="24"/>
          <w:lang w:val="es-ES_tradnl" w:eastAsia="es-ES"/>
        </w:rPr>
        <w:t>Parágrafo.</w:t>
      </w:r>
      <w:r w:rsidRPr="0036171A">
        <w:rPr>
          <w:szCs w:val="24"/>
          <w:lang w:val="es-ES_tradnl" w:eastAsia="es-ES"/>
        </w:rPr>
        <w:t xml:space="preserve"> El Ministerio de </w:t>
      </w:r>
      <w:r>
        <w:rPr>
          <w:szCs w:val="24"/>
          <w:lang w:val="es-ES_tradnl" w:eastAsia="es-ES"/>
        </w:rPr>
        <w:t>Salud y Protección Social</w:t>
      </w:r>
      <w:r w:rsidRPr="0036171A">
        <w:rPr>
          <w:szCs w:val="24"/>
          <w:lang w:val="es-ES_tradnl" w:eastAsia="es-ES"/>
        </w:rPr>
        <w:t>, en un término no mayor a seis (6) meses, contados a partir de la promulgación de la presente ley, reglamentará las con</w:t>
      </w:r>
      <w:r>
        <w:rPr>
          <w:szCs w:val="24"/>
          <w:lang w:val="es-ES_tradnl" w:eastAsia="es-ES"/>
        </w:rPr>
        <w:t xml:space="preserve">diciones especiales de acceso al subsidio que trata el </w:t>
      </w:r>
      <w:r w:rsidRPr="0036171A">
        <w:rPr>
          <w:szCs w:val="24"/>
          <w:lang w:val="es-ES_tradnl" w:eastAsia="es-ES"/>
        </w:rPr>
        <w:t>presente artículo.</w:t>
      </w:r>
    </w:p>
    <w:p w14:paraId="41333A05" w14:textId="77777777" w:rsidR="00886A6E" w:rsidRPr="0036171A" w:rsidRDefault="00886A6E" w:rsidP="00B77A19">
      <w:pPr>
        <w:rPr>
          <w:rFonts w:cs="Leelawadee"/>
          <w:szCs w:val="24"/>
        </w:rPr>
      </w:pPr>
    </w:p>
    <w:p w14:paraId="387668DE" w14:textId="60CF6C41" w:rsidR="0036171A" w:rsidRPr="0036171A" w:rsidRDefault="0036171A" w:rsidP="0036171A">
      <w:pPr>
        <w:rPr>
          <w:szCs w:val="24"/>
          <w:lang w:val="es-ES_tradnl" w:eastAsia="es-ES"/>
        </w:rPr>
      </w:pPr>
      <w:r w:rsidRPr="0036171A">
        <w:rPr>
          <w:rFonts w:eastAsia="Leelawadee"/>
          <w:b/>
          <w:bCs/>
          <w:color w:val="000000" w:themeColor="text1"/>
          <w:szCs w:val="24"/>
        </w:rPr>
        <w:t>Artículo 3º. Subsidio de vivienda.</w:t>
      </w:r>
      <w:r w:rsidRPr="0036171A">
        <w:rPr>
          <w:rFonts w:eastAsia="Leelawadee"/>
          <w:color w:val="000000" w:themeColor="text1"/>
          <w:szCs w:val="24"/>
        </w:rPr>
        <w:t xml:space="preserve"> </w:t>
      </w:r>
      <w:r>
        <w:rPr>
          <w:szCs w:val="24"/>
          <w:lang w:val="es-ES_tradnl" w:eastAsia="es-ES"/>
        </w:rPr>
        <w:t>El Estado garantizará el acceso</w:t>
      </w:r>
      <w:r w:rsidRPr="0036171A">
        <w:rPr>
          <w:szCs w:val="24"/>
          <w:lang w:val="es-ES_tradnl" w:eastAsia="es-ES"/>
        </w:rPr>
        <w:t xml:space="preserve"> de forma prioritaria a los hogares en los cuales por lo menos uno de sus integrantes haga parte de la población objeto de la presente ley </w:t>
      </w:r>
      <w:r>
        <w:rPr>
          <w:szCs w:val="24"/>
          <w:lang w:val="es-ES_tradnl" w:eastAsia="es-ES"/>
        </w:rPr>
        <w:t xml:space="preserve">de </w:t>
      </w:r>
      <w:r w:rsidRPr="0036171A">
        <w:rPr>
          <w:szCs w:val="24"/>
          <w:lang w:val="es-ES_tradnl" w:eastAsia="es-ES"/>
        </w:rPr>
        <w:t>los subsidios de vivienda o programas de vivienda de interés social</w:t>
      </w:r>
      <w:r>
        <w:rPr>
          <w:szCs w:val="24"/>
          <w:lang w:val="es-ES_tradnl" w:eastAsia="es-ES"/>
        </w:rPr>
        <w:t xml:space="preserve"> y vivienda de interés prioritario en </w:t>
      </w:r>
      <w:r w:rsidRPr="0036171A">
        <w:rPr>
          <w:szCs w:val="24"/>
          <w:lang w:val="es-ES_tradnl" w:eastAsia="es-ES"/>
        </w:rPr>
        <w:t>conformidad con la</w:t>
      </w:r>
      <w:r>
        <w:rPr>
          <w:szCs w:val="24"/>
          <w:lang w:val="es-ES_tradnl" w:eastAsia="es-ES"/>
        </w:rPr>
        <w:t>s</w:t>
      </w:r>
      <w:r w:rsidRPr="0036171A">
        <w:rPr>
          <w:szCs w:val="24"/>
          <w:lang w:val="es-ES_tradnl" w:eastAsia="es-ES"/>
        </w:rPr>
        <w:t xml:space="preserve"> norma</w:t>
      </w:r>
      <w:r>
        <w:rPr>
          <w:szCs w:val="24"/>
          <w:lang w:val="es-ES_tradnl" w:eastAsia="es-ES"/>
        </w:rPr>
        <w:t>s</w:t>
      </w:r>
      <w:r w:rsidRPr="0036171A">
        <w:rPr>
          <w:szCs w:val="24"/>
          <w:lang w:val="es-ES_tradnl" w:eastAsia="es-ES"/>
        </w:rPr>
        <w:t xml:space="preserve"> vigente</w:t>
      </w:r>
      <w:r>
        <w:rPr>
          <w:szCs w:val="24"/>
          <w:lang w:val="es-ES_tradnl" w:eastAsia="es-ES"/>
        </w:rPr>
        <w:t>s sobre la materia.</w:t>
      </w:r>
    </w:p>
    <w:p w14:paraId="064C27A1" w14:textId="77777777" w:rsidR="0036171A" w:rsidRPr="0036171A" w:rsidRDefault="0036171A" w:rsidP="0036171A">
      <w:pPr>
        <w:rPr>
          <w:rFonts w:ascii="Times New Roman" w:hAnsi="Times New Roman"/>
          <w:szCs w:val="24"/>
          <w:lang w:val="es-ES" w:eastAsia="es-ES"/>
        </w:rPr>
      </w:pPr>
    </w:p>
    <w:p w14:paraId="31A1E404" w14:textId="0E2DC7AE" w:rsidR="0036171A" w:rsidRPr="0036171A" w:rsidRDefault="0036171A" w:rsidP="0036171A">
      <w:pPr>
        <w:rPr>
          <w:rFonts w:ascii="Times New Roman" w:hAnsi="Times New Roman"/>
          <w:szCs w:val="24"/>
          <w:lang w:val="es-ES" w:eastAsia="es-ES"/>
        </w:rPr>
      </w:pPr>
      <w:r w:rsidRPr="0036171A">
        <w:rPr>
          <w:b/>
          <w:szCs w:val="24"/>
          <w:lang w:val="es-ES_tradnl" w:eastAsia="es-ES"/>
        </w:rPr>
        <w:t>Parágrafo.</w:t>
      </w:r>
      <w:r w:rsidRPr="0036171A">
        <w:rPr>
          <w:szCs w:val="24"/>
          <w:lang w:val="es-ES_tradnl" w:eastAsia="es-ES"/>
        </w:rPr>
        <w:t xml:space="preserve"> El Ministerio de Ambiente, Vivienda y Desarrollo Territorial, en un término no mayor a seis (6) meses, contados a partir de la promulgación de la presente ley, reglamentará las condiciones especiales de acceso a los </w:t>
      </w:r>
      <w:r>
        <w:rPr>
          <w:szCs w:val="24"/>
          <w:lang w:val="es-ES_tradnl" w:eastAsia="es-ES"/>
        </w:rPr>
        <w:t xml:space="preserve">subsidios y </w:t>
      </w:r>
      <w:r w:rsidRPr="0036171A">
        <w:rPr>
          <w:szCs w:val="24"/>
          <w:lang w:val="es-ES_tradnl" w:eastAsia="es-ES"/>
        </w:rPr>
        <w:t>programas del presente artículo.</w:t>
      </w:r>
    </w:p>
    <w:p w14:paraId="3FB9E355" w14:textId="77777777" w:rsidR="0036171A" w:rsidRPr="00886A6E" w:rsidRDefault="0036171A" w:rsidP="00B77A19">
      <w:pPr>
        <w:rPr>
          <w:rFonts w:cs="Leelawadee"/>
          <w:szCs w:val="24"/>
        </w:rPr>
      </w:pPr>
    </w:p>
    <w:p w14:paraId="221D84AA" w14:textId="55763988" w:rsidR="00886A6E" w:rsidRPr="003362A4" w:rsidRDefault="003362A4" w:rsidP="003362A4">
      <w:pPr>
        <w:jc w:val="center"/>
        <w:rPr>
          <w:rFonts w:cs="Leelawadee"/>
          <w:b/>
          <w:szCs w:val="24"/>
        </w:rPr>
      </w:pPr>
      <w:r>
        <w:rPr>
          <w:rFonts w:cs="Leelawadee"/>
          <w:b/>
          <w:szCs w:val="24"/>
        </w:rPr>
        <w:t>Parte II. A</w:t>
      </w:r>
      <w:r w:rsidR="00886A6E" w:rsidRPr="003362A4">
        <w:rPr>
          <w:rFonts w:cs="Leelawadee"/>
          <w:b/>
          <w:szCs w:val="24"/>
        </w:rPr>
        <w:t>cceso a</w:t>
      </w:r>
      <w:r>
        <w:rPr>
          <w:rFonts w:cs="Leelawadee"/>
          <w:b/>
          <w:szCs w:val="24"/>
        </w:rPr>
        <w:t xml:space="preserve"> E</w:t>
      </w:r>
      <w:r w:rsidR="00886A6E" w:rsidRPr="003362A4">
        <w:rPr>
          <w:rFonts w:cs="Leelawadee"/>
          <w:b/>
          <w:szCs w:val="24"/>
        </w:rPr>
        <w:t>ducación</w:t>
      </w:r>
    </w:p>
    <w:p w14:paraId="2FFDCE81" w14:textId="77777777" w:rsidR="00886A6E" w:rsidRDefault="00886A6E" w:rsidP="00B77A19">
      <w:pPr>
        <w:rPr>
          <w:rFonts w:cs="Leelawadee"/>
          <w:szCs w:val="24"/>
        </w:rPr>
      </w:pPr>
    </w:p>
    <w:p w14:paraId="33995098" w14:textId="6715FDC9" w:rsidR="00140DC0" w:rsidRDefault="0036171A" w:rsidP="00B77A19">
      <w:r>
        <w:rPr>
          <w:rFonts w:eastAsia="Leelawadee"/>
          <w:b/>
          <w:bCs/>
          <w:color w:val="000000" w:themeColor="text1"/>
        </w:rPr>
        <w:t>Artículo 4</w:t>
      </w:r>
      <w:r w:rsidR="00140DC0" w:rsidRPr="00E30827">
        <w:rPr>
          <w:rFonts w:eastAsia="Leelawadee"/>
          <w:b/>
          <w:bCs/>
          <w:color w:val="000000" w:themeColor="text1"/>
        </w:rPr>
        <w:t xml:space="preserve">º. </w:t>
      </w:r>
      <w:r w:rsidR="00140DC0">
        <w:rPr>
          <w:rFonts w:eastAsia="Leelawadee"/>
          <w:b/>
          <w:bCs/>
          <w:color w:val="000000" w:themeColor="text1"/>
        </w:rPr>
        <w:t>Inserción al sistema de educación</w:t>
      </w:r>
      <w:r w:rsidR="00140DC0" w:rsidRPr="00E30827">
        <w:rPr>
          <w:rFonts w:eastAsia="Leelawadee"/>
          <w:b/>
          <w:bCs/>
          <w:color w:val="000000" w:themeColor="text1"/>
        </w:rPr>
        <w:t>.</w:t>
      </w:r>
      <w:r w:rsidR="00140DC0" w:rsidRPr="00E30827">
        <w:rPr>
          <w:rFonts w:eastAsia="Leelawadee"/>
          <w:color w:val="000000" w:themeColor="text1"/>
        </w:rPr>
        <w:t xml:space="preserve"> </w:t>
      </w:r>
      <w:r w:rsidR="00140DC0" w:rsidRPr="00886A6E">
        <w:t>El Estado garantizará el acceso oportuno a la educación a las personas</w:t>
      </w:r>
      <w:r w:rsidR="00290365">
        <w:t xml:space="preserve"> objeto de esta ley</w:t>
      </w:r>
      <w:r w:rsidR="00140DC0">
        <w:t xml:space="preserve"> en instituciones educativas del Estado y establecimientos educativos, en todos lo</w:t>
      </w:r>
      <w:r w:rsidR="00140DC0" w:rsidRPr="00140DC0">
        <w:t xml:space="preserve">s </w:t>
      </w:r>
      <w:r w:rsidR="00140DC0">
        <w:t>niveles y grados</w:t>
      </w:r>
      <w:r w:rsidR="00140DC0" w:rsidRPr="00140DC0">
        <w:t xml:space="preserve"> del servicio </w:t>
      </w:r>
      <w:r w:rsidR="00140DC0">
        <w:t>educativo establecido en el artículo 2 de la Ley 115 de 1994</w:t>
      </w:r>
      <w:r w:rsidR="00140DC0" w:rsidRPr="00140DC0">
        <w:t>.</w:t>
      </w:r>
    </w:p>
    <w:p w14:paraId="223FB62E" w14:textId="77777777" w:rsidR="00140DC0" w:rsidRDefault="00140DC0" w:rsidP="00B77A19"/>
    <w:p w14:paraId="0A972CE2" w14:textId="77777777" w:rsidR="00F33DC4" w:rsidRDefault="00290365" w:rsidP="00B77A19">
      <w:r>
        <w:t xml:space="preserve">El Ministerio de Educación </w:t>
      </w:r>
      <w:r w:rsidRPr="00290365">
        <w:t>promoverá la formulación de programas</w:t>
      </w:r>
      <w:r w:rsidR="00D749A3">
        <w:t xml:space="preserve"> de educación</w:t>
      </w:r>
      <w:r w:rsidRPr="00290365">
        <w:t xml:space="preserve"> que atiendan las necesidades educativas especiales</w:t>
      </w:r>
      <w:r>
        <w:t xml:space="preserve">. Establecerá criterios </w:t>
      </w:r>
      <w:r>
        <w:lastRenderedPageBreak/>
        <w:t>diferenciales para la priorización</w:t>
      </w:r>
      <w:r w:rsidR="00D749A3">
        <w:t xml:space="preserve"> </w:t>
      </w:r>
      <w:r>
        <w:t xml:space="preserve">de las personas objeto de esta ley en los planes y programas que permiten la financiación para el acceso a la educación por medio de becas para </w:t>
      </w:r>
      <w:r w:rsidR="00D749A3">
        <w:t>educación</w:t>
      </w:r>
      <w:r>
        <w:t xml:space="preserve">, créditos becas para </w:t>
      </w:r>
      <w:r w:rsidR="00D749A3">
        <w:t>educación</w:t>
      </w:r>
      <w:r>
        <w:t xml:space="preserve"> o cualquier otro beneficio o ayuda financiera dirigido para </w:t>
      </w:r>
      <w:r w:rsidR="00D749A3">
        <w:t>la educación</w:t>
      </w:r>
      <w:r>
        <w:t>.</w:t>
      </w:r>
      <w:r w:rsidR="00D749A3" w:rsidRPr="00F33DC4">
        <w:t xml:space="preserve"> </w:t>
      </w:r>
    </w:p>
    <w:p w14:paraId="2595EEDF" w14:textId="77777777" w:rsidR="00F33DC4" w:rsidRDefault="00F33DC4" w:rsidP="00B77A19"/>
    <w:p w14:paraId="6D9FE925" w14:textId="18FBCE80" w:rsidR="00290365" w:rsidRDefault="00F33DC4" w:rsidP="00B77A19">
      <w:r w:rsidRPr="00F33DC4">
        <w:t xml:space="preserve">Los beneficiarios de créditos de educación superior </w:t>
      </w:r>
      <w:r>
        <w:t>a los que se refiere el presente artículo</w:t>
      </w:r>
      <w:r w:rsidRPr="00F33DC4">
        <w:t>, dentro de los puntos de corte establecidos por el Ministerio de Educación Nacional, y que terminen su programa, solo pagarán el capital prestado durante su período de estudios, más la inflación causada de acuerdo con los datos publicados por el Departamento Administrativo Nacional de Estadística (DANE), correspondientes al periodo de amortización</w:t>
      </w:r>
    </w:p>
    <w:p w14:paraId="1F90C88C" w14:textId="77777777" w:rsidR="001C6496" w:rsidRDefault="001C6496" w:rsidP="00B77A19"/>
    <w:p w14:paraId="32E56DE5" w14:textId="793163BB" w:rsidR="00FE11D4" w:rsidRDefault="00FE11D4" w:rsidP="00B77A19">
      <w:r w:rsidRPr="0036171A">
        <w:rPr>
          <w:b/>
          <w:szCs w:val="24"/>
          <w:lang w:val="es-ES_tradnl" w:eastAsia="es-ES"/>
        </w:rPr>
        <w:t>Parágrafo.</w:t>
      </w:r>
      <w:r w:rsidRPr="0036171A">
        <w:rPr>
          <w:szCs w:val="24"/>
          <w:lang w:val="es-ES_tradnl" w:eastAsia="es-ES"/>
        </w:rPr>
        <w:t xml:space="preserve"> El Ministerio de </w:t>
      </w:r>
      <w:r>
        <w:rPr>
          <w:szCs w:val="24"/>
          <w:lang w:val="es-ES_tradnl" w:eastAsia="es-ES"/>
        </w:rPr>
        <w:t>Educación Nacional</w:t>
      </w:r>
      <w:r w:rsidRPr="0036171A">
        <w:rPr>
          <w:szCs w:val="24"/>
          <w:lang w:val="es-ES_tradnl" w:eastAsia="es-ES"/>
        </w:rPr>
        <w:t xml:space="preserve">, en un término no mayor a seis (6) meses, contados a partir de la promulgación de la presente ley, reglamentará las condiciones especiales de acceso a los </w:t>
      </w:r>
      <w:r>
        <w:rPr>
          <w:szCs w:val="24"/>
          <w:lang w:val="es-ES_tradnl" w:eastAsia="es-ES"/>
        </w:rPr>
        <w:t xml:space="preserve">subsidios, planes y </w:t>
      </w:r>
      <w:r w:rsidRPr="0036171A">
        <w:rPr>
          <w:szCs w:val="24"/>
          <w:lang w:val="es-ES_tradnl" w:eastAsia="es-ES"/>
        </w:rPr>
        <w:t>programas del presente artículo.</w:t>
      </w:r>
    </w:p>
    <w:p w14:paraId="7E844203" w14:textId="77777777" w:rsidR="00FE11D4" w:rsidRDefault="00FE11D4" w:rsidP="00B77A19"/>
    <w:p w14:paraId="106A78BB" w14:textId="0E8D426C" w:rsidR="001C6496" w:rsidRPr="001C6496" w:rsidRDefault="0036171A" w:rsidP="00B77A19">
      <w:pPr>
        <w:autoSpaceDE w:val="0"/>
        <w:autoSpaceDN w:val="0"/>
        <w:adjustRightInd w:val="0"/>
      </w:pPr>
      <w:r>
        <w:rPr>
          <w:rFonts w:eastAsia="Leelawadee"/>
          <w:b/>
          <w:bCs/>
          <w:color w:val="000000" w:themeColor="text1"/>
        </w:rPr>
        <w:t>Artículo 5</w:t>
      </w:r>
      <w:r w:rsidR="001C6496" w:rsidRPr="00E30827">
        <w:rPr>
          <w:rFonts w:eastAsia="Leelawadee"/>
          <w:b/>
          <w:bCs/>
          <w:color w:val="000000" w:themeColor="text1"/>
        </w:rPr>
        <w:t xml:space="preserve">º. </w:t>
      </w:r>
      <w:r w:rsidR="001C6496">
        <w:rPr>
          <w:rFonts w:eastAsia="Leelawadee"/>
          <w:b/>
          <w:bCs/>
          <w:color w:val="000000" w:themeColor="text1"/>
        </w:rPr>
        <w:t>Permanencia reforzada</w:t>
      </w:r>
      <w:r w:rsidR="001C6496" w:rsidRPr="00E30827">
        <w:rPr>
          <w:rFonts w:eastAsia="Leelawadee"/>
          <w:b/>
          <w:bCs/>
          <w:color w:val="000000" w:themeColor="text1"/>
        </w:rPr>
        <w:t>.</w:t>
      </w:r>
      <w:r w:rsidR="001C6496" w:rsidRPr="00E30827">
        <w:rPr>
          <w:rFonts w:eastAsia="Leelawadee"/>
          <w:color w:val="000000" w:themeColor="text1"/>
        </w:rPr>
        <w:t xml:space="preserve"> </w:t>
      </w:r>
      <w:r w:rsidR="001C6496">
        <w:rPr>
          <w:rFonts w:eastAsia="Leelawadee"/>
          <w:color w:val="000000" w:themeColor="text1"/>
        </w:rPr>
        <w:t xml:space="preserve"> Se </w:t>
      </w:r>
      <w:r w:rsidR="001C6496" w:rsidRPr="001C6496">
        <w:t xml:space="preserve">garantizará que los estudiantes que, por causa de hospitalización o convalecencia, se encuentren imposibilitados para asistir temporalmente a </w:t>
      </w:r>
      <w:r w:rsidR="001C6496">
        <w:t>instituciones educativas del Estado o establecimientos educativos</w:t>
      </w:r>
      <w:r w:rsidR="001C6496" w:rsidRPr="001C6496">
        <w:t xml:space="preserve">, cuenten con las opciones necesarias para continuar con su programa de estudios durante </w:t>
      </w:r>
      <w:r w:rsidR="001C6496">
        <w:t>dicho</w:t>
      </w:r>
      <w:r w:rsidR="001C6496" w:rsidRPr="001C6496">
        <w:t xml:space="preserve"> período. Estos estudios tendrán el reconocimiento oficial.</w:t>
      </w:r>
      <w:r w:rsidR="001C6496">
        <w:t xml:space="preserve"> </w:t>
      </w:r>
    </w:p>
    <w:p w14:paraId="33CD7F78" w14:textId="77777777" w:rsidR="00290365" w:rsidRPr="00886A6E" w:rsidRDefault="00290365" w:rsidP="00B77A19">
      <w:pPr>
        <w:rPr>
          <w:rFonts w:cs="Leelawadee"/>
          <w:szCs w:val="24"/>
        </w:rPr>
      </w:pPr>
    </w:p>
    <w:p w14:paraId="7CECABDD" w14:textId="48AF8AEB" w:rsidR="00886A6E" w:rsidRPr="003362A4" w:rsidRDefault="003362A4" w:rsidP="003362A4">
      <w:pPr>
        <w:jc w:val="center"/>
        <w:rPr>
          <w:rFonts w:cs="Leelawadee"/>
          <w:b/>
          <w:szCs w:val="24"/>
        </w:rPr>
      </w:pPr>
      <w:r>
        <w:rPr>
          <w:rFonts w:cs="Leelawadee"/>
          <w:b/>
          <w:szCs w:val="24"/>
        </w:rPr>
        <w:t>Parte III. A</w:t>
      </w:r>
      <w:r w:rsidR="00886A6E" w:rsidRPr="003362A4">
        <w:rPr>
          <w:rFonts w:cs="Leelawadee"/>
          <w:b/>
          <w:szCs w:val="24"/>
        </w:rPr>
        <w:t>cceso al mercado laboral</w:t>
      </w:r>
    </w:p>
    <w:p w14:paraId="363AEF31" w14:textId="77777777" w:rsidR="00886A6E" w:rsidRDefault="00886A6E" w:rsidP="00B77A19">
      <w:pPr>
        <w:rPr>
          <w:rFonts w:cs="Leelawadee"/>
          <w:szCs w:val="24"/>
        </w:rPr>
      </w:pPr>
    </w:p>
    <w:p w14:paraId="084DDB9D" w14:textId="2DF10287" w:rsidR="00CF27DA" w:rsidRDefault="0036171A" w:rsidP="00B77A19">
      <w:pPr>
        <w:rPr>
          <w:lang w:val="es-ES_tradnl" w:eastAsia="es-ES"/>
        </w:rPr>
      </w:pPr>
      <w:r>
        <w:rPr>
          <w:rFonts w:eastAsia="Leelawadee"/>
          <w:b/>
          <w:bCs/>
          <w:color w:val="000000" w:themeColor="text1"/>
        </w:rPr>
        <w:t>Artículo 6</w:t>
      </w:r>
      <w:r w:rsidR="0086396A" w:rsidRPr="00E30827">
        <w:rPr>
          <w:rFonts w:eastAsia="Leelawadee"/>
          <w:b/>
          <w:bCs/>
          <w:color w:val="000000" w:themeColor="text1"/>
        </w:rPr>
        <w:t xml:space="preserve">º. </w:t>
      </w:r>
      <w:r w:rsidR="00281BF2">
        <w:rPr>
          <w:rFonts w:eastAsia="Leelawadee"/>
          <w:b/>
          <w:bCs/>
          <w:color w:val="000000" w:themeColor="text1"/>
        </w:rPr>
        <w:t>Estabilidad laboral</w:t>
      </w:r>
      <w:r w:rsidR="0086396A" w:rsidRPr="00E30827">
        <w:rPr>
          <w:rFonts w:eastAsia="Leelawadee"/>
          <w:b/>
          <w:bCs/>
          <w:color w:val="000000" w:themeColor="text1"/>
        </w:rPr>
        <w:t>.</w:t>
      </w:r>
      <w:r w:rsidR="0086396A" w:rsidRPr="00E30827">
        <w:rPr>
          <w:rFonts w:eastAsia="Leelawadee"/>
          <w:color w:val="000000" w:themeColor="text1"/>
        </w:rPr>
        <w:t xml:space="preserve"> </w:t>
      </w:r>
      <w:r w:rsidR="0086396A">
        <w:rPr>
          <w:rFonts w:eastAsia="Leelawadee"/>
          <w:color w:val="000000" w:themeColor="text1"/>
        </w:rPr>
        <w:t xml:space="preserve"> </w:t>
      </w:r>
      <w:r w:rsidR="00026FB8">
        <w:rPr>
          <w:rFonts w:eastAsia="Leelawadee"/>
          <w:color w:val="000000" w:themeColor="text1"/>
        </w:rPr>
        <w:t>Los</w:t>
      </w:r>
      <w:r w:rsidR="00CF27DA" w:rsidRPr="00CF27DA">
        <w:rPr>
          <w:lang w:val="es-ES_tradnl" w:eastAsia="es-ES"/>
        </w:rPr>
        <w:t xml:space="preserve"> servidores públicos</w:t>
      </w:r>
      <w:r w:rsidR="00CF27DA">
        <w:rPr>
          <w:lang w:val="es-ES_tradnl" w:eastAsia="es-ES"/>
        </w:rPr>
        <w:t xml:space="preserve">, los trabajadores oficiales, </w:t>
      </w:r>
      <w:r w:rsidR="00CF27DA" w:rsidRPr="00CF27DA">
        <w:rPr>
          <w:spacing w:val="4"/>
          <w:lang w:val="es-ES_tradnl" w:eastAsia="es-ES"/>
        </w:rPr>
        <w:t>sin perjuicio de la provisión de cargos a través de concurso público de méritos</w:t>
      </w:r>
      <w:r w:rsidR="00CF27DA">
        <w:rPr>
          <w:spacing w:val="4"/>
          <w:lang w:val="es-ES_tradnl" w:eastAsia="es-ES"/>
        </w:rPr>
        <w:t>,</w:t>
      </w:r>
      <w:r w:rsidR="00CF27DA">
        <w:rPr>
          <w:lang w:val="es-ES_tradnl" w:eastAsia="es-ES"/>
        </w:rPr>
        <w:t xml:space="preserve"> y </w:t>
      </w:r>
      <w:r w:rsidR="00CF27DA" w:rsidRPr="00CF27DA">
        <w:rPr>
          <w:lang w:val="es-ES_tradnl" w:eastAsia="es-ES"/>
        </w:rPr>
        <w:t>los trabajadores del sector privado qu</w:t>
      </w:r>
      <w:r w:rsidR="00CF27DA">
        <w:rPr>
          <w:lang w:val="es-ES_tradnl" w:eastAsia="es-ES"/>
        </w:rPr>
        <w:t xml:space="preserve">e hagan parte de la población objeto de la presente ley </w:t>
      </w:r>
      <w:r w:rsidR="00CF27DA" w:rsidRPr="00CF27DA">
        <w:rPr>
          <w:lang w:val="es-ES_tradnl" w:eastAsia="es-ES"/>
        </w:rPr>
        <w:t>gozarán de la protección especial de estabilidad laboral reforzada hasta cuando se les notifique y quede en firme el acto de reconocimiento de la pensión por parte de la entidad administradora de pensiones o quien haga sus veces y sean incluidos en la nómina de pensionados correspondiente.</w:t>
      </w:r>
    </w:p>
    <w:p w14:paraId="3C341E15" w14:textId="77777777" w:rsidR="00CF27DA" w:rsidRDefault="00CF27DA" w:rsidP="00B77A19">
      <w:pPr>
        <w:rPr>
          <w:lang w:val="es-ES_tradnl" w:eastAsia="es-ES"/>
        </w:rPr>
      </w:pPr>
    </w:p>
    <w:p w14:paraId="46BABC71" w14:textId="7B192C32" w:rsidR="00CF27DA" w:rsidRDefault="00CF27DA" w:rsidP="00B77A19">
      <w:pPr>
        <w:rPr>
          <w:spacing w:val="4"/>
          <w:lang w:val="es-ES_tradnl" w:eastAsia="es-ES"/>
        </w:rPr>
      </w:pPr>
      <w:r>
        <w:rPr>
          <w:spacing w:val="4"/>
          <w:lang w:val="es-ES_tradnl" w:eastAsia="es-ES"/>
        </w:rPr>
        <w:t xml:space="preserve">El empleador </w:t>
      </w:r>
      <w:r w:rsidRPr="00CF27DA">
        <w:rPr>
          <w:spacing w:val="4"/>
          <w:lang w:val="es-ES_tradnl" w:eastAsia="es-ES"/>
        </w:rPr>
        <w:t>tendrá que garantizar el goce efectivo de la estabilidad laboral reforzada a que hace referencia</w:t>
      </w:r>
      <w:r>
        <w:rPr>
          <w:spacing w:val="4"/>
          <w:lang w:val="es-ES_tradnl" w:eastAsia="es-ES"/>
        </w:rPr>
        <w:t xml:space="preserve"> el presente artículo </w:t>
      </w:r>
      <w:r w:rsidR="00026FB8" w:rsidRPr="00CF27DA">
        <w:rPr>
          <w:spacing w:val="4"/>
          <w:lang w:val="es-ES_tradnl" w:eastAsia="es-ES"/>
        </w:rPr>
        <w:t>a través de acciones afirmativas como la reubicación, el traslado o la provisión de cargos</w:t>
      </w:r>
      <w:r w:rsidR="00026FB8">
        <w:rPr>
          <w:spacing w:val="4"/>
          <w:lang w:val="es-ES_tradnl" w:eastAsia="es-ES"/>
        </w:rPr>
        <w:t>.</w:t>
      </w:r>
    </w:p>
    <w:p w14:paraId="23660105" w14:textId="77777777" w:rsidR="00CF27DA" w:rsidRPr="00CF27DA" w:rsidRDefault="00CF27DA" w:rsidP="00B77A19">
      <w:pPr>
        <w:rPr>
          <w:sz w:val="27"/>
          <w:szCs w:val="27"/>
          <w:lang w:val="es-ES" w:eastAsia="es-ES"/>
        </w:rPr>
      </w:pPr>
    </w:p>
    <w:p w14:paraId="04E9E8D0" w14:textId="3283FACB" w:rsidR="00CF27DA" w:rsidRPr="00CF27DA" w:rsidRDefault="00CF27DA" w:rsidP="00B77A19">
      <w:pPr>
        <w:rPr>
          <w:sz w:val="27"/>
          <w:szCs w:val="27"/>
          <w:lang w:val="es-ES" w:eastAsia="es-ES"/>
        </w:rPr>
      </w:pPr>
      <w:r w:rsidRPr="00281BF2">
        <w:rPr>
          <w:b/>
          <w:i/>
          <w:lang w:val="es-ES_tradnl" w:eastAsia="es-ES"/>
        </w:rPr>
        <w:t>Parágrafo</w:t>
      </w:r>
      <w:r w:rsidR="00026FB8" w:rsidRPr="00281BF2">
        <w:rPr>
          <w:b/>
          <w:i/>
          <w:lang w:val="es-ES_tradnl" w:eastAsia="es-ES"/>
        </w:rPr>
        <w:t xml:space="preserve"> 1</w:t>
      </w:r>
      <w:r w:rsidRPr="00281BF2">
        <w:rPr>
          <w:b/>
          <w:i/>
          <w:lang w:val="es-ES_tradnl" w:eastAsia="es-ES"/>
        </w:rPr>
        <w:t>.</w:t>
      </w:r>
      <w:r w:rsidRPr="00CF27DA">
        <w:rPr>
          <w:lang w:val="es-ES_tradnl" w:eastAsia="es-ES"/>
        </w:rPr>
        <w:t xml:space="preserve"> El trabajador que adquiera la condici</w:t>
      </w:r>
      <w:r w:rsidR="00026FB8">
        <w:rPr>
          <w:lang w:val="es-ES_tradnl" w:eastAsia="es-ES"/>
        </w:rPr>
        <w:t>ón descrita en el artículo 1 de la presente ley</w:t>
      </w:r>
      <w:r w:rsidRPr="00CF27DA">
        <w:rPr>
          <w:lang w:val="es-ES_tradnl" w:eastAsia="es-ES"/>
        </w:rPr>
        <w:t> deberá informar a su empleador tal calidad.</w:t>
      </w:r>
    </w:p>
    <w:p w14:paraId="3097295D" w14:textId="2E4D884F" w:rsidR="0086396A" w:rsidRDefault="0086396A" w:rsidP="00B77A19">
      <w:pPr>
        <w:rPr>
          <w:rFonts w:cs="Leelawadee"/>
          <w:szCs w:val="24"/>
        </w:rPr>
      </w:pPr>
    </w:p>
    <w:p w14:paraId="58E8146B" w14:textId="4F8287B7" w:rsidR="00026FB8" w:rsidRDefault="00026FB8" w:rsidP="00B77A19">
      <w:pPr>
        <w:rPr>
          <w:rFonts w:cs="Leelawadee"/>
          <w:szCs w:val="24"/>
        </w:rPr>
      </w:pPr>
      <w:r w:rsidRPr="00281BF2">
        <w:rPr>
          <w:rFonts w:cs="Leelawadee"/>
          <w:b/>
          <w:i/>
          <w:szCs w:val="24"/>
        </w:rPr>
        <w:t>Parágrafo 2.</w:t>
      </w:r>
      <w:r>
        <w:rPr>
          <w:rFonts w:cs="Leelawadee"/>
          <w:szCs w:val="24"/>
        </w:rPr>
        <w:t xml:space="preserve"> La protección que se establece en el primer inciso se extiende a los familiares hasta el segundo grado de consanguinidad, primero de afinidad y primero civil de la población objeto de la presente ley, siempre y cuando éste dependa económicamente del primero. El trabajador familiar deberá informar al empleador de tal calidad mediante certificación médica y, la económica, por certificación de contador público habilitado. En</w:t>
      </w:r>
      <w:r w:rsidR="00281BF2">
        <w:rPr>
          <w:rFonts w:cs="Leelawadee"/>
          <w:szCs w:val="24"/>
        </w:rPr>
        <w:t xml:space="preserve"> caso de ausencia del familiar previsto en este parágrafo, la</w:t>
      </w:r>
      <w:r>
        <w:rPr>
          <w:rFonts w:cs="Leelawadee"/>
          <w:szCs w:val="24"/>
        </w:rPr>
        <w:t xml:space="preserve"> protección se extiende al cuidador</w:t>
      </w:r>
      <w:r w:rsidR="00281BF2">
        <w:rPr>
          <w:rFonts w:cs="Leelawadee"/>
          <w:szCs w:val="24"/>
        </w:rPr>
        <w:t xml:space="preserve"> </w:t>
      </w:r>
      <w:proofErr w:type="gramStart"/>
      <w:r w:rsidR="00281BF2">
        <w:rPr>
          <w:rFonts w:cs="Leelawadee"/>
          <w:szCs w:val="24"/>
        </w:rPr>
        <w:t>del</w:t>
      </w:r>
      <w:proofErr w:type="gramEnd"/>
      <w:r w:rsidR="00281BF2">
        <w:rPr>
          <w:rFonts w:cs="Leelawadee"/>
          <w:szCs w:val="24"/>
        </w:rPr>
        <w:t xml:space="preserve"> paciente</w:t>
      </w:r>
      <w:r>
        <w:rPr>
          <w:rFonts w:cs="Leelawadee"/>
          <w:szCs w:val="24"/>
        </w:rPr>
        <w:t xml:space="preserve"> </w:t>
      </w:r>
      <w:r w:rsidR="00281BF2">
        <w:rPr>
          <w:rFonts w:cs="Leelawadee"/>
          <w:szCs w:val="24"/>
        </w:rPr>
        <w:t>situación que será debidamente certificada</w:t>
      </w:r>
      <w:r>
        <w:rPr>
          <w:rFonts w:cs="Leelawadee"/>
          <w:szCs w:val="24"/>
        </w:rPr>
        <w:t>.</w:t>
      </w:r>
    </w:p>
    <w:p w14:paraId="553D7A5C" w14:textId="77777777" w:rsidR="00AC0C05" w:rsidRDefault="00AC0C05" w:rsidP="00B77A19">
      <w:pPr>
        <w:rPr>
          <w:rFonts w:cs="Leelawadee"/>
          <w:szCs w:val="24"/>
        </w:rPr>
      </w:pPr>
    </w:p>
    <w:p w14:paraId="07A71973" w14:textId="2DEF13FE" w:rsidR="00281BF2" w:rsidRDefault="0036171A" w:rsidP="00B77A19">
      <w:r>
        <w:rPr>
          <w:rFonts w:eastAsia="Leelawadee"/>
          <w:b/>
          <w:bCs/>
          <w:color w:val="000000" w:themeColor="text1"/>
        </w:rPr>
        <w:t>Artículo 7</w:t>
      </w:r>
      <w:r w:rsidR="00281BF2" w:rsidRPr="00E30827">
        <w:rPr>
          <w:rFonts w:eastAsia="Leelawadee"/>
          <w:b/>
          <w:bCs/>
          <w:color w:val="000000" w:themeColor="text1"/>
        </w:rPr>
        <w:t>º.</w:t>
      </w:r>
      <w:r w:rsidR="00281BF2" w:rsidRPr="00E30827">
        <w:rPr>
          <w:rFonts w:eastAsia="Leelawadee"/>
          <w:color w:val="000000" w:themeColor="text1"/>
        </w:rPr>
        <w:t xml:space="preserve"> </w:t>
      </w:r>
      <w:r w:rsidR="00281BF2">
        <w:rPr>
          <w:rFonts w:eastAsia="Leelawadee"/>
          <w:color w:val="000000" w:themeColor="text1"/>
        </w:rPr>
        <w:t xml:space="preserve"> </w:t>
      </w:r>
      <w:r w:rsidR="00281BF2">
        <w:t xml:space="preserve">En aquellos casos en que medie justa causa para la terminación del contrato de trabajo se podrá dar por terminada la relación laboral, siempre y </w:t>
      </w:r>
      <w:r w:rsidR="00281BF2">
        <w:lastRenderedPageBreak/>
        <w:t>cuando que se haya solicitado autorización previa del Ministerio de Trabajo, momento en el cual cesará la protección especial de estabilidad reforzada laboral a que se refiere el artículo 4 de la presente ley.</w:t>
      </w:r>
    </w:p>
    <w:p w14:paraId="44295A6B" w14:textId="77777777" w:rsidR="00B77A19" w:rsidRDefault="00B77A19" w:rsidP="00B77A19"/>
    <w:p w14:paraId="017E9C0F" w14:textId="0B4A3CF4" w:rsidR="00B77A19" w:rsidRDefault="00B77A19" w:rsidP="00B77A19">
      <w:pPr>
        <w:rPr>
          <w:rFonts w:cs="Leelawadee"/>
          <w:szCs w:val="24"/>
        </w:rPr>
      </w:pPr>
      <w:r w:rsidRPr="00B77A19">
        <w:rPr>
          <w:rFonts w:cs="Leelawadee"/>
          <w:b/>
          <w:szCs w:val="24"/>
        </w:rPr>
        <w:t>Artícu</w:t>
      </w:r>
      <w:r w:rsidR="0036171A">
        <w:rPr>
          <w:rFonts w:cs="Leelawadee"/>
          <w:b/>
          <w:szCs w:val="24"/>
        </w:rPr>
        <w:t>lo 8</w:t>
      </w:r>
      <w:r w:rsidRPr="00B77A19">
        <w:rPr>
          <w:rFonts w:cs="Leelawadee"/>
          <w:b/>
          <w:szCs w:val="24"/>
        </w:rPr>
        <w:t>°.</w:t>
      </w:r>
      <w:r>
        <w:rPr>
          <w:rFonts w:cs="Leelawadee"/>
          <w:szCs w:val="24"/>
        </w:rPr>
        <w:t xml:space="preserve"> Adiciónese un inciso al parágrafo 4 del artículo 33 de la Ley 100 de 1993, el cual quedará así:  </w:t>
      </w:r>
    </w:p>
    <w:p w14:paraId="52848F4A" w14:textId="77777777" w:rsidR="00B77A19" w:rsidRDefault="00B77A19" w:rsidP="00B77A19">
      <w:pPr>
        <w:rPr>
          <w:rFonts w:cs="Leelawadee"/>
          <w:szCs w:val="24"/>
        </w:rPr>
      </w:pPr>
    </w:p>
    <w:p w14:paraId="4279EF09" w14:textId="3EEC33B2" w:rsidR="00B77A19" w:rsidRPr="00507AC1" w:rsidRDefault="00B77A19" w:rsidP="00507AC1">
      <w:pPr>
        <w:ind w:left="708"/>
        <w:rPr>
          <w:i/>
        </w:rPr>
      </w:pPr>
      <w:r w:rsidRPr="00507AC1">
        <w:rPr>
          <w:i/>
        </w:rPr>
        <w:t>“</w:t>
      </w:r>
      <w:r w:rsidR="00507AC1" w:rsidRPr="00507AC1">
        <w:rPr>
          <w:i/>
        </w:rPr>
        <w:t xml:space="preserve">La personas se encuentran diagnosticadas con enfermedades huérfanas en los términos de la Ley </w:t>
      </w:r>
      <w:r w:rsidR="00507AC1" w:rsidRPr="00507AC1">
        <w:rPr>
          <w:rFonts w:eastAsia="Leelawadee"/>
          <w:i/>
          <w:lang w:val="es-ES"/>
        </w:rPr>
        <w:t xml:space="preserve">1392 del 2010 </w:t>
      </w:r>
      <w:r w:rsidR="00507AC1" w:rsidRPr="00507AC1">
        <w:rPr>
          <w:i/>
        </w:rPr>
        <w:t>debidamente calificada y hasta tanto permanezca en este estado tendrá derecho a recibir la pensión especial de vejez a cualquier edad, </w:t>
      </w:r>
      <w:r w:rsidR="00507AC1" w:rsidRPr="00507AC1">
        <w:rPr>
          <w:rStyle w:val="iaj"/>
          <w:rFonts w:cs="Leelawadee"/>
          <w:i/>
          <w:iCs/>
          <w:szCs w:val="24"/>
        </w:rPr>
        <w:t xml:space="preserve">siempre que haya cotizado al Sistema General de Pensiones cuando menos 300 semanas. </w:t>
      </w:r>
      <w:r w:rsidR="00507AC1" w:rsidRPr="00507AC1">
        <w:rPr>
          <w:i/>
        </w:rPr>
        <w:t>Este beneficio se suspenderá si el paciente se reincorpora a la fuerza laboral. En caso que el beneficiario fallezca, se surtirán los efectos de la sustitución pensional cuando haya lugar a la misma.”</w:t>
      </w:r>
    </w:p>
    <w:p w14:paraId="721E18B7" w14:textId="77777777" w:rsidR="00281BF2" w:rsidRPr="00886A6E" w:rsidRDefault="00281BF2" w:rsidP="00B77A19">
      <w:pPr>
        <w:rPr>
          <w:rFonts w:cs="Leelawadee"/>
          <w:szCs w:val="24"/>
        </w:rPr>
      </w:pPr>
    </w:p>
    <w:p w14:paraId="0DF707DD" w14:textId="51777A4A" w:rsidR="00886A6E" w:rsidRPr="003362A4" w:rsidRDefault="003362A4" w:rsidP="003362A4">
      <w:pPr>
        <w:jc w:val="center"/>
        <w:rPr>
          <w:rFonts w:cs="Leelawadee"/>
          <w:b/>
          <w:szCs w:val="24"/>
        </w:rPr>
      </w:pPr>
      <w:r>
        <w:rPr>
          <w:rFonts w:cs="Leelawadee"/>
          <w:b/>
          <w:szCs w:val="24"/>
        </w:rPr>
        <w:t>Parte IV. O</w:t>
      </w:r>
      <w:r w:rsidR="00886A6E" w:rsidRPr="003362A4">
        <w:rPr>
          <w:rFonts w:cs="Leelawadee"/>
          <w:b/>
          <w:szCs w:val="24"/>
        </w:rPr>
        <w:t>tras disposiciones</w:t>
      </w:r>
    </w:p>
    <w:p w14:paraId="328BECA5" w14:textId="77777777" w:rsidR="00AC0C05" w:rsidRPr="00886A6E" w:rsidRDefault="00AC0C05" w:rsidP="00B77A19">
      <w:pPr>
        <w:rPr>
          <w:rFonts w:cs="Leelawadee"/>
          <w:szCs w:val="24"/>
        </w:rPr>
      </w:pPr>
    </w:p>
    <w:p w14:paraId="52D4BE6D" w14:textId="34F0B7A6" w:rsidR="2CAA848E" w:rsidRPr="00E30827" w:rsidRDefault="0036171A" w:rsidP="00B77A19">
      <w:pPr>
        <w:rPr>
          <w:rFonts w:cs="Leelawadee"/>
          <w:szCs w:val="24"/>
        </w:rPr>
      </w:pPr>
      <w:r>
        <w:rPr>
          <w:rFonts w:eastAsia="Leelawadee" w:cs="Leelawadee"/>
          <w:b/>
          <w:bCs/>
          <w:szCs w:val="24"/>
        </w:rPr>
        <w:t>Artículo 9</w:t>
      </w:r>
      <w:r w:rsidR="5CCC1FB1" w:rsidRPr="00886A6E">
        <w:rPr>
          <w:rFonts w:eastAsia="Leelawadee" w:cs="Leelawadee"/>
          <w:b/>
          <w:bCs/>
          <w:szCs w:val="24"/>
        </w:rPr>
        <w:t xml:space="preserve">º. </w:t>
      </w:r>
      <w:r w:rsidR="00A51A12">
        <w:rPr>
          <w:rFonts w:eastAsia="Leelawadee" w:cs="Leelawadee"/>
          <w:bCs/>
          <w:szCs w:val="24"/>
        </w:rPr>
        <w:t xml:space="preserve">La condición de que trata el artículo 1 de la presente ley será certificada por la </w:t>
      </w:r>
      <w:r w:rsidR="00CF6762">
        <w:rPr>
          <w:rFonts w:eastAsia="Leelawadee" w:cs="Leelawadee"/>
          <w:bCs/>
          <w:szCs w:val="24"/>
        </w:rPr>
        <w:t>Entidad Promotora de Salud, o quien haga sus veces, a la que se encuentre afiliado la persona por una sola vez</w:t>
      </w:r>
      <w:r w:rsidR="00A51A12">
        <w:rPr>
          <w:rFonts w:eastAsia="Leelawadee" w:cs="Leelawadee"/>
          <w:bCs/>
          <w:szCs w:val="24"/>
        </w:rPr>
        <w:t>.</w:t>
      </w:r>
    </w:p>
    <w:p w14:paraId="72EC2468" w14:textId="21362C2B" w:rsidR="5CCC1FB1" w:rsidRDefault="5CCC1FB1" w:rsidP="00B77A19">
      <w:pPr>
        <w:rPr>
          <w:rFonts w:cs="Leelawadee"/>
          <w:szCs w:val="24"/>
        </w:rPr>
      </w:pPr>
    </w:p>
    <w:p w14:paraId="306F1DEF" w14:textId="2D39D8F7" w:rsidR="004D7820" w:rsidRDefault="0036171A" w:rsidP="00B77A19">
      <w:pPr>
        <w:rPr>
          <w:rFonts w:eastAsia="Leelawadee" w:cs="Leelawadee"/>
          <w:b/>
          <w:bCs/>
          <w:szCs w:val="24"/>
        </w:rPr>
      </w:pPr>
      <w:r>
        <w:rPr>
          <w:rFonts w:eastAsia="Leelawadee" w:cs="Leelawadee"/>
          <w:b/>
          <w:bCs/>
          <w:szCs w:val="24"/>
        </w:rPr>
        <w:t>Artículo 10</w:t>
      </w:r>
      <w:r w:rsidRPr="00886A6E">
        <w:rPr>
          <w:rFonts w:eastAsia="Leelawadee" w:cs="Leelawadee"/>
          <w:b/>
          <w:bCs/>
          <w:szCs w:val="24"/>
        </w:rPr>
        <w:t>º.</w:t>
      </w:r>
      <w:r w:rsidRPr="004D7820">
        <w:rPr>
          <w:rFonts w:eastAsia="Leelawadee" w:cs="Leelawadee"/>
          <w:bCs/>
          <w:szCs w:val="24"/>
        </w:rPr>
        <w:t xml:space="preserve"> </w:t>
      </w:r>
      <w:r w:rsidR="004D7820" w:rsidRPr="004D7820">
        <w:rPr>
          <w:rFonts w:eastAsia="Leelawadee" w:cs="Leelawadee"/>
          <w:bCs/>
          <w:szCs w:val="24"/>
        </w:rPr>
        <w:t>Adiciónese</w:t>
      </w:r>
      <w:r w:rsidR="004D7820">
        <w:rPr>
          <w:rFonts w:eastAsia="Leelawadee" w:cs="Leelawadee"/>
          <w:bCs/>
          <w:szCs w:val="24"/>
        </w:rPr>
        <w:t xml:space="preserve"> un inciso nuevo al parágrafo del artículo 2 de la Ley 1392 de 2010, el cual quedará así:</w:t>
      </w:r>
      <w:r w:rsidR="004D7820" w:rsidRPr="004D7820">
        <w:rPr>
          <w:rFonts w:eastAsia="Leelawadee" w:cs="Leelawadee"/>
          <w:bCs/>
          <w:szCs w:val="24"/>
        </w:rPr>
        <w:t xml:space="preserve"> </w:t>
      </w:r>
    </w:p>
    <w:p w14:paraId="66FEDAB4" w14:textId="77777777" w:rsidR="004D7820" w:rsidRDefault="004D7820" w:rsidP="00B77A19">
      <w:pPr>
        <w:rPr>
          <w:rFonts w:eastAsia="Leelawadee" w:cs="Leelawadee"/>
          <w:b/>
          <w:bCs/>
          <w:szCs w:val="24"/>
        </w:rPr>
      </w:pPr>
    </w:p>
    <w:p w14:paraId="371EB1DD" w14:textId="65A61A3D" w:rsidR="0036171A" w:rsidRPr="004D7820" w:rsidRDefault="004D7820" w:rsidP="004D7820">
      <w:pPr>
        <w:ind w:left="708"/>
        <w:rPr>
          <w:rFonts w:cs="Leelawadee"/>
          <w:i/>
          <w:szCs w:val="24"/>
        </w:rPr>
      </w:pPr>
      <w:r w:rsidRPr="004D7820">
        <w:rPr>
          <w:rFonts w:eastAsia="Leelawadee" w:cs="Leelawadee"/>
          <w:bCs/>
          <w:i/>
          <w:szCs w:val="24"/>
        </w:rPr>
        <w:t>“cuando se trate de enfermedades huérfanas que padezcan</w:t>
      </w:r>
      <w:r w:rsidR="00786D3E">
        <w:rPr>
          <w:rFonts w:eastAsia="Leelawadee" w:cs="Leelawadee"/>
          <w:bCs/>
          <w:i/>
          <w:szCs w:val="24"/>
        </w:rPr>
        <w:t xml:space="preserve"> los miembros de</w:t>
      </w:r>
      <w:r w:rsidRPr="004D7820">
        <w:rPr>
          <w:rFonts w:eastAsia="Leelawadee" w:cs="Leelawadee"/>
          <w:bCs/>
          <w:i/>
          <w:szCs w:val="24"/>
        </w:rPr>
        <w:t xml:space="preserve"> las comunidades indígenas, afrocolombianas,</w:t>
      </w:r>
      <w:r w:rsidR="00786D3E">
        <w:rPr>
          <w:rFonts w:eastAsia="Leelawadee" w:cs="Leelawadee"/>
          <w:bCs/>
          <w:i/>
          <w:szCs w:val="24"/>
        </w:rPr>
        <w:t xml:space="preserve"> mulatos, </w:t>
      </w:r>
      <w:proofErr w:type="spellStart"/>
      <w:r w:rsidR="00786D3E">
        <w:rPr>
          <w:rFonts w:eastAsia="Leelawadee" w:cs="Leelawadee"/>
          <w:bCs/>
          <w:i/>
          <w:szCs w:val="24"/>
        </w:rPr>
        <w:t>palenqueros</w:t>
      </w:r>
      <w:proofErr w:type="spellEnd"/>
      <w:r w:rsidR="00786D3E">
        <w:rPr>
          <w:rFonts w:eastAsia="Leelawadee" w:cs="Leelawadee"/>
          <w:bCs/>
          <w:i/>
          <w:szCs w:val="24"/>
        </w:rPr>
        <w:t>,</w:t>
      </w:r>
      <w:r w:rsidRPr="004D7820">
        <w:rPr>
          <w:rFonts w:eastAsia="Leelawadee" w:cs="Leelawadee"/>
          <w:bCs/>
          <w:i/>
          <w:szCs w:val="24"/>
        </w:rPr>
        <w:t xml:space="preserve"> raizales y </w:t>
      </w:r>
      <w:proofErr w:type="spellStart"/>
      <w:r w:rsidRPr="004D7820">
        <w:rPr>
          <w:rFonts w:eastAsia="Leelawadee" w:cs="Leelawadee"/>
          <w:bCs/>
          <w:i/>
          <w:szCs w:val="24"/>
        </w:rPr>
        <w:t>R</w:t>
      </w:r>
      <w:r w:rsidR="00786D3E">
        <w:rPr>
          <w:rFonts w:eastAsia="Leelawadee" w:cs="Leelawadee"/>
          <w:bCs/>
          <w:i/>
          <w:szCs w:val="24"/>
        </w:rPr>
        <w:t>rom</w:t>
      </w:r>
      <w:proofErr w:type="spellEnd"/>
      <w:r w:rsidRPr="004D7820">
        <w:rPr>
          <w:rFonts w:eastAsia="Leelawadee" w:cs="Leelawadee"/>
          <w:bCs/>
          <w:i/>
          <w:szCs w:val="24"/>
        </w:rPr>
        <w:t xml:space="preserve"> el </w:t>
      </w:r>
      <w:r w:rsidR="00CF6762" w:rsidRPr="004D7820">
        <w:rPr>
          <w:rFonts w:eastAsia="Leelawadee" w:cs="Leelawadee"/>
          <w:bCs/>
          <w:i/>
          <w:szCs w:val="24"/>
        </w:rPr>
        <w:t>Ministerio de Salud y Protección Social</w:t>
      </w:r>
      <w:r w:rsidRPr="004D7820">
        <w:rPr>
          <w:rFonts w:eastAsia="Leelawadee" w:cs="Leelawadee"/>
          <w:bCs/>
          <w:i/>
          <w:szCs w:val="24"/>
        </w:rPr>
        <w:t xml:space="preserve"> actualizará la lista que refiere este parágrafo en cualquier tiempo</w:t>
      </w:r>
      <w:r w:rsidR="00786D3E">
        <w:rPr>
          <w:rFonts w:eastAsia="Leelawadee" w:cs="Leelawadee"/>
          <w:bCs/>
          <w:i/>
          <w:szCs w:val="24"/>
        </w:rPr>
        <w:t>,</w:t>
      </w:r>
      <w:r w:rsidRPr="004D7820">
        <w:rPr>
          <w:rFonts w:eastAsia="Leelawadee" w:cs="Leelawadee"/>
          <w:bCs/>
          <w:i/>
          <w:szCs w:val="24"/>
        </w:rPr>
        <w:t xml:space="preserve"> por solicitud de</w:t>
      </w:r>
      <w:r w:rsidR="00786D3E">
        <w:rPr>
          <w:rFonts w:eastAsia="Leelawadee" w:cs="Leelawadee"/>
          <w:bCs/>
          <w:i/>
          <w:szCs w:val="24"/>
        </w:rPr>
        <w:t xml:space="preserve"> una</w:t>
      </w:r>
      <w:r w:rsidRPr="004D7820">
        <w:rPr>
          <w:rFonts w:eastAsia="Leelawadee" w:cs="Leelawadee"/>
          <w:bCs/>
          <w:i/>
          <w:szCs w:val="24"/>
        </w:rPr>
        <w:t xml:space="preserve"> asociación de pacientes o de oficio, conforme al procedimiento </w:t>
      </w:r>
      <w:r>
        <w:rPr>
          <w:rFonts w:eastAsia="Leelawadee" w:cs="Leelawadee"/>
          <w:bCs/>
          <w:i/>
          <w:szCs w:val="24"/>
        </w:rPr>
        <w:t xml:space="preserve">técnico </w:t>
      </w:r>
      <w:r w:rsidRPr="004D7820">
        <w:rPr>
          <w:rFonts w:eastAsia="Leelawadee" w:cs="Leelawadee"/>
          <w:bCs/>
          <w:i/>
          <w:szCs w:val="24"/>
        </w:rPr>
        <w:t>establecido para ello</w:t>
      </w:r>
      <w:r w:rsidR="0036171A" w:rsidRPr="004D7820">
        <w:rPr>
          <w:rFonts w:eastAsia="Leelawadee" w:cs="Leelawadee"/>
          <w:bCs/>
          <w:i/>
          <w:szCs w:val="24"/>
        </w:rPr>
        <w:t>.</w:t>
      </w:r>
      <w:r>
        <w:rPr>
          <w:rFonts w:eastAsia="Leelawadee" w:cs="Leelawadee"/>
          <w:bCs/>
          <w:i/>
          <w:szCs w:val="24"/>
        </w:rPr>
        <w:t>”</w:t>
      </w:r>
    </w:p>
    <w:p w14:paraId="12649116" w14:textId="77777777" w:rsidR="0036171A" w:rsidRPr="00E30827" w:rsidRDefault="0036171A" w:rsidP="00B77A19">
      <w:pPr>
        <w:rPr>
          <w:rFonts w:cs="Leelawadee"/>
          <w:szCs w:val="24"/>
        </w:rPr>
      </w:pPr>
    </w:p>
    <w:p w14:paraId="374D083F" w14:textId="38710E5E" w:rsidR="00763252" w:rsidRPr="00E30827" w:rsidRDefault="004D7820" w:rsidP="00B77A19">
      <w:pPr>
        <w:rPr>
          <w:rFonts w:cs="Leelawadee"/>
          <w:color w:val="000000" w:themeColor="text1"/>
          <w:szCs w:val="24"/>
        </w:rPr>
      </w:pPr>
      <w:r>
        <w:rPr>
          <w:rFonts w:eastAsia="Leelawadee" w:cs="Leelawadee"/>
          <w:b/>
          <w:bCs/>
          <w:color w:val="000000" w:themeColor="text1"/>
          <w:szCs w:val="24"/>
        </w:rPr>
        <w:t>Artículo 11</w:t>
      </w:r>
      <w:r w:rsidR="2CAA848E" w:rsidRPr="00E30827">
        <w:rPr>
          <w:rFonts w:eastAsia="Leelawadee" w:cs="Leelawadee"/>
          <w:b/>
          <w:bCs/>
          <w:color w:val="000000" w:themeColor="text1"/>
          <w:szCs w:val="24"/>
        </w:rPr>
        <w:t>°. Vigencia.</w:t>
      </w:r>
      <w:r w:rsidR="2CAA848E" w:rsidRPr="00E30827">
        <w:rPr>
          <w:rFonts w:eastAsia="Leelawadee" w:cs="Leelawadee"/>
          <w:color w:val="000000" w:themeColor="text1"/>
          <w:szCs w:val="24"/>
        </w:rPr>
        <w:t xml:space="preserve"> La presente ley rige a partir de su publicación.</w:t>
      </w:r>
    </w:p>
    <w:p w14:paraId="21422611" w14:textId="77777777" w:rsidR="00763252" w:rsidRPr="00E30827" w:rsidRDefault="00763252" w:rsidP="00B77A19">
      <w:pPr>
        <w:rPr>
          <w:rFonts w:cs="Leelawadee"/>
          <w:color w:val="000000" w:themeColor="text1"/>
          <w:szCs w:val="24"/>
        </w:rPr>
      </w:pPr>
    </w:p>
    <w:p w14:paraId="01BB111A" w14:textId="77777777" w:rsidR="00763252" w:rsidRPr="00E30827" w:rsidRDefault="00763252" w:rsidP="00B77A19">
      <w:pPr>
        <w:rPr>
          <w:rFonts w:cs="Leelawadee"/>
          <w:color w:val="000000" w:themeColor="text1"/>
          <w:szCs w:val="24"/>
        </w:rPr>
      </w:pPr>
    </w:p>
    <w:p w14:paraId="008BCB65" w14:textId="77777777" w:rsidR="00763252" w:rsidRPr="00E30827" w:rsidRDefault="00763252" w:rsidP="00B77A19">
      <w:pPr>
        <w:rPr>
          <w:rFonts w:cs="Leelawadee"/>
          <w:color w:val="000000" w:themeColor="text1"/>
          <w:szCs w:val="24"/>
          <w:lang w:val="es-ES_tradnl"/>
        </w:rPr>
      </w:pPr>
      <w:r w:rsidRPr="00E30827">
        <w:rPr>
          <w:rFonts w:cs="Leelawadee"/>
          <w:color w:val="000000" w:themeColor="text1"/>
          <w:szCs w:val="24"/>
        </w:rPr>
        <w:t>De los Honorables Congresistas,</w:t>
      </w:r>
      <w:r w:rsidRPr="00E30827">
        <w:rPr>
          <w:rFonts w:cs="Leelawadee"/>
          <w:color w:val="000000" w:themeColor="text1"/>
          <w:szCs w:val="24"/>
          <w:lang w:val="es-ES_tradnl"/>
        </w:rPr>
        <w:t xml:space="preserve"> </w:t>
      </w:r>
    </w:p>
    <w:p w14:paraId="0E0696F9" w14:textId="77777777" w:rsidR="00763252" w:rsidRPr="00E30827" w:rsidRDefault="00763252" w:rsidP="00B77A19">
      <w:pPr>
        <w:rPr>
          <w:rFonts w:cs="Leelawadee"/>
          <w:color w:val="000000" w:themeColor="text1"/>
          <w:szCs w:val="24"/>
          <w:lang w:val="es-ES_tradnl"/>
        </w:rPr>
      </w:pPr>
    </w:p>
    <w:p w14:paraId="2DDA7830" w14:textId="77777777" w:rsidR="00763252" w:rsidRDefault="00763252" w:rsidP="00B77A19">
      <w:pPr>
        <w:rPr>
          <w:rFonts w:cs="Leelawadee"/>
          <w:color w:val="000000" w:themeColor="text1"/>
          <w:szCs w:val="24"/>
          <w:lang w:val="es-ES_tradnl"/>
        </w:rPr>
      </w:pPr>
    </w:p>
    <w:p w14:paraId="569784FF" w14:textId="77777777" w:rsidR="005E44B2" w:rsidRDefault="005E44B2" w:rsidP="00B77A19">
      <w:pPr>
        <w:rPr>
          <w:rFonts w:cs="Leelawadee"/>
          <w:color w:val="000000" w:themeColor="text1"/>
          <w:szCs w:val="24"/>
          <w:lang w:val="es-ES_tradnl"/>
        </w:rPr>
      </w:pPr>
    </w:p>
    <w:p w14:paraId="0DD617E3" w14:textId="77777777" w:rsidR="005E44B2" w:rsidRPr="00E30827" w:rsidRDefault="005E44B2" w:rsidP="00B77A19">
      <w:pPr>
        <w:rPr>
          <w:rFonts w:cs="Leelawadee"/>
          <w:color w:val="000000" w:themeColor="text1"/>
          <w:szCs w:val="24"/>
          <w:lang w:val="es-ES_tradnl"/>
        </w:rPr>
      </w:pPr>
    </w:p>
    <w:p w14:paraId="314196D2" w14:textId="23E9ACD1" w:rsidR="00763252" w:rsidRPr="00E30827" w:rsidRDefault="004D7820" w:rsidP="00B77A19">
      <w:pPr>
        <w:rPr>
          <w:rFonts w:cs="Leelawadee"/>
          <w:b/>
          <w:color w:val="000000" w:themeColor="text1"/>
          <w:szCs w:val="24"/>
        </w:rPr>
      </w:pPr>
      <w:r>
        <w:rPr>
          <w:rFonts w:cs="Leelawadee"/>
          <w:b/>
          <w:color w:val="000000" w:themeColor="text1"/>
          <w:szCs w:val="24"/>
        </w:rPr>
        <w:t>FERNANDO NICOLÁS ARAUJO RUMIÉ</w:t>
      </w:r>
      <w:r w:rsidR="005E44B2">
        <w:rPr>
          <w:rFonts w:cs="Leelawadee"/>
          <w:b/>
          <w:color w:val="000000" w:themeColor="text1"/>
          <w:szCs w:val="24"/>
        </w:rPr>
        <w:tab/>
      </w:r>
      <w:r w:rsidR="005E44B2">
        <w:rPr>
          <w:rFonts w:cs="Leelawadee"/>
          <w:b/>
          <w:color w:val="000000" w:themeColor="text1"/>
          <w:szCs w:val="24"/>
        </w:rPr>
        <w:tab/>
        <w:t>WILSON CÓRDOBA MENA</w:t>
      </w:r>
    </w:p>
    <w:p w14:paraId="3C43C9FC" w14:textId="0D9DC681" w:rsidR="00763252" w:rsidRPr="005E44B2" w:rsidRDefault="00763252" w:rsidP="00B77A19">
      <w:pPr>
        <w:rPr>
          <w:rFonts w:cs="Leelawadee"/>
          <w:color w:val="000000" w:themeColor="text1"/>
          <w:sz w:val="22"/>
        </w:rPr>
      </w:pPr>
      <w:r w:rsidRPr="005E44B2">
        <w:rPr>
          <w:rFonts w:cs="Leelawadee"/>
          <w:color w:val="000000" w:themeColor="text1"/>
          <w:sz w:val="22"/>
        </w:rPr>
        <w:t>Senador de la República</w:t>
      </w:r>
      <w:r w:rsidR="005E44B2" w:rsidRPr="005E44B2">
        <w:rPr>
          <w:rFonts w:cs="Leelawadee"/>
          <w:color w:val="000000" w:themeColor="text1"/>
          <w:sz w:val="22"/>
        </w:rPr>
        <w:tab/>
      </w:r>
      <w:r w:rsidR="005E44B2" w:rsidRPr="005E44B2">
        <w:rPr>
          <w:rFonts w:cs="Leelawadee"/>
          <w:color w:val="000000" w:themeColor="text1"/>
          <w:sz w:val="22"/>
        </w:rPr>
        <w:tab/>
      </w:r>
      <w:r w:rsidR="005E44B2" w:rsidRPr="005E44B2">
        <w:rPr>
          <w:rFonts w:cs="Leelawadee"/>
          <w:color w:val="000000" w:themeColor="text1"/>
          <w:sz w:val="22"/>
        </w:rPr>
        <w:tab/>
      </w:r>
      <w:r w:rsidR="005E44B2" w:rsidRPr="005E44B2">
        <w:rPr>
          <w:rFonts w:cs="Leelawadee"/>
          <w:color w:val="000000" w:themeColor="text1"/>
          <w:sz w:val="22"/>
        </w:rPr>
        <w:tab/>
        <w:t>Representante a la Cámara - Antioquia</w:t>
      </w:r>
    </w:p>
    <w:p w14:paraId="0FA89E45" w14:textId="4E6E70FC" w:rsidR="00763252" w:rsidRPr="00E30827" w:rsidRDefault="00763252" w:rsidP="00B77A19">
      <w:pPr>
        <w:rPr>
          <w:rFonts w:cs="Leelawadee"/>
          <w:color w:val="000000" w:themeColor="text1"/>
          <w:szCs w:val="24"/>
        </w:rPr>
      </w:pPr>
      <w:r w:rsidRPr="005E44B2">
        <w:rPr>
          <w:rFonts w:cs="Leelawadee"/>
          <w:color w:val="000000" w:themeColor="text1"/>
          <w:sz w:val="22"/>
        </w:rPr>
        <w:t>Centro Democrático</w:t>
      </w:r>
      <w:r w:rsidR="005E44B2">
        <w:rPr>
          <w:rFonts w:cs="Leelawadee"/>
          <w:color w:val="000000" w:themeColor="text1"/>
          <w:sz w:val="22"/>
        </w:rPr>
        <w:tab/>
      </w:r>
      <w:r w:rsidR="005E44B2">
        <w:rPr>
          <w:rFonts w:cs="Leelawadee"/>
          <w:color w:val="000000" w:themeColor="text1"/>
          <w:sz w:val="22"/>
        </w:rPr>
        <w:tab/>
      </w:r>
      <w:r w:rsidR="005E44B2">
        <w:rPr>
          <w:rFonts w:cs="Leelawadee"/>
          <w:color w:val="000000" w:themeColor="text1"/>
          <w:sz w:val="22"/>
        </w:rPr>
        <w:tab/>
      </w:r>
      <w:r w:rsidR="005E44B2">
        <w:rPr>
          <w:rFonts w:cs="Leelawadee"/>
          <w:color w:val="000000" w:themeColor="text1"/>
          <w:sz w:val="22"/>
        </w:rPr>
        <w:tab/>
      </w:r>
      <w:r w:rsidR="005E44B2">
        <w:rPr>
          <w:rFonts w:cs="Leelawadee"/>
          <w:color w:val="000000" w:themeColor="text1"/>
          <w:sz w:val="22"/>
        </w:rPr>
        <w:tab/>
        <w:t>Centro Democrático</w:t>
      </w:r>
    </w:p>
    <w:p w14:paraId="52CC68C0" w14:textId="77777777" w:rsidR="00763252" w:rsidRPr="00E30827" w:rsidRDefault="00763252" w:rsidP="00B77A19">
      <w:pPr>
        <w:rPr>
          <w:rFonts w:cs="Leelawadee"/>
          <w:color w:val="000000" w:themeColor="text1"/>
          <w:szCs w:val="24"/>
        </w:rPr>
      </w:pPr>
      <w:r w:rsidRPr="00E30827">
        <w:rPr>
          <w:rFonts w:cs="Leelawadee"/>
          <w:color w:val="000000" w:themeColor="text1"/>
          <w:szCs w:val="24"/>
        </w:rPr>
        <w:br w:type="page"/>
      </w:r>
    </w:p>
    <w:p w14:paraId="561E830D" w14:textId="14D4697E" w:rsidR="004F5B8F" w:rsidRPr="00E30827" w:rsidRDefault="004F5B8F" w:rsidP="004F5B8F">
      <w:pPr>
        <w:jc w:val="center"/>
        <w:rPr>
          <w:rFonts w:cs="Leelawadee"/>
          <w:b/>
          <w:color w:val="000000" w:themeColor="text1"/>
          <w:szCs w:val="24"/>
          <w:lang w:val="es-ES_tradnl"/>
        </w:rPr>
      </w:pPr>
      <w:r>
        <w:rPr>
          <w:rFonts w:cs="Leelawadee"/>
          <w:b/>
          <w:color w:val="000000" w:themeColor="text1"/>
          <w:szCs w:val="24"/>
          <w:lang w:val="es-ES_tradnl"/>
        </w:rPr>
        <w:lastRenderedPageBreak/>
        <w:t>PROYECTO DE LEY No. ____ DE 2017</w:t>
      </w:r>
      <w:r w:rsidRPr="00E30827">
        <w:rPr>
          <w:rFonts w:cs="Leelawadee"/>
          <w:b/>
          <w:color w:val="000000" w:themeColor="text1"/>
          <w:szCs w:val="24"/>
          <w:lang w:val="es-ES_tradnl"/>
        </w:rPr>
        <w:t xml:space="preserve"> </w:t>
      </w:r>
      <w:r w:rsidR="007B0CA3">
        <w:rPr>
          <w:rFonts w:cs="Leelawadee"/>
          <w:b/>
          <w:color w:val="000000" w:themeColor="text1"/>
          <w:szCs w:val="24"/>
          <w:lang w:val="es-ES_tradnl"/>
        </w:rPr>
        <w:t>CÁMARA</w:t>
      </w:r>
    </w:p>
    <w:p w14:paraId="6B965ACB" w14:textId="77777777" w:rsidR="004F5B8F" w:rsidRPr="00E30827" w:rsidRDefault="004F5B8F" w:rsidP="004F5B8F">
      <w:pPr>
        <w:jc w:val="center"/>
        <w:rPr>
          <w:rFonts w:cs="Leelawadee"/>
          <w:b/>
          <w:color w:val="000000" w:themeColor="text1"/>
          <w:szCs w:val="24"/>
          <w:lang w:val="es-ES_tradnl"/>
        </w:rPr>
      </w:pPr>
    </w:p>
    <w:p w14:paraId="6C3FD6D1" w14:textId="647DFAF6" w:rsidR="004F5B8F" w:rsidRDefault="004F5B8F" w:rsidP="004F5B8F">
      <w:pPr>
        <w:jc w:val="center"/>
        <w:rPr>
          <w:rFonts w:cs="Leelawadee"/>
          <w:b/>
          <w:color w:val="000000" w:themeColor="text1"/>
          <w:szCs w:val="24"/>
        </w:rPr>
      </w:pPr>
      <w:r w:rsidRPr="00E30827">
        <w:rPr>
          <w:rFonts w:eastAsia="Leelawadee,Leelawadee,Leelawade" w:cs="Leelawadee"/>
          <w:b/>
          <w:bCs/>
          <w:color w:val="000000" w:themeColor="text1"/>
          <w:szCs w:val="24"/>
          <w:lang w:eastAsia="es-ES"/>
        </w:rPr>
        <w:t xml:space="preserve">“POR MEDIO DE LA CUAL </w:t>
      </w:r>
      <w:r>
        <w:rPr>
          <w:rFonts w:eastAsia="Leelawadee,Leelawadee,Leelawade" w:cs="Leelawadee"/>
          <w:b/>
          <w:bCs/>
          <w:color w:val="000000" w:themeColor="text1"/>
          <w:szCs w:val="24"/>
          <w:lang w:eastAsia="es-ES"/>
        </w:rPr>
        <w:t xml:space="preserve">SE GARANTIZAN MEDIDAS POSITIVAS EN FAVOR DE LAS PERSONAS QUE PADECEN ENFERMEDADES HUÉRFANAS EN SITUACIÓN DE DISCAPACIDAD Y SE DICTAN OTRAS </w:t>
      </w:r>
      <w:r w:rsidR="00E26BA7">
        <w:rPr>
          <w:rFonts w:eastAsia="Leelawadee,Leelawadee,Leelawade" w:cs="Leelawadee"/>
          <w:b/>
          <w:bCs/>
          <w:color w:val="000000" w:themeColor="text1"/>
          <w:szCs w:val="24"/>
          <w:lang w:eastAsia="es-ES"/>
        </w:rPr>
        <w:t>DISPOSICIONES</w:t>
      </w:r>
      <w:r w:rsidRPr="00E30827">
        <w:rPr>
          <w:rFonts w:eastAsia="Leelawadee,Leelawadee,Leelawade" w:cs="Leelawadee"/>
          <w:b/>
          <w:bCs/>
          <w:color w:val="000000" w:themeColor="text1"/>
          <w:szCs w:val="24"/>
          <w:lang w:eastAsia="es-ES"/>
        </w:rPr>
        <w:t>”</w:t>
      </w:r>
      <w:r w:rsidRPr="00E30827">
        <w:rPr>
          <w:rFonts w:eastAsia="Leelawadee,Leelawadee,Leelawade" w:cs="Leelawadee"/>
          <w:color w:val="000000" w:themeColor="text1"/>
          <w:szCs w:val="24"/>
          <w:lang w:eastAsia="es-ES"/>
        </w:rPr>
        <w:t>.</w:t>
      </w:r>
    </w:p>
    <w:p w14:paraId="68210736" w14:textId="77777777" w:rsidR="004F5B8F" w:rsidRDefault="004F5B8F" w:rsidP="00C215A0">
      <w:pPr>
        <w:jc w:val="center"/>
        <w:rPr>
          <w:rFonts w:cs="Leelawadee"/>
          <w:b/>
          <w:color w:val="000000" w:themeColor="text1"/>
          <w:szCs w:val="24"/>
        </w:rPr>
      </w:pPr>
    </w:p>
    <w:p w14:paraId="1903E5C2" w14:textId="77777777" w:rsidR="00763252" w:rsidRPr="00E30827" w:rsidRDefault="00763252" w:rsidP="00C215A0">
      <w:pPr>
        <w:jc w:val="center"/>
        <w:rPr>
          <w:rFonts w:cs="Leelawadee"/>
          <w:b/>
          <w:color w:val="000000" w:themeColor="text1"/>
          <w:szCs w:val="24"/>
        </w:rPr>
      </w:pPr>
      <w:r w:rsidRPr="00E30827">
        <w:rPr>
          <w:rFonts w:cs="Leelawadee"/>
          <w:b/>
          <w:color w:val="000000" w:themeColor="text1"/>
          <w:szCs w:val="24"/>
        </w:rPr>
        <w:t>EXPOSICIÓN DE MOTIVOS</w:t>
      </w:r>
    </w:p>
    <w:p w14:paraId="0F2878DF" w14:textId="01128712" w:rsidR="00763252" w:rsidRPr="00E30827" w:rsidRDefault="2CAA848E" w:rsidP="00B77A19">
      <w:pPr>
        <w:rPr>
          <w:rFonts w:cs="Leelawadee"/>
          <w:color w:val="000000" w:themeColor="text1"/>
          <w:szCs w:val="24"/>
        </w:rPr>
      </w:pPr>
      <w:r w:rsidRPr="00E30827">
        <w:rPr>
          <w:rFonts w:eastAsia="Leelawadee" w:cs="Leelawadee"/>
          <w:color w:val="000000" w:themeColor="text1"/>
          <w:szCs w:val="24"/>
        </w:rPr>
        <w:t xml:space="preserve">  </w:t>
      </w:r>
    </w:p>
    <w:p w14:paraId="1EB1BF1B" w14:textId="77777777" w:rsidR="00763252" w:rsidRPr="00E30827" w:rsidRDefault="00763252" w:rsidP="00B77A19">
      <w:pPr>
        <w:rPr>
          <w:rFonts w:cs="Leelawadee"/>
          <w:color w:val="000000" w:themeColor="text1"/>
          <w:szCs w:val="24"/>
        </w:rPr>
      </w:pPr>
    </w:p>
    <w:p w14:paraId="23FD3C36" w14:textId="3ABAEF17" w:rsidR="00763252" w:rsidRPr="00E30827" w:rsidRDefault="6E67461F" w:rsidP="00B77A19">
      <w:pPr>
        <w:adjustRightInd w:val="0"/>
        <w:textAlignment w:val="center"/>
        <w:rPr>
          <w:rFonts w:cs="Leelawadee"/>
          <w:b/>
          <w:color w:val="000000" w:themeColor="text1"/>
          <w:szCs w:val="24"/>
          <w:u w:val="single"/>
          <w:lang w:val="es-ES"/>
        </w:rPr>
      </w:pPr>
      <w:r w:rsidRPr="00E30827">
        <w:rPr>
          <w:rFonts w:eastAsia="Leelawadee" w:cs="Leelawadee"/>
          <w:b/>
          <w:bCs/>
          <w:color w:val="000000" w:themeColor="text1"/>
          <w:szCs w:val="24"/>
          <w:u w:val="single"/>
          <w:lang w:val="es-ES"/>
        </w:rPr>
        <w:t>1.- OBJETO DEL PROYECTO</w:t>
      </w:r>
    </w:p>
    <w:p w14:paraId="44FBAF72" w14:textId="4BE153DD" w:rsidR="00763252" w:rsidRPr="00E30827" w:rsidRDefault="00763252" w:rsidP="00B77A19">
      <w:pPr>
        <w:rPr>
          <w:rFonts w:cs="Leelawadee"/>
          <w:color w:val="000000" w:themeColor="text1"/>
          <w:szCs w:val="24"/>
        </w:rPr>
      </w:pPr>
    </w:p>
    <w:p w14:paraId="004FDAFC" w14:textId="59DDDA70" w:rsidR="004E4DC0" w:rsidRDefault="2CAA848E" w:rsidP="00B77A19">
      <w:pPr>
        <w:rPr>
          <w:rFonts w:cs="Leelawadee"/>
          <w:szCs w:val="24"/>
        </w:rPr>
      </w:pPr>
      <w:r w:rsidRPr="00E30827">
        <w:rPr>
          <w:rFonts w:eastAsia="Leelawadee" w:cs="Leelawadee"/>
          <w:szCs w:val="24"/>
        </w:rPr>
        <w:t xml:space="preserve">La Iniciativa tiene por objeto </w:t>
      </w:r>
      <w:r w:rsidR="001336F2">
        <w:rPr>
          <w:rFonts w:eastAsia="Leelawadee" w:cs="Leelawadee"/>
          <w:szCs w:val="24"/>
          <w:shd w:val="clear" w:color="auto" w:fill="FFFFFF"/>
        </w:rPr>
        <w:t xml:space="preserve">desarrollar el artículo 12 de la </w:t>
      </w:r>
      <w:r w:rsidR="001336F2" w:rsidRPr="00BA28F7">
        <w:rPr>
          <w:rFonts w:cs="Leelawadee"/>
          <w:szCs w:val="24"/>
        </w:rPr>
        <w:t>Ley 1392 de 2010, establece la obligación al Gobierno Nacional de diseñar planes y proyectos de inclusi</w:t>
      </w:r>
      <w:r w:rsidR="001336F2">
        <w:rPr>
          <w:rFonts w:cs="Leelawadee"/>
          <w:szCs w:val="24"/>
        </w:rPr>
        <w:t>ón social a los pacientes con Enfermedades Huérfanas.</w:t>
      </w:r>
      <w:r w:rsidR="001336F2">
        <w:rPr>
          <w:rFonts w:eastAsia="Leelawadee" w:cs="Leelawadee"/>
          <w:szCs w:val="24"/>
          <w:shd w:val="clear" w:color="auto" w:fill="FFFFFF"/>
        </w:rPr>
        <w:t xml:space="preserve"> </w:t>
      </w:r>
      <w:r w:rsidR="00B04D92" w:rsidRPr="00E30827">
        <w:rPr>
          <w:rFonts w:eastAsia="Leelawadee" w:cs="Leelawadee"/>
          <w:szCs w:val="24"/>
          <w:shd w:val="clear" w:color="auto" w:fill="FFFFFF"/>
        </w:rPr>
        <w:t xml:space="preserve"> </w:t>
      </w:r>
    </w:p>
    <w:p w14:paraId="205F3A64" w14:textId="77777777" w:rsidR="004E4DC0" w:rsidRDefault="004E4DC0" w:rsidP="00B77A19">
      <w:pPr>
        <w:rPr>
          <w:rFonts w:cs="Leelawadee"/>
          <w:szCs w:val="24"/>
        </w:rPr>
      </w:pPr>
    </w:p>
    <w:p w14:paraId="1E6D4515" w14:textId="77777777" w:rsidR="004E4DC0" w:rsidRPr="00BA28F7" w:rsidRDefault="004E4DC0" w:rsidP="004E4DC0">
      <w:pPr>
        <w:rPr>
          <w:rFonts w:cs="Leelawadee"/>
          <w:b/>
        </w:rPr>
      </w:pPr>
      <w:r w:rsidRPr="00BA28F7">
        <w:rPr>
          <w:rFonts w:cs="Leelawadee"/>
          <w:b/>
        </w:rPr>
        <w:t>Antecedentes Legislativos:</w:t>
      </w:r>
    </w:p>
    <w:p w14:paraId="610001C8" w14:textId="77777777" w:rsidR="004E4DC0" w:rsidRPr="00BA28F7" w:rsidRDefault="004E4DC0" w:rsidP="004E4DC0">
      <w:pPr>
        <w:rPr>
          <w:rFonts w:cs="Leelawadee"/>
          <w:b/>
        </w:rPr>
      </w:pPr>
    </w:p>
    <w:p w14:paraId="5851369D" w14:textId="77777777" w:rsidR="004E4DC0" w:rsidRPr="00BA28F7" w:rsidRDefault="004E4DC0" w:rsidP="004E4DC0">
      <w:pPr>
        <w:rPr>
          <w:rFonts w:cs="Leelawadee"/>
        </w:rPr>
      </w:pPr>
      <w:r w:rsidRPr="00BA28F7">
        <w:rPr>
          <w:rFonts w:cs="Leelawadee"/>
        </w:rPr>
        <w:t xml:space="preserve">El veintiséis (26) de agosto de 2008, el Senador Javier Cáceres Leal, del partido Cambio Radical, radicó en el Senado de la República el Proyecto de Ley 125 de 2008 Senado – 309 de 2009 Cámara </w:t>
      </w:r>
      <w:r w:rsidRPr="00BA28F7">
        <w:rPr>
          <w:rFonts w:cs="Leelawadee"/>
          <w:i/>
        </w:rPr>
        <w:t xml:space="preserve">“por el cual se crea el programa integral para la atención en salud de la enfermedad </w:t>
      </w:r>
      <w:proofErr w:type="spellStart"/>
      <w:r w:rsidRPr="00BA28F7">
        <w:rPr>
          <w:rFonts w:cs="Leelawadee"/>
          <w:i/>
        </w:rPr>
        <w:t>afrodescendiente</w:t>
      </w:r>
      <w:proofErr w:type="spellEnd"/>
      <w:r w:rsidRPr="00BA28F7">
        <w:rPr>
          <w:rFonts w:cs="Leelawadee"/>
          <w:i/>
        </w:rPr>
        <w:t xml:space="preserve">, de la anemia </w:t>
      </w:r>
      <w:proofErr w:type="spellStart"/>
      <w:r w:rsidRPr="00BA28F7">
        <w:rPr>
          <w:rFonts w:cs="Leelawadee"/>
          <w:i/>
        </w:rPr>
        <w:t>drepanocítica</w:t>
      </w:r>
      <w:proofErr w:type="spellEnd"/>
      <w:r w:rsidRPr="00BA28F7">
        <w:rPr>
          <w:rFonts w:cs="Leelawadee"/>
          <w:i/>
        </w:rPr>
        <w:t xml:space="preserve"> y se adiciona un parágrafo al artículo 165 de la ley 100 de 1993 y adiciona un parágrafo al numeral 42.16 del artículo 42 de la ley 715 de 2001”</w:t>
      </w:r>
      <w:r w:rsidRPr="00BA28F7">
        <w:rPr>
          <w:rFonts w:cs="Leelawadee"/>
        </w:rPr>
        <w:t xml:space="preserve"> (Publicado en la Gaceta No. 554 de 2008). Dicha iniciativa, surtió su trámite en el Senado con ponencias favorables para primer y segundo debate (Publicadas en las Gacetas No. 723 de 2008 y 951 de 2008, respectivamente), suscritas por los congresistas Piedad Córdoba Ruiz y Germán Aguirre Muñoz, ambos del Partido Liberal. En su tránsito por la Cámara de Representantes, los ponentes Jorge Rozo </w:t>
      </w:r>
      <w:proofErr w:type="spellStart"/>
      <w:r w:rsidRPr="00BA28F7">
        <w:rPr>
          <w:rFonts w:cs="Leelawadee"/>
        </w:rPr>
        <w:t>Rodriguez</w:t>
      </w:r>
      <w:proofErr w:type="spellEnd"/>
      <w:r w:rsidRPr="00BA28F7">
        <w:rPr>
          <w:rFonts w:cs="Leelawadee"/>
        </w:rPr>
        <w:t xml:space="preserve"> y </w:t>
      </w:r>
      <w:proofErr w:type="spellStart"/>
      <w:r w:rsidRPr="00BA28F7">
        <w:rPr>
          <w:rFonts w:cs="Leelawadee"/>
        </w:rPr>
        <w:t>Heberth</w:t>
      </w:r>
      <w:proofErr w:type="spellEnd"/>
      <w:r w:rsidRPr="00BA28F7">
        <w:rPr>
          <w:rFonts w:cs="Leelawadee"/>
        </w:rPr>
        <w:t xml:space="preserve"> </w:t>
      </w:r>
      <w:proofErr w:type="spellStart"/>
      <w:r w:rsidRPr="00BA28F7">
        <w:rPr>
          <w:rFonts w:cs="Leelawadee"/>
        </w:rPr>
        <w:t>Artunduaga</w:t>
      </w:r>
      <w:proofErr w:type="spellEnd"/>
      <w:r w:rsidRPr="00BA28F7">
        <w:rPr>
          <w:rFonts w:cs="Leelawadee"/>
        </w:rPr>
        <w:t xml:space="preserve"> Ortiz, ambos del partido Cambio Radical, radicaron ponencias positivas para la iniciativa (Publicadas en las Gacetas No. 1024 de 2009 y 137 de 2010, respectivamente). Sin embargo, la Plenaria de la Cámara, no surtió el segundo debate del mismo, llevando al archivo por el vencimiento de términos previsto en el artículo 190 de la Ley 5 de 1992.</w:t>
      </w:r>
    </w:p>
    <w:p w14:paraId="3EA90086" w14:textId="77777777" w:rsidR="004E4DC0" w:rsidRPr="00BA28F7" w:rsidRDefault="004E4DC0" w:rsidP="004E4DC0">
      <w:pPr>
        <w:rPr>
          <w:rFonts w:cs="Leelawadee"/>
        </w:rPr>
      </w:pPr>
    </w:p>
    <w:p w14:paraId="6018471E" w14:textId="7485E633" w:rsidR="004E4DC0" w:rsidRDefault="004E4DC0" w:rsidP="004E4DC0">
      <w:pPr>
        <w:rPr>
          <w:rFonts w:cs="Leelawadee"/>
          <w:szCs w:val="24"/>
        </w:rPr>
      </w:pPr>
      <w:r w:rsidRPr="00BA28F7">
        <w:rPr>
          <w:rFonts w:cs="Leelawadee"/>
          <w:szCs w:val="24"/>
        </w:rPr>
        <w:t xml:space="preserve">El propósito de dicha iniciativa pretendía la creación del programa integral para la atención de la anemia </w:t>
      </w:r>
      <w:proofErr w:type="spellStart"/>
      <w:r w:rsidRPr="00BA28F7">
        <w:rPr>
          <w:rFonts w:cs="Leelawadee"/>
          <w:szCs w:val="24"/>
        </w:rPr>
        <w:t>drepanocítica</w:t>
      </w:r>
      <w:proofErr w:type="spellEnd"/>
      <w:r w:rsidRPr="00BA28F7">
        <w:rPr>
          <w:rFonts w:cs="Leelawadee"/>
          <w:szCs w:val="24"/>
        </w:rPr>
        <w:t xml:space="preserve"> para incluir elementos de vigilancia, difusión de información, sensibilización, asesoramiento y detección de la enfermedad.</w:t>
      </w:r>
    </w:p>
    <w:p w14:paraId="51A5C8E1" w14:textId="77777777" w:rsidR="004E4DC0" w:rsidRPr="00E30827" w:rsidRDefault="004E4DC0" w:rsidP="00B77A19">
      <w:pPr>
        <w:rPr>
          <w:rFonts w:cs="Leelawadee"/>
          <w:szCs w:val="24"/>
        </w:rPr>
      </w:pPr>
    </w:p>
    <w:p w14:paraId="316246B0" w14:textId="6BDDC012" w:rsidR="00763252" w:rsidRPr="00E30827" w:rsidRDefault="00763252" w:rsidP="00B77A19">
      <w:pPr>
        <w:adjustRightInd w:val="0"/>
        <w:textAlignment w:val="center"/>
        <w:rPr>
          <w:rFonts w:cs="Leelawadee"/>
          <w:b/>
          <w:color w:val="000000" w:themeColor="text1"/>
          <w:spacing w:val="-5"/>
          <w:szCs w:val="24"/>
          <w:u w:val="single"/>
          <w:lang w:val="es-ES_tradnl"/>
        </w:rPr>
      </w:pPr>
      <w:r w:rsidRPr="00E30827">
        <w:rPr>
          <w:rFonts w:eastAsia="Leelawadee" w:cs="Leelawadee"/>
          <w:b/>
          <w:bCs/>
          <w:color w:val="000000" w:themeColor="text1"/>
          <w:spacing w:val="-5"/>
          <w:szCs w:val="24"/>
          <w:u w:val="single"/>
          <w:lang w:val="es-ES"/>
        </w:rPr>
        <w:t>2.- ESTADO ACTUAL DE</w:t>
      </w:r>
      <w:r w:rsidR="001336F2">
        <w:rPr>
          <w:rFonts w:eastAsia="Leelawadee" w:cs="Leelawadee"/>
          <w:b/>
          <w:bCs/>
          <w:color w:val="000000" w:themeColor="text1"/>
          <w:spacing w:val="-5"/>
          <w:szCs w:val="24"/>
          <w:u w:val="single"/>
          <w:lang w:val="es-ES"/>
        </w:rPr>
        <w:t xml:space="preserve"> LAS ENFERMEDADES HUÉRFANAS – CASO ANEMIA DREPANOCÍTICA.</w:t>
      </w:r>
      <w:r w:rsidRPr="00E30827">
        <w:rPr>
          <w:rFonts w:eastAsia="Leelawadee" w:cs="Leelawadee"/>
          <w:b/>
          <w:bCs/>
          <w:color w:val="000000" w:themeColor="text1"/>
          <w:spacing w:val="-5"/>
          <w:szCs w:val="24"/>
          <w:u w:val="single"/>
          <w:lang w:val="es-ES"/>
        </w:rPr>
        <w:t xml:space="preserve">  </w:t>
      </w:r>
    </w:p>
    <w:p w14:paraId="223EA5AE" w14:textId="596BAE05" w:rsidR="00763252" w:rsidRPr="00E30827" w:rsidRDefault="00763252" w:rsidP="00B77A19">
      <w:pPr>
        <w:adjustRightInd w:val="0"/>
        <w:textAlignment w:val="center"/>
        <w:rPr>
          <w:rFonts w:cs="Leelawadee"/>
          <w:b/>
          <w:color w:val="000000" w:themeColor="text1"/>
          <w:spacing w:val="-5"/>
          <w:szCs w:val="24"/>
          <w:u w:val="single"/>
          <w:lang w:val="es-ES_tradnl"/>
        </w:rPr>
      </w:pPr>
    </w:p>
    <w:p w14:paraId="4A903265" w14:textId="77777777" w:rsidR="004E4DC0" w:rsidRDefault="004E4DC0" w:rsidP="004E4DC0">
      <w:bookmarkStart w:id="1" w:name="8"/>
      <w:bookmarkEnd w:id="1"/>
      <w:r>
        <w:t>En Colombia</w:t>
      </w:r>
      <w:r w:rsidRPr="003659F9">
        <w:t xml:space="preserve"> se encuentran personas que están relacionadas di</w:t>
      </w:r>
      <w:r>
        <w:t>recta o indirectamente con este padecimiento que evidencian</w:t>
      </w:r>
      <w:r w:rsidRPr="003659F9">
        <w:t xml:space="preserve"> un gran des</w:t>
      </w:r>
      <w:r>
        <w:t>conocimiento de la misma, y un marcado abandono por parte del estado en difundirla. P</w:t>
      </w:r>
      <w:r w:rsidRPr="003659F9">
        <w:t>ermitiendo que se convierta en una de las afecciones más propagadas en</w:t>
      </w:r>
      <w:r>
        <w:t xml:space="preserve"> Colombia.</w:t>
      </w:r>
    </w:p>
    <w:p w14:paraId="18EA3093" w14:textId="77777777" w:rsidR="004E4DC0" w:rsidRDefault="004E4DC0" w:rsidP="004E4DC0"/>
    <w:p w14:paraId="6B562FBF" w14:textId="77777777" w:rsidR="004E4DC0" w:rsidRDefault="004E4DC0" w:rsidP="004E4DC0">
      <w:r w:rsidRPr="003659F9">
        <w:t xml:space="preserve">La gravedad del desconocimiento de la anemia de células falciformes o </w:t>
      </w:r>
      <w:proofErr w:type="spellStart"/>
      <w:r w:rsidRPr="003659F9">
        <w:t>drepanocítica</w:t>
      </w:r>
      <w:proofErr w:type="spellEnd"/>
      <w:r w:rsidRPr="003659F9">
        <w:t xml:space="preserve"> es alarmante, desconocer que se está frente a una afección que es </w:t>
      </w:r>
      <w:r>
        <w:t xml:space="preserve">Crónica, </w:t>
      </w:r>
      <w:r w:rsidRPr="003659F9">
        <w:t xml:space="preserve">mortal, </w:t>
      </w:r>
      <w:r>
        <w:t>que causa</w:t>
      </w:r>
      <w:r w:rsidRPr="003659F9">
        <w:t xml:space="preserve"> daños irreversibles en el organismo, deteriora </w:t>
      </w:r>
      <w:r>
        <w:t>el</w:t>
      </w:r>
      <w:r w:rsidRPr="003659F9">
        <w:t xml:space="preserve"> estado físico, mental, emocional y familiar, nos permite demostrar interé</w:t>
      </w:r>
      <w:r>
        <w:t xml:space="preserve">s en el tema para ayudar a todas las </w:t>
      </w:r>
      <w:r w:rsidRPr="003659F9">
        <w:t>personas afectadas</w:t>
      </w:r>
      <w:r>
        <w:t xml:space="preserve">, mediante concientización, educación, prevención consejería genética y campañas publicitarias. </w:t>
      </w:r>
    </w:p>
    <w:p w14:paraId="6472A301" w14:textId="77777777" w:rsidR="004E4DC0" w:rsidRDefault="004E4DC0" w:rsidP="004E4DC0"/>
    <w:p w14:paraId="1CE43781" w14:textId="77777777" w:rsidR="004E4DC0" w:rsidRPr="000E5B04" w:rsidRDefault="004E4DC0" w:rsidP="004E4DC0">
      <w:pPr>
        <w:rPr>
          <w:rFonts w:eastAsia="Arial"/>
          <w:szCs w:val="24"/>
        </w:rPr>
      </w:pPr>
      <w:r w:rsidRPr="003659F9">
        <w:lastRenderedPageBreak/>
        <w:t xml:space="preserve">Económicamente podemos apreciar que la población afectada con anemia de células falciformes o </w:t>
      </w:r>
      <w:proofErr w:type="spellStart"/>
      <w:r w:rsidRPr="003659F9">
        <w:t>drepanociticas</w:t>
      </w:r>
      <w:proofErr w:type="spellEnd"/>
      <w:r w:rsidRPr="003659F9">
        <w:t xml:space="preserve"> en su mayoría son de raza negra de donde proviene la afecc</w:t>
      </w:r>
      <w:r>
        <w:t>ión en un porcentaje muy alto; e</w:t>
      </w:r>
      <w:r w:rsidRPr="003659F9">
        <w:t>ntre el 5 y el 15 % de la población mundial es portadora de la hemoglobina S.</w:t>
      </w:r>
      <w:r>
        <w:rPr>
          <w:rStyle w:val="Refdenotaalpie"/>
        </w:rPr>
        <w:footnoteReference w:id="1"/>
      </w:r>
      <w:r>
        <w:rPr>
          <w:rFonts w:eastAsia="Arial"/>
          <w:szCs w:val="24"/>
        </w:rPr>
        <w:t xml:space="preserve"> </w:t>
      </w:r>
    </w:p>
    <w:p w14:paraId="7A32170B" w14:textId="77777777" w:rsidR="004E4DC0" w:rsidRDefault="004E4DC0" w:rsidP="004E4DC0">
      <w:pPr>
        <w:rPr>
          <w:rFonts w:eastAsia="Arial"/>
          <w:sz w:val="18"/>
          <w:szCs w:val="18"/>
        </w:rPr>
      </w:pPr>
      <w:r>
        <w:rPr>
          <w:rFonts w:eastAsia="Arial"/>
          <w:sz w:val="18"/>
          <w:szCs w:val="18"/>
        </w:rPr>
        <w:t xml:space="preserve"> </w:t>
      </w:r>
    </w:p>
    <w:p w14:paraId="6EAAF043" w14:textId="77777777" w:rsidR="004E4DC0" w:rsidRDefault="004E4DC0" w:rsidP="004E4DC0">
      <w:r w:rsidRPr="003659F9">
        <w:t xml:space="preserve">En Colombia </w:t>
      </w:r>
      <w:r>
        <w:t>se carece de</w:t>
      </w:r>
      <w:r w:rsidRPr="003659F9">
        <w:t xml:space="preserve"> estadísticas exactas sobre la frecuenci</w:t>
      </w:r>
      <w:r>
        <w:t>a de la drepanocitosis. S</w:t>
      </w:r>
      <w:r w:rsidRPr="003659F9">
        <w:t>in embargo</w:t>
      </w:r>
      <w:r>
        <w:t>,</w:t>
      </w:r>
      <w:r w:rsidRPr="003659F9">
        <w:t xml:space="preserve"> hay estudios parciales</w:t>
      </w:r>
      <w:r>
        <w:rPr>
          <w:rStyle w:val="Refdenotaalpie"/>
        </w:rPr>
        <w:footnoteReference w:id="2"/>
      </w:r>
      <w:r w:rsidRPr="003659F9">
        <w:t xml:space="preserve"> en poblaciones consideradas de riesgo, encontrando en regiones como San Andrés una incidencia de la enfermedad de 12.8% y en Prov</w:t>
      </w:r>
      <w:r>
        <w:t>idencia 20.8% en el año 1994</w:t>
      </w:r>
      <w:r w:rsidRPr="003659F9">
        <w:t>, en la zona pacífica Colombiana 3.8</w:t>
      </w:r>
      <w:r>
        <w:t>% en el año 1991</w:t>
      </w:r>
      <w:r w:rsidRPr="003659F9">
        <w:t>, y en la ciudad de Cartagena en una población de 230 pacientes se identificaron 10% de ellos con hemoglobinopatías, en los cuales la raza negra correspondía al 70 % de los detectados</w:t>
      </w:r>
      <w:r w:rsidRPr="00B40D95">
        <w:rPr>
          <w:rFonts w:eastAsia="Arial"/>
          <w:szCs w:val="24"/>
        </w:rPr>
        <w:t xml:space="preserve"> </w:t>
      </w:r>
      <w:r>
        <w:t>representando un problema de s</w:t>
      </w:r>
      <w:r w:rsidRPr="003659F9">
        <w:t>alud Pública, concentrándose en los estratos más bajos o en los cordones de miseria  de</w:t>
      </w:r>
      <w:r>
        <w:t xml:space="preserve"> las grandes ciudades</w:t>
      </w:r>
      <w:r w:rsidRPr="003659F9">
        <w:t xml:space="preserve">, de esta manera podemos evidenciar </w:t>
      </w:r>
      <w:r>
        <w:t xml:space="preserve">entre otras cosas </w:t>
      </w:r>
      <w:r w:rsidRPr="003659F9">
        <w:t>que no  poseen un habitad saludable para las personas que viven con la afección, partiendo de esto afirmar que existe gran dificultad para el desarrollo de un excelente tratamiento que cumpla con todos los estándares  necesario para mejorar la calidad de vida de estas personas.</w:t>
      </w:r>
    </w:p>
    <w:p w14:paraId="2ED03081" w14:textId="77777777" w:rsidR="004E4DC0" w:rsidRPr="003659F9" w:rsidRDefault="004E4DC0" w:rsidP="004E4DC0"/>
    <w:p w14:paraId="03E18994" w14:textId="77777777" w:rsidR="004E4DC0" w:rsidRDefault="004E4DC0" w:rsidP="004E4DC0">
      <w:r>
        <w:t xml:space="preserve">Estas personas afectadas </w:t>
      </w:r>
      <w:r w:rsidRPr="003659F9">
        <w:t>no poseen una capacitación que les permita determinar cuándo, cómo y dónde deben tratar sus complicaciones y que centros o clínicas conocen y manejan oportunamente esta afección, por esta razón nuestro interés por indagar su procedencia, su sintomatología, los diferentes estragos que causa en los organismos de las personas afectadas con la anemia, su relación social, ya que hemos observado más allá de lo aparentemente visible por el gobierno, los entes de salud  y los mismo afectados</w:t>
      </w:r>
      <w:r>
        <w:t>;</w:t>
      </w:r>
      <w:r w:rsidRPr="003659F9">
        <w:t xml:space="preserve"> neces</w:t>
      </w:r>
      <w:r>
        <w:t>itamos trabajar en la promoción</w:t>
      </w:r>
      <w:r w:rsidRPr="003659F9">
        <w:t>,</w:t>
      </w:r>
      <w:r>
        <w:t xml:space="preserve"> </w:t>
      </w:r>
      <w:r w:rsidRPr="003659F9">
        <w:t>prevención y erradicación de esta afección para ver reflejado en un futuro personas sanas, con excelente calidad de vidas que aporten a la sociedad lo mejor de ellas.</w:t>
      </w:r>
    </w:p>
    <w:p w14:paraId="7E679587" w14:textId="77777777" w:rsidR="004E4DC0" w:rsidRDefault="004E4DC0" w:rsidP="004E4DC0"/>
    <w:p w14:paraId="66E06708" w14:textId="77777777" w:rsidR="004E4DC0" w:rsidRDefault="004E4DC0" w:rsidP="004E4DC0">
      <w:r w:rsidRPr="00E257EB">
        <w:t xml:space="preserve">La anemia </w:t>
      </w:r>
      <w:proofErr w:type="spellStart"/>
      <w:r w:rsidRPr="00E257EB">
        <w:t>drepanocítica</w:t>
      </w:r>
      <w:proofErr w:type="spellEnd"/>
      <w:r>
        <w:t xml:space="preserve">, anemia </w:t>
      </w:r>
      <w:r w:rsidRPr="00E257EB">
        <w:t>de células falciformes</w:t>
      </w:r>
      <w:r>
        <w:t xml:space="preserve"> (ACF), conocida también en el argot popular como </w:t>
      </w:r>
      <w:proofErr w:type="spellStart"/>
      <w:r>
        <w:t>Sicklemia</w:t>
      </w:r>
      <w:proofErr w:type="spellEnd"/>
      <w:r>
        <w:t xml:space="preserve">,  </w:t>
      </w:r>
      <w:r w:rsidRPr="00E257EB">
        <w:t xml:space="preserve"> es una enfermedad</w:t>
      </w:r>
      <w:r>
        <w:t xml:space="preserve"> genética,</w:t>
      </w:r>
      <w:r w:rsidRPr="00E257EB">
        <w:t xml:space="preserve"> hemolítica crónica, hereditaria</w:t>
      </w:r>
      <w:r>
        <w:t>,</w:t>
      </w:r>
      <w:r w:rsidRPr="00E257EB">
        <w:t xml:space="preserve"> familiar,</w:t>
      </w:r>
      <w:r>
        <w:t xml:space="preserve"> grave, mortal, invalidante y </w:t>
      </w:r>
      <w:proofErr w:type="spellStart"/>
      <w:r>
        <w:t>discapacitante</w:t>
      </w:r>
      <w:proofErr w:type="spellEnd"/>
      <w:r>
        <w:t xml:space="preserve">, </w:t>
      </w:r>
      <w:r w:rsidRPr="00580A27">
        <w:t xml:space="preserve">considerada por la Organización Mundial de la Salud, como un problema de salud pública. Tiene una incidencia del 1% en las poblaciones </w:t>
      </w:r>
      <w:proofErr w:type="spellStart"/>
      <w:r w:rsidRPr="00580A27">
        <w:t>afrodescendientes</w:t>
      </w:r>
      <w:proofErr w:type="spellEnd"/>
      <w:r w:rsidRPr="00580A27">
        <w:t xml:space="preserve">. </w:t>
      </w:r>
    </w:p>
    <w:p w14:paraId="49DD9C03" w14:textId="77777777" w:rsidR="004E4DC0" w:rsidRDefault="004E4DC0" w:rsidP="004E4DC0"/>
    <w:p w14:paraId="55B6ED77" w14:textId="77777777" w:rsidR="004E4DC0" w:rsidRDefault="004E4DC0" w:rsidP="004E4DC0">
      <w:r w:rsidRPr="00580A27">
        <w:t xml:space="preserve">Colombia tiene aproximadamente 4 millones de habitantes provenientes de esta etnia, </w:t>
      </w:r>
      <w:r>
        <w:t>l</w:t>
      </w:r>
      <w:r w:rsidRPr="00580A27">
        <w:t xml:space="preserve">os </w:t>
      </w:r>
      <w:proofErr w:type="spellStart"/>
      <w:r w:rsidRPr="00580A27">
        <w:t>afrodescendientes</w:t>
      </w:r>
      <w:proofErr w:type="spellEnd"/>
      <w:r w:rsidRPr="00580A27">
        <w:t xml:space="preserve"> habitan en su mayoría las costas atlántica y pacífica, en el Choco y el valle del río Magdalena, áreas con población vulnerable que cuentan con malos servicios y poca cobertura de salud</w:t>
      </w:r>
      <w:r>
        <w:t xml:space="preserve"> </w:t>
      </w:r>
      <w:r w:rsidRPr="00E257EB">
        <w:t xml:space="preserve">que </w:t>
      </w:r>
      <w:r>
        <w:t xml:space="preserve">por el alto mestizaje de la población colombiana afecta a cualquier grupo poblacional y debido al </w:t>
      </w:r>
      <w:r w:rsidRPr="006B725E">
        <w:t xml:space="preserve">incremento del  fenómeno del desplazamiento en diferentes regiones originando mayor intercambio genético y por consiguiente aumento de la presencia de anemia </w:t>
      </w:r>
      <w:proofErr w:type="spellStart"/>
      <w:r w:rsidRPr="006B725E">
        <w:t>drepanocítica</w:t>
      </w:r>
      <w:proofErr w:type="spellEnd"/>
      <w:r w:rsidRPr="006B725E">
        <w:t xml:space="preserve"> en regiones que habitualmente no son de alta incidencia</w:t>
      </w:r>
      <w:r>
        <w:rPr>
          <w:rStyle w:val="Refdenotaalpie"/>
        </w:rPr>
        <w:footnoteReference w:id="3"/>
      </w:r>
      <w:r>
        <w:t>.</w:t>
      </w:r>
    </w:p>
    <w:p w14:paraId="65C0C7EB" w14:textId="77777777" w:rsidR="004E4DC0" w:rsidRDefault="004E4DC0" w:rsidP="004E4DC0"/>
    <w:p w14:paraId="2FC26C79" w14:textId="77777777" w:rsidR="004E4DC0" w:rsidRDefault="004E4DC0" w:rsidP="004E4DC0">
      <w:r w:rsidRPr="00580A27">
        <w:t xml:space="preserve">Ante la falta de reconocimiento oficial de esta patología hay una ausencia de estudios estadísticos y epidemiológicos sobre este gran problema social. </w:t>
      </w:r>
      <w:r>
        <w:t xml:space="preserve">El miedo a el estigma, rechazo y discriminación hace que los familiares en muchos casos oculten al enfermo, dificultando y ahondando la invisibilidad; Sin embargo, </w:t>
      </w:r>
      <w:r w:rsidRPr="005A7A50">
        <w:t xml:space="preserve">Mediante Resolución 2048 de 2015 </w:t>
      </w:r>
      <w:r w:rsidRPr="00D121BA">
        <w:rPr>
          <w:i/>
          <w:iCs/>
        </w:rPr>
        <w:t xml:space="preserve">“Por la cual se actualiza el listado de </w:t>
      </w:r>
      <w:r w:rsidRPr="00D121BA">
        <w:rPr>
          <w:i/>
          <w:iCs/>
        </w:rPr>
        <w:lastRenderedPageBreak/>
        <w:t>enfermedades huérfanas y se define el número con el cual se identifica cada una de ellas en el sistema de información de pacientes con enfermedades huérfanas”</w:t>
      </w:r>
      <w:r w:rsidRPr="00D121BA">
        <w:t>,</w:t>
      </w:r>
      <w:r w:rsidRPr="005A7A50">
        <w:t xml:space="preserve"> fue incluida con el </w:t>
      </w:r>
      <w:proofErr w:type="spellStart"/>
      <w:r w:rsidRPr="005A7A50">
        <w:t>numero</w:t>
      </w:r>
      <w:proofErr w:type="spellEnd"/>
      <w:r w:rsidRPr="005A7A50">
        <w:t xml:space="preserve"> 751</w:t>
      </w:r>
      <w:r>
        <w:t>.</w:t>
      </w:r>
    </w:p>
    <w:p w14:paraId="50C8193A" w14:textId="77777777" w:rsidR="004E4DC0" w:rsidRDefault="004E4DC0" w:rsidP="004E4DC0"/>
    <w:p w14:paraId="277C938C" w14:textId="77777777" w:rsidR="004E4DC0" w:rsidRPr="00F86E85" w:rsidRDefault="004E4DC0" w:rsidP="004E4DC0">
      <w:r w:rsidRPr="00F86E85">
        <w:t xml:space="preserve">Colombia incluye la Drepanocitosis en el listado del enfermedades huérfanas bajo el amparo de la ley 1392 de 2010, de enfermedades huérfanas en la que se determina que este tipo de patologías  representan un problema de especial interés en salud, que requieren dentro del Sistema General de Seguridad Social y Salud un mecanismo de aseguramiento diferente al utilizado para las enfermedades generales, dentro de las que se incluyen las de alto costo; y unos procesos de atención altamente especializados. En el Artículo 6 de esta Ley se obliga al el Gobierno Nacional, a través del Ministerio de la Protección Social y los Entes Territoriales, en conjunto con las diferentes asociaciones de pacientes y científicas, entre otros grupos interesados, establecerá una serie de acciones tendientes a la divulgación de las enfermedades huérfanas, con el objetivo de crear sensibilidad y conciencia social en razón de dichas enfermedades. </w:t>
      </w:r>
    </w:p>
    <w:p w14:paraId="713534A7" w14:textId="77777777" w:rsidR="004E4DC0" w:rsidRPr="00F86E85" w:rsidRDefault="004E4DC0" w:rsidP="004E4DC0">
      <w:pPr>
        <w:autoSpaceDE w:val="0"/>
        <w:autoSpaceDN w:val="0"/>
        <w:adjustRightInd w:val="0"/>
        <w:rPr>
          <w:rFonts w:ascii="Arial" w:hAnsi="Arial" w:cs="Arial"/>
          <w:sz w:val="20"/>
          <w:szCs w:val="20"/>
        </w:rPr>
      </w:pPr>
    </w:p>
    <w:p w14:paraId="2131DFDC" w14:textId="77777777" w:rsidR="004E4DC0" w:rsidRDefault="004E4DC0" w:rsidP="004E4DC0">
      <w:r w:rsidRPr="00F86E85">
        <w:t xml:space="preserve">Consecuentemente con lo anteriormente anotado, consideramos que se hace urgente y necesario  la </w:t>
      </w:r>
      <w:proofErr w:type="spellStart"/>
      <w:r w:rsidRPr="00F86E85">
        <w:t>visibilizacion</w:t>
      </w:r>
      <w:proofErr w:type="spellEnd"/>
      <w:r w:rsidRPr="00F86E85">
        <w:t xml:space="preserve"> de la Anemia de Célula Falciforme, como la enfermedad genética más grande en el mundo,  presente en la población colombiana y en especial las comunidades afro, su prevención y atención hace parte de las deudas históricas que tiene el Estado colombiano con los millones de afro descendientes </w:t>
      </w:r>
      <w:r>
        <w:t>que han escrito la historia de la nación, con la tinta de la discriminación y el olvido.</w:t>
      </w:r>
    </w:p>
    <w:p w14:paraId="1165B1B3" w14:textId="77777777" w:rsidR="004E4DC0" w:rsidRPr="003826B1" w:rsidRDefault="004E4DC0" w:rsidP="004E4DC0"/>
    <w:p w14:paraId="055ECB0A" w14:textId="77777777" w:rsidR="004E4DC0" w:rsidRDefault="004E4DC0" w:rsidP="004E4DC0">
      <w:r>
        <w:t>A continuación, la Anemia de Célula Falciforme en cifras para Colombia:</w:t>
      </w:r>
    </w:p>
    <w:p w14:paraId="01D29A84" w14:textId="77777777" w:rsidR="001336F2" w:rsidRPr="003826B1" w:rsidRDefault="001336F2" w:rsidP="004E4DC0"/>
    <w:p w14:paraId="209FFC27" w14:textId="77777777" w:rsidR="004E4DC0" w:rsidRPr="001336F2" w:rsidRDefault="004E4DC0" w:rsidP="004E4DC0">
      <w:pPr>
        <w:pStyle w:val="Epgrafe"/>
        <w:keepNext/>
        <w:jc w:val="center"/>
        <w:rPr>
          <w:color w:val="auto"/>
          <w:sz w:val="24"/>
          <w:szCs w:val="24"/>
        </w:rPr>
      </w:pPr>
      <w:r w:rsidRPr="001336F2">
        <w:rPr>
          <w:color w:val="auto"/>
          <w:sz w:val="24"/>
          <w:szCs w:val="24"/>
        </w:rPr>
        <w:t xml:space="preserve">Ilustración </w:t>
      </w:r>
      <w:r w:rsidRPr="001336F2">
        <w:rPr>
          <w:color w:val="auto"/>
          <w:sz w:val="24"/>
          <w:szCs w:val="24"/>
        </w:rPr>
        <w:fldChar w:fldCharType="begin"/>
      </w:r>
      <w:r w:rsidRPr="001336F2">
        <w:rPr>
          <w:color w:val="auto"/>
          <w:sz w:val="24"/>
          <w:szCs w:val="24"/>
        </w:rPr>
        <w:instrText xml:space="preserve"> SEQ Ilustración \* ARABIC </w:instrText>
      </w:r>
      <w:r w:rsidRPr="001336F2">
        <w:rPr>
          <w:color w:val="auto"/>
          <w:sz w:val="24"/>
          <w:szCs w:val="24"/>
        </w:rPr>
        <w:fldChar w:fldCharType="separate"/>
      </w:r>
      <w:r w:rsidR="00E26BA7">
        <w:rPr>
          <w:noProof/>
          <w:color w:val="auto"/>
          <w:sz w:val="24"/>
          <w:szCs w:val="24"/>
        </w:rPr>
        <w:t>1</w:t>
      </w:r>
      <w:r w:rsidRPr="001336F2">
        <w:rPr>
          <w:color w:val="auto"/>
          <w:sz w:val="24"/>
          <w:szCs w:val="24"/>
        </w:rPr>
        <w:fldChar w:fldCharType="end"/>
      </w:r>
      <w:r w:rsidRPr="001336F2">
        <w:rPr>
          <w:color w:val="auto"/>
          <w:sz w:val="24"/>
          <w:szCs w:val="24"/>
        </w:rPr>
        <w:t>. Número de Atenciones vs. Número de Pacientes diagnosticados con algún tipo de anemia falciforme. Reporte SISPRO. 2016</w:t>
      </w:r>
    </w:p>
    <w:p w14:paraId="34991C84" w14:textId="77777777" w:rsidR="004E4DC0" w:rsidRDefault="004E4DC0" w:rsidP="004E4DC0">
      <w:r>
        <w:rPr>
          <w:noProof/>
          <w:lang w:val="es-ES" w:eastAsia="es-ES"/>
        </w:rPr>
        <w:drawing>
          <wp:inline distT="0" distB="0" distL="0" distR="0" wp14:anchorId="12D52674" wp14:editId="4231BA02">
            <wp:extent cx="5610225" cy="264795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0E7BE34" w14:textId="77777777" w:rsidR="004E4DC0" w:rsidRPr="008F5862" w:rsidRDefault="004E4DC0" w:rsidP="004E4DC0">
      <w:pPr>
        <w:rPr>
          <w:sz w:val="18"/>
          <w:szCs w:val="18"/>
        </w:rPr>
      </w:pPr>
      <w:r w:rsidRPr="008F5862">
        <w:rPr>
          <w:b/>
          <w:sz w:val="18"/>
          <w:szCs w:val="18"/>
        </w:rPr>
        <w:t>Fuente:</w:t>
      </w:r>
      <w:r w:rsidRPr="008F5862">
        <w:rPr>
          <w:sz w:val="18"/>
          <w:szCs w:val="18"/>
        </w:rPr>
        <w:t xml:space="preserve"> elaboración Propia. </w:t>
      </w:r>
      <w:r w:rsidRPr="008F5862">
        <w:rPr>
          <w:b/>
          <w:sz w:val="18"/>
          <w:szCs w:val="18"/>
        </w:rPr>
        <w:t>Datos:</w:t>
      </w:r>
      <w:r w:rsidRPr="008F5862">
        <w:rPr>
          <w:sz w:val="18"/>
          <w:szCs w:val="18"/>
        </w:rPr>
        <w:t xml:space="preserve"> SISPRO, 2017</w:t>
      </w:r>
    </w:p>
    <w:p w14:paraId="0578D152" w14:textId="77777777" w:rsidR="004E4DC0" w:rsidRDefault="004E4DC0" w:rsidP="004E4DC0"/>
    <w:p w14:paraId="0702F728" w14:textId="77777777" w:rsidR="004E4DC0" w:rsidRDefault="004E4DC0" w:rsidP="004E4DC0">
      <w:r>
        <w:t xml:space="preserve">En Colombia se atienden mil veinticinco (1025) personas en tratamiento por Anemias Falciformes o </w:t>
      </w:r>
      <w:proofErr w:type="spellStart"/>
      <w:r>
        <w:t>Drepanociticas</w:t>
      </w:r>
      <w:proofErr w:type="spellEnd"/>
      <w:r>
        <w:t xml:space="preserve"> con un  promedio de 6.3 atenciones al año por paciente. </w:t>
      </w:r>
    </w:p>
    <w:p w14:paraId="17D06E22" w14:textId="77777777" w:rsidR="004E4DC0" w:rsidRDefault="004E4DC0" w:rsidP="004E4DC0"/>
    <w:p w14:paraId="557D8048" w14:textId="77777777" w:rsidR="007B0CA3" w:rsidRDefault="007B0CA3" w:rsidP="004E4DC0"/>
    <w:p w14:paraId="321DD576" w14:textId="77777777" w:rsidR="004E4DC0" w:rsidRPr="001336F2" w:rsidRDefault="004E4DC0" w:rsidP="004E4DC0">
      <w:pPr>
        <w:pStyle w:val="Epgrafe"/>
        <w:keepNext/>
        <w:jc w:val="center"/>
        <w:rPr>
          <w:color w:val="auto"/>
          <w:sz w:val="24"/>
          <w:szCs w:val="24"/>
        </w:rPr>
      </w:pPr>
      <w:r w:rsidRPr="001336F2">
        <w:rPr>
          <w:color w:val="auto"/>
          <w:sz w:val="24"/>
          <w:szCs w:val="24"/>
        </w:rPr>
        <w:lastRenderedPageBreak/>
        <w:t xml:space="preserve">Tabla </w:t>
      </w:r>
      <w:r w:rsidRPr="001336F2">
        <w:rPr>
          <w:color w:val="auto"/>
          <w:sz w:val="24"/>
          <w:szCs w:val="24"/>
        </w:rPr>
        <w:fldChar w:fldCharType="begin"/>
      </w:r>
      <w:r w:rsidRPr="001336F2">
        <w:rPr>
          <w:color w:val="auto"/>
          <w:sz w:val="24"/>
          <w:szCs w:val="24"/>
        </w:rPr>
        <w:instrText xml:space="preserve"> SEQ Tabla \* ARABIC </w:instrText>
      </w:r>
      <w:r w:rsidRPr="001336F2">
        <w:rPr>
          <w:color w:val="auto"/>
          <w:sz w:val="24"/>
          <w:szCs w:val="24"/>
        </w:rPr>
        <w:fldChar w:fldCharType="separate"/>
      </w:r>
      <w:r w:rsidR="00E26BA7">
        <w:rPr>
          <w:noProof/>
          <w:color w:val="auto"/>
          <w:sz w:val="24"/>
          <w:szCs w:val="24"/>
        </w:rPr>
        <w:t>1</w:t>
      </w:r>
      <w:r w:rsidRPr="001336F2">
        <w:rPr>
          <w:color w:val="auto"/>
          <w:sz w:val="24"/>
          <w:szCs w:val="24"/>
        </w:rPr>
        <w:fldChar w:fldCharType="end"/>
      </w:r>
      <w:r w:rsidRPr="001336F2">
        <w:rPr>
          <w:color w:val="auto"/>
          <w:sz w:val="24"/>
          <w:szCs w:val="24"/>
        </w:rPr>
        <w:t>. Tasa de afectación de las Anemias Falciformes en la población de  Colombia. 2013</w:t>
      </w:r>
    </w:p>
    <w:tbl>
      <w:tblPr>
        <w:tblStyle w:val="Tablaconcuadrcula"/>
        <w:tblW w:w="8897" w:type="dxa"/>
        <w:tblLayout w:type="fixed"/>
        <w:tblLook w:val="04A0" w:firstRow="1" w:lastRow="0" w:firstColumn="1" w:lastColumn="0" w:noHBand="0" w:noVBand="1"/>
      </w:tblPr>
      <w:tblGrid>
        <w:gridCol w:w="4644"/>
        <w:gridCol w:w="1560"/>
        <w:gridCol w:w="1134"/>
        <w:gridCol w:w="1559"/>
      </w:tblGrid>
      <w:tr w:rsidR="004E4DC0" w14:paraId="48008FC2" w14:textId="77777777" w:rsidTr="00B90BC4">
        <w:tc>
          <w:tcPr>
            <w:tcW w:w="4644" w:type="dxa"/>
            <w:shd w:val="clear" w:color="auto" w:fill="F2F2F2" w:themeFill="background1" w:themeFillShade="F2"/>
            <w:vAlign w:val="center"/>
          </w:tcPr>
          <w:p w14:paraId="3D92D1CE" w14:textId="77777777" w:rsidR="004E4DC0" w:rsidRPr="00C63DA8" w:rsidRDefault="004E4DC0" w:rsidP="00B90BC4">
            <w:pPr>
              <w:jc w:val="center"/>
              <w:rPr>
                <w:rFonts w:eastAsia="Times New Roman" w:cs="Leelawadee"/>
                <w:b/>
                <w:bCs/>
                <w:color w:val="000000"/>
                <w:sz w:val="20"/>
                <w:szCs w:val="20"/>
                <w:lang w:eastAsia="es-CO"/>
              </w:rPr>
            </w:pPr>
            <w:r w:rsidRPr="00C63DA8">
              <w:rPr>
                <w:rFonts w:eastAsia="Times New Roman" w:cs="Leelawadee"/>
                <w:b/>
                <w:bCs/>
                <w:color w:val="000000"/>
                <w:sz w:val="20"/>
                <w:szCs w:val="20"/>
                <w:lang w:eastAsia="es-CO"/>
              </w:rPr>
              <w:t> CARACTERISTICA POBLACIONAL</w:t>
            </w:r>
          </w:p>
        </w:tc>
        <w:tc>
          <w:tcPr>
            <w:tcW w:w="1560" w:type="dxa"/>
            <w:shd w:val="clear" w:color="auto" w:fill="F2F2F2" w:themeFill="background1" w:themeFillShade="F2"/>
            <w:vAlign w:val="center"/>
          </w:tcPr>
          <w:p w14:paraId="44879FAE" w14:textId="77777777" w:rsidR="004E4DC0" w:rsidRPr="00C63DA8" w:rsidRDefault="004E4DC0" w:rsidP="00B90BC4">
            <w:pPr>
              <w:jc w:val="center"/>
              <w:rPr>
                <w:rFonts w:eastAsia="Times New Roman" w:cs="Leelawadee"/>
                <w:b/>
                <w:bCs/>
                <w:color w:val="000000"/>
                <w:sz w:val="20"/>
                <w:szCs w:val="20"/>
                <w:lang w:eastAsia="es-CO"/>
              </w:rPr>
            </w:pPr>
            <w:r w:rsidRPr="00C63DA8">
              <w:rPr>
                <w:rFonts w:eastAsia="Times New Roman" w:cs="Leelawadee"/>
                <w:b/>
                <w:bCs/>
                <w:color w:val="000000"/>
                <w:sz w:val="20"/>
                <w:szCs w:val="20"/>
                <w:lang w:eastAsia="es-CO"/>
              </w:rPr>
              <w:t>Número de Personas</w:t>
            </w:r>
          </w:p>
        </w:tc>
        <w:tc>
          <w:tcPr>
            <w:tcW w:w="1134" w:type="dxa"/>
            <w:shd w:val="clear" w:color="auto" w:fill="F2F2F2" w:themeFill="background1" w:themeFillShade="F2"/>
            <w:vAlign w:val="center"/>
          </w:tcPr>
          <w:p w14:paraId="2205B9DE" w14:textId="77777777" w:rsidR="004E4DC0" w:rsidRPr="00C63DA8" w:rsidRDefault="004E4DC0" w:rsidP="00B90BC4">
            <w:pPr>
              <w:jc w:val="center"/>
              <w:rPr>
                <w:rFonts w:eastAsia="Times New Roman" w:cs="Leelawadee"/>
                <w:b/>
                <w:bCs/>
                <w:color w:val="000000"/>
                <w:sz w:val="20"/>
                <w:szCs w:val="20"/>
                <w:lang w:eastAsia="es-CO"/>
              </w:rPr>
            </w:pPr>
            <w:r w:rsidRPr="00C63DA8">
              <w:rPr>
                <w:rFonts w:eastAsia="Times New Roman" w:cs="Leelawadee"/>
                <w:b/>
                <w:bCs/>
                <w:color w:val="000000"/>
                <w:sz w:val="20"/>
                <w:szCs w:val="20"/>
                <w:lang w:eastAsia="es-CO"/>
              </w:rPr>
              <w:t>Personas Menores de Edad</w:t>
            </w:r>
          </w:p>
        </w:tc>
        <w:tc>
          <w:tcPr>
            <w:tcW w:w="1559" w:type="dxa"/>
            <w:shd w:val="clear" w:color="auto" w:fill="F2F2F2" w:themeFill="background1" w:themeFillShade="F2"/>
            <w:vAlign w:val="center"/>
          </w:tcPr>
          <w:p w14:paraId="50B84374" w14:textId="77777777" w:rsidR="004E4DC0" w:rsidRPr="00C63DA8" w:rsidRDefault="004E4DC0" w:rsidP="00B90BC4">
            <w:pPr>
              <w:jc w:val="center"/>
              <w:rPr>
                <w:rFonts w:eastAsia="Times New Roman" w:cs="Leelawadee"/>
                <w:b/>
                <w:bCs/>
                <w:color w:val="000000"/>
                <w:sz w:val="20"/>
                <w:szCs w:val="20"/>
                <w:lang w:eastAsia="es-CO"/>
              </w:rPr>
            </w:pPr>
            <w:r w:rsidRPr="00C63DA8">
              <w:rPr>
                <w:rFonts w:eastAsia="Times New Roman" w:cs="Leelawadee"/>
                <w:b/>
                <w:bCs/>
                <w:color w:val="000000"/>
                <w:sz w:val="20"/>
                <w:szCs w:val="20"/>
                <w:lang w:eastAsia="es-CO"/>
              </w:rPr>
              <w:t>P</w:t>
            </w:r>
            <w:r>
              <w:rPr>
                <w:rFonts w:eastAsia="Times New Roman" w:cs="Leelawadee"/>
                <w:b/>
                <w:bCs/>
                <w:color w:val="000000"/>
                <w:sz w:val="20"/>
                <w:szCs w:val="20"/>
                <w:lang w:eastAsia="es-CO"/>
              </w:rPr>
              <w:t>orcentaje de Menores de Edad con Enfermedades Hué</w:t>
            </w:r>
            <w:r w:rsidRPr="00C63DA8">
              <w:rPr>
                <w:rFonts w:eastAsia="Times New Roman" w:cs="Leelawadee"/>
                <w:b/>
                <w:bCs/>
                <w:color w:val="000000"/>
                <w:sz w:val="20"/>
                <w:szCs w:val="20"/>
                <w:lang w:eastAsia="es-CO"/>
              </w:rPr>
              <w:t>rfana</w:t>
            </w:r>
          </w:p>
        </w:tc>
      </w:tr>
      <w:tr w:rsidR="004E4DC0" w14:paraId="6A411E66" w14:textId="77777777" w:rsidTr="00B90BC4">
        <w:tc>
          <w:tcPr>
            <w:tcW w:w="4644" w:type="dxa"/>
            <w:vAlign w:val="center"/>
          </w:tcPr>
          <w:p w14:paraId="5897DE6A" w14:textId="77777777" w:rsidR="004E4DC0" w:rsidRPr="00C63DA8" w:rsidRDefault="004E4DC0" w:rsidP="00B90BC4">
            <w:pPr>
              <w:rPr>
                <w:rFonts w:eastAsia="Times New Roman" w:cs="Leelawadee"/>
                <w:color w:val="000000"/>
                <w:sz w:val="20"/>
                <w:szCs w:val="20"/>
                <w:lang w:eastAsia="es-CO"/>
              </w:rPr>
            </w:pPr>
            <w:r w:rsidRPr="00C63DA8">
              <w:rPr>
                <w:rFonts w:eastAsia="Times New Roman" w:cs="Leelawadee"/>
                <w:color w:val="000000"/>
                <w:sz w:val="20"/>
                <w:szCs w:val="20"/>
                <w:lang w:eastAsia="es-CO"/>
              </w:rPr>
              <w:t>Enfermedades huérfanas</w:t>
            </w:r>
          </w:p>
        </w:tc>
        <w:tc>
          <w:tcPr>
            <w:tcW w:w="1560" w:type="dxa"/>
            <w:vAlign w:val="center"/>
          </w:tcPr>
          <w:p w14:paraId="553C79A6" w14:textId="77777777" w:rsidR="004E4DC0" w:rsidRPr="00C63DA8" w:rsidRDefault="004E4DC0" w:rsidP="00B90BC4">
            <w:pPr>
              <w:jc w:val="center"/>
              <w:rPr>
                <w:rFonts w:eastAsia="Times New Roman" w:cs="Leelawadee"/>
                <w:color w:val="000000"/>
                <w:sz w:val="20"/>
                <w:szCs w:val="20"/>
                <w:lang w:eastAsia="es-CO"/>
              </w:rPr>
            </w:pPr>
            <w:r w:rsidRPr="00C63DA8">
              <w:rPr>
                <w:rFonts w:eastAsia="Times New Roman" w:cs="Leelawadee"/>
                <w:color w:val="000000"/>
                <w:sz w:val="20"/>
                <w:szCs w:val="20"/>
                <w:lang w:eastAsia="es-CO"/>
              </w:rPr>
              <w:t>5687</w:t>
            </w:r>
          </w:p>
        </w:tc>
        <w:tc>
          <w:tcPr>
            <w:tcW w:w="1134" w:type="dxa"/>
            <w:vAlign w:val="center"/>
          </w:tcPr>
          <w:p w14:paraId="0C13B9C9" w14:textId="77777777" w:rsidR="004E4DC0" w:rsidRPr="00C63DA8" w:rsidRDefault="004E4DC0" w:rsidP="00B90BC4">
            <w:pPr>
              <w:jc w:val="center"/>
              <w:rPr>
                <w:rFonts w:eastAsia="Times New Roman" w:cs="Leelawadee"/>
                <w:color w:val="000000"/>
                <w:sz w:val="20"/>
                <w:szCs w:val="20"/>
                <w:lang w:eastAsia="es-CO"/>
              </w:rPr>
            </w:pPr>
            <w:r w:rsidRPr="00C63DA8">
              <w:rPr>
                <w:rFonts w:eastAsia="Times New Roman" w:cs="Leelawadee"/>
                <w:color w:val="000000"/>
                <w:sz w:val="20"/>
                <w:szCs w:val="20"/>
                <w:lang w:eastAsia="es-CO"/>
              </w:rPr>
              <w:t>2562</w:t>
            </w:r>
          </w:p>
        </w:tc>
        <w:tc>
          <w:tcPr>
            <w:tcW w:w="1559" w:type="dxa"/>
            <w:vAlign w:val="center"/>
          </w:tcPr>
          <w:p w14:paraId="6BCB1DBF" w14:textId="77777777" w:rsidR="004E4DC0" w:rsidRPr="00C63DA8" w:rsidRDefault="004E4DC0" w:rsidP="00B90BC4">
            <w:pPr>
              <w:jc w:val="center"/>
              <w:rPr>
                <w:rFonts w:eastAsia="Times New Roman" w:cs="Leelawadee"/>
                <w:color w:val="000000"/>
                <w:sz w:val="20"/>
                <w:szCs w:val="20"/>
                <w:lang w:eastAsia="es-CO"/>
              </w:rPr>
            </w:pPr>
            <w:r w:rsidRPr="00C63DA8">
              <w:rPr>
                <w:rFonts w:eastAsia="Times New Roman" w:cs="Leelawadee"/>
                <w:color w:val="000000"/>
                <w:sz w:val="20"/>
                <w:szCs w:val="20"/>
                <w:lang w:eastAsia="es-CO"/>
              </w:rPr>
              <w:t>45,05%</w:t>
            </w:r>
          </w:p>
        </w:tc>
      </w:tr>
      <w:tr w:rsidR="004E4DC0" w14:paraId="136CB8E5" w14:textId="77777777" w:rsidTr="00B90BC4">
        <w:tc>
          <w:tcPr>
            <w:tcW w:w="4644" w:type="dxa"/>
            <w:vAlign w:val="center"/>
          </w:tcPr>
          <w:p w14:paraId="5F380C30" w14:textId="77777777" w:rsidR="004E4DC0" w:rsidRPr="00C63DA8" w:rsidRDefault="004E4DC0" w:rsidP="00B90BC4">
            <w:pPr>
              <w:rPr>
                <w:rFonts w:eastAsia="Times New Roman" w:cs="Leelawadee"/>
                <w:color w:val="000000"/>
                <w:sz w:val="20"/>
                <w:szCs w:val="20"/>
                <w:lang w:eastAsia="es-CO"/>
              </w:rPr>
            </w:pPr>
            <w:r w:rsidRPr="00C63DA8">
              <w:rPr>
                <w:rFonts w:eastAsia="Times New Roman" w:cs="Leelawadee"/>
                <w:color w:val="000000"/>
                <w:sz w:val="20"/>
                <w:szCs w:val="20"/>
                <w:lang w:eastAsia="es-CO"/>
              </w:rPr>
              <w:t>En condición de discapacidad por enfermedades huérfana</w:t>
            </w:r>
          </w:p>
        </w:tc>
        <w:tc>
          <w:tcPr>
            <w:tcW w:w="1560" w:type="dxa"/>
            <w:vAlign w:val="center"/>
          </w:tcPr>
          <w:p w14:paraId="0438852D" w14:textId="77777777" w:rsidR="004E4DC0" w:rsidRPr="00C63DA8" w:rsidRDefault="004E4DC0" w:rsidP="00B90BC4">
            <w:pPr>
              <w:jc w:val="center"/>
              <w:rPr>
                <w:rFonts w:eastAsia="Times New Roman" w:cs="Leelawadee"/>
                <w:color w:val="000000"/>
                <w:sz w:val="20"/>
                <w:szCs w:val="20"/>
                <w:lang w:eastAsia="es-CO"/>
              </w:rPr>
            </w:pPr>
            <w:r w:rsidRPr="00C63DA8">
              <w:rPr>
                <w:rFonts w:eastAsia="Times New Roman" w:cs="Leelawadee"/>
                <w:color w:val="000000"/>
                <w:sz w:val="20"/>
                <w:szCs w:val="20"/>
                <w:lang w:eastAsia="es-CO"/>
              </w:rPr>
              <w:t>598</w:t>
            </w:r>
          </w:p>
        </w:tc>
        <w:tc>
          <w:tcPr>
            <w:tcW w:w="1134" w:type="dxa"/>
            <w:vAlign w:val="center"/>
          </w:tcPr>
          <w:p w14:paraId="0759CCDE" w14:textId="77777777" w:rsidR="004E4DC0" w:rsidRPr="00C63DA8" w:rsidRDefault="004E4DC0" w:rsidP="00B90BC4">
            <w:pPr>
              <w:jc w:val="center"/>
              <w:rPr>
                <w:rFonts w:eastAsia="Times New Roman" w:cs="Leelawadee"/>
                <w:color w:val="000000"/>
                <w:sz w:val="20"/>
                <w:szCs w:val="20"/>
                <w:lang w:eastAsia="es-CO"/>
              </w:rPr>
            </w:pPr>
            <w:r w:rsidRPr="00C63DA8">
              <w:rPr>
                <w:rFonts w:eastAsia="Times New Roman" w:cs="Leelawadee"/>
                <w:color w:val="000000"/>
                <w:sz w:val="20"/>
                <w:szCs w:val="20"/>
                <w:lang w:eastAsia="es-CO"/>
              </w:rPr>
              <w:t>261</w:t>
            </w:r>
          </w:p>
        </w:tc>
        <w:tc>
          <w:tcPr>
            <w:tcW w:w="1559" w:type="dxa"/>
            <w:vAlign w:val="center"/>
          </w:tcPr>
          <w:p w14:paraId="1B1518FF" w14:textId="77777777" w:rsidR="004E4DC0" w:rsidRPr="00C63DA8" w:rsidRDefault="004E4DC0" w:rsidP="00B90BC4">
            <w:pPr>
              <w:jc w:val="center"/>
              <w:rPr>
                <w:rFonts w:eastAsia="Times New Roman" w:cs="Leelawadee"/>
                <w:color w:val="000000"/>
                <w:sz w:val="20"/>
                <w:szCs w:val="20"/>
                <w:lang w:eastAsia="es-CO"/>
              </w:rPr>
            </w:pPr>
            <w:r w:rsidRPr="00C63DA8">
              <w:rPr>
                <w:rFonts w:eastAsia="Times New Roman" w:cs="Leelawadee"/>
                <w:color w:val="000000"/>
                <w:sz w:val="20"/>
                <w:szCs w:val="20"/>
                <w:lang w:eastAsia="es-CO"/>
              </w:rPr>
              <w:t>43,61%</w:t>
            </w:r>
          </w:p>
        </w:tc>
      </w:tr>
      <w:tr w:rsidR="004E4DC0" w14:paraId="1A5E138D" w14:textId="77777777" w:rsidTr="00B90BC4">
        <w:tc>
          <w:tcPr>
            <w:tcW w:w="4644" w:type="dxa"/>
            <w:vAlign w:val="center"/>
          </w:tcPr>
          <w:p w14:paraId="4CFDDCE4" w14:textId="77777777" w:rsidR="004E4DC0" w:rsidRPr="00C63DA8" w:rsidRDefault="004E4DC0" w:rsidP="00B90BC4">
            <w:pPr>
              <w:rPr>
                <w:rFonts w:eastAsia="Times New Roman" w:cs="Leelawadee"/>
                <w:color w:val="000000"/>
                <w:sz w:val="20"/>
                <w:szCs w:val="20"/>
                <w:lang w:eastAsia="es-CO"/>
              </w:rPr>
            </w:pPr>
            <w:r w:rsidRPr="00C63DA8">
              <w:rPr>
                <w:rFonts w:cs="Leelawadee"/>
                <w:color w:val="000000"/>
                <w:sz w:val="20"/>
                <w:szCs w:val="20"/>
              </w:rPr>
              <w:t xml:space="preserve">Población en tratamiento por anemias falciformes o </w:t>
            </w:r>
            <w:proofErr w:type="spellStart"/>
            <w:r w:rsidRPr="00C63DA8">
              <w:rPr>
                <w:rFonts w:cs="Leelawadee"/>
                <w:color w:val="000000"/>
                <w:sz w:val="20"/>
                <w:szCs w:val="20"/>
              </w:rPr>
              <w:t>drepanocíticas</w:t>
            </w:r>
            <w:proofErr w:type="spellEnd"/>
          </w:p>
        </w:tc>
        <w:tc>
          <w:tcPr>
            <w:tcW w:w="1560" w:type="dxa"/>
            <w:vAlign w:val="center"/>
          </w:tcPr>
          <w:p w14:paraId="420FFD68" w14:textId="77777777" w:rsidR="004E4DC0" w:rsidRPr="00C63DA8" w:rsidRDefault="004E4DC0" w:rsidP="00B90BC4">
            <w:pPr>
              <w:jc w:val="center"/>
              <w:rPr>
                <w:rFonts w:eastAsia="Times New Roman" w:cs="Leelawadee"/>
                <w:color w:val="000000"/>
                <w:sz w:val="20"/>
                <w:szCs w:val="20"/>
                <w:lang w:eastAsia="es-CO"/>
              </w:rPr>
            </w:pPr>
            <w:r w:rsidRPr="00C63DA8">
              <w:rPr>
                <w:rFonts w:eastAsia="Times New Roman" w:cs="Leelawadee"/>
                <w:color w:val="000000"/>
                <w:sz w:val="20"/>
                <w:szCs w:val="20"/>
                <w:lang w:eastAsia="es-CO"/>
              </w:rPr>
              <w:t>1.025</w:t>
            </w:r>
          </w:p>
        </w:tc>
        <w:tc>
          <w:tcPr>
            <w:tcW w:w="2693" w:type="dxa"/>
            <w:gridSpan w:val="2"/>
            <w:vMerge w:val="restart"/>
            <w:vAlign w:val="center"/>
          </w:tcPr>
          <w:p w14:paraId="7A794BCE" w14:textId="77777777" w:rsidR="004E4DC0" w:rsidRPr="00C63DA8" w:rsidRDefault="004E4DC0" w:rsidP="00B90BC4">
            <w:pPr>
              <w:rPr>
                <w:rFonts w:eastAsia="Times New Roman" w:cs="Leelawadee"/>
                <w:color w:val="000000"/>
                <w:sz w:val="20"/>
                <w:szCs w:val="20"/>
                <w:lang w:eastAsia="es-CO"/>
              </w:rPr>
            </w:pPr>
          </w:p>
        </w:tc>
      </w:tr>
      <w:tr w:rsidR="004E4DC0" w14:paraId="1ED76368" w14:textId="77777777" w:rsidTr="00B90BC4">
        <w:tc>
          <w:tcPr>
            <w:tcW w:w="4644" w:type="dxa"/>
            <w:vAlign w:val="center"/>
          </w:tcPr>
          <w:p w14:paraId="2620C97D" w14:textId="77777777" w:rsidR="004E4DC0" w:rsidRPr="00C63DA8" w:rsidRDefault="004E4DC0" w:rsidP="00B90BC4">
            <w:pPr>
              <w:rPr>
                <w:rFonts w:eastAsia="Times New Roman" w:cs="Leelawadee"/>
                <w:b/>
                <w:bCs/>
                <w:color w:val="000000"/>
                <w:sz w:val="20"/>
                <w:szCs w:val="20"/>
                <w:lang w:eastAsia="es-CO"/>
              </w:rPr>
            </w:pPr>
            <w:r w:rsidRPr="00C63DA8">
              <w:rPr>
                <w:rFonts w:cs="Leelawadee"/>
                <w:b/>
                <w:bCs/>
                <w:color w:val="000000"/>
                <w:sz w:val="20"/>
                <w:szCs w:val="20"/>
              </w:rPr>
              <w:t>Población total (DANE</w:t>
            </w:r>
            <w:r>
              <w:rPr>
                <w:rFonts w:cs="Leelawadee"/>
                <w:b/>
                <w:bCs/>
                <w:color w:val="000000"/>
                <w:sz w:val="20"/>
                <w:szCs w:val="20"/>
              </w:rPr>
              <w:t>, 2013</w:t>
            </w:r>
            <w:r w:rsidRPr="00C63DA8">
              <w:rPr>
                <w:rFonts w:cs="Leelawadee"/>
                <w:b/>
                <w:bCs/>
                <w:color w:val="000000"/>
                <w:sz w:val="20"/>
                <w:szCs w:val="20"/>
              </w:rPr>
              <w:t>)</w:t>
            </w:r>
          </w:p>
        </w:tc>
        <w:tc>
          <w:tcPr>
            <w:tcW w:w="1560" w:type="dxa"/>
            <w:vAlign w:val="center"/>
          </w:tcPr>
          <w:p w14:paraId="52DE7BE7" w14:textId="77777777" w:rsidR="004E4DC0" w:rsidRPr="00C63DA8" w:rsidRDefault="004E4DC0" w:rsidP="00B90BC4">
            <w:pPr>
              <w:jc w:val="center"/>
              <w:rPr>
                <w:rFonts w:eastAsia="Times New Roman" w:cs="Leelawadee"/>
                <w:b/>
                <w:bCs/>
                <w:color w:val="000000"/>
                <w:sz w:val="20"/>
                <w:szCs w:val="20"/>
                <w:lang w:eastAsia="es-CO"/>
              </w:rPr>
            </w:pPr>
            <w:r>
              <w:rPr>
                <w:rFonts w:eastAsia="Times New Roman" w:cs="Leelawadee"/>
                <w:b/>
                <w:bCs/>
                <w:color w:val="000000"/>
                <w:sz w:val="20"/>
                <w:szCs w:val="20"/>
                <w:lang w:eastAsia="es-CO"/>
              </w:rPr>
              <w:t>47</w:t>
            </w:r>
            <w:r w:rsidRPr="00C63DA8">
              <w:rPr>
                <w:rFonts w:eastAsia="Times New Roman" w:cs="Leelawadee"/>
                <w:b/>
                <w:bCs/>
                <w:color w:val="000000"/>
                <w:sz w:val="20"/>
                <w:szCs w:val="20"/>
                <w:lang w:eastAsia="es-CO"/>
              </w:rPr>
              <w:t>.</w:t>
            </w:r>
            <w:r>
              <w:rPr>
                <w:rFonts w:eastAsia="Times New Roman" w:cs="Leelawadee"/>
                <w:b/>
                <w:bCs/>
                <w:color w:val="000000"/>
                <w:sz w:val="20"/>
                <w:szCs w:val="20"/>
                <w:lang w:eastAsia="es-CO"/>
              </w:rPr>
              <w:t>121.089</w:t>
            </w:r>
          </w:p>
        </w:tc>
        <w:tc>
          <w:tcPr>
            <w:tcW w:w="2693" w:type="dxa"/>
            <w:gridSpan w:val="2"/>
            <w:vMerge/>
            <w:vAlign w:val="bottom"/>
          </w:tcPr>
          <w:p w14:paraId="3C442F4D" w14:textId="77777777" w:rsidR="004E4DC0" w:rsidRPr="00C63DA8" w:rsidRDefault="004E4DC0" w:rsidP="00B90BC4">
            <w:pPr>
              <w:rPr>
                <w:rFonts w:eastAsia="Times New Roman" w:cs="Leelawadee"/>
                <w:color w:val="000000"/>
                <w:sz w:val="20"/>
                <w:szCs w:val="20"/>
                <w:lang w:eastAsia="es-CO"/>
              </w:rPr>
            </w:pPr>
          </w:p>
        </w:tc>
      </w:tr>
      <w:tr w:rsidR="004E4DC0" w14:paraId="0C5019F2" w14:textId="77777777" w:rsidTr="00B90BC4">
        <w:tc>
          <w:tcPr>
            <w:tcW w:w="4644" w:type="dxa"/>
            <w:vAlign w:val="center"/>
          </w:tcPr>
          <w:p w14:paraId="480D5CBB" w14:textId="77777777" w:rsidR="004E4DC0" w:rsidRPr="008F5862" w:rsidRDefault="004E4DC0" w:rsidP="00B90BC4">
            <w:pPr>
              <w:rPr>
                <w:rFonts w:eastAsia="Times New Roman" w:cs="Leelawadee"/>
                <w:b/>
                <w:bCs/>
                <w:color w:val="000000"/>
                <w:sz w:val="20"/>
                <w:szCs w:val="20"/>
                <w:lang w:eastAsia="es-CO"/>
              </w:rPr>
            </w:pPr>
            <w:r>
              <w:rPr>
                <w:rFonts w:cs="Leelawadee"/>
                <w:b/>
                <w:bCs/>
                <w:color w:val="000000"/>
                <w:sz w:val="20"/>
                <w:szCs w:val="20"/>
              </w:rPr>
              <w:t>Tasa</w:t>
            </w:r>
            <w:r w:rsidRPr="008F5862">
              <w:rPr>
                <w:rFonts w:cs="Leelawadee"/>
                <w:b/>
                <w:bCs/>
                <w:color w:val="000000"/>
                <w:sz w:val="20"/>
                <w:szCs w:val="20"/>
              </w:rPr>
              <w:t xml:space="preserve"> de </w:t>
            </w:r>
            <w:r>
              <w:rPr>
                <w:rFonts w:cs="Leelawadee"/>
                <w:b/>
                <w:bCs/>
                <w:color w:val="000000"/>
                <w:sz w:val="20"/>
                <w:szCs w:val="20"/>
              </w:rPr>
              <w:t>diagnóstico</w:t>
            </w:r>
            <w:r w:rsidRPr="008F5862">
              <w:rPr>
                <w:rFonts w:cs="Leelawadee"/>
                <w:b/>
                <w:bCs/>
                <w:color w:val="000000"/>
                <w:sz w:val="20"/>
                <w:szCs w:val="20"/>
              </w:rPr>
              <w:t xml:space="preserve"> de anemias falciformes o </w:t>
            </w:r>
            <w:proofErr w:type="spellStart"/>
            <w:r w:rsidRPr="008F5862">
              <w:rPr>
                <w:rFonts w:cs="Leelawadee"/>
                <w:b/>
                <w:bCs/>
                <w:color w:val="000000"/>
                <w:sz w:val="20"/>
                <w:szCs w:val="20"/>
              </w:rPr>
              <w:t>drepanocíticas</w:t>
            </w:r>
            <w:proofErr w:type="spellEnd"/>
            <w:r>
              <w:rPr>
                <w:rFonts w:cs="Leelawadee"/>
                <w:b/>
                <w:bCs/>
                <w:color w:val="000000"/>
                <w:sz w:val="20"/>
                <w:szCs w:val="20"/>
              </w:rPr>
              <w:t xml:space="preserve"> en la población colombiana</w:t>
            </w:r>
          </w:p>
        </w:tc>
        <w:tc>
          <w:tcPr>
            <w:tcW w:w="1560" w:type="dxa"/>
            <w:vAlign w:val="center"/>
          </w:tcPr>
          <w:p w14:paraId="43AB4481" w14:textId="77777777" w:rsidR="004E4DC0" w:rsidRPr="008F5862" w:rsidRDefault="004E4DC0" w:rsidP="00B90BC4">
            <w:pPr>
              <w:jc w:val="center"/>
              <w:rPr>
                <w:rFonts w:eastAsia="Times New Roman" w:cs="Leelawadee"/>
                <w:b/>
                <w:bCs/>
                <w:color w:val="000000"/>
                <w:szCs w:val="24"/>
                <w:lang w:eastAsia="es-CO"/>
              </w:rPr>
            </w:pPr>
            <w:r>
              <w:rPr>
                <w:rFonts w:eastAsia="Times New Roman" w:cs="Leelawadee"/>
                <w:b/>
                <w:bCs/>
                <w:color w:val="000000"/>
                <w:szCs w:val="24"/>
                <w:lang w:eastAsia="es-CO"/>
              </w:rPr>
              <w:t>0,0021</w:t>
            </w:r>
            <w:r w:rsidRPr="008F5862">
              <w:rPr>
                <w:rFonts w:eastAsia="Times New Roman" w:cs="Leelawadee"/>
                <w:b/>
                <w:bCs/>
                <w:color w:val="000000"/>
                <w:szCs w:val="24"/>
                <w:lang w:eastAsia="es-CO"/>
              </w:rPr>
              <w:t>8%</w:t>
            </w:r>
          </w:p>
        </w:tc>
        <w:tc>
          <w:tcPr>
            <w:tcW w:w="2693" w:type="dxa"/>
            <w:gridSpan w:val="2"/>
            <w:vMerge/>
            <w:vAlign w:val="bottom"/>
          </w:tcPr>
          <w:p w14:paraId="1C6FE926" w14:textId="77777777" w:rsidR="004E4DC0" w:rsidRPr="00C63DA8" w:rsidRDefault="004E4DC0" w:rsidP="00B90BC4">
            <w:pPr>
              <w:rPr>
                <w:rFonts w:eastAsia="Times New Roman" w:cs="Leelawadee"/>
                <w:color w:val="000000"/>
                <w:sz w:val="20"/>
                <w:szCs w:val="20"/>
                <w:lang w:eastAsia="es-CO"/>
              </w:rPr>
            </w:pPr>
          </w:p>
        </w:tc>
      </w:tr>
    </w:tbl>
    <w:p w14:paraId="780002CC" w14:textId="77777777" w:rsidR="004E4DC0" w:rsidRPr="008F5862" w:rsidRDefault="004E4DC0" w:rsidP="004E4DC0">
      <w:pPr>
        <w:rPr>
          <w:rStyle w:val="a98a9b1e82c96499aa09c7c430571e6bf4"/>
          <w:rFonts w:cs="Leelawadee"/>
          <w:sz w:val="18"/>
          <w:szCs w:val="18"/>
          <w:shd w:val="clear" w:color="auto" w:fill="FFFFFF"/>
        </w:rPr>
      </w:pPr>
      <w:r w:rsidRPr="008F5862">
        <w:rPr>
          <w:b/>
          <w:sz w:val="18"/>
          <w:szCs w:val="18"/>
        </w:rPr>
        <w:t>Fuente:</w:t>
      </w:r>
      <w:r w:rsidRPr="008F5862">
        <w:rPr>
          <w:sz w:val="18"/>
          <w:szCs w:val="18"/>
        </w:rPr>
        <w:t xml:space="preserve"> Elaboración Propia. </w:t>
      </w:r>
      <w:r w:rsidRPr="008F5862">
        <w:rPr>
          <w:b/>
          <w:sz w:val="18"/>
          <w:szCs w:val="18"/>
        </w:rPr>
        <w:t>Datos:</w:t>
      </w:r>
      <w:r w:rsidRPr="008F5862">
        <w:rPr>
          <w:sz w:val="18"/>
          <w:szCs w:val="18"/>
        </w:rPr>
        <w:t xml:space="preserve"> DANE. </w:t>
      </w:r>
      <w:r w:rsidRPr="008F5862">
        <w:rPr>
          <w:rStyle w:val="a98a9b1e82c96499aa09c7c430571e6bf3"/>
          <w:rFonts w:cs="Leelawadee"/>
          <w:sz w:val="18"/>
          <w:szCs w:val="18"/>
          <w:shd w:val="clear" w:color="auto" w:fill="FFFFFF"/>
        </w:rPr>
        <w:t xml:space="preserve">Módulo geográfico y </w:t>
      </w:r>
      <w:r w:rsidRPr="008F5862">
        <w:rPr>
          <w:rStyle w:val="a98a9b1e82c96499aa09c7c430571e6bf4"/>
          <w:rFonts w:cs="Leelawadee"/>
          <w:sz w:val="18"/>
          <w:szCs w:val="18"/>
          <w:shd w:val="clear" w:color="auto" w:fill="FFFFFF"/>
        </w:rPr>
        <w:t>Bodega de Datos SISPRO (SGD), Censo de pacientes con enfermedades huérfanas 2013.</w:t>
      </w:r>
    </w:p>
    <w:p w14:paraId="33783A8E" w14:textId="77777777" w:rsidR="004E4DC0" w:rsidRDefault="004E4DC0" w:rsidP="004E4DC0"/>
    <w:p w14:paraId="266B2989" w14:textId="77777777" w:rsidR="004E4DC0" w:rsidRPr="008F5862" w:rsidRDefault="004E4DC0" w:rsidP="004E4DC0">
      <w:r>
        <w:t xml:space="preserve">El 0.002% de la población colombiana sufre de algún tipo de Anemia Falciforme o </w:t>
      </w:r>
      <w:proofErr w:type="spellStart"/>
      <w:r>
        <w:t>Drepanocítica</w:t>
      </w:r>
      <w:proofErr w:type="spellEnd"/>
      <w:r>
        <w:t>. Eso quiere decir que por cada cinco mil (5000) colombianos existen 0.1 personas afectados por esta enfermedad. Esto implica que, según lo establecido en el artículo 2 de la Ley 1392 de 2010 modificado por el artículo 140 de la Ley 1438 de 2011, la Anemia Falciforme debe considerarse como una Enfermedad Huérfana.</w:t>
      </w:r>
    </w:p>
    <w:p w14:paraId="78253F56" w14:textId="77777777" w:rsidR="004E4DC0" w:rsidRDefault="004E4DC0" w:rsidP="004E4DC0"/>
    <w:p w14:paraId="47FBCCE3" w14:textId="77777777" w:rsidR="004E4DC0" w:rsidRDefault="004E4DC0" w:rsidP="004E4DC0">
      <w:r>
        <w:t>Al respecto, las enfermedades huérfanas en Colombia, presentan el siguiente diagnóstico:</w:t>
      </w:r>
    </w:p>
    <w:p w14:paraId="21F00A0A" w14:textId="77777777" w:rsidR="004E4DC0" w:rsidRPr="008F5862" w:rsidRDefault="004E4DC0" w:rsidP="004E4DC0"/>
    <w:p w14:paraId="10BDF8DA" w14:textId="77777777" w:rsidR="004E4DC0" w:rsidRPr="001336F2" w:rsidRDefault="004E4DC0" w:rsidP="004E4DC0">
      <w:pPr>
        <w:pStyle w:val="Epgrafe"/>
        <w:keepNext/>
        <w:jc w:val="center"/>
        <w:rPr>
          <w:rFonts w:cs="Leelawadee"/>
          <w:color w:val="auto"/>
          <w:sz w:val="24"/>
          <w:szCs w:val="24"/>
        </w:rPr>
      </w:pPr>
      <w:r w:rsidRPr="001336F2">
        <w:rPr>
          <w:rFonts w:cs="Leelawadee"/>
          <w:color w:val="auto"/>
          <w:sz w:val="24"/>
          <w:szCs w:val="24"/>
        </w:rPr>
        <w:t xml:space="preserve">Ilustración </w:t>
      </w:r>
      <w:r w:rsidRPr="001336F2">
        <w:rPr>
          <w:rFonts w:cs="Leelawadee"/>
          <w:color w:val="auto"/>
          <w:sz w:val="24"/>
          <w:szCs w:val="24"/>
        </w:rPr>
        <w:fldChar w:fldCharType="begin"/>
      </w:r>
      <w:r w:rsidRPr="001336F2">
        <w:rPr>
          <w:rFonts w:cs="Leelawadee"/>
          <w:color w:val="auto"/>
          <w:sz w:val="24"/>
          <w:szCs w:val="24"/>
        </w:rPr>
        <w:instrText xml:space="preserve"> SEQ Ilustración \* ARABIC </w:instrText>
      </w:r>
      <w:r w:rsidRPr="001336F2">
        <w:rPr>
          <w:rFonts w:cs="Leelawadee"/>
          <w:color w:val="auto"/>
          <w:sz w:val="24"/>
          <w:szCs w:val="24"/>
        </w:rPr>
        <w:fldChar w:fldCharType="separate"/>
      </w:r>
      <w:r w:rsidR="00E26BA7">
        <w:rPr>
          <w:rFonts w:cs="Leelawadee"/>
          <w:noProof/>
          <w:color w:val="auto"/>
          <w:sz w:val="24"/>
          <w:szCs w:val="24"/>
        </w:rPr>
        <w:t>2</w:t>
      </w:r>
      <w:r w:rsidRPr="001336F2">
        <w:rPr>
          <w:rFonts w:cs="Leelawadee"/>
          <w:color w:val="auto"/>
          <w:sz w:val="24"/>
          <w:szCs w:val="24"/>
        </w:rPr>
        <w:fldChar w:fldCharType="end"/>
      </w:r>
      <w:r w:rsidRPr="001336F2">
        <w:rPr>
          <w:rFonts w:cs="Leelawadee"/>
          <w:color w:val="auto"/>
          <w:sz w:val="24"/>
          <w:szCs w:val="24"/>
        </w:rPr>
        <w:t>. Tasa de Prevalencia de Enfermedades Huérfanas, Colombia 2013</w:t>
      </w:r>
    </w:p>
    <w:p w14:paraId="63008727" w14:textId="77777777" w:rsidR="004E4DC0" w:rsidRPr="00BA28F7" w:rsidRDefault="004E4DC0" w:rsidP="004E4DC0">
      <w:pPr>
        <w:keepNext/>
        <w:jc w:val="center"/>
        <w:rPr>
          <w:rFonts w:cs="Leelawadee"/>
        </w:rPr>
      </w:pPr>
      <w:r w:rsidRPr="00BA28F7">
        <w:rPr>
          <w:rFonts w:cs="Leelawadee"/>
          <w:noProof/>
          <w:lang w:val="es-ES" w:eastAsia="es-ES"/>
        </w:rPr>
        <w:drawing>
          <wp:inline distT="0" distB="0" distL="0" distR="0" wp14:anchorId="6DF4C66B" wp14:editId="1C534BC6">
            <wp:extent cx="5394007" cy="38385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6583" b="4458"/>
                    <a:stretch/>
                  </pic:blipFill>
                  <pic:spPr bwMode="auto">
                    <a:xfrm>
                      <a:off x="0" y="0"/>
                      <a:ext cx="5401113" cy="3843632"/>
                    </a:xfrm>
                    <a:prstGeom prst="rect">
                      <a:avLst/>
                    </a:prstGeom>
                    <a:ln>
                      <a:noFill/>
                    </a:ln>
                    <a:extLst>
                      <a:ext uri="{53640926-AAD7-44D8-BBD7-CCE9431645EC}">
                        <a14:shadowObscured xmlns:a14="http://schemas.microsoft.com/office/drawing/2010/main"/>
                      </a:ext>
                    </a:extLst>
                  </pic:spPr>
                </pic:pic>
              </a:graphicData>
            </a:graphic>
          </wp:inline>
        </w:drawing>
      </w:r>
    </w:p>
    <w:p w14:paraId="264DD9B5" w14:textId="77777777" w:rsidR="004E4DC0" w:rsidRPr="00D31579" w:rsidRDefault="004E4DC0" w:rsidP="004E4DC0">
      <w:pPr>
        <w:rPr>
          <w:rFonts w:cs="Leelawadee"/>
          <w:b/>
          <w:sz w:val="18"/>
          <w:szCs w:val="18"/>
        </w:rPr>
      </w:pPr>
      <w:r w:rsidRPr="00D31579">
        <w:rPr>
          <w:rFonts w:cs="Leelawadee"/>
          <w:b/>
          <w:sz w:val="18"/>
          <w:szCs w:val="18"/>
        </w:rPr>
        <w:t xml:space="preserve">Fuente: </w:t>
      </w:r>
      <w:r w:rsidRPr="00D31579">
        <w:rPr>
          <w:rStyle w:val="a98a9b1e82c96499aa09c7c430571e6bf3"/>
          <w:rFonts w:cs="Leelawadee"/>
          <w:sz w:val="18"/>
          <w:szCs w:val="18"/>
          <w:shd w:val="clear" w:color="auto" w:fill="FFFFFF"/>
        </w:rPr>
        <w:t xml:space="preserve">Módulo geográfico y </w:t>
      </w:r>
      <w:r w:rsidRPr="00D31579">
        <w:rPr>
          <w:rStyle w:val="a98a9b1e82c96499aa09c7c430571e6bf4"/>
          <w:rFonts w:cs="Leelawadee"/>
          <w:sz w:val="18"/>
          <w:szCs w:val="18"/>
          <w:shd w:val="clear" w:color="auto" w:fill="FFFFFF"/>
        </w:rPr>
        <w:t>Bodega de Datos SISPRO (SGD), Censo de pacientes con enfermedades huérfanas 2013.</w:t>
      </w:r>
    </w:p>
    <w:p w14:paraId="13A5B5DF" w14:textId="77777777" w:rsidR="004E4DC0" w:rsidRPr="00BA28F7" w:rsidRDefault="004E4DC0" w:rsidP="004E4DC0">
      <w:pPr>
        <w:spacing w:after="200" w:line="288" w:lineRule="auto"/>
        <w:contextualSpacing w:val="0"/>
        <w:jc w:val="left"/>
        <w:rPr>
          <w:rFonts w:cs="Leelawadee"/>
        </w:rPr>
      </w:pPr>
    </w:p>
    <w:p w14:paraId="573ED991" w14:textId="77777777" w:rsidR="004E4DC0" w:rsidRPr="00BA28F7" w:rsidRDefault="004E4DC0" w:rsidP="004E4DC0">
      <w:pPr>
        <w:rPr>
          <w:rFonts w:cs="Leelawadee"/>
        </w:rPr>
      </w:pPr>
      <w:r w:rsidRPr="00BA28F7">
        <w:rPr>
          <w:rFonts w:cs="Leelawadee"/>
          <w:shd w:val="clear" w:color="auto" w:fill="FFFFFF"/>
        </w:rPr>
        <w:lastRenderedPageBreak/>
        <w:t>La tasa de prevalencia de enfermedades huérfanas para el país es de </w:t>
      </w:r>
      <w:r w:rsidRPr="00BA28F7">
        <w:rPr>
          <w:rFonts w:cs="Leelawadee"/>
          <w:b/>
          <w:bCs/>
          <w:shd w:val="clear" w:color="auto" w:fill="FFFFFF"/>
        </w:rPr>
        <w:t>27,96</w:t>
      </w:r>
      <w:r w:rsidRPr="00BA28F7">
        <w:rPr>
          <w:rFonts w:cs="Leelawadee"/>
          <w:shd w:val="clear" w:color="auto" w:fill="FFFFFF"/>
        </w:rPr>
        <w:t> (por 100.000 habitantes), </w:t>
      </w:r>
      <w:r w:rsidRPr="00BA28F7">
        <w:rPr>
          <w:rFonts w:cs="Leelawadee"/>
        </w:rPr>
        <w:t xml:space="preserve">según Censo de Pacientes con Enfermedades Huérfanas 2013. Para el Departamento de Bolívar la tasa de prevalencia de enfermedades Huérfanas es de </w:t>
      </w:r>
      <w:r w:rsidRPr="00BA28F7">
        <w:rPr>
          <w:rFonts w:cs="Leelawadee"/>
          <w:b/>
        </w:rPr>
        <w:t>18,30</w:t>
      </w:r>
      <w:r w:rsidRPr="00BA28F7">
        <w:rPr>
          <w:rFonts w:cs="Leelawadee"/>
        </w:rPr>
        <w:t xml:space="preserve"> (por 100.000 personas), siendo 16,50 para las mujeres y 10,10 para los hombres.</w:t>
      </w:r>
    </w:p>
    <w:p w14:paraId="212D7A4D" w14:textId="77777777" w:rsidR="004E4DC0" w:rsidRPr="00BA28F7" w:rsidRDefault="004E4DC0" w:rsidP="004E4DC0">
      <w:pPr>
        <w:rPr>
          <w:rFonts w:cs="Leelawadee"/>
        </w:rPr>
      </w:pPr>
    </w:p>
    <w:p w14:paraId="68B9A1A7" w14:textId="77777777" w:rsidR="004E4DC0" w:rsidRPr="001336F2" w:rsidRDefault="004E4DC0" w:rsidP="004E4DC0">
      <w:pPr>
        <w:pStyle w:val="Epgrafe"/>
        <w:keepNext/>
        <w:jc w:val="center"/>
        <w:rPr>
          <w:rFonts w:cs="Leelawadee"/>
          <w:color w:val="auto"/>
          <w:sz w:val="24"/>
          <w:szCs w:val="24"/>
        </w:rPr>
      </w:pPr>
      <w:r w:rsidRPr="001336F2">
        <w:rPr>
          <w:rFonts w:cs="Leelawadee"/>
          <w:color w:val="auto"/>
          <w:sz w:val="24"/>
          <w:szCs w:val="24"/>
        </w:rPr>
        <w:t xml:space="preserve">Ilustración </w:t>
      </w:r>
      <w:r w:rsidRPr="001336F2">
        <w:rPr>
          <w:rFonts w:cs="Leelawadee"/>
          <w:color w:val="auto"/>
          <w:sz w:val="24"/>
          <w:szCs w:val="24"/>
        </w:rPr>
        <w:fldChar w:fldCharType="begin"/>
      </w:r>
      <w:r w:rsidRPr="001336F2">
        <w:rPr>
          <w:rFonts w:cs="Leelawadee"/>
          <w:color w:val="auto"/>
          <w:sz w:val="24"/>
          <w:szCs w:val="24"/>
        </w:rPr>
        <w:instrText xml:space="preserve"> SEQ Ilustración \* ARABIC </w:instrText>
      </w:r>
      <w:r w:rsidRPr="001336F2">
        <w:rPr>
          <w:rFonts w:cs="Leelawadee"/>
          <w:color w:val="auto"/>
          <w:sz w:val="24"/>
          <w:szCs w:val="24"/>
        </w:rPr>
        <w:fldChar w:fldCharType="separate"/>
      </w:r>
      <w:r w:rsidR="00E26BA7">
        <w:rPr>
          <w:rFonts w:cs="Leelawadee"/>
          <w:noProof/>
          <w:color w:val="auto"/>
          <w:sz w:val="24"/>
          <w:szCs w:val="24"/>
        </w:rPr>
        <w:t>3</w:t>
      </w:r>
      <w:r w:rsidRPr="001336F2">
        <w:rPr>
          <w:rFonts w:cs="Leelawadee"/>
          <w:color w:val="auto"/>
          <w:sz w:val="24"/>
          <w:szCs w:val="24"/>
        </w:rPr>
        <w:fldChar w:fldCharType="end"/>
      </w:r>
      <w:r w:rsidRPr="001336F2">
        <w:rPr>
          <w:rFonts w:cs="Leelawadee"/>
          <w:color w:val="auto"/>
          <w:sz w:val="24"/>
          <w:szCs w:val="24"/>
        </w:rPr>
        <w:t>. Número de Pacientes Diagnosticados con enfermedades Huérfanas por Departamento. 2013</w:t>
      </w:r>
    </w:p>
    <w:p w14:paraId="347B8106" w14:textId="77777777" w:rsidR="004E4DC0" w:rsidRPr="00BA28F7" w:rsidRDefault="004E4DC0" w:rsidP="004E4DC0">
      <w:pPr>
        <w:jc w:val="center"/>
        <w:rPr>
          <w:rFonts w:cs="Leelawadee"/>
        </w:rPr>
      </w:pPr>
      <w:r w:rsidRPr="00BA28F7">
        <w:rPr>
          <w:rFonts w:cs="Leelawadee"/>
          <w:noProof/>
          <w:lang w:val="es-ES" w:eastAsia="es-ES"/>
        </w:rPr>
        <w:drawing>
          <wp:inline distT="0" distB="0" distL="0" distR="0" wp14:anchorId="09410660" wp14:editId="011773C7">
            <wp:extent cx="4313970" cy="31432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5308" b="3609"/>
                    <a:stretch/>
                  </pic:blipFill>
                  <pic:spPr bwMode="auto">
                    <a:xfrm>
                      <a:off x="0" y="0"/>
                      <a:ext cx="4320000" cy="3147643"/>
                    </a:xfrm>
                    <a:prstGeom prst="rect">
                      <a:avLst/>
                    </a:prstGeom>
                    <a:ln>
                      <a:noFill/>
                    </a:ln>
                    <a:extLst>
                      <a:ext uri="{53640926-AAD7-44D8-BBD7-CCE9431645EC}">
                        <a14:shadowObscured xmlns:a14="http://schemas.microsoft.com/office/drawing/2010/main"/>
                      </a:ext>
                    </a:extLst>
                  </pic:spPr>
                </pic:pic>
              </a:graphicData>
            </a:graphic>
          </wp:inline>
        </w:drawing>
      </w:r>
    </w:p>
    <w:p w14:paraId="0111989A" w14:textId="77777777" w:rsidR="004E4DC0" w:rsidRPr="00D31579" w:rsidRDefault="004E4DC0" w:rsidP="004E4DC0">
      <w:pPr>
        <w:rPr>
          <w:rStyle w:val="a98a9b1e82c96499aa09c7c430571e6bf4"/>
          <w:rFonts w:cs="Leelawadee"/>
          <w:sz w:val="18"/>
          <w:szCs w:val="18"/>
          <w:shd w:val="clear" w:color="auto" w:fill="FFFFFF"/>
        </w:rPr>
      </w:pPr>
      <w:r w:rsidRPr="00D31579">
        <w:rPr>
          <w:rFonts w:cs="Leelawadee"/>
          <w:b/>
          <w:sz w:val="18"/>
          <w:szCs w:val="18"/>
        </w:rPr>
        <w:t xml:space="preserve">Fuente: </w:t>
      </w:r>
      <w:r w:rsidRPr="00D31579">
        <w:rPr>
          <w:rStyle w:val="a98a9b1e82c96499aa09c7c430571e6bf3"/>
          <w:rFonts w:cs="Leelawadee"/>
          <w:sz w:val="18"/>
          <w:szCs w:val="18"/>
          <w:shd w:val="clear" w:color="auto" w:fill="FFFFFF"/>
        </w:rPr>
        <w:t xml:space="preserve">Módulo geográfico y </w:t>
      </w:r>
      <w:r w:rsidRPr="00D31579">
        <w:rPr>
          <w:rStyle w:val="a98a9b1e82c96499aa09c7c430571e6bf4"/>
          <w:rFonts w:cs="Leelawadee"/>
          <w:sz w:val="18"/>
          <w:szCs w:val="18"/>
          <w:shd w:val="clear" w:color="auto" w:fill="FFFFFF"/>
        </w:rPr>
        <w:t>Bodega de Datos SISPRO (SGD), Censo de pacientes con enfermedades huérfanas 2013.</w:t>
      </w:r>
    </w:p>
    <w:p w14:paraId="1B18021F" w14:textId="77777777" w:rsidR="004E4DC0" w:rsidRPr="00BA28F7" w:rsidRDefault="004E4DC0" w:rsidP="004E4DC0">
      <w:pPr>
        <w:rPr>
          <w:rStyle w:val="a98a9b1e82c96499aa09c7c430571e6bf4"/>
          <w:rFonts w:cs="Leelawadee"/>
          <w:sz w:val="20"/>
          <w:szCs w:val="20"/>
          <w:shd w:val="clear" w:color="auto" w:fill="FFFFFF"/>
        </w:rPr>
      </w:pPr>
    </w:p>
    <w:p w14:paraId="03161F41" w14:textId="77777777" w:rsidR="004E4DC0" w:rsidRDefault="004E4DC0" w:rsidP="004E4DC0">
      <w:pPr>
        <w:rPr>
          <w:rFonts w:cs="Leelawadee"/>
          <w:noProof/>
          <w:lang w:eastAsia="es-ES"/>
        </w:rPr>
      </w:pPr>
      <w:r w:rsidRPr="00BA28F7">
        <w:rPr>
          <w:rFonts w:cs="Leelawadee"/>
          <w:noProof/>
          <w:lang w:eastAsia="es-ES"/>
        </w:rPr>
        <w:t xml:space="preserve">El mayor número de pacientes diagnosticados con enfermedades huerfanas se encuentra concentrado en Bogotá con 1.708 pacientes, que representa el 30,03%, siguiédole el Departamento de Antioquia con 911 pacientes, que es el 16,02% de la totalidad. Por su parte, el Departamento de Bolívar, registra 209 pacientes diagnosticados con alguna enfermedad huérfana, que para el total nacional representa el 3,68%. </w:t>
      </w:r>
    </w:p>
    <w:p w14:paraId="3FF04E60" w14:textId="77777777" w:rsidR="001336F2" w:rsidRPr="00BA28F7" w:rsidRDefault="001336F2" w:rsidP="004E4DC0">
      <w:pPr>
        <w:rPr>
          <w:rFonts w:cs="Leelawadee"/>
          <w:noProof/>
          <w:lang w:eastAsia="es-ES"/>
        </w:rPr>
      </w:pPr>
    </w:p>
    <w:p w14:paraId="02B9C43D" w14:textId="77777777" w:rsidR="004E4DC0" w:rsidRPr="00BA28F7" w:rsidRDefault="004E4DC0" w:rsidP="004E4DC0">
      <w:pPr>
        <w:pStyle w:val="Epgrafe"/>
        <w:keepNext/>
        <w:jc w:val="center"/>
        <w:rPr>
          <w:rFonts w:cs="Leelawadee"/>
          <w:color w:val="auto"/>
        </w:rPr>
      </w:pPr>
      <w:r w:rsidRPr="001336F2">
        <w:rPr>
          <w:rFonts w:cs="Leelawadee"/>
          <w:color w:val="auto"/>
          <w:sz w:val="24"/>
          <w:szCs w:val="24"/>
        </w:rPr>
        <w:t xml:space="preserve">Ilustración </w:t>
      </w:r>
      <w:r w:rsidRPr="001336F2">
        <w:rPr>
          <w:rFonts w:cs="Leelawadee"/>
          <w:color w:val="auto"/>
          <w:sz w:val="24"/>
          <w:szCs w:val="24"/>
        </w:rPr>
        <w:fldChar w:fldCharType="begin"/>
      </w:r>
      <w:r w:rsidRPr="001336F2">
        <w:rPr>
          <w:rFonts w:cs="Leelawadee"/>
          <w:color w:val="auto"/>
          <w:sz w:val="24"/>
          <w:szCs w:val="24"/>
        </w:rPr>
        <w:instrText xml:space="preserve"> SEQ Ilustración \* ARABIC </w:instrText>
      </w:r>
      <w:r w:rsidRPr="001336F2">
        <w:rPr>
          <w:rFonts w:cs="Leelawadee"/>
          <w:color w:val="auto"/>
          <w:sz w:val="24"/>
          <w:szCs w:val="24"/>
        </w:rPr>
        <w:fldChar w:fldCharType="separate"/>
      </w:r>
      <w:r w:rsidR="00E26BA7">
        <w:rPr>
          <w:rFonts w:cs="Leelawadee"/>
          <w:noProof/>
          <w:color w:val="auto"/>
          <w:sz w:val="24"/>
          <w:szCs w:val="24"/>
        </w:rPr>
        <w:t>4</w:t>
      </w:r>
      <w:r w:rsidRPr="001336F2">
        <w:rPr>
          <w:rFonts w:cs="Leelawadee"/>
          <w:color w:val="auto"/>
          <w:sz w:val="24"/>
          <w:szCs w:val="24"/>
        </w:rPr>
        <w:fldChar w:fldCharType="end"/>
      </w:r>
      <w:r w:rsidRPr="001336F2">
        <w:rPr>
          <w:rFonts w:cs="Leelawadee"/>
          <w:color w:val="auto"/>
          <w:sz w:val="24"/>
          <w:szCs w:val="24"/>
        </w:rPr>
        <w:t>. Número de Pacientes de Enfermedades Huérfanas por Quinquenio de Edad del DANE. 2013</w:t>
      </w:r>
    </w:p>
    <w:p w14:paraId="2BAA1C29" w14:textId="77777777" w:rsidR="004E4DC0" w:rsidRPr="00BA28F7" w:rsidRDefault="004E4DC0" w:rsidP="004E4DC0">
      <w:pPr>
        <w:jc w:val="center"/>
        <w:rPr>
          <w:rFonts w:cs="Leelawadee"/>
        </w:rPr>
      </w:pPr>
      <w:r w:rsidRPr="00BA28F7">
        <w:rPr>
          <w:rFonts w:cs="Leelawadee"/>
          <w:noProof/>
          <w:lang w:val="es-ES" w:eastAsia="es-ES"/>
        </w:rPr>
        <w:drawing>
          <wp:inline distT="0" distB="0" distL="0" distR="0" wp14:anchorId="380D29BD" wp14:editId="05A485C5">
            <wp:extent cx="3330668" cy="2409825"/>
            <wp:effectExtent l="0" t="0" r="317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5520" b="4035"/>
                    <a:stretch/>
                  </pic:blipFill>
                  <pic:spPr bwMode="auto">
                    <a:xfrm>
                      <a:off x="0" y="0"/>
                      <a:ext cx="3336264" cy="2413874"/>
                    </a:xfrm>
                    <a:prstGeom prst="rect">
                      <a:avLst/>
                    </a:prstGeom>
                    <a:ln>
                      <a:noFill/>
                    </a:ln>
                    <a:extLst>
                      <a:ext uri="{53640926-AAD7-44D8-BBD7-CCE9431645EC}">
                        <a14:shadowObscured xmlns:a14="http://schemas.microsoft.com/office/drawing/2010/main"/>
                      </a:ext>
                    </a:extLst>
                  </pic:spPr>
                </pic:pic>
              </a:graphicData>
            </a:graphic>
          </wp:inline>
        </w:drawing>
      </w:r>
    </w:p>
    <w:p w14:paraId="3807285F" w14:textId="77777777" w:rsidR="004E4DC0" w:rsidRPr="00D31579" w:rsidRDefault="004E4DC0" w:rsidP="004E4DC0">
      <w:pPr>
        <w:rPr>
          <w:rStyle w:val="a98a9b1e82c96499aa09c7c430571e6bf4"/>
          <w:rFonts w:cs="Leelawadee"/>
          <w:sz w:val="18"/>
          <w:szCs w:val="18"/>
          <w:shd w:val="clear" w:color="auto" w:fill="FFFFFF"/>
        </w:rPr>
      </w:pPr>
      <w:r w:rsidRPr="00D31579">
        <w:rPr>
          <w:rFonts w:cs="Leelawadee"/>
          <w:b/>
          <w:sz w:val="18"/>
          <w:szCs w:val="18"/>
        </w:rPr>
        <w:t xml:space="preserve">Fuente: </w:t>
      </w:r>
      <w:r w:rsidRPr="00D31579">
        <w:rPr>
          <w:rStyle w:val="a98a9b1e82c96499aa09c7c430571e6bf3"/>
          <w:rFonts w:cs="Leelawadee"/>
          <w:sz w:val="18"/>
          <w:szCs w:val="18"/>
          <w:shd w:val="clear" w:color="auto" w:fill="FFFFFF"/>
        </w:rPr>
        <w:t xml:space="preserve">Módulo geográfico y </w:t>
      </w:r>
      <w:r w:rsidRPr="00D31579">
        <w:rPr>
          <w:rStyle w:val="a98a9b1e82c96499aa09c7c430571e6bf4"/>
          <w:rFonts w:cs="Leelawadee"/>
          <w:sz w:val="18"/>
          <w:szCs w:val="18"/>
          <w:shd w:val="clear" w:color="auto" w:fill="FFFFFF"/>
        </w:rPr>
        <w:t>Bodega de Datos SISPRO (SGD), Censo de pacientes con enfermedades huérfanas 2013.</w:t>
      </w:r>
    </w:p>
    <w:p w14:paraId="05A4860A" w14:textId="77777777" w:rsidR="004E4DC0" w:rsidRPr="00BA28F7" w:rsidRDefault="004E4DC0" w:rsidP="004E4DC0">
      <w:pPr>
        <w:rPr>
          <w:rStyle w:val="a98a9b1e82c96499aa09c7c430571e6bf4"/>
          <w:rFonts w:cs="Leelawadee"/>
          <w:sz w:val="20"/>
          <w:szCs w:val="20"/>
          <w:shd w:val="clear" w:color="auto" w:fill="FFFFFF"/>
        </w:rPr>
      </w:pPr>
    </w:p>
    <w:p w14:paraId="13B6EE60" w14:textId="77777777" w:rsidR="004E4DC0" w:rsidRPr="00BA28F7" w:rsidRDefault="004E4DC0" w:rsidP="004E4DC0">
      <w:pPr>
        <w:rPr>
          <w:rFonts w:cs="Leelawadee"/>
        </w:rPr>
      </w:pPr>
      <w:r w:rsidRPr="00BA28F7">
        <w:rPr>
          <w:rFonts w:cs="Leelawadee"/>
        </w:rPr>
        <w:t xml:space="preserve">Las altas tasas de pacientes diagnosticados con alguna enfermedad huérfana en los menores de edad, niños de 0 a 18 años de edad, edades donde son detectadas con mayor facilidad estos padecimientos. Por su parte, los pacientes diagnosticados con enfermedades huérfanas de los quinquenios entre adultos jóvenes y adultos hasta los 60 años, son comparablemente similares los unos con los otros.  Por su parte, los pacientes adultos mayores, personas de más de 60 años, muestran unas tasas menores. </w:t>
      </w:r>
    </w:p>
    <w:p w14:paraId="6BE389F3" w14:textId="77777777" w:rsidR="004E4DC0" w:rsidRPr="00BA28F7" w:rsidRDefault="004E4DC0" w:rsidP="004E4DC0">
      <w:pPr>
        <w:rPr>
          <w:rFonts w:cs="Leelawadee"/>
        </w:rPr>
      </w:pPr>
    </w:p>
    <w:p w14:paraId="13302E82" w14:textId="77777777" w:rsidR="004E4DC0" w:rsidRPr="00BA28F7" w:rsidRDefault="004E4DC0" w:rsidP="004E4DC0">
      <w:pPr>
        <w:rPr>
          <w:rFonts w:cs="Leelawadee"/>
        </w:rPr>
      </w:pPr>
      <w:r w:rsidRPr="00BA28F7">
        <w:rPr>
          <w:rFonts w:cs="Leelawadee"/>
        </w:rPr>
        <w:t xml:space="preserve">En este sentido, se comprueba que las personas pacientes diagnosticadas con enfermedades huérfanas por edades, se agrupan preponderantemente en los niños de los quinquenios más tempranos en la infancia y, habida cuenta del rasgo común de estas enfermedades al ser degenerativas en la salud, los adultos y adultos </w:t>
      </w:r>
      <w:r>
        <w:rPr>
          <w:rFonts w:cs="Leelawadee"/>
        </w:rPr>
        <w:t>mayores</w:t>
      </w:r>
      <w:r w:rsidRPr="00BA28F7">
        <w:rPr>
          <w:rFonts w:cs="Leelawadee"/>
        </w:rPr>
        <w:t>, tienden a ser menos pacientes.</w:t>
      </w:r>
    </w:p>
    <w:p w14:paraId="3A74F530" w14:textId="77777777" w:rsidR="004E4DC0" w:rsidRPr="00BA28F7" w:rsidRDefault="004E4DC0" w:rsidP="004E4DC0">
      <w:pPr>
        <w:rPr>
          <w:rFonts w:cs="Leelawadee"/>
        </w:rPr>
      </w:pPr>
    </w:p>
    <w:p w14:paraId="33EF029D" w14:textId="77777777" w:rsidR="004E4DC0" w:rsidRPr="001336F2" w:rsidRDefault="004E4DC0" w:rsidP="004E4DC0">
      <w:pPr>
        <w:pStyle w:val="Epgrafe"/>
        <w:keepNext/>
        <w:jc w:val="center"/>
        <w:rPr>
          <w:rFonts w:cs="Leelawadee"/>
          <w:color w:val="auto"/>
          <w:sz w:val="24"/>
          <w:szCs w:val="24"/>
        </w:rPr>
      </w:pPr>
      <w:r w:rsidRPr="001336F2">
        <w:rPr>
          <w:rFonts w:cs="Leelawadee"/>
          <w:color w:val="auto"/>
          <w:sz w:val="24"/>
          <w:szCs w:val="24"/>
        </w:rPr>
        <w:t xml:space="preserve">Ilustración </w:t>
      </w:r>
      <w:r w:rsidRPr="001336F2">
        <w:rPr>
          <w:rFonts w:cs="Leelawadee"/>
          <w:color w:val="auto"/>
          <w:sz w:val="24"/>
          <w:szCs w:val="24"/>
        </w:rPr>
        <w:fldChar w:fldCharType="begin"/>
      </w:r>
      <w:r w:rsidRPr="001336F2">
        <w:rPr>
          <w:rFonts w:cs="Leelawadee"/>
          <w:color w:val="auto"/>
          <w:sz w:val="24"/>
          <w:szCs w:val="24"/>
        </w:rPr>
        <w:instrText xml:space="preserve"> SEQ Ilustración \* ARABIC </w:instrText>
      </w:r>
      <w:r w:rsidRPr="001336F2">
        <w:rPr>
          <w:rFonts w:cs="Leelawadee"/>
          <w:color w:val="auto"/>
          <w:sz w:val="24"/>
          <w:szCs w:val="24"/>
        </w:rPr>
        <w:fldChar w:fldCharType="separate"/>
      </w:r>
      <w:r w:rsidR="00E26BA7">
        <w:rPr>
          <w:rFonts w:cs="Leelawadee"/>
          <w:noProof/>
          <w:color w:val="auto"/>
          <w:sz w:val="24"/>
          <w:szCs w:val="24"/>
        </w:rPr>
        <w:t>5</w:t>
      </w:r>
      <w:r w:rsidRPr="001336F2">
        <w:rPr>
          <w:rFonts w:cs="Leelawadee"/>
          <w:color w:val="auto"/>
          <w:sz w:val="24"/>
          <w:szCs w:val="24"/>
        </w:rPr>
        <w:fldChar w:fldCharType="end"/>
      </w:r>
      <w:r w:rsidRPr="001336F2">
        <w:rPr>
          <w:rFonts w:cs="Leelawadee"/>
          <w:color w:val="auto"/>
          <w:sz w:val="24"/>
          <w:szCs w:val="24"/>
        </w:rPr>
        <w:t>. Porcentaje de Pacientes con enfermedad huérfana y con discapacidad. 2013</w:t>
      </w:r>
    </w:p>
    <w:p w14:paraId="73440225" w14:textId="77777777" w:rsidR="004E4DC0" w:rsidRPr="00BA28F7" w:rsidRDefault="004E4DC0" w:rsidP="004E4DC0">
      <w:pPr>
        <w:jc w:val="center"/>
        <w:rPr>
          <w:rFonts w:cs="Leelawadee"/>
        </w:rPr>
      </w:pPr>
      <w:r w:rsidRPr="00BA28F7">
        <w:rPr>
          <w:rFonts w:cs="Leelawadee"/>
          <w:noProof/>
          <w:lang w:val="es-ES" w:eastAsia="es-ES"/>
        </w:rPr>
        <w:drawing>
          <wp:inline distT="0" distB="0" distL="0" distR="0" wp14:anchorId="66DB05CC" wp14:editId="0B32540D">
            <wp:extent cx="5754347" cy="412432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5945" b="4458"/>
                    <a:stretch/>
                  </pic:blipFill>
                  <pic:spPr bwMode="auto">
                    <a:xfrm>
                      <a:off x="0" y="0"/>
                      <a:ext cx="5756624" cy="4125957"/>
                    </a:xfrm>
                    <a:prstGeom prst="rect">
                      <a:avLst/>
                    </a:prstGeom>
                    <a:ln>
                      <a:noFill/>
                    </a:ln>
                    <a:extLst>
                      <a:ext uri="{53640926-AAD7-44D8-BBD7-CCE9431645EC}">
                        <a14:shadowObscured xmlns:a14="http://schemas.microsoft.com/office/drawing/2010/main"/>
                      </a:ext>
                    </a:extLst>
                  </pic:spPr>
                </pic:pic>
              </a:graphicData>
            </a:graphic>
          </wp:inline>
        </w:drawing>
      </w:r>
    </w:p>
    <w:p w14:paraId="13133FBA" w14:textId="77777777" w:rsidR="004E4DC0" w:rsidRPr="00D31579" w:rsidRDefault="004E4DC0" w:rsidP="004E4DC0">
      <w:pPr>
        <w:rPr>
          <w:rStyle w:val="a98a9b1e82c96499aa09c7c430571e6bf4"/>
          <w:rFonts w:cs="Leelawadee"/>
          <w:sz w:val="18"/>
          <w:szCs w:val="18"/>
          <w:shd w:val="clear" w:color="auto" w:fill="FFFFFF"/>
        </w:rPr>
      </w:pPr>
      <w:r w:rsidRPr="00D31579">
        <w:rPr>
          <w:rFonts w:cs="Leelawadee"/>
          <w:b/>
          <w:sz w:val="18"/>
          <w:szCs w:val="18"/>
        </w:rPr>
        <w:t xml:space="preserve">Fuente: </w:t>
      </w:r>
      <w:r w:rsidRPr="00D31579">
        <w:rPr>
          <w:rStyle w:val="a98a9b1e82c96499aa09c7c430571e6bf3"/>
          <w:rFonts w:cs="Leelawadee"/>
          <w:sz w:val="18"/>
          <w:szCs w:val="18"/>
          <w:shd w:val="clear" w:color="auto" w:fill="FFFFFF"/>
        </w:rPr>
        <w:t xml:space="preserve">Módulo geográfico y </w:t>
      </w:r>
      <w:r w:rsidRPr="00D31579">
        <w:rPr>
          <w:rStyle w:val="a98a9b1e82c96499aa09c7c430571e6bf4"/>
          <w:rFonts w:cs="Leelawadee"/>
          <w:sz w:val="18"/>
          <w:szCs w:val="18"/>
          <w:shd w:val="clear" w:color="auto" w:fill="FFFFFF"/>
        </w:rPr>
        <w:t>Bodega de Datos SISPRO (SGD), Censo de pacientes con enfermedades huérfanas 2013.</w:t>
      </w:r>
    </w:p>
    <w:p w14:paraId="648086D4" w14:textId="77777777" w:rsidR="004E4DC0" w:rsidRDefault="004E4DC0" w:rsidP="004E4DC0">
      <w:pPr>
        <w:rPr>
          <w:rStyle w:val="a98a9b1e82c96499aa09c7c430571e6bf4"/>
          <w:rFonts w:cs="Leelawadee"/>
          <w:szCs w:val="24"/>
          <w:shd w:val="clear" w:color="auto" w:fill="FFFFFF"/>
        </w:rPr>
      </w:pPr>
    </w:p>
    <w:p w14:paraId="31C15F10" w14:textId="77777777" w:rsidR="004E4DC0" w:rsidRDefault="004E4DC0" w:rsidP="004E4DC0">
      <w:pPr>
        <w:rPr>
          <w:rStyle w:val="a98a9b1e82c96499aa09c7c430571e6bf4"/>
          <w:rFonts w:cs="Leelawadee"/>
          <w:szCs w:val="24"/>
          <w:shd w:val="clear" w:color="auto" w:fill="FFFFFF"/>
        </w:rPr>
      </w:pPr>
    </w:p>
    <w:p w14:paraId="6268BFCD" w14:textId="77777777" w:rsidR="004E4DC0" w:rsidRPr="001336F2" w:rsidRDefault="004E4DC0" w:rsidP="004E4DC0">
      <w:pPr>
        <w:pStyle w:val="Epgrafe"/>
        <w:keepNext/>
        <w:jc w:val="center"/>
        <w:rPr>
          <w:color w:val="auto"/>
          <w:sz w:val="24"/>
          <w:szCs w:val="24"/>
        </w:rPr>
      </w:pPr>
      <w:r w:rsidRPr="001336F2">
        <w:rPr>
          <w:color w:val="auto"/>
          <w:sz w:val="24"/>
          <w:szCs w:val="24"/>
        </w:rPr>
        <w:lastRenderedPageBreak/>
        <w:t xml:space="preserve">Ilustración </w:t>
      </w:r>
      <w:r w:rsidRPr="001336F2">
        <w:rPr>
          <w:color w:val="auto"/>
          <w:sz w:val="24"/>
          <w:szCs w:val="24"/>
        </w:rPr>
        <w:fldChar w:fldCharType="begin"/>
      </w:r>
      <w:r w:rsidRPr="001336F2">
        <w:rPr>
          <w:color w:val="auto"/>
          <w:sz w:val="24"/>
          <w:szCs w:val="24"/>
        </w:rPr>
        <w:instrText xml:space="preserve"> SEQ Ilustración \* ARABIC </w:instrText>
      </w:r>
      <w:r w:rsidRPr="001336F2">
        <w:rPr>
          <w:color w:val="auto"/>
          <w:sz w:val="24"/>
          <w:szCs w:val="24"/>
        </w:rPr>
        <w:fldChar w:fldCharType="separate"/>
      </w:r>
      <w:r w:rsidR="00E26BA7">
        <w:rPr>
          <w:noProof/>
          <w:color w:val="auto"/>
          <w:sz w:val="24"/>
          <w:szCs w:val="24"/>
        </w:rPr>
        <w:t>6</w:t>
      </w:r>
      <w:r w:rsidRPr="001336F2">
        <w:rPr>
          <w:color w:val="auto"/>
          <w:sz w:val="24"/>
          <w:szCs w:val="24"/>
        </w:rPr>
        <w:fldChar w:fldCharType="end"/>
      </w:r>
      <w:r w:rsidRPr="001336F2">
        <w:rPr>
          <w:color w:val="auto"/>
          <w:sz w:val="24"/>
          <w:szCs w:val="24"/>
        </w:rPr>
        <w:t>. Relación Porcentual Pacientes con Discapacidad vs Pacientes sin Discapacidad. Enfermedades Huérfanas. 2013</w:t>
      </w:r>
    </w:p>
    <w:p w14:paraId="67931741" w14:textId="77777777" w:rsidR="004E4DC0" w:rsidRDefault="004E4DC0" w:rsidP="004E4DC0">
      <w:pPr>
        <w:rPr>
          <w:rStyle w:val="a98a9b1e82c96499aa09c7c430571e6bf4"/>
          <w:rFonts w:cs="Leelawadee"/>
          <w:szCs w:val="24"/>
          <w:shd w:val="clear" w:color="auto" w:fill="FFFFFF"/>
        </w:rPr>
      </w:pPr>
      <w:r>
        <w:rPr>
          <w:noProof/>
          <w:lang w:val="es-ES" w:eastAsia="es-ES"/>
        </w:rPr>
        <w:drawing>
          <wp:inline distT="0" distB="0" distL="0" distR="0" wp14:anchorId="207D4E88" wp14:editId="023A7646">
            <wp:extent cx="5612130" cy="3411855"/>
            <wp:effectExtent l="0" t="0" r="762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0EFF527" w14:textId="77777777" w:rsidR="004E4DC0" w:rsidRPr="00D31579" w:rsidRDefault="004E4DC0" w:rsidP="004E4DC0">
      <w:pPr>
        <w:jc w:val="left"/>
        <w:rPr>
          <w:rStyle w:val="a98a9b1e82c96499aa09c7c430571e6bf4"/>
          <w:rFonts w:cs="Leelawadee"/>
          <w:sz w:val="18"/>
          <w:szCs w:val="18"/>
          <w:shd w:val="clear" w:color="auto" w:fill="FFFFFF"/>
        </w:rPr>
      </w:pPr>
      <w:r w:rsidRPr="00D31579">
        <w:rPr>
          <w:rStyle w:val="a98a9b1e82c96499aa09c7c430571e6bf4"/>
          <w:rFonts w:cs="Leelawadee"/>
          <w:b/>
          <w:sz w:val="18"/>
          <w:szCs w:val="18"/>
          <w:shd w:val="clear" w:color="auto" w:fill="FFFFFF"/>
        </w:rPr>
        <w:t>Fuente:</w:t>
      </w:r>
      <w:r w:rsidRPr="00D31579">
        <w:rPr>
          <w:rStyle w:val="a98a9b1e82c96499aa09c7c430571e6bf4"/>
          <w:rFonts w:cs="Leelawadee"/>
          <w:sz w:val="18"/>
          <w:szCs w:val="18"/>
          <w:shd w:val="clear" w:color="auto" w:fill="FFFFFF"/>
        </w:rPr>
        <w:t xml:space="preserve"> Elaboración Propia. Datos: </w:t>
      </w:r>
      <w:r w:rsidRPr="00D31579">
        <w:rPr>
          <w:rStyle w:val="a98a9b1e82c96499aa09c7c430571e6bf3"/>
          <w:rFonts w:cs="Leelawadee"/>
          <w:sz w:val="18"/>
          <w:szCs w:val="18"/>
          <w:shd w:val="clear" w:color="auto" w:fill="FFFFFF"/>
        </w:rPr>
        <w:t xml:space="preserve">Módulo geográfico y </w:t>
      </w:r>
      <w:r w:rsidRPr="00D31579">
        <w:rPr>
          <w:rStyle w:val="a98a9b1e82c96499aa09c7c430571e6bf4"/>
          <w:rFonts w:cs="Leelawadee"/>
          <w:sz w:val="18"/>
          <w:szCs w:val="18"/>
          <w:shd w:val="clear" w:color="auto" w:fill="FFFFFF"/>
        </w:rPr>
        <w:t>Bodega de Datos SISPRO (SGD), Censo de pacientes con enfermedades huérfanas 2013.</w:t>
      </w:r>
    </w:p>
    <w:p w14:paraId="609C9928" w14:textId="77777777" w:rsidR="004E4DC0" w:rsidRPr="00BA28F7" w:rsidRDefault="004E4DC0" w:rsidP="004E4DC0">
      <w:pPr>
        <w:rPr>
          <w:rStyle w:val="a98a9b1e82c96499aa09c7c430571e6bf4"/>
          <w:rFonts w:cs="Leelawadee"/>
          <w:szCs w:val="24"/>
          <w:shd w:val="clear" w:color="auto" w:fill="FFFFFF"/>
        </w:rPr>
      </w:pPr>
    </w:p>
    <w:p w14:paraId="72AC7203" w14:textId="77777777" w:rsidR="004E4DC0" w:rsidRDefault="004E4DC0" w:rsidP="004E4DC0">
      <w:pPr>
        <w:rPr>
          <w:rStyle w:val="a98a9b1e82c96499aa09c7c430571e6bf4"/>
          <w:rFonts w:cs="Leelawadee"/>
          <w:szCs w:val="24"/>
          <w:shd w:val="clear" w:color="auto" w:fill="FFFFFF"/>
        </w:rPr>
      </w:pPr>
      <w:r>
        <w:rPr>
          <w:rStyle w:val="a98a9b1e82c96499aa09c7c430571e6bf4"/>
          <w:rFonts w:cs="Leelawadee"/>
          <w:szCs w:val="24"/>
          <w:shd w:val="clear" w:color="auto" w:fill="FFFFFF"/>
        </w:rPr>
        <w:t>Por su parte, el porcentaje de los pacientes diagnosticados con alguna enfermedad huérfana que se encuentran con discapacidad oscila entre el 10,51% y 10,74%  respecto de la totalidad de los pacientes. Es decir, cerca de 597 a 600 personas en Colombia se encuentran con discapacidad por consecuencia de una enfermedad huérfana diagnosticada.</w:t>
      </w:r>
    </w:p>
    <w:p w14:paraId="5C9EDF2A" w14:textId="77777777" w:rsidR="004E4DC0" w:rsidRDefault="004E4DC0" w:rsidP="004E4DC0">
      <w:pPr>
        <w:jc w:val="center"/>
        <w:rPr>
          <w:rStyle w:val="a98a9b1e82c96499aa09c7c430571e6bf4"/>
          <w:rFonts w:cs="Leelawadee"/>
          <w:szCs w:val="24"/>
          <w:shd w:val="clear" w:color="auto" w:fill="FFFFFF"/>
        </w:rPr>
      </w:pPr>
    </w:p>
    <w:p w14:paraId="55E434AF" w14:textId="77777777" w:rsidR="004E4DC0" w:rsidRPr="001336F2" w:rsidRDefault="004E4DC0" w:rsidP="004E4DC0">
      <w:pPr>
        <w:pStyle w:val="Epgrafe"/>
        <w:keepNext/>
        <w:jc w:val="center"/>
        <w:rPr>
          <w:color w:val="auto"/>
          <w:sz w:val="24"/>
          <w:szCs w:val="24"/>
        </w:rPr>
      </w:pPr>
      <w:r w:rsidRPr="001336F2">
        <w:rPr>
          <w:color w:val="auto"/>
          <w:sz w:val="24"/>
          <w:szCs w:val="24"/>
        </w:rPr>
        <w:t xml:space="preserve">Ilustración </w:t>
      </w:r>
      <w:r w:rsidRPr="001336F2">
        <w:rPr>
          <w:color w:val="auto"/>
          <w:sz w:val="24"/>
          <w:szCs w:val="24"/>
        </w:rPr>
        <w:fldChar w:fldCharType="begin"/>
      </w:r>
      <w:r w:rsidRPr="001336F2">
        <w:rPr>
          <w:color w:val="auto"/>
          <w:sz w:val="24"/>
          <w:szCs w:val="24"/>
        </w:rPr>
        <w:instrText xml:space="preserve"> SEQ Ilustración \* ARABIC </w:instrText>
      </w:r>
      <w:r w:rsidRPr="001336F2">
        <w:rPr>
          <w:color w:val="auto"/>
          <w:sz w:val="24"/>
          <w:szCs w:val="24"/>
        </w:rPr>
        <w:fldChar w:fldCharType="separate"/>
      </w:r>
      <w:r w:rsidR="00E26BA7">
        <w:rPr>
          <w:noProof/>
          <w:color w:val="auto"/>
          <w:sz w:val="24"/>
          <w:szCs w:val="24"/>
        </w:rPr>
        <w:t>7</w:t>
      </w:r>
      <w:r w:rsidRPr="001336F2">
        <w:rPr>
          <w:color w:val="auto"/>
          <w:sz w:val="24"/>
          <w:szCs w:val="24"/>
        </w:rPr>
        <w:fldChar w:fldCharType="end"/>
      </w:r>
      <w:r w:rsidRPr="001336F2">
        <w:rPr>
          <w:color w:val="auto"/>
          <w:sz w:val="24"/>
          <w:szCs w:val="24"/>
        </w:rPr>
        <w:t>. Porcentaje de Pacientes de Enfermedades Huérfanas con discapacidad por Quinquenios de Edad del DANE</w:t>
      </w:r>
      <w:r w:rsidRPr="001336F2">
        <w:rPr>
          <w:noProof/>
          <w:color w:val="auto"/>
          <w:sz w:val="24"/>
          <w:szCs w:val="24"/>
        </w:rPr>
        <w:t>. 2013</w:t>
      </w:r>
    </w:p>
    <w:p w14:paraId="2EC60307" w14:textId="77777777" w:rsidR="004E4DC0" w:rsidRPr="00BA28F7" w:rsidRDefault="004E4DC0" w:rsidP="004E4DC0">
      <w:pPr>
        <w:jc w:val="center"/>
        <w:rPr>
          <w:rStyle w:val="a98a9b1e82c96499aa09c7c430571e6bf4"/>
          <w:rFonts w:cs="Leelawadee"/>
          <w:sz w:val="20"/>
          <w:szCs w:val="20"/>
          <w:shd w:val="clear" w:color="auto" w:fill="FFFFFF"/>
        </w:rPr>
      </w:pPr>
      <w:r>
        <w:rPr>
          <w:noProof/>
          <w:lang w:val="es-ES" w:eastAsia="es-ES"/>
        </w:rPr>
        <w:drawing>
          <wp:inline distT="0" distB="0" distL="0" distR="0" wp14:anchorId="17D81E1E" wp14:editId="590831B3">
            <wp:extent cx="3600000" cy="2598579"/>
            <wp:effectExtent l="0" t="0" r="63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t="5733" b="4034"/>
                    <a:stretch/>
                  </pic:blipFill>
                  <pic:spPr bwMode="auto">
                    <a:xfrm>
                      <a:off x="0" y="0"/>
                      <a:ext cx="3600000" cy="2598579"/>
                    </a:xfrm>
                    <a:prstGeom prst="rect">
                      <a:avLst/>
                    </a:prstGeom>
                    <a:ln>
                      <a:noFill/>
                    </a:ln>
                    <a:extLst>
                      <a:ext uri="{53640926-AAD7-44D8-BBD7-CCE9431645EC}">
                        <a14:shadowObscured xmlns:a14="http://schemas.microsoft.com/office/drawing/2010/main"/>
                      </a:ext>
                    </a:extLst>
                  </pic:spPr>
                </pic:pic>
              </a:graphicData>
            </a:graphic>
          </wp:inline>
        </w:drawing>
      </w:r>
    </w:p>
    <w:p w14:paraId="7D6EFB21" w14:textId="77777777" w:rsidR="004E4DC0" w:rsidRDefault="004E4DC0" w:rsidP="004E4DC0">
      <w:pPr>
        <w:rPr>
          <w:rStyle w:val="a98a9b1e82c96499aa09c7c430571e6bf4"/>
          <w:rFonts w:cs="Leelawadee"/>
          <w:sz w:val="20"/>
          <w:szCs w:val="20"/>
          <w:shd w:val="clear" w:color="auto" w:fill="FFFFFF"/>
        </w:rPr>
      </w:pPr>
      <w:r w:rsidRPr="00BA28F7">
        <w:rPr>
          <w:rFonts w:cs="Leelawadee"/>
          <w:b/>
        </w:rPr>
        <w:t xml:space="preserve">Fuente: </w:t>
      </w:r>
      <w:r w:rsidRPr="00BA28F7">
        <w:rPr>
          <w:rStyle w:val="a98a9b1e82c96499aa09c7c430571e6bf3"/>
          <w:rFonts w:cs="Leelawadee"/>
          <w:sz w:val="20"/>
          <w:szCs w:val="20"/>
          <w:shd w:val="clear" w:color="auto" w:fill="FFFFFF"/>
        </w:rPr>
        <w:t xml:space="preserve">Módulo geográfico y </w:t>
      </w:r>
      <w:r w:rsidRPr="00BA28F7">
        <w:rPr>
          <w:rStyle w:val="a98a9b1e82c96499aa09c7c430571e6bf4"/>
          <w:rFonts w:cs="Leelawadee"/>
          <w:sz w:val="20"/>
          <w:szCs w:val="20"/>
          <w:shd w:val="clear" w:color="auto" w:fill="FFFFFF"/>
        </w:rPr>
        <w:t>Bodega de Datos SISPRO (SGD), Censo de pacientes con enfermedades huérfanas 2013.</w:t>
      </w:r>
    </w:p>
    <w:p w14:paraId="25A52E28" w14:textId="77777777" w:rsidR="004E4DC0" w:rsidRDefault="004E4DC0" w:rsidP="004E4DC0">
      <w:pPr>
        <w:rPr>
          <w:rStyle w:val="a98a9b1e82c96499aa09c7c430571e6bf4"/>
          <w:rFonts w:cs="Leelawadee"/>
          <w:sz w:val="20"/>
          <w:szCs w:val="20"/>
          <w:shd w:val="clear" w:color="auto" w:fill="FFFFFF"/>
        </w:rPr>
      </w:pPr>
    </w:p>
    <w:p w14:paraId="4CE87019" w14:textId="77777777" w:rsidR="004E4DC0" w:rsidRPr="001336F2" w:rsidRDefault="004E4DC0" w:rsidP="004E4DC0">
      <w:pPr>
        <w:pStyle w:val="Epgrafe"/>
        <w:keepNext/>
        <w:jc w:val="center"/>
        <w:rPr>
          <w:color w:val="auto"/>
          <w:sz w:val="24"/>
          <w:szCs w:val="24"/>
        </w:rPr>
      </w:pPr>
      <w:r w:rsidRPr="001336F2">
        <w:rPr>
          <w:color w:val="auto"/>
          <w:sz w:val="24"/>
          <w:szCs w:val="24"/>
        </w:rPr>
        <w:lastRenderedPageBreak/>
        <w:t xml:space="preserve">Ilustración </w:t>
      </w:r>
      <w:r w:rsidRPr="001336F2">
        <w:rPr>
          <w:color w:val="auto"/>
          <w:sz w:val="24"/>
          <w:szCs w:val="24"/>
        </w:rPr>
        <w:fldChar w:fldCharType="begin"/>
      </w:r>
      <w:r w:rsidRPr="001336F2">
        <w:rPr>
          <w:color w:val="auto"/>
          <w:sz w:val="24"/>
          <w:szCs w:val="24"/>
        </w:rPr>
        <w:instrText xml:space="preserve"> SEQ Ilustración \* ARABIC </w:instrText>
      </w:r>
      <w:r w:rsidRPr="001336F2">
        <w:rPr>
          <w:color w:val="auto"/>
          <w:sz w:val="24"/>
          <w:szCs w:val="24"/>
        </w:rPr>
        <w:fldChar w:fldCharType="separate"/>
      </w:r>
      <w:r w:rsidR="00E26BA7">
        <w:rPr>
          <w:noProof/>
          <w:color w:val="auto"/>
          <w:sz w:val="24"/>
          <w:szCs w:val="24"/>
        </w:rPr>
        <w:t>8</w:t>
      </w:r>
      <w:r w:rsidRPr="001336F2">
        <w:rPr>
          <w:color w:val="auto"/>
          <w:sz w:val="24"/>
          <w:szCs w:val="24"/>
        </w:rPr>
        <w:fldChar w:fldCharType="end"/>
      </w:r>
      <w:r w:rsidRPr="001336F2">
        <w:rPr>
          <w:color w:val="auto"/>
          <w:sz w:val="24"/>
          <w:szCs w:val="24"/>
        </w:rPr>
        <w:t>. Relación Porcentual de Pacientes con Discapacidad vs. Pacientes sin Discapacidad por quinquenios de Edad del DANE. Enfermedades Huérfanas. 2013</w:t>
      </w:r>
    </w:p>
    <w:p w14:paraId="0C21586F" w14:textId="77777777" w:rsidR="004E4DC0" w:rsidRDefault="004E4DC0" w:rsidP="004E4DC0">
      <w:pPr>
        <w:rPr>
          <w:rStyle w:val="a98a9b1e82c96499aa09c7c430571e6bf4"/>
          <w:rFonts w:cs="Leelawadee"/>
          <w:sz w:val="20"/>
          <w:szCs w:val="20"/>
          <w:shd w:val="clear" w:color="auto" w:fill="FFFFFF"/>
        </w:rPr>
      </w:pPr>
      <w:r>
        <w:rPr>
          <w:noProof/>
          <w:lang w:val="es-ES" w:eastAsia="es-ES"/>
        </w:rPr>
        <w:drawing>
          <wp:inline distT="0" distB="0" distL="0" distR="0" wp14:anchorId="2A6797D7" wp14:editId="6338D797">
            <wp:extent cx="5612130" cy="3413760"/>
            <wp:effectExtent l="0" t="0" r="762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43712A">
        <w:rPr>
          <w:noProof/>
          <w:lang w:eastAsia="es-ES"/>
        </w:rPr>
        <w:t xml:space="preserve"> </w:t>
      </w:r>
      <w:r w:rsidRPr="00BA28F7">
        <w:rPr>
          <w:rFonts w:cs="Leelawadee"/>
          <w:b/>
        </w:rPr>
        <w:t xml:space="preserve">Fuente: </w:t>
      </w:r>
      <w:r w:rsidRPr="0043712A">
        <w:rPr>
          <w:rFonts w:cs="Leelawadee"/>
        </w:rPr>
        <w:t>Elaboración Propia.</w:t>
      </w:r>
      <w:r>
        <w:rPr>
          <w:rFonts w:cs="Leelawadee"/>
          <w:b/>
        </w:rPr>
        <w:t xml:space="preserve"> Datos: </w:t>
      </w:r>
      <w:r w:rsidRPr="00BA28F7">
        <w:rPr>
          <w:rStyle w:val="a98a9b1e82c96499aa09c7c430571e6bf3"/>
          <w:rFonts w:cs="Leelawadee"/>
          <w:sz w:val="20"/>
          <w:szCs w:val="20"/>
          <w:shd w:val="clear" w:color="auto" w:fill="FFFFFF"/>
        </w:rPr>
        <w:t xml:space="preserve">Módulo geográfico y </w:t>
      </w:r>
      <w:r w:rsidRPr="00BA28F7">
        <w:rPr>
          <w:rStyle w:val="a98a9b1e82c96499aa09c7c430571e6bf4"/>
          <w:rFonts w:cs="Leelawadee"/>
          <w:sz w:val="20"/>
          <w:szCs w:val="20"/>
          <w:shd w:val="clear" w:color="auto" w:fill="FFFFFF"/>
        </w:rPr>
        <w:t>Bodega de Datos SISPRO (SGD), Censo de pacientes con enfermedades huérfanas 2013.</w:t>
      </w:r>
    </w:p>
    <w:p w14:paraId="16B9EC25" w14:textId="77777777" w:rsidR="00485562" w:rsidRDefault="00485562" w:rsidP="004E4DC0"/>
    <w:p w14:paraId="764A5CA2" w14:textId="77777777" w:rsidR="004E4DC0" w:rsidRPr="001336F2" w:rsidRDefault="004E4DC0" w:rsidP="004E4DC0">
      <w:pPr>
        <w:pStyle w:val="Epgrafe"/>
        <w:keepNext/>
        <w:jc w:val="center"/>
        <w:rPr>
          <w:color w:val="auto"/>
          <w:sz w:val="24"/>
          <w:szCs w:val="24"/>
        </w:rPr>
      </w:pPr>
      <w:r w:rsidRPr="001336F2">
        <w:rPr>
          <w:color w:val="auto"/>
          <w:sz w:val="24"/>
          <w:szCs w:val="24"/>
        </w:rPr>
        <w:t xml:space="preserve">Ilustración </w:t>
      </w:r>
      <w:r w:rsidRPr="001336F2">
        <w:rPr>
          <w:color w:val="auto"/>
          <w:sz w:val="24"/>
          <w:szCs w:val="24"/>
        </w:rPr>
        <w:fldChar w:fldCharType="begin"/>
      </w:r>
      <w:r w:rsidRPr="001336F2">
        <w:rPr>
          <w:color w:val="auto"/>
          <w:sz w:val="24"/>
          <w:szCs w:val="24"/>
        </w:rPr>
        <w:instrText xml:space="preserve"> SEQ Ilustración \* ARABIC </w:instrText>
      </w:r>
      <w:r w:rsidRPr="001336F2">
        <w:rPr>
          <w:color w:val="auto"/>
          <w:sz w:val="24"/>
          <w:szCs w:val="24"/>
        </w:rPr>
        <w:fldChar w:fldCharType="separate"/>
      </w:r>
      <w:r w:rsidR="00E26BA7">
        <w:rPr>
          <w:noProof/>
          <w:color w:val="auto"/>
          <w:sz w:val="24"/>
          <w:szCs w:val="24"/>
        </w:rPr>
        <w:t>9</w:t>
      </w:r>
      <w:r w:rsidRPr="001336F2">
        <w:rPr>
          <w:color w:val="auto"/>
          <w:sz w:val="24"/>
          <w:szCs w:val="24"/>
        </w:rPr>
        <w:fldChar w:fldCharType="end"/>
      </w:r>
      <w:r w:rsidRPr="001336F2">
        <w:rPr>
          <w:color w:val="auto"/>
          <w:sz w:val="24"/>
          <w:szCs w:val="24"/>
        </w:rPr>
        <w:t>. Pacientes Diagnosticados con enfermedad Huérfana por quinquenios de Edades del DANE. 2013</w:t>
      </w:r>
    </w:p>
    <w:p w14:paraId="1DD0A98A" w14:textId="77777777" w:rsidR="004E4DC0" w:rsidRDefault="004E4DC0" w:rsidP="004E4DC0">
      <w:pPr>
        <w:rPr>
          <w:rStyle w:val="a98a9b1e82c96499aa09c7c430571e6bf4"/>
          <w:rFonts w:cs="Leelawadee"/>
          <w:sz w:val="20"/>
          <w:szCs w:val="20"/>
          <w:shd w:val="clear" w:color="auto" w:fill="FFFFFF"/>
        </w:rPr>
      </w:pPr>
      <w:r>
        <w:rPr>
          <w:noProof/>
          <w:lang w:val="es-ES" w:eastAsia="es-ES"/>
        </w:rPr>
        <w:drawing>
          <wp:inline distT="0" distB="0" distL="0" distR="0" wp14:anchorId="16B39672" wp14:editId="029F5E0C">
            <wp:extent cx="5612130" cy="3107055"/>
            <wp:effectExtent l="0" t="0" r="762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904E22E" w14:textId="77777777" w:rsidR="004E4DC0" w:rsidRDefault="004E4DC0" w:rsidP="004E4DC0">
      <w:pPr>
        <w:rPr>
          <w:rFonts w:cs="Leelawadee"/>
        </w:rPr>
      </w:pPr>
      <w:r w:rsidRPr="00BA28F7">
        <w:rPr>
          <w:rFonts w:cs="Leelawadee"/>
          <w:b/>
        </w:rPr>
        <w:t xml:space="preserve">Fuente: </w:t>
      </w:r>
      <w:r w:rsidRPr="0043712A">
        <w:rPr>
          <w:rFonts w:cs="Leelawadee"/>
        </w:rPr>
        <w:t xml:space="preserve">Elaboración Propia. </w:t>
      </w:r>
      <w:r>
        <w:rPr>
          <w:rFonts w:cs="Leelawadee"/>
          <w:b/>
        </w:rPr>
        <w:t xml:space="preserve">Datos: </w:t>
      </w:r>
      <w:r w:rsidRPr="00BA28F7">
        <w:rPr>
          <w:rStyle w:val="a98a9b1e82c96499aa09c7c430571e6bf3"/>
          <w:rFonts w:cs="Leelawadee"/>
          <w:sz w:val="20"/>
          <w:szCs w:val="20"/>
          <w:shd w:val="clear" w:color="auto" w:fill="FFFFFF"/>
        </w:rPr>
        <w:t xml:space="preserve">Módulo geográfico y </w:t>
      </w:r>
      <w:r w:rsidRPr="00BA28F7">
        <w:rPr>
          <w:rStyle w:val="a98a9b1e82c96499aa09c7c430571e6bf4"/>
          <w:rFonts w:cs="Leelawadee"/>
          <w:sz w:val="20"/>
          <w:szCs w:val="20"/>
          <w:shd w:val="clear" w:color="auto" w:fill="FFFFFF"/>
        </w:rPr>
        <w:t>Bodega de Datos SISPRO (SGD), Censo de pacientes con enfermedades huérfanas 2013.</w:t>
      </w:r>
    </w:p>
    <w:p w14:paraId="7B65F0C0" w14:textId="77777777" w:rsidR="004E4DC0" w:rsidRDefault="004E4DC0" w:rsidP="004E4DC0">
      <w:pPr>
        <w:rPr>
          <w:rFonts w:cs="Leelawadee"/>
        </w:rPr>
      </w:pPr>
    </w:p>
    <w:p w14:paraId="10D1E120" w14:textId="77777777" w:rsidR="004E4DC0" w:rsidRDefault="004E4DC0" w:rsidP="004E4DC0">
      <w:pPr>
        <w:rPr>
          <w:rFonts w:cs="Leelawadee"/>
        </w:rPr>
      </w:pPr>
      <w:r>
        <w:rPr>
          <w:rFonts w:cs="Leelawadee"/>
        </w:rPr>
        <w:t xml:space="preserve">Si bien al revisar las cifras de pacientes diagnosticados con enfermedades huérfanas y con discapacidad por quinquenios de edad, muestran porcentajes bajos en los menores de edad, analizadas cuantitativamente por número de pacientes, la concentración de personas con discapacidad es mayor en dichos quinquenios de edad. Es decir, mientras los pacientes de enfermedades huérfanas </w:t>
      </w:r>
      <w:r>
        <w:rPr>
          <w:rFonts w:cs="Leelawadee"/>
        </w:rPr>
        <w:lastRenderedPageBreak/>
        <w:t>adultos jóvenes y adultos con discapacidad oscila entre 28 a 40, y los adultos mayores entre 28 a 8, los menores de edad oscilan entre 52 a 83 pacientes, siendo estos la población con más fuertes padecimientos.</w:t>
      </w:r>
    </w:p>
    <w:p w14:paraId="5EB64757" w14:textId="77777777" w:rsidR="004E4DC0" w:rsidRPr="00BA28F7" w:rsidRDefault="004E4DC0" w:rsidP="004E4DC0">
      <w:pPr>
        <w:rPr>
          <w:rFonts w:cs="Leelawadee"/>
        </w:rPr>
      </w:pPr>
    </w:p>
    <w:p w14:paraId="11DBAFB9" w14:textId="77777777" w:rsidR="004E4DC0" w:rsidRDefault="004E4DC0" w:rsidP="004E4DC0">
      <w:pPr>
        <w:rPr>
          <w:rFonts w:cs="Leelawadee"/>
        </w:rPr>
      </w:pPr>
      <w:r w:rsidRPr="00BA28F7">
        <w:rPr>
          <w:rFonts w:cs="Leelawadee"/>
        </w:rPr>
        <w:t>En este sentido, se comprueba que las personas</w:t>
      </w:r>
      <w:r>
        <w:rPr>
          <w:rFonts w:cs="Leelawadee"/>
        </w:rPr>
        <w:t xml:space="preserve"> que son</w:t>
      </w:r>
      <w:r w:rsidRPr="00BA28F7">
        <w:rPr>
          <w:rFonts w:cs="Leelawadee"/>
        </w:rPr>
        <w:t xml:space="preserve"> pacientes diagnosticadas con enfermedades huérfanas por edades</w:t>
      </w:r>
      <w:r>
        <w:rPr>
          <w:rFonts w:cs="Leelawadee"/>
        </w:rPr>
        <w:t xml:space="preserve"> y con discapacidad</w:t>
      </w:r>
      <w:r w:rsidRPr="00BA28F7">
        <w:rPr>
          <w:rFonts w:cs="Leelawadee"/>
        </w:rPr>
        <w:t>, se agrupan preponderantemente en los niños de los quinquenios más tempranos en la infancia y, habida cuenta del rasgo común de estas enfermedades al ser degenerativas en la</w:t>
      </w:r>
      <w:r>
        <w:rPr>
          <w:rFonts w:cs="Leelawadee"/>
        </w:rPr>
        <w:t xml:space="preserve"> salud, los adultos y adultos mayores</w:t>
      </w:r>
      <w:r w:rsidRPr="00BA28F7">
        <w:rPr>
          <w:rFonts w:cs="Leelawadee"/>
        </w:rPr>
        <w:t xml:space="preserve">, tienden a ser </w:t>
      </w:r>
      <w:r>
        <w:rPr>
          <w:rFonts w:cs="Leelawadee"/>
        </w:rPr>
        <w:t>un número significativamente inferior de</w:t>
      </w:r>
      <w:r w:rsidRPr="00BA28F7">
        <w:rPr>
          <w:rFonts w:cs="Leelawadee"/>
        </w:rPr>
        <w:t xml:space="preserve"> pacientes.</w:t>
      </w:r>
    </w:p>
    <w:p w14:paraId="33F0FAE3" w14:textId="77777777" w:rsidR="004E4DC0" w:rsidRDefault="004E4DC0" w:rsidP="004E4DC0">
      <w:pPr>
        <w:rPr>
          <w:rFonts w:cs="Leelawadee"/>
        </w:rPr>
      </w:pPr>
    </w:p>
    <w:p w14:paraId="3ED5B686" w14:textId="77777777" w:rsidR="004E4DC0" w:rsidRPr="001336F2" w:rsidRDefault="004E4DC0" w:rsidP="004E4DC0">
      <w:pPr>
        <w:pStyle w:val="Epgrafe"/>
        <w:keepNext/>
        <w:jc w:val="center"/>
        <w:rPr>
          <w:sz w:val="24"/>
          <w:szCs w:val="24"/>
        </w:rPr>
      </w:pPr>
      <w:r w:rsidRPr="001336F2">
        <w:rPr>
          <w:color w:val="auto"/>
          <w:sz w:val="24"/>
          <w:szCs w:val="24"/>
        </w:rPr>
        <w:t xml:space="preserve">Ilustración </w:t>
      </w:r>
      <w:r w:rsidRPr="001336F2">
        <w:rPr>
          <w:color w:val="auto"/>
          <w:sz w:val="24"/>
          <w:szCs w:val="24"/>
        </w:rPr>
        <w:fldChar w:fldCharType="begin"/>
      </w:r>
      <w:r w:rsidRPr="001336F2">
        <w:rPr>
          <w:color w:val="auto"/>
          <w:sz w:val="24"/>
          <w:szCs w:val="24"/>
        </w:rPr>
        <w:instrText xml:space="preserve"> SEQ Ilustración \* ARABIC </w:instrText>
      </w:r>
      <w:r w:rsidRPr="001336F2">
        <w:rPr>
          <w:color w:val="auto"/>
          <w:sz w:val="24"/>
          <w:szCs w:val="24"/>
        </w:rPr>
        <w:fldChar w:fldCharType="separate"/>
      </w:r>
      <w:r w:rsidR="00E26BA7">
        <w:rPr>
          <w:noProof/>
          <w:color w:val="auto"/>
          <w:sz w:val="24"/>
          <w:szCs w:val="24"/>
        </w:rPr>
        <w:t>10</w:t>
      </w:r>
      <w:r w:rsidRPr="001336F2">
        <w:rPr>
          <w:color w:val="auto"/>
          <w:sz w:val="24"/>
          <w:szCs w:val="24"/>
        </w:rPr>
        <w:fldChar w:fldCharType="end"/>
      </w:r>
      <w:r w:rsidRPr="001336F2">
        <w:rPr>
          <w:color w:val="auto"/>
          <w:sz w:val="24"/>
          <w:szCs w:val="24"/>
        </w:rPr>
        <w:t xml:space="preserve">. Relación entre Pacientes con </w:t>
      </w:r>
      <w:r w:rsidRPr="001336F2">
        <w:rPr>
          <w:noProof/>
          <w:color w:val="auto"/>
          <w:sz w:val="24"/>
          <w:szCs w:val="24"/>
        </w:rPr>
        <w:t>Enfermedades Huérfanas</w:t>
      </w:r>
      <w:r w:rsidRPr="001336F2">
        <w:rPr>
          <w:color w:val="auto"/>
          <w:sz w:val="24"/>
          <w:szCs w:val="24"/>
        </w:rPr>
        <w:t xml:space="preserve"> Menores de Edad</w:t>
      </w:r>
      <w:r w:rsidRPr="001336F2">
        <w:rPr>
          <w:noProof/>
          <w:color w:val="auto"/>
          <w:sz w:val="24"/>
          <w:szCs w:val="24"/>
        </w:rPr>
        <w:t xml:space="preserve"> vs. Pacientes Adultos en variables Sin Discapacidad y Con discapacidad. 2013</w:t>
      </w:r>
    </w:p>
    <w:p w14:paraId="27C80747" w14:textId="77777777" w:rsidR="004E4DC0" w:rsidRPr="00BA28F7" w:rsidRDefault="004E4DC0" w:rsidP="004E4DC0">
      <w:pPr>
        <w:rPr>
          <w:rFonts w:cs="Leelawadee"/>
        </w:rPr>
      </w:pPr>
      <w:r>
        <w:rPr>
          <w:noProof/>
          <w:lang w:val="es-ES" w:eastAsia="es-ES"/>
        </w:rPr>
        <w:drawing>
          <wp:inline distT="0" distB="0" distL="0" distR="0" wp14:anchorId="36E7A28A" wp14:editId="6F535A1B">
            <wp:extent cx="5505450" cy="2743200"/>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FCBE50B" w14:textId="77777777" w:rsidR="004E4DC0" w:rsidRDefault="004E4DC0" w:rsidP="004E4DC0">
      <w:pPr>
        <w:rPr>
          <w:rFonts w:cs="Leelawadee"/>
        </w:rPr>
      </w:pPr>
      <w:r w:rsidRPr="00BA28F7">
        <w:rPr>
          <w:rFonts w:cs="Leelawadee"/>
          <w:b/>
        </w:rPr>
        <w:t xml:space="preserve">Fuente: </w:t>
      </w:r>
      <w:r w:rsidRPr="0043712A">
        <w:rPr>
          <w:rFonts w:cs="Leelawadee"/>
        </w:rPr>
        <w:t xml:space="preserve">Elaboración Propia. </w:t>
      </w:r>
      <w:r>
        <w:rPr>
          <w:rFonts w:cs="Leelawadee"/>
          <w:b/>
        </w:rPr>
        <w:t xml:space="preserve">Datos: </w:t>
      </w:r>
      <w:r w:rsidRPr="00BA28F7">
        <w:rPr>
          <w:rStyle w:val="a98a9b1e82c96499aa09c7c430571e6bf3"/>
          <w:rFonts w:cs="Leelawadee"/>
          <w:sz w:val="20"/>
          <w:szCs w:val="20"/>
          <w:shd w:val="clear" w:color="auto" w:fill="FFFFFF"/>
        </w:rPr>
        <w:t xml:space="preserve">Módulo geográfico y </w:t>
      </w:r>
      <w:r w:rsidRPr="00BA28F7">
        <w:rPr>
          <w:rStyle w:val="a98a9b1e82c96499aa09c7c430571e6bf4"/>
          <w:rFonts w:cs="Leelawadee"/>
          <w:sz w:val="20"/>
          <w:szCs w:val="20"/>
          <w:shd w:val="clear" w:color="auto" w:fill="FFFFFF"/>
        </w:rPr>
        <w:t>Bodega de Datos SISPRO (SGD), Censo de pacientes con enfermedades huérfanas 2013.</w:t>
      </w:r>
    </w:p>
    <w:p w14:paraId="0C1E9DF5" w14:textId="77777777" w:rsidR="004E4DC0" w:rsidRDefault="004E4DC0" w:rsidP="004E4DC0">
      <w:pPr>
        <w:rPr>
          <w:rFonts w:cs="Leelawadee"/>
        </w:rPr>
      </w:pPr>
    </w:p>
    <w:p w14:paraId="57925263" w14:textId="0D9E7402" w:rsidR="00AD485F" w:rsidRPr="00E30827" w:rsidRDefault="004E4DC0" w:rsidP="004E4DC0">
      <w:pPr>
        <w:rPr>
          <w:rFonts w:cs="Leelawadee"/>
          <w:szCs w:val="24"/>
        </w:rPr>
      </w:pPr>
      <w:r>
        <w:rPr>
          <w:rFonts w:cs="Leelawadee"/>
        </w:rPr>
        <w:t>Así las cosas, para el año 2013 los menores de edad representan el 45,05% de los pacientes diagnosticados con enfermedades huérfanas, es decir 2562 niños. Por su parte, de la totalidad de pacientes diagnosticados con enfermedades raras y con discapacidad los niños son el 42,58%, casi 261 niños frente a 351 adultos. Por lo tanto, la población más afectada por el padecimiento de enfermedades huérfanas son los niños, niñas y adolescentes, población de especial protección por parte del Estado.</w:t>
      </w:r>
    </w:p>
    <w:p w14:paraId="6F93629A" w14:textId="77777777" w:rsidR="57925263" w:rsidRPr="00E30827" w:rsidRDefault="57925263" w:rsidP="00B77A19">
      <w:pPr>
        <w:rPr>
          <w:rFonts w:cs="Leelawadee"/>
          <w:szCs w:val="24"/>
        </w:rPr>
      </w:pPr>
    </w:p>
    <w:p w14:paraId="7BA99E2E" w14:textId="3DBACA9F" w:rsidR="00763252" w:rsidRPr="00E30827" w:rsidRDefault="57925263" w:rsidP="00B77A19">
      <w:pPr>
        <w:rPr>
          <w:rFonts w:cs="Leelawadee"/>
          <w:b/>
          <w:color w:val="000000" w:themeColor="text1"/>
          <w:szCs w:val="24"/>
          <w:u w:val="single"/>
          <w:lang w:val="es-ES_tradnl"/>
        </w:rPr>
      </w:pPr>
      <w:r w:rsidRPr="00E30827">
        <w:rPr>
          <w:rFonts w:eastAsia="Leelawadee" w:cs="Leelawadee"/>
          <w:b/>
          <w:bCs/>
          <w:color w:val="000000" w:themeColor="text1"/>
          <w:szCs w:val="24"/>
          <w:u w:val="single"/>
          <w:lang w:val="es-ES"/>
        </w:rPr>
        <w:t xml:space="preserve">3.- </w:t>
      </w:r>
      <w:r w:rsidR="00261ACC">
        <w:rPr>
          <w:rFonts w:eastAsia="Leelawadee" w:cs="Leelawadee"/>
          <w:b/>
          <w:bCs/>
          <w:color w:val="000000" w:themeColor="text1"/>
          <w:szCs w:val="24"/>
          <w:u w:val="single"/>
          <w:lang w:val="es-ES"/>
        </w:rPr>
        <w:t>IMPACTO JURÍDICO</w:t>
      </w:r>
      <w:r w:rsidRPr="00E30827">
        <w:rPr>
          <w:rFonts w:eastAsia="Leelawadee" w:cs="Leelawadee"/>
          <w:b/>
          <w:bCs/>
          <w:color w:val="000000" w:themeColor="text1"/>
          <w:szCs w:val="24"/>
          <w:u w:val="single"/>
          <w:lang w:val="es-ES"/>
        </w:rPr>
        <w:t xml:space="preserve">  </w:t>
      </w:r>
      <w:r w:rsidR="001336F2">
        <w:rPr>
          <w:rFonts w:eastAsia="Leelawadee" w:cs="Leelawadee"/>
          <w:b/>
          <w:bCs/>
          <w:color w:val="000000" w:themeColor="text1"/>
          <w:szCs w:val="24"/>
          <w:u w:val="single"/>
          <w:lang w:val="es-ES"/>
        </w:rPr>
        <w:t>DE LA INICIATIVA</w:t>
      </w:r>
    </w:p>
    <w:p w14:paraId="352634CF" w14:textId="29A8B251" w:rsidR="00763252" w:rsidRPr="00E30827" w:rsidRDefault="00763252" w:rsidP="00B77A19">
      <w:pPr>
        <w:rPr>
          <w:rFonts w:cs="Leelawadee"/>
          <w:b/>
          <w:color w:val="000000" w:themeColor="text1"/>
          <w:szCs w:val="24"/>
          <w:u w:val="single"/>
          <w:lang w:val="es-ES_tradnl"/>
        </w:rPr>
      </w:pPr>
    </w:p>
    <w:p w14:paraId="52EA2C64" w14:textId="77777777" w:rsidR="004E4DC0" w:rsidRDefault="004E4DC0" w:rsidP="004E4DC0">
      <w:pPr>
        <w:rPr>
          <w:rFonts w:cs="Leelawadee"/>
        </w:rPr>
      </w:pPr>
      <w:r>
        <w:rPr>
          <w:rFonts w:cs="Leelawadee"/>
        </w:rPr>
        <w:t xml:space="preserve">La </w:t>
      </w:r>
      <w:r w:rsidRPr="00BA28F7">
        <w:rPr>
          <w:rFonts w:cs="Leelawadee"/>
        </w:rPr>
        <w:t xml:space="preserve">Anemia </w:t>
      </w:r>
      <w:proofErr w:type="spellStart"/>
      <w:r w:rsidRPr="00BA28F7">
        <w:rPr>
          <w:rFonts w:cs="Leelawadee"/>
        </w:rPr>
        <w:t>Drepanosítica</w:t>
      </w:r>
      <w:proofErr w:type="spellEnd"/>
      <w:r>
        <w:rPr>
          <w:rFonts w:cs="Leelawadee"/>
        </w:rPr>
        <w:t xml:space="preserve"> es contemplada dentro del Sistema General de Seguridad Social en Salud como una enfermedad de Alto Costo. Sin embargo, cuando ésta afectación la padecen menores de edad, se considera como una enfermedad similar al cáncer infantil. Por lo tanto, es una enfermedad, que más allá del costo elevado de su tratamiento, es ausente de un tratamiento especial jurídico o prestacional. </w:t>
      </w:r>
    </w:p>
    <w:p w14:paraId="7CB5D60F" w14:textId="77777777" w:rsidR="004E4DC0" w:rsidRDefault="004E4DC0" w:rsidP="004E4DC0">
      <w:pPr>
        <w:rPr>
          <w:rFonts w:cs="Leelawadee"/>
        </w:rPr>
      </w:pPr>
    </w:p>
    <w:p w14:paraId="66E20691" w14:textId="77777777" w:rsidR="004E4DC0" w:rsidRPr="00BA28F7" w:rsidRDefault="004E4DC0" w:rsidP="004E4DC0">
      <w:pPr>
        <w:rPr>
          <w:rFonts w:cs="Leelawadee"/>
          <w:b/>
        </w:rPr>
      </w:pPr>
      <w:r w:rsidRPr="00BA28F7">
        <w:rPr>
          <w:rFonts w:cs="Leelawadee"/>
        </w:rPr>
        <w:t xml:space="preserve">Al preguntarse si los pacientes que padecen enfermedades huérfanas, en particular los diagnosticados con Anemia </w:t>
      </w:r>
      <w:proofErr w:type="spellStart"/>
      <w:r w:rsidRPr="00BA28F7">
        <w:rPr>
          <w:rFonts w:cs="Leelawadee"/>
        </w:rPr>
        <w:t>Drepanosítica</w:t>
      </w:r>
      <w:proofErr w:type="spellEnd"/>
      <w:r w:rsidRPr="00BA28F7">
        <w:rPr>
          <w:rFonts w:cs="Leelawadee"/>
        </w:rPr>
        <w:t xml:space="preserve">, han sido del interés por parte del legislador colombiano, es necesario abordar una revisión jurídica de los asuntos </w:t>
      </w:r>
      <w:r w:rsidRPr="00BA28F7">
        <w:rPr>
          <w:rFonts w:cs="Leelawadee"/>
        </w:rPr>
        <w:lastRenderedPageBreak/>
        <w:t>respecto de los cuales existe creación normativa en dicha materia. Para ello, dentro del marco de la constitución Política de 1991, se revisará las leyes expedidas por el Congreso de la República, los Actos Administrativos del Gobierno Nacional y la jurisprudencia de las Cortes.</w:t>
      </w:r>
    </w:p>
    <w:p w14:paraId="0822D21B" w14:textId="77777777" w:rsidR="004E4DC0" w:rsidRPr="00BA28F7" w:rsidRDefault="004E4DC0" w:rsidP="004E4DC0">
      <w:pPr>
        <w:rPr>
          <w:rFonts w:cs="Leelawadee"/>
          <w:b/>
        </w:rPr>
      </w:pPr>
    </w:p>
    <w:p w14:paraId="3AE2F8BA" w14:textId="77777777" w:rsidR="004E4DC0" w:rsidRPr="00BA28F7" w:rsidRDefault="004E4DC0" w:rsidP="004E4DC0">
      <w:pPr>
        <w:rPr>
          <w:rFonts w:cs="Leelawadee"/>
          <w:szCs w:val="24"/>
        </w:rPr>
      </w:pPr>
      <w:r w:rsidRPr="00BA28F7">
        <w:rPr>
          <w:rFonts w:cs="Leelawadee"/>
        </w:rPr>
        <w:t xml:space="preserve">La </w:t>
      </w:r>
      <w:r w:rsidRPr="00BA28F7">
        <w:rPr>
          <w:rFonts w:cs="Leelawadee"/>
          <w:b/>
        </w:rPr>
        <w:t>Ley 1392 de 2010</w:t>
      </w:r>
      <w:r w:rsidRPr="00BA28F7">
        <w:rPr>
          <w:rFonts w:cs="Leelawadee"/>
        </w:rPr>
        <w:t xml:space="preserve">, establece el régimen general de las enfermedades huérfanas para el Sistema General de Seguridad </w:t>
      </w:r>
      <w:r w:rsidRPr="00BA28F7">
        <w:rPr>
          <w:rFonts w:cs="Leelawadee"/>
          <w:szCs w:val="24"/>
        </w:rPr>
        <w:t xml:space="preserve">Social en Salud y siendo estas </w:t>
      </w:r>
      <w:r w:rsidRPr="00BA28F7">
        <w:rPr>
          <w:rFonts w:cs="Leelawadee"/>
        </w:rPr>
        <w:t>enfermedades de interés en salud pública</w:t>
      </w:r>
      <w:r w:rsidRPr="00BA28F7">
        <w:rPr>
          <w:rFonts w:cs="Leelawadee"/>
          <w:szCs w:val="24"/>
        </w:rPr>
        <w:t xml:space="preserve">. La cual, en el artículo 2, las define como: </w:t>
      </w:r>
    </w:p>
    <w:p w14:paraId="306CC3C6" w14:textId="77777777" w:rsidR="004E4DC0" w:rsidRPr="00BA28F7" w:rsidRDefault="004E4DC0" w:rsidP="004E4DC0">
      <w:pPr>
        <w:ind w:left="708"/>
        <w:rPr>
          <w:rFonts w:cs="Leelawadee"/>
          <w:szCs w:val="24"/>
          <w:shd w:val="clear" w:color="auto" w:fill="FDFAF7"/>
        </w:rPr>
      </w:pPr>
      <w:r w:rsidRPr="00BA28F7">
        <w:rPr>
          <w:rFonts w:cs="Leelawadee"/>
          <w:i/>
          <w:szCs w:val="24"/>
        </w:rPr>
        <w:t xml:space="preserve">“las enfermedades huérfanas son aquellas crónicamente debilitantes, graves, que amenazan la vida y con una prevalencia menor de 1 por cada 5.000 personas, comprenden, las enfermedades raras, las </w:t>
      </w:r>
      <w:proofErr w:type="spellStart"/>
      <w:r w:rsidRPr="00BA28F7">
        <w:rPr>
          <w:rFonts w:cs="Leelawadee"/>
          <w:i/>
          <w:szCs w:val="24"/>
        </w:rPr>
        <w:t>ultrahuérfanas</w:t>
      </w:r>
      <w:proofErr w:type="spellEnd"/>
      <w:r w:rsidRPr="00BA28F7">
        <w:rPr>
          <w:rFonts w:cs="Leelawadee"/>
          <w:i/>
          <w:szCs w:val="24"/>
        </w:rPr>
        <w:t xml:space="preserve"> y olvidadas.”</w:t>
      </w:r>
    </w:p>
    <w:p w14:paraId="579F525A" w14:textId="77777777" w:rsidR="004E4DC0" w:rsidRPr="00BA28F7" w:rsidRDefault="004E4DC0" w:rsidP="004E4DC0">
      <w:pPr>
        <w:rPr>
          <w:rFonts w:cs="Leelawadee"/>
          <w:b/>
        </w:rPr>
      </w:pPr>
    </w:p>
    <w:p w14:paraId="16273538" w14:textId="77777777" w:rsidR="004E4DC0" w:rsidRPr="00BA28F7" w:rsidRDefault="004E4DC0" w:rsidP="004E4DC0">
      <w:pPr>
        <w:rPr>
          <w:rFonts w:cs="Leelawadee"/>
          <w:szCs w:val="24"/>
        </w:rPr>
      </w:pPr>
      <w:r w:rsidRPr="00BA28F7">
        <w:rPr>
          <w:rFonts w:cs="Leelawadee"/>
          <w:szCs w:val="24"/>
        </w:rPr>
        <w:t>El artículo 12 de la Ley 1392 de 2010, establece la obligación al Gobierno Nacional de diseñar planes y proyectos de inclusión social a los pacientes con EH; como sigue:</w:t>
      </w:r>
    </w:p>
    <w:p w14:paraId="793155BF" w14:textId="77777777" w:rsidR="004E4DC0" w:rsidRPr="00BA28F7" w:rsidRDefault="004E4DC0" w:rsidP="004E4DC0">
      <w:pPr>
        <w:ind w:left="708"/>
        <w:rPr>
          <w:rFonts w:cs="Leelawadee"/>
          <w:i/>
          <w:szCs w:val="24"/>
        </w:rPr>
      </w:pPr>
      <w:bookmarkStart w:id="2" w:name="12"/>
      <w:r w:rsidRPr="00BA28F7">
        <w:rPr>
          <w:rFonts w:cs="Leelawadee"/>
          <w:b/>
          <w:bCs/>
          <w:i/>
          <w:szCs w:val="24"/>
        </w:rPr>
        <w:t>ARTÍCULO 12. INSERCIÓN SOCIAL.</w:t>
      </w:r>
      <w:bookmarkEnd w:id="2"/>
      <w:r w:rsidRPr="00BA28F7">
        <w:rPr>
          <w:rFonts w:cs="Leelawadee"/>
          <w:i/>
          <w:szCs w:val="24"/>
        </w:rPr>
        <w:t> El Gobierno Nacional diseñará estrategias que propendan la inclusión e integración social de la población de pacientes con enfermedades huérfanas, tales como: acceso a bienes y servicios, a educación y al mercado laboral; identificando las barreras de acceso y las prácticas institucionales de discriminación con el fin de establecer mecanismos para su eliminación.</w:t>
      </w:r>
    </w:p>
    <w:p w14:paraId="74B36743" w14:textId="77777777" w:rsidR="004E4DC0" w:rsidRPr="00BA28F7" w:rsidRDefault="004E4DC0" w:rsidP="004E4DC0">
      <w:pPr>
        <w:rPr>
          <w:rFonts w:cs="Leelawadee"/>
          <w:i/>
          <w:szCs w:val="24"/>
        </w:rPr>
      </w:pPr>
    </w:p>
    <w:p w14:paraId="218D5E51" w14:textId="77777777" w:rsidR="004E4DC0" w:rsidRPr="00BA28F7" w:rsidRDefault="004E4DC0" w:rsidP="004E4DC0">
      <w:pPr>
        <w:rPr>
          <w:rFonts w:cs="Leelawadee"/>
          <w:szCs w:val="24"/>
        </w:rPr>
      </w:pPr>
      <w:r w:rsidRPr="00BA28F7">
        <w:rPr>
          <w:rFonts w:cs="Leelawadee"/>
          <w:szCs w:val="24"/>
        </w:rPr>
        <w:t xml:space="preserve">En la </w:t>
      </w:r>
      <w:r w:rsidRPr="00BA28F7">
        <w:rPr>
          <w:rFonts w:cs="Leelawadee"/>
          <w:b/>
          <w:szCs w:val="24"/>
        </w:rPr>
        <w:t xml:space="preserve">Ley 1715 de 2014, </w:t>
      </w:r>
      <w:r w:rsidRPr="00BA28F7">
        <w:rPr>
          <w:rFonts w:cs="Leelawadee"/>
          <w:szCs w:val="24"/>
        </w:rPr>
        <w:t>Estatutaria de Salud, determina en el artículo 11 a los pacientes que padecen enfermedades huérfanas como sujetos de especial protección por parte del Estado.</w:t>
      </w:r>
    </w:p>
    <w:p w14:paraId="47680F55" w14:textId="77777777" w:rsidR="004E4DC0" w:rsidRPr="00BA28F7" w:rsidRDefault="004E4DC0" w:rsidP="004E4DC0">
      <w:pPr>
        <w:ind w:left="708"/>
        <w:rPr>
          <w:rFonts w:cs="Leelawadee"/>
          <w:i/>
        </w:rPr>
      </w:pPr>
      <w:r w:rsidRPr="00BA28F7">
        <w:rPr>
          <w:rFonts w:cs="Leelawadee"/>
          <w:b/>
          <w:i/>
        </w:rPr>
        <w:t>ARTÍCULO 11. SUJETOS DE ESPECIAL PROTECCIÓN.</w:t>
      </w:r>
      <w:r w:rsidRPr="00BA28F7">
        <w:rPr>
          <w:rFonts w:cs="Leelawadee"/>
          <w:i/>
        </w:rPr>
        <w:t xml:space="preserve"> </w:t>
      </w:r>
      <w:r w:rsidRPr="00BA28F7">
        <w:rPr>
          <w:rStyle w:val="btext"/>
          <w:rFonts w:cs="Leelawadee"/>
          <w:i/>
          <w:szCs w:val="24"/>
        </w:rPr>
        <w:t>La atención de niños, niñas y adolescentes, mujeres en estado de embarazo, desplazados, víctimas de violencia y del conflicto armado, la población adulta mayor, personas que sufren de enfermedades huérfanas y personas en condición de discapacidad, gozarán de especial protección por parte del Estado. Su atención en salud no estará limitada por ningún tipo de restricción administrativa o económica. Las instituciones que hagan parte del sector salud deberán definir procesos de atención intersectoriales e interdisciplinarios que le garanticen las mejores condiciones de atención.</w:t>
      </w:r>
    </w:p>
    <w:p w14:paraId="7E211BC6" w14:textId="77777777" w:rsidR="004E4DC0" w:rsidRPr="00BA28F7" w:rsidRDefault="004E4DC0" w:rsidP="004E4DC0">
      <w:pPr>
        <w:rPr>
          <w:rFonts w:cs="Leelawadee"/>
          <w:szCs w:val="24"/>
        </w:rPr>
      </w:pPr>
    </w:p>
    <w:p w14:paraId="57336A59" w14:textId="77777777" w:rsidR="004E4DC0" w:rsidRPr="00BA28F7" w:rsidRDefault="004E4DC0" w:rsidP="004E4DC0">
      <w:pPr>
        <w:rPr>
          <w:rFonts w:cs="Leelawadee"/>
          <w:szCs w:val="24"/>
        </w:rPr>
      </w:pPr>
      <w:r w:rsidRPr="00BA28F7">
        <w:rPr>
          <w:rFonts w:cs="Leelawadee"/>
          <w:szCs w:val="24"/>
        </w:rPr>
        <w:t>Por su parte, el Código Penal establece como agravante punitivo por la conducta de la enajenación ilegal de medicamentos, cuando ésta verse sobre medicamentos para tratar enfermedades huérfanas y de alto costo:</w:t>
      </w:r>
    </w:p>
    <w:p w14:paraId="6A83B611" w14:textId="77777777" w:rsidR="004E4DC0" w:rsidRPr="00BA28F7" w:rsidRDefault="004E4DC0" w:rsidP="004E4DC0">
      <w:pPr>
        <w:ind w:left="708"/>
        <w:rPr>
          <w:rStyle w:val="btext"/>
          <w:rFonts w:cs="Leelawadee"/>
          <w:i/>
          <w:szCs w:val="24"/>
        </w:rPr>
      </w:pPr>
      <w:r w:rsidRPr="00BA28F7">
        <w:rPr>
          <w:rFonts w:cs="Leelawadee"/>
          <w:b/>
          <w:i/>
          <w:szCs w:val="24"/>
        </w:rPr>
        <w:t>ARTÍCULO 374A. ENAJENACIÓN ILEGAL DE MEDICAMENTOS</w:t>
      </w:r>
      <w:proofErr w:type="gramStart"/>
      <w:r w:rsidRPr="00BA28F7">
        <w:rPr>
          <w:rFonts w:cs="Leelawadee"/>
          <w:b/>
          <w:i/>
          <w:szCs w:val="24"/>
        </w:rPr>
        <w:t>.</w:t>
      </w:r>
      <w:r w:rsidRPr="00BA28F7">
        <w:rPr>
          <w:rStyle w:val="btext"/>
          <w:rFonts w:cs="Leelawadee"/>
          <w:b/>
          <w:i/>
          <w:szCs w:val="24"/>
        </w:rPr>
        <w:t>&lt;</w:t>
      </w:r>
      <w:proofErr w:type="gramEnd"/>
      <w:r w:rsidRPr="00BA28F7">
        <w:rPr>
          <w:rStyle w:val="btext"/>
          <w:rFonts w:cs="Leelawadee"/>
          <w:i/>
          <w:szCs w:val="24"/>
        </w:rPr>
        <w:t xml:space="preserve"> Artículo adicionado por el artículo </w:t>
      </w:r>
      <w:r w:rsidRPr="00BA28F7">
        <w:rPr>
          <w:rFonts w:cs="Leelawadee"/>
          <w:i/>
          <w:szCs w:val="24"/>
        </w:rPr>
        <w:t>21</w:t>
      </w:r>
      <w:r w:rsidRPr="00BA28F7">
        <w:rPr>
          <w:rStyle w:val="btext"/>
          <w:rFonts w:cs="Leelawadee"/>
          <w:i/>
          <w:szCs w:val="24"/>
        </w:rPr>
        <w:t> de la Ley 1453 de 2011. El nuevo texto es el siguiente: &gt; El que con el objeto de obtener un provecho para sí mismo o para un tercero enajene a título oneroso, adquiera o comercialice un medicamento que se le haya entregado a un usuario del Sistema General de Seguridad Social en Salud, incurrirá en prisión de veinticuatro (24) a cuarenta y ocho (48) meses y multa de cincuenta (50) a doscientos (200) salarios mínimos legales mensuales vigentes.</w:t>
      </w:r>
    </w:p>
    <w:p w14:paraId="59EC8CEE" w14:textId="77777777" w:rsidR="004E4DC0" w:rsidRPr="00BA28F7" w:rsidRDefault="004E4DC0" w:rsidP="004E4DC0">
      <w:pPr>
        <w:rPr>
          <w:rFonts w:cs="Leelawadee"/>
          <w:i/>
          <w:szCs w:val="24"/>
        </w:rPr>
      </w:pPr>
    </w:p>
    <w:p w14:paraId="62E76FBC" w14:textId="77777777" w:rsidR="004E4DC0" w:rsidRPr="00BA28F7" w:rsidRDefault="004E4DC0" w:rsidP="004E4DC0">
      <w:pPr>
        <w:ind w:left="708"/>
        <w:rPr>
          <w:rFonts w:cs="Leelawadee"/>
          <w:sz w:val="21"/>
        </w:rPr>
      </w:pPr>
      <w:bookmarkStart w:id="3" w:name="26D049E5-FEDE-4081-8053-0DC3E1F8A0B9"/>
      <w:bookmarkEnd w:id="3"/>
      <w:r w:rsidRPr="00BA28F7">
        <w:rPr>
          <w:rStyle w:val="btext"/>
          <w:rFonts w:cs="Leelawadee"/>
          <w:i/>
          <w:szCs w:val="24"/>
        </w:rPr>
        <w:t>La pena se aumentará de una tercera parte a la mitad cuando se trate de medicamentos de origen biológico y biotecnológico y aquellos para tratar enfermedades huérfanas y de alto costo.</w:t>
      </w:r>
    </w:p>
    <w:p w14:paraId="63B66100" w14:textId="77777777" w:rsidR="004E4DC0" w:rsidRPr="00BA28F7" w:rsidRDefault="004E4DC0" w:rsidP="004E4DC0">
      <w:pPr>
        <w:rPr>
          <w:rFonts w:cs="Leelawadee"/>
          <w:szCs w:val="24"/>
        </w:rPr>
      </w:pPr>
    </w:p>
    <w:p w14:paraId="66B437CE" w14:textId="77777777" w:rsidR="004E4DC0" w:rsidRPr="00BA28F7" w:rsidRDefault="004E4DC0" w:rsidP="004E4DC0">
      <w:pPr>
        <w:rPr>
          <w:rFonts w:cs="Leelawadee"/>
          <w:szCs w:val="24"/>
        </w:rPr>
      </w:pPr>
      <w:r w:rsidRPr="00BA28F7">
        <w:rPr>
          <w:rFonts w:cs="Leelawadee"/>
          <w:szCs w:val="24"/>
        </w:rPr>
        <w:lastRenderedPageBreak/>
        <w:t>El Gobierno Nacional, en virtud del régimen de enfermedades huérfanas, ha expedido diferentes Actos Administrativos para darle alcance a los mandatos legales, a continuación se hace una breve reseña de los mismos:</w:t>
      </w:r>
    </w:p>
    <w:p w14:paraId="2ACDCEE0" w14:textId="77777777" w:rsidR="004E4DC0" w:rsidRPr="00BA28F7" w:rsidRDefault="004E4DC0" w:rsidP="004E4DC0">
      <w:pPr>
        <w:rPr>
          <w:rFonts w:cs="Leelawadee"/>
          <w:szCs w:val="24"/>
        </w:rPr>
      </w:pPr>
    </w:p>
    <w:p w14:paraId="34863693" w14:textId="77777777" w:rsidR="004E4DC0" w:rsidRPr="00BA28F7" w:rsidRDefault="004E4DC0" w:rsidP="004E4DC0">
      <w:pPr>
        <w:rPr>
          <w:rFonts w:cs="Leelawadee"/>
        </w:rPr>
      </w:pPr>
      <w:r w:rsidRPr="00BA28F7">
        <w:rPr>
          <w:rFonts w:cs="Leelawadee"/>
        </w:rPr>
        <w:t xml:space="preserve">El </w:t>
      </w:r>
      <w:r w:rsidRPr="00BA28F7">
        <w:rPr>
          <w:rFonts w:cs="Leelawadee"/>
          <w:b/>
        </w:rPr>
        <w:t>Decreto Único Reglamentario del Sector Salud No. 780 de 2016</w:t>
      </w:r>
      <w:r w:rsidRPr="00BA28F7">
        <w:rPr>
          <w:rFonts w:cs="Leelawadee"/>
        </w:rPr>
        <w:t xml:space="preserve">, el título 4 recoge las disposiciones del Decreto 1954 de 2012 en lo relacionado son el Sistema de Información de Pacientes con Enfermedades Huérfanas, en armonía con la legislación en la materia. Este sistema se articula como una obligación de las entidades responsables del Sistema de Salud de todos los niveles, con el objeto de recopilar la información sobre los eventos de estas enfermedades y ser recogida por el </w:t>
      </w:r>
      <w:r w:rsidRPr="00BA28F7">
        <w:rPr>
          <w:rFonts w:cs="Leelawadee"/>
          <w:sz w:val="21"/>
          <w:shd w:val="clear" w:color="auto" w:fill="FDFAF7"/>
        </w:rPr>
        <w:t> </w:t>
      </w:r>
      <w:r w:rsidRPr="00BA28F7">
        <w:rPr>
          <w:rFonts w:cs="Leelawadee"/>
        </w:rPr>
        <w:t>Sistema Integral de Información de la Protección Social (</w:t>
      </w:r>
      <w:proofErr w:type="spellStart"/>
      <w:r w:rsidRPr="00BA28F7">
        <w:rPr>
          <w:rFonts w:cs="Leelawadee"/>
        </w:rPr>
        <w:t>Sispro</w:t>
      </w:r>
      <w:proofErr w:type="spellEnd"/>
      <w:r w:rsidRPr="00BA28F7">
        <w:rPr>
          <w:rFonts w:cs="Leelawadee"/>
        </w:rPr>
        <w:t>) creado en la Ley 1438 de 2011.</w:t>
      </w:r>
    </w:p>
    <w:p w14:paraId="1BE87F05" w14:textId="77777777" w:rsidR="004E4DC0" w:rsidRPr="00BA28F7" w:rsidRDefault="004E4DC0" w:rsidP="004E4DC0">
      <w:pPr>
        <w:rPr>
          <w:rFonts w:cs="Leelawadee"/>
        </w:rPr>
      </w:pPr>
    </w:p>
    <w:p w14:paraId="415D9F95" w14:textId="77777777" w:rsidR="004E4DC0" w:rsidRPr="00BA28F7" w:rsidRDefault="004E4DC0" w:rsidP="004E4DC0">
      <w:pPr>
        <w:rPr>
          <w:rFonts w:cs="Leelawadee"/>
        </w:rPr>
      </w:pPr>
      <w:r w:rsidRPr="00BA28F7">
        <w:rPr>
          <w:rFonts w:cs="Leelawadee"/>
        </w:rPr>
        <w:t>El Ministerio de Salud por medio de las</w:t>
      </w:r>
      <w:r w:rsidRPr="00BA28F7">
        <w:rPr>
          <w:rFonts w:cs="Leelawadee"/>
          <w:b/>
        </w:rPr>
        <w:t xml:space="preserve"> Resoluciones 430 de 2013, 2048 de 2015</w:t>
      </w:r>
      <w:r w:rsidRPr="00BA28F7">
        <w:rPr>
          <w:rFonts w:cs="Leelawadee"/>
        </w:rPr>
        <w:t xml:space="preserve"> ha actualizado el listado de las enfermedades que se consideran huérfanas con la participación de las asociaciones de pacientes, académicos y sociedades científicas listando 2.149 diagnósticos que se entienden como enfermedades huérfanas, </w:t>
      </w:r>
      <w:r w:rsidRPr="00BA28F7">
        <w:rPr>
          <w:rFonts w:cs="Leelawadee"/>
          <w:szCs w:val="24"/>
        </w:rPr>
        <w:t xml:space="preserve">raras, las </w:t>
      </w:r>
      <w:proofErr w:type="spellStart"/>
      <w:r w:rsidRPr="00BA28F7">
        <w:rPr>
          <w:rFonts w:cs="Leelawadee"/>
          <w:szCs w:val="24"/>
        </w:rPr>
        <w:t>ultrahuérfanas</w:t>
      </w:r>
      <w:proofErr w:type="spellEnd"/>
      <w:r w:rsidRPr="00BA28F7">
        <w:rPr>
          <w:rFonts w:cs="Leelawadee"/>
          <w:szCs w:val="24"/>
        </w:rPr>
        <w:t xml:space="preserve"> y olvidadas</w:t>
      </w:r>
      <w:r w:rsidRPr="00BA28F7">
        <w:rPr>
          <w:rFonts w:cs="Leelawadee"/>
        </w:rPr>
        <w:t>.</w:t>
      </w:r>
    </w:p>
    <w:p w14:paraId="3FBFFCE2" w14:textId="77777777" w:rsidR="004E4DC0" w:rsidRPr="00BA28F7" w:rsidRDefault="004E4DC0" w:rsidP="004E4DC0">
      <w:pPr>
        <w:rPr>
          <w:rFonts w:cs="Leelawadee"/>
        </w:rPr>
      </w:pPr>
    </w:p>
    <w:p w14:paraId="43553734" w14:textId="77777777" w:rsidR="004E4DC0" w:rsidRPr="00BA28F7" w:rsidRDefault="004E4DC0" w:rsidP="004E4DC0">
      <w:pPr>
        <w:rPr>
          <w:rFonts w:cs="Leelawadee"/>
          <w:b/>
          <w:u w:val="single"/>
        </w:rPr>
      </w:pPr>
      <w:r w:rsidRPr="00BA28F7">
        <w:rPr>
          <w:rFonts w:cs="Leelawadee"/>
          <w:b/>
          <w:u w:val="single"/>
        </w:rPr>
        <w:t xml:space="preserve">Sobre el particular, la enfermedad de anemia </w:t>
      </w:r>
      <w:proofErr w:type="spellStart"/>
      <w:r w:rsidRPr="00BA28F7">
        <w:rPr>
          <w:rFonts w:cs="Leelawadee"/>
          <w:b/>
          <w:u w:val="single"/>
        </w:rPr>
        <w:t>drepanocítica</w:t>
      </w:r>
      <w:proofErr w:type="spellEnd"/>
      <w:r w:rsidRPr="00BA28F7">
        <w:rPr>
          <w:rFonts w:cs="Leelawadee"/>
          <w:b/>
          <w:u w:val="single"/>
        </w:rPr>
        <w:t>, está contemplada el listado de enfermedades huérfanas</w:t>
      </w:r>
      <w:r>
        <w:rPr>
          <w:rFonts w:cs="Leelawadee"/>
          <w:b/>
          <w:u w:val="single"/>
        </w:rPr>
        <w:t>, identificada con el número 751</w:t>
      </w:r>
      <w:r w:rsidRPr="00BA28F7">
        <w:rPr>
          <w:rFonts w:cs="Leelawadee"/>
          <w:b/>
          <w:u w:val="single"/>
        </w:rPr>
        <w:t xml:space="preserve">. </w:t>
      </w:r>
    </w:p>
    <w:p w14:paraId="37339C35" w14:textId="77777777" w:rsidR="004E4DC0" w:rsidRPr="00BA28F7" w:rsidRDefault="004E4DC0" w:rsidP="004E4DC0">
      <w:pPr>
        <w:rPr>
          <w:rFonts w:cs="Leelawadee"/>
        </w:rPr>
      </w:pPr>
    </w:p>
    <w:p w14:paraId="51FC80AF" w14:textId="77777777" w:rsidR="004E4DC0" w:rsidRPr="00BA28F7" w:rsidRDefault="004E4DC0" w:rsidP="004E4DC0">
      <w:pPr>
        <w:rPr>
          <w:rFonts w:cs="Leelawadee"/>
        </w:rPr>
      </w:pPr>
      <w:r w:rsidRPr="00BA28F7">
        <w:rPr>
          <w:rFonts w:cs="Leelawadee"/>
        </w:rPr>
        <w:t>Además, en diferentes Decretos y Resoluciones, ha implementado los criterios técnicos y financieros para eliminar las barreras de acceso al sistema de salud  de los pacientes que padeces estas enfermedades, al establecer dichos tratamientos en la Cuenta de Alto Costo del SGSSS.</w:t>
      </w:r>
    </w:p>
    <w:p w14:paraId="5EE194D6" w14:textId="77777777" w:rsidR="004E4DC0" w:rsidRPr="00BA28F7" w:rsidRDefault="004E4DC0" w:rsidP="004E4DC0">
      <w:pPr>
        <w:rPr>
          <w:rFonts w:cs="Leelawadee"/>
        </w:rPr>
      </w:pPr>
    </w:p>
    <w:p w14:paraId="0F17B8BA" w14:textId="77777777" w:rsidR="004E4DC0" w:rsidRPr="00BA28F7" w:rsidRDefault="004E4DC0" w:rsidP="004E4DC0">
      <w:pPr>
        <w:rPr>
          <w:rFonts w:cs="Leelawadee"/>
        </w:rPr>
      </w:pPr>
      <w:r w:rsidRPr="00BA28F7">
        <w:rPr>
          <w:rFonts w:cs="Leelawadee"/>
        </w:rPr>
        <w:t xml:space="preserve">Respecto del procedimiento para la atención de los pacientes con estas enfermedades, el Ministerio de Salud expidió la </w:t>
      </w:r>
      <w:r w:rsidRPr="00BA28F7">
        <w:rPr>
          <w:rFonts w:cs="Leelawadee"/>
          <w:b/>
        </w:rPr>
        <w:t>Circular No. 11 de 2016</w:t>
      </w:r>
      <w:r w:rsidRPr="00BA28F7">
        <w:rPr>
          <w:rFonts w:cs="Leelawadee"/>
        </w:rPr>
        <w:t xml:space="preserve"> en la cual imparte las instrucciones a las Entidades del sector salud para garantizar la protección de los pacientes de enfermedades huérfanas, siguiendo una atención prioritaria, oportuna y especializada con disponibilidad del talento humano requerido para realizar el diagnóstico y expedir las órdenes necesarias en garantía del acceso, oportuno y continuo a las tecnologías para su tratamiento, con especial énfasis a los cuidadores de los pacientes y prevalencia en la atención de los menores de edad que padecen dichas enfermedades.</w:t>
      </w:r>
    </w:p>
    <w:p w14:paraId="1C166907" w14:textId="77777777" w:rsidR="004E4DC0" w:rsidRPr="00BA28F7" w:rsidRDefault="004E4DC0" w:rsidP="004E4DC0">
      <w:pPr>
        <w:rPr>
          <w:rFonts w:cs="Leelawadee"/>
        </w:rPr>
      </w:pPr>
    </w:p>
    <w:p w14:paraId="22C7E086" w14:textId="77777777" w:rsidR="004E4DC0" w:rsidRPr="00BA28F7" w:rsidRDefault="004E4DC0" w:rsidP="004E4DC0">
      <w:pPr>
        <w:rPr>
          <w:rFonts w:cs="Leelawadee"/>
        </w:rPr>
      </w:pPr>
      <w:r w:rsidRPr="00BA28F7">
        <w:rPr>
          <w:rFonts w:cs="Leelawadee"/>
        </w:rPr>
        <w:t xml:space="preserve">En la Jurisprudencia de la Corte Constitucional, particularmente en la </w:t>
      </w:r>
      <w:r w:rsidRPr="00BA28F7">
        <w:rPr>
          <w:rFonts w:cs="Leelawadee"/>
          <w:b/>
        </w:rPr>
        <w:t>Sentencia T-226 de 2015</w:t>
      </w:r>
      <w:r w:rsidRPr="00BA28F7">
        <w:rPr>
          <w:rFonts w:cs="Leelawadee"/>
        </w:rPr>
        <w:t xml:space="preserve">, se hace una interpretación normativa a las prestaciones que hace referencia el artículo 15 de la Ley Estatutaria de Salud, ampliando sus alcances para toda población dentro del territorio colombiano, manifestando: </w:t>
      </w:r>
    </w:p>
    <w:p w14:paraId="68FD4A3F" w14:textId="77777777" w:rsidR="004E4DC0" w:rsidRPr="00BA28F7" w:rsidRDefault="004E4DC0" w:rsidP="004E4DC0">
      <w:pPr>
        <w:rPr>
          <w:rFonts w:cs="Leelawadee"/>
        </w:rPr>
      </w:pPr>
    </w:p>
    <w:p w14:paraId="58163D5C" w14:textId="77777777" w:rsidR="004E4DC0" w:rsidRPr="00BA28F7" w:rsidRDefault="004E4DC0" w:rsidP="004E4DC0">
      <w:pPr>
        <w:ind w:left="708"/>
        <w:rPr>
          <w:rFonts w:cs="Leelawadee"/>
          <w:i/>
        </w:rPr>
      </w:pPr>
      <w:r w:rsidRPr="00BA28F7">
        <w:rPr>
          <w:rFonts w:cs="Leelawadee"/>
          <w:i/>
        </w:rPr>
        <w:t xml:space="preserve">“como regla general, se entenderá que todo está cubierto por el plan de salud a excepción de aquellas prestaciones que cumplan con los criterios establecidos en la norma citada, pues la restricción para la financiación de ciertos servicios resulta legítima dentro de una dinámica donde la exclusión sea la excepción. Sin embargo, en virtud del principio pro </w:t>
      </w:r>
      <w:proofErr w:type="spellStart"/>
      <w:r w:rsidRPr="00BA28F7">
        <w:rPr>
          <w:rFonts w:cs="Leelawadee"/>
          <w:i/>
        </w:rPr>
        <w:t>homine</w:t>
      </w:r>
      <w:proofErr w:type="spellEnd"/>
      <w:r w:rsidRPr="00BA28F7">
        <w:rPr>
          <w:rFonts w:cs="Leelawadee"/>
          <w:i/>
        </w:rPr>
        <w:t>, como reiteradamente se ha señalado, de cumplirse ciertas condiciones, aun cuando el servicio esté excluido por dichas normas, podrá ser suministrado, básicamente en aplicación del criterio de requerir con necesidad, cuando ello se torne claramente indispensable para asegurar la prevalencia de los derechos fundamentales”</w:t>
      </w:r>
    </w:p>
    <w:p w14:paraId="683CD088" w14:textId="77777777" w:rsidR="004E4DC0" w:rsidRPr="00BA28F7" w:rsidRDefault="004E4DC0" w:rsidP="004E4DC0">
      <w:pPr>
        <w:rPr>
          <w:rFonts w:cs="Leelawadee"/>
        </w:rPr>
      </w:pPr>
    </w:p>
    <w:p w14:paraId="0018D0A5" w14:textId="77777777" w:rsidR="004E4DC0" w:rsidRPr="00BA28F7" w:rsidRDefault="004E4DC0" w:rsidP="004E4DC0">
      <w:pPr>
        <w:rPr>
          <w:rFonts w:cs="Leelawadee"/>
        </w:rPr>
      </w:pPr>
      <w:r w:rsidRPr="00BA28F7">
        <w:rPr>
          <w:rFonts w:cs="Leelawadee"/>
        </w:rPr>
        <w:t>Lo anterior, bajo las siguientes condiciones:</w:t>
      </w:r>
    </w:p>
    <w:p w14:paraId="5308F83F" w14:textId="77777777" w:rsidR="004E4DC0" w:rsidRPr="00BA28F7" w:rsidRDefault="004E4DC0" w:rsidP="004E4DC0">
      <w:pPr>
        <w:rPr>
          <w:rFonts w:cs="Leelawadee"/>
        </w:rPr>
      </w:pPr>
    </w:p>
    <w:p w14:paraId="1A286C78" w14:textId="77777777" w:rsidR="004E4DC0" w:rsidRPr="00BA28F7" w:rsidRDefault="004E4DC0" w:rsidP="004E4DC0">
      <w:pPr>
        <w:ind w:left="708"/>
        <w:rPr>
          <w:rFonts w:cs="Leelawadee"/>
          <w:i/>
          <w:lang w:eastAsia="es-ES"/>
        </w:rPr>
      </w:pPr>
      <w:r w:rsidRPr="00BA28F7">
        <w:rPr>
          <w:rFonts w:cs="Leelawadee"/>
          <w:i/>
          <w:lang w:eastAsia="es-ES"/>
        </w:rPr>
        <w:t>“a. Que la ausencia del fármaco o procedimiento médico lleve a la amenaza o vulneración de los derechos a la vida o la integridad física del paciente, bien sea porque se pone en riesgo su existencia o se ocasione un deterioro del estado de salud que impida que ésta se desarrolle en condiciones dignas.</w:t>
      </w:r>
    </w:p>
    <w:p w14:paraId="1BD60812" w14:textId="77777777" w:rsidR="004E4DC0" w:rsidRPr="00BA28F7" w:rsidRDefault="004E4DC0" w:rsidP="004E4DC0">
      <w:pPr>
        <w:rPr>
          <w:rFonts w:cs="Leelawadee"/>
          <w:i/>
          <w:lang w:eastAsia="es-ES"/>
        </w:rPr>
      </w:pPr>
      <w:bookmarkStart w:id="4" w:name="0EFBC5C2-63B9-475E-A5C4-42E2AF9D39F7"/>
      <w:bookmarkEnd w:id="4"/>
      <w:r w:rsidRPr="00BA28F7">
        <w:rPr>
          <w:rFonts w:cs="Leelawadee"/>
          <w:i/>
          <w:lang w:eastAsia="es-ES"/>
        </w:rPr>
        <w:t> </w:t>
      </w:r>
    </w:p>
    <w:p w14:paraId="7D005129" w14:textId="77777777" w:rsidR="004E4DC0" w:rsidRPr="00BA28F7" w:rsidRDefault="004E4DC0" w:rsidP="004E4DC0">
      <w:pPr>
        <w:ind w:left="708"/>
        <w:rPr>
          <w:rFonts w:cs="Leelawadee"/>
          <w:i/>
          <w:lang w:eastAsia="es-ES"/>
        </w:rPr>
      </w:pPr>
      <w:r w:rsidRPr="00BA28F7">
        <w:rPr>
          <w:rFonts w:cs="Leelawadee"/>
          <w:i/>
          <w:lang w:eastAsia="es-ES"/>
        </w:rPr>
        <w:t>b. Que no exista dentro del plan obligatorio de salud otro medicamento o tratamiento que supla al excluido con el mismo nivel de efectividad para garantizar el mínimo vital del afiliado o beneficiario.</w:t>
      </w:r>
    </w:p>
    <w:p w14:paraId="10367BB2" w14:textId="77777777" w:rsidR="004E4DC0" w:rsidRPr="00BA28F7" w:rsidRDefault="004E4DC0" w:rsidP="004E4DC0">
      <w:pPr>
        <w:rPr>
          <w:rFonts w:cs="Leelawadee"/>
          <w:i/>
          <w:lang w:eastAsia="es-ES"/>
        </w:rPr>
      </w:pPr>
      <w:bookmarkStart w:id="5" w:name="7F79BF64-F7A8-4092-AD6D-BCB3926F6FA5"/>
      <w:bookmarkEnd w:id="5"/>
      <w:r w:rsidRPr="00BA28F7">
        <w:rPr>
          <w:rFonts w:cs="Leelawadee"/>
          <w:i/>
          <w:lang w:eastAsia="es-ES"/>
        </w:rPr>
        <w:t> </w:t>
      </w:r>
    </w:p>
    <w:p w14:paraId="1534216D" w14:textId="77777777" w:rsidR="004E4DC0" w:rsidRPr="00BA28F7" w:rsidRDefault="004E4DC0" w:rsidP="004E4DC0">
      <w:pPr>
        <w:ind w:left="708"/>
        <w:rPr>
          <w:rFonts w:cs="Leelawadee"/>
          <w:i/>
          <w:lang w:eastAsia="es-ES"/>
        </w:rPr>
      </w:pPr>
      <w:r w:rsidRPr="00BA28F7">
        <w:rPr>
          <w:rFonts w:cs="Leelawadee"/>
          <w:i/>
          <w:lang w:eastAsia="es-ES"/>
        </w:rPr>
        <w:t xml:space="preserve">c. Que el paciente carezca de los recursos económicos suficientes para sufragar el costo del fármaco o procedimiento y carezca de posibilidad alguna de lograr su suministro  a través de planes complementarios de salud, medicina </w:t>
      </w:r>
      <w:proofErr w:type="spellStart"/>
      <w:r w:rsidRPr="00BA28F7">
        <w:rPr>
          <w:rFonts w:cs="Leelawadee"/>
          <w:i/>
          <w:lang w:eastAsia="es-ES"/>
        </w:rPr>
        <w:t>prepagada</w:t>
      </w:r>
      <w:proofErr w:type="spellEnd"/>
      <w:r w:rsidRPr="00BA28F7">
        <w:rPr>
          <w:rFonts w:cs="Leelawadee"/>
          <w:i/>
          <w:lang w:eastAsia="es-ES"/>
        </w:rPr>
        <w:t xml:space="preserve"> o programas de atención suministrados por algunos empleadores.</w:t>
      </w:r>
    </w:p>
    <w:p w14:paraId="0BF30A33" w14:textId="77777777" w:rsidR="004E4DC0" w:rsidRPr="00BA28F7" w:rsidRDefault="004E4DC0" w:rsidP="004E4DC0">
      <w:pPr>
        <w:ind w:left="708"/>
        <w:rPr>
          <w:rFonts w:cs="Leelawadee"/>
          <w:i/>
          <w:lang w:eastAsia="es-ES"/>
        </w:rPr>
      </w:pPr>
      <w:bookmarkStart w:id="6" w:name="4D5E8263-FD54-4B99-B4A9-77B42862D258"/>
      <w:bookmarkEnd w:id="6"/>
    </w:p>
    <w:p w14:paraId="05DAF177" w14:textId="77777777" w:rsidR="004E4DC0" w:rsidRPr="00BA28F7" w:rsidRDefault="004E4DC0" w:rsidP="004E4DC0">
      <w:pPr>
        <w:ind w:left="708"/>
        <w:rPr>
          <w:rFonts w:cs="Leelawadee"/>
          <w:lang w:eastAsia="es-ES"/>
        </w:rPr>
      </w:pPr>
      <w:r w:rsidRPr="00BA28F7">
        <w:rPr>
          <w:rFonts w:cs="Leelawadee"/>
          <w:i/>
          <w:lang w:eastAsia="es-ES"/>
        </w:rPr>
        <w:t>d. Que el medicamento o tratamiento excluido del plan obligatorio haya sido ordenado por el médico tratante del afiliado o beneficiario, profesional que debe estar adscrito a la entidad prestadora de salud a la que se solicita el suministro.</w:t>
      </w:r>
      <w:r w:rsidRPr="00BA28F7">
        <w:rPr>
          <w:rFonts w:cs="Leelawadee"/>
          <w:lang w:eastAsia="es-ES"/>
        </w:rPr>
        <w:t>”</w:t>
      </w:r>
    </w:p>
    <w:p w14:paraId="3B6E18C7" w14:textId="77777777" w:rsidR="004E4DC0" w:rsidRPr="00BA28F7" w:rsidRDefault="004E4DC0" w:rsidP="004E4DC0">
      <w:pPr>
        <w:rPr>
          <w:rFonts w:cs="Leelawadee"/>
        </w:rPr>
      </w:pPr>
    </w:p>
    <w:p w14:paraId="09B96D21" w14:textId="77777777" w:rsidR="004E4DC0" w:rsidRPr="00BA28F7" w:rsidRDefault="004E4DC0" w:rsidP="004E4DC0">
      <w:pPr>
        <w:rPr>
          <w:rFonts w:cs="Leelawadee"/>
        </w:rPr>
      </w:pPr>
      <w:r w:rsidRPr="00BA28F7">
        <w:rPr>
          <w:rFonts w:cs="Leelawadee"/>
        </w:rPr>
        <w:t>Destacando así el intérprete constitucional, el doble alcance del derecho a la salud, primero como Servicio Público vigilado por el Estado y; segundo, como derecho fundamental irrenunciable del que son titulares todas las personas, con el fin de que éstas tengan un acceso oportuno y con calidad a los servicios de salud.</w:t>
      </w:r>
    </w:p>
    <w:p w14:paraId="299C2E82" w14:textId="77777777" w:rsidR="004E4DC0" w:rsidRPr="00BA28F7" w:rsidRDefault="004E4DC0" w:rsidP="004E4DC0">
      <w:pPr>
        <w:rPr>
          <w:rFonts w:cs="Leelawadee"/>
        </w:rPr>
      </w:pPr>
    </w:p>
    <w:p w14:paraId="67B0E872" w14:textId="77777777" w:rsidR="004E4DC0" w:rsidRPr="00BA28F7" w:rsidRDefault="004E4DC0" w:rsidP="004E4DC0">
      <w:pPr>
        <w:rPr>
          <w:rFonts w:cs="Leelawadee"/>
          <w:u w:val="single"/>
        </w:rPr>
      </w:pPr>
      <w:r w:rsidRPr="00BA28F7">
        <w:rPr>
          <w:rFonts w:cs="Leelawadee"/>
          <w:u w:val="single"/>
        </w:rPr>
        <w:t>Ahora bien, de la normatividad estudiada es evidente el avance de la garantía del acceso a los servicios de salud de los pacientes diagnosticados con enfermedades raras; además, los esfuerzos del Estado colombiano para el financiamiento de los tratamientos que requieren dichas personas, al ser considerados de Alto Costo, lo que se podría establecer como una barrera, han sido abordados progresivamente en beneficio de la población, de ahí su importancia del diagnóstico temprano y los reportes de la información al SISPRO.</w:t>
      </w:r>
    </w:p>
    <w:p w14:paraId="08D2589A" w14:textId="77777777" w:rsidR="004E4DC0" w:rsidRPr="00BA28F7" w:rsidRDefault="004E4DC0" w:rsidP="004E4DC0">
      <w:pPr>
        <w:rPr>
          <w:rFonts w:cs="Leelawadee"/>
        </w:rPr>
      </w:pPr>
    </w:p>
    <w:p w14:paraId="089DB0BD" w14:textId="77777777" w:rsidR="004E4DC0" w:rsidRPr="00BA28F7" w:rsidRDefault="004E4DC0" w:rsidP="004E4DC0">
      <w:pPr>
        <w:rPr>
          <w:rFonts w:cs="Leelawadee"/>
        </w:rPr>
      </w:pPr>
      <w:r w:rsidRPr="00BA28F7">
        <w:rPr>
          <w:rFonts w:cs="Leelawadee"/>
        </w:rPr>
        <w:t xml:space="preserve">Sin embargo, en lo que respecta a las estrategias de inserción social de esta población (artículo 12 de la Ley </w:t>
      </w:r>
      <w:r w:rsidRPr="00BA28F7">
        <w:rPr>
          <w:rFonts w:cs="Leelawadee"/>
          <w:szCs w:val="24"/>
        </w:rPr>
        <w:t>1392 de 2010)</w:t>
      </w:r>
      <w:r w:rsidRPr="00BA28F7">
        <w:rPr>
          <w:rFonts w:cs="Leelawadee"/>
        </w:rPr>
        <w:t>, la cual es considerada jurídicamente como de especial protección por encontrarse en vulnerabilidad manifiesta, ha sido deficiente, por no decir que nula.</w:t>
      </w:r>
    </w:p>
    <w:p w14:paraId="2491FD42" w14:textId="77777777" w:rsidR="004E4DC0" w:rsidRPr="00BA28F7" w:rsidRDefault="004E4DC0" w:rsidP="004E4DC0">
      <w:pPr>
        <w:rPr>
          <w:rFonts w:cs="Leelawadee"/>
        </w:rPr>
      </w:pPr>
    </w:p>
    <w:p w14:paraId="0FAD821B" w14:textId="77777777" w:rsidR="004E4DC0" w:rsidRPr="00BA28F7" w:rsidRDefault="004E4DC0" w:rsidP="004E4DC0">
      <w:pPr>
        <w:rPr>
          <w:rFonts w:cs="Leelawadee"/>
        </w:rPr>
      </w:pPr>
      <w:r w:rsidRPr="00BA28F7">
        <w:rPr>
          <w:rFonts w:cs="Leelawadee"/>
          <w:szCs w:val="24"/>
        </w:rPr>
        <w:t>Al respecto, el</w:t>
      </w:r>
      <w:r w:rsidRPr="00BA28F7">
        <w:rPr>
          <w:rFonts w:cs="Leelawadee"/>
          <w:i/>
          <w:szCs w:val="24"/>
        </w:rPr>
        <w:t xml:space="preserve"> Gobierno Nacional, </w:t>
      </w:r>
      <w:r w:rsidRPr="00BA28F7">
        <w:rPr>
          <w:rFonts w:cs="Leelawadee"/>
          <w:szCs w:val="24"/>
        </w:rPr>
        <w:t>en las normatividad sobre la materia, no ha</w:t>
      </w:r>
      <w:r w:rsidRPr="00BA28F7">
        <w:rPr>
          <w:rFonts w:cs="Leelawadee"/>
          <w:i/>
          <w:szCs w:val="24"/>
        </w:rPr>
        <w:t xml:space="preserve"> diseñado estrategias que propendan la inclusión e integración social de la población de pacientes con enfermedades huérfanas, tales como: acceso a bienes y servicios, a educación y al mercado laboral; identificando las barreras de acceso y las prácticas institucionales de discriminación con el fin de establecer mecanismos para su eliminación.</w:t>
      </w:r>
      <w:r w:rsidRPr="00BA28F7">
        <w:rPr>
          <w:rFonts w:cs="Leelawadee"/>
          <w:szCs w:val="24"/>
        </w:rPr>
        <w:t xml:space="preserve"> Incumpliendo así, lo que dispone el régimen de las enfermedades huérfanas.</w:t>
      </w:r>
    </w:p>
    <w:p w14:paraId="0E64F0F8" w14:textId="77777777" w:rsidR="004E4DC0" w:rsidRPr="00BA28F7" w:rsidRDefault="004E4DC0" w:rsidP="004E4DC0">
      <w:pPr>
        <w:rPr>
          <w:rFonts w:cs="Leelawadee"/>
        </w:rPr>
      </w:pPr>
    </w:p>
    <w:p w14:paraId="517D258C" w14:textId="77777777" w:rsidR="004E4DC0" w:rsidRPr="00BA28F7" w:rsidRDefault="004E4DC0" w:rsidP="004E4DC0">
      <w:pPr>
        <w:rPr>
          <w:rFonts w:cs="Leelawadee"/>
          <w:lang w:eastAsia="es-ES"/>
        </w:rPr>
      </w:pPr>
      <w:r w:rsidRPr="00BA28F7">
        <w:rPr>
          <w:rFonts w:cs="Leelawadee"/>
          <w:lang w:eastAsia="es-ES"/>
        </w:rPr>
        <w:t xml:space="preserve">Al ser </w:t>
      </w:r>
      <w:r w:rsidRPr="00BA28F7">
        <w:rPr>
          <w:rFonts w:cs="Leelawadee"/>
          <w:i/>
          <w:szCs w:val="24"/>
        </w:rPr>
        <w:t>la población de pacientes con enfermedades huérfanas</w:t>
      </w:r>
      <w:r w:rsidRPr="00BA28F7">
        <w:rPr>
          <w:rFonts w:cs="Leelawadee"/>
          <w:szCs w:val="24"/>
        </w:rPr>
        <w:t>, es necesario destacar la relación que tienen éstas como</w:t>
      </w:r>
      <w:r w:rsidRPr="00BA28F7">
        <w:rPr>
          <w:rFonts w:cs="Leelawadee"/>
          <w:lang w:eastAsia="es-ES"/>
        </w:rPr>
        <w:t xml:space="preserve"> personas con discapacidad. Siendo esto, </w:t>
      </w:r>
      <w:r w:rsidRPr="00BA28F7">
        <w:rPr>
          <w:rFonts w:cs="Leelawadee"/>
          <w:lang w:eastAsia="es-ES"/>
        </w:rPr>
        <w:lastRenderedPageBreak/>
        <w:t>un factor de indefensión que justifica la adopción de medidas de diferenciación positiva.</w:t>
      </w:r>
    </w:p>
    <w:p w14:paraId="49164254" w14:textId="77777777" w:rsidR="004E4DC0" w:rsidRPr="00BA28F7" w:rsidRDefault="004E4DC0" w:rsidP="004E4DC0">
      <w:pPr>
        <w:rPr>
          <w:rFonts w:cs="Leelawadee"/>
          <w:lang w:eastAsia="es-ES"/>
        </w:rPr>
      </w:pPr>
    </w:p>
    <w:p w14:paraId="75FB5B84" w14:textId="77777777" w:rsidR="004E4DC0" w:rsidRPr="00BA28F7" w:rsidRDefault="004E4DC0" w:rsidP="004E4DC0">
      <w:pPr>
        <w:rPr>
          <w:rFonts w:cs="Leelawadee"/>
          <w:lang w:eastAsia="es-ES"/>
        </w:rPr>
      </w:pPr>
      <w:r w:rsidRPr="00BA28F7">
        <w:rPr>
          <w:rFonts w:cs="Leelawadee"/>
          <w:lang w:eastAsia="es-ES"/>
        </w:rPr>
        <w:t>Dicho carácter, es definido en el Pacto Internacional de los Derechos Económicos, Sociales y Culturales en la Observación General número 5 del Comité, como:</w:t>
      </w:r>
    </w:p>
    <w:p w14:paraId="46F2D056" w14:textId="77777777" w:rsidR="004E4DC0" w:rsidRPr="00BA28F7" w:rsidRDefault="004E4DC0" w:rsidP="004E4DC0">
      <w:pPr>
        <w:rPr>
          <w:rFonts w:cs="Leelawadee"/>
          <w:lang w:eastAsia="es-ES"/>
        </w:rPr>
      </w:pPr>
    </w:p>
    <w:p w14:paraId="6C2F56F8" w14:textId="77777777" w:rsidR="004E4DC0" w:rsidRPr="00BA28F7" w:rsidRDefault="004E4DC0" w:rsidP="004E4DC0">
      <w:pPr>
        <w:ind w:left="708"/>
        <w:rPr>
          <w:rFonts w:cs="Leelawadee"/>
          <w:i/>
          <w:lang w:eastAsia="es-ES"/>
        </w:rPr>
      </w:pPr>
      <w:bookmarkStart w:id="7" w:name="EA185E49-CDE2-4B2D-8895-0AC9E8B3ADA2"/>
      <w:bookmarkEnd w:id="7"/>
      <w:r w:rsidRPr="00BA28F7">
        <w:rPr>
          <w:rFonts w:cs="Leelawadee"/>
          <w:i/>
          <w:lang w:eastAsia="es-ES"/>
        </w:rPr>
        <w:t>“Con la palabra 'discapacidad' se resume un gran número de diferentes limitaciones funcionales que se registran en las poblaciones (...) La discapacidad puede revestir la forma de una deficiencia física, intelectual o sensorial, una dolencia que requiera atención médica o una enfermedad mental. Tales deficiencias, dolencias o enfermedades pueden ser de carácter permanente o transitorio (…)”</w:t>
      </w:r>
    </w:p>
    <w:p w14:paraId="6F285F3A" w14:textId="77777777" w:rsidR="004E4DC0" w:rsidRPr="00BA28F7" w:rsidRDefault="004E4DC0" w:rsidP="004E4DC0">
      <w:pPr>
        <w:rPr>
          <w:rFonts w:cs="Leelawadee"/>
        </w:rPr>
      </w:pPr>
    </w:p>
    <w:p w14:paraId="7ADA2D14" w14:textId="77777777" w:rsidR="004E4DC0" w:rsidRPr="00BA28F7" w:rsidRDefault="004E4DC0" w:rsidP="004E4DC0">
      <w:pPr>
        <w:rPr>
          <w:rFonts w:cs="Leelawadee"/>
        </w:rPr>
      </w:pPr>
      <w:r w:rsidRPr="00BA28F7">
        <w:rPr>
          <w:rFonts w:cs="Leelawadee"/>
        </w:rPr>
        <w:t>Así, las personas con discapacidad se consideran entonces en situación de debilidad manifiesta, por ello la obligación de resguardar su derecho fundamental a la seguridad social y de tomar las medidas pertinentes que garanticen la superación de la desigualdad a la que se encuentran sometidas.</w:t>
      </w:r>
    </w:p>
    <w:p w14:paraId="1F003F98" w14:textId="77777777" w:rsidR="004E4DC0" w:rsidRPr="00BA28F7" w:rsidRDefault="004E4DC0" w:rsidP="004E4DC0">
      <w:pPr>
        <w:rPr>
          <w:rFonts w:cs="Leelawadee"/>
        </w:rPr>
      </w:pPr>
    </w:p>
    <w:p w14:paraId="70AE3999" w14:textId="67947046" w:rsidR="4E3C4A21" w:rsidRPr="00E30827" w:rsidRDefault="004E4DC0" w:rsidP="004E4DC0">
      <w:pPr>
        <w:rPr>
          <w:rFonts w:cs="Leelawadee"/>
          <w:szCs w:val="24"/>
        </w:rPr>
      </w:pPr>
      <w:r w:rsidRPr="00BA28F7">
        <w:rPr>
          <w:rFonts w:cs="Leelawadee"/>
        </w:rPr>
        <w:t xml:space="preserve">En ese sentido, habida cuenta del desinterés del Gobierno Nacional, es pertinente darle alcances legales, más allá de lo contemplado, al artículo 12 de la Ley </w:t>
      </w:r>
      <w:r w:rsidRPr="00BA28F7">
        <w:rPr>
          <w:rFonts w:cs="Leelawadee"/>
          <w:szCs w:val="24"/>
        </w:rPr>
        <w:t>1392 de 2010, y que sea el legislador quien defina el marco general de las estrategias de inclusión social de esta población que debe adoptar el Estado colombiano.</w:t>
      </w:r>
    </w:p>
    <w:p w14:paraId="0FB73237" w14:textId="77777777" w:rsidR="00EF1E64" w:rsidRPr="00E30827" w:rsidRDefault="00EF1E64" w:rsidP="00B77A19">
      <w:pPr>
        <w:rPr>
          <w:rFonts w:cs="Leelawadee"/>
          <w:szCs w:val="24"/>
        </w:rPr>
      </w:pPr>
    </w:p>
    <w:p w14:paraId="6CB1744A" w14:textId="31875299" w:rsidR="77E40395" w:rsidRPr="00E30827" w:rsidRDefault="31875299" w:rsidP="00B77A19">
      <w:pPr>
        <w:rPr>
          <w:rFonts w:cs="Leelawadee"/>
          <w:szCs w:val="24"/>
        </w:rPr>
      </w:pPr>
      <w:r w:rsidRPr="00E30827">
        <w:rPr>
          <w:rFonts w:eastAsia="Leelawadee" w:cs="Leelawadee"/>
          <w:b/>
          <w:bCs/>
          <w:szCs w:val="24"/>
          <w:u w:val="single"/>
        </w:rPr>
        <w:t>4.- IMPACTO FISCAL</w:t>
      </w:r>
      <w:r w:rsidRPr="00E30827">
        <w:rPr>
          <w:rFonts w:eastAsia="Leelawadee" w:cs="Leelawadee"/>
          <w:b/>
          <w:bCs/>
          <w:szCs w:val="24"/>
        </w:rPr>
        <w:t xml:space="preserve"> </w:t>
      </w:r>
    </w:p>
    <w:p w14:paraId="76ECEFB4" w14:textId="07DBE1D7" w:rsidR="31875299" w:rsidRPr="00E30827" w:rsidRDefault="31875299" w:rsidP="00B77A19">
      <w:pPr>
        <w:rPr>
          <w:rFonts w:cs="Leelawadee"/>
          <w:szCs w:val="24"/>
        </w:rPr>
      </w:pPr>
    </w:p>
    <w:p w14:paraId="078A3282" w14:textId="3EF0DB43" w:rsidR="77E40395" w:rsidRDefault="00E07150" w:rsidP="00B77A19">
      <w:pPr>
        <w:rPr>
          <w:rFonts w:eastAsia="Leelawadee" w:cs="Leelawadee"/>
          <w:szCs w:val="24"/>
        </w:rPr>
      </w:pPr>
      <w:r>
        <w:rPr>
          <w:rFonts w:eastAsia="Leelawadee" w:cs="Leelawadee"/>
          <w:szCs w:val="24"/>
        </w:rPr>
        <w:t>A continuación, se elabora una estimación de</w:t>
      </w:r>
      <w:r w:rsidR="5DD62894" w:rsidRPr="00E30827">
        <w:rPr>
          <w:rFonts w:eastAsia="Leelawadee" w:cs="Leelawadee"/>
          <w:szCs w:val="24"/>
        </w:rPr>
        <w:t xml:space="preserve">l presente proyecto de ley, </w:t>
      </w:r>
      <w:r>
        <w:rPr>
          <w:rFonts w:eastAsia="Leelawadee" w:cs="Leelawadee"/>
          <w:szCs w:val="24"/>
        </w:rPr>
        <w:t xml:space="preserve">el cual </w:t>
      </w:r>
      <w:r w:rsidR="5DD62894" w:rsidRPr="00E30827">
        <w:rPr>
          <w:rFonts w:eastAsia="Leelawadee" w:cs="Leelawadee"/>
          <w:szCs w:val="24"/>
        </w:rPr>
        <w:t>al ordenar gasto</w:t>
      </w:r>
      <w:r>
        <w:rPr>
          <w:rFonts w:eastAsia="Leelawadee" w:cs="Leelawadee"/>
          <w:szCs w:val="24"/>
        </w:rPr>
        <w:t xml:space="preserve"> en un subsidio de sostenimiento</w:t>
      </w:r>
      <w:r w:rsidR="5DD62894" w:rsidRPr="00E30827">
        <w:rPr>
          <w:rFonts w:eastAsia="Leelawadee" w:cs="Leelawadee"/>
          <w:szCs w:val="24"/>
        </w:rPr>
        <w:t xml:space="preserve">, </w:t>
      </w:r>
      <w:r>
        <w:rPr>
          <w:rFonts w:eastAsia="Leelawadee" w:cs="Leelawadee"/>
          <w:szCs w:val="24"/>
        </w:rPr>
        <w:t>comprende un impacto a las finanzas públicas como se explica a continuación:</w:t>
      </w:r>
    </w:p>
    <w:p w14:paraId="7D036298" w14:textId="77777777" w:rsidR="00E07150" w:rsidRDefault="00E07150" w:rsidP="00B77A19">
      <w:pPr>
        <w:rPr>
          <w:rFonts w:eastAsia="Leelawadee" w:cs="Leelawadee"/>
          <w:szCs w:val="24"/>
        </w:rPr>
      </w:pPr>
    </w:p>
    <w:p w14:paraId="3CBFB4E3" w14:textId="18ED3F1E" w:rsidR="00E07150" w:rsidRPr="00E07150" w:rsidRDefault="00E07150" w:rsidP="00E07150">
      <w:pPr>
        <w:pStyle w:val="Epgrafe"/>
        <w:keepNext/>
        <w:spacing w:after="0"/>
        <w:jc w:val="center"/>
        <w:rPr>
          <w:color w:val="auto"/>
          <w:sz w:val="24"/>
          <w:szCs w:val="24"/>
        </w:rPr>
      </w:pPr>
      <w:bookmarkStart w:id="8" w:name="_Ref487117478"/>
      <w:r w:rsidRPr="00E07150">
        <w:rPr>
          <w:color w:val="auto"/>
          <w:sz w:val="24"/>
          <w:szCs w:val="24"/>
        </w:rPr>
        <w:t xml:space="preserve">Tabla </w:t>
      </w:r>
      <w:r w:rsidRPr="00E07150">
        <w:rPr>
          <w:color w:val="auto"/>
          <w:sz w:val="24"/>
          <w:szCs w:val="24"/>
        </w:rPr>
        <w:fldChar w:fldCharType="begin"/>
      </w:r>
      <w:r w:rsidRPr="00E07150">
        <w:rPr>
          <w:color w:val="auto"/>
          <w:sz w:val="24"/>
          <w:szCs w:val="24"/>
        </w:rPr>
        <w:instrText xml:space="preserve"> SEQ Tabla \* ARABIC </w:instrText>
      </w:r>
      <w:r w:rsidRPr="00E07150">
        <w:rPr>
          <w:color w:val="auto"/>
          <w:sz w:val="24"/>
          <w:szCs w:val="24"/>
        </w:rPr>
        <w:fldChar w:fldCharType="separate"/>
      </w:r>
      <w:r w:rsidR="00E26BA7">
        <w:rPr>
          <w:noProof/>
          <w:color w:val="auto"/>
          <w:sz w:val="24"/>
          <w:szCs w:val="24"/>
        </w:rPr>
        <w:t>2</w:t>
      </w:r>
      <w:r w:rsidRPr="00E07150">
        <w:rPr>
          <w:color w:val="auto"/>
          <w:sz w:val="24"/>
          <w:szCs w:val="24"/>
        </w:rPr>
        <w:fldChar w:fldCharType="end"/>
      </w:r>
      <w:r w:rsidRPr="00E07150">
        <w:rPr>
          <w:color w:val="auto"/>
          <w:sz w:val="24"/>
          <w:szCs w:val="24"/>
        </w:rPr>
        <w:t>. Análisis de Impacto Fiscal</w:t>
      </w:r>
      <w:bookmarkEnd w:id="8"/>
    </w:p>
    <w:tbl>
      <w:tblPr>
        <w:tblW w:w="8864" w:type="dxa"/>
        <w:tblInd w:w="55" w:type="dxa"/>
        <w:tblCellMar>
          <w:left w:w="70" w:type="dxa"/>
          <w:right w:w="70" w:type="dxa"/>
        </w:tblCellMar>
        <w:tblLook w:val="04A0" w:firstRow="1" w:lastRow="0" w:firstColumn="1" w:lastColumn="0" w:noHBand="0" w:noVBand="1"/>
      </w:tblPr>
      <w:tblGrid>
        <w:gridCol w:w="3832"/>
        <w:gridCol w:w="2489"/>
        <w:gridCol w:w="2543"/>
      </w:tblGrid>
      <w:tr w:rsidR="00E07150" w:rsidRPr="00C63DA8" w14:paraId="3F192979" w14:textId="77777777" w:rsidTr="00E07150">
        <w:trPr>
          <w:trHeight w:val="297"/>
        </w:trPr>
        <w:tc>
          <w:tcPr>
            <w:tcW w:w="38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45C944" w14:textId="77777777" w:rsidR="00E07150" w:rsidRPr="00C63DA8" w:rsidRDefault="00E07150" w:rsidP="00D415F5">
            <w:pPr>
              <w:rPr>
                <w:rFonts w:eastAsia="Times New Roman" w:cs="Leelawadee"/>
                <w:color w:val="000000"/>
                <w:sz w:val="20"/>
                <w:szCs w:val="20"/>
                <w:lang w:eastAsia="es-CO"/>
              </w:rPr>
            </w:pPr>
            <w:r w:rsidRPr="00C63DA8">
              <w:rPr>
                <w:rFonts w:eastAsia="Times New Roman" w:cs="Leelawadee"/>
                <w:color w:val="000000"/>
                <w:sz w:val="20"/>
                <w:szCs w:val="20"/>
                <w:lang w:eastAsia="es-CO"/>
              </w:rPr>
              <w:t>ENFERMOS DE ANEMIA FALCIFORME O DREPANOCÍTICA*</w:t>
            </w:r>
          </w:p>
        </w:tc>
        <w:tc>
          <w:tcPr>
            <w:tcW w:w="2489" w:type="dxa"/>
            <w:tcBorders>
              <w:top w:val="single" w:sz="4" w:space="0" w:color="auto"/>
              <w:left w:val="nil"/>
              <w:bottom w:val="single" w:sz="4" w:space="0" w:color="auto"/>
              <w:right w:val="single" w:sz="4" w:space="0" w:color="auto"/>
            </w:tcBorders>
            <w:shd w:val="clear" w:color="auto" w:fill="auto"/>
            <w:vAlign w:val="center"/>
            <w:hideMark/>
          </w:tcPr>
          <w:p w14:paraId="1B46E150" w14:textId="77777777" w:rsidR="00E07150" w:rsidRPr="00C63DA8" w:rsidRDefault="00E07150" w:rsidP="00D415F5">
            <w:pPr>
              <w:rPr>
                <w:rFonts w:eastAsia="Times New Roman" w:cs="Leelawadee"/>
                <w:b/>
                <w:bCs/>
                <w:color w:val="000000"/>
                <w:sz w:val="20"/>
                <w:szCs w:val="20"/>
                <w:lang w:eastAsia="es-CO"/>
              </w:rPr>
            </w:pPr>
            <w:proofErr w:type="spellStart"/>
            <w:r w:rsidRPr="00C63DA8">
              <w:rPr>
                <w:rFonts w:eastAsia="Times New Roman" w:cs="Leelawadee"/>
                <w:b/>
                <w:bCs/>
                <w:color w:val="000000"/>
                <w:sz w:val="20"/>
                <w:szCs w:val="20"/>
                <w:lang w:val="en-US" w:eastAsia="es-CO"/>
              </w:rPr>
              <w:t>Costo</w:t>
            </w:r>
            <w:proofErr w:type="spellEnd"/>
            <w:r w:rsidRPr="00C63DA8">
              <w:rPr>
                <w:rFonts w:eastAsia="Times New Roman" w:cs="Leelawadee"/>
                <w:b/>
                <w:bCs/>
                <w:color w:val="000000"/>
                <w:sz w:val="20"/>
                <w:szCs w:val="20"/>
                <w:lang w:val="en-US" w:eastAsia="es-CO"/>
              </w:rPr>
              <w:t> </w:t>
            </w:r>
            <w:proofErr w:type="spellStart"/>
            <w:r w:rsidRPr="00C63DA8">
              <w:rPr>
                <w:rFonts w:eastAsia="Times New Roman" w:cs="Leelawadee"/>
                <w:b/>
                <w:bCs/>
                <w:color w:val="000000"/>
                <w:sz w:val="20"/>
                <w:szCs w:val="20"/>
                <w:lang w:val="en-US" w:eastAsia="es-CO"/>
              </w:rPr>
              <w:t>Estimado</w:t>
            </w:r>
            <w:proofErr w:type="spellEnd"/>
            <w:r w:rsidRPr="00C63DA8">
              <w:rPr>
                <w:rFonts w:eastAsia="Times New Roman" w:cs="Leelawadee"/>
                <w:b/>
                <w:bCs/>
                <w:color w:val="000000"/>
                <w:sz w:val="20"/>
                <w:szCs w:val="20"/>
                <w:lang w:val="en-US" w:eastAsia="es-CO"/>
              </w:rPr>
              <w:t xml:space="preserve"> </w:t>
            </w:r>
            <w:proofErr w:type="spellStart"/>
            <w:r w:rsidRPr="00C63DA8">
              <w:rPr>
                <w:rFonts w:eastAsia="Times New Roman" w:cs="Leelawadee"/>
                <w:b/>
                <w:bCs/>
                <w:color w:val="000000"/>
                <w:sz w:val="20"/>
                <w:szCs w:val="20"/>
                <w:lang w:val="en-US" w:eastAsia="es-CO"/>
              </w:rPr>
              <w:t>Mensual</w:t>
            </w:r>
            <w:proofErr w:type="spellEnd"/>
            <w:r w:rsidRPr="00C63DA8">
              <w:rPr>
                <w:rFonts w:eastAsia="Times New Roman" w:cs="Leelawadee"/>
                <w:b/>
                <w:bCs/>
                <w:color w:val="000000"/>
                <w:sz w:val="20"/>
                <w:szCs w:val="20"/>
                <w:lang w:val="en-US" w:eastAsia="es-CO"/>
              </w:rPr>
              <w:t xml:space="preserve"> </w:t>
            </w:r>
          </w:p>
        </w:tc>
        <w:tc>
          <w:tcPr>
            <w:tcW w:w="2543" w:type="dxa"/>
            <w:tcBorders>
              <w:top w:val="single" w:sz="4" w:space="0" w:color="auto"/>
              <w:left w:val="nil"/>
              <w:bottom w:val="single" w:sz="4" w:space="0" w:color="auto"/>
              <w:right w:val="single" w:sz="4" w:space="0" w:color="auto"/>
            </w:tcBorders>
            <w:shd w:val="clear" w:color="auto" w:fill="auto"/>
            <w:vAlign w:val="center"/>
            <w:hideMark/>
          </w:tcPr>
          <w:p w14:paraId="093E88F7" w14:textId="77777777" w:rsidR="00E07150" w:rsidRPr="00C63DA8" w:rsidRDefault="00E07150" w:rsidP="00D415F5">
            <w:pPr>
              <w:jc w:val="center"/>
              <w:rPr>
                <w:rFonts w:eastAsia="Times New Roman" w:cs="Leelawadee"/>
                <w:color w:val="000000"/>
                <w:sz w:val="20"/>
                <w:szCs w:val="20"/>
                <w:lang w:eastAsia="es-CO"/>
              </w:rPr>
            </w:pPr>
            <w:r w:rsidRPr="00C63DA8">
              <w:rPr>
                <w:rFonts w:eastAsia="Times New Roman" w:cs="Leelawadee"/>
                <w:color w:val="000000"/>
                <w:sz w:val="20"/>
                <w:szCs w:val="20"/>
                <w:lang w:eastAsia="es-CO"/>
              </w:rPr>
              <w:t xml:space="preserve"> $             378.079.962,50 </w:t>
            </w:r>
          </w:p>
        </w:tc>
      </w:tr>
      <w:tr w:rsidR="00E07150" w:rsidRPr="00C63DA8" w14:paraId="44985D85" w14:textId="77777777" w:rsidTr="00E07150">
        <w:trPr>
          <w:trHeight w:val="312"/>
        </w:trPr>
        <w:tc>
          <w:tcPr>
            <w:tcW w:w="3832" w:type="dxa"/>
            <w:vMerge/>
            <w:tcBorders>
              <w:top w:val="single" w:sz="4" w:space="0" w:color="auto"/>
              <w:left w:val="single" w:sz="4" w:space="0" w:color="auto"/>
              <w:bottom w:val="single" w:sz="4" w:space="0" w:color="auto"/>
              <w:right w:val="single" w:sz="4" w:space="0" w:color="auto"/>
            </w:tcBorders>
            <w:vAlign w:val="center"/>
            <w:hideMark/>
          </w:tcPr>
          <w:p w14:paraId="4358D435" w14:textId="77777777" w:rsidR="00E07150" w:rsidRPr="00C63DA8" w:rsidRDefault="00E07150" w:rsidP="00D415F5">
            <w:pPr>
              <w:rPr>
                <w:rFonts w:eastAsia="Times New Roman" w:cs="Leelawadee"/>
                <w:color w:val="000000"/>
                <w:sz w:val="20"/>
                <w:szCs w:val="20"/>
                <w:lang w:eastAsia="es-CO"/>
              </w:rPr>
            </w:pPr>
          </w:p>
        </w:tc>
        <w:tc>
          <w:tcPr>
            <w:tcW w:w="2489" w:type="dxa"/>
            <w:tcBorders>
              <w:top w:val="single" w:sz="4" w:space="0" w:color="auto"/>
              <w:left w:val="nil"/>
              <w:bottom w:val="single" w:sz="4" w:space="0" w:color="auto"/>
              <w:right w:val="single" w:sz="4" w:space="0" w:color="auto"/>
            </w:tcBorders>
            <w:shd w:val="clear" w:color="auto" w:fill="auto"/>
            <w:vAlign w:val="center"/>
            <w:hideMark/>
          </w:tcPr>
          <w:p w14:paraId="41D1D982" w14:textId="77777777" w:rsidR="00E07150" w:rsidRPr="00C63DA8" w:rsidRDefault="00E07150" w:rsidP="00D415F5">
            <w:pPr>
              <w:rPr>
                <w:rFonts w:eastAsia="Times New Roman" w:cs="Leelawadee"/>
                <w:b/>
                <w:bCs/>
                <w:color w:val="000000"/>
                <w:sz w:val="20"/>
                <w:szCs w:val="20"/>
                <w:lang w:eastAsia="es-CO"/>
              </w:rPr>
            </w:pPr>
            <w:proofErr w:type="spellStart"/>
            <w:r w:rsidRPr="00C63DA8">
              <w:rPr>
                <w:rFonts w:eastAsia="Times New Roman" w:cs="Leelawadee"/>
                <w:b/>
                <w:bCs/>
                <w:color w:val="000000"/>
                <w:sz w:val="20"/>
                <w:szCs w:val="20"/>
                <w:lang w:val="en-US" w:eastAsia="es-CO"/>
              </w:rPr>
              <w:t>Costo</w:t>
            </w:r>
            <w:proofErr w:type="spellEnd"/>
            <w:r w:rsidRPr="00C63DA8">
              <w:rPr>
                <w:rFonts w:eastAsia="Times New Roman" w:cs="Leelawadee"/>
                <w:b/>
                <w:bCs/>
                <w:color w:val="000000"/>
                <w:sz w:val="20"/>
                <w:szCs w:val="20"/>
                <w:lang w:val="en-US" w:eastAsia="es-CO"/>
              </w:rPr>
              <w:t> </w:t>
            </w:r>
            <w:proofErr w:type="spellStart"/>
            <w:r w:rsidRPr="00C63DA8">
              <w:rPr>
                <w:rFonts w:eastAsia="Times New Roman" w:cs="Leelawadee"/>
                <w:b/>
                <w:bCs/>
                <w:color w:val="000000"/>
                <w:sz w:val="20"/>
                <w:szCs w:val="20"/>
                <w:lang w:val="en-US" w:eastAsia="es-CO"/>
              </w:rPr>
              <w:t>Estimado</w:t>
            </w:r>
            <w:proofErr w:type="spellEnd"/>
            <w:r w:rsidRPr="00C63DA8">
              <w:rPr>
                <w:rFonts w:eastAsia="Times New Roman" w:cs="Leelawadee"/>
                <w:b/>
                <w:bCs/>
                <w:color w:val="000000"/>
                <w:sz w:val="20"/>
                <w:szCs w:val="20"/>
                <w:lang w:val="en-US" w:eastAsia="es-CO"/>
              </w:rPr>
              <w:t xml:space="preserve"> </w:t>
            </w:r>
            <w:proofErr w:type="spellStart"/>
            <w:r w:rsidRPr="00C63DA8">
              <w:rPr>
                <w:rFonts w:eastAsia="Times New Roman" w:cs="Leelawadee"/>
                <w:b/>
                <w:bCs/>
                <w:color w:val="000000"/>
                <w:sz w:val="20"/>
                <w:szCs w:val="20"/>
                <w:lang w:val="en-US" w:eastAsia="es-CO"/>
              </w:rPr>
              <w:t>Anual</w:t>
            </w:r>
            <w:proofErr w:type="spellEnd"/>
          </w:p>
        </w:tc>
        <w:tc>
          <w:tcPr>
            <w:tcW w:w="2543" w:type="dxa"/>
            <w:tcBorders>
              <w:top w:val="single" w:sz="4" w:space="0" w:color="auto"/>
              <w:left w:val="nil"/>
              <w:bottom w:val="single" w:sz="4" w:space="0" w:color="auto"/>
              <w:right w:val="single" w:sz="4" w:space="0" w:color="auto"/>
            </w:tcBorders>
            <w:shd w:val="clear" w:color="auto" w:fill="auto"/>
            <w:vAlign w:val="center"/>
            <w:hideMark/>
          </w:tcPr>
          <w:p w14:paraId="2A922B6A" w14:textId="77777777" w:rsidR="00E07150" w:rsidRPr="00C63DA8" w:rsidRDefault="00E07150" w:rsidP="00D415F5">
            <w:pPr>
              <w:jc w:val="center"/>
              <w:rPr>
                <w:rFonts w:eastAsia="Times New Roman" w:cs="Leelawadee"/>
                <w:b/>
                <w:bCs/>
                <w:color w:val="000000"/>
                <w:sz w:val="20"/>
                <w:szCs w:val="20"/>
                <w:lang w:eastAsia="es-CO"/>
              </w:rPr>
            </w:pPr>
            <w:r w:rsidRPr="00C63DA8">
              <w:rPr>
                <w:rFonts w:eastAsia="Times New Roman" w:cs="Leelawadee"/>
                <w:b/>
                <w:bCs/>
                <w:color w:val="000000"/>
                <w:sz w:val="20"/>
                <w:szCs w:val="20"/>
                <w:lang w:eastAsia="es-CO"/>
              </w:rPr>
              <w:t xml:space="preserve"> $         4.536.959.550,00 </w:t>
            </w:r>
          </w:p>
        </w:tc>
      </w:tr>
      <w:tr w:rsidR="00E07150" w:rsidRPr="00C63DA8" w14:paraId="1D501710" w14:textId="77777777" w:rsidTr="00D415F5">
        <w:trPr>
          <w:trHeight w:val="297"/>
        </w:trPr>
        <w:tc>
          <w:tcPr>
            <w:tcW w:w="38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489341" w14:textId="77777777" w:rsidR="00E07150" w:rsidRPr="00C63DA8" w:rsidRDefault="00E07150" w:rsidP="00D415F5">
            <w:pPr>
              <w:rPr>
                <w:rFonts w:eastAsia="Times New Roman" w:cs="Leelawadee"/>
                <w:color w:val="000000"/>
                <w:sz w:val="20"/>
                <w:szCs w:val="20"/>
                <w:lang w:eastAsia="es-CO"/>
              </w:rPr>
            </w:pPr>
            <w:r w:rsidRPr="00C63DA8">
              <w:rPr>
                <w:rFonts w:eastAsia="Times New Roman" w:cs="Leelawadee"/>
                <w:color w:val="000000"/>
                <w:sz w:val="20"/>
                <w:szCs w:val="20"/>
                <w:lang w:eastAsia="es-CO"/>
              </w:rPr>
              <w:t>POBLACION EN CONDICION DE DISCAPACIDAD POR ENFERMEDADES HUÉRFANA</w:t>
            </w:r>
          </w:p>
        </w:tc>
        <w:tc>
          <w:tcPr>
            <w:tcW w:w="2489" w:type="dxa"/>
            <w:tcBorders>
              <w:top w:val="nil"/>
              <w:left w:val="nil"/>
              <w:bottom w:val="single" w:sz="4" w:space="0" w:color="auto"/>
              <w:right w:val="single" w:sz="4" w:space="0" w:color="auto"/>
            </w:tcBorders>
            <w:shd w:val="clear" w:color="auto" w:fill="auto"/>
            <w:vAlign w:val="center"/>
            <w:hideMark/>
          </w:tcPr>
          <w:p w14:paraId="0F45F996" w14:textId="77777777" w:rsidR="00E07150" w:rsidRPr="00C63DA8" w:rsidRDefault="00E07150" w:rsidP="00D415F5">
            <w:pPr>
              <w:rPr>
                <w:rFonts w:eastAsia="Times New Roman" w:cs="Leelawadee"/>
                <w:b/>
                <w:bCs/>
                <w:color w:val="000000"/>
                <w:sz w:val="20"/>
                <w:szCs w:val="20"/>
                <w:lang w:eastAsia="es-CO"/>
              </w:rPr>
            </w:pPr>
            <w:proofErr w:type="spellStart"/>
            <w:r w:rsidRPr="00C63DA8">
              <w:rPr>
                <w:rFonts w:eastAsia="Times New Roman" w:cs="Leelawadee"/>
                <w:b/>
                <w:bCs/>
                <w:color w:val="000000"/>
                <w:sz w:val="20"/>
                <w:szCs w:val="20"/>
                <w:lang w:val="en-US" w:eastAsia="es-CO"/>
              </w:rPr>
              <w:t>Costo</w:t>
            </w:r>
            <w:proofErr w:type="spellEnd"/>
            <w:r w:rsidRPr="00C63DA8">
              <w:rPr>
                <w:rFonts w:eastAsia="Times New Roman" w:cs="Leelawadee"/>
                <w:b/>
                <w:bCs/>
                <w:color w:val="000000"/>
                <w:sz w:val="20"/>
                <w:szCs w:val="20"/>
                <w:lang w:val="en-US" w:eastAsia="es-CO"/>
              </w:rPr>
              <w:t> </w:t>
            </w:r>
            <w:proofErr w:type="spellStart"/>
            <w:r w:rsidRPr="00C63DA8">
              <w:rPr>
                <w:rFonts w:eastAsia="Times New Roman" w:cs="Leelawadee"/>
                <w:b/>
                <w:bCs/>
                <w:color w:val="000000"/>
                <w:sz w:val="20"/>
                <w:szCs w:val="20"/>
                <w:lang w:val="en-US" w:eastAsia="es-CO"/>
              </w:rPr>
              <w:t>Estimado</w:t>
            </w:r>
            <w:proofErr w:type="spellEnd"/>
            <w:r w:rsidRPr="00C63DA8">
              <w:rPr>
                <w:rFonts w:eastAsia="Times New Roman" w:cs="Leelawadee"/>
                <w:b/>
                <w:bCs/>
                <w:color w:val="000000"/>
                <w:sz w:val="20"/>
                <w:szCs w:val="20"/>
                <w:lang w:val="en-US" w:eastAsia="es-CO"/>
              </w:rPr>
              <w:t xml:space="preserve"> </w:t>
            </w:r>
            <w:proofErr w:type="spellStart"/>
            <w:r w:rsidRPr="00C63DA8">
              <w:rPr>
                <w:rFonts w:eastAsia="Times New Roman" w:cs="Leelawadee"/>
                <w:b/>
                <w:bCs/>
                <w:color w:val="000000"/>
                <w:sz w:val="20"/>
                <w:szCs w:val="20"/>
                <w:lang w:val="en-US" w:eastAsia="es-CO"/>
              </w:rPr>
              <w:t>Mensual</w:t>
            </w:r>
            <w:proofErr w:type="spellEnd"/>
            <w:r w:rsidRPr="00C63DA8">
              <w:rPr>
                <w:rFonts w:eastAsia="Times New Roman" w:cs="Leelawadee"/>
                <w:b/>
                <w:bCs/>
                <w:color w:val="000000"/>
                <w:sz w:val="20"/>
                <w:szCs w:val="20"/>
                <w:lang w:val="en-US" w:eastAsia="es-CO"/>
              </w:rPr>
              <w:t xml:space="preserve"> </w:t>
            </w:r>
          </w:p>
        </w:tc>
        <w:tc>
          <w:tcPr>
            <w:tcW w:w="2543" w:type="dxa"/>
            <w:tcBorders>
              <w:top w:val="nil"/>
              <w:left w:val="nil"/>
              <w:bottom w:val="single" w:sz="4" w:space="0" w:color="auto"/>
              <w:right w:val="single" w:sz="4" w:space="0" w:color="auto"/>
            </w:tcBorders>
            <w:shd w:val="clear" w:color="auto" w:fill="auto"/>
            <w:vAlign w:val="center"/>
            <w:hideMark/>
          </w:tcPr>
          <w:p w14:paraId="0A84A239" w14:textId="77777777" w:rsidR="00E07150" w:rsidRPr="00C63DA8" w:rsidRDefault="00E07150" w:rsidP="00D415F5">
            <w:pPr>
              <w:rPr>
                <w:rFonts w:eastAsia="Times New Roman" w:cs="Leelawadee"/>
                <w:color w:val="000000"/>
                <w:sz w:val="20"/>
                <w:szCs w:val="20"/>
                <w:lang w:eastAsia="es-CO"/>
              </w:rPr>
            </w:pPr>
            <w:r w:rsidRPr="00C63DA8">
              <w:rPr>
                <w:rFonts w:eastAsia="Times New Roman" w:cs="Leelawadee"/>
                <w:color w:val="000000"/>
                <w:sz w:val="20"/>
                <w:szCs w:val="20"/>
                <w:lang w:eastAsia="es-CO"/>
              </w:rPr>
              <w:t xml:space="preserve"> $             220.577.383,00 </w:t>
            </w:r>
          </w:p>
        </w:tc>
      </w:tr>
      <w:tr w:rsidR="00E07150" w:rsidRPr="00C63DA8" w14:paraId="6A66579B" w14:textId="77777777" w:rsidTr="00D415F5">
        <w:trPr>
          <w:trHeight w:val="535"/>
        </w:trPr>
        <w:tc>
          <w:tcPr>
            <w:tcW w:w="3832" w:type="dxa"/>
            <w:vMerge/>
            <w:tcBorders>
              <w:top w:val="single" w:sz="4" w:space="0" w:color="auto"/>
              <w:left w:val="single" w:sz="4" w:space="0" w:color="auto"/>
              <w:bottom w:val="single" w:sz="4" w:space="0" w:color="auto"/>
              <w:right w:val="single" w:sz="4" w:space="0" w:color="auto"/>
            </w:tcBorders>
            <w:vAlign w:val="center"/>
            <w:hideMark/>
          </w:tcPr>
          <w:p w14:paraId="249176B0" w14:textId="77777777" w:rsidR="00E07150" w:rsidRPr="00C63DA8" w:rsidRDefault="00E07150" w:rsidP="00D415F5">
            <w:pPr>
              <w:rPr>
                <w:rFonts w:eastAsia="Times New Roman" w:cs="Leelawadee"/>
                <w:color w:val="000000"/>
                <w:sz w:val="20"/>
                <w:szCs w:val="20"/>
                <w:lang w:eastAsia="es-CO"/>
              </w:rPr>
            </w:pPr>
          </w:p>
        </w:tc>
        <w:tc>
          <w:tcPr>
            <w:tcW w:w="2489" w:type="dxa"/>
            <w:tcBorders>
              <w:top w:val="nil"/>
              <w:left w:val="nil"/>
              <w:bottom w:val="nil"/>
              <w:right w:val="single" w:sz="4" w:space="0" w:color="auto"/>
            </w:tcBorders>
            <w:shd w:val="clear" w:color="auto" w:fill="auto"/>
            <w:vAlign w:val="center"/>
            <w:hideMark/>
          </w:tcPr>
          <w:p w14:paraId="7B83086A" w14:textId="77777777" w:rsidR="00E07150" w:rsidRPr="00C63DA8" w:rsidRDefault="00E07150" w:rsidP="00D415F5">
            <w:pPr>
              <w:rPr>
                <w:rFonts w:eastAsia="Times New Roman" w:cs="Leelawadee"/>
                <w:b/>
                <w:bCs/>
                <w:color w:val="000000"/>
                <w:sz w:val="20"/>
                <w:szCs w:val="20"/>
                <w:lang w:eastAsia="es-CO"/>
              </w:rPr>
            </w:pPr>
            <w:proofErr w:type="spellStart"/>
            <w:r w:rsidRPr="00C63DA8">
              <w:rPr>
                <w:rFonts w:eastAsia="Times New Roman" w:cs="Leelawadee"/>
                <w:b/>
                <w:bCs/>
                <w:color w:val="000000"/>
                <w:sz w:val="20"/>
                <w:szCs w:val="20"/>
                <w:lang w:val="en-US" w:eastAsia="es-CO"/>
              </w:rPr>
              <w:t>Costo</w:t>
            </w:r>
            <w:proofErr w:type="spellEnd"/>
            <w:r w:rsidRPr="00C63DA8">
              <w:rPr>
                <w:rFonts w:eastAsia="Times New Roman" w:cs="Leelawadee"/>
                <w:b/>
                <w:bCs/>
                <w:color w:val="000000"/>
                <w:sz w:val="20"/>
                <w:szCs w:val="20"/>
                <w:lang w:val="en-US" w:eastAsia="es-CO"/>
              </w:rPr>
              <w:t> </w:t>
            </w:r>
            <w:proofErr w:type="spellStart"/>
            <w:r w:rsidRPr="00C63DA8">
              <w:rPr>
                <w:rFonts w:eastAsia="Times New Roman" w:cs="Leelawadee"/>
                <w:b/>
                <w:bCs/>
                <w:color w:val="000000"/>
                <w:sz w:val="20"/>
                <w:szCs w:val="20"/>
                <w:lang w:val="en-US" w:eastAsia="es-CO"/>
              </w:rPr>
              <w:t>Estimado</w:t>
            </w:r>
            <w:proofErr w:type="spellEnd"/>
            <w:r w:rsidRPr="00C63DA8">
              <w:rPr>
                <w:rFonts w:eastAsia="Times New Roman" w:cs="Leelawadee"/>
                <w:b/>
                <w:bCs/>
                <w:color w:val="000000"/>
                <w:sz w:val="20"/>
                <w:szCs w:val="20"/>
                <w:lang w:val="en-US" w:eastAsia="es-CO"/>
              </w:rPr>
              <w:t xml:space="preserve"> </w:t>
            </w:r>
            <w:proofErr w:type="spellStart"/>
            <w:r w:rsidRPr="00C63DA8">
              <w:rPr>
                <w:rFonts w:eastAsia="Times New Roman" w:cs="Leelawadee"/>
                <w:b/>
                <w:bCs/>
                <w:color w:val="000000"/>
                <w:sz w:val="20"/>
                <w:szCs w:val="20"/>
                <w:lang w:val="en-US" w:eastAsia="es-CO"/>
              </w:rPr>
              <w:t>Anual</w:t>
            </w:r>
            <w:proofErr w:type="spellEnd"/>
          </w:p>
        </w:tc>
        <w:tc>
          <w:tcPr>
            <w:tcW w:w="2543" w:type="dxa"/>
            <w:tcBorders>
              <w:top w:val="nil"/>
              <w:left w:val="nil"/>
              <w:bottom w:val="nil"/>
              <w:right w:val="single" w:sz="4" w:space="0" w:color="auto"/>
            </w:tcBorders>
            <w:shd w:val="clear" w:color="auto" w:fill="auto"/>
            <w:vAlign w:val="center"/>
            <w:hideMark/>
          </w:tcPr>
          <w:p w14:paraId="6CE6B979" w14:textId="77777777" w:rsidR="00E07150" w:rsidRPr="00C63DA8" w:rsidRDefault="00E07150" w:rsidP="00D415F5">
            <w:pPr>
              <w:jc w:val="center"/>
              <w:rPr>
                <w:rFonts w:eastAsia="Times New Roman" w:cs="Leelawadee"/>
                <w:b/>
                <w:bCs/>
                <w:color w:val="000000"/>
                <w:sz w:val="20"/>
                <w:szCs w:val="20"/>
                <w:lang w:eastAsia="es-CO"/>
              </w:rPr>
            </w:pPr>
            <w:r w:rsidRPr="00C63DA8">
              <w:rPr>
                <w:rFonts w:eastAsia="Times New Roman" w:cs="Leelawadee"/>
                <w:b/>
                <w:bCs/>
                <w:color w:val="000000"/>
                <w:sz w:val="20"/>
                <w:szCs w:val="20"/>
                <w:lang w:eastAsia="es-CO"/>
              </w:rPr>
              <w:t xml:space="preserve"> $         2.646.928.596,00 </w:t>
            </w:r>
          </w:p>
        </w:tc>
      </w:tr>
      <w:tr w:rsidR="00E07150" w:rsidRPr="00C63DA8" w14:paraId="23204283" w14:textId="77777777" w:rsidTr="00D415F5">
        <w:trPr>
          <w:trHeight w:val="848"/>
        </w:trPr>
        <w:tc>
          <w:tcPr>
            <w:tcW w:w="38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BD0DD" w14:textId="77777777" w:rsidR="00E07150" w:rsidRPr="00C63DA8" w:rsidRDefault="00E07150" w:rsidP="00D415F5">
            <w:pPr>
              <w:rPr>
                <w:rFonts w:eastAsia="Times New Roman" w:cs="Leelawadee"/>
                <w:b/>
                <w:bCs/>
                <w:color w:val="000000"/>
                <w:sz w:val="20"/>
                <w:szCs w:val="20"/>
                <w:lang w:eastAsia="es-CO"/>
              </w:rPr>
            </w:pPr>
            <w:r w:rsidRPr="00C63DA8">
              <w:rPr>
                <w:rFonts w:eastAsia="Times New Roman" w:cs="Leelawadee"/>
                <w:b/>
                <w:bCs/>
                <w:color w:val="000000"/>
                <w:sz w:val="20"/>
                <w:szCs w:val="20"/>
                <w:lang w:eastAsia="es-CO"/>
              </w:rPr>
              <w:t>COSTO TOTAL AL INCLUIR LA ANEMIA DENTRO DE LAS ENFERMEDADES HUÉRFANAS</w:t>
            </w:r>
          </w:p>
        </w:tc>
        <w:tc>
          <w:tcPr>
            <w:tcW w:w="5032" w:type="dxa"/>
            <w:gridSpan w:val="2"/>
            <w:tcBorders>
              <w:top w:val="single" w:sz="4" w:space="0" w:color="auto"/>
              <w:left w:val="nil"/>
              <w:bottom w:val="single" w:sz="4" w:space="0" w:color="auto"/>
              <w:right w:val="single" w:sz="4" w:space="0" w:color="auto"/>
            </w:tcBorders>
            <w:shd w:val="clear" w:color="auto" w:fill="auto"/>
            <w:vAlign w:val="center"/>
            <w:hideMark/>
          </w:tcPr>
          <w:p w14:paraId="58C89C47" w14:textId="77777777" w:rsidR="00E07150" w:rsidRPr="00C63DA8" w:rsidRDefault="00E07150" w:rsidP="00D415F5">
            <w:pPr>
              <w:jc w:val="center"/>
              <w:rPr>
                <w:rFonts w:eastAsia="Times New Roman" w:cs="Leelawadee"/>
                <w:b/>
                <w:bCs/>
                <w:color w:val="000000"/>
                <w:sz w:val="20"/>
                <w:szCs w:val="20"/>
                <w:lang w:eastAsia="es-CO"/>
              </w:rPr>
            </w:pPr>
            <w:r w:rsidRPr="00C63DA8">
              <w:rPr>
                <w:rFonts w:eastAsia="Times New Roman" w:cs="Leelawadee"/>
                <w:b/>
                <w:bCs/>
                <w:color w:val="000000"/>
                <w:sz w:val="20"/>
                <w:szCs w:val="20"/>
                <w:lang w:eastAsia="es-CO"/>
              </w:rPr>
              <w:t>$ 7.183.888.146,00</w:t>
            </w:r>
          </w:p>
        </w:tc>
      </w:tr>
      <w:tr w:rsidR="00E07150" w:rsidRPr="00C63DA8" w14:paraId="55D29F15" w14:textId="77777777" w:rsidTr="00D415F5">
        <w:trPr>
          <w:trHeight w:val="297"/>
        </w:trPr>
        <w:tc>
          <w:tcPr>
            <w:tcW w:w="3832" w:type="dxa"/>
            <w:tcBorders>
              <w:top w:val="nil"/>
              <w:left w:val="single" w:sz="4" w:space="0" w:color="auto"/>
              <w:bottom w:val="single" w:sz="4" w:space="0" w:color="auto"/>
              <w:right w:val="single" w:sz="4" w:space="0" w:color="auto"/>
            </w:tcBorders>
            <w:shd w:val="clear" w:color="auto" w:fill="auto"/>
            <w:vAlign w:val="center"/>
            <w:hideMark/>
          </w:tcPr>
          <w:p w14:paraId="27A45297" w14:textId="77777777" w:rsidR="00E07150" w:rsidRPr="00C63DA8" w:rsidRDefault="00E07150" w:rsidP="00D415F5">
            <w:pPr>
              <w:rPr>
                <w:rFonts w:eastAsia="Times New Roman" w:cs="Leelawadee"/>
                <w:color w:val="000000"/>
                <w:sz w:val="20"/>
                <w:szCs w:val="20"/>
                <w:lang w:eastAsia="es-CO"/>
              </w:rPr>
            </w:pPr>
            <w:r w:rsidRPr="00C63DA8">
              <w:rPr>
                <w:rFonts w:eastAsia="Times New Roman" w:cs="Leelawadee"/>
                <w:color w:val="000000"/>
                <w:sz w:val="20"/>
                <w:szCs w:val="20"/>
                <w:lang w:eastAsia="es-CO"/>
              </w:rPr>
              <w:t>SMMLV</w:t>
            </w:r>
          </w:p>
        </w:tc>
        <w:tc>
          <w:tcPr>
            <w:tcW w:w="5032" w:type="dxa"/>
            <w:gridSpan w:val="2"/>
            <w:tcBorders>
              <w:top w:val="nil"/>
              <w:left w:val="nil"/>
              <w:bottom w:val="single" w:sz="4" w:space="0" w:color="auto"/>
              <w:right w:val="single" w:sz="4" w:space="0" w:color="auto"/>
            </w:tcBorders>
            <w:shd w:val="clear" w:color="auto" w:fill="auto"/>
            <w:vAlign w:val="center"/>
            <w:hideMark/>
          </w:tcPr>
          <w:p w14:paraId="66012AC4" w14:textId="77777777" w:rsidR="00E07150" w:rsidRPr="00C63DA8" w:rsidRDefault="00E07150" w:rsidP="00D415F5">
            <w:pPr>
              <w:jc w:val="center"/>
              <w:rPr>
                <w:rFonts w:eastAsia="Times New Roman" w:cs="Leelawadee"/>
                <w:color w:val="000000"/>
                <w:sz w:val="20"/>
                <w:szCs w:val="20"/>
                <w:lang w:eastAsia="es-CO"/>
              </w:rPr>
            </w:pPr>
            <w:r w:rsidRPr="00C63DA8">
              <w:rPr>
                <w:rFonts w:eastAsia="Times New Roman" w:cs="Leelawadee"/>
                <w:color w:val="000000"/>
                <w:sz w:val="20"/>
                <w:szCs w:val="20"/>
                <w:lang w:eastAsia="es-CO"/>
              </w:rPr>
              <w:t>$                         737.717,00</w:t>
            </w:r>
          </w:p>
        </w:tc>
      </w:tr>
      <w:tr w:rsidR="00E07150" w:rsidRPr="00C63DA8" w14:paraId="13DDEC59" w14:textId="77777777" w:rsidTr="00D415F5">
        <w:trPr>
          <w:trHeight w:val="297"/>
        </w:trPr>
        <w:tc>
          <w:tcPr>
            <w:tcW w:w="3832" w:type="dxa"/>
            <w:tcBorders>
              <w:top w:val="nil"/>
              <w:left w:val="single" w:sz="4" w:space="0" w:color="auto"/>
              <w:bottom w:val="single" w:sz="4" w:space="0" w:color="auto"/>
              <w:right w:val="single" w:sz="4" w:space="0" w:color="auto"/>
            </w:tcBorders>
            <w:shd w:val="clear" w:color="auto" w:fill="auto"/>
            <w:vAlign w:val="center"/>
            <w:hideMark/>
          </w:tcPr>
          <w:p w14:paraId="0C2DC877" w14:textId="77777777" w:rsidR="00E07150" w:rsidRPr="00C63DA8" w:rsidRDefault="00E07150" w:rsidP="00D415F5">
            <w:pPr>
              <w:rPr>
                <w:rFonts w:eastAsia="Times New Roman" w:cs="Leelawadee"/>
                <w:color w:val="000000"/>
                <w:sz w:val="20"/>
                <w:szCs w:val="20"/>
                <w:lang w:eastAsia="es-CO"/>
              </w:rPr>
            </w:pPr>
            <w:r w:rsidRPr="00C63DA8">
              <w:rPr>
                <w:rFonts w:eastAsia="Times New Roman" w:cs="Leelawadee"/>
                <w:color w:val="000000"/>
                <w:sz w:val="20"/>
                <w:szCs w:val="20"/>
                <w:lang w:eastAsia="es-CO"/>
              </w:rPr>
              <w:t>APOYO CALCULADO EN 1/2 SMMLV</w:t>
            </w:r>
          </w:p>
        </w:tc>
        <w:tc>
          <w:tcPr>
            <w:tcW w:w="5032" w:type="dxa"/>
            <w:gridSpan w:val="2"/>
            <w:tcBorders>
              <w:top w:val="nil"/>
              <w:left w:val="nil"/>
              <w:bottom w:val="single" w:sz="4" w:space="0" w:color="auto"/>
              <w:right w:val="single" w:sz="4" w:space="0" w:color="auto"/>
            </w:tcBorders>
            <w:shd w:val="clear" w:color="auto" w:fill="auto"/>
            <w:vAlign w:val="center"/>
            <w:hideMark/>
          </w:tcPr>
          <w:p w14:paraId="53703CEB" w14:textId="77777777" w:rsidR="00E07150" w:rsidRPr="00C63DA8" w:rsidRDefault="00E07150" w:rsidP="00D415F5">
            <w:pPr>
              <w:jc w:val="center"/>
              <w:rPr>
                <w:rFonts w:eastAsia="Times New Roman" w:cs="Leelawadee"/>
                <w:color w:val="000000"/>
                <w:sz w:val="20"/>
                <w:szCs w:val="20"/>
                <w:lang w:eastAsia="es-CO"/>
              </w:rPr>
            </w:pPr>
            <w:r w:rsidRPr="00C63DA8">
              <w:rPr>
                <w:rFonts w:eastAsia="Times New Roman" w:cs="Leelawadee"/>
                <w:color w:val="000000"/>
                <w:sz w:val="20"/>
                <w:szCs w:val="20"/>
                <w:lang w:eastAsia="es-CO"/>
              </w:rPr>
              <w:t>$                         368.858,50</w:t>
            </w:r>
          </w:p>
        </w:tc>
      </w:tr>
      <w:tr w:rsidR="00E07150" w:rsidRPr="00E07150" w14:paraId="5831A82F" w14:textId="77777777" w:rsidTr="00D415F5">
        <w:trPr>
          <w:trHeight w:val="297"/>
        </w:trPr>
        <w:tc>
          <w:tcPr>
            <w:tcW w:w="8864" w:type="dxa"/>
            <w:gridSpan w:val="3"/>
            <w:tcBorders>
              <w:top w:val="nil"/>
              <w:left w:val="nil"/>
              <w:bottom w:val="nil"/>
              <w:right w:val="nil"/>
            </w:tcBorders>
            <w:shd w:val="clear" w:color="auto" w:fill="auto"/>
            <w:vAlign w:val="bottom"/>
            <w:hideMark/>
          </w:tcPr>
          <w:p w14:paraId="43C0D82A" w14:textId="77777777" w:rsidR="00E07150" w:rsidRPr="00E07150" w:rsidRDefault="00E07150" w:rsidP="00D415F5">
            <w:pPr>
              <w:rPr>
                <w:rFonts w:eastAsia="Times New Roman" w:cs="Leelawadee"/>
                <w:color w:val="000000"/>
                <w:sz w:val="18"/>
                <w:szCs w:val="18"/>
                <w:lang w:eastAsia="es-CO"/>
              </w:rPr>
            </w:pPr>
            <w:r w:rsidRPr="00E07150">
              <w:rPr>
                <w:rFonts w:eastAsia="Times New Roman" w:cs="Leelawadee"/>
                <w:color w:val="000000"/>
                <w:sz w:val="18"/>
                <w:szCs w:val="18"/>
                <w:lang w:eastAsia="es-CO"/>
              </w:rPr>
              <w:t xml:space="preserve">*Considerando que todos los enfermos  de Anemias Falciformes o </w:t>
            </w:r>
            <w:proofErr w:type="spellStart"/>
            <w:r w:rsidRPr="00E07150">
              <w:rPr>
                <w:rFonts w:eastAsia="Times New Roman" w:cs="Leelawadee"/>
                <w:color w:val="000000"/>
                <w:sz w:val="18"/>
                <w:szCs w:val="18"/>
                <w:lang w:eastAsia="es-CO"/>
              </w:rPr>
              <w:t>Drepanocíticas</w:t>
            </w:r>
            <w:proofErr w:type="spellEnd"/>
            <w:r w:rsidRPr="00E07150">
              <w:rPr>
                <w:rFonts w:eastAsia="Times New Roman" w:cs="Leelawadee"/>
                <w:color w:val="000000"/>
                <w:sz w:val="18"/>
                <w:szCs w:val="18"/>
                <w:lang w:eastAsia="es-CO"/>
              </w:rPr>
              <w:t xml:space="preserve"> son discapacitados.</w:t>
            </w:r>
          </w:p>
        </w:tc>
      </w:tr>
    </w:tbl>
    <w:p w14:paraId="040E069E" w14:textId="77777777" w:rsidR="00E07150" w:rsidRDefault="00E07150" w:rsidP="00E07150"/>
    <w:p w14:paraId="0A537F44" w14:textId="270E3CFC" w:rsidR="00E07150" w:rsidRDefault="00E07150" w:rsidP="00E07150">
      <w:r>
        <w:t xml:space="preserve">Partiendo de los 1025 pacientes de Anemias Falciformes o </w:t>
      </w:r>
      <w:proofErr w:type="spellStart"/>
      <w:r>
        <w:t>Drepanocíticas</w:t>
      </w:r>
      <w:proofErr w:type="spellEnd"/>
      <w:r>
        <w:t xml:space="preserve"> en tratamiento reportado por el SISPRO, y suponiendo que todos estos pacientes están e</w:t>
      </w:r>
      <w:r w:rsidR="005F3123">
        <w:t xml:space="preserve">n condición de discapacidad, y </w:t>
      </w:r>
      <w:r>
        <w:t>asum</w:t>
      </w:r>
      <w:r w:rsidR="005F3123">
        <w:t>iendo</w:t>
      </w:r>
      <w:r>
        <w:t xml:space="preserve"> un apoyo especial de medio SMMLV; entonces, se estima un costo o impacto fiscal cercano a los $4.5 mil millones de pesos. </w:t>
      </w:r>
    </w:p>
    <w:p w14:paraId="5792E835" w14:textId="77777777" w:rsidR="00E07150" w:rsidRDefault="00E07150" w:rsidP="00E07150"/>
    <w:p w14:paraId="72B52BAD" w14:textId="77777777" w:rsidR="00E07150" w:rsidRDefault="00E07150" w:rsidP="00E07150">
      <w:r>
        <w:t xml:space="preserve">Para beneficiar con este apoyo a los discapacitados por enfermedades huérfanas entonces el costo se estima en $2.6 mil millones de pesos. Beneficiar tanto los enfermos de anemias falciformes o </w:t>
      </w:r>
      <w:proofErr w:type="spellStart"/>
      <w:r>
        <w:t>drepanocíticas</w:t>
      </w:r>
      <w:proofErr w:type="spellEnd"/>
      <w:r>
        <w:t xml:space="preserve"> y los discapacitados por enfermedades huérfanas tendría un costo ponderado de $7.1mil millones de pesos. </w:t>
      </w:r>
    </w:p>
    <w:p w14:paraId="20E693F1" w14:textId="77777777" w:rsidR="00E07150" w:rsidRDefault="00E07150" w:rsidP="00E07150"/>
    <w:p w14:paraId="0CD8F047" w14:textId="4B84C66A" w:rsidR="00E07150" w:rsidRPr="00E30827" w:rsidRDefault="00E07150" w:rsidP="00E07150">
      <w:pPr>
        <w:rPr>
          <w:rFonts w:cs="Leelawadee"/>
          <w:szCs w:val="24"/>
        </w:rPr>
      </w:pPr>
      <w:r>
        <w:lastRenderedPageBreak/>
        <w:t xml:space="preserve">En ese sentido, de acuerdo a la </w:t>
      </w:r>
      <w:r>
        <w:fldChar w:fldCharType="begin"/>
      </w:r>
      <w:r>
        <w:instrText xml:space="preserve"> REF _Ref487117478 \h </w:instrText>
      </w:r>
      <w:r>
        <w:fldChar w:fldCharType="separate"/>
      </w:r>
      <w:r w:rsidR="00E26BA7" w:rsidRPr="00E07150">
        <w:rPr>
          <w:szCs w:val="24"/>
        </w:rPr>
        <w:t xml:space="preserve">Tabla </w:t>
      </w:r>
      <w:r w:rsidR="00E26BA7">
        <w:rPr>
          <w:noProof/>
          <w:szCs w:val="24"/>
        </w:rPr>
        <w:t>2</w:t>
      </w:r>
      <w:r w:rsidR="00E26BA7" w:rsidRPr="00E07150">
        <w:rPr>
          <w:szCs w:val="24"/>
        </w:rPr>
        <w:t>. Análisis de Impacto Fiscal</w:t>
      </w:r>
      <w:r>
        <w:fldChar w:fldCharType="end"/>
      </w:r>
      <w:r>
        <w:t xml:space="preserve"> equivale a apenas el 0.05% del presupuesto del Ministerio de Salud asignado para la vigencia fiscal del año 2017, incluida la adición presupuestal.</w:t>
      </w:r>
    </w:p>
    <w:p w14:paraId="421612D8" w14:textId="1BAAC8AD" w:rsidR="77E40395" w:rsidRPr="00E30827" w:rsidRDefault="77E40395" w:rsidP="00B77A19">
      <w:pPr>
        <w:rPr>
          <w:rFonts w:cs="Leelawadee"/>
          <w:szCs w:val="24"/>
        </w:rPr>
      </w:pPr>
    </w:p>
    <w:p w14:paraId="26CA32D5" w14:textId="2AC148D2" w:rsidR="6E67461F" w:rsidRPr="00E30827" w:rsidRDefault="2AC148D2" w:rsidP="00B77A19">
      <w:pPr>
        <w:rPr>
          <w:rFonts w:cs="Leelawadee"/>
          <w:szCs w:val="24"/>
        </w:rPr>
      </w:pPr>
      <w:r w:rsidRPr="00E30827">
        <w:rPr>
          <w:rFonts w:eastAsia="Leelawadee" w:cs="Leelawadee"/>
          <w:b/>
          <w:bCs/>
          <w:color w:val="000000" w:themeColor="text1"/>
          <w:szCs w:val="24"/>
          <w:u w:val="single"/>
          <w:lang w:val="es-ES"/>
        </w:rPr>
        <w:t>5.- DEL CONTENIDO NORMATIVO DE LA INICIATIVA</w:t>
      </w:r>
    </w:p>
    <w:p w14:paraId="58FC5C64" w14:textId="29C24ECC" w:rsidR="6E67461F" w:rsidRPr="00E30827" w:rsidRDefault="6E67461F" w:rsidP="00B77A19">
      <w:pPr>
        <w:rPr>
          <w:rFonts w:cs="Leelawadee"/>
          <w:szCs w:val="24"/>
        </w:rPr>
      </w:pPr>
    </w:p>
    <w:p w14:paraId="1B2AC7F9" w14:textId="5AD70554" w:rsidR="6A51EF2C" w:rsidRDefault="2E2BECD2" w:rsidP="00B77A19">
      <w:pPr>
        <w:rPr>
          <w:rFonts w:eastAsia="Leelawadee" w:cs="Leelawadee"/>
          <w:szCs w:val="24"/>
        </w:rPr>
      </w:pPr>
      <w:r w:rsidRPr="00E30827">
        <w:rPr>
          <w:rFonts w:eastAsia="Leelawadee" w:cs="Leelawadee"/>
          <w:szCs w:val="24"/>
        </w:rPr>
        <w:t xml:space="preserve">De lo anterior, es necesario </w:t>
      </w:r>
      <w:r w:rsidR="001336F2">
        <w:rPr>
          <w:rFonts w:eastAsia="Leelawadee" w:cs="Leelawadee"/>
          <w:szCs w:val="24"/>
        </w:rPr>
        <w:t xml:space="preserve">que el Estado de Colombia avance de manera progresista en favor de los derechos sociales que le asisten a las personas con discapacidad. En tal sentido, la iniciativa puesta a consideración del congreso de la República, puede entenderse como un primer paso en lograr dicha obligación internacional. </w:t>
      </w:r>
    </w:p>
    <w:p w14:paraId="46DE57B1" w14:textId="77777777" w:rsidR="001336F2" w:rsidRDefault="001336F2" w:rsidP="00B77A19">
      <w:pPr>
        <w:rPr>
          <w:rFonts w:eastAsia="Leelawadee" w:cs="Leelawadee"/>
          <w:szCs w:val="24"/>
        </w:rPr>
      </w:pPr>
    </w:p>
    <w:p w14:paraId="05F4542A" w14:textId="0762FDE4" w:rsidR="001336F2" w:rsidRPr="00E30827" w:rsidRDefault="001336F2" w:rsidP="00B77A19">
      <w:pPr>
        <w:rPr>
          <w:rFonts w:cs="Leelawadee"/>
          <w:szCs w:val="24"/>
        </w:rPr>
      </w:pPr>
      <w:r>
        <w:rPr>
          <w:rFonts w:eastAsia="Leelawadee" w:cs="Leelawadee"/>
          <w:szCs w:val="24"/>
        </w:rPr>
        <w:t>Así, al establecer medidas asistenciales que buscan una mayor inclusión social a la población que padece enfermedades huérfanas y, además, se encuentran con alguna discapacidad, que como se demostró más de la mitad de estas personas son menores de edad, se protege de manera positiva a la población cuya debilidad manifiesta es manifiesta y significante para su calidad de vida en condiciones más dignas.</w:t>
      </w:r>
    </w:p>
    <w:p w14:paraId="0C428A7D" w14:textId="5F0F1577" w:rsidR="2E2BECD2" w:rsidRPr="00E30827" w:rsidRDefault="2E2BECD2" w:rsidP="00B77A19">
      <w:pPr>
        <w:rPr>
          <w:rFonts w:cs="Leelawadee"/>
          <w:szCs w:val="24"/>
        </w:rPr>
      </w:pPr>
    </w:p>
    <w:p w14:paraId="6EB962A0" w14:textId="46CCF55D" w:rsidR="7A293792" w:rsidRPr="00E30827" w:rsidRDefault="12E2684E" w:rsidP="00B77A19">
      <w:pPr>
        <w:rPr>
          <w:rFonts w:cs="Leelawadee"/>
          <w:szCs w:val="24"/>
        </w:rPr>
      </w:pPr>
      <w:r w:rsidRPr="00E30827">
        <w:rPr>
          <w:rFonts w:eastAsia="Leelawadee" w:cs="Leelawadee"/>
          <w:szCs w:val="24"/>
        </w:rPr>
        <w:t>En los términos anteriores, en nuestra condición de miembros del Congreso de la República y en uso del derecho consagrado en el artículo 152 de la Constitución Política de Colombia, reconociendo la existencia de la necesidad de la garantí</w:t>
      </w:r>
      <w:r w:rsidR="007B0CA3">
        <w:rPr>
          <w:rFonts w:eastAsia="Leelawadee" w:cs="Leelawadee"/>
          <w:szCs w:val="24"/>
        </w:rPr>
        <w:t>a del Derecho Fundamental de Igualdad</w:t>
      </w:r>
      <w:r w:rsidRPr="00E30827">
        <w:rPr>
          <w:rFonts w:eastAsia="Leelawadee" w:cs="Leelawadee"/>
          <w:szCs w:val="24"/>
        </w:rPr>
        <w:t xml:space="preserve"> y el deber del Estado de proteger la vida en condiciones dignas, nos permitimos poner a consideración del honorable Congreso, este proyecto de ley.</w:t>
      </w:r>
    </w:p>
    <w:p w14:paraId="4264CF57" w14:textId="4B048ACC" w:rsidR="4D79FB91" w:rsidRPr="00E30827" w:rsidRDefault="4D79FB91" w:rsidP="00B77A19">
      <w:pPr>
        <w:rPr>
          <w:rFonts w:cs="Leelawadee"/>
          <w:szCs w:val="24"/>
        </w:rPr>
      </w:pPr>
    </w:p>
    <w:p w14:paraId="0BA36FE3" w14:textId="0C855DC5" w:rsidR="00763252" w:rsidRPr="00E30827" w:rsidRDefault="6E67461F" w:rsidP="00B77A19">
      <w:pPr>
        <w:rPr>
          <w:rFonts w:cs="Leelawadee"/>
          <w:color w:val="000000" w:themeColor="text1"/>
          <w:szCs w:val="24"/>
          <w:lang w:val="es-ES_tradnl"/>
        </w:rPr>
      </w:pPr>
      <w:r w:rsidRPr="00E30827">
        <w:rPr>
          <w:rFonts w:eastAsia="Leelawadee" w:cs="Leelawadee"/>
          <w:color w:val="000000" w:themeColor="text1"/>
          <w:szCs w:val="24"/>
          <w:lang w:val="es-ES"/>
        </w:rPr>
        <w:t>De los Honorables Congresistas,</w:t>
      </w:r>
    </w:p>
    <w:p w14:paraId="63958740" w14:textId="1A99F324" w:rsidR="007626E7" w:rsidRPr="00E30827" w:rsidRDefault="007626E7" w:rsidP="007626E7">
      <w:pPr>
        <w:rPr>
          <w:rFonts w:cs="Leelawadee"/>
          <w:color w:val="000000" w:themeColor="text1"/>
          <w:szCs w:val="24"/>
          <w:lang w:val="es-ES_tradnl"/>
        </w:rPr>
      </w:pPr>
      <w:r w:rsidRPr="00E30827">
        <w:rPr>
          <w:rFonts w:cs="Leelawadee"/>
          <w:color w:val="000000" w:themeColor="text1"/>
          <w:szCs w:val="24"/>
          <w:lang w:val="es-ES_tradnl"/>
        </w:rPr>
        <w:t xml:space="preserve"> </w:t>
      </w:r>
    </w:p>
    <w:p w14:paraId="7A727FC2" w14:textId="77777777" w:rsidR="007626E7" w:rsidRPr="00E30827" w:rsidRDefault="007626E7" w:rsidP="007626E7">
      <w:pPr>
        <w:rPr>
          <w:rFonts w:cs="Leelawadee"/>
          <w:color w:val="000000" w:themeColor="text1"/>
          <w:szCs w:val="24"/>
          <w:lang w:val="es-ES_tradnl"/>
        </w:rPr>
      </w:pPr>
    </w:p>
    <w:p w14:paraId="159C29B1" w14:textId="77777777" w:rsidR="007626E7" w:rsidRDefault="007626E7" w:rsidP="007626E7">
      <w:pPr>
        <w:rPr>
          <w:rFonts w:cs="Leelawadee"/>
          <w:color w:val="000000" w:themeColor="text1"/>
          <w:szCs w:val="24"/>
          <w:lang w:val="es-ES_tradnl"/>
        </w:rPr>
      </w:pPr>
    </w:p>
    <w:p w14:paraId="22F83AA7" w14:textId="77777777" w:rsidR="007626E7" w:rsidRDefault="007626E7" w:rsidP="007626E7">
      <w:pPr>
        <w:rPr>
          <w:rFonts w:cs="Leelawadee"/>
          <w:color w:val="000000" w:themeColor="text1"/>
          <w:szCs w:val="24"/>
          <w:lang w:val="es-ES_tradnl"/>
        </w:rPr>
      </w:pPr>
    </w:p>
    <w:p w14:paraId="27EED9DB" w14:textId="77777777" w:rsidR="007626E7" w:rsidRPr="00E30827" w:rsidRDefault="007626E7" w:rsidP="007626E7">
      <w:pPr>
        <w:rPr>
          <w:rFonts w:cs="Leelawadee"/>
          <w:color w:val="000000" w:themeColor="text1"/>
          <w:szCs w:val="24"/>
          <w:lang w:val="es-ES_tradnl"/>
        </w:rPr>
      </w:pPr>
    </w:p>
    <w:p w14:paraId="11288173" w14:textId="77777777" w:rsidR="007626E7" w:rsidRPr="00E30827" w:rsidRDefault="007626E7" w:rsidP="007626E7">
      <w:pPr>
        <w:rPr>
          <w:rFonts w:cs="Leelawadee"/>
          <w:b/>
          <w:color w:val="000000" w:themeColor="text1"/>
          <w:szCs w:val="24"/>
        </w:rPr>
      </w:pPr>
      <w:r>
        <w:rPr>
          <w:rFonts w:cs="Leelawadee"/>
          <w:b/>
          <w:color w:val="000000" w:themeColor="text1"/>
          <w:szCs w:val="24"/>
        </w:rPr>
        <w:t>FERNANDO NICOLÁS ARAUJO RUMIÉ</w:t>
      </w:r>
      <w:r>
        <w:rPr>
          <w:rFonts w:cs="Leelawadee"/>
          <w:b/>
          <w:color w:val="000000" w:themeColor="text1"/>
          <w:szCs w:val="24"/>
        </w:rPr>
        <w:tab/>
      </w:r>
      <w:r>
        <w:rPr>
          <w:rFonts w:cs="Leelawadee"/>
          <w:b/>
          <w:color w:val="000000" w:themeColor="text1"/>
          <w:szCs w:val="24"/>
        </w:rPr>
        <w:tab/>
        <w:t>WILSON CÓRDOBA MENA</w:t>
      </w:r>
    </w:p>
    <w:p w14:paraId="59FAD8EA" w14:textId="77777777" w:rsidR="007626E7" w:rsidRPr="005E44B2" w:rsidRDefault="007626E7" w:rsidP="007626E7">
      <w:pPr>
        <w:rPr>
          <w:rFonts w:cs="Leelawadee"/>
          <w:color w:val="000000" w:themeColor="text1"/>
          <w:sz w:val="22"/>
        </w:rPr>
      </w:pPr>
      <w:r w:rsidRPr="005E44B2">
        <w:rPr>
          <w:rFonts w:cs="Leelawadee"/>
          <w:color w:val="000000" w:themeColor="text1"/>
          <w:sz w:val="22"/>
        </w:rPr>
        <w:t>Senador de la República</w:t>
      </w:r>
      <w:r w:rsidRPr="005E44B2">
        <w:rPr>
          <w:rFonts w:cs="Leelawadee"/>
          <w:color w:val="000000" w:themeColor="text1"/>
          <w:sz w:val="22"/>
        </w:rPr>
        <w:tab/>
      </w:r>
      <w:r w:rsidRPr="005E44B2">
        <w:rPr>
          <w:rFonts w:cs="Leelawadee"/>
          <w:color w:val="000000" w:themeColor="text1"/>
          <w:sz w:val="22"/>
        </w:rPr>
        <w:tab/>
      </w:r>
      <w:r w:rsidRPr="005E44B2">
        <w:rPr>
          <w:rFonts w:cs="Leelawadee"/>
          <w:color w:val="000000" w:themeColor="text1"/>
          <w:sz w:val="22"/>
        </w:rPr>
        <w:tab/>
      </w:r>
      <w:r w:rsidRPr="005E44B2">
        <w:rPr>
          <w:rFonts w:cs="Leelawadee"/>
          <w:color w:val="000000" w:themeColor="text1"/>
          <w:sz w:val="22"/>
        </w:rPr>
        <w:tab/>
        <w:t>Representante a la Cámara - Antioquia</w:t>
      </w:r>
    </w:p>
    <w:p w14:paraId="7575F129" w14:textId="56A72D88" w:rsidR="000E65B5" w:rsidRPr="0091491A" w:rsidRDefault="007626E7" w:rsidP="00B77A19">
      <w:pPr>
        <w:rPr>
          <w:rFonts w:cs="Leelawadee"/>
          <w:color w:val="000000" w:themeColor="text1"/>
          <w:szCs w:val="24"/>
        </w:rPr>
      </w:pPr>
      <w:r w:rsidRPr="005E44B2">
        <w:rPr>
          <w:rFonts w:cs="Leelawadee"/>
          <w:color w:val="000000" w:themeColor="text1"/>
          <w:sz w:val="22"/>
        </w:rPr>
        <w:t>Centro Democrático</w:t>
      </w:r>
      <w:r>
        <w:rPr>
          <w:rFonts w:cs="Leelawadee"/>
          <w:color w:val="000000" w:themeColor="text1"/>
          <w:sz w:val="22"/>
        </w:rPr>
        <w:tab/>
      </w:r>
      <w:r>
        <w:rPr>
          <w:rFonts w:cs="Leelawadee"/>
          <w:color w:val="000000" w:themeColor="text1"/>
          <w:sz w:val="22"/>
        </w:rPr>
        <w:tab/>
      </w:r>
      <w:r>
        <w:rPr>
          <w:rFonts w:cs="Leelawadee"/>
          <w:color w:val="000000" w:themeColor="text1"/>
          <w:sz w:val="22"/>
        </w:rPr>
        <w:tab/>
      </w:r>
      <w:r>
        <w:rPr>
          <w:rFonts w:cs="Leelawadee"/>
          <w:color w:val="000000" w:themeColor="text1"/>
          <w:sz w:val="22"/>
        </w:rPr>
        <w:tab/>
      </w:r>
      <w:r>
        <w:rPr>
          <w:rFonts w:cs="Leelawadee"/>
          <w:color w:val="000000" w:themeColor="text1"/>
          <w:sz w:val="22"/>
        </w:rPr>
        <w:tab/>
        <w:t>Centro Democrático</w:t>
      </w:r>
    </w:p>
    <w:sectPr w:rsidR="000E65B5" w:rsidRPr="0091491A" w:rsidSect="007B0CA3">
      <w:headerReference w:type="default" r:id="rId19"/>
      <w:footerReference w:type="default" r:id="rId20"/>
      <w:pgSz w:w="12242" w:h="18722" w:code="120"/>
      <w:pgMar w:top="1418" w:right="1701" w:bottom="1418" w:left="1701"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BFB17" w14:textId="77777777" w:rsidR="00C4557E" w:rsidRDefault="00C4557E" w:rsidP="00EE5CAF">
      <w:r>
        <w:separator/>
      </w:r>
    </w:p>
  </w:endnote>
  <w:endnote w:type="continuationSeparator" w:id="0">
    <w:p w14:paraId="53831DEE" w14:textId="77777777" w:rsidR="00C4557E" w:rsidRDefault="00C4557E" w:rsidP="00EE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w:panose1 w:val="020B0502040204020203"/>
    <w:charset w:val="00"/>
    <w:family w:val="swiss"/>
    <w:pitch w:val="variable"/>
    <w:sig w:usb0="810000AF" w:usb1="4000204B" w:usb2="00000000" w:usb3="00000000" w:csb0="00010001" w:csb1="00000000"/>
  </w:font>
  <w:font w:name="Tahoma">
    <w:panose1 w:val="020B0604030504040204"/>
    <w:charset w:val="00"/>
    <w:family w:val="swiss"/>
    <w:pitch w:val="variable"/>
    <w:sig w:usb0="E1002EFF" w:usb1="C000605B" w:usb2="00000029" w:usb3="00000000" w:csb0="000101FF" w:csb1="00000000"/>
  </w:font>
  <w:font w:name="Leelawadee,Leelawadee,Leelawad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589A0" w14:textId="77777777" w:rsidR="00896750" w:rsidRPr="005D7ED8" w:rsidRDefault="0042227B" w:rsidP="0042227B">
    <w:pPr>
      <w:pStyle w:val="Ttulo4"/>
      <w:ind w:firstLine="284"/>
      <w:rPr>
        <w:sz w:val="16"/>
        <w:szCs w:val="16"/>
      </w:rPr>
    </w:pPr>
    <w:r>
      <w:rPr>
        <w:noProof/>
      </w:rPr>
      <w:drawing>
        <wp:inline distT="0" distB="0" distL="0" distR="0" wp14:anchorId="2F548145" wp14:editId="57EFF1CE">
          <wp:extent cx="2379345" cy="266555"/>
          <wp:effectExtent l="0" t="0" r="1905"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do.jpg"/>
                  <pic:cNvPicPr/>
                </pic:nvPicPr>
                <pic:blipFill rotWithShape="1">
                  <a:blip r:embed="rId1">
                    <a:extLst>
                      <a:ext uri="{28A0092B-C50C-407E-A947-70E740481C1C}">
                        <a14:useLocalDpi xmlns:a14="http://schemas.microsoft.com/office/drawing/2010/main" val="0"/>
                      </a:ext>
                    </a:extLst>
                  </a:blip>
                  <a:srcRect t="75548" b="697"/>
                  <a:stretch/>
                </pic:blipFill>
                <pic:spPr bwMode="auto">
                  <a:xfrm>
                    <a:off x="0" y="0"/>
                    <a:ext cx="2414802" cy="270527"/>
                  </a:xfrm>
                  <a:prstGeom prst="rect">
                    <a:avLst/>
                  </a:prstGeom>
                  <a:ln>
                    <a:noFill/>
                  </a:ln>
                  <a:extLst>
                    <a:ext uri="{53640926-AAD7-44D8-BBD7-CCE9431645EC}">
                      <a14:shadowObscured xmlns:a14="http://schemas.microsoft.com/office/drawing/2010/main"/>
                    </a:ext>
                  </a:extLst>
                </pic:spPr>
              </pic:pic>
            </a:graphicData>
          </a:graphic>
        </wp:inline>
      </w:drawing>
    </w:r>
  </w:p>
  <w:p w14:paraId="44407AF5" w14:textId="77777777" w:rsidR="00896750" w:rsidRPr="00896750" w:rsidRDefault="00896750" w:rsidP="00896750">
    <w:pPr>
      <w:pStyle w:val="Piedepgina"/>
      <w:jc w:val="center"/>
      <w:rPr>
        <w:sz w:val="14"/>
        <w:szCs w:val="14"/>
      </w:rPr>
    </w:pPr>
    <w:r>
      <w:rPr>
        <w:noProof/>
        <w:lang w:val="es-ES" w:eastAsia="es-ES"/>
      </w:rPr>
      <mc:AlternateContent>
        <mc:Choice Requires="wps">
          <w:drawing>
            <wp:anchor distT="4294967295" distB="4294967295" distL="114300" distR="114300" simplePos="0" relativeHeight="251661312" behindDoc="0" locked="0" layoutInCell="1" allowOverlap="1" wp14:anchorId="4409A1E7" wp14:editId="4094FF3F">
              <wp:simplePos x="0" y="0"/>
              <wp:positionH relativeFrom="column">
                <wp:posOffset>2884805</wp:posOffset>
              </wp:positionH>
              <wp:positionV relativeFrom="paragraph">
                <wp:posOffset>53340</wp:posOffset>
              </wp:positionV>
              <wp:extent cx="720090" cy="0"/>
              <wp:effectExtent l="0" t="19050" r="41910" b="3810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548D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a="http://schemas.openxmlformats.org/drawingml/2006/main" xmlns:pic="http://schemas.openxmlformats.org/drawingml/2006/picture" xmlns:a14="http://schemas.microsoft.com/office/drawing/2010/main" xmlns:wp14="http://schemas.microsoft.com/office/word/2010/wordml">
          <w:pict w14:anchorId="75BEAF15">
            <v:shapetype id="_x0000_t32" coordsize="21600,21600" o:oned="t" filled="f" o:spt="32" path="m,l21600,21600e" w14:anchorId="5A10106C">
              <v:path fillok="f" arrowok="t" o:connecttype="none"/>
              <o:lock v:ext="edit" shapetype="t"/>
            </v:shapetype>
            <v:shape id="AutoShape 4" style="position:absolute;margin-left:227.15pt;margin-top:4.2pt;width:56.7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548dd4"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"/>
          </w:pict>
        </mc:Fallback>
      </mc:AlternateContent>
    </w:r>
    <w:r>
      <w:rPr>
        <w:noProof/>
        <w:lang w:val="es-ES" w:eastAsia="es-ES"/>
      </w:rPr>
      <mc:AlternateContent>
        <mc:Choice Requires="wps">
          <w:drawing>
            <wp:anchor distT="4294967295" distB="4294967295" distL="114300" distR="114300" simplePos="0" relativeHeight="251660288" behindDoc="0" locked="0" layoutInCell="1" allowOverlap="1" wp14:anchorId="62F66BAA" wp14:editId="228D4CD3">
              <wp:simplePos x="0" y="0"/>
              <wp:positionH relativeFrom="column">
                <wp:posOffset>3603625</wp:posOffset>
              </wp:positionH>
              <wp:positionV relativeFrom="paragraph">
                <wp:posOffset>53975</wp:posOffset>
              </wp:positionV>
              <wp:extent cx="720090" cy="0"/>
              <wp:effectExtent l="0" t="19050" r="41910" b="381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a="http://schemas.openxmlformats.org/drawingml/2006/main" xmlns:pic="http://schemas.openxmlformats.org/drawingml/2006/picture" xmlns:a14="http://schemas.microsoft.com/office/drawing/2010/main" xmlns:wp14="http://schemas.microsoft.com/office/word/2010/wordml">
          <w:pict w14:anchorId="73ABE41A">
            <v:shape id="AutoShape 3" style="position:absolute;margin-left:283.75pt;margin-top:4.25pt;width:56.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red"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" w14:anchorId="3F429D19"/>
          </w:pict>
        </mc:Fallback>
      </mc:AlternateContent>
    </w:r>
    <w:r>
      <w:rPr>
        <w:noProof/>
        <w:lang w:val="es-ES" w:eastAsia="es-ES"/>
      </w:rPr>
      <mc:AlternateContent>
        <mc:Choice Requires="wps">
          <w:drawing>
            <wp:anchor distT="4294967295" distB="4294967295" distL="114300" distR="114300" simplePos="0" relativeHeight="251659264" behindDoc="0" locked="0" layoutInCell="1" allowOverlap="1" wp14:anchorId="7F3F0886" wp14:editId="30370713">
              <wp:simplePos x="0" y="0"/>
              <wp:positionH relativeFrom="column">
                <wp:posOffset>1442085</wp:posOffset>
              </wp:positionH>
              <wp:positionV relativeFrom="paragraph">
                <wp:posOffset>53975</wp:posOffset>
              </wp:positionV>
              <wp:extent cx="1440180" cy="0"/>
              <wp:effectExtent l="0" t="19050" r="45720" b="3810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a="http://schemas.openxmlformats.org/drawingml/2006/main" xmlns:pic="http://schemas.openxmlformats.org/drawingml/2006/picture" xmlns:a14="http://schemas.microsoft.com/office/drawing/2010/main" xmlns:wp14="http://schemas.microsoft.com/office/word/2010/wordml">
          <w:pict w14:anchorId="3E8D9129">
            <v:shape id="AutoShape 5" style="position:absolute;margin-left:113.55pt;margin-top:4.25pt;width:113.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yellow"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" w14:anchorId="42E15271"/>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0E197" w14:textId="77777777" w:rsidR="00C4557E" w:rsidRDefault="00C4557E" w:rsidP="00EE5CAF">
      <w:r>
        <w:separator/>
      </w:r>
    </w:p>
  </w:footnote>
  <w:footnote w:type="continuationSeparator" w:id="0">
    <w:p w14:paraId="75D350D0" w14:textId="77777777" w:rsidR="00C4557E" w:rsidRDefault="00C4557E" w:rsidP="00EE5CAF">
      <w:r>
        <w:continuationSeparator/>
      </w:r>
    </w:p>
  </w:footnote>
  <w:footnote w:id="1">
    <w:p w14:paraId="6BB4A3B5" w14:textId="77777777" w:rsidR="004E4DC0" w:rsidRPr="001336F2" w:rsidRDefault="004E4DC0" w:rsidP="004E4DC0">
      <w:pPr>
        <w:pStyle w:val="Textonotapie"/>
        <w:rPr>
          <w:rFonts w:ascii="Leelawadee" w:hAnsi="Leelawadee" w:cs="Leelawadee"/>
          <w:sz w:val="18"/>
          <w:szCs w:val="18"/>
          <w:lang w:val="es-CO"/>
        </w:rPr>
      </w:pPr>
      <w:r w:rsidRPr="001336F2">
        <w:rPr>
          <w:rStyle w:val="Refdenotaalpie"/>
          <w:rFonts w:ascii="Leelawadee" w:hAnsi="Leelawadee" w:cs="Leelawadee"/>
          <w:sz w:val="18"/>
          <w:szCs w:val="18"/>
        </w:rPr>
        <w:footnoteRef/>
      </w:r>
      <w:r w:rsidRPr="001336F2">
        <w:rPr>
          <w:rFonts w:ascii="Leelawadee" w:hAnsi="Leelawadee" w:cs="Leelawadee"/>
          <w:sz w:val="18"/>
          <w:szCs w:val="18"/>
        </w:rPr>
        <w:t xml:space="preserve"> </w:t>
      </w:r>
      <w:hyperlink r:id="rId1" w:history="1">
        <w:r w:rsidRPr="001336F2">
          <w:rPr>
            <w:rStyle w:val="Hipervnculo"/>
            <w:rFonts w:ascii="Leelawadee" w:eastAsia="Arial" w:hAnsi="Leelawadee" w:cs="Leelawadee"/>
            <w:color w:val="auto"/>
            <w:sz w:val="18"/>
            <w:szCs w:val="18"/>
          </w:rPr>
          <w:t>http://www.revhematologia.sld.cu/index.php/hih/article/view/268/185</w:t>
        </w:r>
      </w:hyperlink>
    </w:p>
  </w:footnote>
  <w:footnote w:id="2">
    <w:p w14:paraId="0BF95829" w14:textId="77777777" w:rsidR="004E4DC0" w:rsidRPr="001336F2" w:rsidRDefault="004E4DC0" w:rsidP="004E4DC0">
      <w:pPr>
        <w:pStyle w:val="Textonotapie"/>
        <w:rPr>
          <w:rFonts w:ascii="Leelawadee" w:hAnsi="Leelawadee" w:cs="Leelawadee"/>
          <w:sz w:val="18"/>
          <w:szCs w:val="18"/>
          <w:lang w:val="es-CO"/>
        </w:rPr>
      </w:pPr>
      <w:r w:rsidRPr="001336F2">
        <w:rPr>
          <w:rStyle w:val="Refdenotaalpie"/>
          <w:rFonts w:ascii="Leelawadee" w:hAnsi="Leelawadee" w:cs="Leelawadee"/>
          <w:sz w:val="18"/>
          <w:szCs w:val="18"/>
        </w:rPr>
        <w:footnoteRef/>
      </w:r>
      <w:hyperlink r:id="rId2" w:history="1">
        <w:r w:rsidRPr="001336F2">
          <w:rPr>
            <w:rStyle w:val="Hipervnculo"/>
            <w:rFonts w:ascii="Leelawadee" w:eastAsia="Arial" w:hAnsi="Leelawadee" w:cs="Leelawadee"/>
            <w:color w:val="auto"/>
            <w:sz w:val="18"/>
            <w:szCs w:val="18"/>
          </w:rPr>
          <w:t>http://190.242.62.234:8080/jspui/bitstream/11227/1812/1/FINAL%20TESIS%20DE%20GRADO%20CAROLINA%20SIERRA%202010%20.pdf</w:t>
        </w:r>
      </w:hyperlink>
    </w:p>
  </w:footnote>
  <w:footnote w:id="3">
    <w:p w14:paraId="77B7C4AE" w14:textId="77777777" w:rsidR="004E4DC0" w:rsidRPr="001336F2" w:rsidRDefault="004E4DC0" w:rsidP="004E4DC0">
      <w:pPr>
        <w:pStyle w:val="Textonotapie"/>
        <w:rPr>
          <w:rFonts w:ascii="Leelawadee" w:hAnsi="Leelawadee" w:cs="Leelawadee"/>
          <w:sz w:val="18"/>
          <w:szCs w:val="18"/>
          <w:lang w:val="es-CO"/>
        </w:rPr>
      </w:pPr>
      <w:r w:rsidRPr="001336F2">
        <w:rPr>
          <w:rStyle w:val="Refdenotaalpie"/>
          <w:rFonts w:ascii="Leelawadee" w:hAnsi="Leelawadee" w:cs="Leelawadee"/>
          <w:sz w:val="18"/>
          <w:szCs w:val="18"/>
        </w:rPr>
        <w:footnoteRef/>
      </w:r>
      <w:r w:rsidRPr="001336F2">
        <w:rPr>
          <w:rFonts w:ascii="Leelawadee" w:hAnsi="Leelawadee" w:cs="Leelawadee"/>
          <w:sz w:val="18"/>
          <w:szCs w:val="18"/>
        </w:rPr>
        <w:t xml:space="preserve"> </w:t>
      </w:r>
      <w:hyperlink r:id="rId3" w:history="1">
        <w:r w:rsidRPr="001336F2">
          <w:rPr>
            <w:rStyle w:val="Hipervnculo"/>
            <w:rFonts w:ascii="Leelawadee" w:hAnsi="Leelawadee" w:cs="Leelawadee"/>
            <w:color w:val="auto"/>
            <w:sz w:val="18"/>
            <w:szCs w:val="18"/>
          </w:rPr>
          <w:t>http://www.scielo.org.co/pdf/nova/v12n22/v12n22a04.pdf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83330" w14:textId="2990A473" w:rsidR="004F5B8F" w:rsidRPr="00CF6762" w:rsidRDefault="00A91C90" w:rsidP="004F5B8F">
    <w:pPr>
      <w:jc w:val="center"/>
      <w:rPr>
        <w:rFonts w:eastAsia="Leelawadee,Leelawadee,Leelawade" w:cs="Leelawadee"/>
        <w:b/>
        <w:bCs/>
        <w:color w:val="000000" w:themeColor="text1"/>
        <w:szCs w:val="24"/>
        <w:lang w:eastAsia="es-ES"/>
      </w:rPr>
    </w:pPr>
    <w:r>
      <w:rPr>
        <w:noProof/>
        <w:lang w:val="es-ES" w:eastAsia="es-ES"/>
      </w:rPr>
      <w:drawing>
        <wp:inline distT="0" distB="0" distL="0" distR="0" wp14:anchorId="75BEAF15" wp14:editId="07777777">
          <wp:extent cx="2381250" cy="81652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nado.jpg"/>
                  <pic:cNvPicPr/>
                </pic:nvPicPr>
                <pic:blipFill rotWithShape="1">
                  <a:blip r:embed="rId1">
                    <a:extLst>
                      <a:ext uri="{28A0092B-C50C-407E-A947-70E740481C1C}">
                        <a14:useLocalDpi xmlns:a14="http://schemas.microsoft.com/office/drawing/2010/main" val="0"/>
                      </a:ext>
                    </a:extLst>
                  </a:blip>
                  <a:srcRect b="27291"/>
                  <a:stretch/>
                </pic:blipFill>
                <pic:spPr bwMode="auto">
                  <a:xfrm>
                    <a:off x="0" y="0"/>
                    <a:ext cx="2414802" cy="828027"/>
                  </a:xfrm>
                  <a:prstGeom prst="rect">
                    <a:avLst/>
                  </a:prstGeom>
                  <a:ln>
                    <a:noFill/>
                  </a:ln>
                  <a:extLst>
                    <a:ext uri="{53640926-AAD7-44D8-BBD7-CCE9431645EC}">
                      <a14:shadowObscured xmlns:a14="http://schemas.microsoft.com/office/drawing/2010/main"/>
                    </a:ext>
                  </a:extLst>
                </pic:spPr>
              </pic:pic>
            </a:graphicData>
          </a:graphic>
        </wp:inline>
      </w:drawing>
    </w:r>
    <w:r w:rsidR="0042227B">
      <w:tab/>
    </w:r>
    <w:r w:rsidR="0042227B">
      <w:tab/>
    </w:r>
    <w:r w:rsidR="0042227B">
      <w:rPr>
        <w:noProof/>
        <w:lang w:val="es-ES" w:eastAsia="es-ES"/>
      </w:rPr>
      <w:drawing>
        <wp:inline distT="0" distB="0" distL="0" distR="0" wp14:anchorId="73ABE41A" wp14:editId="07777777">
          <wp:extent cx="1829366" cy="796906"/>
          <wp:effectExtent l="0" t="0" r="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centro-democratic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3322" cy="798629"/>
                  </a:xfrm>
                  <a:prstGeom prst="rect">
                    <a:avLst/>
                  </a:prstGeom>
                </pic:spPr>
              </pic:pic>
            </a:graphicData>
          </a:graphic>
        </wp:inline>
      </w:drawing>
    </w:r>
    <w:r w:rsidR="00E30827" w:rsidRPr="00E30827">
      <w:rPr>
        <w:rFonts w:cs="Leelawadee"/>
        <w:b/>
        <w:color w:val="000000" w:themeColor="text1"/>
        <w:szCs w:val="24"/>
        <w:lang w:val="es-ES_tradnl"/>
      </w:rPr>
      <w:t xml:space="preserve"> </w:t>
    </w:r>
  </w:p>
  <w:p w14:paraId="784CEA28" w14:textId="77777777" w:rsidR="00E30827" w:rsidRPr="00E30827" w:rsidRDefault="00E30827" w:rsidP="004F5B8F">
    <w:pPr>
      <w:pStyle w:val="Encabezado"/>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4A2D"/>
    <w:multiLevelType w:val="hybridMultilevel"/>
    <w:tmpl w:val="13CCDDC4"/>
    <w:lvl w:ilvl="0" w:tplc="D5E8CF84">
      <w:start w:val="1"/>
      <w:numFmt w:val="upperRoman"/>
      <w:lvlText w:val="%1."/>
      <w:lvlJc w:val="left"/>
      <w:pPr>
        <w:ind w:left="1080" w:hanging="720"/>
      </w:pPr>
      <w:rPr>
        <w:rFonts w:cs="TimesNewRomanPSMT"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F7062B0"/>
    <w:multiLevelType w:val="hybridMultilevel"/>
    <w:tmpl w:val="C2665AD6"/>
    <w:lvl w:ilvl="0" w:tplc="DA686F56">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5393965"/>
    <w:multiLevelType w:val="hybridMultilevel"/>
    <w:tmpl w:val="4C561314"/>
    <w:lvl w:ilvl="0" w:tplc="3B1E7E76">
      <w:start w:val="1"/>
      <w:numFmt w:val="bullet"/>
      <w:lvlText w:val="•"/>
      <w:lvlJc w:val="left"/>
      <w:pPr>
        <w:tabs>
          <w:tab w:val="num" w:pos="720"/>
        </w:tabs>
        <w:ind w:left="720" w:hanging="360"/>
      </w:pPr>
      <w:rPr>
        <w:rFonts w:ascii="Times New Roman" w:hAnsi="Times New Roman" w:hint="default"/>
      </w:rPr>
    </w:lvl>
    <w:lvl w:ilvl="1" w:tplc="19146426" w:tentative="1">
      <w:start w:val="1"/>
      <w:numFmt w:val="bullet"/>
      <w:lvlText w:val="•"/>
      <w:lvlJc w:val="left"/>
      <w:pPr>
        <w:tabs>
          <w:tab w:val="num" w:pos="1440"/>
        </w:tabs>
        <w:ind w:left="1440" w:hanging="360"/>
      </w:pPr>
      <w:rPr>
        <w:rFonts w:ascii="Times New Roman" w:hAnsi="Times New Roman" w:hint="default"/>
      </w:rPr>
    </w:lvl>
    <w:lvl w:ilvl="2" w:tplc="87125E12" w:tentative="1">
      <w:start w:val="1"/>
      <w:numFmt w:val="bullet"/>
      <w:lvlText w:val="•"/>
      <w:lvlJc w:val="left"/>
      <w:pPr>
        <w:tabs>
          <w:tab w:val="num" w:pos="2160"/>
        </w:tabs>
        <w:ind w:left="2160" w:hanging="360"/>
      </w:pPr>
      <w:rPr>
        <w:rFonts w:ascii="Times New Roman" w:hAnsi="Times New Roman" w:hint="default"/>
      </w:rPr>
    </w:lvl>
    <w:lvl w:ilvl="3" w:tplc="71CE79FE" w:tentative="1">
      <w:start w:val="1"/>
      <w:numFmt w:val="bullet"/>
      <w:lvlText w:val="•"/>
      <w:lvlJc w:val="left"/>
      <w:pPr>
        <w:tabs>
          <w:tab w:val="num" w:pos="2880"/>
        </w:tabs>
        <w:ind w:left="2880" w:hanging="360"/>
      </w:pPr>
      <w:rPr>
        <w:rFonts w:ascii="Times New Roman" w:hAnsi="Times New Roman" w:hint="default"/>
      </w:rPr>
    </w:lvl>
    <w:lvl w:ilvl="4" w:tplc="97503C4E" w:tentative="1">
      <w:start w:val="1"/>
      <w:numFmt w:val="bullet"/>
      <w:lvlText w:val="•"/>
      <w:lvlJc w:val="left"/>
      <w:pPr>
        <w:tabs>
          <w:tab w:val="num" w:pos="3600"/>
        </w:tabs>
        <w:ind w:left="3600" w:hanging="360"/>
      </w:pPr>
      <w:rPr>
        <w:rFonts w:ascii="Times New Roman" w:hAnsi="Times New Roman" w:hint="default"/>
      </w:rPr>
    </w:lvl>
    <w:lvl w:ilvl="5" w:tplc="D3F4EAD2" w:tentative="1">
      <w:start w:val="1"/>
      <w:numFmt w:val="bullet"/>
      <w:lvlText w:val="•"/>
      <w:lvlJc w:val="left"/>
      <w:pPr>
        <w:tabs>
          <w:tab w:val="num" w:pos="4320"/>
        </w:tabs>
        <w:ind w:left="4320" w:hanging="360"/>
      </w:pPr>
      <w:rPr>
        <w:rFonts w:ascii="Times New Roman" w:hAnsi="Times New Roman" w:hint="default"/>
      </w:rPr>
    </w:lvl>
    <w:lvl w:ilvl="6" w:tplc="1C1EF484" w:tentative="1">
      <w:start w:val="1"/>
      <w:numFmt w:val="bullet"/>
      <w:lvlText w:val="•"/>
      <w:lvlJc w:val="left"/>
      <w:pPr>
        <w:tabs>
          <w:tab w:val="num" w:pos="5040"/>
        </w:tabs>
        <w:ind w:left="5040" w:hanging="360"/>
      </w:pPr>
      <w:rPr>
        <w:rFonts w:ascii="Times New Roman" w:hAnsi="Times New Roman" w:hint="default"/>
      </w:rPr>
    </w:lvl>
    <w:lvl w:ilvl="7" w:tplc="05BC7364" w:tentative="1">
      <w:start w:val="1"/>
      <w:numFmt w:val="bullet"/>
      <w:lvlText w:val="•"/>
      <w:lvlJc w:val="left"/>
      <w:pPr>
        <w:tabs>
          <w:tab w:val="num" w:pos="5760"/>
        </w:tabs>
        <w:ind w:left="5760" w:hanging="360"/>
      </w:pPr>
      <w:rPr>
        <w:rFonts w:ascii="Times New Roman" w:hAnsi="Times New Roman" w:hint="default"/>
      </w:rPr>
    </w:lvl>
    <w:lvl w:ilvl="8" w:tplc="38B03F86" w:tentative="1">
      <w:start w:val="1"/>
      <w:numFmt w:val="bullet"/>
      <w:lvlText w:val="•"/>
      <w:lvlJc w:val="left"/>
      <w:pPr>
        <w:tabs>
          <w:tab w:val="num" w:pos="6480"/>
        </w:tabs>
        <w:ind w:left="6480" w:hanging="360"/>
      </w:pPr>
      <w:rPr>
        <w:rFonts w:ascii="Times New Roman" w:hAnsi="Times New Roman" w:hint="default"/>
      </w:rPr>
    </w:lvl>
  </w:abstractNum>
  <w:abstractNum w:abstractNumId="3">
    <w:nsid w:val="5A5E0F17"/>
    <w:multiLevelType w:val="hybridMultilevel"/>
    <w:tmpl w:val="58BCBD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8776B73"/>
    <w:multiLevelType w:val="hybridMultilevel"/>
    <w:tmpl w:val="F6244D9E"/>
    <w:lvl w:ilvl="0" w:tplc="B700FDE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B1C5995"/>
    <w:multiLevelType w:val="hybridMultilevel"/>
    <w:tmpl w:val="D1843206"/>
    <w:lvl w:ilvl="0" w:tplc="2C4CB22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CAF"/>
    <w:rsid w:val="00012694"/>
    <w:rsid w:val="00024A7B"/>
    <w:rsid w:val="00026FB8"/>
    <w:rsid w:val="00053792"/>
    <w:rsid w:val="000D5E88"/>
    <w:rsid w:val="000D7555"/>
    <w:rsid w:val="000E369E"/>
    <w:rsid w:val="000E65B5"/>
    <w:rsid w:val="000F4FF3"/>
    <w:rsid w:val="00120960"/>
    <w:rsid w:val="001336F2"/>
    <w:rsid w:val="00140DC0"/>
    <w:rsid w:val="001569FD"/>
    <w:rsid w:val="00165CA3"/>
    <w:rsid w:val="00176C16"/>
    <w:rsid w:val="001C6496"/>
    <w:rsid w:val="001D0D8F"/>
    <w:rsid w:val="001E1A3F"/>
    <w:rsid w:val="00203E0A"/>
    <w:rsid w:val="002326BE"/>
    <w:rsid w:val="00252FF6"/>
    <w:rsid w:val="00261ACC"/>
    <w:rsid w:val="00281BF2"/>
    <w:rsid w:val="00285451"/>
    <w:rsid w:val="00290365"/>
    <w:rsid w:val="002B2742"/>
    <w:rsid w:val="002E6BF6"/>
    <w:rsid w:val="00304F56"/>
    <w:rsid w:val="0031015A"/>
    <w:rsid w:val="003147A7"/>
    <w:rsid w:val="00316D40"/>
    <w:rsid w:val="00326F48"/>
    <w:rsid w:val="003362A4"/>
    <w:rsid w:val="0036171A"/>
    <w:rsid w:val="00372501"/>
    <w:rsid w:val="003D3CAF"/>
    <w:rsid w:val="003F1DF0"/>
    <w:rsid w:val="00421137"/>
    <w:rsid w:val="0042227B"/>
    <w:rsid w:val="00442555"/>
    <w:rsid w:val="00443E49"/>
    <w:rsid w:val="004826BB"/>
    <w:rsid w:val="00485562"/>
    <w:rsid w:val="004B5E80"/>
    <w:rsid w:val="004D3008"/>
    <w:rsid w:val="004D7820"/>
    <w:rsid w:val="004E2681"/>
    <w:rsid w:val="004E4DC0"/>
    <w:rsid w:val="004F5B8F"/>
    <w:rsid w:val="00507AC1"/>
    <w:rsid w:val="0052546D"/>
    <w:rsid w:val="0058345C"/>
    <w:rsid w:val="005A3752"/>
    <w:rsid w:val="005E44B2"/>
    <w:rsid w:val="005F3123"/>
    <w:rsid w:val="0060280B"/>
    <w:rsid w:val="0067768D"/>
    <w:rsid w:val="007166F9"/>
    <w:rsid w:val="007366BA"/>
    <w:rsid w:val="007626E7"/>
    <w:rsid w:val="00763252"/>
    <w:rsid w:val="00786D3E"/>
    <w:rsid w:val="007B0CA3"/>
    <w:rsid w:val="007B1949"/>
    <w:rsid w:val="007C07AE"/>
    <w:rsid w:val="00812C2A"/>
    <w:rsid w:val="008165F4"/>
    <w:rsid w:val="00837879"/>
    <w:rsid w:val="0084072D"/>
    <w:rsid w:val="0086396A"/>
    <w:rsid w:val="008664B9"/>
    <w:rsid w:val="00877F63"/>
    <w:rsid w:val="00884D5F"/>
    <w:rsid w:val="00886A6E"/>
    <w:rsid w:val="008953CE"/>
    <w:rsid w:val="00896750"/>
    <w:rsid w:val="008A22EE"/>
    <w:rsid w:val="008B071F"/>
    <w:rsid w:val="008C46AD"/>
    <w:rsid w:val="008E1854"/>
    <w:rsid w:val="008F4A83"/>
    <w:rsid w:val="008F77F0"/>
    <w:rsid w:val="0091491A"/>
    <w:rsid w:val="009C3740"/>
    <w:rsid w:val="00A0053E"/>
    <w:rsid w:val="00A17DB9"/>
    <w:rsid w:val="00A23AF8"/>
    <w:rsid w:val="00A3403C"/>
    <w:rsid w:val="00A374BE"/>
    <w:rsid w:val="00A515B6"/>
    <w:rsid w:val="00A51A12"/>
    <w:rsid w:val="00A60D9C"/>
    <w:rsid w:val="00A91C90"/>
    <w:rsid w:val="00AC0C05"/>
    <w:rsid w:val="00AC1EDC"/>
    <w:rsid w:val="00AC7621"/>
    <w:rsid w:val="00AD485F"/>
    <w:rsid w:val="00AE088B"/>
    <w:rsid w:val="00B04D92"/>
    <w:rsid w:val="00B10E10"/>
    <w:rsid w:val="00B43DD8"/>
    <w:rsid w:val="00B62CE5"/>
    <w:rsid w:val="00B77A19"/>
    <w:rsid w:val="00C204B8"/>
    <w:rsid w:val="00C215A0"/>
    <w:rsid w:val="00C4557E"/>
    <w:rsid w:val="00C779F1"/>
    <w:rsid w:val="00CA34E6"/>
    <w:rsid w:val="00CC6576"/>
    <w:rsid w:val="00CC6BF1"/>
    <w:rsid w:val="00CD0695"/>
    <w:rsid w:val="00CF27DA"/>
    <w:rsid w:val="00CF6762"/>
    <w:rsid w:val="00D03569"/>
    <w:rsid w:val="00D03AF7"/>
    <w:rsid w:val="00D13DA3"/>
    <w:rsid w:val="00D43C12"/>
    <w:rsid w:val="00D54A17"/>
    <w:rsid w:val="00D55099"/>
    <w:rsid w:val="00D573A4"/>
    <w:rsid w:val="00D624FF"/>
    <w:rsid w:val="00D63236"/>
    <w:rsid w:val="00D71AC3"/>
    <w:rsid w:val="00D749A3"/>
    <w:rsid w:val="00E07150"/>
    <w:rsid w:val="00E15D4F"/>
    <w:rsid w:val="00E26BA7"/>
    <w:rsid w:val="00E30827"/>
    <w:rsid w:val="00E37EB2"/>
    <w:rsid w:val="00E42DC7"/>
    <w:rsid w:val="00EA785B"/>
    <w:rsid w:val="00EE5CAF"/>
    <w:rsid w:val="00EF1E64"/>
    <w:rsid w:val="00F33DC4"/>
    <w:rsid w:val="00F43A46"/>
    <w:rsid w:val="00F571E5"/>
    <w:rsid w:val="00F63C1D"/>
    <w:rsid w:val="00F73979"/>
    <w:rsid w:val="00F84956"/>
    <w:rsid w:val="00FD5660"/>
    <w:rsid w:val="00FE11D4"/>
    <w:rsid w:val="012A69AB"/>
    <w:rsid w:val="03019433"/>
    <w:rsid w:val="03AC5478"/>
    <w:rsid w:val="03EE4919"/>
    <w:rsid w:val="04FE5004"/>
    <w:rsid w:val="05AA9D65"/>
    <w:rsid w:val="05EDA291"/>
    <w:rsid w:val="0683B672"/>
    <w:rsid w:val="069CCCC1"/>
    <w:rsid w:val="072C5F75"/>
    <w:rsid w:val="075E87F6"/>
    <w:rsid w:val="086856B0"/>
    <w:rsid w:val="08D14C4C"/>
    <w:rsid w:val="090984C5"/>
    <w:rsid w:val="09C9C909"/>
    <w:rsid w:val="0AA50D25"/>
    <w:rsid w:val="0AF83880"/>
    <w:rsid w:val="0B0E2384"/>
    <w:rsid w:val="0BD1998E"/>
    <w:rsid w:val="0C1E7D08"/>
    <w:rsid w:val="0C653A5F"/>
    <w:rsid w:val="0EE34365"/>
    <w:rsid w:val="0F56D605"/>
    <w:rsid w:val="0F5C0DFA"/>
    <w:rsid w:val="0F6A170B"/>
    <w:rsid w:val="0F71FD1B"/>
    <w:rsid w:val="103F879D"/>
    <w:rsid w:val="1193AE38"/>
    <w:rsid w:val="11DAB390"/>
    <w:rsid w:val="11EABF77"/>
    <w:rsid w:val="12E2684E"/>
    <w:rsid w:val="13400FEA"/>
    <w:rsid w:val="1387AF18"/>
    <w:rsid w:val="1449C45C"/>
    <w:rsid w:val="15B67E3A"/>
    <w:rsid w:val="15E0E490"/>
    <w:rsid w:val="15E6BD32"/>
    <w:rsid w:val="1635FD4E"/>
    <w:rsid w:val="1733E36E"/>
    <w:rsid w:val="1794CF21"/>
    <w:rsid w:val="17AE6E33"/>
    <w:rsid w:val="18C194D6"/>
    <w:rsid w:val="1963AF5F"/>
    <w:rsid w:val="1C3FF2EF"/>
    <w:rsid w:val="1C57A9DB"/>
    <w:rsid w:val="1DDC776E"/>
    <w:rsid w:val="1E15D85C"/>
    <w:rsid w:val="1ED826EC"/>
    <w:rsid w:val="1EF8DB4A"/>
    <w:rsid w:val="1FC48939"/>
    <w:rsid w:val="21903A66"/>
    <w:rsid w:val="21B5067E"/>
    <w:rsid w:val="2251C945"/>
    <w:rsid w:val="2407DAC8"/>
    <w:rsid w:val="257B4FE3"/>
    <w:rsid w:val="258B0931"/>
    <w:rsid w:val="268CC327"/>
    <w:rsid w:val="26A0D198"/>
    <w:rsid w:val="28BFDBD9"/>
    <w:rsid w:val="290601B8"/>
    <w:rsid w:val="29A8B251"/>
    <w:rsid w:val="29AB4207"/>
    <w:rsid w:val="29E2EE9B"/>
    <w:rsid w:val="29FB5842"/>
    <w:rsid w:val="2A6666DF"/>
    <w:rsid w:val="2AC148D2"/>
    <w:rsid w:val="2B3C359D"/>
    <w:rsid w:val="2CAA848E"/>
    <w:rsid w:val="2D017293"/>
    <w:rsid w:val="2DD49B70"/>
    <w:rsid w:val="2E0450E1"/>
    <w:rsid w:val="2E2169BA"/>
    <w:rsid w:val="2E2BECD2"/>
    <w:rsid w:val="2E3D5A1E"/>
    <w:rsid w:val="2E95BB10"/>
    <w:rsid w:val="30566997"/>
    <w:rsid w:val="305BFFB8"/>
    <w:rsid w:val="3106CFAD"/>
    <w:rsid w:val="314F82E4"/>
    <w:rsid w:val="31875299"/>
    <w:rsid w:val="319A749B"/>
    <w:rsid w:val="31F21935"/>
    <w:rsid w:val="34831267"/>
    <w:rsid w:val="34B0BC91"/>
    <w:rsid w:val="34B97365"/>
    <w:rsid w:val="3562A10E"/>
    <w:rsid w:val="37A48ABC"/>
    <w:rsid w:val="37DF167D"/>
    <w:rsid w:val="37E7527F"/>
    <w:rsid w:val="37FB53FA"/>
    <w:rsid w:val="380805E2"/>
    <w:rsid w:val="38E2640A"/>
    <w:rsid w:val="38E3AEA5"/>
    <w:rsid w:val="395A2C05"/>
    <w:rsid w:val="3961B456"/>
    <w:rsid w:val="39B555F9"/>
    <w:rsid w:val="3AEC6A36"/>
    <w:rsid w:val="3AF2211A"/>
    <w:rsid w:val="3B156111"/>
    <w:rsid w:val="3C7D10B3"/>
    <w:rsid w:val="3D0DE36A"/>
    <w:rsid w:val="3DF2BDD3"/>
    <w:rsid w:val="3E8DE688"/>
    <w:rsid w:val="3F167E38"/>
    <w:rsid w:val="3F54ABF9"/>
    <w:rsid w:val="3FD43D5E"/>
    <w:rsid w:val="401E7AF7"/>
    <w:rsid w:val="40425266"/>
    <w:rsid w:val="40ADF87B"/>
    <w:rsid w:val="41092D07"/>
    <w:rsid w:val="421821A8"/>
    <w:rsid w:val="43CCD682"/>
    <w:rsid w:val="45AF9610"/>
    <w:rsid w:val="460F417D"/>
    <w:rsid w:val="47178DB3"/>
    <w:rsid w:val="473D67F8"/>
    <w:rsid w:val="477AABA8"/>
    <w:rsid w:val="47D15840"/>
    <w:rsid w:val="4839BA81"/>
    <w:rsid w:val="487766F5"/>
    <w:rsid w:val="48A1F06C"/>
    <w:rsid w:val="4BAA689D"/>
    <w:rsid w:val="4D79FB91"/>
    <w:rsid w:val="4E3C4A21"/>
    <w:rsid w:val="4E9129D6"/>
    <w:rsid w:val="4FF6503D"/>
    <w:rsid w:val="503FDED0"/>
    <w:rsid w:val="5126207A"/>
    <w:rsid w:val="51625A1A"/>
    <w:rsid w:val="51ED4A92"/>
    <w:rsid w:val="520AE9D0"/>
    <w:rsid w:val="526EFC6E"/>
    <w:rsid w:val="530345CA"/>
    <w:rsid w:val="537D3259"/>
    <w:rsid w:val="53EB9AF5"/>
    <w:rsid w:val="54393667"/>
    <w:rsid w:val="54867433"/>
    <w:rsid w:val="54BB4D2D"/>
    <w:rsid w:val="54F086B1"/>
    <w:rsid w:val="55CFB4CE"/>
    <w:rsid w:val="56713677"/>
    <w:rsid w:val="57187A97"/>
    <w:rsid w:val="57925263"/>
    <w:rsid w:val="580CBCD5"/>
    <w:rsid w:val="58C7B759"/>
    <w:rsid w:val="595B67DA"/>
    <w:rsid w:val="597DE403"/>
    <w:rsid w:val="5A407419"/>
    <w:rsid w:val="5AC95A45"/>
    <w:rsid w:val="5BA35E5E"/>
    <w:rsid w:val="5CCC1FB1"/>
    <w:rsid w:val="5DD62894"/>
    <w:rsid w:val="5E36ECC6"/>
    <w:rsid w:val="5EAE3F07"/>
    <w:rsid w:val="5ECBDD4A"/>
    <w:rsid w:val="61436781"/>
    <w:rsid w:val="6152D670"/>
    <w:rsid w:val="6162A4EE"/>
    <w:rsid w:val="62A2D4A6"/>
    <w:rsid w:val="62CD8656"/>
    <w:rsid w:val="64408E90"/>
    <w:rsid w:val="663461B7"/>
    <w:rsid w:val="66A63FFD"/>
    <w:rsid w:val="671BDA8B"/>
    <w:rsid w:val="693899B2"/>
    <w:rsid w:val="6A51EF2C"/>
    <w:rsid w:val="6AC42106"/>
    <w:rsid w:val="6DDD6E6C"/>
    <w:rsid w:val="6E67461F"/>
    <w:rsid w:val="6F1A7E6C"/>
    <w:rsid w:val="6F26299D"/>
    <w:rsid w:val="712E74F4"/>
    <w:rsid w:val="714BB928"/>
    <w:rsid w:val="7165694D"/>
    <w:rsid w:val="71A5BBA2"/>
    <w:rsid w:val="726958EA"/>
    <w:rsid w:val="73497213"/>
    <w:rsid w:val="7450FB76"/>
    <w:rsid w:val="746B6C10"/>
    <w:rsid w:val="753050D1"/>
    <w:rsid w:val="76011136"/>
    <w:rsid w:val="77BE33E8"/>
    <w:rsid w:val="77E40395"/>
    <w:rsid w:val="78F01909"/>
    <w:rsid w:val="78F3F1F7"/>
    <w:rsid w:val="795AC71C"/>
    <w:rsid w:val="798A5BCA"/>
    <w:rsid w:val="7A156D05"/>
    <w:rsid w:val="7A293792"/>
    <w:rsid w:val="7B6B0CEF"/>
    <w:rsid w:val="7B74A33C"/>
    <w:rsid w:val="7BA2A0B7"/>
    <w:rsid w:val="7CC48C42"/>
    <w:rsid w:val="7CD3C860"/>
    <w:rsid w:val="7DA022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6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6E"/>
    <w:pPr>
      <w:contextualSpacing/>
      <w:jc w:val="both"/>
    </w:pPr>
    <w:rPr>
      <w:rFonts w:ascii="Leelawadee" w:hAnsi="Leelawadee"/>
      <w:sz w:val="24"/>
      <w:szCs w:val="22"/>
      <w:lang w:eastAsia="en-US"/>
    </w:rPr>
  </w:style>
  <w:style w:type="paragraph" w:styleId="Ttulo4">
    <w:name w:val="heading 4"/>
    <w:basedOn w:val="Normal"/>
    <w:next w:val="Normal"/>
    <w:link w:val="Ttulo4Car"/>
    <w:uiPriority w:val="99"/>
    <w:qFormat/>
    <w:rsid w:val="00896750"/>
    <w:pPr>
      <w:keepNext/>
      <w:jc w:val="center"/>
      <w:outlineLvl w:val="3"/>
    </w:pPr>
    <w:rPr>
      <w:rFonts w:ascii="Arial" w:eastAsia="Times New Roman" w:hAnsi="Arial" w:cs="Arial"/>
      <w:b/>
      <w:b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5CAF"/>
    <w:pPr>
      <w:tabs>
        <w:tab w:val="center" w:pos="4252"/>
        <w:tab w:val="right" w:pos="8504"/>
      </w:tabs>
    </w:pPr>
  </w:style>
  <w:style w:type="character" w:customStyle="1" w:styleId="EncabezadoCar">
    <w:name w:val="Encabezado Car"/>
    <w:link w:val="Encabezado"/>
    <w:uiPriority w:val="99"/>
    <w:rsid w:val="00EE5CAF"/>
    <w:rPr>
      <w:lang w:val="es-CO"/>
    </w:rPr>
  </w:style>
  <w:style w:type="paragraph" w:styleId="Piedepgina">
    <w:name w:val="footer"/>
    <w:basedOn w:val="Normal"/>
    <w:link w:val="PiedepginaCar"/>
    <w:uiPriority w:val="99"/>
    <w:unhideWhenUsed/>
    <w:rsid w:val="00EE5CAF"/>
    <w:pPr>
      <w:tabs>
        <w:tab w:val="center" w:pos="4252"/>
        <w:tab w:val="right" w:pos="8504"/>
      </w:tabs>
    </w:pPr>
  </w:style>
  <w:style w:type="character" w:customStyle="1" w:styleId="PiedepginaCar">
    <w:name w:val="Pie de página Car"/>
    <w:link w:val="Piedepgina"/>
    <w:uiPriority w:val="99"/>
    <w:rsid w:val="00EE5CAF"/>
    <w:rPr>
      <w:lang w:val="es-CO"/>
    </w:rPr>
  </w:style>
  <w:style w:type="paragraph" w:styleId="Textodeglobo">
    <w:name w:val="Balloon Text"/>
    <w:basedOn w:val="Normal"/>
    <w:link w:val="TextodegloboCar"/>
    <w:uiPriority w:val="99"/>
    <w:semiHidden/>
    <w:unhideWhenUsed/>
    <w:rsid w:val="00EE5CAF"/>
    <w:rPr>
      <w:rFonts w:ascii="Tahoma" w:hAnsi="Tahoma" w:cs="Tahoma"/>
      <w:sz w:val="16"/>
      <w:szCs w:val="16"/>
    </w:rPr>
  </w:style>
  <w:style w:type="character" w:customStyle="1" w:styleId="TextodegloboCar">
    <w:name w:val="Texto de globo Car"/>
    <w:link w:val="Textodeglobo"/>
    <w:uiPriority w:val="99"/>
    <w:semiHidden/>
    <w:rsid w:val="00EE5CAF"/>
    <w:rPr>
      <w:rFonts w:ascii="Tahoma" w:hAnsi="Tahoma" w:cs="Tahoma"/>
      <w:sz w:val="16"/>
      <w:szCs w:val="16"/>
      <w:lang w:val="es-CO"/>
    </w:rPr>
  </w:style>
  <w:style w:type="paragraph" w:styleId="Prrafodelista">
    <w:name w:val="List Paragraph"/>
    <w:basedOn w:val="Normal"/>
    <w:uiPriority w:val="34"/>
    <w:qFormat/>
    <w:rsid w:val="0084072D"/>
    <w:pPr>
      <w:ind w:left="720"/>
    </w:pPr>
  </w:style>
  <w:style w:type="paragraph" w:styleId="NormalWeb">
    <w:name w:val="Normal (Web)"/>
    <w:basedOn w:val="Normal"/>
    <w:uiPriority w:val="99"/>
    <w:semiHidden/>
    <w:unhideWhenUsed/>
    <w:rsid w:val="00A91C90"/>
    <w:pPr>
      <w:spacing w:before="100" w:beforeAutospacing="1" w:after="100" w:afterAutospacing="1"/>
    </w:pPr>
    <w:rPr>
      <w:rFonts w:ascii="Arial" w:eastAsia="Times New Roman" w:hAnsi="Arial" w:cs="Arial"/>
      <w:sz w:val="18"/>
      <w:szCs w:val="18"/>
      <w:lang w:eastAsia="es-CO"/>
    </w:rPr>
  </w:style>
  <w:style w:type="paragraph" w:customStyle="1" w:styleId="centrado">
    <w:name w:val="centrado"/>
    <w:basedOn w:val="Normal"/>
    <w:rsid w:val="00A91C90"/>
    <w:pPr>
      <w:spacing w:before="100" w:beforeAutospacing="1" w:after="100" w:afterAutospacing="1"/>
      <w:jc w:val="center"/>
    </w:pPr>
    <w:rPr>
      <w:rFonts w:ascii="Arial" w:eastAsia="Times New Roman" w:hAnsi="Arial" w:cs="Arial"/>
      <w:sz w:val="18"/>
      <w:szCs w:val="18"/>
      <w:lang w:eastAsia="es-CO"/>
    </w:rPr>
  </w:style>
  <w:style w:type="character" w:customStyle="1" w:styleId="baj1">
    <w:name w:val="b_aj1"/>
    <w:basedOn w:val="Fuentedeprrafopredeter"/>
    <w:rsid w:val="00A91C90"/>
    <w:rPr>
      <w:b/>
      <w:bCs/>
      <w:color w:val="000000"/>
    </w:rPr>
  </w:style>
  <w:style w:type="character" w:customStyle="1" w:styleId="Ttulo4Car">
    <w:name w:val="Título 4 Car"/>
    <w:basedOn w:val="Fuentedeprrafopredeter"/>
    <w:link w:val="Ttulo4"/>
    <w:uiPriority w:val="99"/>
    <w:rsid w:val="00896750"/>
    <w:rPr>
      <w:rFonts w:ascii="Arial" w:eastAsia="Times New Roman" w:hAnsi="Arial" w:cs="Arial"/>
      <w:b/>
      <w:bCs/>
      <w:sz w:val="24"/>
      <w:szCs w:val="24"/>
      <w:lang w:val="es-ES" w:eastAsia="es-ES"/>
    </w:rPr>
  </w:style>
  <w:style w:type="character" w:styleId="Hipervnculo">
    <w:name w:val="Hyperlink"/>
    <w:basedOn w:val="Fuentedeprrafopredeter"/>
    <w:uiPriority w:val="99"/>
    <w:unhideWhenUsed/>
    <w:rPr>
      <w:color w:val="0000FF" w:themeColor="hyperlink"/>
      <w:u w:val="single"/>
    </w:rPr>
  </w:style>
  <w:style w:type="paragraph" w:styleId="Textonotapie">
    <w:name w:val="footnote text"/>
    <w:basedOn w:val="Normal"/>
    <w:link w:val="TextonotapieCar"/>
    <w:uiPriority w:val="99"/>
    <w:semiHidden/>
    <w:unhideWhenUsed/>
    <w:rsid w:val="00AD485F"/>
    <w:rPr>
      <w:rFonts w:asciiTheme="minorHAnsi" w:eastAsiaTheme="minorHAnsi" w:hAnsiTheme="minorHAnsi" w:cstheme="minorBidi"/>
      <w:sz w:val="20"/>
      <w:szCs w:val="20"/>
      <w:lang w:val="es-ES"/>
    </w:rPr>
  </w:style>
  <w:style w:type="character" w:customStyle="1" w:styleId="TextonotapieCar">
    <w:name w:val="Texto nota pie Car"/>
    <w:basedOn w:val="Fuentedeprrafopredeter"/>
    <w:link w:val="Textonotapie"/>
    <w:uiPriority w:val="99"/>
    <w:semiHidden/>
    <w:rsid w:val="00AD485F"/>
    <w:rPr>
      <w:rFonts w:asciiTheme="minorHAnsi" w:eastAsiaTheme="minorHAnsi" w:hAnsiTheme="minorHAnsi" w:cstheme="minorBidi"/>
      <w:lang w:val="es-ES" w:eastAsia="en-US"/>
    </w:rPr>
  </w:style>
  <w:style w:type="character" w:styleId="Refdenotaalpie">
    <w:name w:val="footnote reference"/>
    <w:basedOn w:val="Fuentedeprrafopredeter"/>
    <w:uiPriority w:val="99"/>
    <w:semiHidden/>
    <w:unhideWhenUsed/>
    <w:rsid w:val="00AD485F"/>
    <w:rPr>
      <w:vertAlign w:val="superscript"/>
    </w:rPr>
  </w:style>
  <w:style w:type="paragraph" w:styleId="HTMLconformatoprevio">
    <w:name w:val="HTML Preformatted"/>
    <w:basedOn w:val="Normal"/>
    <w:link w:val="HTMLconformatoprevioCar"/>
    <w:uiPriority w:val="99"/>
    <w:semiHidden/>
    <w:unhideWhenUsed/>
    <w:rsid w:val="0067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67768D"/>
    <w:rPr>
      <w:rFonts w:ascii="Courier New" w:eastAsia="Times New Roman" w:hAnsi="Courier New" w:cs="Courier New"/>
      <w:lang w:val="es-ES" w:eastAsia="es-ES"/>
    </w:rPr>
  </w:style>
  <w:style w:type="character" w:customStyle="1" w:styleId="apple-converted-space">
    <w:name w:val="apple-converted-space"/>
    <w:basedOn w:val="Fuentedeprrafopredeter"/>
    <w:rsid w:val="0067768D"/>
  </w:style>
  <w:style w:type="character" w:customStyle="1" w:styleId="highlight">
    <w:name w:val="highlight"/>
    <w:basedOn w:val="Fuentedeprrafopredeter"/>
    <w:rsid w:val="0067768D"/>
  </w:style>
  <w:style w:type="character" w:styleId="nfasis">
    <w:name w:val="Emphasis"/>
    <w:basedOn w:val="Fuentedeprrafopredeter"/>
    <w:uiPriority w:val="20"/>
    <w:qFormat/>
    <w:rsid w:val="0067768D"/>
    <w:rPr>
      <w:i/>
      <w:iCs/>
    </w:rPr>
  </w:style>
  <w:style w:type="character" w:customStyle="1" w:styleId="spelle">
    <w:name w:val="spelle"/>
    <w:basedOn w:val="Fuentedeprrafopredeter"/>
    <w:rsid w:val="00CF27DA"/>
  </w:style>
  <w:style w:type="character" w:customStyle="1" w:styleId="iaj">
    <w:name w:val="i_aj"/>
    <w:basedOn w:val="Fuentedeprrafopredeter"/>
    <w:rsid w:val="00507AC1"/>
  </w:style>
  <w:style w:type="paragraph" w:styleId="Epgrafe">
    <w:name w:val="caption"/>
    <w:basedOn w:val="Normal"/>
    <w:next w:val="Normal"/>
    <w:uiPriority w:val="35"/>
    <w:unhideWhenUsed/>
    <w:qFormat/>
    <w:rsid w:val="00E07150"/>
    <w:pPr>
      <w:spacing w:after="200"/>
    </w:pPr>
    <w:rPr>
      <w:b/>
      <w:bCs/>
      <w:color w:val="4F81BD" w:themeColor="accent1"/>
      <w:sz w:val="18"/>
      <w:szCs w:val="18"/>
    </w:rPr>
  </w:style>
  <w:style w:type="character" w:customStyle="1" w:styleId="a98a9b1e82c96499aa09c7c430571e6bf3">
    <w:name w:val="a98a9b1e82c96499aa09c7c430571e6bf3"/>
    <w:basedOn w:val="Fuentedeprrafopredeter"/>
    <w:rsid w:val="004E4DC0"/>
  </w:style>
  <w:style w:type="character" w:customStyle="1" w:styleId="a98a9b1e82c96499aa09c7c430571e6bf4">
    <w:name w:val="a98a9b1e82c96499aa09c7c430571e6bf4"/>
    <w:basedOn w:val="Fuentedeprrafopredeter"/>
    <w:rsid w:val="004E4DC0"/>
  </w:style>
  <w:style w:type="table" w:styleId="Tablaconcuadrcula">
    <w:name w:val="Table Grid"/>
    <w:basedOn w:val="Tablanormal"/>
    <w:uiPriority w:val="59"/>
    <w:rsid w:val="004E4DC0"/>
    <w:rPr>
      <w:rFonts w:asciiTheme="minorHAnsi" w:eastAsiaTheme="minorHAnsi" w:hAnsiTheme="minorHAnsi" w:cstheme="minorBidi"/>
      <w:sz w:val="21"/>
      <w:szCs w:val="21"/>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text">
    <w:name w:val="btext"/>
    <w:basedOn w:val="Fuentedeprrafopredeter"/>
    <w:rsid w:val="004E4D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6E"/>
    <w:pPr>
      <w:contextualSpacing/>
      <w:jc w:val="both"/>
    </w:pPr>
    <w:rPr>
      <w:rFonts w:ascii="Leelawadee" w:hAnsi="Leelawadee"/>
      <w:sz w:val="24"/>
      <w:szCs w:val="22"/>
      <w:lang w:eastAsia="en-US"/>
    </w:rPr>
  </w:style>
  <w:style w:type="paragraph" w:styleId="Ttulo4">
    <w:name w:val="heading 4"/>
    <w:basedOn w:val="Normal"/>
    <w:next w:val="Normal"/>
    <w:link w:val="Ttulo4Car"/>
    <w:uiPriority w:val="99"/>
    <w:qFormat/>
    <w:rsid w:val="00896750"/>
    <w:pPr>
      <w:keepNext/>
      <w:jc w:val="center"/>
      <w:outlineLvl w:val="3"/>
    </w:pPr>
    <w:rPr>
      <w:rFonts w:ascii="Arial" w:eastAsia="Times New Roman" w:hAnsi="Arial" w:cs="Arial"/>
      <w:b/>
      <w:b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5CAF"/>
    <w:pPr>
      <w:tabs>
        <w:tab w:val="center" w:pos="4252"/>
        <w:tab w:val="right" w:pos="8504"/>
      </w:tabs>
    </w:pPr>
  </w:style>
  <w:style w:type="character" w:customStyle="1" w:styleId="EncabezadoCar">
    <w:name w:val="Encabezado Car"/>
    <w:link w:val="Encabezado"/>
    <w:uiPriority w:val="99"/>
    <w:rsid w:val="00EE5CAF"/>
    <w:rPr>
      <w:lang w:val="es-CO"/>
    </w:rPr>
  </w:style>
  <w:style w:type="paragraph" w:styleId="Piedepgina">
    <w:name w:val="footer"/>
    <w:basedOn w:val="Normal"/>
    <w:link w:val="PiedepginaCar"/>
    <w:uiPriority w:val="99"/>
    <w:unhideWhenUsed/>
    <w:rsid w:val="00EE5CAF"/>
    <w:pPr>
      <w:tabs>
        <w:tab w:val="center" w:pos="4252"/>
        <w:tab w:val="right" w:pos="8504"/>
      </w:tabs>
    </w:pPr>
  </w:style>
  <w:style w:type="character" w:customStyle="1" w:styleId="PiedepginaCar">
    <w:name w:val="Pie de página Car"/>
    <w:link w:val="Piedepgina"/>
    <w:uiPriority w:val="99"/>
    <w:rsid w:val="00EE5CAF"/>
    <w:rPr>
      <w:lang w:val="es-CO"/>
    </w:rPr>
  </w:style>
  <w:style w:type="paragraph" w:styleId="Textodeglobo">
    <w:name w:val="Balloon Text"/>
    <w:basedOn w:val="Normal"/>
    <w:link w:val="TextodegloboCar"/>
    <w:uiPriority w:val="99"/>
    <w:semiHidden/>
    <w:unhideWhenUsed/>
    <w:rsid w:val="00EE5CAF"/>
    <w:rPr>
      <w:rFonts w:ascii="Tahoma" w:hAnsi="Tahoma" w:cs="Tahoma"/>
      <w:sz w:val="16"/>
      <w:szCs w:val="16"/>
    </w:rPr>
  </w:style>
  <w:style w:type="character" w:customStyle="1" w:styleId="TextodegloboCar">
    <w:name w:val="Texto de globo Car"/>
    <w:link w:val="Textodeglobo"/>
    <w:uiPriority w:val="99"/>
    <w:semiHidden/>
    <w:rsid w:val="00EE5CAF"/>
    <w:rPr>
      <w:rFonts w:ascii="Tahoma" w:hAnsi="Tahoma" w:cs="Tahoma"/>
      <w:sz w:val="16"/>
      <w:szCs w:val="16"/>
      <w:lang w:val="es-CO"/>
    </w:rPr>
  </w:style>
  <w:style w:type="paragraph" w:styleId="Prrafodelista">
    <w:name w:val="List Paragraph"/>
    <w:basedOn w:val="Normal"/>
    <w:uiPriority w:val="34"/>
    <w:qFormat/>
    <w:rsid w:val="0084072D"/>
    <w:pPr>
      <w:ind w:left="720"/>
    </w:pPr>
  </w:style>
  <w:style w:type="paragraph" w:styleId="NormalWeb">
    <w:name w:val="Normal (Web)"/>
    <w:basedOn w:val="Normal"/>
    <w:uiPriority w:val="99"/>
    <w:semiHidden/>
    <w:unhideWhenUsed/>
    <w:rsid w:val="00A91C90"/>
    <w:pPr>
      <w:spacing w:before="100" w:beforeAutospacing="1" w:after="100" w:afterAutospacing="1"/>
    </w:pPr>
    <w:rPr>
      <w:rFonts w:ascii="Arial" w:eastAsia="Times New Roman" w:hAnsi="Arial" w:cs="Arial"/>
      <w:sz w:val="18"/>
      <w:szCs w:val="18"/>
      <w:lang w:eastAsia="es-CO"/>
    </w:rPr>
  </w:style>
  <w:style w:type="paragraph" w:customStyle="1" w:styleId="centrado">
    <w:name w:val="centrado"/>
    <w:basedOn w:val="Normal"/>
    <w:rsid w:val="00A91C90"/>
    <w:pPr>
      <w:spacing w:before="100" w:beforeAutospacing="1" w:after="100" w:afterAutospacing="1"/>
      <w:jc w:val="center"/>
    </w:pPr>
    <w:rPr>
      <w:rFonts w:ascii="Arial" w:eastAsia="Times New Roman" w:hAnsi="Arial" w:cs="Arial"/>
      <w:sz w:val="18"/>
      <w:szCs w:val="18"/>
      <w:lang w:eastAsia="es-CO"/>
    </w:rPr>
  </w:style>
  <w:style w:type="character" w:customStyle="1" w:styleId="baj1">
    <w:name w:val="b_aj1"/>
    <w:basedOn w:val="Fuentedeprrafopredeter"/>
    <w:rsid w:val="00A91C90"/>
    <w:rPr>
      <w:b/>
      <w:bCs/>
      <w:color w:val="000000"/>
    </w:rPr>
  </w:style>
  <w:style w:type="character" w:customStyle="1" w:styleId="Ttulo4Car">
    <w:name w:val="Título 4 Car"/>
    <w:basedOn w:val="Fuentedeprrafopredeter"/>
    <w:link w:val="Ttulo4"/>
    <w:uiPriority w:val="99"/>
    <w:rsid w:val="00896750"/>
    <w:rPr>
      <w:rFonts w:ascii="Arial" w:eastAsia="Times New Roman" w:hAnsi="Arial" w:cs="Arial"/>
      <w:b/>
      <w:bCs/>
      <w:sz w:val="24"/>
      <w:szCs w:val="24"/>
      <w:lang w:val="es-ES" w:eastAsia="es-ES"/>
    </w:rPr>
  </w:style>
  <w:style w:type="character" w:styleId="Hipervnculo">
    <w:name w:val="Hyperlink"/>
    <w:basedOn w:val="Fuentedeprrafopredeter"/>
    <w:uiPriority w:val="99"/>
    <w:unhideWhenUsed/>
    <w:rPr>
      <w:color w:val="0000FF" w:themeColor="hyperlink"/>
      <w:u w:val="single"/>
    </w:rPr>
  </w:style>
  <w:style w:type="paragraph" w:styleId="Textonotapie">
    <w:name w:val="footnote text"/>
    <w:basedOn w:val="Normal"/>
    <w:link w:val="TextonotapieCar"/>
    <w:uiPriority w:val="99"/>
    <w:semiHidden/>
    <w:unhideWhenUsed/>
    <w:rsid w:val="00AD485F"/>
    <w:rPr>
      <w:rFonts w:asciiTheme="minorHAnsi" w:eastAsiaTheme="minorHAnsi" w:hAnsiTheme="minorHAnsi" w:cstheme="minorBidi"/>
      <w:sz w:val="20"/>
      <w:szCs w:val="20"/>
      <w:lang w:val="es-ES"/>
    </w:rPr>
  </w:style>
  <w:style w:type="character" w:customStyle="1" w:styleId="TextonotapieCar">
    <w:name w:val="Texto nota pie Car"/>
    <w:basedOn w:val="Fuentedeprrafopredeter"/>
    <w:link w:val="Textonotapie"/>
    <w:uiPriority w:val="99"/>
    <w:semiHidden/>
    <w:rsid w:val="00AD485F"/>
    <w:rPr>
      <w:rFonts w:asciiTheme="minorHAnsi" w:eastAsiaTheme="minorHAnsi" w:hAnsiTheme="minorHAnsi" w:cstheme="minorBidi"/>
      <w:lang w:val="es-ES" w:eastAsia="en-US"/>
    </w:rPr>
  </w:style>
  <w:style w:type="character" w:styleId="Refdenotaalpie">
    <w:name w:val="footnote reference"/>
    <w:basedOn w:val="Fuentedeprrafopredeter"/>
    <w:uiPriority w:val="99"/>
    <w:semiHidden/>
    <w:unhideWhenUsed/>
    <w:rsid w:val="00AD485F"/>
    <w:rPr>
      <w:vertAlign w:val="superscript"/>
    </w:rPr>
  </w:style>
  <w:style w:type="paragraph" w:styleId="HTMLconformatoprevio">
    <w:name w:val="HTML Preformatted"/>
    <w:basedOn w:val="Normal"/>
    <w:link w:val="HTMLconformatoprevioCar"/>
    <w:uiPriority w:val="99"/>
    <w:semiHidden/>
    <w:unhideWhenUsed/>
    <w:rsid w:val="006776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67768D"/>
    <w:rPr>
      <w:rFonts w:ascii="Courier New" w:eastAsia="Times New Roman" w:hAnsi="Courier New" w:cs="Courier New"/>
      <w:lang w:val="es-ES" w:eastAsia="es-ES"/>
    </w:rPr>
  </w:style>
  <w:style w:type="character" w:customStyle="1" w:styleId="apple-converted-space">
    <w:name w:val="apple-converted-space"/>
    <w:basedOn w:val="Fuentedeprrafopredeter"/>
    <w:rsid w:val="0067768D"/>
  </w:style>
  <w:style w:type="character" w:customStyle="1" w:styleId="highlight">
    <w:name w:val="highlight"/>
    <w:basedOn w:val="Fuentedeprrafopredeter"/>
    <w:rsid w:val="0067768D"/>
  </w:style>
  <w:style w:type="character" w:styleId="nfasis">
    <w:name w:val="Emphasis"/>
    <w:basedOn w:val="Fuentedeprrafopredeter"/>
    <w:uiPriority w:val="20"/>
    <w:qFormat/>
    <w:rsid w:val="0067768D"/>
    <w:rPr>
      <w:i/>
      <w:iCs/>
    </w:rPr>
  </w:style>
  <w:style w:type="character" w:customStyle="1" w:styleId="spelle">
    <w:name w:val="spelle"/>
    <w:basedOn w:val="Fuentedeprrafopredeter"/>
    <w:rsid w:val="00CF27DA"/>
  </w:style>
  <w:style w:type="character" w:customStyle="1" w:styleId="iaj">
    <w:name w:val="i_aj"/>
    <w:basedOn w:val="Fuentedeprrafopredeter"/>
    <w:rsid w:val="00507AC1"/>
  </w:style>
  <w:style w:type="paragraph" w:styleId="Epgrafe">
    <w:name w:val="caption"/>
    <w:basedOn w:val="Normal"/>
    <w:next w:val="Normal"/>
    <w:uiPriority w:val="35"/>
    <w:unhideWhenUsed/>
    <w:qFormat/>
    <w:rsid w:val="00E07150"/>
    <w:pPr>
      <w:spacing w:after="200"/>
    </w:pPr>
    <w:rPr>
      <w:b/>
      <w:bCs/>
      <w:color w:val="4F81BD" w:themeColor="accent1"/>
      <w:sz w:val="18"/>
      <w:szCs w:val="18"/>
    </w:rPr>
  </w:style>
  <w:style w:type="character" w:customStyle="1" w:styleId="a98a9b1e82c96499aa09c7c430571e6bf3">
    <w:name w:val="a98a9b1e82c96499aa09c7c430571e6bf3"/>
    <w:basedOn w:val="Fuentedeprrafopredeter"/>
    <w:rsid w:val="004E4DC0"/>
  </w:style>
  <w:style w:type="character" w:customStyle="1" w:styleId="a98a9b1e82c96499aa09c7c430571e6bf4">
    <w:name w:val="a98a9b1e82c96499aa09c7c430571e6bf4"/>
    <w:basedOn w:val="Fuentedeprrafopredeter"/>
    <w:rsid w:val="004E4DC0"/>
  </w:style>
  <w:style w:type="table" w:styleId="Tablaconcuadrcula">
    <w:name w:val="Table Grid"/>
    <w:basedOn w:val="Tablanormal"/>
    <w:uiPriority w:val="59"/>
    <w:rsid w:val="004E4DC0"/>
    <w:rPr>
      <w:rFonts w:asciiTheme="minorHAnsi" w:eastAsiaTheme="minorHAnsi" w:hAnsiTheme="minorHAnsi" w:cstheme="minorBidi"/>
      <w:sz w:val="21"/>
      <w:szCs w:val="21"/>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text">
    <w:name w:val="btext"/>
    <w:basedOn w:val="Fuentedeprrafopredeter"/>
    <w:rsid w:val="004E4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1972">
      <w:bodyDiv w:val="1"/>
      <w:marLeft w:val="0"/>
      <w:marRight w:val="0"/>
      <w:marTop w:val="0"/>
      <w:marBottom w:val="0"/>
      <w:divBdr>
        <w:top w:val="none" w:sz="0" w:space="0" w:color="auto"/>
        <w:left w:val="none" w:sz="0" w:space="0" w:color="auto"/>
        <w:bottom w:val="none" w:sz="0" w:space="0" w:color="auto"/>
        <w:right w:val="none" w:sz="0" w:space="0" w:color="auto"/>
      </w:divBdr>
    </w:div>
    <w:div w:id="1203976247">
      <w:bodyDiv w:val="1"/>
      <w:marLeft w:val="0"/>
      <w:marRight w:val="0"/>
      <w:marTop w:val="0"/>
      <w:marBottom w:val="0"/>
      <w:divBdr>
        <w:top w:val="none" w:sz="0" w:space="0" w:color="auto"/>
        <w:left w:val="none" w:sz="0" w:space="0" w:color="auto"/>
        <w:bottom w:val="none" w:sz="0" w:space="0" w:color="auto"/>
        <w:right w:val="none" w:sz="0" w:space="0" w:color="auto"/>
      </w:divBdr>
    </w:div>
    <w:div w:id="1861120883">
      <w:bodyDiv w:val="1"/>
      <w:marLeft w:val="0"/>
      <w:marRight w:val="0"/>
      <w:marTop w:val="0"/>
      <w:marBottom w:val="0"/>
      <w:divBdr>
        <w:top w:val="none" w:sz="0" w:space="0" w:color="auto"/>
        <w:left w:val="none" w:sz="0" w:space="0" w:color="auto"/>
        <w:bottom w:val="none" w:sz="0" w:space="0" w:color="auto"/>
        <w:right w:val="none" w:sz="0" w:space="0" w:color="auto"/>
      </w:divBdr>
    </w:div>
    <w:div w:id="208216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notes.xml.rels><?xml version="1.0" encoding="UTF-8" standalone="yes"?>
<Relationships xmlns="http://schemas.openxmlformats.org/package/2006/relationships"><Relationship Id="rId3" Type="http://schemas.openxmlformats.org/officeDocument/2006/relationships/hyperlink" Target="http://www.scielo.org.co/pdf/nova/v12n22/v12n22a04.pdf" TargetMode="External"/><Relationship Id="rId2" Type="http://schemas.openxmlformats.org/officeDocument/2006/relationships/hyperlink" Target="http://190.242.62.234:8080/jspui/bitstream/11227/1812/1/FINAL%20TESIS%20DE%20GRADO%20CAROLINA%20SIERRA%202010%20.pdf" TargetMode="External"/><Relationship Id="rId1" Type="http://schemas.openxmlformats.org/officeDocument/2006/relationships/hyperlink" Target="http://www.revhematologia.sld.cu/index.php/hih/article/view/268/18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g"/></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E64D9C2B8D50CEB2/HS-FNAR/ASUNTOS%20LEGISLATIVOS/Iniciativas%20Legislativas%202017-2018/Drepanocitosis/Cifras%20Anemias%20Falciform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lemente.chaves\OneDrive\HS-FNAR\ASUNTOS%20LEGISLATIVOS\Iniciativas%20Legislativas%202017-2018\Drepanocitosis\Pacient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clemente.chaves\OneDrive\HS-FNAR\ASUNTOS%20LEGISLATIVOS\Iniciativas%20Legislativas%202017-2018\Drepanocitosis\Paciente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clemente.chaves\OneDrive\HS-FNAR\ASUNTOS%20LEGISLATIVOS\Iniciativas%20Legislativas%202017-2018\Drepanocitosis\Pacient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clemente.chaves\OneDrive\HS-FNAR\ASUNTOS%20LEGISLATIVOS\Iniciativas%20Legislativas%202017-2018\Drepanocitosis\Pacient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318908778168434"/>
          <c:y val="0.15759385413901913"/>
          <c:w val="0.77688667226169028"/>
          <c:h val="0.53050222654752421"/>
        </c:manualLayout>
      </c:layout>
      <c:barChart>
        <c:barDir val="col"/>
        <c:grouping val="clustered"/>
        <c:varyColors val="0"/>
        <c:ser>
          <c:idx val="0"/>
          <c:order val="0"/>
          <c:tx>
            <c:strRef>
              <c:f>'[Cifras Anemias Falciformes.xlsx]Hoja2'!$B$3</c:f>
              <c:strCache>
                <c:ptCount val="1"/>
                <c:pt idx="0">
                  <c:v>Número de Atenciones</c:v>
                </c:pt>
              </c:strCache>
            </c:strRef>
          </c:tx>
          <c:invertIfNegative val="0"/>
          <c:cat>
            <c:strRef>
              <c:f>'[Cifras Anemias Falciformes.xlsx]Hoja2'!$A$4:$A$8</c:f>
              <c:strCache>
                <c:ptCount val="5"/>
                <c:pt idx="0">
                  <c:v>D570 - ANEMIA FALCIFORME CON CRISIS</c:v>
                </c:pt>
                <c:pt idx="1">
                  <c:v>D571 - ANEMIA FALCIFORME SIN CRISIS</c:v>
                </c:pt>
                <c:pt idx="2">
                  <c:v>D572 - TRASTORNOS FALCIFORMES HETEROCIGOTICOS DOBLES</c:v>
                </c:pt>
                <c:pt idx="3">
                  <c:v>D573 - RASGO DREPANOCITICO</c:v>
                </c:pt>
                <c:pt idx="4">
                  <c:v>D578 - OTROS TRASTORNOS FALCIFORMES</c:v>
                </c:pt>
              </c:strCache>
            </c:strRef>
          </c:cat>
          <c:val>
            <c:numRef>
              <c:f>'[Cifras Anemias Falciformes.xlsx]Hoja2'!$B$4:$B$8</c:f>
              <c:numCache>
                <c:formatCode>#,##0</c:formatCode>
                <c:ptCount val="5"/>
                <c:pt idx="0">
                  <c:v>3228</c:v>
                </c:pt>
                <c:pt idx="1">
                  <c:v>2584</c:v>
                </c:pt>
                <c:pt idx="2">
                  <c:v>102</c:v>
                </c:pt>
                <c:pt idx="3">
                  <c:v>240</c:v>
                </c:pt>
                <c:pt idx="4">
                  <c:v>305</c:v>
                </c:pt>
              </c:numCache>
            </c:numRef>
          </c:val>
        </c:ser>
        <c:ser>
          <c:idx val="1"/>
          <c:order val="1"/>
          <c:tx>
            <c:strRef>
              <c:f>'[Cifras Anemias Falciformes.xlsx]Hoja2'!$C$3</c:f>
              <c:strCache>
                <c:ptCount val="1"/>
                <c:pt idx="0">
                  <c:v>Número de Personas</c:v>
                </c:pt>
              </c:strCache>
            </c:strRef>
          </c:tx>
          <c:invertIfNegative val="0"/>
          <c:cat>
            <c:strRef>
              <c:f>'[Cifras Anemias Falciformes.xlsx]Hoja2'!$A$4:$A$8</c:f>
              <c:strCache>
                <c:ptCount val="5"/>
                <c:pt idx="0">
                  <c:v>D570 - ANEMIA FALCIFORME CON CRISIS</c:v>
                </c:pt>
                <c:pt idx="1">
                  <c:v>D571 - ANEMIA FALCIFORME SIN CRISIS</c:v>
                </c:pt>
                <c:pt idx="2">
                  <c:v>D572 - TRASTORNOS FALCIFORMES HETEROCIGOTICOS DOBLES</c:v>
                </c:pt>
                <c:pt idx="3">
                  <c:v>D573 - RASGO DREPANOCITICO</c:v>
                </c:pt>
                <c:pt idx="4">
                  <c:v>D578 - OTROS TRASTORNOS FALCIFORMES</c:v>
                </c:pt>
              </c:strCache>
            </c:strRef>
          </c:cat>
          <c:val>
            <c:numRef>
              <c:f>'[Cifras Anemias Falciformes.xlsx]Hoja2'!$C$4:$C$8</c:f>
              <c:numCache>
                <c:formatCode>#,##0</c:formatCode>
                <c:ptCount val="5"/>
                <c:pt idx="0">
                  <c:v>347</c:v>
                </c:pt>
                <c:pt idx="1">
                  <c:v>501</c:v>
                </c:pt>
                <c:pt idx="2">
                  <c:v>28</c:v>
                </c:pt>
                <c:pt idx="3">
                  <c:v>54</c:v>
                </c:pt>
                <c:pt idx="4">
                  <c:v>95</c:v>
                </c:pt>
              </c:numCache>
            </c:numRef>
          </c:val>
        </c:ser>
        <c:dLbls>
          <c:showLegendKey val="0"/>
          <c:showVal val="0"/>
          <c:showCatName val="0"/>
          <c:showSerName val="0"/>
          <c:showPercent val="0"/>
          <c:showBubbleSize val="0"/>
        </c:dLbls>
        <c:gapWidth val="34"/>
        <c:overlap val="-20"/>
        <c:axId val="222168576"/>
        <c:axId val="82594624"/>
      </c:barChart>
      <c:catAx>
        <c:axId val="222168576"/>
        <c:scaling>
          <c:orientation val="minMax"/>
        </c:scaling>
        <c:delete val="0"/>
        <c:axPos val="b"/>
        <c:majorTickMark val="none"/>
        <c:minorTickMark val="none"/>
        <c:tickLblPos val="nextTo"/>
        <c:crossAx val="82594624"/>
        <c:crosses val="autoZero"/>
        <c:auto val="1"/>
        <c:lblAlgn val="ctr"/>
        <c:lblOffset val="100"/>
        <c:noMultiLvlLbl val="0"/>
      </c:catAx>
      <c:valAx>
        <c:axId val="82594624"/>
        <c:scaling>
          <c:orientation val="minMax"/>
        </c:scaling>
        <c:delete val="0"/>
        <c:axPos val="l"/>
        <c:majorGridlines/>
        <c:title>
          <c:tx>
            <c:rich>
              <a:bodyPr/>
              <a:lstStyle/>
              <a:p>
                <a:pPr>
                  <a:defRPr/>
                </a:pPr>
                <a:r>
                  <a:rPr lang="es-CO"/>
                  <a:t>nÚmero</a:t>
                </a:r>
              </a:p>
            </c:rich>
          </c:tx>
          <c:layout>
            <c:manualLayout>
              <c:xMode val="edge"/>
              <c:yMode val="edge"/>
              <c:x val="5.2356020942408377E-2"/>
              <c:y val="0.32795480282378825"/>
            </c:manualLayout>
          </c:layout>
          <c:overlay val="0"/>
        </c:title>
        <c:numFmt formatCode="#,##0" sourceLinked="1"/>
        <c:majorTickMark val="none"/>
        <c:minorTickMark val="none"/>
        <c:tickLblPos val="nextTo"/>
        <c:crossAx val="222168576"/>
        <c:crosses val="autoZero"/>
        <c:crossBetween val="between"/>
      </c:valAx>
      <c:dTable>
        <c:showHorzBorder val="1"/>
        <c:showVertBorder val="1"/>
        <c:showOutline val="1"/>
        <c:showKeys val="1"/>
        <c:txPr>
          <a:bodyPr/>
          <a:lstStyle/>
          <a:p>
            <a:pPr rtl="0">
              <a:defRPr sz="800"/>
            </a:pPr>
            <a:endParaRPr lang="es-ES"/>
          </a:p>
        </c:txPr>
      </c:dTable>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Hoja1!$B$1</c:f>
              <c:strCache>
                <c:ptCount val="1"/>
                <c:pt idx="0">
                  <c:v>PACIENTES</c:v>
                </c:pt>
              </c:strCache>
            </c:strRef>
          </c:tx>
          <c:invertIfNegative val="0"/>
          <c:cat>
            <c:strRef>
              <c:f>Hoja1!$A$2:$A$30</c:f>
              <c:strCache>
                <c:ptCount val="29"/>
                <c:pt idx="0">
                  <c:v>Bogotá</c:v>
                </c:pt>
                <c:pt idx="1">
                  <c:v>Antioquia</c:v>
                </c:pt>
                <c:pt idx="2">
                  <c:v>Valle del Cauca</c:v>
                </c:pt>
                <c:pt idx="3">
                  <c:v>Santander</c:v>
                </c:pt>
                <c:pt idx="4">
                  <c:v>Atlántico</c:v>
                </c:pt>
                <c:pt idx="5">
                  <c:v>Cundinamarca</c:v>
                </c:pt>
                <c:pt idx="6">
                  <c:v>Bolívar</c:v>
                </c:pt>
                <c:pt idx="7">
                  <c:v>Risaralda</c:v>
                </c:pt>
                <c:pt idx="8">
                  <c:v>Caldas</c:v>
                </c:pt>
                <c:pt idx="9">
                  <c:v>Tolima</c:v>
                </c:pt>
                <c:pt idx="10">
                  <c:v>Huila</c:v>
                </c:pt>
                <c:pt idx="11">
                  <c:v>Boyacá</c:v>
                </c:pt>
                <c:pt idx="12">
                  <c:v>Meta</c:v>
                </c:pt>
                <c:pt idx="13">
                  <c:v>Norte de Santander</c:v>
                </c:pt>
                <c:pt idx="14">
                  <c:v>Cesar</c:v>
                </c:pt>
                <c:pt idx="15">
                  <c:v>Nariño</c:v>
                </c:pt>
                <c:pt idx="16">
                  <c:v>Magdalena</c:v>
                </c:pt>
                <c:pt idx="17">
                  <c:v>Cauca</c:v>
                </c:pt>
                <c:pt idx="18">
                  <c:v>Córdoba</c:v>
                </c:pt>
                <c:pt idx="19">
                  <c:v>Sucre</c:v>
                </c:pt>
                <c:pt idx="20">
                  <c:v>Quindio</c:v>
                </c:pt>
                <c:pt idx="21">
                  <c:v>La Guajira</c:v>
                </c:pt>
                <c:pt idx="22">
                  <c:v>Casanare</c:v>
                </c:pt>
                <c:pt idx="23">
                  <c:v>Caquetá</c:v>
                </c:pt>
                <c:pt idx="24">
                  <c:v>Arauca</c:v>
                </c:pt>
                <c:pt idx="25">
                  <c:v>Putumayo</c:v>
                </c:pt>
                <c:pt idx="26">
                  <c:v>Chocó</c:v>
                </c:pt>
                <c:pt idx="27">
                  <c:v>Archipielago</c:v>
                </c:pt>
                <c:pt idx="28">
                  <c:v>Vichada</c:v>
                </c:pt>
              </c:strCache>
            </c:strRef>
          </c:cat>
          <c:val>
            <c:numRef>
              <c:f>Hoja1!$B$2:$B$30</c:f>
              <c:numCache>
                <c:formatCode>General</c:formatCode>
                <c:ptCount val="29"/>
                <c:pt idx="0">
                  <c:v>1708</c:v>
                </c:pt>
                <c:pt idx="1">
                  <c:v>911</c:v>
                </c:pt>
                <c:pt idx="2">
                  <c:v>445</c:v>
                </c:pt>
                <c:pt idx="3">
                  <c:v>296</c:v>
                </c:pt>
                <c:pt idx="4">
                  <c:v>273</c:v>
                </c:pt>
                <c:pt idx="5">
                  <c:v>240</c:v>
                </c:pt>
                <c:pt idx="6">
                  <c:v>209</c:v>
                </c:pt>
                <c:pt idx="7">
                  <c:v>196</c:v>
                </c:pt>
                <c:pt idx="8">
                  <c:v>193</c:v>
                </c:pt>
                <c:pt idx="9">
                  <c:v>177</c:v>
                </c:pt>
                <c:pt idx="10">
                  <c:v>143</c:v>
                </c:pt>
                <c:pt idx="11">
                  <c:v>112</c:v>
                </c:pt>
                <c:pt idx="12">
                  <c:v>105</c:v>
                </c:pt>
                <c:pt idx="13">
                  <c:v>99</c:v>
                </c:pt>
                <c:pt idx="14">
                  <c:v>97</c:v>
                </c:pt>
                <c:pt idx="15">
                  <c:v>91</c:v>
                </c:pt>
                <c:pt idx="16">
                  <c:v>88</c:v>
                </c:pt>
                <c:pt idx="17">
                  <c:v>68</c:v>
                </c:pt>
                <c:pt idx="18">
                  <c:v>68</c:v>
                </c:pt>
                <c:pt idx="19">
                  <c:v>54</c:v>
                </c:pt>
                <c:pt idx="20">
                  <c:v>37</c:v>
                </c:pt>
                <c:pt idx="21">
                  <c:v>21</c:v>
                </c:pt>
                <c:pt idx="22">
                  <c:v>18</c:v>
                </c:pt>
                <c:pt idx="23">
                  <c:v>17</c:v>
                </c:pt>
                <c:pt idx="24">
                  <c:v>7</c:v>
                </c:pt>
                <c:pt idx="25">
                  <c:v>6</c:v>
                </c:pt>
                <c:pt idx="26">
                  <c:v>5</c:v>
                </c:pt>
                <c:pt idx="27">
                  <c:v>2</c:v>
                </c:pt>
                <c:pt idx="28">
                  <c:v>1</c:v>
                </c:pt>
              </c:numCache>
            </c:numRef>
          </c:val>
        </c:ser>
        <c:ser>
          <c:idx val="2"/>
          <c:order val="1"/>
          <c:tx>
            <c:strRef>
              <c:f>Hoja1!$D$1</c:f>
              <c:strCache>
                <c:ptCount val="1"/>
                <c:pt idx="0">
                  <c:v>PACIENTES CON DISCAPACIDAD</c:v>
                </c:pt>
              </c:strCache>
            </c:strRef>
          </c:tx>
          <c:invertIfNegative val="0"/>
          <c:cat>
            <c:strRef>
              <c:f>Hoja1!$A$2:$A$30</c:f>
              <c:strCache>
                <c:ptCount val="29"/>
                <c:pt idx="0">
                  <c:v>Bogotá</c:v>
                </c:pt>
                <c:pt idx="1">
                  <c:v>Antioquia</c:v>
                </c:pt>
                <c:pt idx="2">
                  <c:v>Valle del Cauca</c:v>
                </c:pt>
                <c:pt idx="3">
                  <c:v>Santander</c:v>
                </c:pt>
                <c:pt idx="4">
                  <c:v>Atlántico</c:v>
                </c:pt>
                <c:pt idx="5">
                  <c:v>Cundinamarca</c:v>
                </c:pt>
                <c:pt idx="6">
                  <c:v>Bolívar</c:v>
                </c:pt>
                <c:pt idx="7">
                  <c:v>Risaralda</c:v>
                </c:pt>
                <c:pt idx="8">
                  <c:v>Caldas</c:v>
                </c:pt>
                <c:pt idx="9">
                  <c:v>Tolima</c:v>
                </c:pt>
                <c:pt idx="10">
                  <c:v>Huila</c:v>
                </c:pt>
                <c:pt idx="11">
                  <c:v>Boyacá</c:v>
                </c:pt>
                <c:pt idx="12">
                  <c:v>Meta</c:v>
                </c:pt>
                <c:pt idx="13">
                  <c:v>Norte de Santander</c:v>
                </c:pt>
                <c:pt idx="14">
                  <c:v>Cesar</c:v>
                </c:pt>
                <c:pt idx="15">
                  <c:v>Nariño</c:v>
                </c:pt>
                <c:pt idx="16">
                  <c:v>Magdalena</c:v>
                </c:pt>
                <c:pt idx="17">
                  <c:v>Cauca</c:v>
                </c:pt>
                <c:pt idx="18">
                  <c:v>Córdoba</c:v>
                </c:pt>
                <c:pt idx="19">
                  <c:v>Sucre</c:v>
                </c:pt>
                <c:pt idx="20">
                  <c:v>Quindio</c:v>
                </c:pt>
                <c:pt idx="21">
                  <c:v>La Guajira</c:v>
                </c:pt>
                <c:pt idx="22">
                  <c:v>Casanare</c:v>
                </c:pt>
                <c:pt idx="23">
                  <c:v>Caquetá</c:v>
                </c:pt>
                <c:pt idx="24">
                  <c:v>Arauca</c:v>
                </c:pt>
                <c:pt idx="25">
                  <c:v>Putumayo</c:v>
                </c:pt>
                <c:pt idx="26">
                  <c:v>Chocó</c:v>
                </c:pt>
                <c:pt idx="27">
                  <c:v>Archipielago</c:v>
                </c:pt>
                <c:pt idx="28">
                  <c:v>Vichada</c:v>
                </c:pt>
              </c:strCache>
            </c:strRef>
          </c:cat>
          <c:val>
            <c:numRef>
              <c:f>Hoja1!$D$2:$D$30</c:f>
              <c:numCache>
                <c:formatCode>General</c:formatCode>
                <c:ptCount val="29"/>
                <c:pt idx="0">
                  <c:v>180.87719999999999</c:v>
                </c:pt>
                <c:pt idx="1">
                  <c:v>121.34520000000001</c:v>
                </c:pt>
                <c:pt idx="2">
                  <c:v>38.314499999999995</c:v>
                </c:pt>
                <c:pt idx="3">
                  <c:v>27.231999999999999</c:v>
                </c:pt>
                <c:pt idx="4">
                  <c:v>12.994800000000001</c:v>
                </c:pt>
                <c:pt idx="5">
                  <c:v>25.968</c:v>
                </c:pt>
                <c:pt idx="6">
                  <c:v>21.171700000000001</c:v>
                </c:pt>
                <c:pt idx="7">
                  <c:v>13.151600000000002</c:v>
                </c:pt>
                <c:pt idx="8">
                  <c:v>16.212</c:v>
                </c:pt>
                <c:pt idx="9">
                  <c:v>19.292999999999999</c:v>
                </c:pt>
                <c:pt idx="10">
                  <c:v>16.216200000000001</c:v>
                </c:pt>
                <c:pt idx="11">
                  <c:v>16.8</c:v>
                </c:pt>
                <c:pt idx="12">
                  <c:v>8.5470000000000006</c:v>
                </c:pt>
                <c:pt idx="13">
                  <c:v>9.1575000000000006</c:v>
                </c:pt>
                <c:pt idx="14">
                  <c:v>7.1004000000000005</c:v>
                </c:pt>
                <c:pt idx="15">
                  <c:v>12.9129</c:v>
                </c:pt>
                <c:pt idx="16">
                  <c:v>12.0472</c:v>
                </c:pt>
                <c:pt idx="17">
                  <c:v>7.9287999999999998</c:v>
                </c:pt>
                <c:pt idx="18">
                  <c:v>8.3708000000000009</c:v>
                </c:pt>
                <c:pt idx="19">
                  <c:v>6.75</c:v>
                </c:pt>
                <c:pt idx="20">
                  <c:v>4.3030999999999997</c:v>
                </c:pt>
                <c:pt idx="21">
                  <c:v>1.7136</c:v>
                </c:pt>
                <c:pt idx="22">
                  <c:v>3.8915999999999999</c:v>
                </c:pt>
                <c:pt idx="23">
                  <c:v>3.4000000000000004</c:v>
                </c:pt>
                <c:pt idx="24">
                  <c:v>0.875</c:v>
                </c:pt>
                <c:pt idx="25">
                  <c:v>0.49980000000000002</c:v>
                </c:pt>
                <c:pt idx="26">
                  <c:v>0.26300000000000001</c:v>
                </c:pt>
                <c:pt idx="27">
                  <c:v>0</c:v>
                </c:pt>
                <c:pt idx="28">
                  <c:v>0.5</c:v>
                </c:pt>
              </c:numCache>
            </c:numRef>
          </c:val>
        </c:ser>
        <c:dLbls>
          <c:showLegendKey val="0"/>
          <c:showVal val="0"/>
          <c:showCatName val="0"/>
          <c:showSerName val="0"/>
          <c:showPercent val="0"/>
          <c:showBubbleSize val="0"/>
        </c:dLbls>
        <c:gapWidth val="28"/>
        <c:overlap val="100"/>
        <c:axId val="210882560"/>
        <c:axId val="82599232"/>
      </c:barChart>
      <c:catAx>
        <c:axId val="210882560"/>
        <c:scaling>
          <c:orientation val="minMax"/>
        </c:scaling>
        <c:delete val="0"/>
        <c:axPos val="b"/>
        <c:majorTickMark val="out"/>
        <c:minorTickMark val="none"/>
        <c:tickLblPos val="nextTo"/>
        <c:txPr>
          <a:bodyPr rot="-5400000" vert="horz" anchor="ctr" anchorCtr="1"/>
          <a:lstStyle/>
          <a:p>
            <a:pPr>
              <a:defRPr sz="800"/>
            </a:pPr>
            <a:endParaRPr lang="es-ES"/>
          </a:p>
        </c:txPr>
        <c:crossAx val="82599232"/>
        <c:crosses val="autoZero"/>
        <c:auto val="1"/>
        <c:lblAlgn val="ctr"/>
        <c:lblOffset val="100"/>
        <c:noMultiLvlLbl val="0"/>
      </c:catAx>
      <c:valAx>
        <c:axId val="82599232"/>
        <c:scaling>
          <c:orientation val="minMax"/>
        </c:scaling>
        <c:delete val="0"/>
        <c:axPos val="l"/>
        <c:majorGridlines/>
        <c:numFmt formatCode="0%" sourceLinked="1"/>
        <c:majorTickMark val="out"/>
        <c:minorTickMark val="none"/>
        <c:tickLblPos val="nextTo"/>
        <c:crossAx val="210882560"/>
        <c:crosses val="autoZero"/>
        <c:crossBetween val="between"/>
      </c:valAx>
    </c:plotArea>
    <c:legend>
      <c:legendPos val="b"/>
      <c:overlay val="0"/>
      <c:txPr>
        <a:bodyPr/>
        <a:lstStyle/>
        <a:p>
          <a:pPr>
            <a:defRPr b="1"/>
          </a:pPr>
          <a:endParaRPr lang="es-ES"/>
        </a:p>
      </c:txPr>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Hoja2!$B$1</c:f>
              <c:strCache>
                <c:ptCount val="1"/>
                <c:pt idx="0">
                  <c:v>PACIENTES</c:v>
                </c:pt>
              </c:strCache>
            </c:strRef>
          </c:tx>
          <c:invertIfNegative val="0"/>
          <c:cat>
            <c:strRef>
              <c:f>Hoja2!$A$2:$A$18</c:f>
              <c:strCache>
                <c:ptCount val="17"/>
                <c:pt idx="0">
                  <c:v>0 a 4 años</c:v>
                </c:pt>
                <c:pt idx="1">
                  <c:v>5 a 9 años</c:v>
                </c:pt>
                <c:pt idx="2">
                  <c:v>10 a 14 años</c:v>
                </c:pt>
                <c:pt idx="3">
                  <c:v>15 a 19 años</c:v>
                </c:pt>
                <c:pt idx="4">
                  <c:v>20 a 24 años</c:v>
                </c:pt>
                <c:pt idx="5">
                  <c:v>25 a 29 años</c:v>
                </c:pt>
                <c:pt idx="6">
                  <c:v>30 a 34 años</c:v>
                </c:pt>
                <c:pt idx="7">
                  <c:v>35 a 39 años</c:v>
                </c:pt>
                <c:pt idx="8">
                  <c:v>40 a 44 años</c:v>
                </c:pt>
                <c:pt idx="9">
                  <c:v>45 a 49 años</c:v>
                </c:pt>
                <c:pt idx="10">
                  <c:v>50 a 54 años</c:v>
                </c:pt>
                <c:pt idx="11">
                  <c:v>55 a 59 años</c:v>
                </c:pt>
                <c:pt idx="12">
                  <c:v>60 a 64 años</c:v>
                </c:pt>
                <c:pt idx="13">
                  <c:v>65 a 69 años</c:v>
                </c:pt>
                <c:pt idx="14">
                  <c:v>70 a 74 años</c:v>
                </c:pt>
                <c:pt idx="15">
                  <c:v>75 a 79 años</c:v>
                </c:pt>
                <c:pt idx="16">
                  <c:v>80 años o más</c:v>
                </c:pt>
              </c:strCache>
            </c:strRef>
          </c:cat>
          <c:val>
            <c:numRef>
              <c:f>Hoja2!$B$2:$B$18</c:f>
              <c:numCache>
                <c:formatCode>General</c:formatCode>
                <c:ptCount val="17"/>
                <c:pt idx="0">
                  <c:v>771</c:v>
                </c:pt>
                <c:pt idx="1">
                  <c:v>516</c:v>
                </c:pt>
                <c:pt idx="2">
                  <c:v>739</c:v>
                </c:pt>
                <c:pt idx="3">
                  <c:v>536</c:v>
                </c:pt>
                <c:pt idx="4">
                  <c:v>317</c:v>
                </c:pt>
                <c:pt idx="5">
                  <c:v>315</c:v>
                </c:pt>
                <c:pt idx="6">
                  <c:v>332</c:v>
                </c:pt>
                <c:pt idx="7">
                  <c:v>302</c:v>
                </c:pt>
                <c:pt idx="8">
                  <c:v>277</c:v>
                </c:pt>
                <c:pt idx="9">
                  <c:v>324</c:v>
                </c:pt>
                <c:pt idx="10">
                  <c:v>310</c:v>
                </c:pt>
                <c:pt idx="11">
                  <c:v>281</c:v>
                </c:pt>
                <c:pt idx="12">
                  <c:v>217</c:v>
                </c:pt>
                <c:pt idx="13">
                  <c:v>159</c:v>
                </c:pt>
                <c:pt idx="14">
                  <c:v>125</c:v>
                </c:pt>
                <c:pt idx="15">
                  <c:v>90</c:v>
                </c:pt>
                <c:pt idx="16">
                  <c:v>76</c:v>
                </c:pt>
              </c:numCache>
            </c:numRef>
          </c:val>
        </c:ser>
        <c:ser>
          <c:idx val="2"/>
          <c:order val="1"/>
          <c:tx>
            <c:strRef>
              <c:f>Hoja2!$D$1</c:f>
              <c:strCache>
                <c:ptCount val="1"/>
                <c:pt idx="0">
                  <c:v>DISCAP</c:v>
                </c:pt>
              </c:strCache>
            </c:strRef>
          </c:tx>
          <c:invertIfNegative val="0"/>
          <c:cat>
            <c:strRef>
              <c:f>Hoja2!$A$2:$A$18</c:f>
              <c:strCache>
                <c:ptCount val="17"/>
                <c:pt idx="0">
                  <c:v>0 a 4 años</c:v>
                </c:pt>
                <c:pt idx="1">
                  <c:v>5 a 9 años</c:v>
                </c:pt>
                <c:pt idx="2">
                  <c:v>10 a 14 años</c:v>
                </c:pt>
                <c:pt idx="3">
                  <c:v>15 a 19 años</c:v>
                </c:pt>
                <c:pt idx="4">
                  <c:v>20 a 24 años</c:v>
                </c:pt>
                <c:pt idx="5">
                  <c:v>25 a 29 años</c:v>
                </c:pt>
                <c:pt idx="6">
                  <c:v>30 a 34 años</c:v>
                </c:pt>
                <c:pt idx="7">
                  <c:v>35 a 39 años</c:v>
                </c:pt>
                <c:pt idx="8">
                  <c:v>40 a 44 años</c:v>
                </c:pt>
                <c:pt idx="9">
                  <c:v>45 a 49 años</c:v>
                </c:pt>
                <c:pt idx="10">
                  <c:v>50 a 54 años</c:v>
                </c:pt>
                <c:pt idx="11">
                  <c:v>55 a 59 años</c:v>
                </c:pt>
                <c:pt idx="12">
                  <c:v>60 a 64 años</c:v>
                </c:pt>
                <c:pt idx="13">
                  <c:v>65 a 69 años</c:v>
                </c:pt>
                <c:pt idx="14">
                  <c:v>70 a 74 años</c:v>
                </c:pt>
                <c:pt idx="15">
                  <c:v>75 a 79 años</c:v>
                </c:pt>
                <c:pt idx="16">
                  <c:v>80 años o más</c:v>
                </c:pt>
              </c:strCache>
            </c:strRef>
          </c:cat>
          <c:val>
            <c:numRef>
              <c:f>Hoja2!$D$2:$D$18</c:f>
              <c:numCache>
                <c:formatCode>General</c:formatCode>
                <c:ptCount val="17"/>
                <c:pt idx="0">
                  <c:v>67.9251</c:v>
                </c:pt>
                <c:pt idx="1">
                  <c:v>52.425599999999996</c:v>
                </c:pt>
                <c:pt idx="2">
                  <c:v>83.654799999999994</c:v>
                </c:pt>
                <c:pt idx="3">
                  <c:v>56.7624</c:v>
                </c:pt>
                <c:pt idx="4">
                  <c:v>29.671200000000002</c:v>
                </c:pt>
                <c:pt idx="5">
                  <c:v>46.714499999999994</c:v>
                </c:pt>
                <c:pt idx="6">
                  <c:v>41.5</c:v>
                </c:pt>
                <c:pt idx="7">
                  <c:v>37.085599999999999</c:v>
                </c:pt>
                <c:pt idx="8">
                  <c:v>29.195799999999998</c:v>
                </c:pt>
                <c:pt idx="9">
                  <c:v>37.227600000000002</c:v>
                </c:pt>
                <c:pt idx="10">
                  <c:v>30.596999999999998</c:v>
                </c:pt>
                <c:pt idx="11">
                  <c:v>27.819000000000003</c:v>
                </c:pt>
                <c:pt idx="12">
                  <c:v>24.586099999999998</c:v>
                </c:pt>
                <c:pt idx="13">
                  <c:v>16.869900000000001</c:v>
                </c:pt>
                <c:pt idx="14">
                  <c:v>13.5625</c:v>
                </c:pt>
                <c:pt idx="15">
                  <c:v>8.5050000000000008</c:v>
                </c:pt>
                <c:pt idx="16">
                  <c:v>8.2763999999999989</c:v>
                </c:pt>
              </c:numCache>
            </c:numRef>
          </c:val>
        </c:ser>
        <c:dLbls>
          <c:showLegendKey val="0"/>
          <c:showVal val="0"/>
          <c:showCatName val="0"/>
          <c:showSerName val="0"/>
          <c:showPercent val="0"/>
          <c:showBubbleSize val="0"/>
        </c:dLbls>
        <c:gapWidth val="75"/>
        <c:overlap val="100"/>
        <c:axId val="221521920"/>
        <c:axId val="176208064"/>
      </c:barChart>
      <c:catAx>
        <c:axId val="221521920"/>
        <c:scaling>
          <c:orientation val="minMax"/>
        </c:scaling>
        <c:delete val="0"/>
        <c:axPos val="b"/>
        <c:majorTickMark val="none"/>
        <c:minorTickMark val="none"/>
        <c:tickLblPos val="nextTo"/>
        <c:txPr>
          <a:bodyPr rot="-5400000" vert="horz"/>
          <a:lstStyle/>
          <a:p>
            <a:pPr>
              <a:defRPr sz="800"/>
            </a:pPr>
            <a:endParaRPr lang="es-ES"/>
          </a:p>
        </c:txPr>
        <c:crossAx val="176208064"/>
        <c:crosses val="autoZero"/>
        <c:auto val="1"/>
        <c:lblAlgn val="ctr"/>
        <c:lblOffset val="100"/>
        <c:noMultiLvlLbl val="0"/>
      </c:catAx>
      <c:valAx>
        <c:axId val="176208064"/>
        <c:scaling>
          <c:orientation val="minMax"/>
        </c:scaling>
        <c:delete val="0"/>
        <c:axPos val="l"/>
        <c:majorGridlines/>
        <c:numFmt formatCode="General" sourceLinked="1"/>
        <c:majorTickMark val="none"/>
        <c:minorTickMark val="none"/>
        <c:tickLblPos val="nextTo"/>
        <c:spPr>
          <a:ln w="9525">
            <a:noFill/>
          </a:ln>
        </c:spPr>
        <c:crossAx val="221521920"/>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0"/>
          <c:tx>
            <c:strRef>
              <c:f>Hoja2!$D$1</c:f>
              <c:strCache>
                <c:ptCount val="1"/>
                <c:pt idx="0">
                  <c:v>DISCAP</c:v>
                </c:pt>
              </c:strCache>
            </c:strRef>
          </c:tx>
          <c:invertIfNegative val="0"/>
          <c:cat>
            <c:strRef>
              <c:f>Hoja2!$A$2:$A$18</c:f>
              <c:strCache>
                <c:ptCount val="17"/>
                <c:pt idx="0">
                  <c:v>0 a 4 años</c:v>
                </c:pt>
                <c:pt idx="1">
                  <c:v>5 a 9 años</c:v>
                </c:pt>
                <c:pt idx="2">
                  <c:v>10 a 14 años</c:v>
                </c:pt>
                <c:pt idx="3">
                  <c:v>15 a 19 años</c:v>
                </c:pt>
                <c:pt idx="4">
                  <c:v>20 a 24 años</c:v>
                </c:pt>
                <c:pt idx="5">
                  <c:v>25 a 29 años</c:v>
                </c:pt>
                <c:pt idx="6">
                  <c:v>30 a 34 años</c:v>
                </c:pt>
                <c:pt idx="7">
                  <c:v>35 a 39 años</c:v>
                </c:pt>
                <c:pt idx="8">
                  <c:v>40 a 44 años</c:v>
                </c:pt>
                <c:pt idx="9">
                  <c:v>45 a 49 años</c:v>
                </c:pt>
                <c:pt idx="10">
                  <c:v>50 a 54 años</c:v>
                </c:pt>
                <c:pt idx="11">
                  <c:v>55 a 59 años</c:v>
                </c:pt>
                <c:pt idx="12">
                  <c:v>60 a 64 años</c:v>
                </c:pt>
                <c:pt idx="13">
                  <c:v>65 a 69 años</c:v>
                </c:pt>
                <c:pt idx="14">
                  <c:v>70 a 74 años</c:v>
                </c:pt>
                <c:pt idx="15">
                  <c:v>75 a 79 años</c:v>
                </c:pt>
                <c:pt idx="16">
                  <c:v>80 años o más</c:v>
                </c:pt>
              </c:strCache>
            </c:strRef>
          </c:cat>
          <c:val>
            <c:numRef>
              <c:f>Hoja2!$D$2:$D$18</c:f>
              <c:numCache>
                <c:formatCode>General</c:formatCode>
                <c:ptCount val="17"/>
                <c:pt idx="0">
                  <c:v>67.9251</c:v>
                </c:pt>
                <c:pt idx="1">
                  <c:v>52.425599999999996</c:v>
                </c:pt>
                <c:pt idx="2">
                  <c:v>83.654799999999994</c:v>
                </c:pt>
                <c:pt idx="3">
                  <c:v>56.7624</c:v>
                </c:pt>
                <c:pt idx="4">
                  <c:v>29.671200000000002</c:v>
                </c:pt>
                <c:pt idx="5">
                  <c:v>46.714499999999994</c:v>
                </c:pt>
                <c:pt idx="6">
                  <c:v>41.5</c:v>
                </c:pt>
                <c:pt idx="7">
                  <c:v>37.085599999999999</c:v>
                </c:pt>
                <c:pt idx="8">
                  <c:v>29.195799999999998</c:v>
                </c:pt>
                <c:pt idx="9">
                  <c:v>37.227600000000002</c:v>
                </c:pt>
                <c:pt idx="10">
                  <c:v>30.596999999999998</c:v>
                </c:pt>
                <c:pt idx="11">
                  <c:v>27.819000000000003</c:v>
                </c:pt>
                <c:pt idx="12">
                  <c:v>24.586099999999998</c:v>
                </c:pt>
                <c:pt idx="13">
                  <c:v>16.869900000000001</c:v>
                </c:pt>
                <c:pt idx="14">
                  <c:v>13.5625</c:v>
                </c:pt>
                <c:pt idx="15">
                  <c:v>8.5050000000000008</c:v>
                </c:pt>
                <c:pt idx="16">
                  <c:v>8.2763999999999989</c:v>
                </c:pt>
              </c:numCache>
            </c:numRef>
          </c:val>
        </c:ser>
        <c:dLbls>
          <c:showLegendKey val="0"/>
          <c:showVal val="0"/>
          <c:showCatName val="0"/>
          <c:showSerName val="0"/>
          <c:showPercent val="0"/>
          <c:showBubbleSize val="0"/>
        </c:dLbls>
        <c:gapWidth val="150"/>
        <c:axId val="223094784"/>
        <c:axId val="179905088"/>
      </c:barChart>
      <c:catAx>
        <c:axId val="223094784"/>
        <c:scaling>
          <c:orientation val="minMax"/>
        </c:scaling>
        <c:delete val="0"/>
        <c:axPos val="b"/>
        <c:majorTickMark val="out"/>
        <c:minorTickMark val="none"/>
        <c:tickLblPos val="nextTo"/>
        <c:txPr>
          <a:bodyPr rot="-5400000" vert="horz"/>
          <a:lstStyle/>
          <a:p>
            <a:pPr>
              <a:defRPr sz="800"/>
            </a:pPr>
            <a:endParaRPr lang="es-ES"/>
          </a:p>
        </c:txPr>
        <c:crossAx val="179905088"/>
        <c:crosses val="autoZero"/>
        <c:auto val="1"/>
        <c:lblAlgn val="ctr"/>
        <c:lblOffset val="100"/>
        <c:noMultiLvlLbl val="0"/>
      </c:catAx>
      <c:valAx>
        <c:axId val="179905088"/>
        <c:scaling>
          <c:orientation val="minMax"/>
        </c:scaling>
        <c:delete val="0"/>
        <c:axPos val="l"/>
        <c:majorGridlines/>
        <c:numFmt formatCode="General" sourceLinked="1"/>
        <c:majorTickMark val="out"/>
        <c:minorTickMark val="none"/>
        <c:tickLblPos val="nextTo"/>
        <c:crossAx val="223094784"/>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Hoja2!$A$22</c:f>
              <c:strCache>
                <c:ptCount val="1"/>
                <c:pt idx="0">
                  <c:v>Menores de edad</c:v>
                </c:pt>
              </c:strCache>
            </c:strRef>
          </c:tx>
          <c:invertIfNegative val="0"/>
          <c:cat>
            <c:strRef>
              <c:f>(Hoja2!$B$21;Hoja2!$D$21)</c:f>
              <c:strCache>
                <c:ptCount val="2"/>
                <c:pt idx="0">
                  <c:v>PACIENTES</c:v>
                </c:pt>
                <c:pt idx="1">
                  <c:v>DISCAP</c:v>
                </c:pt>
              </c:strCache>
            </c:strRef>
          </c:cat>
          <c:val>
            <c:numRef>
              <c:f>(Hoja2!$B$22;Hoja2!$D$22)</c:f>
              <c:numCache>
                <c:formatCode>General</c:formatCode>
                <c:ptCount val="2"/>
                <c:pt idx="0">
                  <c:v>2562</c:v>
                </c:pt>
                <c:pt idx="1">
                  <c:v>260.7679</c:v>
                </c:pt>
              </c:numCache>
            </c:numRef>
          </c:val>
        </c:ser>
        <c:ser>
          <c:idx val="2"/>
          <c:order val="1"/>
          <c:tx>
            <c:strRef>
              <c:f>Hoja2!$A$23</c:f>
              <c:strCache>
                <c:ptCount val="1"/>
                <c:pt idx="0">
                  <c:v>Adultos y Adultos mayores</c:v>
                </c:pt>
              </c:strCache>
            </c:strRef>
          </c:tx>
          <c:invertIfNegative val="0"/>
          <c:cat>
            <c:strRef>
              <c:f>(Hoja2!$B$21;Hoja2!$D$21)</c:f>
              <c:strCache>
                <c:ptCount val="2"/>
                <c:pt idx="0">
                  <c:v>PACIENTES</c:v>
                </c:pt>
                <c:pt idx="1">
                  <c:v>DISCAP</c:v>
                </c:pt>
              </c:strCache>
            </c:strRef>
          </c:cat>
          <c:val>
            <c:numRef>
              <c:f>(Hoja2!$B$23;Hoja2!$D$23)</c:f>
              <c:numCache>
                <c:formatCode>General</c:formatCode>
                <c:ptCount val="2"/>
                <c:pt idx="0">
                  <c:v>3125</c:v>
                </c:pt>
                <c:pt idx="1">
                  <c:v>351.61060000000003</c:v>
                </c:pt>
              </c:numCache>
            </c:numRef>
          </c:val>
        </c:ser>
        <c:dLbls>
          <c:showLegendKey val="0"/>
          <c:showVal val="0"/>
          <c:showCatName val="0"/>
          <c:showSerName val="0"/>
          <c:showPercent val="0"/>
          <c:showBubbleSize val="0"/>
        </c:dLbls>
        <c:gapWidth val="150"/>
        <c:overlap val="100"/>
        <c:axId val="212357120"/>
        <c:axId val="179906816"/>
      </c:barChart>
      <c:catAx>
        <c:axId val="212357120"/>
        <c:scaling>
          <c:orientation val="minMax"/>
        </c:scaling>
        <c:delete val="0"/>
        <c:axPos val="b"/>
        <c:majorTickMark val="out"/>
        <c:minorTickMark val="none"/>
        <c:tickLblPos val="nextTo"/>
        <c:crossAx val="179906816"/>
        <c:crosses val="autoZero"/>
        <c:auto val="1"/>
        <c:lblAlgn val="ctr"/>
        <c:lblOffset val="100"/>
        <c:noMultiLvlLbl val="0"/>
      </c:catAx>
      <c:valAx>
        <c:axId val="179906816"/>
        <c:scaling>
          <c:orientation val="minMax"/>
        </c:scaling>
        <c:delete val="0"/>
        <c:axPos val="l"/>
        <c:majorGridlines/>
        <c:numFmt formatCode="General" sourceLinked="1"/>
        <c:majorTickMark val="out"/>
        <c:minorTickMark val="none"/>
        <c:tickLblPos val="nextTo"/>
        <c:crossAx val="212357120"/>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6C6FB-8236-444B-B662-E571617A7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5735</Words>
  <Characters>31547</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Clemente Chaves Hernandez</cp:lastModifiedBy>
  <cp:revision>7</cp:revision>
  <cp:lastPrinted>2017-08-01T13:55:00Z</cp:lastPrinted>
  <dcterms:created xsi:type="dcterms:W3CDTF">2017-07-21T20:29:00Z</dcterms:created>
  <dcterms:modified xsi:type="dcterms:W3CDTF">2017-08-01T14:48:00Z</dcterms:modified>
</cp:coreProperties>
</file>