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drawings/drawing4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64" w:rsidRDefault="00B03664" w:rsidP="008F6E08">
      <w:pPr>
        <w:jc w:val="both"/>
      </w:pPr>
    </w:p>
    <w:p w:rsidR="001B617B" w:rsidRDefault="00B03664" w:rsidP="00B03664">
      <w:pPr>
        <w:jc w:val="center"/>
      </w:pPr>
      <w:r>
        <w:t>RESPUESTA AL CUESTI</w:t>
      </w:r>
      <w:r w:rsidR="001B617B">
        <w:t>ONARIO DE LA PROPOSICIÓN Nº 015</w:t>
      </w:r>
      <w:r>
        <w:t xml:space="preserve"> </w:t>
      </w:r>
    </w:p>
    <w:p w:rsidR="00B03664" w:rsidRDefault="00B03664" w:rsidP="00B03664">
      <w:pPr>
        <w:jc w:val="center"/>
      </w:pPr>
      <w:r>
        <w:t>“CUESTIONARIO SOBRE EL PROCESO DE AYUDAS HUMANITARIAS, RECONSTRUCCIÓN Y CONSTRUCCIÓN EN LAS ZONAS AFECTADAS CON LA EMERGENCIA INVERNAL”</w:t>
      </w:r>
    </w:p>
    <w:p w:rsidR="00B03664" w:rsidRDefault="00B03664" w:rsidP="00B03664">
      <w:pPr>
        <w:jc w:val="both"/>
      </w:pPr>
      <w:r>
        <w:t>HS. RS. GLORIA STELLA DÍAZ ORTIZ Y JUAN MANUEL VALDÉS BARCHA</w:t>
      </w:r>
    </w:p>
    <w:p w:rsidR="00B03664" w:rsidRDefault="00B03664" w:rsidP="00B03664">
      <w:pPr>
        <w:jc w:val="both"/>
      </w:pPr>
      <w:r>
        <w:t xml:space="preserve">MIÉRCOLES 14 DE SEPTIEMBRE DE 2011 </w:t>
      </w:r>
      <w:bookmarkStart w:id="0" w:name="_GoBack"/>
      <w:bookmarkEnd w:id="0"/>
    </w:p>
    <w:p w:rsidR="00C4412D" w:rsidRDefault="00C4412D" w:rsidP="009D623A">
      <w:pPr>
        <w:spacing w:after="0"/>
        <w:jc w:val="both"/>
      </w:pPr>
      <w:r>
        <w:t>PLENARIA DE LA CÁMARA DE REPRESENTANTES</w:t>
      </w:r>
    </w:p>
    <w:p w:rsidR="00B03664" w:rsidRDefault="00B03664" w:rsidP="009D623A">
      <w:pPr>
        <w:spacing w:after="0"/>
        <w:jc w:val="both"/>
      </w:pPr>
      <w:r>
        <w:t xml:space="preserve">2:00 P. M. </w:t>
      </w:r>
    </w:p>
    <w:p w:rsidR="009D623A" w:rsidRDefault="009D623A" w:rsidP="009D623A">
      <w:pPr>
        <w:spacing w:after="0"/>
        <w:jc w:val="both"/>
      </w:pPr>
    </w:p>
    <w:p w:rsidR="009A7E03" w:rsidRDefault="00AA5C72" w:rsidP="009D623A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1B617B">
        <w:rPr>
          <w:b/>
        </w:rPr>
        <w:t>¿Qué auditorías ha realizado la Contraloría General de la República a los dineros del Estado que se están ejecutando dentr</w:t>
      </w:r>
      <w:r w:rsidR="00067DF3" w:rsidRPr="001B617B">
        <w:rPr>
          <w:b/>
        </w:rPr>
        <w:t xml:space="preserve">o del marco </w:t>
      </w:r>
      <w:r w:rsidR="008F6E08" w:rsidRPr="001B617B">
        <w:rPr>
          <w:b/>
        </w:rPr>
        <w:t xml:space="preserve">de la recuperación </w:t>
      </w:r>
      <w:r w:rsidR="00067DF3" w:rsidRPr="001B617B">
        <w:rPr>
          <w:b/>
        </w:rPr>
        <w:t xml:space="preserve">las zonas </w:t>
      </w:r>
      <w:r w:rsidR="008F6E08" w:rsidRPr="001B617B">
        <w:rPr>
          <w:b/>
        </w:rPr>
        <w:t xml:space="preserve"> a</w:t>
      </w:r>
      <w:r w:rsidR="00067DF3" w:rsidRPr="001B617B">
        <w:rPr>
          <w:b/>
        </w:rPr>
        <w:t>fectadas</w:t>
      </w:r>
      <w:r w:rsidR="008F6E08" w:rsidRPr="001B617B">
        <w:rPr>
          <w:b/>
        </w:rPr>
        <w:t xml:space="preserve"> por la emergencia invernal? Favor remitir los informes. </w:t>
      </w:r>
    </w:p>
    <w:p w:rsidR="009D623A" w:rsidRPr="001B617B" w:rsidRDefault="009D623A" w:rsidP="009D623A">
      <w:pPr>
        <w:pStyle w:val="Prrafodelista"/>
        <w:spacing w:after="0"/>
        <w:ind w:left="360"/>
        <w:jc w:val="both"/>
        <w:rPr>
          <w:b/>
        </w:rPr>
      </w:pPr>
    </w:p>
    <w:p w:rsidR="001B617B" w:rsidRDefault="001B617B" w:rsidP="009D623A">
      <w:pPr>
        <w:spacing w:after="0"/>
        <w:jc w:val="both"/>
      </w:pPr>
      <w:r>
        <w:t xml:space="preserve">La Contraloría General de la República viene ejecutando  la estrategia de especial seguimiento a </w:t>
      </w:r>
      <w:r w:rsidR="00B56217">
        <w:t xml:space="preserve">la emergencia invernal, de conformidad con la Resolución </w:t>
      </w:r>
      <w:r w:rsidR="009D623A">
        <w:t xml:space="preserve">Orgánica </w:t>
      </w:r>
      <w:r w:rsidR="006D082A">
        <w:t xml:space="preserve">Nº </w:t>
      </w:r>
      <w:r w:rsidR="009D623A">
        <w:t xml:space="preserve">6275 del 7 de febrero de 2011, “por la cual se adopta la estrategia para efectuar el especial seguimiento a la gestión fiscal de los recursos destinados para atender la emergencia social, económica y ecológica provocada por la ola invernal en el país”. </w:t>
      </w:r>
    </w:p>
    <w:p w:rsidR="009D623A" w:rsidRDefault="009D623A" w:rsidP="009D623A">
      <w:pPr>
        <w:spacing w:after="0"/>
        <w:jc w:val="both"/>
      </w:pPr>
    </w:p>
    <w:p w:rsidR="009D623A" w:rsidRDefault="009D623A" w:rsidP="009D623A">
      <w:pPr>
        <w:spacing w:after="0"/>
        <w:jc w:val="both"/>
      </w:pPr>
      <w:r>
        <w:t xml:space="preserve">Producto de este seguimiento, la Contraloría General de la República ha producido treinta y cuatro </w:t>
      </w:r>
      <w:r w:rsidR="006D082A">
        <w:t xml:space="preserve">(34) </w:t>
      </w:r>
      <w:r>
        <w:t xml:space="preserve">informes exprés, que se anexan en CD. </w:t>
      </w:r>
    </w:p>
    <w:p w:rsidR="006D082A" w:rsidRDefault="006D082A" w:rsidP="009D623A">
      <w:pPr>
        <w:spacing w:after="0"/>
        <w:jc w:val="both"/>
      </w:pPr>
    </w:p>
    <w:p w:rsidR="006D082A" w:rsidRDefault="006D082A" w:rsidP="009D623A">
      <w:pPr>
        <w:spacing w:after="0"/>
        <w:jc w:val="both"/>
      </w:pPr>
      <w:r>
        <w:t>Se aclara que estos ejercicios no corresponden a auditorías ordinarias.</w:t>
      </w:r>
    </w:p>
    <w:p w:rsidR="009D623A" w:rsidRDefault="009D623A" w:rsidP="009D623A">
      <w:pPr>
        <w:spacing w:after="0"/>
        <w:jc w:val="both"/>
      </w:pPr>
    </w:p>
    <w:p w:rsidR="008F6E08" w:rsidRDefault="008F6E08" w:rsidP="009D623A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9D623A">
        <w:rPr>
          <w:b/>
        </w:rPr>
        <w:t>¿Qué irregularidades han sido detectadas en el manejo de estos recursos?</w:t>
      </w:r>
    </w:p>
    <w:p w:rsidR="006D082A" w:rsidRDefault="006D082A" w:rsidP="006D082A">
      <w:pPr>
        <w:spacing w:after="0"/>
        <w:jc w:val="both"/>
      </w:pPr>
    </w:p>
    <w:p w:rsidR="006D082A" w:rsidRDefault="006D082A" w:rsidP="006D082A">
      <w:pPr>
        <w:spacing w:after="0"/>
        <w:jc w:val="both"/>
      </w:pPr>
      <w:r>
        <w:t>Las denuncias ciudadanas han permitido identificar las siguientes líneas principales de las presuntas irregularidades</w:t>
      </w:r>
      <w:r w:rsidR="00BE3AA9">
        <w:t xml:space="preserve"> respecto de</w:t>
      </w:r>
      <w:r w:rsidR="002743DE">
        <w:t xml:space="preserve"> la entrega de ayudas humanitarias</w:t>
      </w:r>
      <w:r>
        <w:t>:</w:t>
      </w:r>
    </w:p>
    <w:p w:rsidR="006D082A" w:rsidRDefault="006D082A" w:rsidP="006D082A">
      <w:pPr>
        <w:spacing w:after="0"/>
        <w:jc w:val="both"/>
      </w:pPr>
    </w:p>
    <w:p w:rsidR="006D082A" w:rsidRDefault="006D082A" w:rsidP="006D082A">
      <w:pPr>
        <w:pStyle w:val="Prrafodelista"/>
        <w:numPr>
          <w:ilvl w:val="0"/>
          <w:numId w:val="2"/>
        </w:numPr>
        <w:spacing w:after="0"/>
        <w:jc w:val="both"/>
      </w:pPr>
      <w:r>
        <w:t>Utilización de las ayudas con fines políticos.</w:t>
      </w:r>
    </w:p>
    <w:p w:rsidR="006D082A" w:rsidRDefault="006D082A" w:rsidP="006D082A">
      <w:pPr>
        <w:pStyle w:val="Prrafodelista"/>
        <w:numPr>
          <w:ilvl w:val="0"/>
          <w:numId w:val="2"/>
        </w:numPr>
        <w:spacing w:after="0"/>
        <w:jc w:val="both"/>
      </w:pPr>
      <w:r>
        <w:t>Elaboración de censos con irregularidades.</w:t>
      </w:r>
    </w:p>
    <w:p w:rsidR="006D082A" w:rsidRDefault="006D082A" w:rsidP="006D082A">
      <w:pPr>
        <w:pStyle w:val="Prrafodelista"/>
        <w:numPr>
          <w:ilvl w:val="0"/>
          <w:numId w:val="2"/>
        </w:numPr>
        <w:spacing w:after="0"/>
        <w:jc w:val="both"/>
      </w:pPr>
      <w:r>
        <w:t>Entrega de ayudas que no responden en peso, cantidad y calidad.</w:t>
      </w:r>
    </w:p>
    <w:p w:rsidR="006D082A" w:rsidRDefault="006D082A" w:rsidP="006D082A">
      <w:pPr>
        <w:pStyle w:val="Prrafodelista"/>
        <w:numPr>
          <w:ilvl w:val="0"/>
          <w:numId w:val="2"/>
        </w:numPr>
        <w:spacing w:after="0"/>
        <w:jc w:val="both"/>
      </w:pPr>
      <w:r>
        <w:t>Inclusión de personas que no responden a la categoría de damnificados.</w:t>
      </w:r>
    </w:p>
    <w:p w:rsidR="006D082A" w:rsidRDefault="006D082A" w:rsidP="006D082A">
      <w:pPr>
        <w:pStyle w:val="Prrafodelista"/>
        <w:numPr>
          <w:ilvl w:val="0"/>
          <w:numId w:val="2"/>
        </w:numPr>
        <w:spacing w:after="0"/>
        <w:jc w:val="both"/>
      </w:pPr>
      <w:r>
        <w:t>Ausencia de cumplimiento en  entregas de arriendos.</w:t>
      </w:r>
    </w:p>
    <w:p w:rsidR="006D082A" w:rsidRDefault="006D082A" w:rsidP="006D082A">
      <w:pPr>
        <w:pStyle w:val="Prrafodelista"/>
        <w:numPr>
          <w:ilvl w:val="0"/>
          <w:numId w:val="2"/>
        </w:numPr>
        <w:spacing w:after="0"/>
        <w:jc w:val="both"/>
      </w:pPr>
      <w:r>
        <w:t>Ausencia de planes de acción en atención de obras.</w:t>
      </w:r>
    </w:p>
    <w:p w:rsidR="00D413BA" w:rsidRDefault="006D082A" w:rsidP="006D082A">
      <w:pPr>
        <w:pStyle w:val="Prrafodelista"/>
        <w:numPr>
          <w:ilvl w:val="0"/>
          <w:numId w:val="2"/>
        </w:numPr>
        <w:spacing w:after="0"/>
        <w:jc w:val="both"/>
      </w:pPr>
      <w:r>
        <w:t>Operadores que utilizan para la entrega a las autoridades locales, en contravía de sus obligaciones incorporadas en los convenios o contratos.</w:t>
      </w:r>
    </w:p>
    <w:p w:rsidR="00BE3AA9" w:rsidRDefault="00BE3AA9" w:rsidP="00BE3AA9">
      <w:pPr>
        <w:spacing w:after="0"/>
        <w:jc w:val="both"/>
      </w:pPr>
    </w:p>
    <w:p w:rsidR="00BE3AA9" w:rsidRDefault="00BE3AA9" w:rsidP="00BE3AA9">
      <w:pPr>
        <w:spacing w:after="0"/>
        <w:jc w:val="both"/>
      </w:pPr>
      <w:r>
        <w:lastRenderedPageBreak/>
        <w:t xml:space="preserve">Además, producto del seguimiento se han establecido: </w:t>
      </w:r>
    </w:p>
    <w:p w:rsidR="00BE3AA9" w:rsidRDefault="00BE3AA9" w:rsidP="00BE3AA9">
      <w:pPr>
        <w:spacing w:after="0"/>
        <w:jc w:val="both"/>
      </w:pPr>
    </w:p>
    <w:p w:rsidR="00BE3AA9" w:rsidRDefault="00BE3AA9" w:rsidP="00BE3AA9">
      <w:pPr>
        <w:pStyle w:val="Prrafodelista"/>
        <w:numPr>
          <w:ilvl w:val="0"/>
          <w:numId w:val="2"/>
        </w:numPr>
        <w:spacing w:after="0"/>
        <w:jc w:val="both"/>
      </w:pPr>
      <w:r>
        <w:t>Presuntos sobrecostos en los kits de alimentación y de aseo.</w:t>
      </w:r>
    </w:p>
    <w:p w:rsidR="00BE3AA9" w:rsidRDefault="00BE3AA9" w:rsidP="00BE3AA9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Desnaturalización de las ayudas, por efecto de la entrega de bonos a los afectados o damnificados. </w:t>
      </w:r>
    </w:p>
    <w:p w:rsidR="00BE3AA9" w:rsidRDefault="00BE3AA9" w:rsidP="00BE3AA9">
      <w:pPr>
        <w:spacing w:after="0"/>
        <w:jc w:val="both"/>
      </w:pPr>
    </w:p>
    <w:p w:rsidR="006D082A" w:rsidRPr="006D082A" w:rsidRDefault="006D082A" w:rsidP="006D082A">
      <w:pPr>
        <w:spacing w:after="0"/>
        <w:jc w:val="both"/>
      </w:pPr>
      <w:r w:rsidRPr="006D082A">
        <w:t xml:space="preserve">Respecto de las visitas a obras menores, </w:t>
      </w:r>
      <w:r w:rsidR="00C4412D">
        <w:t xml:space="preserve">sin particularizar </w:t>
      </w:r>
      <w:r w:rsidRPr="006D082A">
        <w:t xml:space="preserve">se establecieron las siguientes debilidades en su ejecución: </w:t>
      </w:r>
    </w:p>
    <w:p w:rsidR="006D082A" w:rsidRDefault="006D082A" w:rsidP="006D082A">
      <w:pPr>
        <w:spacing w:after="0"/>
        <w:jc w:val="both"/>
      </w:pPr>
    </w:p>
    <w:p w:rsidR="00C4412D" w:rsidRDefault="00C4412D" w:rsidP="00C4412D">
      <w:pPr>
        <w:pStyle w:val="Prrafodelista"/>
        <w:numPr>
          <w:ilvl w:val="0"/>
          <w:numId w:val="2"/>
        </w:numPr>
        <w:spacing w:after="0"/>
        <w:jc w:val="both"/>
      </w:pPr>
      <w:r>
        <w:t>En las visitas de campo, los profesionales de la Contraloría evidenciaron improvisación en la conceptualización, adjudicación y ejecución de los proyectos, por parte de los entes territoriales.</w:t>
      </w:r>
    </w:p>
    <w:p w:rsidR="00C4412D" w:rsidRDefault="00C4412D" w:rsidP="00C4412D">
      <w:pPr>
        <w:pStyle w:val="Prrafodelista"/>
        <w:numPr>
          <w:ilvl w:val="0"/>
          <w:numId w:val="2"/>
        </w:numPr>
        <w:spacing w:after="0"/>
        <w:jc w:val="both"/>
      </w:pPr>
      <w:r>
        <w:t>De acuerdo a la verificación de campo de los proyectos en ejecución, puede colegirse falta de rigor en la aprobación de proyectos y legalización de los mismos, por parte del FNC-Colombia Humanitaria.</w:t>
      </w:r>
    </w:p>
    <w:p w:rsidR="00C4412D" w:rsidRDefault="00C4412D" w:rsidP="00C4412D">
      <w:pPr>
        <w:pStyle w:val="Prrafodelista"/>
        <w:numPr>
          <w:ilvl w:val="0"/>
          <w:numId w:val="2"/>
        </w:numPr>
        <w:spacing w:after="0"/>
        <w:jc w:val="both"/>
      </w:pPr>
      <w:r>
        <w:t>Se evidenció duplicidad de objetos contractuales y concurrencia de recursos por ente territorial.</w:t>
      </w:r>
    </w:p>
    <w:p w:rsidR="00C4412D" w:rsidRDefault="00C4412D" w:rsidP="00C4412D">
      <w:pPr>
        <w:pStyle w:val="Prrafodelista"/>
        <w:numPr>
          <w:ilvl w:val="0"/>
          <w:numId w:val="2"/>
        </w:numPr>
        <w:spacing w:after="0"/>
        <w:jc w:val="both"/>
      </w:pPr>
      <w:r>
        <w:t>Falta de publicidad de la información contractual por parte de las alcaldías.</w:t>
      </w:r>
    </w:p>
    <w:p w:rsidR="00C4412D" w:rsidRDefault="00C4412D" w:rsidP="00C4412D">
      <w:pPr>
        <w:pStyle w:val="Prrafodelista"/>
        <w:numPr>
          <w:ilvl w:val="0"/>
          <w:numId w:val="2"/>
        </w:numPr>
        <w:spacing w:after="0"/>
        <w:jc w:val="both"/>
      </w:pPr>
      <w:r>
        <w:t>Las obras presentan sobrecostos por  ausencia de los  análisis de costos unitarios.</w:t>
      </w:r>
    </w:p>
    <w:p w:rsidR="00C4412D" w:rsidRDefault="00C4412D" w:rsidP="00C4412D">
      <w:pPr>
        <w:pStyle w:val="Prrafodelista"/>
        <w:numPr>
          <w:ilvl w:val="0"/>
          <w:numId w:val="2"/>
        </w:numPr>
        <w:spacing w:after="0"/>
        <w:jc w:val="both"/>
      </w:pPr>
      <w:r>
        <w:t>No existe una adecuada labor de interventoría, que se hace visible en la mala calidad en los materiales utilizados. El seguimiento por parte de las interventorías es deficiente y falta idoneidad de las mismas.</w:t>
      </w:r>
    </w:p>
    <w:p w:rsidR="00C4412D" w:rsidRDefault="00C4412D" w:rsidP="00C4412D">
      <w:pPr>
        <w:pStyle w:val="Prrafodelista"/>
        <w:numPr>
          <w:ilvl w:val="0"/>
          <w:numId w:val="2"/>
        </w:numPr>
        <w:spacing w:after="0"/>
        <w:jc w:val="both"/>
      </w:pPr>
      <w:r>
        <w:t>Las supervisiones son deficientes y en algunos casos inexistentes.</w:t>
      </w:r>
    </w:p>
    <w:p w:rsidR="00C4412D" w:rsidRDefault="00C4412D" w:rsidP="00C4412D">
      <w:pPr>
        <w:pStyle w:val="Prrafodelista"/>
        <w:numPr>
          <w:ilvl w:val="0"/>
          <w:numId w:val="2"/>
        </w:numPr>
        <w:spacing w:after="0"/>
        <w:jc w:val="both"/>
      </w:pPr>
      <w:r>
        <w:t>Los procesos de selección no han asegurado idoneidad técnica de los contratistas de obra.</w:t>
      </w:r>
    </w:p>
    <w:p w:rsidR="00C4412D" w:rsidRDefault="00C4412D" w:rsidP="00C4412D">
      <w:pPr>
        <w:pStyle w:val="Prrafodelista"/>
        <w:numPr>
          <w:ilvl w:val="0"/>
          <w:numId w:val="2"/>
        </w:numPr>
        <w:spacing w:after="0"/>
        <w:jc w:val="both"/>
      </w:pPr>
      <w:r>
        <w:t>Inexistencia de diseños de obra, estudios previos y bitácoras de obra.</w:t>
      </w:r>
    </w:p>
    <w:p w:rsidR="00C4412D" w:rsidRDefault="00C4412D" w:rsidP="00C4412D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En las revisiones de los proyectos, se encontraron diferencias entre los presupuestos de obra y la ejecución de los mismos. </w:t>
      </w:r>
    </w:p>
    <w:p w:rsidR="00C4412D" w:rsidRDefault="00C4412D" w:rsidP="00C4412D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Omisión en el levantamiento de actas de inicio, parciales y definitivas de obras. </w:t>
      </w:r>
    </w:p>
    <w:p w:rsidR="00C4412D" w:rsidRDefault="00C4412D" w:rsidP="00C4412D">
      <w:pPr>
        <w:pStyle w:val="Prrafodelista"/>
        <w:numPr>
          <w:ilvl w:val="0"/>
          <w:numId w:val="2"/>
        </w:numPr>
        <w:spacing w:after="0"/>
        <w:jc w:val="both"/>
      </w:pPr>
      <w:r>
        <w:t>En lo que referente al personal contratado para la ejecución de las obras, se encontró que no se les entrega dotación, equipamiento y sin acreditar pagos a seguridad social.</w:t>
      </w:r>
    </w:p>
    <w:p w:rsidR="00C4412D" w:rsidRDefault="00C4412D" w:rsidP="00C4412D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Inexistencia de programas de inversión y flujo de caja del anticipo. </w:t>
      </w:r>
    </w:p>
    <w:p w:rsidR="00C4412D" w:rsidRDefault="00C4412D" w:rsidP="00C4412D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Incumplimiento absoluto de los cronogramas de obra y ausencia de los mismos. </w:t>
      </w:r>
    </w:p>
    <w:p w:rsidR="00C4412D" w:rsidRDefault="00C4412D" w:rsidP="00C4412D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Los proyectos no han sido socializados con la comunidad. </w:t>
      </w:r>
    </w:p>
    <w:p w:rsidR="00C4412D" w:rsidRDefault="00C4412D" w:rsidP="00C4412D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La garantía de estabilidad de obra se está pactando por un máximo de 2 años. </w:t>
      </w:r>
    </w:p>
    <w:p w:rsidR="00BE3AA9" w:rsidRPr="006D082A" w:rsidRDefault="00C4412D" w:rsidP="00C4412D">
      <w:pPr>
        <w:pStyle w:val="Prrafodelista"/>
        <w:numPr>
          <w:ilvl w:val="0"/>
          <w:numId w:val="2"/>
        </w:numPr>
        <w:spacing w:after="0"/>
        <w:jc w:val="both"/>
      </w:pPr>
      <w:r>
        <w:t>Se presentan casos de compensación del valor de una obra con otra del mismo contratista por la improvisación en el cálculo de los costos unitarios.</w:t>
      </w:r>
    </w:p>
    <w:p w:rsidR="006D082A" w:rsidRPr="006D082A" w:rsidRDefault="006D082A" w:rsidP="006D082A">
      <w:pPr>
        <w:spacing w:after="0"/>
        <w:jc w:val="both"/>
      </w:pPr>
      <w:r w:rsidRPr="006D082A">
        <w:t xml:space="preserve"> </w:t>
      </w:r>
    </w:p>
    <w:p w:rsidR="006D082A" w:rsidRDefault="006D082A" w:rsidP="006D082A">
      <w:pPr>
        <w:spacing w:after="0"/>
        <w:jc w:val="both"/>
      </w:pPr>
      <w:r>
        <w:t xml:space="preserve">En particular, se han iniciado las siguientes actuaciones formales en la Contraloría General de la República: </w:t>
      </w:r>
    </w:p>
    <w:p w:rsidR="006D082A" w:rsidRDefault="006D082A" w:rsidP="006D082A">
      <w:pPr>
        <w:spacing w:after="0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160"/>
        <w:gridCol w:w="2200"/>
      </w:tblGrid>
      <w:tr w:rsidR="00886516" w:rsidRPr="00886516" w:rsidTr="00886516">
        <w:trPr>
          <w:trHeight w:val="900"/>
          <w:jc w:val="center"/>
        </w:trPr>
        <w:tc>
          <w:tcPr>
            <w:tcW w:w="1980" w:type="dxa"/>
            <w:hideMark/>
          </w:tcPr>
          <w:p w:rsidR="00886516" w:rsidRPr="00886516" w:rsidRDefault="00886516" w:rsidP="00886516">
            <w:pPr>
              <w:jc w:val="both"/>
              <w:rPr>
                <w:b/>
                <w:bCs/>
              </w:rPr>
            </w:pPr>
            <w:r w:rsidRPr="00886516">
              <w:rPr>
                <w:b/>
                <w:bCs/>
              </w:rPr>
              <w:t xml:space="preserve">TIPO DE ACTUACIÓN </w:t>
            </w:r>
          </w:p>
        </w:tc>
        <w:tc>
          <w:tcPr>
            <w:tcW w:w="3160" w:type="dxa"/>
            <w:vMerge w:val="restart"/>
            <w:vAlign w:val="center"/>
            <w:hideMark/>
          </w:tcPr>
          <w:p w:rsidR="00886516" w:rsidRPr="00886516" w:rsidRDefault="00886516" w:rsidP="00886516">
            <w:pPr>
              <w:jc w:val="center"/>
              <w:rPr>
                <w:b/>
                <w:bCs/>
              </w:rPr>
            </w:pPr>
            <w:r w:rsidRPr="00886516">
              <w:rPr>
                <w:b/>
                <w:bCs/>
              </w:rPr>
              <w:t>ENTIDAD AFECTADA</w:t>
            </w:r>
          </w:p>
        </w:tc>
        <w:tc>
          <w:tcPr>
            <w:tcW w:w="2200" w:type="dxa"/>
            <w:vMerge w:val="restart"/>
            <w:vAlign w:val="center"/>
            <w:hideMark/>
          </w:tcPr>
          <w:p w:rsidR="00886516" w:rsidRPr="00886516" w:rsidRDefault="00886516" w:rsidP="00886516">
            <w:pPr>
              <w:jc w:val="center"/>
              <w:rPr>
                <w:b/>
                <w:bCs/>
              </w:rPr>
            </w:pPr>
            <w:r w:rsidRPr="00886516">
              <w:rPr>
                <w:b/>
                <w:bCs/>
              </w:rPr>
              <w:t>DEPARTAMENTO</w:t>
            </w:r>
          </w:p>
        </w:tc>
      </w:tr>
      <w:tr w:rsidR="00886516" w:rsidRPr="00886516" w:rsidTr="00886516">
        <w:trPr>
          <w:trHeight w:val="315"/>
          <w:jc w:val="center"/>
        </w:trPr>
        <w:tc>
          <w:tcPr>
            <w:tcW w:w="1980" w:type="dxa"/>
            <w:noWrap/>
            <w:hideMark/>
          </w:tcPr>
          <w:p w:rsidR="00886516" w:rsidRPr="00886516" w:rsidRDefault="00886516" w:rsidP="00886516">
            <w:pPr>
              <w:jc w:val="both"/>
              <w:rPr>
                <w:b/>
                <w:bCs/>
              </w:rPr>
            </w:pPr>
            <w:r w:rsidRPr="00886516">
              <w:rPr>
                <w:b/>
                <w:bCs/>
              </w:rPr>
              <w:t xml:space="preserve">( IP/ PRF ) </w:t>
            </w:r>
          </w:p>
        </w:tc>
        <w:tc>
          <w:tcPr>
            <w:tcW w:w="3160" w:type="dxa"/>
            <w:vMerge/>
            <w:hideMark/>
          </w:tcPr>
          <w:p w:rsidR="00886516" w:rsidRPr="00886516" w:rsidRDefault="00886516" w:rsidP="00886516">
            <w:pPr>
              <w:jc w:val="both"/>
              <w:rPr>
                <w:b/>
                <w:bCs/>
              </w:rPr>
            </w:pPr>
          </w:p>
        </w:tc>
        <w:tc>
          <w:tcPr>
            <w:tcW w:w="2200" w:type="dxa"/>
            <w:vMerge/>
            <w:hideMark/>
          </w:tcPr>
          <w:p w:rsidR="00886516" w:rsidRPr="00886516" w:rsidRDefault="00886516" w:rsidP="00886516">
            <w:pPr>
              <w:jc w:val="both"/>
              <w:rPr>
                <w:b/>
                <w:bCs/>
              </w:rPr>
            </w:pPr>
          </w:p>
        </w:tc>
      </w:tr>
      <w:tr w:rsidR="00886516" w:rsidRPr="00886516" w:rsidTr="00886516">
        <w:trPr>
          <w:trHeight w:val="300"/>
          <w:jc w:val="center"/>
        </w:trPr>
        <w:tc>
          <w:tcPr>
            <w:tcW w:w="1980" w:type="dxa"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IP</w:t>
            </w:r>
          </w:p>
        </w:tc>
        <w:tc>
          <w:tcPr>
            <w:tcW w:w="3160" w:type="dxa"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Municipio de Suárez</w:t>
            </w:r>
          </w:p>
        </w:tc>
        <w:tc>
          <w:tcPr>
            <w:tcW w:w="220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Cauca</w:t>
            </w:r>
          </w:p>
        </w:tc>
      </w:tr>
      <w:tr w:rsidR="00886516" w:rsidRPr="00886516" w:rsidTr="00886516">
        <w:trPr>
          <w:trHeight w:val="300"/>
          <w:jc w:val="center"/>
        </w:trPr>
        <w:tc>
          <w:tcPr>
            <w:tcW w:w="1980" w:type="dxa"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IP</w:t>
            </w:r>
          </w:p>
        </w:tc>
        <w:tc>
          <w:tcPr>
            <w:tcW w:w="3160" w:type="dxa"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 xml:space="preserve">Municipio de López de </w:t>
            </w:r>
            <w:proofErr w:type="spellStart"/>
            <w:r w:rsidRPr="00886516">
              <w:t>Micay</w:t>
            </w:r>
            <w:proofErr w:type="spellEnd"/>
          </w:p>
        </w:tc>
        <w:tc>
          <w:tcPr>
            <w:tcW w:w="220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Cauca</w:t>
            </w:r>
          </w:p>
        </w:tc>
      </w:tr>
      <w:tr w:rsidR="00886516" w:rsidRPr="00886516" w:rsidTr="00886516">
        <w:trPr>
          <w:trHeight w:val="300"/>
          <w:jc w:val="center"/>
        </w:trPr>
        <w:tc>
          <w:tcPr>
            <w:tcW w:w="198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IP</w:t>
            </w:r>
          </w:p>
        </w:tc>
        <w:tc>
          <w:tcPr>
            <w:tcW w:w="316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 xml:space="preserve">Municipio de </w:t>
            </w:r>
            <w:proofErr w:type="spellStart"/>
            <w:r w:rsidRPr="00886516">
              <w:t>Chimá</w:t>
            </w:r>
            <w:proofErr w:type="spellEnd"/>
          </w:p>
        </w:tc>
        <w:tc>
          <w:tcPr>
            <w:tcW w:w="220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Córdoba</w:t>
            </w:r>
          </w:p>
        </w:tc>
      </w:tr>
      <w:tr w:rsidR="00886516" w:rsidRPr="00886516" w:rsidTr="00886516">
        <w:trPr>
          <w:trHeight w:val="300"/>
          <w:jc w:val="center"/>
        </w:trPr>
        <w:tc>
          <w:tcPr>
            <w:tcW w:w="198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IP</w:t>
            </w:r>
          </w:p>
        </w:tc>
        <w:tc>
          <w:tcPr>
            <w:tcW w:w="316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 xml:space="preserve">Municipio de </w:t>
            </w:r>
            <w:proofErr w:type="spellStart"/>
            <w:r w:rsidRPr="00886516">
              <w:t>Cereté</w:t>
            </w:r>
            <w:proofErr w:type="spellEnd"/>
          </w:p>
        </w:tc>
        <w:tc>
          <w:tcPr>
            <w:tcW w:w="220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Córdoba</w:t>
            </w:r>
          </w:p>
        </w:tc>
      </w:tr>
      <w:tr w:rsidR="00886516" w:rsidRPr="00886516" w:rsidTr="00886516">
        <w:trPr>
          <w:trHeight w:val="300"/>
          <w:jc w:val="center"/>
        </w:trPr>
        <w:tc>
          <w:tcPr>
            <w:tcW w:w="198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IP</w:t>
            </w:r>
          </w:p>
        </w:tc>
        <w:tc>
          <w:tcPr>
            <w:tcW w:w="316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Municipio de Lorica</w:t>
            </w:r>
          </w:p>
        </w:tc>
        <w:tc>
          <w:tcPr>
            <w:tcW w:w="220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Córdoba</w:t>
            </w:r>
          </w:p>
        </w:tc>
      </w:tr>
      <w:tr w:rsidR="00886516" w:rsidRPr="00886516" w:rsidTr="00886516">
        <w:trPr>
          <w:trHeight w:val="300"/>
          <w:jc w:val="center"/>
        </w:trPr>
        <w:tc>
          <w:tcPr>
            <w:tcW w:w="198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IP</w:t>
            </w:r>
          </w:p>
        </w:tc>
        <w:tc>
          <w:tcPr>
            <w:tcW w:w="316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 xml:space="preserve">Municipio de </w:t>
            </w:r>
            <w:proofErr w:type="spellStart"/>
            <w:r w:rsidRPr="00886516">
              <w:t>Chimá</w:t>
            </w:r>
            <w:proofErr w:type="spellEnd"/>
          </w:p>
        </w:tc>
        <w:tc>
          <w:tcPr>
            <w:tcW w:w="220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Córdoba</w:t>
            </w:r>
          </w:p>
        </w:tc>
      </w:tr>
      <w:tr w:rsidR="00886516" w:rsidRPr="00886516" w:rsidTr="00886516">
        <w:trPr>
          <w:trHeight w:val="300"/>
          <w:jc w:val="center"/>
        </w:trPr>
        <w:tc>
          <w:tcPr>
            <w:tcW w:w="198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IP</w:t>
            </w:r>
          </w:p>
        </w:tc>
        <w:tc>
          <w:tcPr>
            <w:tcW w:w="316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Municipio de Lorica</w:t>
            </w:r>
          </w:p>
        </w:tc>
        <w:tc>
          <w:tcPr>
            <w:tcW w:w="220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Córdoba</w:t>
            </w:r>
          </w:p>
        </w:tc>
      </w:tr>
      <w:tr w:rsidR="00886516" w:rsidRPr="00886516" w:rsidTr="00886516">
        <w:trPr>
          <w:trHeight w:val="300"/>
          <w:jc w:val="center"/>
        </w:trPr>
        <w:tc>
          <w:tcPr>
            <w:tcW w:w="198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IP</w:t>
            </w:r>
          </w:p>
        </w:tc>
        <w:tc>
          <w:tcPr>
            <w:tcW w:w="316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Municipio de Moñitos</w:t>
            </w:r>
          </w:p>
        </w:tc>
        <w:tc>
          <w:tcPr>
            <w:tcW w:w="220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Córdoba</w:t>
            </w:r>
          </w:p>
        </w:tc>
      </w:tr>
      <w:tr w:rsidR="00886516" w:rsidRPr="00886516" w:rsidTr="00886516">
        <w:trPr>
          <w:trHeight w:val="300"/>
          <w:jc w:val="center"/>
        </w:trPr>
        <w:tc>
          <w:tcPr>
            <w:tcW w:w="198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IP</w:t>
            </w:r>
          </w:p>
        </w:tc>
        <w:tc>
          <w:tcPr>
            <w:tcW w:w="316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 xml:space="preserve">Municipio de </w:t>
            </w:r>
            <w:proofErr w:type="spellStart"/>
            <w:r w:rsidRPr="00886516">
              <w:t>Ayapel</w:t>
            </w:r>
            <w:proofErr w:type="spellEnd"/>
            <w:r w:rsidRPr="00886516">
              <w:t xml:space="preserve"> </w:t>
            </w:r>
          </w:p>
        </w:tc>
        <w:tc>
          <w:tcPr>
            <w:tcW w:w="220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Córdoba</w:t>
            </w:r>
          </w:p>
        </w:tc>
      </w:tr>
      <w:tr w:rsidR="00886516" w:rsidRPr="00886516" w:rsidTr="00886516">
        <w:trPr>
          <w:trHeight w:val="300"/>
          <w:jc w:val="center"/>
        </w:trPr>
        <w:tc>
          <w:tcPr>
            <w:tcW w:w="198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IP</w:t>
            </w:r>
          </w:p>
        </w:tc>
        <w:tc>
          <w:tcPr>
            <w:tcW w:w="316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 xml:space="preserve">Municipio de Puerto Libertador </w:t>
            </w:r>
          </w:p>
        </w:tc>
        <w:tc>
          <w:tcPr>
            <w:tcW w:w="220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Córdoba</w:t>
            </w:r>
          </w:p>
        </w:tc>
      </w:tr>
      <w:tr w:rsidR="00886516" w:rsidRPr="00886516" w:rsidTr="00886516">
        <w:trPr>
          <w:trHeight w:val="300"/>
          <w:jc w:val="center"/>
        </w:trPr>
        <w:tc>
          <w:tcPr>
            <w:tcW w:w="198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IP</w:t>
            </w:r>
          </w:p>
        </w:tc>
        <w:tc>
          <w:tcPr>
            <w:tcW w:w="316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proofErr w:type="spellStart"/>
            <w:r w:rsidRPr="00886516">
              <w:t>Municipío</w:t>
            </w:r>
            <w:proofErr w:type="spellEnd"/>
            <w:r w:rsidRPr="00886516">
              <w:t xml:space="preserve"> de </w:t>
            </w:r>
            <w:proofErr w:type="spellStart"/>
            <w:r w:rsidRPr="00886516">
              <w:t>Ayapel</w:t>
            </w:r>
            <w:proofErr w:type="spellEnd"/>
            <w:r w:rsidRPr="00886516">
              <w:t xml:space="preserve"> </w:t>
            </w:r>
          </w:p>
        </w:tc>
        <w:tc>
          <w:tcPr>
            <w:tcW w:w="220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Córdoba</w:t>
            </w:r>
          </w:p>
        </w:tc>
      </w:tr>
      <w:tr w:rsidR="00886516" w:rsidRPr="00886516" w:rsidTr="00886516">
        <w:trPr>
          <w:trHeight w:val="300"/>
          <w:jc w:val="center"/>
        </w:trPr>
        <w:tc>
          <w:tcPr>
            <w:tcW w:w="198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IP</w:t>
            </w:r>
          </w:p>
        </w:tc>
        <w:tc>
          <w:tcPr>
            <w:tcW w:w="316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 xml:space="preserve">Municipio de </w:t>
            </w:r>
            <w:proofErr w:type="spellStart"/>
            <w:r w:rsidRPr="00886516">
              <w:t>Purisima</w:t>
            </w:r>
            <w:proofErr w:type="spellEnd"/>
            <w:r w:rsidRPr="00886516">
              <w:t xml:space="preserve"> </w:t>
            </w:r>
          </w:p>
        </w:tc>
        <w:tc>
          <w:tcPr>
            <w:tcW w:w="220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Córdoba</w:t>
            </w:r>
          </w:p>
        </w:tc>
      </w:tr>
      <w:tr w:rsidR="00886516" w:rsidRPr="00886516" w:rsidTr="00886516">
        <w:trPr>
          <w:trHeight w:val="300"/>
          <w:jc w:val="center"/>
        </w:trPr>
        <w:tc>
          <w:tcPr>
            <w:tcW w:w="198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IP</w:t>
            </w:r>
          </w:p>
        </w:tc>
        <w:tc>
          <w:tcPr>
            <w:tcW w:w="3160" w:type="dxa"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Municipio El Carmen</w:t>
            </w:r>
          </w:p>
        </w:tc>
        <w:tc>
          <w:tcPr>
            <w:tcW w:w="220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Norte de Santander</w:t>
            </w:r>
          </w:p>
        </w:tc>
      </w:tr>
      <w:tr w:rsidR="00886516" w:rsidRPr="00886516" w:rsidTr="00886516">
        <w:trPr>
          <w:trHeight w:val="300"/>
          <w:jc w:val="center"/>
        </w:trPr>
        <w:tc>
          <w:tcPr>
            <w:tcW w:w="198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PRF</w:t>
            </w:r>
          </w:p>
        </w:tc>
        <w:tc>
          <w:tcPr>
            <w:tcW w:w="316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Municipio de Calarcá</w:t>
            </w:r>
          </w:p>
        </w:tc>
        <w:tc>
          <w:tcPr>
            <w:tcW w:w="220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Quindío</w:t>
            </w:r>
          </w:p>
        </w:tc>
      </w:tr>
      <w:tr w:rsidR="00886516" w:rsidRPr="00886516" w:rsidTr="00886516">
        <w:trPr>
          <w:trHeight w:val="300"/>
          <w:jc w:val="center"/>
        </w:trPr>
        <w:tc>
          <w:tcPr>
            <w:tcW w:w="198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PRF</w:t>
            </w:r>
          </w:p>
        </w:tc>
        <w:tc>
          <w:tcPr>
            <w:tcW w:w="316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Gobernación de Sucre</w:t>
            </w:r>
          </w:p>
        </w:tc>
        <w:tc>
          <w:tcPr>
            <w:tcW w:w="220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Sucre</w:t>
            </w:r>
          </w:p>
        </w:tc>
      </w:tr>
      <w:tr w:rsidR="00886516" w:rsidRPr="00886516" w:rsidTr="00886516">
        <w:trPr>
          <w:trHeight w:val="300"/>
          <w:jc w:val="center"/>
        </w:trPr>
        <w:tc>
          <w:tcPr>
            <w:tcW w:w="198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PRF</w:t>
            </w:r>
          </w:p>
        </w:tc>
        <w:tc>
          <w:tcPr>
            <w:tcW w:w="316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Gobernación de Santander</w:t>
            </w:r>
          </w:p>
        </w:tc>
        <w:tc>
          <w:tcPr>
            <w:tcW w:w="220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Santander</w:t>
            </w:r>
          </w:p>
        </w:tc>
      </w:tr>
      <w:tr w:rsidR="00886516" w:rsidRPr="00886516" w:rsidTr="00886516">
        <w:trPr>
          <w:trHeight w:val="300"/>
          <w:jc w:val="center"/>
        </w:trPr>
        <w:tc>
          <w:tcPr>
            <w:tcW w:w="1980" w:type="dxa"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PRF</w:t>
            </w:r>
          </w:p>
        </w:tc>
        <w:tc>
          <w:tcPr>
            <w:tcW w:w="3160" w:type="dxa"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Distrito de Barranquilla</w:t>
            </w:r>
          </w:p>
        </w:tc>
        <w:tc>
          <w:tcPr>
            <w:tcW w:w="220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Atlántico</w:t>
            </w:r>
          </w:p>
        </w:tc>
      </w:tr>
      <w:tr w:rsidR="00886516" w:rsidRPr="00886516" w:rsidTr="00886516">
        <w:trPr>
          <w:trHeight w:val="300"/>
          <w:jc w:val="center"/>
        </w:trPr>
        <w:tc>
          <w:tcPr>
            <w:tcW w:w="1980" w:type="dxa"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PRF</w:t>
            </w:r>
          </w:p>
        </w:tc>
        <w:tc>
          <w:tcPr>
            <w:tcW w:w="3160" w:type="dxa"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Alcaldía de Sabanalarga</w:t>
            </w:r>
          </w:p>
        </w:tc>
        <w:tc>
          <w:tcPr>
            <w:tcW w:w="220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Atlántico</w:t>
            </w:r>
          </w:p>
        </w:tc>
      </w:tr>
      <w:tr w:rsidR="00886516" w:rsidRPr="00886516" w:rsidTr="00886516">
        <w:trPr>
          <w:trHeight w:val="315"/>
          <w:jc w:val="center"/>
        </w:trPr>
        <w:tc>
          <w:tcPr>
            <w:tcW w:w="198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PRF</w:t>
            </w:r>
          </w:p>
        </w:tc>
        <w:tc>
          <w:tcPr>
            <w:tcW w:w="316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Gobernación de Chocó</w:t>
            </w:r>
          </w:p>
        </w:tc>
        <w:tc>
          <w:tcPr>
            <w:tcW w:w="2200" w:type="dxa"/>
            <w:noWrap/>
            <w:hideMark/>
          </w:tcPr>
          <w:p w:rsidR="00886516" w:rsidRPr="00886516" w:rsidRDefault="00886516" w:rsidP="00886516">
            <w:pPr>
              <w:jc w:val="both"/>
            </w:pPr>
            <w:r w:rsidRPr="00886516">
              <w:t>Chocó</w:t>
            </w:r>
          </w:p>
        </w:tc>
      </w:tr>
    </w:tbl>
    <w:p w:rsidR="002743DE" w:rsidRDefault="00B72599" w:rsidP="00B72599">
      <w:pPr>
        <w:spacing w:after="0"/>
        <w:jc w:val="center"/>
      </w:pPr>
      <w:r>
        <w:t>IP: Indagación preliminar</w:t>
      </w:r>
    </w:p>
    <w:p w:rsidR="00B72599" w:rsidRDefault="00B72599" w:rsidP="00B72599">
      <w:pPr>
        <w:spacing w:after="0"/>
        <w:jc w:val="center"/>
      </w:pPr>
      <w:r>
        <w:t>PRF: Proceso de responsabilidad fiscal</w:t>
      </w:r>
    </w:p>
    <w:p w:rsidR="006D082A" w:rsidRDefault="006D082A" w:rsidP="009D623A">
      <w:pPr>
        <w:spacing w:after="0"/>
        <w:jc w:val="both"/>
      </w:pPr>
    </w:p>
    <w:p w:rsidR="009660C1" w:rsidRDefault="009660C1" w:rsidP="009D623A">
      <w:pPr>
        <w:spacing w:after="0"/>
        <w:jc w:val="both"/>
      </w:pPr>
      <w:r>
        <w:t xml:space="preserve">La Contraloría de forma paralela ha advertido sobre riesgos de gestiones ineficientes o de mal uso de los recursos públicos aplicados a la atención de la emergencia, mediante el ejercicio de la función de advertencia. </w:t>
      </w:r>
    </w:p>
    <w:p w:rsidR="009660C1" w:rsidRDefault="009660C1" w:rsidP="009D623A">
      <w:pPr>
        <w:spacing w:after="0"/>
        <w:jc w:val="both"/>
      </w:pPr>
    </w:p>
    <w:p w:rsidR="009660C1" w:rsidRDefault="009660C1" w:rsidP="009D623A">
      <w:pPr>
        <w:spacing w:after="0"/>
        <w:jc w:val="both"/>
      </w:pPr>
      <w:r>
        <w:t xml:space="preserve">El comportamiento por entes </w:t>
      </w:r>
      <w:r w:rsidR="00156329">
        <w:t>nacionales y territoriales ha sido el siguiente:</w:t>
      </w:r>
    </w:p>
    <w:p w:rsidR="009660C1" w:rsidRDefault="009660C1" w:rsidP="009D623A">
      <w:pPr>
        <w:spacing w:after="0"/>
        <w:jc w:val="both"/>
      </w:pPr>
    </w:p>
    <w:p w:rsidR="006D082A" w:rsidRDefault="009660C1" w:rsidP="009660C1">
      <w:pPr>
        <w:spacing w:after="0"/>
        <w:jc w:val="center"/>
      </w:pPr>
      <w:r w:rsidRPr="009660C1">
        <w:rPr>
          <w:noProof/>
        </w:rPr>
        <w:lastRenderedPageBreak/>
        <w:drawing>
          <wp:inline distT="0" distB="0" distL="0" distR="0">
            <wp:extent cx="4029710" cy="2590800"/>
            <wp:effectExtent l="19050" t="0" r="889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60C1" w:rsidRDefault="009660C1" w:rsidP="009D623A">
      <w:pPr>
        <w:spacing w:after="0"/>
        <w:jc w:val="both"/>
      </w:pPr>
    </w:p>
    <w:p w:rsidR="00156329" w:rsidRDefault="00156329" w:rsidP="009D623A">
      <w:pPr>
        <w:spacing w:after="0"/>
        <w:jc w:val="both"/>
      </w:pPr>
      <w:r>
        <w:t>Por temas las funciones de advertencias se distribuyen así:</w:t>
      </w:r>
    </w:p>
    <w:p w:rsidR="009660C1" w:rsidRDefault="009660C1" w:rsidP="00156329">
      <w:pPr>
        <w:spacing w:after="0"/>
        <w:jc w:val="center"/>
      </w:pPr>
      <w:r w:rsidRPr="009660C1">
        <w:rPr>
          <w:noProof/>
        </w:rPr>
        <w:drawing>
          <wp:inline distT="0" distB="0" distL="0" distR="0">
            <wp:extent cx="4605051" cy="251354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348" cy="2514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6329" w:rsidRDefault="00156329" w:rsidP="00156329">
      <w:pPr>
        <w:spacing w:after="0"/>
        <w:jc w:val="center"/>
      </w:pPr>
    </w:p>
    <w:p w:rsidR="00156329" w:rsidRDefault="00156329" w:rsidP="00156329">
      <w:pPr>
        <w:spacing w:after="0"/>
        <w:jc w:val="both"/>
      </w:pPr>
      <w:r>
        <w:t>La relación  de funciones de advertencia es la siguiente:</w:t>
      </w:r>
    </w:p>
    <w:p w:rsidR="009660C1" w:rsidRDefault="009660C1" w:rsidP="009D623A">
      <w:pPr>
        <w:spacing w:after="0"/>
        <w:jc w:val="both"/>
      </w:pPr>
    </w:p>
    <w:tbl>
      <w:tblPr>
        <w:tblW w:w="955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849"/>
        <w:gridCol w:w="3354"/>
        <w:gridCol w:w="3827"/>
      </w:tblGrid>
      <w:tr w:rsidR="009660C1" w:rsidRPr="006B6302" w:rsidTr="00CC5AC0">
        <w:trPr>
          <w:tblHeader/>
          <w:jc w:val="center"/>
        </w:trPr>
        <w:tc>
          <w:tcPr>
            <w:tcW w:w="527" w:type="dxa"/>
            <w:vAlign w:val="center"/>
          </w:tcPr>
          <w:p w:rsidR="009660C1" w:rsidRPr="00144D62" w:rsidRDefault="009660C1" w:rsidP="00CC5A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4D62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849" w:type="dxa"/>
            <w:vAlign w:val="center"/>
          </w:tcPr>
          <w:p w:rsidR="009660C1" w:rsidRPr="00144D62" w:rsidRDefault="009660C1" w:rsidP="00CC5A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4D62">
              <w:rPr>
                <w:rFonts w:ascii="Arial" w:hAnsi="Arial" w:cs="Arial"/>
                <w:b/>
                <w:sz w:val="20"/>
                <w:szCs w:val="20"/>
              </w:rPr>
              <w:t>Radicación</w:t>
            </w:r>
          </w:p>
        </w:tc>
        <w:tc>
          <w:tcPr>
            <w:tcW w:w="3354" w:type="dxa"/>
            <w:vAlign w:val="center"/>
          </w:tcPr>
          <w:p w:rsidR="009660C1" w:rsidRPr="00144D62" w:rsidRDefault="009660C1" w:rsidP="00CC5A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4D62">
              <w:rPr>
                <w:rFonts w:ascii="Arial" w:hAnsi="Arial" w:cs="Arial"/>
                <w:b/>
                <w:sz w:val="20"/>
                <w:szCs w:val="20"/>
              </w:rPr>
              <w:t>Entidad Destinataria</w:t>
            </w:r>
          </w:p>
        </w:tc>
        <w:tc>
          <w:tcPr>
            <w:tcW w:w="3827" w:type="dxa"/>
            <w:vAlign w:val="center"/>
          </w:tcPr>
          <w:p w:rsidR="009660C1" w:rsidRPr="00144D62" w:rsidRDefault="009660C1" w:rsidP="00CC5A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4D62">
              <w:rPr>
                <w:rFonts w:ascii="Arial" w:hAnsi="Arial" w:cs="Arial"/>
                <w:b/>
                <w:sz w:val="20"/>
                <w:szCs w:val="20"/>
              </w:rPr>
              <w:t>Asunto</w:t>
            </w:r>
          </w:p>
        </w:tc>
      </w:tr>
      <w:tr w:rsidR="009660C1" w:rsidRPr="006B6302" w:rsidTr="00CC5AC0">
        <w:trPr>
          <w:tblHeader/>
          <w:jc w:val="center"/>
        </w:trPr>
        <w:tc>
          <w:tcPr>
            <w:tcW w:w="5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9" w:type="dxa"/>
            <w:vAlign w:val="center"/>
          </w:tcPr>
          <w:p w:rsidR="009660C1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EE69793</w:t>
            </w:r>
          </w:p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0144D62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9/</w:t>
            </w:r>
            <w:r w:rsidRPr="00144D62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3354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 Nacional Ambiental, Sistema Nacional para la Atención y Prevención de Desastres, Min Agricultura, Min Transporte, INVIAS, CORMAGDALENA, Alcaldes y Gobernadores, INAT.</w:t>
            </w:r>
          </w:p>
        </w:tc>
        <w:tc>
          <w:tcPr>
            <w:tcW w:w="38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Agilización de las obras relacionadas con mitigación de inundaciones, canal del Dique y riesgo ecológico.</w:t>
            </w:r>
          </w:p>
        </w:tc>
      </w:tr>
      <w:tr w:rsidR="009660C1" w:rsidRPr="006B6302" w:rsidTr="00CC5AC0">
        <w:trPr>
          <w:tblHeader/>
          <w:jc w:val="center"/>
        </w:trPr>
        <w:tc>
          <w:tcPr>
            <w:tcW w:w="5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9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EE10419 16/02/2011</w:t>
            </w:r>
          </w:p>
        </w:tc>
        <w:tc>
          <w:tcPr>
            <w:tcW w:w="3354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Departamento de Casanare</w:t>
            </w:r>
          </w:p>
        </w:tc>
        <w:tc>
          <w:tcPr>
            <w:tcW w:w="38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Contrato de mandato, Fase de Atención Humanitaria – CRUZ ROJA COLOMBIANA</w:t>
            </w:r>
          </w:p>
        </w:tc>
      </w:tr>
      <w:tr w:rsidR="009660C1" w:rsidRPr="006B6302" w:rsidTr="00CC5AC0">
        <w:trPr>
          <w:trHeight w:val="312"/>
          <w:tblHeader/>
          <w:jc w:val="center"/>
        </w:trPr>
        <w:tc>
          <w:tcPr>
            <w:tcW w:w="5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9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EE10414 16/02/2011</w:t>
            </w:r>
          </w:p>
        </w:tc>
        <w:tc>
          <w:tcPr>
            <w:tcW w:w="3354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Departamento de Cesar</w:t>
            </w:r>
          </w:p>
        </w:tc>
        <w:tc>
          <w:tcPr>
            <w:tcW w:w="38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Contrato 2011/04/01 Fase de Atención Humanitaria -  CLUB DE LEONES</w:t>
            </w:r>
          </w:p>
        </w:tc>
      </w:tr>
      <w:tr w:rsidR="009660C1" w:rsidRPr="006B6302" w:rsidTr="00CC5AC0">
        <w:trPr>
          <w:tblHeader/>
          <w:jc w:val="center"/>
        </w:trPr>
        <w:tc>
          <w:tcPr>
            <w:tcW w:w="5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9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EE10418 16/02/2011</w:t>
            </w:r>
          </w:p>
        </w:tc>
        <w:tc>
          <w:tcPr>
            <w:tcW w:w="3354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Departamento de Santander</w:t>
            </w:r>
          </w:p>
        </w:tc>
        <w:tc>
          <w:tcPr>
            <w:tcW w:w="38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Contrato de mandato 028//2011 – CAJASAN</w:t>
            </w:r>
          </w:p>
        </w:tc>
      </w:tr>
      <w:tr w:rsidR="009660C1" w:rsidRPr="006B6302" w:rsidTr="00CC5AC0">
        <w:trPr>
          <w:tblHeader/>
          <w:jc w:val="center"/>
        </w:trPr>
        <w:tc>
          <w:tcPr>
            <w:tcW w:w="5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9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EE10416 16/02/2011</w:t>
            </w:r>
          </w:p>
        </w:tc>
        <w:tc>
          <w:tcPr>
            <w:tcW w:w="3354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Departamento de Risaralda</w:t>
            </w:r>
          </w:p>
        </w:tc>
        <w:tc>
          <w:tcPr>
            <w:tcW w:w="38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Contrato 090/2011, Fase de Atención Humanitaria – CRUZ ROJA COLOMBIANA</w:t>
            </w:r>
          </w:p>
        </w:tc>
      </w:tr>
      <w:tr w:rsidR="009660C1" w:rsidRPr="006B6302" w:rsidTr="00CC5AC0">
        <w:trPr>
          <w:tblHeader/>
          <w:jc w:val="center"/>
        </w:trPr>
        <w:tc>
          <w:tcPr>
            <w:tcW w:w="5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9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EE10417 16/02/2011</w:t>
            </w:r>
          </w:p>
        </w:tc>
        <w:tc>
          <w:tcPr>
            <w:tcW w:w="3354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Departamento de Boyacá</w:t>
            </w:r>
          </w:p>
        </w:tc>
        <w:tc>
          <w:tcPr>
            <w:tcW w:w="38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Contrato de mandato, Fase de Atención Humanitaria – CRUZ ROJA COLOMBIANA</w:t>
            </w:r>
          </w:p>
        </w:tc>
      </w:tr>
      <w:tr w:rsidR="009660C1" w:rsidRPr="006B6302" w:rsidTr="00CC5AC0">
        <w:trPr>
          <w:tblHeader/>
          <w:jc w:val="center"/>
        </w:trPr>
        <w:tc>
          <w:tcPr>
            <w:tcW w:w="5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9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EE10422 16/02/2011</w:t>
            </w:r>
          </w:p>
        </w:tc>
        <w:tc>
          <w:tcPr>
            <w:tcW w:w="3354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Departamento de Sucre</w:t>
            </w:r>
          </w:p>
        </w:tc>
        <w:tc>
          <w:tcPr>
            <w:tcW w:w="38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Contrato de mandato, Fase de Atención Humanitaria – CRUZ ROJA COLOMBIANA</w:t>
            </w:r>
          </w:p>
        </w:tc>
      </w:tr>
      <w:tr w:rsidR="009660C1" w:rsidRPr="006B6302" w:rsidTr="00CC5AC0">
        <w:trPr>
          <w:tblHeader/>
          <w:jc w:val="center"/>
        </w:trPr>
        <w:tc>
          <w:tcPr>
            <w:tcW w:w="5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9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EE12379 24/02/2011</w:t>
            </w:r>
          </w:p>
        </w:tc>
        <w:tc>
          <w:tcPr>
            <w:tcW w:w="3354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Departamento de Sucre</w:t>
            </w:r>
          </w:p>
        </w:tc>
        <w:tc>
          <w:tcPr>
            <w:tcW w:w="38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 xml:space="preserve">Obras en el municipio de Jagual, </w:t>
            </w:r>
            <w:proofErr w:type="spellStart"/>
            <w:r w:rsidRPr="00144D62">
              <w:rPr>
                <w:rFonts w:ascii="Arial" w:hAnsi="Arial" w:cs="Arial"/>
                <w:sz w:val="20"/>
                <w:szCs w:val="20"/>
              </w:rPr>
              <w:t>Mojana</w:t>
            </w:r>
            <w:proofErr w:type="spellEnd"/>
            <w:r w:rsidRPr="00144D62">
              <w:rPr>
                <w:rFonts w:ascii="Arial" w:hAnsi="Arial" w:cs="Arial"/>
                <w:sz w:val="20"/>
                <w:szCs w:val="20"/>
              </w:rPr>
              <w:t xml:space="preserve"> Sucreña – Boca del cura y cabecera del Municipio de </w:t>
            </w:r>
            <w:proofErr w:type="spellStart"/>
            <w:r w:rsidRPr="00144D62">
              <w:rPr>
                <w:rFonts w:ascii="Arial" w:hAnsi="Arial" w:cs="Arial"/>
                <w:sz w:val="20"/>
                <w:szCs w:val="20"/>
              </w:rPr>
              <w:t>Achí</w:t>
            </w:r>
            <w:proofErr w:type="spellEnd"/>
            <w:r w:rsidRPr="00144D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660C1" w:rsidRPr="006B6302" w:rsidTr="00CC5AC0">
        <w:trPr>
          <w:tblHeader/>
          <w:jc w:val="center"/>
        </w:trPr>
        <w:tc>
          <w:tcPr>
            <w:tcW w:w="5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49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NA    24/03/11</w:t>
            </w:r>
          </w:p>
        </w:tc>
        <w:tc>
          <w:tcPr>
            <w:tcW w:w="3354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Departamento de Sucre</w:t>
            </w:r>
          </w:p>
        </w:tc>
        <w:tc>
          <w:tcPr>
            <w:tcW w:w="38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Contrato No. 1 y 2 –  CRUZ ROJA COLOMBIANA</w:t>
            </w:r>
          </w:p>
        </w:tc>
      </w:tr>
      <w:tr w:rsidR="009660C1" w:rsidRPr="006B6302" w:rsidTr="00CC5AC0">
        <w:trPr>
          <w:tblHeader/>
          <w:jc w:val="center"/>
        </w:trPr>
        <w:tc>
          <w:tcPr>
            <w:tcW w:w="5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9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EE11136 18/02/2011</w:t>
            </w:r>
          </w:p>
        </w:tc>
        <w:tc>
          <w:tcPr>
            <w:tcW w:w="3354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Departamento de Córdoba</w:t>
            </w:r>
          </w:p>
        </w:tc>
        <w:tc>
          <w:tcPr>
            <w:tcW w:w="38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Contrato para la Operación Fase de Atención Humanitaria – CAMARA DE COMERCIO DE MONTERIA</w:t>
            </w:r>
          </w:p>
        </w:tc>
      </w:tr>
      <w:tr w:rsidR="009660C1" w:rsidRPr="006B6302" w:rsidTr="00CC5AC0">
        <w:trPr>
          <w:tblHeader/>
          <w:jc w:val="center"/>
        </w:trPr>
        <w:tc>
          <w:tcPr>
            <w:tcW w:w="5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9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EE10421 16/02/2011</w:t>
            </w:r>
          </w:p>
        </w:tc>
        <w:tc>
          <w:tcPr>
            <w:tcW w:w="3354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Departamento del Valle del Cauca</w:t>
            </w:r>
          </w:p>
        </w:tc>
        <w:tc>
          <w:tcPr>
            <w:tcW w:w="38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Contrato 060/2011 Fase de Atención Humanitaria - CORPORIESGOS</w:t>
            </w:r>
          </w:p>
        </w:tc>
      </w:tr>
      <w:tr w:rsidR="009660C1" w:rsidRPr="006B6302" w:rsidTr="00CC5AC0">
        <w:trPr>
          <w:tblHeader/>
          <w:jc w:val="center"/>
        </w:trPr>
        <w:tc>
          <w:tcPr>
            <w:tcW w:w="5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9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EE13579 28/02/2011</w:t>
            </w:r>
          </w:p>
        </w:tc>
        <w:tc>
          <w:tcPr>
            <w:tcW w:w="3354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Departamento de Magdalena</w:t>
            </w:r>
          </w:p>
        </w:tc>
        <w:tc>
          <w:tcPr>
            <w:tcW w:w="38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Convenio ejecución de recursos Ola Invernal – DEFENSA CIVIL</w:t>
            </w:r>
          </w:p>
        </w:tc>
      </w:tr>
      <w:tr w:rsidR="009660C1" w:rsidRPr="006B6302" w:rsidTr="00CC5AC0">
        <w:trPr>
          <w:tblHeader/>
          <w:jc w:val="center"/>
        </w:trPr>
        <w:tc>
          <w:tcPr>
            <w:tcW w:w="5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49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EE11133 18/02/2011</w:t>
            </w:r>
          </w:p>
        </w:tc>
        <w:tc>
          <w:tcPr>
            <w:tcW w:w="3354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Departamento del Atlántico</w:t>
            </w:r>
          </w:p>
        </w:tc>
        <w:tc>
          <w:tcPr>
            <w:tcW w:w="38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Campo de la cruz – Canal del dique</w:t>
            </w:r>
          </w:p>
        </w:tc>
      </w:tr>
      <w:tr w:rsidR="009660C1" w:rsidRPr="006B6302" w:rsidTr="00CC5AC0">
        <w:trPr>
          <w:tblHeader/>
          <w:jc w:val="center"/>
        </w:trPr>
        <w:tc>
          <w:tcPr>
            <w:tcW w:w="5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49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EE16923 14/03/2011</w:t>
            </w:r>
          </w:p>
        </w:tc>
        <w:tc>
          <w:tcPr>
            <w:tcW w:w="3354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Departamento del Chocó</w:t>
            </w:r>
          </w:p>
        </w:tc>
        <w:tc>
          <w:tcPr>
            <w:tcW w:w="38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Contrato operación No. 032 del 25/02/11 y contrato No. 09 del 11/02/11 - CONFACHOCO</w:t>
            </w:r>
          </w:p>
        </w:tc>
      </w:tr>
      <w:tr w:rsidR="009660C1" w:rsidRPr="006B6302" w:rsidTr="00CC5AC0">
        <w:trPr>
          <w:tblHeader/>
          <w:jc w:val="center"/>
        </w:trPr>
        <w:tc>
          <w:tcPr>
            <w:tcW w:w="5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49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EE28539 26/04/2011</w:t>
            </w:r>
          </w:p>
        </w:tc>
        <w:tc>
          <w:tcPr>
            <w:tcW w:w="3354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 xml:space="preserve">INVIAS </w:t>
            </w:r>
          </w:p>
        </w:tc>
        <w:tc>
          <w:tcPr>
            <w:tcW w:w="38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En la MOJANA obras de rehabilitación y reparación en el Chorro de la Boca del Cura y el Chorro de Santa Ana</w:t>
            </w:r>
          </w:p>
        </w:tc>
      </w:tr>
      <w:tr w:rsidR="009660C1" w:rsidRPr="006B6302" w:rsidTr="00CC5AC0">
        <w:trPr>
          <w:tblHeader/>
          <w:jc w:val="center"/>
        </w:trPr>
        <w:tc>
          <w:tcPr>
            <w:tcW w:w="5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9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EE10411 16/02/2011</w:t>
            </w:r>
          </w:p>
        </w:tc>
        <w:tc>
          <w:tcPr>
            <w:tcW w:w="3354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Departamento de Antioquia</w:t>
            </w:r>
          </w:p>
        </w:tc>
        <w:tc>
          <w:tcPr>
            <w:tcW w:w="38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Contrato 2011/SS/2601, Fase de Atención Humanitaria – CRUZ ROJA COLOMBIANA</w:t>
            </w:r>
          </w:p>
        </w:tc>
      </w:tr>
      <w:tr w:rsidR="009660C1" w:rsidRPr="006B6302" w:rsidTr="00CC5AC0">
        <w:trPr>
          <w:tblHeader/>
          <w:jc w:val="center"/>
        </w:trPr>
        <w:tc>
          <w:tcPr>
            <w:tcW w:w="5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49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EE10415 16/02/2011</w:t>
            </w:r>
          </w:p>
        </w:tc>
        <w:tc>
          <w:tcPr>
            <w:tcW w:w="3354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Municipio de Cúcuta</w:t>
            </w:r>
          </w:p>
        </w:tc>
        <w:tc>
          <w:tcPr>
            <w:tcW w:w="38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Contrato de mandato,  Fase de Atención Humanitaria - CORPRODICO</w:t>
            </w:r>
          </w:p>
        </w:tc>
      </w:tr>
      <w:tr w:rsidR="009660C1" w:rsidRPr="006B6302" w:rsidTr="00CC5AC0">
        <w:trPr>
          <w:tblHeader/>
          <w:jc w:val="center"/>
        </w:trPr>
        <w:tc>
          <w:tcPr>
            <w:tcW w:w="5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49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EE4838 01/02/2011</w:t>
            </w:r>
          </w:p>
        </w:tc>
        <w:tc>
          <w:tcPr>
            <w:tcW w:w="3354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Departamento de Atlántico</w:t>
            </w:r>
          </w:p>
        </w:tc>
        <w:tc>
          <w:tcPr>
            <w:tcW w:w="38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 xml:space="preserve">Carretera ingreso a Campo de la Cruz y escuela las Flores se encuentran personas ubicadas sin atención ni apoyo médico. </w:t>
            </w:r>
          </w:p>
        </w:tc>
      </w:tr>
      <w:tr w:rsidR="009660C1" w:rsidRPr="006B6302" w:rsidTr="00CC5AC0">
        <w:trPr>
          <w:tblHeader/>
          <w:jc w:val="center"/>
        </w:trPr>
        <w:tc>
          <w:tcPr>
            <w:tcW w:w="5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49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EE10412 16/02/2011</w:t>
            </w:r>
          </w:p>
        </w:tc>
        <w:tc>
          <w:tcPr>
            <w:tcW w:w="3354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Departamento de Atlántico</w:t>
            </w:r>
          </w:p>
        </w:tc>
        <w:tc>
          <w:tcPr>
            <w:tcW w:w="38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Convenio 104-2011-00007 para la Fase de Atención Humanitaria -  COMFAMILIAR</w:t>
            </w:r>
          </w:p>
        </w:tc>
      </w:tr>
      <w:tr w:rsidR="009660C1" w:rsidRPr="006B6302" w:rsidTr="00CC5AC0">
        <w:trPr>
          <w:tblHeader/>
          <w:jc w:val="center"/>
        </w:trPr>
        <w:tc>
          <w:tcPr>
            <w:tcW w:w="5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9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EE20248 23/03/2011</w:t>
            </w:r>
          </w:p>
        </w:tc>
        <w:tc>
          <w:tcPr>
            <w:tcW w:w="3354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INVÍAS</w:t>
            </w:r>
          </w:p>
        </w:tc>
        <w:tc>
          <w:tcPr>
            <w:tcW w:w="38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Ejecución del Convenio 019/2011</w:t>
            </w:r>
          </w:p>
        </w:tc>
      </w:tr>
      <w:tr w:rsidR="009660C1" w:rsidRPr="006B6302" w:rsidTr="00CC5AC0">
        <w:trPr>
          <w:tblHeader/>
          <w:jc w:val="center"/>
        </w:trPr>
        <w:tc>
          <w:tcPr>
            <w:tcW w:w="5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49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EE10413 16/02/2011</w:t>
            </w:r>
          </w:p>
        </w:tc>
        <w:tc>
          <w:tcPr>
            <w:tcW w:w="3354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Departamento de Cauca</w:t>
            </w:r>
          </w:p>
        </w:tc>
        <w:tc>
          <w:tcPr>
            <w:tcW w:w="38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Contrato de mandato, Fase de Atención Humanitaria -  CRUZ ROJA COLOMBIANA</w:t>
            </w:r>
          </w:p>
        </w:tc>
      </w:tr>
      <w:tr w:rsidR="009660C1" w:rsidRPr="006B6302" w:rsidTr="00CC5AC0">
        <w:trPr>
          <w:tblHeader/>
          <w:jc w:val="center"/>
        </w:trPr>
        <w:tc>
          <w:tcPr>
            <w:tcW w:w="5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49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EE10420 16/02/2011</w:t>
            </w:r>
          </w:p>
        </w:tc>
        <w:tc>
          <w:tcPr>
            <w:tcW w:w="3354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Departamento de Guajira</w:t>
            </w:r>
          </w:p>
        </w:tc>
        <w:tc>
          <w:tcPr>
            <w:tcW w:w="38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Contrato de mandato,  Fase de Atención Humanitaria - COMFAGUAJIRA</w:t>
            </w:r>
          </w:p>
        </w:tc>
      </w:tr>
      <w:tr w:rsidR="009660C1" w:rsidRPr="006B6302" w:rsidTr="00CC5AC0">
        <w:trPr>
          <w:tblHeader/>
          <w:jc w:val="center"/>
        </w:trPr>
        <w:tc>
          <w:tcPr>
            <w:tcW w:w="5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49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EE12389 24/02/2011</w:t>
            </w:r>
          </w:p>
        </w:tc>
        <w:tc>
          <w:tcPr>
            <w:tcW w:w="3354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Municipio de Cúcuta</w:t>
            </w:r>
          </w:p>
        </w:tc>
        <w:tc>
          <w:tcPr>
            <w:tcW w:w="38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Contrato para la Operación,  Fase de Atención Humanitaria - CORPRODICO</w:t>
            </w:r>
          </w:p>
        </w:tc>
      </w:tr>
      <w:tr w:rsidR="009660C1" w:rsidRPr="006B6302" w:rsidTr="00CC5AC0">
        <w:trPr>
          <w:tblHeader/>
          <w:jc w:val="center"/>
        </w:trPr>
        <w:tc>
          <w:tcPr>
            <w:tcW w:w="5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49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EE14651 04/03/2011</w:t>
            </w:r>
          </w:p>
        </w:tc>
        <w:tc>
          <w:tcPr>
            <w:tcW w:w="3354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Departamento de Antioquia</w:t>
            </w:r>
          </w:p>
        </w:tc>
        <w:tc>
          <w:tcPr>
            <w:tcW w:w="38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Contrato de mandato 2011-SS-26-001,  Fase de Atención Humanitaria -  CRUZ ROJA COLOMBIANA</w:t>
            </w:r>
          </w:p>
        </w:tc>
      </w:tr>
      <w:tr w:rsidR="009660C1" w:rsidRPr="006B6302" w:rsidTr="00CC5AC0">
        <w:trPr>
          <w:tblHeader/>
          <w:jc w:val="center"/>
        </w:trPr>
        <w:tc>
          <w:tcPr>
            <w:tcW w:w="5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49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EE14668 04/03/2011</w:t>
            </w:r>
          </w:p>
        </w:tc>
        <w:tc>
          <w:tcPr>
            <w:tcW w:w="3354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Departamento de Antioquia</w:t>
            </w:r>
          </w:p>
        </w:tc>
        <w:tc>
          <w:tcPr>
            <w:tcW w:w="38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Contrato de mandato 2011-SS-26-001,  Fase de Atención Humanitaria – CRUZ ROJA COLOMBIANA</w:t>
            </w:r>
          </w:p>
        </w:tc>
      </w:tr>
      <w:tr w:rsidR="009660C1" w:rsidRPr="006B6302" w:rsidTr="00CC5AC0">
        <w:trPr>
          <w:tblHeader/>
          <w:jc w:val="center"/>
        </w:trPr>
        <w:tc>
          <w:tcPr>
            <w:tcW w:w="5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49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EE21569 28/03/2011</w:t>
            </w:r>
          </w:p>
        </w:tc>
        <w:tc>
          <w:tcPr>
            <w:tcW w:w="3354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Operadores de recursos FNC</w:t>
            </w:r>
          </w:p>
        </w:tc>
        <w:tc>
          <w:tcPr>
            <w:tcW w:w="38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Contratos para la Operación,  Fase de Atención Humanitaria</w:t>
            </w:r>
          </w:p>
        </w:tc>
      </w:tr>
      <w:tr w:rsidR="009660C1" w:rsidRPr="006B6302" w:rsidTr="00CC5AC0">
        <w:trPr>
          <w:tblHeader/>
          <w:jc w:val="center"/>
        </w:trPr>
        <w:tc>
          <w:tcPr>
            <w:tcW w:w="5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49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EE22510 31/03/2011</w:t>
            </w:r>
          </w:p>
        </w:tc>
        <w:tc>
          <w:tcPr>
            <w:tcW w:w="3354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DANE</w:t>
            </w:r>
          </w:p>
        </w:tc>
        <w:tc>
          <w:tcPr>
            <w:tcW w:w="38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Registro Unificado de Damnificados Ola Invernal 2010-2011</w:t>
            </w:r>
          </w:p>
        </w:tc>
      </w:tr>
      <w:tr w:rsidR="009660C1" w:rsidRPr="006B6302" w:rsidTr="00CC5AC0">
        <w:trPr>
          <w:tblHeader/>
          <w:jc w:val="center"/>
        </w:trPr>
        <w:tc>
          <w:tcPr>
            <w:tcW w:w="5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49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EE13956 02/03/2011</w:t>
            </w:r>
          </w:p>
        </w:tc>
        <w:tc>
          <w:tcPr>
            <w:tcW w:w="3354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Ministerio de Ambiente, Vivienda y Desarrollo Territorial, Ministerio de Transporte, CORMAGDALENA, Gobernación de Atlántico, Gobernación de Bolívar</w:t>
            </w:r>
          </w:p>
        </w:tc>
        <w:tc>
          <w:tcPr>
            <w:tcW w:w="38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Ruptura del Canal del Dique</w:t>
            </w:r>
          </w:p>
        </w:tc>
      </w:tr>
      <w:tr w:rsidR="009660C1" w:rsidRPr="006B6302" w:rsidTr="00CC5AC0">
        <w:trPr>
          <w:tblHeader/>
          <w:jc w:val="center"/>
        </w:trPr>
        <w:tc>
          <w:tcPr>
            <w:tcW w:w="5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49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EE86219 29/12/2010</w:t>
            </w:r>
          </w:p>
        </w:tc>
        <w:tc>
          <w:tcPr>
            <w:tcW w:w="3354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Ministerio de Ambiente, Vivienda y Desarrollo Territorial, Corporación Autónoma Regional del Valle del Cauca, Municipio de Santiago de Cali</w:t>
            </w:r>
          </w:p>
        </w:tc>
        <w:tc>
          <w:tcPr>
            <w:tcW w:w="38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 xml:space="preserve">Riesgos relacionados con el </w:t>
            </w:r>
            <w:proofErr w:type="spellStart"/>
            <w:r w:rsidRPr="00144D62">
              <w:rPr>
                <w:rFonts w:ascii="Arial" w:hAnsi="Arial" w:cs="Arial"/>
                <w:sz w:val="20"/>
                <w:szCs w:val="20"/>
              </w:rPr>
              <w:t>jarillón</w:t>
            </w:r>
            <w:proofErr w:type="spellEnd"/>
            <w:r w:rsidRPr="00144D62">
              <w:rPr>
                <w:rFonts w:ascii="Arial" w:hAnsi="Arial" w:cs="Arial"/>
                <w:sz w:val="20"/>
                <w:szCs w:val="20"/>
              </w:rPr>
              <w:t xml:space="preserve"> del río Cauca</w:t>
            </w:r>
          </w:p>
        </w:tc>
      </w:tr>
      <w:tr w:rsidR="009660C1" w:rsidRPr="006B6302" w:rsidTr="00CC5AC0">
        <w:trPr>
          <w:tblHeader/>
          <w:jc w:val="center"/>
        </w:trPr>
        <w:tc>
          <w:tcPr>
            <w:tcW w:w="5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9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EE86223 29/12/2010</w:t>
            </w:r>
          </w:p>
        </w:tc>
        <w:tc>
          <w:tcPr>
            <w:tcW w:w="3354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Corporación Autónoma Regional del Valle del Cauca</w:t>
            </w:r>
          </w:p>
        </w:tc>
        <w:tc>
          <w:tcPr>
            <w:tcW w:w="38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 xml:space="preserve">Desbordamiento del río </w:t>
            </w:r>
            <w:proofErr w:type="spellStart"/>
            <w:r w:rsidRPr="00144D62">
              <w:rPr>
                <w:rFonts w:ascii="Arial" w:hAnsi="Arial" w:cs="Arial"/>
                <w:sz w:val="20"/>
                <w:szCs w:val="20"/>
              </w:rPr>
              <w:t>Frayle</w:t>
            </w:r>
            <w:proofErr w:type="spellEnd"/>
            <w:r w:rsidRPr="00144D62">
              <w:rPr>
                <w:rFonts w:ascii="Arial" w:hAnsi="Arial" w:cs="Arial"/>
                <w:sz w:val="20"/>
                <w:szCs w:val="20"/>
              </w:rPr>
              <w:t xml:space="preserve"> – Municipio de Palmira</w:t>
            </w:r>
          </w:p>
        </w:tc>
      </w:tr>
      <w:tr w:rsidR="009660C1" w:rsidRPr="006B6302" w:rsidTr="00CC5AC0">
        <w:trPr>
          <w:tblHeader/>
          <w:jc w:val="center"/>
        </w:trPr>
        <w:tc>
          <w:tcPr>
            <w:tcW w:w="5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49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EE4839 01/02/2011</w:t>
            </w:r>
          </w:p>
        </w:tc>
        <w:tc>
          <w:tcPr>
            <w:tcW w:w="3354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Corporaciones Autónomas Regionales</w:t>
            </w:r>
          </w:p>
        </w:tc>
        <w:tc>
          <w:tcPr>
            <w:tcW w:w="38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 xml:space="preserve">Obras de reparación de </w:t>
            </w:r>
            <w:proofErr w:type="spellStart"/>
            <w:r w:rsidRPr="00144D62">
              <w:rPr>
                <w:rFonts w:ascii="Arial" w:hAnsi="Arial" w:cs="Arial"/>
                <w:sz w:val="20"/>
                <w:szCs w:val="20"/>
              </w:rPr>
              <w:t>jarillones</w:t>
            </w:r>
            <w:proofErr w:type="spellEnd"/>
          </w:p>
        </w:tc>
      </w:tr>
      <w:tr w:rsidR="009660C1" w:rsidRPr="006B6302" w:rsidTr="00CC5AC0">
        <w:trPr>
          <w:tblHeader/>
          <w:jc w:val="center"/>
        </w:trPr>
        <w:tc>
          <w:tcPr>
            <w:tcW w:w="5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9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EE30254</w:t>
            </w:r>
          </w:p>
        </w:tc>
        <w:tc>
          <w:tcPr>
            <w:tcW w:w="3354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Departamento de Bolívar</w:t>
            </w:r>
          </w:p>
        </w:tc>
        <w:tc>
          <w:tcPr>
            <w:tcW w:w="3827" w:type="dxa"/>
            <w:vAlign w:val="center"/>
          </w:tcPr>
          <w:p w:rsidR="009660C1" w:rsidRPr="00144D62" w:rsidRDefault="009660C1" w:rsidP="00CC5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D62">
              <w:rPr>
                <w:rFonts w:ascii="Arial" w:hAnsi="Arial" w:cs="Arial"/>
                <w:sz w:val="20"/>
                <w:szCs w:val="20"/>
              </w:rPr>
              <w:t>Sobrecostos en el convenio COMFAMILIAR</w:t>
            </w:r>
          </w:p>
        </w:tc>
      </w:tr>
    </w:tbl>
    <w:p w:rsidR="009660C1" w:rsidRDefault="009660C1" w:rsidP="009D623A">
      <w:pPr>
        <w:spacing w:after="0"/>
        <w:jc w:val="both"/>
      </w:pPr>
    </w:p>
    <w:p w:rsidR="009660C1" w:rsidRDefault="009660C1" w:rsidP="009D623A">
      <w:pPr>
        <w:spacing w:after="0"/>
        <w:jc w:val="both"/>
      </w:pPr>
    </w:p>
    <w:p w:rsidR="008F6E08" w:rsidRPr="00335B39" w:rsidRDefault="008F6E08" w:rsidP="00273E99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335B39">
        <w:rPr>
          <w:b/>
        </w:rPr>
        <w:t>¿Qué autoridades están comprometidas en estas investigaciones?</w:t>
      </w:r>
    </w:p>
    <w:p w:rsidR="00335B39" w:rsidRDefault="00335B39" w:rsidP="00273E99">
      <w:pPr>
        <w:pStyle w:val="Prrafodelista"/>
        <w:spacing w:after="0"/>
        <w:ind w:left="360"/>
        <w:jc w:val="both"/>
      </w:pPr>
    </w:p>
    <w:p w:rsidR="00335B39" w:rsidRDefault="00273E99" w:rsidP="00273E99">
      <w:pPr>
        <w:spacing w:after="0"/>
        <w:jc w:val="both"/>
      </w:pPr>
      <w:r>
        <w:t xml:space="preserve">En tanto las investigaciones van en curso y existe reserva, esta información no es posible suministrarla. </w:t>
      </w:r>
    </w:p>
    <w:p w:rsidR="00335B39" w:rsidRDefault="00335B39" w:rsidP="00C4412D">
      <w:pPr>
        <w:spacing w:after="0"/>
        <w:jc w:val="both"/>
      </w:pPr>
    </w:p>
    <w:p w:rsidR="00C4412D" w:rsidRDefault="00C4412D" w:rsidP="00C4412D">
      <w:pPr>
        <w:spacing w:after="0"/>
        <w:jc w:val="both"/>
      </w:pPr>
      <w:r>
        <w:t xml:space="preserve">Las actuaciones están dirigidas a establecer las responsabilidades fiscales de los actores dentro del Sistema Nacional de Prevención y Atención de Desastres, tales como: </w:t>
      </w:r>
    </w:p>
    <w:p w:rsidR="00C4412D" w:rsidRDefault="00C4412D" w:rsidP="00C4412D">
      <w:pPr>
        <w:spacing w:after="0"/>
        <w:jc w:val="both"/>
      </w:pPr>
    </w:p>
    <w:p w:rsidR="00C4412D" w:rsidRDefault="00C4412D" w:rsidP="00C4412D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Gobernadores, como presidentes de los comités regionales para la prevención y atención de desastres. </w:t>
      </w:r>
    </w:p>
    <w:p w:rsidR="00C4412D" w:rsidRDefault="00C4412D" w:rsidP="00C4412D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Alcaldes, como presidentes de los comités locales para la prevención y atención de desastres. </w:t>
      </w:r>
    </w:p>
    <w:p w:rsidR="00C4412D" w:rsidRDefault="00C4412D" w:rsidP="00C4412D">
      <w:pPr>
        <w:pStyle w:val="Prrafodelista"/>
        <w:numPr>
          <w:ilvl w:val="0"/>
          <w:numId w:val="3"/>
        </w:numPr>
        <w:spacing w:after="0"/>
        <w:jc w:val="both"/>
      </w:pPr>
      <w:r>
        <w:t>Operadores de ayudas de humanitarias.</w:t>
      </w:r>
    </w:p>
    <w:p w:rsidR="00C4412D" w:rsidRDefault="00C4412D" w:rsidP="00C4412D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Contratistas de obras. </w:t>
      </w:r>
    </w:p>
    <w:p w:rsidR="00C4412D" w:rsidRDefault="00C4412D" w:rsidP="00C4412D">
      <w:pPr>
        <w:pStyle w:val="Prrafodelista"/>
        <w:numPr>
          <w:ilvl w:val="0"/>
          <w:numId w:val="3"/>
        </w:numPr>
        <w:spacing w:after="0"/>
        <w:jc w:val="both"/>
      </w:pPr>
      <w:r>
        <w:t>Interventores.</w:t>
      </w:r>
    </w:p>
    <w:p w:rsidR="00C4412D" w:rsidRDefault="00C4412D" w:rsidP="00C4412D">
      <w:pPr>
        <w:spacing w:after="0"/>
        <w:jc w:val="both"/>
      </w:pPr>
    </w:p>
    <w:p w:rsidR="00C4412D" w:rsidRDefault="00C4412D" w:rsidP="00C4412D">
      <w:pPr>
        <w:spacing w:after="0"/>
        <w:jc w:val="both"/>
      </w:pPr>
    </w:p>
    <w:p w:rsidR="008F6E08" w:rsidRPr="00335B39" w:rsidRDefault="008F6E08" w:rsidP="00273E99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335B39">
        <w:rPr>
          <w:b/>
        </w:rPr>
        <w:t xml:space="preserve">Sobre las denuncias que </w:t>
      </w:r>
      <w:r w:rsidR="00B03664" w:rsidRPr="00335B39">
        <w:rPr>
          <w:b/>
        </w:rPr>
        <w:t xml:space="preserve">han circulado en el sentido de que se estaría cobrando dinero a los damnificados en el municipio de El Banco, Magdalena, ¿qué ha podido establecer su despacho? </w:t>
      </w:r>
    </w:p>
    <w:p w:rsidR="00335B39" w:rsidRDefault="00335B39" w:rsidP="00335B39">
      <w:pPr>
        <w:spacing w:after="0"/>
        <w:jc w:val="both"/>
      </w:pPr>
    </w:p>
    <w:p w:rsidR="008618D1" w:rsidRDefault="008618D1" w:rsidP="00335B39">
      <w:pPr>
        <w:spacing w:after="0"/>
        <w:jc w:val="both"/>
      </w:pPr>
      <w:r>
        <w:t>En atención al asunto relacionado con posibles cobros de dineros a damnificados en el municipio d</w:t>
      </w:r>
      <w:r w:rsidR="00352D7A">
        <w:t>e E</w:t>
      </w:r>
      <w:r>
        <w:t>l Banco</w:t>
      </w:r>
      <w:r w:rsidR="00352D7A">
        <w:t>,</w:t>
      </w:r>
      <w:r>
        <w:t xml:space="preserve"> Magdalena</w:t>
      </w:r>
      <w:r w:rsidR="00352D7A">
        <w:t xml:space="preserve">, la </w:t>
      </w:r>
      <w:r>
        <w:t xml:space="preserve">generalidad de las denuncias en este municipio </w:t>
      </w:r>
      <w:r w:rsidR="00335B39">
        <w:t>están</w:t>
      </w:r>
      <w:r>
        <w:t xml:space="preserve"> relacionadas con mala elaboración de los censos, entregas de ayudas a personas que no estaban damnificadas o favorecimiento </w:t>
      </w:r>
      <w:r w:rsidR="00335B39">
        <w:t>político</w:t>
      </w:r>
      <w:r>
        <w:t xml:space="preserve"> a cambio de mercados; casos en los cuales</w:t>
      </w:r>
      <w:r w:rsidR="00352D7A">
        <w:t>, según la Gerencia Departamental,</w:t>
      </w:r>
      <w:r>
        <w:t xml:space="preserve"> no se ha podido demostrar tales hechos toda vez que existe un operador</w:t>
      </w:r>
      <w:r w:rsidR="00352D7A">
        <w:t>,</w:t>
      </w:r>
      <w:r>
        <w:t xml:space="preserve"> que en el caso del </w:t>
      </w:r>
      <w:r w:rsidR="00352D7A">
        <w:t>Magdalena es la D</w:t>
      </w:r>
      <w:r>
        <w:t>efensa Civil</w:t>
      </w:r>
      <w:r w:rsidR="00352D7A">
        <w:t>,</w:t>
      </w:r>
      <w:r>
        <w:t xml:space="preserve"> y el censo </w:t>
      </w:r>
      <w:r w:rsidR="00352D7A">
        <w:t xml:space="preserve">fue </w:t>
      </w:r>
      <w:r>
        <w:t xml:space="preserve">elaborado </w:t>
      </w:r>
      <w:r w:rsidR="00352D7A">
        <w:t xml:space="preserve">bajo </w:t>
      </w:r>
      <w:r w:rsidR="00352D7A">
        <w:lastRenderedPageBreak/>
        <w:t>los parámetros d</w:t>
      </w:r>
      <w:r>
        <w:t xml:space="preserve">el </w:t>
      </w:r>
      <w:r w:rsidR="00335B39">
        <w:t>DANE</w:t>
      </w:r>
      <w:r>
        <w:t xml:space="preserve"> a </w:t>
      </w:r>
      <w:r w:rsidR="00335B39">
        <w:t>través</w:t>
      </w:r>
      <w:r>
        <w:t xml:space="preserve"> del </w:t>
      </w:r>
      <w:r w:rsidR="00352D7A">
        <w:t>registro</w:t>
      </w:r>
      <w:r>
        <w:t xml:space="preserve"> </w:t>
      </w:r>
      <w:r w:rsidR="00335B39">
        <w:t>único</w:t>
      </w:r>
      <w:r>
        <w:t xml:space="preserve"> de damnificados</w:t>
      </w:r>
      <w:r w:rsidR="00352D7A">
        <w:t>,</w:t>
      </w:r>
      <w:r>
        <w:t xml:space="preserve"> establecido en la directriz presidencial 03 de 2011.</w:t>
      </w:r>
    </w:p>
    <w:p w:rsidR="008618D1" w:rsidRDefault="008618D1" w:rsidP="00273E99">
      <w:pPr>
        <w:spacing w:after="0"/>
        <w:jc w:val="both"/>
      </w:pPr>
      <w:r>
        <w:t xml:space="preserve"> </w:t>
      </w:r>
    </w:p>
    <w:p w:rsidR="008618D1" w:rsidRDefault="008618D1" w:rsidP="00273E99">
      <w:pPr>
        <w:spacing w:after="0"/>
        <w:jc w:val="both"/>
      </w:pPr>
      <w:r>
        <w:t>Los casos de cobro a damnificados</w:t>
      </w:r>
      <w:r w:rsidR="00273E99">
        <w:t xml:space="preserve">, según la Gerencia Departamental, </w:t>
      </w:r>
      <w:r>
        <w:t>los h</w:t>
      </w:r>
      <w:r w:rsidR="00273E99">
        <w:t xml:space="preserve">a detectado la Contraloría General de la República en el </w:t>
      </w:r>
      <w:r>
        <w:t>municipio de Plato</w:t>
      </w:r>
      <w:r w:rsidR="00352D7A">
        <w:t>,</w:t>
      </w:r>
      <w:r>
        <w:t xml:space="preserve"> Magdalena, sobre los cuales ya existen informes y solici</w:t>
      </w:r>
      <w:r w:rsidR="00335B39">
        <w:t xml:space="preserve">tud de traslado de hallazgos a Fiscalía </w:t>
      </w:r>
      <w:r w:rsidR="00D413BA">
        <w:t xml:space="preserve">General de la Nación </w:t>
      </w:r>
      <w:r w:rsidR="00335B39">
        <w:t>y Procuraduría</w:t>
      </w:r>
      <w:r>
        <w:t xml:space="preserve"> </w:t>
      </w:r>
      <w:r w:rsidR="00D413BA">
        <w:t xml:space="preserve">General de la Nación </w:t>
      </w:r>
      <w:r>
        <w:t xml:space="preserve">y control de advertencia, con el fin de evitar esta </w:t>
      </w:r>
      <w:r w:rsidR="00335B39">
        <w:t>práctica</w:t>
      </w:r>
      <w:r>
        <w:t xml:space="preserve"> en este municipio por parte de los presidentes de juntas de acción comunal.</w:t>
      </w:r>
    </w:p>
    <w:p w:rsidR="00273E99" w:rsidRDefault="00273E99" w:rsidP="00273E99">
      <w:pPr>
        <w:spacing w:after="0"/>
        <w:jc w:val="both"/>
      </w:pPr>
    </w:p>
    <w:p w:rsidR="00273E99" w:rsidRDefault="00352D7A" w:rsidP="007A1BA7">
      <w:pPr>
        <w:jc w:val="both"/>
      </w:pPr>
      <w:r>
        <w:t xml:space="preserve">Sin embargo, </w:t>
      </w:r>
      <w:r w:rsidR="007A1BA7">
        <w:t>E</w:t>
      </w:r>
      <w:r w:rsidR="007A1BA7" w:rsidRPr="007A1BA7">
        <w:t>l Banco</w:t>
      </w:r>
      <w:r w:rsidR="007A1BA7">
        <w:t>,</w:t>
      </w:r>
      <w:r w:rsidR="007A1BA7" w:rsidRPr="007A1BA7">
        <w:t xml:space="preserve"> Magdalena</w:t>
      </w:r>
      <w:r w:rsidR="007A1BA7">
        <w:t xml:space="preserve">, </w:t>
      </w:r>
      <w:r w:rsidR="007A1BA7" w:rsidRPr="007A1BA7">
        <w:t>presenta a la fecha un total de 22 denuncias de Ola Invernal</w:t>
      </w:r>
      <w:r w:rsidR="00537107">
        <w:t>,</w:t>
      </w:r>
      <w:r w:rsidR="007A1BA7" w:rsidRPr="007A1BA7">
        <w:t xml:space="preserve"> </w:t>
      </w:r>
      <w:r w:rsidR="007A1BA7">
        <w:t xml:space="preserve">quince </w:t>
      </w:r>
      <w:r w:rsidR="007A1BA7" w:rsidRPr="007A1BA7">
        <w:t>(15) de ellas han sido interpuestas por irregularidades surgidas en la entrega de las ayudas humanitaria</w:t>
      </w:r>
      <w:r w:rsidR="007A1BA7">
        <w:t>s en cualquiera de sus formas; o</w:t>
      </w:r>
      <w:r w:rsidR="007A1BA7" w:rsidRPr="007A1BA7">
        <w:t>cho (08</w:t>
      </w:r>
      <w:r w:rsidR="007A1BA7">
        <w:t>),</w:t>
      </w:r>
      <w:r w:rsidR="007A1BA7" w:rsidRPr="007A1BA7">
        <w:t xml:space="preserve"> a irregularidades e</w:t>
      </w:r>
      <w:r w:rsidR="007A1BA7">
        <w:t>n el censo;</w:t>
      </w:r>
      <w:r w:rsidR="007A1BA7" w:rsidRPr="007A1BA7">
        <w:t xml:space="preserve"> una (01)</w:t>
      </w:r>
      <w:r w:rsidR="007A1BA7">
        <w:t>,</w:t>
      </w:r>
      <w:r w:rsidR="007A1BA7" w:rsidRPr="007A1BA7">
        <w:t xml:space="preserve"> por in</w:t>
      </w:r>
      <w:r w:rsidR="007A1BA7">
        <w:t>convenientes en la contratación; c</w:t>
      </w:r>
      <w:r w:rsidR="007A1BA7" w:rsidRPr="007A1BA7">
        <w:t>uatro (04) corresponden al tema electoral y las (03) restante</w:t>
      </w:r>
      <w:r w:rsidR="007A1BA7">
        <w:t>s</w:t>
      </w:r>
      <w:r w:rsidR="008338FB">
        <w:t>,</w:t>
      </w:r>
      <w:r w:rsidR="007A1BA7">
        <w:t xml:space="preserve"> a temas de a</w:t>
      </w:r>
      <w:r w:rsidR="007A1BA7" w:rsidRPr="007A1BA7">
        <w:t xml:space="preserve">rriendos, esto teniendo en cuenta que existen denuncias </w:t>
      </w:r>
      <w:r w:rsidR="007A1BA7">
        <w:t>que comprende más de una línea.</w:t>
      </w:r>
    </w:p>
    <w:p w:rsidR="00406D6D" w:rsidRDefault="00406D6D" w:rsidP="007A1BA7">
      <w:pPr>
        <w:jc w:val="both"/>
      </w:pPr>
    </w:p>
    <w:p w:rsidR="00273E99" w:rsidRDefault="008338FB" w:rsidP="008338FB">
      <w:pPr>
        <w:spacing w:after="0"/>
        <w:jc w:val="center"/>
      </w:pPr>
      <w:r w:rsidRPr="008338FB">
        <w:rPr>
          <w:noProof/>
        </w:rPr>
        <w:drawing>
          <wp:inline distT="0" distB="0" distL="0" distR="0">
            <wp:extent cx="3562350" cy="2305050"/>
            <wp:effectExtent l="19050" t="0" r="1905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6D6D" w:rsidRDefault="00406D6D" w:rsidP="00406D6D">
      <w:pPr>
        <w:jc w:val="both"/>
      </w:pPr>
    </w:p>
    <w:p w:rsidR="00406D6D" w:rsidRDefault="000B5D1D" w:rsidP="00406D6D">
      <w:pPr>
        <w:jc w:val="both"/>
      </w:pPr>
      <w:r>
        <w:t>Al interno de censo, el comportamiento fue el siguiente:</w:t>
      </w:r>
    </w:p>
    <w:p w:rsidR="008338FB" w:rsidRDefault="000B5D1D" w:rsidP="00406D6D">
      <w:pPr>
        <w:jc w:val="center"/>
      </w:pPr>
      <w:r w:rsidRPr="000B5D1D">
        <w:rPr>
          <w:noProof/>
        </w:rPr>
        <w:lastRenderedPageBreak/>
        <w:drawing>
          <wp:inline distT="0" distB="0" distL="0" distR="0">
            <wp:extent cx="3257550" cy="2352675"/>
            <wp:effectExtent l="19050" t="0" r="1905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B5D1D" w:rsidRDefault="000B5D1D" w:rsidP="000B5D1D">
      <w:pPr>
        <w:jc w:val="both"/>
      </w:pPr>
      <w:r>
        <w:t>Al interno de entrega, el comportamiento fue el siguiente:</w:t>
      </w:r>
    </w:p>
    <w:p w:rsidR="008618D1" w:rsidRDefault="000B5D1D" w:rsidP="000B5D1D">
      <w:pPr>
        <w:jc w:val="center"/>
      </w:pPr>
      <w:r w:rsidRPr="000B5D1D">
        <w:rPr>
          <w:noProof/>
        </w:rPr>
        <w:drawing>
          <wp:inline distT="0" distB="0" distL="0" distR="0">
            <wp:extent cx="3371850" cy="2714625"/>
            <wp:effectExtent l="19050" t="0" r="19050" b="0"/>
            <wp:docPr id="5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06D6D" w:rsidRDefault="00406D6D" w:rsidP="000B5D1D">
      <w:pPr>
        <w:jc w:val="both"/>
      </w:pPr>
    </w:p>
    <w:p w:rsidR="000B5D1D" w:rsidRDefault="000B5D1D" w:rsidP="000B5D1D">
      <w:pPr>
        <w:jc w:val="both"/>
      </w:pPr>
      <w:r>
        <w:t>Al interno de arriendos y albergues, el comportamiento fue el siguiente:</w:t>
      </w:r>
    </w:p>
    <w:p w:rsidR="000B5D1D" w:rsidRDefault="000B5D1D" w:rsidP="000B5D1D">
      <w:pPr>
        <w:jc w:val="center"/>
      </w:pPr>
      <w:r w:rsidRPr="000B5D1D">
        <w:rPr>
          <w:noProof/>
        </w:rPr>
        <w:lastRenderedPageBreak/>
        <w:drawing>
          <wp:inline distT="0" distB="0" distL="0" distR="0">
            <wp:extent cx="2876550" cy="2543175"/>
            <wp:effectExtent l="19050" t="0" r="1905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B5D1D" w:rsidRDefault="000B5D1D" w:rsidP="000B5D1D">
      <w:pPr>
        <w:jc w:val="both"/>
      </w:pPr>
      <w:r>
        <w:t>Al interno de área electoral, el comportamiento fue el siguiente:</w:t>
      </w:r>
    </w:p>
    <w:p w:rsidR="008618D1" w:rsidRDefault="000B5D1D" w:rsidP="000B5D1D">
      <w:pPr>
        <w:jc w:val="center"/>
      </w:pPr>
      <w:r w:rsidRPr="000B5D1D">
        <w:rPr>
          <w:noProof/>
        </w:rPr>
        <w:drawing>
          <wp:inline distT="0" distB="0" distL="0" distR="0">
            <wp:extent cx="3286125" cy="2914650"/>
            <wp:effectExtent l="19050" t="0" r="9525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8618D1" w:rsidSect="009A7E0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C62" w:rsidRDefault="00752C62" w:rsidP="00406D6D">
      <w:pPr>
        <w:spacing w:after="0" w:line="240" w:lineRule="auto"/>
      </w:pPr>
      <w:r>
        <w:separator/>
      </w:r>
    </w:p>
  </w:endnote>
  <w:endnote w:type="continuationSeparator" w:id="0">
    <w:p w:rsidR="00752C62" w:rsidRDefault="00752C62" w:rsidP="0040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599" w:rsidRDefault="00B725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6D" w:rsidRDefault="00406D6D" w:rsidP="00406D6D">
    <w:pPr>
      <w:pStyle w:val="302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rPr>
        <w:rFonts w:ascii="Arial" w:hAnsi="Arial" w:cs="Arial"/>
        <w:sz w:val="18"/>
        <w:szCs w:val="18"/>
        <w:lang w:val="es-CO"/>
      </w:rPr>
    </w:pPr>
  </w:p>
  <w:p w:rsidR="00406D6D" w:rsidRDefault="00406D6D" w:rsidP="00406D6D">
    <w:pPr>
      <w:pStyle w:val="302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rPr>
        <w:rFonts w:ascii="Arial" w:hAnsi="Arial" w:cs="Arial"/>
        <w:sz w:val="18"/>
        <w:szCs w:val="18"/>
        <w:lang w:val="es-ES"/>
      </w:rPr>
    </w:pPr>
    <w:r>
      <w:rPr>
        <w:rFonts w:ascii="Arial" w:hAnsi="Arial" w:cs="Arial"/>
        <w:sz w:val="18"/>
        <w:szCs w:val="18"/>
        <w:lang w:val="es-ES"/>
      </w:rPr>
      <w:t xml:space="preserve">Carrera 10 N° 17-18 P. 5 Bogotá • PBX: 3537700 Ext. 7524 – 3613 • </w:t>
    </w:r>
    <w:r>
      <w:rPr>
        <w:rFonts w:ascii="Arial" w:hAnsi="Arial" w:cs="Arial"/>
        <w:sz w:val="18"/>
        <w:szCs w:val="18"/>
        <w:lang w:val="es-CO"/>
      </w:rPr>
      <w:t>Línea gratuita 01 8000 910060</w:t>
    </w:r>
    <w:r>
      <w:rPr>
        <w:rFonts w:ascii="Humanst521 BT" w:hAnsi="Humanst521 BT"/>
        <w:sz w:val="16"/>
        <w:lang w:val="es-CO"/>
      </w:rPr>
      <w:t xml:space="preserve"> </w:t>
    </w:r>
    <w:r>
      <w:rPr>
        <w:rFonts w:ascii="Arial" w:hAnsi="Arial" w:cs="Arial"/>
        <w:sz w:val="18"/>
        <w:szCs w:val="18"/>
        <w:lang w:val="es-ES"/>
      </w:rPr>
      <w:t xml:space="preserve"> </w:t>
    </w:r>
  </w:p>
  <w:p w:rsidR="00406D6D" w:rsidRDefault="00406D6D" w:rsidP="00406D6D">
    <w:pPr>
      <w:pStyle w:val="302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rPr>
        <w:rFonts w:ascii="Arial" w:hAnsi="Arial" w:cs="Arial"/>
        <w:sz w:val="8"/>
        <w:szCs w:val="18"/>
        <w:lang w:val="es-ES"/>
      </w:rPr>
    </w:pPr>
  </w:p>
  <w:p w:rsidR="00406D6D" w:rsidRDefault="00752C62" w:rsidP="00406D6D">
    <w:pPr>
      <w:pStyle w:val="302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</w:pPr>
    <w:hyperlink r:id="rId1" w:history="1">
      <w:r w:rsidR="00406D6D">
        <w:rPr>
          <w:rStyle w:val="Hipervnculo"/>
          <w:rFonts w:ascii="Arial" w:hAnsi="Arial"/>
        </w:rPr>
        <w:t>www.contraloriagen.gov.co</w:t>
      </w:r>
    </w:hyperlink>
  </w:p>
  <w:p w:rsidR="00406D6D" w:rsidRDefault="00406D6D" w:rsidP="00406D6D">
    <w:pPr>
      <w:pStyle w:val="302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</w:pPr>
  </w:p>
  <w:p w:rsidR="00406D6D" w:rsidRDefault="00406D6D">
    <w:pPr>
      <w:pStyle w:val="Piedepgina"/>
    </w:pPr>
  </w:p>
  <w:p w:rsidR="00406D6D" w:rsidRDefault="00406D6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599" w:rsidRDefault="00B725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C62" w:rsidRDefault="00752C62" w:rsidP="00406D6D">
      <w:pPr>
        <w:spacing w:after="0" w:line="240" w:lineRule="auto"/>
      </w:pPr>
      <w:r>
        <w:separator/>
      </w:r>
    </w:p>
  </w:footnote>
  <w:footnote w:type="continuationSeparator" w:id="0">
    <w:p w:rsidR="00752C62" w:rsidRDefault="00752C62" w:rsidP="00406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599" w:rsidRDefault="00B7259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6D" w:rsidRPr="00406D6D" w:rsidRDefault="00406D6D" w:rsidP="00406D6D">
    <w:pPr>
      <w:pStyle w:val="ENCABEZADOYPIEDEPAGINA"/>
      <w:jc w:val="right"/>
      <w:rPr>
        <w:b/>
        <w:bCs/>
        <w:sz w:val="17"/>
        <w:szCs w:val="17"/>
      </w:rPr>
    </w:pPr>
    <w:r>
      <w:rPr>
        <w:b/>
        <w:bCs/>
        <w:noProof/>
        <w:sz w:val="17"/>
        <w:szCs w:val="17"/>
        <w:lang w:eastAsia="es-CO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-613410</wp:posOffset>
          </wp:positionH>
          <wp:positionV relativeFrom="paragraph">
            <wp:posOffset>-125730</wp:posOffset>
          </wp:positionV>
          <wp:extent cx="3333750" cy="619125"/>
          <wp:effectExtent l="1905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6191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406D6D" w:rsidRPr="00406D6D" w:rsidRDefault="00406D6D" w:rsidP="00406D6D">
    <w:pPr>
      <w:suppressLineNumbers/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SimSun" w:hAnsi="Arial" w:cs="Arial"/>
        <w:b/>
        <w:bCs/>
        <w:kern w:val="1"/>
        <w:sz w:val="10"/>
        <w:szCs w:val="18"/>
        <w:lang w:eastAsia="hi-IN" w:bidi="hi-IN"/>
      </w:rPr>
    </w:pPr>
  </w:p>
  <w:p w:rsidR="00406D6D" w:rsidRPr="00406D6D" w:rsidRDefault="00406D6D" w:rsidP="00406D6D">
    <w:pPr>
      <w:suppressLineNumbers/>
      <w:tabs>
        <w:tab w:val="right" w:pos="8838"/>
      </w:tabs>
      <w:suppressAutoHyphens/>
      <w:spacing w:after="0" w:line="240" w:lineRule="auto"/>
      <w:rPr>
        <w:rFonts w:ascii="Times New Roman" w:eastAsia="SimSun" w:hAnsi="Times New Roman" w:cs="Mangal"/>
        <w:kern w:val="1"/>
        <w:sz w:val="24"/>
        <w:szCs w:val="24"/>
        <w:lang w:eastAsia="hi-IN" w:bidi="hi-IN"/>
      </w:rPr>
    </w:pPr>
  </w:p>
  <w:p w:rsidR="00406D6D" w:rsidRDefault="00406D6D">
    <w:pPr>
      <w:pStyle w:val="Encabezado"/>
    </w:pPr>
  </w:p>
  <w:p w:rsidR="00406D6D" w:rsidRDefault="00406D6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599" w:rsidRDefault="00B725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6052"/>
    <w:multiLevelType w:val="hybridMultilevel"/>
    <w:tmpl w:val="EBE44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061A3"/>
    <w:multiLevelType w:val="hybridMultilevel"/>
    <w:tmpl w:val="F3A244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D956D4"/>
    <w:multiLevelType w:val="hybridMultilevel"/>
    <w:tmpl w:val="71EE2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72"/>
    <w:rsid w:val="00067DF3"/>
    <w:rsid w:val="000B5D1D"/>
    <w:rsid w:val="00156329"/>
    <w:rsid w:val="001B617B"/>
    <w:rsid w:val="00273E99"/>
    <w:rsid w:val="002743DE"/>
    <w:rsid w:val="00335B39"/>
    <w:rsid w:val="00352D7A"/>
    <w:rsid w:val="003E480B"/>
    <w:rsid w:val="003F4FEF"/>
    <w:rsid w:val="00406D6D"/>
    <w:rsid w:val="00537107"/>
    <w:rsid w:val="006D082A"/>
    <w:rsid w:val="00752C62"/>
    <w:rsid w:val="007A1BA7"/>
    <w:rsid w:val="008338FB"/>
    <w:rsid w:val="00852800"/>
    <w:rsid w:val="008618D1"/>
    <w:rsid w:val="00886516"/>
    <w:rsid w:val="008F6E08"/>
    <w:rsid w:val="009660C1"/>
    <w:rsid w:val="009A7E03"/>
    <w:rsid w:val="009D623A"/>
    <w:rsid w:val="00A34C13"/>
    <w:rsid w:val="00AA5C72"/>
    <w:rsid w:val="00B03664"/>
    <w:rsid w:val="00B56217"/>
    <w:rsid w:val="00B72599"/>
    <w:rsid w:val="00BE3AA9"/>
    <w:rsid w:val="00C03069"/>
    <w:rsid w:val="00C23A8A"/>
    <w:rsid w:val="00C4412D"/>
    <w:rsid w:val="00C80A61"/>
    <w:rsid w:val="00D413BA"/>
    <w:rsid w:val="00E06C90"/>
    <w:rsid w:val="00E6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C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3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8FB"/>
    <w:rPr>
      <w:rFonts w:ascii="Tahoma" w:hAnsi="Tahoma" w:cs="Tahoma"/>
      <w:sz w:val="16"/>
      <w:szCs w:val="16"/>
      <w:lang w:val="es-CO"/>
    </w:rPr>
  </w:style>
  <w:style w:type="table" w:styleId="Tablaconcuadrcula">
    <w:name w:val="Table Grid"/>
    <w:basedOn w:val="Tablanormal"/>
    <w:uiPriority w:val="59"/>
    <w:rsid w:val="00886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06D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6D6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406D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D6D"/>
    <w:rPr>
      <w:lang w:val="es-CO"/>
    </w:rPr>
  </w:style>
  <w:style w:type="paragraph" w:customStyle="1" w:styleId="ENCABEZADOYPIEDEPAGINA">
    <w:name w:val="ENCABEZADO Y PIE DE PAGINA"/>
    <w:basedOn w:val="Encabezado"/>
    <w:rsid w:val="00406D6D"/>
    <w:pPr>
      <w:suppressLineNumbers/>
      <w:tabs>
        <w:tab w:val="clear" w:pos="4419"/>
        <w:tab w:val="clear" w:pos="8838"/>
        <w:tab w:val="center" w:pos="4252"/>
        <w:tab w:val="right" w:pos="8504"/>
      </w:tabs>
      <w:suppressAutoHyphens/>
      <w:jc w:val="center"/>
    </w:pPr>
    <w:rPr>
      <w:rFonts w:ascii="Arial" w:eastAsia="SimSun" w:hAnsi="Arial" w:cs="Arial"/>
      <w:kern w:val="1"/>
      <w:sz w:val="18"/>
      <w:szCs w:val="18"/>
      <w:lang w:eastAsia="hi-IN" w:bidi="hi-IN"/>
    </w:rPr>
  </w:style>
  <w:style w:type="character" w:styleId="Hipervnculo">
    <w:name w:val="Hyperlink"/>
    <w:rsid w:val="00406D6D"/>
    <w:rPr>
      <w:color w:val="0000FF"/>
      <w:u w:val="single"/>
    </w:rPr>
  </w:style>
  <w:style w:type="paragraph" w:customStyle="1" w:styleId="302">
    <w:name w:val="302"/>
    <w:basedOn w:val="Normal"/>
    <w:rsid w:val="00406D6D"/>
    <w:pPr>
      <w:tabs>
        <w:tab w:val="left" w:pos="0"/>
      </w:tabs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0"/>
      <w:szCs w:val="20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C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3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8FB"/>
    <w:rPr>
      <w:rFonts w:ascii="Tahoma" w:hAnsi="Tahoma" w:cs="Tahoma"/>
      <w:sz w:val="16"/>
      <w:szCs w:val="16"/>
      <w:lang w:val="es-CO"/>
    </w:rPr>
  </w:style>
  <w:style w:type="table" w:styleId="Tablaconcuadrcula">
    <w:name w:val="Table Grid"/>
    <w:basedOn w:val="Tablanormal"/>
    <w:uiPriority w:val="59"/>
    <w:rsid w:val="00886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06D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6D6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406D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D6D"/>
    <w:rPr>
      <w:lang w:val="es-CO"/>
    </w:rPr>
  </w:style>
  <w:style w:type="paragraph" w:customStyle="1" w:styleId="ENCABEZADOYPIEDEPAGINA">
    <w:name w:val="ENCABEZADO Y PIE DE PAGINA"/>
    <w:basedOn w:val="Encabezado"/>
    <w:rsid w:val="00406D6D"/>
    <w:pPr>
      <w:suppressLineNumbers/>
      <w:tabs>
        <w:tab w:val="clear" w:pos="4419"/>
        <w:tab w:val="clear" w:pos="8838"/>
        <w:tab w:val="center" w:pos="4252"/>
        <w:tab w:val="right" w:pos="8504"/>
      </w:tabs>
      <w:suppressAutoHyphens/>
      <w:jc w:val="center"/>
    </w:pPr>
    <w:rPr>
      <w:rFonts w:ascii="Arial" w:eastAsia="SimSun" w:hAnsi="Arial" w:cs="Arial"/>
      <w:kern w:val="1"/>
      <w:sz w:val="18"/>
      <w:szCs w:val="18"/>
      <w:lang w:eastAsia="hi-IN" w:bidi="hi-IN"/>
    </w:rPr>
  </w:style>
  <w:style w:type="character" w:styleId="Hipervnculo">
    <w:name w:val="Hyperlink"/>
    <w:rsid w:val="00406D6D"/>
    <w:rPr>
      <w:color w:val="0000FF"/>
      <w:u w:val="single"/>
    </w:rPr>
  </w:style>
  <w:style w:type="paragraph" w:customStyle="1" w:styleId="302">
    <w:name w:val="302"/>
    <w:basedOn w:val="Normal"/>
    <w:rsid w:val="00406D6D"/>
    <w:pPr>
      <w:tabs>
        <w:tab w:val="left" w:pos="0"/>
      </w:tabs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0"/>
      <w:szCs w:val="20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gen.gov.co//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mmendez\AppData\Local\Temp\notesD80B0E\~0990327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jmmendez\AppData\Local\Temp\notesD80B0E\~0990327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jmmendez\AppData\Local\Temp\notesD80B0E\~0990327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jmmendez\AppData\Local\Temp\notesD80B0E\~0990327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jmmendez\AppData\Local\Temp\notesD80B0E\~0990327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n-US" sz="1000"/>
              <a:t>Denuncias por Grupo - OLA INVERNAL</a:t>
            </a:r>
          </a:p>
          <a:p>
            <a:pPr>
              <a:defRPr sz="1000"/>
            </a:pPr>
            <a:r>
              <a:rPr lang="en-US" sz="1000"/>
              <a:t>1-10-2010 a 9-9-2011</a:t>
            </a:r>
          </a:p>
          <a:p>
            <a:pPr>
              <a:defRPr sz="1000"/>
            </a:pPr>
            <a:r>
              <a:rPr lang="en-US" sz="1000"/>
              <a:t>El Banco, Magdalena</a:t>
            </a:r>
          </a:p>
        </c:rich>
      </c:tx>
      <c:layout>
        <c:manualLayout>
          <c:xMode val="edge"/>
          <c:yMode val="edge"/>
          <c:x val="0.13291230890680131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000000000000015E-2"/>
          <c:y val="0.19432888597258682"/>
          <c:w val="0.68504308836395489"/>
          <c:h val="0.80567111402741365"/>
        </c:manualLayout>
      </c:layout>
      <c:pie3DChart>
        <c:varyColors val="1"/>
        <c:ser>
          <c:idx val="0"/>
          <c:order val="0"/>
          <c:tx>
            <c:v>Denuncias por Grupo</c:v>
          </c:tx>
          <c:explosion val="24"/>
          <c:dLbls>
            <c:txPr>
              <a:bodyPr/>
              <a:lstStyle/>
              <a:p>
                <a:pPr>
                  <a:defRPr sz="1400"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Hoja1!$A$34:$A$38</c:f>
              <c:strCache>
                <c:ptCount val="5"/>
                <c:pt idx="0">
                  <c:v>CENSO</c:v>
                </c:pt>
                <c:pt idx="1">
                  <c:v>CONTRATACIÓN</c:v>
                </c:pt>
                <c:pt idx="2">
                  <c:v>ENTREGA</c:v>
                </c:pt>
                <c:pt idx="3">
                  <c:v>ARRIENDO – ALBERGUES</c:v>
                </c:pt>
                <c:pt idx="4">
                  <c:v>ÁREA ELECTORAL</c:v>
                </c:pt>
              </c:strCache>
            </c:strRef>
          </c:cat>
          <c:val>
            <c:numRef>
              <c:f>Hoja1!$B$34:$B$38</c:f>
              <c:numCache>
                <c:formatCode>General</c:formatCode>
                <c:ptCount val="5"/>
                <c:pt idx="0">
                  <c:v>8</c:v>
                </c:pt>
                <c:pt idx="1">
                  <c:v>0</c:v>
                </c:pt>
                <c:pt idx="2">
                  <c:v>15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7802106258456971"/>
          <c:y val="0.21493646138807451"/>
          <c:w val="0.21773463099721257"/>
          <c:h val="0.75191939717212763"/>
        </c:manualLayout>
      </c:layout>
      <c:overlay val="0"/>
      <c:spPr>
        <a:solidFill>
          <a:schemeClr val="bg1">
            <a:lumMod val="85000"/>
          </a:schemeClr>
        </a:solidFill>
      </c:spPr>
      <c:txPr>
        <a:bodyPr/>
        <a:lstStyle/>
        <a:p>
          <a:pPr>
            <a:defRPr sz="800"/>
          </a:pPr>
          <a:endParaRPr lang="es-CO"/>
        </a:p>
      </c:txPr>
    </c:legend>
    <c:plotVisOnly val="1"/>
    <c:dispBlanksAs val="zero"/>
    <c:showDLblsOverMax val="0"/>
  </c:chart>
  <c:spPr>
    <a:solidFill>
      <a:sysClr val="window" lastClr="FFFFFF"/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en-US" sz="1050"/>
              <a:t>Denuncias por CENSO </a:t>
            </a:r>
            <a:r>
              <a:rPr lang="en-US" sz="1050" b="1" i="0" baseline="0"/>
              <a:t>- OLA INVERNAL</a:t>
            </a:r>
            <a:endParaRPr lang="es-ES" sz="1050"/>
          </a:p>
          <a:p>
            <a:pPr>
              <a:defRPr sz="1050"/>
            </a:pPr>
            <a:r>
              <a:rPr lang="en-US" sz="1050" b="1" i="0" baseline="0"/>
              <a:t>1-10-2010 a 9-9-2011 El Banco, Magdalena</a:t>
            </a:r>
            <a:endParaRPr lang="en-US" sz="1050"/>
          </a:p>
        </c:rich>
      </c:tx>
      <c:layout>
        <c:manualLayout>
          <c:xMode val="edge"/>
          <c:yMode val="edge"/>
          <c:x val="0.194193962431812"/>
          <c:y val="3.29218106995884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1097802915480626"/>
                  <c:y val="4.6335180324681639E-2"/>
                </c:manualLayout>
              </c:layout>
              <c:spPr/>
              <c:txPr>
                <a:bodyPr/>
                <a:lstStyle/>
                <a:p>
                  <a:pPr>
                    <a:defRPr sz="1600" b="1"/>
                  </a:pPr>
                  <a:endParaRPr lang="es-CO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3001745673809575"/>
                  <c:y val="-0.1253922426363373"/>
                </c:manualLayout>
              </c:layout>
              <c:spPr/>
              <c:txPr>
                <a:bodyPr/>
                <a:lstStyle/>
                <a:p>
                  <a:pPr>
                    <a:defRPr sz="1600" b="1"/>
                  </a:pPr>
                  <a:endParaRPr lang="es-CO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Hoja1!$A$4:$A$5</c:f>
              <c:strCache>
                <c:ptCount val="2"/>
                <c:pt idx="0">
                  <c:v>C1:Inclusión personas no damnificadas.</c:v>
                </c:pt>
                <c:pt idx="1">
                  <c:v>C2:Damnificados que no registra el operador en listados.</c:v>
                </c:pt>
              </c:strCache>
            </c:strRef>
          </c:cat>
          <c:val>
            <c:numRef>
              <c:f>Hoja1!$B$4:$B$5</c:f>
              <c:numCache>
                <c:formatCode>General</c:formatCode>
                <c:ptCount val="2"/>
                <c:pt idx="0">
                  <c:v>3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2219766388850584"/>
          <c:y val="0.23725461442825718"/>
          <c:w val="0.33825130479379734"/>
          <c:h val="0.44530951417634068"/>
        </c:manualLayout>
      </c:layout>
      <c:overlay val="0"/>
      <c:txPr>
        <a:bodyPr/>
        <a:lstStyle/>
        <a:p>
          <a:pPr>
            <a:defRPr sz="800"/>
          </a:pPr>
          <a:endParaRPr lang="es-CO"/>
        </a:p>
      </c:txPr>
    </c:legend>
    <c:plotVisOnly val="1"/>
    <c:dispBlanksAs val="zero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s-ES" sz="1000"/>
              <a:t>Denuncias por ENTREGA</a:t>
            </a:r>
          </a:p>
          <a:p>
            <a:pPr>
              <a:defRPr sz="1000"/>
            </a:pPr>
            <a:r>
              <a:rPr lang="es-ES" sz="1000"/>
              <a:t> OLA INVERNAL 1-10-2010 a 9-9-2011 El Banco, Magdalena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6914821259425246E-2"/>
          <c:y val="0.10631455683424187"/>
          <c:w val="0.58055555555555549"/>
          <c:h val="0.89054726368159265"/>
        </c:manualLayout>
      </c:layout>
      <c:pie3DChart>
        <c:varyColors val="1"/>
        <c:ser>
          <c:idx val="0"/>
          <c:order val="0"/>
          <c:tx>
            <c:v>Denuncias por CENSO - OLA INVERNAL 1-10-2010 a 9-9-2011</c:v>
          </c:tx>
          <c:dPt>
            <c:idx val="0"/>
            <c:bubble3D val="0"/>
            <c:explosion val="10"/>
          </c:dPt>
          <c:dPt>
            <c:idx val="1"/>
            <c:bubble3D val="0"/>
            <c:explosion val="11"/>
          </c:dPt>
          <c:dPt>
            <c:idx val="2"/>
            <c:bubble3D val="0"/>
            <c:explosion val="12"/>
          </c:dPt>
          <c:dLbls>
            <c:txPr>
              <a:bodyPr/>
              <a:lstStyle/>
              <a:p>
                <a:pPr>
                  <a:defRPr sz="1400"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Hoja1!$A$18:$A$21</c:f>
              <c:strCache>
                <c:ptCount val="4"/>
                <c:pt idx="0">
                  <c:v>E1:Bienes que no responden a lo señalado en el protocolo de Colombia Humanitaria.</c:v>
                </c:pt>
                <c:pt idx="1">
                  <c:v>E2:Perdida, daño, extravió, sobreprecio a los bienes que conforman los kits.</c:v>
                </c:pt>
                <c:pt idx="2">
                  <c:v>E4:Cobro de dinero para realizar las entregas por parte del operador u otros.</c:v>
                </c:pt>
                <c:pt idx="3">
                  <c:v>E5:Entregas a no damnificados-familiares o conocidos de funcionarios publicos-, irregularidades en general no especificadas en la entrega y entregas dobles.</c:v>
                </c:pt>
              </c:strCache>
            </c:strRef>
          </c:cat>
          <c:val>
            <c:numRef>
              <c:f>Hoja1!$B$19:$B$21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4166660407512732"/>
          <c:y val="0.26235348273773468"/>
          <c:w val="0.34166668753051382"/>
          <c:h val="0.72066351706036769"/>
        </c:manualLayout>
      </c:layout>
      <c:overlay val="0"/>
      <c:txPr>
        <a:bodyPr/>
        <a:lstStyle/>
        <a:p>
          <a:pPr>
            <a:defRPr sz="800"/>
          </a:pPr>
          <a:endParaRPr lang="es-CO"/>
        </a:p>
      </c:txPr>
    </c:legend>
    <c:plotVisOnly val="1"/>
    <c:dispBlanksAs val="zero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s-ES" sz="1000"/>
              <a:t>Denuncias por ARRIENDO</a:t>
            </a:r>
            <a:r>
              <a:rPr lang="es-ES" sz="1000" baseline="0"/>
              <a:t> - ALBERGUES</a:t>
            </a:r>
          </a:p>
          <a:p>
            <a:pPr>
              <a:defRPr sz="1000"/>
            </a:pPr>
            <a:r>
              <a:rPr lang="es-ES" sz="1000"/>
              <a:t>OLA</a:t>
            </a:r>
            <a:r>
              <a:rPr lang="es-ES" sz="1000" baseline="0"/>
              <a:t> </a:t>
            </a:r>
            <a:r>
              <a:rPr lang="es-ES" sz="1000"/>
              <a:t>INVERNAL 1-10-2010 a 9-9-2011 El Banco, Magdalena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Denuncias por ENTREGA  OLA INVERNAL 1-10-2010 a 9-9-2011</c:v>
          </c:tx>
          <c:explosion val="25"/>
          <c:dLbls>
            <c:txPr>
              <a:bodyPr/>
              <a:lstStyle/>
              <a:p>
                <a:pPr>
                  <a:defRPr sz="1400"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Hoja1!$A$24:$A$25</c:f>
              <c:strCache>
                <c:ptCount val="2"/>
                <c:pt idx="0">
                  <c:v>A1:No cumplimiento a quien tiene derecho en asistencia o dinero</c:v>
                </c:pt>
                <c:pt idx="1">
                  <c:v>A2:Entrega a quien no tenia el derecho</c:v>
                </c:pt>
              </c:strCache>
            </c:strRef>
          </c:cat>
          <c:val>
            <c:numRef>
              <c:f>Hoja1!$B$24:$B$25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800"/>
          </a:pPr>
          <a:endParaRPr lang="es-CO"/>
        </a:p>
      </c:txPr>
    </c:legend>
    <c:plotVisOnly val="1"/>
    <c:dispBlanksAs val="zero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en-US" sz="1050"/>
              <a:t>Denuncias por AREA</a:t>
            </a:r>
            <a:r>
              <a:rPr lang="en-US" sz="1050" baseline="0"/>
              <a:t> ELECTORAL</a:t>
            </a:r>
          </a:p>
          <a:p>
            <a:pPr>
              <a:defRPr sz="1050"/>
            </a:pPr>
            <a:r>
              <a:rPr lang="en-US" sz="1050"/>
              <a:t> OLA INVERNAL 1-10-2010 a 9-9-2011 El Banco, Magdalena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Denuncias por ARRIENDO - ALBERGUES OLA INVERNAL 1-10-2010 a 9-9-2011</c:v>
          </c:tx>
          <c:explosion val="25"/>
          <c:dLbls>
            <c:txPr>
              <a:bodyPr/>
              <a:lstStyle/>
              <a:p>
                <a:pPr>
                  <a:defRPr sz="1400"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Hoja1!$A$29:$A$31</c:f>
              <c:strCache>
                <c:ptCount val="3"/>
                <c:pt idx="0">
                  <c:v>AE2:Uso de las entregas como medio para la consecusion de votos</c:v>
                </c:pt>
                <c:pt idx="1">
                  <c:v>AE3:Relación de entregas a conveniencia</c:v>
                </c:pt>
                <c:pt idx="2">
                  <c:v>AE4:Manipulación para partidos políticos</c:v>
                </c:pt>
              </c:strCache>
            </c:strRef>
          </c:cat>
          <c:val>
            <c:numRef>
              <c:f>Hoja1!$B$29:$B$31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800"/>
          </a:pPr>
          <a:endParaRPr lang="es-CO"/>
        </a:p>
      </c:txPr>
    </c:legend>
    <c:plotVisOnly val="1"/>
    <c:dispBlanksAs val="zero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0.30584</cdr:x>
      <cdr:y>0.81244</cdr:y>
    </cdr:from>
    <cdr:to>
      <cdr:x>0.57531</cdr:x>
      <cdr:y>0.91337</cdr:y>
    </cdr:to>
    <cdr:sp macro="" textlink="">
      <cdr:nvSpPr>
        <cdr:cNvPr id="2" name="2 CuadroTexto"/>
        <cdr:cNvSpPr txBox="1"/>
      </cdr:nvSpPr>
      <cdr:spPr>
        <a:xfrm xmlns:a="http://schemas.openxmlformats.org/drawingml/2006/main">
          <a:off x="1267207" y="1957829"/>
          <a:ext cx="1116516" cy="2432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r>
            <a:rPr lang="es-ES" sz="1400" b="1"/>
            <a:t>Total Denuncias</a:t>
          </a:r>
          <a:r>
            <a:rPr lang="es-ES" sz="1400" b="1" baseline="0"/>
            <a:t>  : 8</a:t>
          </a:r>
          <a:endParaRPr lang="es-ES" sz="1400" b="1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0.01113</cdr:x>
      <cdr:y>0.87692</cdr:y>
    </cdr:from>
    <cdr:to>
      <cdr:x>0.30006</cdr:x>
      <cdr:y>0.97755</cdr:y>
    </cdr:to>
    <cdr:sp macro="" textlink="">
      <cdr:nvSpPr>
        <cdr:cNvPr id="2" name="2 CuadroTexto"/>
        <cdr:cNvSpPr txBox="1"/>
      </cdr:nvSpPr>
      <cdr:spPr>
        <a:xfrm xmlns:a="http://schemas.openxmlformats.org/drawingml/2006/main">
          <a:off x="66675" y="2714625"/>
          <a:ext cx="1731051" cy="31149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r>
            <a:rPr lang="es-ES" sz="1400" b="1"/>
            <a:t>Total Denuncias</a:t>
          </a:r>
          <a:r>
            <a:rPr lang="es-ES" sz="1400" b="1" baseline="0"/>
            <a:t>  : 15</a:t>
          </a:r>
          <a:endParaRPr lang="es-ES" sz="1400" b="1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0.00781</cdr:x>
      <cdr:y>0.88304</cdr:y>
    </cdr:from>
    <cdr:to>
      <cdr:x>0.27685</cdr:x>
      <cdr:y>0.97866</cdr:y>
    </cdr:to>
    <cdr:sp macro="" textlink="">
      <cdr:nvSpPr>
        <cdr:cNvPr id="2" name="2 CuadroTexto"/>
        <cdr:cNvSpPr txBox="1"/>
      </cdr:nvSpPr>
      <cdr:spPr>
        <a:xfrm xmlns:a="http://schemas.openxmlformats.org/drawingml/2006/main">
          <a:off x="47625" y="2876550"/>
          <a:ext cx="1640064" cy="31149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r>
            <a:rPr lang="es-ES" sz="1400" b="1"/>
            <a:t>Total Denuncias</a:t>
          </a:r>
          <a:r>
            <a:rPr lang="es-ES" sz="1400" b="1" baseline="0"/>
            <a:t>  : 3</a:t>
          </a:r>
          <a:endParaRPr lang="es-ES" sz="1400" b="1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0.02067</cdr:x>
      <cdr:y>0.86377</cdr:y>
    </cdr:from>
    <cdr:to>
      <cdr:x>0.30119</cdr:x>
      <cdr:y>0.95856</cdr:y>
    </cdr:to>
    <cdr:sp macro="" textlink="">
      <cdr:nvSpPr>
        <cdr:cNvPr id="2" name="2 CuadroTexto"/>
        <cdr:cNvSpPr txBox="1"/>
      </cdr:nvSpPr>
      <cdr:spPr>
        <a:xfrm xmlns:a="http://schemas.openxmlformats.org/drawingml/2006/main">
          <a:off x="123825" y="2838450"/>
          <a:ext cx="1680653" cy="31149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r>
            <a:rPr lang="es-ES" sz="1400" b="1"/>
            <a:t>Total Denuncias</a:t>
          </a:r>
          <a:r>
            <a:rPr lang="es-ES" sz="1400" b="1" baseline="0"/>
            <a:t>  :  4</a:t>
          </a:r>
          <a:endParaRPr lang="es-ES" sz="1400" b="1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1883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cp:lastPrinted>2011-09-14T16:58:00Z</cp:lastPrinted>
  <dcterms:created xsi:type="dcterms:W3CDTF">2011-09-14T16:59:00Z</dcterms:created>
  <dcterms:modified xsi:type="dcterms:W3CDTF">2011-09-14T16:59:00Z</dcterms:modified>
</cp:coreProperties>
</file>