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2EC9" w:rsidRPr="000E37E7" w:rsidRDefault="00202EC9" w:rsidP="00202EC9">
      <w:pPr>
        <w:rPr>
          <w:rFonts w:ascii="Arial" w:hAnsi="Arial" w:cs="Arial"/>
          <w:sz w:val="22"/>
          <w:lang w:val="es-CO"/>
        </w:rPr>
      </w:pPr>
      <w:bookmarkStart w:id="0" w:name="_GoBack"/>
      <w:bookmarkEnd w:id="0"/>
      <w:r w:rsidRPr="000E37E7">
        <w:rPr>
          <w:rFonts w:ascii="Arial" w:hAnsi="Arial" w:cs="Arial"/>
          <w:sz w:val="22"/>
          <w:lang w:val="es-CO"/>
        </w:rPr>
        <w:t xml:space="preserve">Bogotá, D.C., </w:t>
      </w:r>
    </w:p>
    <w:p w:rsidR="00202EC9" w:rsidRPr="000E37E7" w:rsidRDefault="00202EC9" w:rsidP="00202EC9">
      <w:pPr>
        <w:rPr>
          <w:rFonts w:ascii="Arial" w:hAnsi="Arial" w:cs="Arial"/>
          <w:sz w:val="22"/>
          <w:lang w:val="es-CO"/>
        </w:rPr>
      </w:pPr>
    </w:p>
    <w:p w:rsidR="00202EC9" w:rsidRPr="000E37E7" w:rsidRDefault="00202EC9" w:rsidP="00202EC9">
      <w:pPr>
        <w:rPr>
          <w:rFonts w:ascii="Arial" w:hAnsi="Arial" w:cs="Arial"/>
          <w:sz w:val="22"/>
          <w:lang w:val="es-CO"/>
        </w:rPr>
      </w:pPr>
    </w:p>
    <w:p w:rsidR="002340C8" w:rsidRDefault="00202EC9" w:rsidP="002340C8">
      <w:pPr>
        <w:rPr>
          <w:rFonts w:ascii="Arial" w:hAnsi="Arial" w:cs="Arial"/>
          <w:sz w:val="22"/>
          <w:lang w:val="es-CO"/>
        </w:rPr>
      </w:pPr>
      <w:r w:rsidRPr="000E37E7">
        <w:rPr>
          <w:rFonts w:ascii="Arial" w:hAnsi="Arial" w:cs="Arial"/>
          <w:sz w:val="22"/>
          <w:lang w:val="es-CO"/>
        </w:rPr>
        <w:t>Doctor</w:t>
      </w:r>
    </w:p>
    <w:p w:rsidR="00202EC9" w:rsidRPr="002340C8" w:rsidRDefault="002340C8" w:rsidP="002340C8">
      <w:pPr>
        <w:rPr>
          <w:rFonts w:ascii="Arial" w:hAnsi="Arial" w:cs="Arial"/>
          <w:b/>
          <w:sz w:val="22"/>
          <w:lang w:val="es-CO"/>
        </w:rPr>
      </w:pPr>
      <w:r w:rsidRPr="002340C8">
        <w:rPr>
          <w:rFonts w:ascii="Arial" w:hAnsi="Arial" w:cs="Arial"/>
          <w:b/>
          <w:sz w:val="22"/>
          <w:lang w:val="es-CO"/>
        </w:rPr>
        <w:t>JORGE HUMBERTO MANTILLA SERRANO</w:t>
      </w:r>
    </w:p>
    <w:p w:rsidR="002340C8" w:rsidRDefault="002340C8" w:rsidP="00202EC9">
      <w:pPr>
        <w:rPr>
          <w:rFonts w:ascii="Arial" w:hAnsi="Arial" w:cs="Arial"/>
          <w:sz w:val="22"/>
          <w:lang w:val="es-CO"/>
        </w:rPr>
      </w:pPr>
      <w:r>
        <w:rPr>
          <w:rFonts w:ascii="Arial" w:hAnsi="Arial" w:cs="Arial"/>
          <w:sz w:val="22"/>
          <w:lang w:val="es-CO"/>
        </w:rPr>
        <w:t>Secretario General</w:t>
      </w:r>
    </w:p>
    <w:p w:rsidR="00202EC9" w:rsidRPr="000E37E7" w:rsidRDefault="00073F06" w:rsidP="00202EC9">
      <w:pPr>
        <w:rPr>
          <w:rFonts w:ascii="Arial" w:hAnsi="Arial" w:cs="Arial"/>
          <w:sz w:val="22"/>
          <w:lang w:val="es-CO"/>
        </w:rPr>
      </w:pPr>
      <w:r w:rsidRPr="000E37E7">
        <w:rPr>
          <w:rFonts w:ascii="Arial" w:hAnsi="Arial" w:cs="Arial"/>
          <w:sz w:val="22"/>
          <w:lang w:val="es-CO"/>
        </w:rPr>
        <w:t>Cámara</w:t>
      </w:r>
      <w:r w:rsidR="002340C8">
        <w:rPr>
          <w:rFonts w:ascii="Arial" w:hAnsi="Arial" w:cs="Arial"/>
          <w:sz w:val="22"/>
          <w:lang w:val="es-CO"/>
        </w:rPr>
        <w:t xml:space="preserve"> de Representantes</w:t>
      </w:r>
    </w:p>
    <w:p w:rsidR="002340C8" w:rsidRDefault="002340C8" w:rsidP="00202EC9">
      <w:pPr>
        <w:rPr>
          <w:rFonts w:ascii="Arial" w:hAnsi="Arial" w:cs="Arial"/>
          <w:sz w:val="22"/>
          <w:lang w:val="es-CO"/>
        </w:rPr>
      </w:pPr>
      <w:r w:rsidRPr="000E37E7">
        <w:rPr>
          <w:rFonts w:ascii="Arial" w:hAnsi="Arial" w:cs="Arial"/>
          <w:sz w:val="22"/>
          <w:lang w:val="es-CO"/>
        </w:rPr>
        <w:t xml:space="preserve">Congreso </w:t>
      </w:r>
      <w:r>
        <w:rPr>
          <w:rFonts w:ascii="Arial" w:hAnsi="Arial" w:cs="Arial"/>
          <w:sz w:val="22"/>
          <w:lang w:val="es-CO"/>
        </w:rPr>
        <w:t>d</w:t>
      </w:r>
      <w:r w:rsidRPr="000E37E7">
        <w:rPr>
          <w:rFonts w:ascii="Arial" w:hAnsi="Arial" w:cs="Arial"/>
          <w:sz w:val="22"/>
          <w:lang w:val="es-CO"/>
        </w:rPr>
        <w:t xml:space="preserve">e </w:t>
      </w:r>
      <w:r>
        <w:rPr>
          <w:rFonts w:ascii="Arial" w:hAnsi="Arial" w:cs="Arial"/>
          <w:sz w:val="22"/>
          <w:lang w:val="es-CO"/>
        </w:rPr>
        <w:t>l</w:t>
      </w:r>
      <w:r w:rsidRPr="000E37E7">
        <w:rPr>
          <w:rFonts w:ascii="Arial" w:hAnsi="Arial" w:cs="Arial"/>
          <w:sz w:val="22"/>
          <w:lang w:val="es-CO"/>
        </w:rPr>
        <w:t xml:space="preserve">a República </w:t>
      </w:r>
      <w:r>
        <w:rPr>
          <w:rFonts w:ascii="Arial" w:hAnsi="Arial" w:cs="Arial"/>
          <w:sz w:val="22"/>
          <w:lang w:val="es-CO"/>
        </w:rPr>
        <w:t>d</w:t>
      </w:r>
      <w:r w:rsidRPr="000E37E7">
        <w:rPr>
          <w:rFonts w:ascii="Arial" w:hAnsi="Arial" w:cs="Arial"/>
          <w:sz w:val="22"/>
          <w:lang w:val="es-CO"/>
        </w:rPr>
        <w:t>e Colombia</w:t>
      </w:r>
    </w:p>
    <w:p w:rsidR="009F42CC" w:rsidRPr="000E37E7" w:rsidRDefault="009F42CC" w:rsidP="00202EC9">
      <w:pPr>
        <w:rPr>
          <w:rFonts w:ascii="Arial" w:hAnsi="Arial" w:cs="Arial"/>
          <w:sz w:val="22"/>
          <w:lang w:val="es-CO"/>
        </w:rPr>
      </w:pPr>
      <w:r w:rsidRPr="000E37E7">
        <w:rPr>
          <w:rFonts w:ascii="Arial" w:hAnsi="Arial" w:cs="Arial"/>
          <w:sz w:val="22"/>
          <w:lang w:val="es-CO"/>
        </w:rPr>
        <w:t>Ca</w:t>
      </w:r>
      <w:r w:rsidR="00073F06" w:rsidRPr="000E37E7">
        <w:rPr>
          <w:rFonts w:ascii="Arial" w:hAnsi="Arial" w:cs="Arial"/>
          <w:sz w:val="22"/>
          <w:lang w:val="es-CO"/>
        </w:rPr>
        <w:t>lle 10 No 7 50</w:t>
      </w:r>
    </w:p>
    <w:p w:rsidR="009F42CC" w:rsidRPr="000E37E7" w:rsidRDefault="009F42CC" w:rsidP="00202EC9">
      <w:pPr>
        <w:rPr>
          <w:rFonts w:ascii="Arial" w:hAnsi="Arial" w:cs="Arial"/>
          <w:sz w:val="22"/>
          <w:lang w:val="es-CO"/>
        </w:rPr>
      </w:pPr>
      <w:r w:rsidRPr="000E37E7">
        <w:rPr>
          <w:rFonts w:ascii="Arial" w:hAnsi="Arial" w:cs="Arial"/>
          <w:sz w:val="22"/>
          <w:lang w:val="es-CO"/>
        </w:rPr>
        <w:t>Bogotá D.C.</w:t>
      </w:r>
    </w:p>
    <w:p w:rsidR="00202EC9" w:rsidRPr="000E37E7" w:rsidRDefault="00202EC9" w:rsidP="00202EC9">
      <w:pPr>
        <w:rPr>
          <w:rFonts w:ascii="Arial" w:hAnsi="Arial" w:cs="Arial"/>
          <w:sz w:val="22"/>
          <w:lang w:val="es-CO"/>
        </w:rPr>
      </w:pPr>
    </w:p>
    <w:p w:rsidR="00202EC9" w:rsidRPr="000E37E7" w:rsidRDefault="00202EC9" w:rsidP="00202EC9">
      <w:pPr>
        <w:rPr>
          <w:rFonts w:ascii="Arial" w:hAnsi="Arial" w:cs="Arial"/>
          <w:sz w:val="22"/>
          <w:lang w:val="es-CO"/>
        </w:rPr>
      </w:pPr>
    </w:p>
    <w:p w:rsidR="008A304B" w:rsidRDefault="00202EC9" w:rsidP="00CA02B9">
      <w:pPr>
        <w:jc w:val="both"/>
        <w:rPr>
          <w:rFonts w:ascii="Arial" w:hAnsi="Arial" w:cs="Arial"/>
          <w:sz w:val="22"/>
          <w:lang w:val="es-CO"/>
        </w:rPr>
      </w:pPr>
      <w:r w:rsidRPr="000E37E7">
        <w:rPr>
          <w:rFonts w:ascii="Arial" w:hAnsi="Arial" w:cs="Arial"/>
          <w:b/>
          <w:sz w:val="22"/>
          <w:lang w:val="es-CO"/>
        </w:rPr>
        <w:t>Asunto</w:t>
      </w:r>
      <w:r w:rsidRPr="000E37E7">
        <w:rPr>
          <w:rFonts w:ascii="Arial" w:hAnsi="Arial" w:cs="Arial"/>
          <w:sz w:val="22"/>
          <w:lang w:val="es-CO"/>
        </w:rPr>
        <w:t>:</w:t>
      </w:r>
      <w:r w:rsidR="009F42CC" w:rsidRPr="000E37E7">
        <w:rPr>
          <w:rFonts w:ascii="Arial" w:hAnsi="Arial" w:cs="Arial"/>
          <w:sz w:val="22"/>
          <w:lang w:val="es-CO"/>
        </w:rPr>
        <w:t xml:space="preserve"> </w:t>
      </w:r>
      <w:r w:rsidR="008A304B">
        <w:rPr>
          <w:rFonts w:ascii="Arial" w:hAnsi="Arial" w:cs="Arial"/>
          <w:sz w:val="22"/>
          <w:lang w:val="es-CO"/>
        </w:rPr>
        <w:tab/>
        <w:t>Proposición 128 / 141 de 2013</w:t>
      </w:r>
    </w:p>
    <w:p w:rsidR="008A304B" w:rsidRDefault="009F42CC" w:rsidP="008A304B">
      <w:pPr>
        <w:ind w:left="708" w:firstLine="708"/>
        <w:jc w:val="both"/>
        <w:rPr>
          <w:rFonts w:ascii="Arial" w:hAnsi="Arial" w:cs="Arial"/>
          <w:sz w:val="22"/>
          <w:lang w:val="es-CO"/>
        </w:rPr>
      </w:pPr>
      <w:r w:rsidRPr="000E37E7">
        <w:rPr>
          <w:rFonts w:ascii="Arial" w:hAnsi="Arial" w:cs="Arial"/>
          <w:sz w:val="22"/>
          <w:lang w:val="es-CO"/>
        </w:rPr>
        <w:t>Radicado 4120-E1-1</w:t>
      </w:r>
      <w:r w:rsidR="008A304B">
        <w:rPr>
          <w:rFonts w:ascii="Arial" w:hAnsi="Arial" w:cs="Arial"/>
          <w:sz w:val="22"/>
          <w:lang w:val="es-CO"/>
        </w:rPr>
        <w:t>9772</w:t>
      </w:r>
      <w:r w:rsidRPr="000E37E7">
        <w:rPr>
          <w:rFonts w:ascii="Arial" w:hAnsi="Arial" w:cs="Arial"/>
          <w:sz w:val="22"/>
          <w:lang w:val="es-CO"/>
        </w:rPr>
        <w:t xml:space="preserve"> del </w:t>
      </w:r>
      <w:r w:rsidR="008A304B">
        <w:rPr>
          <w:rFonts w:ascii="Arial" w:hAnsi="Arial" w:cs="Arial"/>
          <w:sz w:val="22"/>
          <w:lang w:val="es-CO"/>
        </w:rPr>
        <w:t>9</w:t>
      </w:r>
      <w:r w:rsidRPr="000E37E7">
        <w:rPr>
          <w:rFonts w:ascii="Arial" w:hAnsi="Arial" w:cs="Arial"/>
          <w:sz w:val="22"/>
          <w:lang w:val="es-CO"/>
        </w:rPr>
        <w:t xml:space="preserve"> de </w:t>
      </w:r>
      <w:r w:rsidR="008A304B">
        <w:rPr>
          <w:rFonts w:ascii="Arial" w:hAnsi="Arial" w:cs="Arial"/>
          <w:sz w:val="22"/>
          <w:lang w:val="es-CO"/>
        </w:rPr>
        <w:t>mayo</w:t>
      </w:r>
      <w:r w:rsidRPr="000E37E7">
        <w:rPr>
          <w:rFonts w:ascii="Arial" w:hAnsi="Arial" w:cs="Arial"/>
          <w:sz w:val="22"/>
          <w:lang w:val="es-CO"/>
        </w:rPr>
        <w:t xml:space="preserve"> de 2013</w:t>
      </w:r>
    </w:p>
    <w:p w:rsidR="008A304B" w:rsidRDefault="008A304B" w:rsidP="008A304B">
      <w:pPr>
        <w:ind w:left="708" w:firstLine="708"/>
        <w:jc w:val="both"/>
        <w:rPr>
          <w:rFonts w:ascii="Arial" w:hAnsi="Arial" w:cs="Arial"/>
          <w:sz w:val="22"/>
          <w:lang w:val="es-CO"/>
        </w:rPr>
      </w:pPr>
      <w:r>
        <w:rPr>
          <w:rFonts w:ascii="Arial" w:hAnsi="Arial" w:cs="Arial"/>
          <w:sz w:val="22"/>
          <w:lang w:val="es-CO"/>
        </w:rPr>
        <w:t>C</w:t>
      </w:r>
      <w:r w:rsidR="00073F06" w:rsidRPr="000E37E7">
        <w:rPr>
          <w:rFonts w:ascii="Arial" w:hAnsi="Arial" w:cs="Arial"/>
          <w:sz w:val="22"/>
          <w:lang w:val="es-CO"/>
        </w:rPr>
        <w:t xml:space="preserve">OR </w:t>
      </w:r>
      <w:r>
        <w:rPr>
          <w:rFonts w:ascii="Arial" w:hAnsi="Arial" w:cs="Arial"/>
          <w:sz w:val="22"/>
          <w:lang w:val="es-CO"/>
        </w:rPr>
        <w:t>3375</w:t>
      </w:r>
      <w:r w:rsidR="00073F06" w:rsidRPr="000E37E7">
        <w:rPr>
          <w:rFonts w:ascii="Arial" w:hAnsi="Arial" w:cs="Arial"/>
          <w:sz w:val="22"/>
          <w:lang w:val="es-CO"/>
        </w:rPr>
        <w:t>-13</w:t>
      </w:r>
    </w:p>
    <w:p w:rsidR="00CD60C2" w:rsidRPr="000E37E7" w:rsidRDefault="00CD60C2" w:rsidP="00520D43">
      <w:pPr>
        <w:tabs>
          <w:tab w:val="left" w:pos="7960"/>
        </w:tabs>
        <w:ind w:firstLine="709"/>
        <w:rPr>
          <w:rFonts w:ascii="Arial" w:hAnsi="Arial" w:cs="Arial"/>
          <w:sz w:val="22"/>
          <w:lang w:val="es-CO"/>
        </w:rPr>
      </w:pPr>
    </w:p>
    <w:p w:rsidR="00202EC9" w:rsidRPr="000E37E7" w:rsidRDefault="00520D43" w:rsidP="00520D43">
      <w:pPr>
        <w:tabs>
          <w:tab w:val="left" w:pos="7960"/>
        </w:tabs>
        <w:ind w:firstLine="709"/>
        <w:rPr>
          <w:rFonts w:ascii="Arial" w:hAnsi="Arial" w:cs="Arial"/>
          <w:sz w:val="22"/>
          <w:lang w:val="es-CO"/>
        </w:rPr>
      </w:pPr>
      <w:r w:rsidRPr="000E37E7">
        <w:rPr>
          <w:rFonts w:ascii="Arial" w:hAnsi="Arial" w:cs="Arial"/>
          <w:sz w:val="22"/>
          <w:lang w:val="es-CO"/>
        </w:rPr>
        <w:tab/>
      </w:r>
    </w:p>
    <w:p w:rsidR="00202EC9" w:rsidRPr="000E37E7" w:rsidRDefault="008A304B" w:rsidP="00202EC9">
      <w:pPr>
        <w:rPr>
          <w:rFonts w:ascii="Arial" w:hAnsi="Arial" w:cs="Arial"/>
          <w:sz w:val="22"/>
          <w:lang w:val="es-CO"/>
        </w:rPr>
      </w:pPr>
      <w:r>
        <w:rPr>
          <w:rFonts w:ascii="Arial" w:hAnsi="Arial" w:cs="Arial"/>
          <w:sz w:val="22"/>
          <w:lang w:val="es-CO"/>
        </w:rPr>
        <w:t>Respetado</w:t>
      </w:r>
      <w:r w:rsidR="00202EC9" w:rsidRPr="000E37E7">
        <w:rPr>
          <w:rFonts w:ascii="Arial" w:hAnsi="Arial" w:cs="Arial"/>
          <w:sz w:val="22"/>
          <w:lang w:val="es-CO"/>
        </w:rPr>
        <w:t xml:space="preserve"> doctor </w:t>
      </w:r>
      <w:r>
        <w:rPr>
          <w:rFonts w:ascii="Arial" w:hAnsi="Arial" w:cs="Arial"/>
          <w:sz w:val="22"/>
          <w:lang w:val="es-CO"/>
        </w:rPr>
        <w:t>Mantilla</w:t>
      </w:r>
      <w:r w:rsidR="009F42CC" w:rsidRPr="000E37E7">
        <w:rPr>
          <w:rFonts w:ascii="Arial" w:hAnsi="Arial" w:cs="Arial"/>
          <w:sz w:val="22"/>
          <w:lang w:val="es-CO"/>
        </w:rPr>
        <w:t>,</w:t>
      </w:r>
    </w:p>
    <w:p w:rsidR="009F42CC" w:rsidRPr="000E37E7" w:rsidRDefault="009F42CC" w:rsidP="00202EC9">
      <w:pPr>
        <w:rPr>
          <w:rFonts w:ascii="Arial" w:hAnsi="Arial" w:cs="Arial"/>
          <w:sz w:val="22"/>
          <w:lang w:val="es-CO"/>
        </w:rPr>
      </w:pPr>
    </w:p>
    <w:p w:rsidR="00CD5BE6" w:rsidRDefault="009F42CC" w:rsidP="00756A85">
      <w:pPr>
        <w:jc w:val="both"/>
        <w:rPr>
          <w:rFonts w:ascii="Arial" w:hAnsi="Arial" w:cs="Arial"/>
          <w:sz w:val="22"/>
          <w:lang w:val="es-CO"/>
        </w:rPr>
      </w:pPr>
      <w:r w:rsidRPr="000E37E7">
        <w:rPr>
          <w:rFonts w:ascii="Arial" w:hAnsi="Arial" w:cs="Arial"/>
          <w:sz w:val="22"/>
          <w:lang w:val="es-CO"/>
        </w:rPr>
        <w:t xml:space="preserve">En atención al </w:t>
      </w:r>
      <w:r w:rsidR="00312633" w:rsidRPr="000E37E7">
        <w:rPr>
          <w:rFonts w:ascii="Arial" w:hAnsi="Arial" w:cs="Arial"/>
          <w:sz w:val="22"/>
          <w:lang w:val="es-CO"/>
        </w:rPr>
        <w:t>oficio</w:t>
      </w:r>
      <w:r w:rsidRPr="000E37E7">
        <w:rPr>
          <w:rFonts w:ascii="Arial" w:hAnsi="Arial" w:cs="Arial"/>
          <w:sz w:val="22"/>
          <w:lang w:val="es-CO"/>
        </w:rPr>
        <w:t xml:space="preserve"> del asunto, en el que </w:t>
      </w:r>
      <w:r w:rsidR="00CD5BE6">
        <w:rPr>
          <w:rFonts w:ascii="Arial" w:hAnsi="Arial" w:cs="Arial"/>
          <w:sz w:val="22"/>
          <w:lang w:val="es-CO"/>
        </w:rPr>
        <w:t xml:space="preserve">remite copia de las </w:t>
      </w:r>
      <w:r w:rsidR="00CD5BE6" w:rsidRPr="00CD5BE6">
        <w:rPr>
          <w:rFonts w:ascii="Arial" w:hAnsi="Arial" w:cs="Arial"/>
          <w:sz w:val="22"/>
          <w:lang w:val="es-CO"/>
        </w:rPr>
        <w:t>Proposici</w:t>
      </w:r>
      <w:r w:rsidR="00CD5BE6">
        <w:rPr>
          <w:rFonts w:ascii="Arial" w:hAnsi="Arial" w:cs="Arial"/>
          <w:sz w:val="22"/>
          <w:lang w:val="es-CO"/>
        </w:rPr>
        <w:t>ones</w:t>
      </w:r>
      <w:r w:rsidR="00CD5BE6" w:rsidRPr="00CD5BE6">
        <w:rPr>
          <w:rFonts w:ascii="Arial" w:hAnsi="Arial" w:cs="Arial"/>
          <w:sz w:val="22"/>
          <w:lang w:val="es-CO"/>
        </w:rPr>
        <w:t xml:space="preserve"> 128 </w:t>
      </w:r>
      <w:r w:rsidR="00CD5BE6">
        <w:rPr>
          <w:rFonts w:ascii="Arial" w:hAnsi="Arial" w:cs="Arial"/>
          <w:sz w:val="22"/>
          <w:lang w:val="es-CO"/>
        </w:rPr>
        <w:t>y</w:t>
      </w:r>
      <w:r w:rsidR="00CD5BE6" w:rsidRPr="00CD5BE6">
        <w:rPr>
          <w:rFonts w:ascii="Arial" w:hAnsi="Arial" w:cs="Arial"/>
          <w:sz w:val="22"/>
          <w:lang w:val="es-CO"/>
        </w:rPr>
        <w:t xml:space="preserve"> 141 de 2013</w:t>
      </w:r>
      <w:r w:rsidR="00756A85">
        <w:rPr>
          <w:rFonts w:ascii="Arial" w:hAnsi="Arial" w:cs="Arial"/>
          <w:sz w:val="22"/>
          <w:lang w:val="es-CO"/>
        </w:rPr>
        <w:t>, “Cuestionario sobre las consecuencias ambientales producidas por la exploración y explotación minero – energética en el país”, a</w:t>
      </w:r>
      <w:r w:rsidR="00CD5BE6" w:rsidRPr="00CD5BE6">
        <w:rPr>
          <w:rFonts w:ascii="Arial" w:hAnsi="Arial" w:cs="Arial"/>
          <w:sz w:val="22"/>
          <w:lang w:val="es-CO"/>
        </w:rPr>
        <w:t xml:space="preserve"> continuación se relacionan las respuestas a las preguntas dirigidas a la Autoridad Nacional de Licencias Ambientales -ANLA:</w:t>
      </w:r>
    </w:p>
    <w:p w:rsidR="00F45CAD" w:rsidRPr="00F45CAD" w:rsidRDefault="00F45CAD" w:rsidP="00F45CAD">
      <w:pPr>
        <w:jc w:val="both"/>
        <w:rPr>
          <w:rFonts w:ascii="Arial" w:hAnsi="Arial" w:cs="Arial"/>
          <w:b/>
          <w:sz w:val="22"/>
          <w:lang w:val="es-CO"/>
        </w:rPr>
      </w:pPr>
    </w:p>
    <w:p w:rsidR="00F45CAD" w:rsidRPr="00904D70" w:rsidRDefault="00F45CAD" w:rsidP="00904D70">
      <w:pPr>
        <w:numPr>
          <w:ilvl w:val="0"/>
          <w:numId w:val="8"/>
        </w:numPr>
        <w:ind w:left="360"/>
        <w:jc w:val="both"/>
        <w:rPr>
          <w:rFonts w:ascii="Arial" w:hAnsi="Arial" w:cs="Arial"/>
          <w:b/>
          <w:i/>
          <w:sz w:val="22"/>
          <w:lang w:val="es-CO"/>
        </w:rPr>
      </w:pPr>
      <w:r w:rsidRPr="00904D70">
        <w:rPr>
          <w:rFonts w:ascii="Arial" w:hAnsi="Arial" w:cs="Arial"/>
          <w:b/>
          <w:i/>
          <w:sz w:val="22"/>
          <w:lang w:val="es-CO"/>
        </w:rPr>
        <w:t>Teniendo en cuenta factores socio-económicos, estudios hidrogeológicos, biodiversidad y patrimonio, entre otros ¿Cuánto tiempo y qué personal dedican a estudiar la viabilidad de la asignación de licencias ambientales en los territorios que se encuentran concesionados para la extracción minera o de hidrocarburos?</w:t>
      </w:r>
    </w:p>
    <w:p w:rsidR="00CF7AC4" w:rsidRDefault="00CF7AC4" w:rsidP="00CF7AC4">
      <w:pPr>
        <w:jc w:val="both"/>
        <w:rPr>
          <w:rFonts w:ascii="Arial" w:hAnsi="Arial" w:cs="Arial"/>
          <w:sz w:val="22"/>
          <w:lang w:val="es-CO"/>
        </w:rPr>
      </w:pPr>
    </w:p>
    <w:p w:rsidR="00CF7AC4" w:rsidRPr="00CF7AC4" w:rsidRDefault="00CF7AC4" w:rsidP="00CF7AC4">
      <w:pPr>
        <w:jc w:val="both"/>
        <w:rPr>
          <w:rFonts w:ascii="Arial" w:hAnsi="Arial" w:cs="Arial"/>
          <w:sz w:val="22"/>
          <w:lang w:val="es-CO"/>
        </w:rPr>
      </w:pPr>
      <w:r w:rsidRPr="00CF7AC4">
        <w:rPr>
          <w:rFonts w:ascii="Arial" w:hAnsi="Arial" w:cs="Arial"/>
          <w:sz w:val="22"/>
          <w:lang w:val="es-CO"/>
        </w:rPr>
        <w:t xml:space="preserve">Para el estudio de proyectos objeto de licenciamiento ambienta, la ANLA designa un grupo interdisciplinario de profesionales, quienes  evalúan los diferentes componentes que serán objeto de afectación por el desarrollo de las actividades mineras o de hidrocarburos. El grupo está conformado por un profesional que evalúa el componente socio-económico, otro para los aspectos bióticos (flora y fauna) y otro que analiza los aspectos físicos (agua y suelo); también se cuenta con el apoyo de un profesional del tema calidad del aire y dependiendo de las características propias del proyecto, con el acompañamiento de un profesional especializado geólogo y/o hídrico. Este es el equipo que inicialmente tiene a su cargo la evaluación de la información presentada por la empresa, la cual es cotejada con la información recopilada en la visita de campo. </w:t>
      </w:r>
    </w:p>
    <w:p w:rsidR="00CF7AC4" w:rsidRPr="00CF7AC4" w:rsidRDefault="00CF7AC4" w:rsidP="00CF7AC4">
      <w:pPr>
        <w:pStyle w:val="Prrafodelista"/>
        <w:jc w:val="both"/>
        <w:rPr>
          <w:rFonts w:ascii="Arial" w:hAnsi="Arial" w:cs="Arial"/>
          <w:sz w:val="22"/>
          <w:lang w:val="es-CO"/>
        </w:rPr>
      </w:pPr>
    </w:p>
    <w:p w:rsidR="00CF7AC4" w:rsidRPr="00CF7AC4" w:rsidRDefault="00CF7AC4" w:rsidP="00CF7AC4">
      <w:pPr>
        <w:jc w:val="both"/>
        <w:rPr>
          <w:rFonts w:ascii="Arial" w:hAnsi="Arial" w:cs="Arial"/>
          <w:sz w:val="22"/>
          <w:lang w:val="es-CO"/>
        </w:rPr>
      </w:pPr>
      <w:r w:rsidRPr="00CF7AC4">
        <w:rPr>
          <w:rFonts w:ascii="Arial" w:hAnsi="Arial" w:cs="Arial"/>
          <w:sz w:val="22"/>
          <w:lang w:val="es-CO"/>
        </w:rPr>
        <w:t>El resultado de dicha evaluación es la proyección de un concepto técnico que posteriormente es valorado, revisado y analizado por otro grupo de profesionales (3 revisores físico, biótico y social) quienes aprueban u objetan dicho concepto. Una vez aprobado el concepto técnico, éste pasa a evaluación jurídica para la proyección del acto administrativo que otorga o niega la licencia ambiental. En total para la evaluación de  una solicitud de licencia ambiental intervienen en promedio de 9 a 10 profesionales.</w:t>
      </w:r>
    </w:p>
    <w:p w:rsidR="00F45CAD" w:rsidRPr="00904D70" w:rsidRDefault="00F45CAD" w:rsidP="00904D70">
      <w:pPr>
        <w:jc w:val="both"/>
        <w:rPr>
          <w:rFonts w:ascii="Arial" w:hAnsi="Arial" w:cs="Arial"/>
          <w:b/>
          <w:i/>
          <w:sz w:val="22"/>
          <w:lang w:val="es-CO"/>
        </w:rPr>
      </w:pPr>
    </w:p>
    <w:p w:rsidR="00F45CAD" w:rsidRPr="00904D70" w:rsidRDefault="00F45CAD" w:rsidP="00904D70">
      <w:pPr>
        <w:numPr>
          <w:ilvl w:val="0"/>
          <w:numId w:val="8"/>
        </w:numPr>
        <w:ind w:left="360"/>
        <w:jc w:val="both"/>
        <w:rPr>
          <w:rFonts w:ascii="Arial" w:hAnsi="Arial" w:cs="Arial"/>
          <w:b/>
          <w:i/>
          <w:sz w:val="22"/>
          <w:lang w:val="es-CO"/>
        </w:rPr>
      </w:pPr>
      <w:r w:rsidRPr="00904D70">
        <w:rPr>
          <w:rFonts w:ascii="Arial" w:hAnsi="Arial" w:cs="Arial"/>
          <w:b/>
          <w:i/>
          <w:sz w:val="22"/>
          <w:lang w:val="es-CO"/>
        </w:rPr>
        <w:lastRenderedPageBreak/>
        <w:t>Especifique cada uno de los procedimientos y cuánto tiempo es necesario para otorgar una licencia ambiental y qu</w:t>
      </w:r>
      <w:r w:rsidR="00904D70">
        <w:rPr>
          <w:rFonts w:ascii="Arial" w:hAnsi="Arial" w:cs="Arial"/>
          <w:b/>
          <w:i/>
          <w:sz w:val="22"/>
          <w:lang w:val="es-CO"/>
        </w:rPr>
        <w:t>é</w:t>
      </w:r>
      <w:r w:rsidRPr="00904D70">
        <w:rPr>
          <w:rFonts w:ascii="Arial" w:hAnsi="Arial" w:cs="Arial"/>
          <w:b/>
          <w:i/>
          <w:sz w:val="22"/>
          <w:lang w:val="es-CO"/>
        </w:rPr>
        <w:t xml:space="preserve"> profesionales se necesitan para ello?</w:t>
      </w:r>
    </w:p>
    <w:p w:rsidR="00F45CAD" w:rsidRDefault="00F45CAD" w:rsidP="00F45CAD">
      <w:pPr>
        <w:pStyle w:val="Prrafodelista"/>
        <w:rPr>
          <w:rFonts w:ascii="Arial" w:hAnsi="Arial" w:cs="Arial"/>
          <w:b/>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El Título IV del Decreto 2820 de 2010 contiene el procedimiento para el otorgamiento de la Licencia Ambiental y lo describe de la siguiente manera:</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El artículo 18</w:t>
      </w:r>
      <w:r w:rsidR="005B2642">
        <w:rPr>
          <w:rFonts w:ascii="Arial" w:hAnsi="Arial" w:cs="Arial"/>
          <w:sz w:val="22"/>
          <w:lang w:val="es-CO"/>
        </w:rPr>
        <w:t xml:space="preserve"> del citado Decreto</w:t>
      </w:r>
      <w:r w:rsidRPr="00386FC9">
        <w:rPr>
          <w:rFonts w:ascii="Arial" w:hAnsi="Arial" w:cs="Arial"/>
          <w:sz w:val="22"/>
          <w:lang w:val="es-CO"/>
        </w:rPr>
        <w:t xml:space="preserve"> define la necesidad o no de presentar ante la Autoridad Ambiental Diagnóstico Ambiental de Alternativas</w:t>
      </w:r>
      <w:r w:rsidR="005B2642">
        <w:rPr>
          <w:rFonts w:ascii="Arial" w:hAnsi="Arial" w:cs="Arial"/>
          <w:sz w:val="22"/>
          <w:lang w:val="es-CO"/>
        </w:rPr>
        <w:t xml:space="preserve">, determinando </w:t>
      </w:r>
      <w:r w:rsidRPr="00386FC9">
        <w:rPr>
          <w:rFonts w:ascii="Arial" w:hAnsi="Arial" w:cs="Arial"/>
          <w:sz w:val="22"/>
          <w:lang w:val="es-CO"/>
        </w:rPr>
        <w:t>en qué casos específicos</w:t>
      </w:r>
      <w:r w:rsidR="005B2642">
        <w:rPr>
          <w:rFonts w:ascii="Arial" w:hAnsi="Arial" w:cs="Arial"/>
          <w:sz w:val="22"/>
          <w:lang w:val="es-CO"/>
        </w:rPr>
        <w:t xml:space="preserve"> el usuario</w:t>
      </w:r>
      <w:r w:rsidRPr="00386FC9">
        <w:rPr>
          <w:rFonts w:ascii="Arial" w:hAnsi="Arial" w:cs="Arial"/>
          <w:sz w:val="22"/>
          <w:lang w:val="es-CO"/>
        </w:rPr>
        <w:t xml:space="preserve"> debe presentarse dicho estudio. Por su parte el Artículo 20</w:t>
      </w:r>
      <w:r w:rsidR="005B2642">
        <w:rPr>
          <w:rFonts w:ascii="Arial" w:hAnsi="Arial" w:cs="Arial"/>
          <w:sz w:val="22"/>
          <w:lang w:val="es-CO"/>
        </w:rPr>
        <w:t xml:space="preserve"> del mismo Decreto</w:t>
      </w:r>
      <w:r w:rsidRPr="00386FC9">
        <w:rPr>
          <w:rFonts w:ascii="Arial" w:hAnsi="Arial" w:cs="Arial"/>
          <w:sz w:val="22"/>
          <w:lang w:val="es-CO"/>
        </w:rPr>
        <w:t xml:space="preserve"> define los criterios para la evaluación del Diagnóstico Ambiental del Alternativas –DAA</w:t>
      </w:r>
      <w:r w:rsidR="005B2642">
        <w:rPr>
          <w:rFonts w:ascii="Arial" w:hAnsi="Arial" w:cs="Arial"/>
          <w:sz w:val="22"/>
          <w:lang w:val="es-CO"/>
        </w:rPr>
        <w:t>;</w:t>
      </w:r>
      <w:r w:rsidRPr="00386FC9">
        <w:rPr>
          <w:rFonts w:ascii="Arial" w:hAnsi="Arial" w:cs="Arial"/>
          <w:sz w:val="22"/>
          <w:lang w:val="es-CO"/>
        </w:rPr>
        <w:t xml:space="preserve"> y sobre el particular establece que la autoridad ambiental revisará el estudio con base en el Manual de Estudios Ambientales de Proyectos y evaluará que el Diagnóstico Ambiental de Alternativas -DAA, cumpla con lo establecido en los artículos 14, 17 y 19 del Decreto 2820 de 2010. Además de lo anterior, que el interesado haya presentado para cada una de las alternativas del proyecto, el correspondiente análisis comparativo de los impactos ambientales especificando cuáles de </w:t>
      </w:r>
      <w:r w:rsidR="005B2642">
        <w:rPr>
          <w:rFonts w:ascii="Arial" w:hAnsi="Arial" w:cs="Arial"/>
          <w:sz w:val="22"/>
          <w:lang w:val="es-CO"/>
        </w:rPr>
        <w:t>é</w:t>
      </w:r>
      <w:r w:rsidRPr="00386FC9">
        <w:rPr>
          <w:rFonts w:ascii="Arial" w:hAnsi="Arial" w:cs="Arial"/>
          <w:sz w:val="22"/>
          <w:lang w:val="es-CO"/>
        </w:rPr>
        <w:t>stos no se puede</w:t>
      </w:r>
      <w:r w:rsidR="005B2642">
        <w:rPr>
          <w:rFonts w:ascii="Arial" w:hAnsi="Arial" w:cs="Arial"/>
          <w:sz w:val="22"/>
          <w:lang w:val="es-CO"/>
        </w:rPr>
        <w:t>n</w:t>
      </w:r>
      <w:r w:rsidRPr="00386FC9">
        <w:rPr>
          <w:rFonts w:ascii="Arial" w:hAnsi="Arial" w:cs="Arial"/>
          <w:sz w:val="22"/>
          <w:lang w:val="es-CO"/>
        </w:rPr>
        <w:t xml:space="preserve"> </w:t>
      </w:r>
      <w:r w:rsidR="005B2642">
        <w:rPr>
          <w:rFonts w:ascii="Arial" w:hAnsi="Arial" w:cs="Arial"/>
          <w:sz w:val="22"/>
          <w:lang w:val="es-CO"/>
        </w:rPr>
        <w:t xml:space="preserve">prevenir, </w:t>
      </w:r>
      <w:r w:rsidRPr="00386FC9">
        <w:rPr>
          <w:rFonts w:ascii="Arial" w:hAnsi="Arial" w:cs="Arial"/>
          <w:sz w:val="22"/>
          <w:lang w:val="es-CO"/>
        </w:rPr>
        <w:t xml:space="preserve">evitar o mitigar.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En este caso, el interesado en obtener licencia ambiental deberá formular petición por escrito dirigida a la autoridad ambiental competente, en la cual solicitará que se determine si el proyecto, obra o actividad requiere o no de la elaboración y presentación de Diagnóstico Ambiental de Alternativas </w:t>
      </w:r>
      <w:r w:rsidR="005B2642">
        <w:rPr>
          <w:rFonts w:ascii="Arial" w:hAnsi="Arial" w:cs="Arial"/>
          <w:sz w:val="22"/>
          <w:lang w:val="es-CO"/>
        </w:rPr>
        <w:t>–</w:t>
      </w:r>
      <w:r w:rsidRPr="00386FC9">
        <w:rPr>
          <w:rFonts w:ascii="Arial" w:hAnsi="Arial" w:cs="Arial"/>
          <w:sz w:val="22"/>
          <w:lang w:val="es-CO"/>
        </w:rPr>
        <w:t xml:space="preserve"> DAA</w:t>
      </w:r>
      <w:r w:rsidR="005B2642">
        <w:rPr>
          <w:rFonts w:ascii="Arial" w:hAnsi="Arial" w:cs="Arial"/>
          <w:sz w:val="22"/>
          <w:lang w:val="es-CO"/>
        </w:rPr>
        <w:t>. L</w:t>
      </w:r>
      <w:r w:rsidRPr="00386FC9">
        <w:rPr>
          <w:rFonts w:ascii="Arial" w:hAnsi="Arial" w:cs="Arial"/>
          <w:sz w:val="22"/>
          <w:lang w:val="es-CO"/>
        </w:rPr>
        <w:t>a solicitud deberá contener la descripción, el objetivo y alcance del proyecto y la localización</w:t>
      </w:r>
      <w:r w:rsidR="005B2642">
        <w:rPr>
          <w:rFonts w:ascii="Arial" w:hAnsi="Arial" w:cs="Arial"/>
          <w:sz w:val="22"/>
          <w:lang w:val="es-CO"/>
        </w:rPr>
        <w:t xml:space="preserve"> del mismo</w:t>
      </w:r>
      <w:r w:rsidRPr="00386FC9">
        <w:rPr>
          <w:rFonts w:ascii="Arial" w:hAnsi="Arial" w:cs="Arial"/>
          <w:sz w:val="22"/>
          <w:lang w:val="es-CO"/>
        </w:rPr>
        <w:t xml:space="preserve"> mediante coordenadas y planos.</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Dentro de los quince (15) días hábiles siguientes a la radicación de la solicitud, la autoridad ambiental se pronunciará mediante oficio acerca de la necesidad de presentar o no DAA, adjuntando Io</w:t>
      </w:r>
      <w:r w:rsidR="005B2642">
        <w:rPr>
          <w:rFonts w:ascii="Arial" w:hAnsi="Arial" w:cs="Arial"/>
          <w:sz w:val="22"/>
          <w:lang w:val="es-CO"/>
        </w:rPr>
        <w:t>s</w:t>
      </w:r>
      <w:r w:rsidRPr="00386FC9">
        <w:rPr>
          <w:rFonts w:ascii="Arial" w:hAnsi="Arial" w:cs="Arial"/>
          <w:sz w:val="22"/>
          <w:lang w:val="es-CO"/>
        </w:rPr>
        <w:t xml:space="preserve"> términos de referencia para elaboración del DAA ó del EIA</w:t>
      </w:r>
      <w:r w:rsidR="005B2642">
        <w:rPr>
          <w:rFonts w:ascii="Arial" w:hAnsi="Arial" w:cs="Arial"/>
          <w:sz w:val="22"/>
          <w:lang w:val="es-CO"/>
        </w:rPr>
        <w:t>,</w:t>
      </w:r>
      <w:r w:rsidRPr="00386FC9">
        <w:rPr>
          <w:rFonts w:ascii="Arial" w:hAnsi="Arial" w:cs="Arial"/>
          <w:sz w:val="22"/>
          <w:lang w:val="es-CO"/>
        </w:rPr>
        <w:t xml:space="preserve"> según el caso.</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Si la Autoridad Ambiental determina la necesidad de DAA, el interesado deberá radicar el estudio referido. Una vez recibida la información, la autoridad ambiental dentro de los cinco (5) días siguientes a su presentación, dictará un acto administrativo de inicio de trámite de evaluación de Diagnóstico Ambiental de Alternativas DAA.</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Una vez ejecutoriado el auto de inicio de trámite, la autoridad ambiental en un plazo de treinta (30) días hábiles, evaluará el DAA y elegirá la alternativa sobre la cual </w:t>
      </w:r>
      <w:r w:rsidR="005B2642">
        <w:rPr>
          <w:rFonts w:ascii="Arial" w:hAnsi="Arial" w:cs="Arial"/>
          <w:sz w:val="22"/>
          <w:lang w:val="es-CO"/>
        </w:rPr>
        <w:t xml:space="preserve">el interesado </w:t>
      </w:r>
      <w:r w:rsidRPr="00386FC9">
        <w:rPr>
          <w:rFonts w:ascii="Arial" w:hAnsi="Arial" w:cs="Arial"/>
          <w:sz w:val="22"/>
          <w:lang w:val="es-CO"/>
        </w:rPr>
        <w:t>deberá elaborar el correspondiente Estudio de Impacto Ambiental y</w:t>
      </w:r>
      <w:r w:rsidR="005B2642">
        <w:rPr>
          <w:rFonts w:ascii="Arial" w:hAnsi="Arial" w:cs="Arial"/>
          <w:sz w:val="22"/>
          <w:lang w:val="es-CO"/>
        </w:rPr>
        <w:t xml:space="preserve"> así mismo</w:t>
      </w:r>
      <w:r w:rsidRPr="00386FC9">
        <w:rPr>
          <w:rFonts w:ascii="Arial" w:hAnsi="Arial" w:cs="Arial"/>
          <w:sz w:val="22"/>
          <w:lang w:val="es-CO"/>
        </w:rPr>
        <w:t xml:space="preserve"> fijará los términos de referencia respectivos.</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El Artículo 24 del Decreto 2820 de 2010, establece el contenido y los requisitos formales que deben ser cumplidos por el interesado en la solicitud de Licencia Ambiental ante la Autoridad Ambiental.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Por su parte, sobre la evaluación del Estudio de Impacto Ambiental, una vez realizada la solicitud de Licencia Ambiental con el lleno de los requisitos legales, la autoridad ambiental, contará con cinco (5) días hábiles para expedir el auto de inicio de trámite de Licencia Ambiental.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lastRenderedPageBreak/>
        <w:t>Una vez ejecutoriado el auto de inicio de trámite, dentro de los quince (15) días hábiles siguientes la autoridad ambiental, solicitará a otras autoridades o entidades los conceptos técnicos o informaciones pertinentes que deben ser remitidos en un plazo no superior a veinte (20) días hábiles, contados desde la fecha de radicación de la comunicación correspondiente.</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Recibida la información o vencido el término de requerimiento de informaciones a otras autoridades o entidades, la autoridad ambiental podrá solicitar al interesado dentro de los veinte (20) días hábiles siguientes mediante acto administrativo, la información adicional que se considere para decidir. Allegada la información por parte del interesado, la autoridad ambiental en un término de cinco (5) días hábiles expedirá el auto de trámite que declare reunida toda la información requerida para decidir.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La autoridad ambiental decidirá la viabilidad del proyecto, obra o actividad, en un término de veinticinco (25) días hábiles, contados a partir de la expedición del auto que declare reunida la información. (Artículo 25 del Decreto 2820 de 2010). En el evento en que durante el trámite de licenciamiento ambiental</w:t>
      </w:r>
      <w:r w:rsidRPr="00386FC9">
        <w:rPr>
          <w:rFonts w:ascii="Arial" w:hAnsi="Arial" w:cs="Arial"/>
          <w:sz w:val="22"/>
        </w:rPr>
        <w:t xml:space="preserve"> </w:t>
      </w:r>
      <w:r w:rsidRPr="00386FC9">
        <w:rPr>
          <w:rFonts w:ascii="Arial" w:hAnsi="Arial" w:cs="Arial"/>
          <w:sz w:val="22"/>
          <w:lang w:val="es-CO"/>
        </w:rPr>
        <w:t>se solicite o sea necesaria la celebración de una audiencia pública ambiental, de</w:t>
      </w:r>
      <w:r w:rsidRPr="00386FC9">
        <w:rPr>
          <w:rFonts w:ascii="Arial" w:hAnsi="Arial" w:cs="Arial"/>
          <w:sz w:val="22"/>
        </w:rPr>
        <w:t xml:space="preserve"> </w:t>
      </w:r>
      <w:r w:rsidRPr="00386FC9">
        <w:rPr>
          <w:rFonts w:ascii="Arial" w:hAnsi="Arial" w:cs="Arial"/>
          <w:sz w:val="22"/>
          <w:lang w:val="es-CO"/>
        </w:rPr>
        <w:t>conformidad con lo establecido en e1artículo 72 de la Ley 99 de 1993 y el Decreto 330 de 2007 o la norma que lo modifique o sustituya, se suspenderán los términos que tiene la autoridad ambiental para decidir mientras la audiencia pública se practica.</w:t>
      </w:r>
      <w:r w:rsidR="00850A47">
        <w:rPr>
          <w:rFonts w:ascii="Arial" w:hAnsi="Arial" w:cs="Arial"/>
          <w:sz w:val="22"/>
          <w:lang w:val="es-CO"/>
        </w:rPr>
        <w:t xml:space="preserve"> Adicionalmente se debe tener en cuenta que por el artículo 2</w:t>
      </w:r>
      <w:r w:rsidR="006A498B">
        <w:rPr>
          <w:rFonts w:ascii="Arial" w:hAnsi="Arial" w:cs="Arial"/>
          <w:sz w:val="22"/>
          <w:lang w:val="es-CO"/>
        </w:rPr>
        <w:t>24</w:t>
      </w:r>
      <w:r w:rsidR="00850A47">
        <w:rPr>
          <w:rFonts w:ascii="Arial" w:hAnsi="Arial" w:cs="Arial"/>
          <w:sz w:val="22"/>
          <w:lang w:val="es-CO"/>
        </w:rPr>
        <w:t xml:space="preserve"> de la </w:t>
      </w:r>
      <w:r w:rsidR="006A498B">
        <w:rPr>
          <w:rFonts w:ascii="Arial" w:hAnsi="Arial" w:cs="Arial"/>
          <w:sz w:val="22"/>
          <w:lang w:val="es-CO"/>
        </w:rPr>
        <w:t>L</w:t>
      </w:r>
      <w:r w:rsidR="00850A47">
        <w:rPr>
          <w:rFonts w:ascii="Arial" w:hAnsi="Arial" w:cs="Arial"/>
          <w:sz w:val="22"/>
          <w:lang w:val="es-CO"/>
        </w:rPr>
        <w:t xml:space="preserve">ey 1450 de 2010, </w:t>
      </w:r>
      <w:r w:rsidR="006A498B">
        <w:rPr>
          <w:rFonts w:ascii="Arial" w:hAnsi="Arial" w:cs="Arial"/>
          <w:sz w:val="22"/>
          <w:lang w:val="es-CO"/>
        </w:rPr>
        <w:t xml:space="preserve">la autoridad </w:t>
      </w:r>
      <w:r w:rsidR="006A498B">
        <w:rPr>
          <w:rFonts w:ascii="Arial" w:hAnsi="Arial" w:cs="Arial"/>
        </w:rPr>
        <w:t xml:space="preserve">hasta </w:t>
      </w:r>
      <w:r w:rsidR="006A498B" w:rsidRPr="00206739">
        <w:rPr>
          <w:rFonts w:ascii="Arial" w:hAnsi="Arial" w:cs="Arial"/>
          <w:sz w:val="22"/>
          <w:lang w:val="es-CO"/>
        </w:rPr>
        <w:t xml:space="preserve">noventa (90) días hábiles para decidir sobre la licencia ambiental, contados a partir del acto administrativo de trámite que reconozca que ha sido reunida toda la información requerida, según el procedimiento previsto en </w:t>
      </w:r>
      <w:r w:rsidR="006A498B">
        <w:rPr>
          <w:rFonts w:ascii="Arial" w:hAnsi="Arial" w:cs="Arial"/>
          <w:sz w:val="22"/>
          <w:lang w:val="es-CO"/>
        </w:rPr>
        <w:t>dicho a</w:t>
      </w:r>
      <w:r w:rsidR="006A498B" w:rsidRPr="00206739">
        <w:rPr>
          <w:rFonts w:ascii="Arial" w:hAnsi="Arial" w:cs="Arial"/>
          <w:sz w:val="22"/>
          <w:lang w:val="es-CO"/>
        </w:rPr>
        <w:t xml:space="preserve">rtículo. </w:t>
      </w:r>
      <w:r w:rsidR="00850A47">
        <w:rPr>
          <w:rFonts w:ascii="Arial" w:hAnsi="Arial" w:cs="Arial"/>
          <w:sz w:val="22"/>
          <w:lang w:val="es-CO"/>
        </w:rPr>
        <w:t xml:space="preserve">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Los profesionales que se requieren para la evaluación, control y seguimiento de una Licencia Ambiental son por lo general Abogados, Profesionales Sociales, Profesionales en Ingeniería de Minas, Geología, Biología, Ingeniería Forestal, Ingeniería Ambiental, Hidrología, Profesionales con especialidades en Calidad del Aire, además de los profesionales que demanden los proyectos en particular dadas las condiciones de cada uno de ellos y las necesidades de los estudios ambientales requeridos por la autoridad ambiental o presentados por los interesados en las solicitudes correspondientes.</w:t>
      </w:r>
    </w:p>
    <w:p w:rsidR="00386FC9" w:rsidRPr="00386FC9" w:rsidRDefault="00386FC9" w:rsidP="00386FC9">
      <w:pPr>
        <w:jc w:val="both"/>
        <w:rPr>
          <w:rFonts w:ascii="Arial" w:hAnsi="Arial" w:cs="Arial"/>
          <w:sz w:val="22"/>
          <w:lang w:val="es-CO"/>
        </w:rPr>
      </w:pPr>
    </w:p>
    <w:p w:rsidR="00CF7AC4" w:rsidRPr="00CF7AC4" w:rsidRDefault="00CF7AC4" w:rsidP="00386FC9">
      <w:pPr>
        <w:jc w:val="both"/>
        <w:rPr>
          <w:rFonts w:ascii="Arial" w:hAnsi="Arial" w:cs="Arial"/>
          <w:sz w:val="22"/>
          <w:lang w:val="es-CO"/>
        </w:rPr>
      </w:pPr>
      <w:r w:rsidRPr="00CF7AC4">
        <w:rPr>
          <w:rFonts w:ascii="Arial" w:hAnsi="Arial" w:cs="Arial"/>
          <w:sz w:val="22"/>
          <w:lang w:val="es-CO"/>
        </w:rPr>
        <w:t>A continuación se presenta el flujograma del procedimiento de licenciamiento ambiental:</w:t>
      </w:r>
    </w:p>
    <w:p w:rsidR="00386FC9" w:rsidRDefault="00386FC9" w:rsidP="00CF7AC4">
      <w:pPr>
        <w:ind w:left="708" w:firstLine="708"/>
        <w:jc w:val="both"/>
        <w:rPr>
          <w:rFonts w:ascii="Arial" w:hAnsi="Arial" w:cs="Arial"/>
          <w:sz w:val="22"/>
          <w:lang w:val="es-CO"/>
        </w:rPr>
      </w:pPr>
      <w:r w:rsidRPr="00386FC9">
        <w:rPr>
          <w:rFonts w:ascii="Arial" w:hAnsi="Arial" w:cs="Arial"/>
          <w:noProof/>
          <w:sz w:val="22"/>
          <w:lang w:val="es-CO" w:eastAsia="es-CO"/>
        </w:rPr>
        <w:lastRenderedPageBreak/>
        <w:drawing>
          <wp:inline distT="0" distB="0" distL="0" distR="0" wp14:anchorId="6BB50375" wp14:editId="1A527E71">
            <wp:extent cx="3327563" cy="2509114"/>
            <wp:effectExtent l="0" t="0" r="635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rcRect l="14236" t="18494" r="10197" b="10155"/>
                    <a:stretch>
                      <a:fillRect/>
                    </a:stretch>
                  </pic:blipFill>
                  <pic:spPr bwMode="auto">
                    <a:xfrm>
                      <a:off x="0" y="0"/>
                      <a:ext cx="3334792" cy="2514565"/>
                    </a:xfrm>
                    <a:prstGeom prst="rect">
                      <a:avLst/>
                    </a:prstGeom>
                    <a:noFill/>
                    <a:ln>
                      <a:noFill/>
                    </a:ln>
                  </pic:spPr>
                </pic:pic>
              </a:graphicData>
            </a:graphic>
          </wp:inline>
        </w:drawing>
      </w:r>
    </w:p>
    <w:p w:rsidR="00386FC9" w:rsidRPr="00CF7AC4" w:rsidRDefault="00386FC9" w:rsidP="00386FC9">
      <w:pPr>
        <w:numPr>
          <w:ilvl w:val="0"/>
          <w:numId w:val="13"/>
        </w:numPr>
        <w:jc w:val="both"/>
        <w:rPr>
          <w:rFonts w:ascii="Arial" w:hAnsi="Arial" w:cs="Arial"/>
          <w:b/>
          <w:i/>
          <w:sz w:val="22"/>
          <w:lang w:val="es-CO"/>
        </w:rPr>
      </w:pPr>
      <w:r w:rsidRPr="00CF7AC4">
        <w:rPr>
          <w:rFonts w:ascii="Arial" w:hAnsi="Arial" w:cs="Arial"/>
          <w:b/>
          <w:i/>
          <w:sz w:val="22"/>
          <w:lang w:val="es-CO"/>
        </w:rPr>
        <w:t>De acuerdo al artículo 3, numeral 1 del Decreto 3573 de 2011, ¿Cuántas y cuáles licencias ambientales se otorgaron a proyectos de exploración y explotación minera o de hidrocarburos desde la creación de la ANLA a la fecha?, presentar la información indicando el departamento, municipio, empresa y área de exploración de cada una de las licencias otorgadas.</w:t>
      </w:r>
    </w:p>
    <w:p w:rsidR="00F45CAD" w:rsidRPr="00F45CAD" w:rsidRDefault="00F45CAD" w:rsidP="00F45CAD">
      <w:pPr>
        <w:jc w:val="both"/>
        <w:rPr>
          <w:rFonts w:ascii="Arial" w:hAnsi="Arial" w:cs="Arial"/>
          <w:b/>
          <w:sz w:val="22"/>
          <w:lang w:val="es-CO"/>
        </w:rPr>
      </w:pPr>
    </w:p>
    <w:p w:rsidR="00F45CAD" w:rsidRPr="00F45CAD" w:rsidRDefault="00F45CAD" w:rsidP="00F45CAD">
      <w:pPr>
        <w:jc w:val="both"/>
        <w:rPr>
          <w:rFonts w:ascii="Arial" w:hAnsi="Arial" w:cs="Arial"/>
          <w:sz w:val="22"/>
          <w:lang w:val="es-CO"/>
        </w:rPr>
      </w:pPr>
      <w:r w:rsidRPr="00F45CAD">
        <w:rPr>
          <w:rFonts w:ascii="Arial" w:hAnsi="Arial" w:cs="Arial"/>
          <w:sz w:val="22"/>
          <w:lang w:val="es-CO"/>
        </w:rPr>
        <w:t xml:space="preserve">En el archivo adjunto al presente cuestionario, se relacionan las licencias ambientales que han sido otorgadas por parte de la ANLA </w:t>
      </w:r>
      <w:r w:rsidR="00CF7AC4">
        <w:rPr>
          <w:rFonts w:ascii="Arial" w:hAnsi="Arial" w:cs="Arial"/>
          <w:sz w:val="22"/>
          <w:lang w:val="es-CO"/>
        </w:rPr>
        <w:t xml:space="preserve">para el sector de hidrocarburos, </w:t>
      </w:r>
      <w:r w:rsidRPr="00F45CAD">
        <w:rPr>
          <w:rFonts w:ascii="Arial" w:hAnsi="Arial" w:cs="Arial"/>
          <w:sz w:val="22"/>
          <w:lang w:val="es-CO"/>
        </w:rPr>
        <w:t>desde su creación en el mes de septiembre del año 2011, así:</w:t>
      </w:r>
    </w:p>
    <w:p w:rsidR="00F45CAD" w:rsidRDefault="00F45CAD" w:rsidP="00F45CAD">
      <w:pPr>
        <w:jc w:val="both"/>
        <w:rPr>
          <w:rFonts w:ascii="Arial" w:hAnsi="Arial" w:cs="Arial"/>
          <w:sz w:val="22"/>
          <w:lang w:val="es-CO"/>
        </w:rPr>
      </w:pPr>
    </w:p>
    <w:tbl>
      <w:tblPr>
        <w:tblStyle w:val="Tablaconcuadrcula"/>
        <w:tblpPr w:leftFromText="141" w:rightFromText="141" w:vertAnchor="text" w:tblpY="1"/>
        <w:tblOverlap w:val="never"/>
        <w:tblW w:w="0" w:type="auto"/>
        <w:tblInd w:w="1951" w:type="dxa"/>
        <w:tblLook w:val="04A0" w:firstRow="1" w:lastRow="0" w:firstColumn="1" w:lastColumn="0" w:noHBand="0" w:noVBand="1"/>
      </w:tblPr>
      <w:tblGrid>
        <w:gridCol w:w="2679"/>
        <w:gridCol w:w="1432"/>
      </w:tblGrid>
      <w:tr w:rsidR="00CF7AC4" w:rsidTr="00160344">
        <w:tc>
          <w:tcPr>
            <w:tcW w:w="2679" w:type="dxa"/>
            <w:vAlign w:val="bottom"/>
          </w:tcPr>
          <w:p w:rsidR="00CF7AC4" w:rsidRPr="00CF7AC4" w:rsidRDefault="00CF7AC4" w:rsidP="00CF7AC4">
            <w:pPr>
              <w:jc w:val="both"/>
              <w:rPr>
                <w:rFonts w:ascii="Arial" w:hAnsi="Arial" w:cs="Arial"/>
                <w:b/>
                <w:sz w:val="20"/>
              </w:rPr>
            </w:pPr>
            <w:r w:rsidRPr="00CF7AC4">
              <w:rPr>
                <w:rFonts w:ascii="Arial" w:hAnsi="Arial" w:cs="Arial"/>
                <w:b/>
                <w:sz w:val="20"/>
              </w:rPr>
              <w:t>DEPARTAMENTO</w:t>
            </w:r>
          </w:p>
        </w:tc>
        <w:tc>
          <w:tcPr>
            <w:tcW w:w="1432" w:type="dxa"/>
            <w:vAlign w:val="bottom"/>
          </w:tcPr>
          <w:p w:rsidR="00CF7AC4" w:rsidRPr="00CF7AC4" w:rsidRDefault="00CF7AC4" w:rsidP="00CF7AC4">
            <w:pPr>
              <w:jc w:val="center"/>
              <w:rPr>
                <w:rFonts w:ascii="Arial" w:hAnsi="Arial" w:cs="Arial"/>
                <w:b/>
                <w:sz w:val="20"/>
              </w:rPr>
            </w:pPr>
            <w:r w:rsidRPr="00CF7AC4">
              <w:rPr>
                <w:rFonts w:ascii="Arial" w:hAnsi="Arial" w:cs="Arial"/>
                <w:b/>
                <w:sz w:val="20"/>
              </w:rPr>
              <w:t>No.</w:t>
            </w:r>
          </w:p>
        </w:tc>
      </w:tr>
      <w:tr w:rsidR="00CF7AC4" w:rsidTr="00160344">
        <w:tc>
          <w:tcPr>
            <w:tcW w:w="2679" w:type="dxa"/>
            <w:vAlign w:val="center"/>
          </w:tcPr>
          <w:p w:rsidR="00CF7AC4" w:rsidRPr="00CF7AC4" w:rsidRDefault="00CF7AC4" w:rsidP="00CF7AC4">
            <w:pPr>
              <w:jc w:val="both"/>
              <w:rPr>
                <w:rFonts w:ascii="Arial" w:hAnsi="Arial" w:cs="Arial"/>
                <w:sz w:val="20"/>
              </w:rPr>
            </w:pPr>
            <w:r w:rsidRPr="00CF7AC4">
              <w:rPr>
                <w:rFonts w:ascii="Arial" w:hAnsi="Arial" w:cs="Arial"/>
                <w:sz w:val="20"/>
              </w:rPr>
              <w:t>Antioqu</w:t>
            </w:r>
            <w:r>
              <w:rPr>
                <w:rFonts w:ascii="Arial" w:hAnsi="Arial" w:cs="Arial"/>
                <w:sz w:val="20"/>
              </w:rPr>
              <w:t>i</w:t>
            </w:r>
            <w:r w:rsidRPr="00CF7AC4">
              <w:rPr>
                <w:rFonts w:ascii="Arial" w:hAnsi="Arial" w:cs="Arial"/>
                <w:sz w:val="20"/>
              </w:rPr>
              <w:t>a</w:t>
            </w:r>
          </w:p>
        </w:tc>
        <w:tc>
          <w:tcPr>
            <w:tcW w:w="1432" w:type="dxa"/>
            <w:vAlign w:val="bottom"/>
          </w:tcPr>
          <w:p w:rsidR="00CF7AC4" w:rsidRPr="00CF7AC4" w:rsidRDefault="00CF7AC4" w:rsidP="00CF7AC4">
            <w:pPr>
              <w:jc w:val="center"/>
              <w:rPr>
                <w:rFonts w:ascii="Arial" w:hAnsi="Arial" w:cs="Arial"/>
                <w:sz w:val="20"/>
              </w:rPr>
            </w:pPr>
            <w:r w:rsidRPr="00CF7AC4">
              <w:rPr>
                <w:rFonts w:ascii="Arial" w:hAnsi="Arial" w:cs="Arial"/>
                <w:sz w:val="20"/>
              </w:rPr>
              <w:t>1</w:t>
            </w:r>
          </w:p>
        </w:tc>
      </w:tr>
      <w:tr w:rsidR="00CF7AC4" w:rsidTr="00160344">
        <w:tc>
          <w:tcPr>
            <w:tcW w:w="2679" w:type="dxa"/>
            <w:vAlign w:val="center"/>
          </w:tcPr>
          <w:p w:rsidR="00CF7AC4" w:rsidRPr="00CF7AC4" w:rsidRDefault="00CF7AC4" w:rsidP="00CF7AC4">
            <w:pPr>
              <w:jc w:val="both"/>
              <w:rPr>
                <w:rFonts w:ascii="Arial" w:hAnsi="Arial" w:cs="Arial"/>
                <w:sz w:val="20"/>
              </w:rPr>
            </w:pPr>
            <w:r w:rsidRPr="00CF7AC4">
              <w:rPr>
                <w:rFonts w:ascii="Arial" w:hAnsi="Arial" w:cs="Arial"/>
                <w:sz w:val="20"/>
              </w:rPr>
              <w:t>Arauca</w:t>
            </w:r>
          </w:p>
        </w:tc>
        <w:tc>
          <w:tcPr>
            <w:tcW w:w="1432" w:type="dxa"/>
            <w:vAlign w:val="bottom"/>
          </w:tcPr>
          <w:p w:rsidR="00CF7AC4" w:rsidRPr="00CF7AC4" w:rsidRDefault="00CF7AC4" w:rsidP="00CF7AC4">
            <w:pPr>
              <w:jc w:val="center"/>
              <w:rPr>
                <w:rFonts w:ascii="Arial" w:hAnsi="Arial" w:cs="Arial"/>
                <w:sz w:val="20"/>
              </w:rPr>
            </w:pPr>
            <w:r w:rsidRPr="00CF7AC4">
              <w:rPr>
                <w:rFonts w:ascii="Arial" w:hAnsi="Arial" w:cs="Arial"/>
                <w:sz w:val="20"/>
              </w:rPr>
              <w:t>0</w:t>
            </w:r>
          </w:p>
        </w:tc>
      </w:tr>
      <w:tr w:rsidR="00CF7AC4" w:rsidTr="00160344">
        <w:tc>
          <w:tcPr>
            <w:tcW w:w="2679" w:type="dxa"/>
            <w:vAlign w:val="center"/>
          </w:tcPr>
          <w:p w:rsidR="00CF7AC4" w:rsidRPr="00CF7AC4" w:rsidRDefault="00CF7AC4" w:rsidP="00CF7AC4">
            <w:pPr>
              <w:jc w:val="both"/>
              <w:rPr>
                <w:rFonts w:ascii="Arial" w:hAnsi="Arial" w:cs="Arial"/>
                <w:sz w:val="20"/>
              </w:rPr>
            </w:pPr>
            <w:r>
              <w:rPr>
                <w:rFonts w:ascii="Arial" w:hAnsi="Arial" w:cs="Arial"/>
                <w:sz w:val="20"/>
              </w:rPr>
              <w:t>Atlá</w:t>
            </w:r>
            <w:r w:rsidRPr="00CF7AC4">
              <w:rPr>
                <w:rFonts w:ascii="Arial" w:hAnsi="Arial" w:cs="Arial"/>
                <w:sz w:val="20"/>
              </w:rPr>
              <w:t>ntico</w:t>
            </w:r>
          </w:p>
        </w:tc>
        <w:tc>
          <w:tcPr>
            <w:tcW w:w="1432" w:type="dxa"/>
            <w:vAlign w:val="bottom"/>
          </w:tcPr>
          <w:p w:rsidR="00CF7AC4" w:rsidRPr="00CF7AC4" w:rsidRDefault="00CF7AC4" w:rsidP="00CF7AC4">
            <w:pPr>
              <w:jc w:val="center"/>
              <w:rPr>
                <w:rFonts w:ascii="Arial" w:hAnsi="Arial" w:cs="Arial"/>
                <w:sz w:val="20"/>
              </w:rPr>
            </w:pPr>
            <w:r w:rsidRPr="00CF7AC4">
              <w:rPr>
                <w:rFonts w:ascii="Arial" w:hAnsi="Arial" w:cs="Arial"/>
                <w:sz w:val="20"/>
              </w:rPr>
              <w:t>2</w:t>
            </w:r>
          </w:p>
        </w:tc>
      </w:tr>
      <w:tr w:rsidR="00CF7AC4" w:rsidTr="00160344">
        <w:tc>
          <w:tcPr>
            <w:tcW w:w="2679" w:type="dxa"/>
            <w:vAlign w:val="center"/>
          </w:tcPr>
          <w:p w:rsidR="00CF7AC4" w:rsidRPr="00CF7AC4" w:rsidRDefault="00CF7AC4" w:rsidP="00CF7AC4">
            <w:pPr>
              <w:jc w:val="both"/>
              <w:rPr>
                <w:rFonts w:ascii="Arial" w:hAnsi="Arial" w:cs="Arial"/>
                <w:sz w:val="20"/>
              </w:rPr>
            </w:pPr>
            <w:r w:rsidRPr="00CF7AC4">
              <w:rPr>
                <w:rFonts w:ascii="Arial" w:hAnsi="Arial" w:cs="Arial"/>
                <w:sz w:val="20"/>
              </w:rPr>
              <w:t>Bolivar</w:t>
            </w:r>
          </w:p>
        </w:tc>
        <w:tc>
          <w:tcPr>
            <w:tcW w:w="1432" w:type="dxa"/>
            <w:vAlign w:val="bottom"/>
          </w:tcPr>
          <w:p w:rsidR="00CF7AC4" w:rsidRPr="00CF7AC4" w:rsidRDefault="00CF7AC4" w:rsidP="00CF7AC4">
            <w:pPr>
              <w:jc w:val="center"/>
              <w:rPr>
                <w:rFonts w:ascii="Arial" w:hAnsi="Arial" w:cs="Arial"/>
                <w:sz w:val="20"/>
              </w:rPr>
            </w:pPr>
            <w:r w:rsidRPr="00CF7AC4">
              <w:rPr>
                <w:rFonts w:ascii="Arial" w:hAnsi="Arial" w:cs="Arial"/>
                <w:sz w:val="20"/>
              </w:rPr>
              <w:t>0</w:t>
            </w:r>
          </w:p>
        </w:tc>
      </w:tr>
      <w:tr w:rsidR="00CF7AC4" w:rsidTr="00160344">
        <w:tc>
          <w:tcPr>
            <w:tcW w:w="2679" w:type="dxa"/>
            <w:vAlign w:val="center"/>
          </w:tcPr>
          <w:p w:rsidR="00CF7AC4" w:rsidRPr="00CF7AC4" w:rsidRDefault="00CF7AC4" w:rsidP="0039759F">
            <w:pPr>
              <w:jc w:val="both"/>
              <w:rPr>
                <w:rFonts w:ascii="Arial" w:hAnsi="Arial" w:cs="Arial"/>
                <w:sz w:val="20"/>
              </w:rPr>
            </w:pPr>
            <w:r>
              <w:rPr>
                <w:rFonts w:ascii="Arial" w:hAnsi="Arial" w:cs="Arial"/>
                <w:sz w:val="20"/>
              </w:rPr>
              <w:t>Boyacá</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Caldas</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w:t>
            </w:r>
          </w:p>
        </w:tc>
      </w:tr>
      <w:tr w:rsidR="00CF7AC4" w:rsidTr="00160344">
        <w:tc>
          <w:tcPr>
            <w:tcW w:w="2679" w:type="dxa"/>
            <w:vAlign w:val="center"/>
          </w:tcPr>
          <w:p w:rsidR="00CF7AC4" w:rsidRPr="00CF7AC4" w:rsidRDefault="00CF7AC4" w:rsidP="0039759F">
            <w:pPr>
              <w:jc w:val="both"/>
              <w:rPr>
                <w:rFonts w:ascii="Arial" w:hAnsi="Arial" w:cs="Arial"/>
                <w:sz w:val="20"/>
              </w:rPr>
            </w:pPr>
            <w:r>
              <w:rPr>
                <w:rFonts w:ascii="Arial" w:hAnsi="Arial" w:cs="Arial"/>
                <w:sz w:val="20"/>
              </w:rPr>
              <w:t>Caquetá</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Casanare</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12</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Cauca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Cesar</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3</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Cordoba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0</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Cundinamarca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2</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Guajira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Huila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2</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Magdalena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4</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Meta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13</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Nariño</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0</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Norte Santander</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2</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Putumayo</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3</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Santander</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3</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Sucre</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0</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lastRenderedPageBreak/>
              <w:t>Tolima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3</w:t>
            </w:r>
          </w:p>
        </w:tc>
      </w:tr>
      <w:tr w:rsidR="00CF7AC4" w:rsidTr="00160344">
        <w:tc>
          <w:tcPr>
            <w:tcW w:w="2679" w:type="dxa"/>
            <w:vAlign w:val="center"/>
          </w:tcPr>
          <w:p w:rsidR="00CF7AC4" w:rsidRPr="00CF7AC4" w:rsidRDefault="00CF7AC4" w:rsidP="0039759F">
            <w:pPr>
              <w:jc w:val="both"/>
              <w:rPr>
                <w:rFonts w:ascii="Arial" w:hAnsi="Arial" w:cs="Arial"/>
                <w:sz w:val="20"/>
              </w:rPr>
            </w:pPr>
            <w:r w:rsidRPr="00CF7AC4">
              <w:rPr>
                <w:rFonts w:ascii="Arial" w:hAnsi="Arial" w:cs="Arial"/>
                <w:sz w:val="20"/>
              </w:rPr>
              <w:t>Valle Del Cauca</w:t>
            </w:r>
          </w:p>
        </w:tc>
        <w:tc>
          <w:tcPr>
            <w:tcW w:w="1432" w:type="dxa"/>
            <w:vAlign w:val="bottom"/>
          </w:tcPr>
          <w:p w:rsidR="00CF7AC4" w:rsidRPr="00CF7AC4" w:rsidRDefault="00CF7AC4" w:rsidP="0039759F">
            <w:pPr>
              <w:jc w:val="center"/>
              <w:rPr>
                <w:rFonts w:ascii="Arial" w:hAnsi="Arial" w:cs="Arial"/>
                <w:sz w:val="20"/>
              </w:rPr>
            </w:pPr>
            <w:r w:rsidRPr="00CF7AC4">
              <w:rPr>
                <w:rFonts w:ascii="Arial" w:hAnsi="Arial" w:cs="Arial"/>
                <w:sz w:val="20"/>
              </w:rPr>
              <w:t>0</w:t>
            </w:r>
          </w:p>
        </w:tc>
      </w:tr>
      <w:tr w:rsidR="00CF7AC4" w:rsidTr="00160344">
        <w:tc>
          <w:tcPr>
            <w:tcW w:w="2679" w:type="dxa"/>
            <w:vAlign w:val="bottom"/>
          </w:tcPr>
          <w:p w:rsidR="00CF7AC4" w:rsidRPr="00CF7AC4" w:rsidRDefault="00CF7AC4" w:rsidP="0039759F">
            <w:pPr>
              <w:jc w:val="both"/>
              <w:rPr>
                <w:rFonts w:ascii="Arial" w:hAnsi="Arial" w:cs="Arial"/>
                <w:b/>
                <w:bCs/>
                <w:sz w:val="20"/>
              </w:rPr>
            </w:pPr>
            <w:r w:rsidRPr="00CF7AC4">
              <w:rPr>
                <w:rFonts w:ascii="Arial" w:hAnsi="Arial" w:cs="Arial"/>
                <w:b/>
                <w:bCs/>
                <w:sz w:val="20"/>
              </w:rPr>
              <w:t>TOTAL</w:t>
            </w:r>
          </w:p>
        </w:tc>
        <w:tc>
          <w:tcPr>
            <w:tcW w:w="1432" w:type="dxa"/>
            <w:vAlign w:val="bottom"/>
          </w:tcPr>
          <w:p w:rsidR="00CF7AC4" w:rsidRPr="00CF7AC4" w:rsidRDefault="00CF7AC4" w:rsidP="0039759F">
            <w:pPr>
              <w:jc w:val="center"/>
              <w:rPr>
                <w:rFonts w:ascii="Arial" w:hAnsi="Arial" w:cs="Arial"/>
                <w:b/>
                <w:bCs/>
                <w:sz w:val="20"/>
              </w:rPr>
            </w:pPr>
            <w:r w:rsidRPr="00CF7AC4">
              <w:rPr>
                <w:rFonts w:ascii="Arial" w:hAnsi="Arial" w:cs="Arial"/>
                <w:b/>
                <w:bCs/>
                <w:sz w:val="20"/>
              </w:rPr>
              <w:t>55</w:t>
            </w:r>
          </w:p>
        </w:tc>
      </w:tr>
    </w:tbl>
    <w:p w:rsidR="00CF7AC4" w:rsidRDefault="00CF7AC4" w:rsidP="00F45CAD">
      <w:pPr>
        <w:jc w:val="both"/>
        <w:rPr>
          <w:rFonts w:ascii="Arial" w:hAnsi="Arial" w:cs="Arial"/>
          <w:sz w:val="22"/>
          <w:lang w:val="es-CO"/>
        </w:rPr>
      </w:pPr>
    </w:p>
    <w:p w:rsidR="00CF7AC4" w:rsidRDefault="00CF7AC4" w:rsidP="00F45CAD">
      <w:pPr>
        <w:jc w:val="both"/>
        <w:rPr>
          <w:rFonts w:ascii="Arial" w:hAnsi="Arial" w:cs="Arial"/>
          <w:sz w:val="22"/>
          <w:lang w:val="es-CO"/>
        </w:rPr>
      </w:pPr>
    </w:p>
    <w:p w:rsidR="00CF7AC4" w:rsidRDefault="00CF7AC4" w:rsidP="00F45CAD">
      <w:pPr>
        <w:jc w:val="both"/>
        <w:rPr>
          <w:rFonts w:ascii="Arial" w:hAnsi="Arial" w:cs="Arial"/>
          <w:sz w:val="22"/>
          <w:lang w:val="es-CO"/>
        </w:rPr>
      </w:pPr>
    </w:p>
    <w:p w:rsidR="00CF7AC4" w:rsidRPr="00CF7AC4" w:rsidRDefault="00CF7AC4" w:rsidP="00CF7AC4">
      <w:pPr>
        <w:rPr>
          <w:rFonts w:ascii="Arial" w:hAnsi="Arial" w:cs="Arial"/>
          <w:sz w:val="22"/>
          <w:lang w:val="es-CO"/>
        </w:rPr>
      </w:pPr>
    </w:p>
    <w:p w:rsidR="00CF7AC4" w:rsidRDefault="00CF7AC4" w:rsidP="00F45CAD">
      <w:pPr>
        <w:jc w:val="both"/>
        <w:rPr>
          <w:rFonts w:ascii="Arial" w:hAnsi="Arial" w:cs="Arial"/>
          <w:sz w:val="22"/>
          <w:lang w:val="es-CO"/>
        </w:rPr>
      </w:pPr>
    </w:p>
    <w:p w:rsidR="00F45CAD" w:rsidRDefault="00F45CAD" w:rsidP="00386FC9">
      <w:pPr>
        <w:jc w:val="both"/>
        <w:rPr>
          <w:rFonts w:ascii="Arial" w:hAnsi="Arial" w:cs="Arial"/>
          <w:sz w:val="22"/>
          <w:lang w:val="es-CO"/>
        </w:rPr>
      </w:pPr>
    </w:p>
    <w:p w:rsidR="00386FC9" w:rsidRDefault="00386FC9" w:rsidP="00386FC9">
      <w:pPr>
        <w:jc w:val="both"/>
        <w:rPr>
          <w:rFonts w:ascii="Arial" w:hAnsi="Arial" w:cs="Arial"/>
          <w:sz w:val="22"/>
          <w:lang w:val="es-CO"/>
        </w:rPr>
      </w:pPr>
      <w:r w:rsidRPr="00386FC9">
        <w:rPr>
          <w:rFonts w:ascii="Arial" w:hAnsi="Arial" w:cs="Arial"/>
          <w:sz w:val="22"/>
          <w:lang w:val="es-CO"/>
        </w:rPr>
        <w:t>Con respecto a las explotaciones mineras, desde la creación de la ANLA a la fecha sólo se ha asumido competencia del proyecto de explotación de material de arrastre en el río Saldaña, desarrollado por la empresa CEMENTOS ARGOS S.A., por cuenta de la modificación de la licencia ambiental otorgada por la Corporación Autónoma Regional del Tolima – CORTOLIMA. Este proyecto se encuentra localizado en el municipio de Saldaña, departamento del Tolima, en un área de 27,88 hectáreas.</w:t>
      </w:r>
    </w:p>
    <w:p w:rsidR="00160344" w:rsidRPr="00386FC9" w:rsidRDefault="00160344" w:rsidP="00386FC9">
      <w:pPr>
        <w:jc w:val="both"/>
        <w:rPr>
          <w:rFonts w:ascii="Arial" w:hAnsi="Arial" w:cs="Arial"/>
          <w:sz w:val="22"/>
          <w:lang w:val="es-CO"/>
        </w:rPr>
      </w:pPr>
    </w:p>
    <w:p w:rsidR="00386FC9" w:rsidRPr="00160344" w:rsidRDefault="00386FC9" w:rsidP="00386FC9">
      <w:pPr>
        <w:numPr>
          <w:ilvl w:val="0"/>
          <w:numId w:val="13"/>
        </w:numPr>
        <w:jc w:val="both"/>
        <w:rPr>
          <w:rFonts w:ascii="Arial" w:hAnsi="Arial" w:cs="Arial"/>
          <w:b/>
          <w:i/>
          <w:sz w:val="22"/>
          <w:lang w:val="es-CO"/>
        </w:rPr>
      </w:pPr>
      <w:r w:rsidRPr="00160344">
        <w:rPr>
          <w:rFonts w:ascii="Arial" w:hAnsi="Arial" w:cs="Arial"/>
          <w:b/>
          <w:i/>
          <w:sz w:val="22"/>
          <w:lang w:val="es-CO"/>
        </w:rPr>
        <w:t>De acuerdo al artículo 3, numeral 2 del Decreto 3573 de 2011, ¿Cuánto personal y tiempo en promedio se destinó para el seguimiento a cada una de las licencias ambientales otorgada a proyectos de exploración y explotación minera y de hidrocarburos desde la creación de la ANLA a la fecha?</w:t>
      </w:r>
    </w:p>
    <w:p w:rsid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Teniendo en cuenta la respuesta anterior, </w:t>
      </w:r>
      <w:r w:rsidR="00160344">
        <w:rPr>
          <w:rFonts w:ascii="Arial" w:hAnsi="Arial" w:cs="Arial"/>
          <w:sz w:val="22"/>
          <w:lang w:val="es-CO"/>
        </w:rPr>
        <w:t>para el sector de minería</w:t>
      </w:r>
      <w:r w:rsidR="00C557B3">
        <w:rPr>
          <w:rFonts w:ascii="Arial" w:hAnsi="Arial" w:cs="Arial"/>
          <w:sz w:val="22"/>
          <w:lang w:val="es-CO"/>
        </w:rPr>
        <w:t>,</w:t>
      </w:r>
      <w:r w:rsidR="00160344">
        <w:rPr>
          <w:rFonts w:ascii="Arial" w:hAnsi="Arial" w:cs="Arial"/>
          <w:sz w:val="22"/>
          <w:lang w:val="es-CO"/>
        </w:rPr>
        <w:t xml:space="preserve"> </w:t>
      </w:r>
      <w:r w:rsidRPr="00386FC9">
        <w:rPr>
          <w:rFonts w:ascii="Arial" w:hAnsi="Arial" w:cs="Arial"/>
          <w:sz w:val="22"/>
          <w:lang w:val="es-CO"/>
        </w:rPr>
        <w:t>desde la creación de la ANLA hasta la fecha</w:t>
      </w:r>
      <w:r w:rsidR="00C557B3">
        <w:rPr>
          <w:rFonts w:ascii="Arial" w:hAnsi="Arial" w:cs="Arial"/>
          <w:sz w:val="22"/>
          <w:lang w:val="es-CO"/>
        </w:rPr>
        <w:t>,</w:t>
      </w:r>
      <w:r w:rsidRPr="00386FC9">
        <w:rPr>
          <w:rFonts w:ascii="Arial" w:hAnsi="Arial" w:cs="Arial"/>
          <w:sz w:val="22"/>
          <w:lang w:val="es-CO"/>
        </w:rPr>
        <w:t xml:space="preserve"> sólo se asumió la competencia del proyecto de explotación de material del río Saldaña, desarrollada por la empresa CEMENTOS ARGOS S.A. en el municipio de Saldaña (Tolima). </w:t>
      </w:r>
      <w:r w:rsidR="00C557B3">
        <w:rPr>
          <w:rFonts w:ascii="Arial" w:hAnsi="Arial" w:cs="Arial"/>
          <w:sz w:val="22"/>
          <w:lang w:val="es-CO"/>
        </w:rPr>
        <w:t>Para dicho proyecto, d</w:t>
      </w:r>
      <w:r w:rsidRPr="00386FC9">
        <w:rPr>
          <w:rFonts w:ascii="Arial" w:hAnsi="Arial" w:cs="Arial"/>
          <w:sz w:val="22"/>
          <w:lang w:val="es-CO"/>
        </w:rPr>
        <w:t xml:space="preserve">esde que se modificó la licencia ambiental, inicialmente otorgada por CORTOLIMA, </w:t>
      </w:r>
      <w:r w:rsidR="00C557B3">
        <w:rPr>
          <w:rFonts w:ascii="Arial" w:hAnsi="Arial" w:cs="Arial"/>
          <w:sz w:val="22"/>
          <w:lang w:val="es-CO"/>
        </w:rPr>
        <w:t>s</w:t>
      </w:r>
      <w:r w:rsidRPr="00386FC9">
        <w:rPr>
          <w:rFonts w:ascii="Arial" w:hAnsi="Arial" w:cs="Arial"/>
          <w:sz w:val="22"/>
          <w:lang w:val="es-CO"/>
        </w:rPr>
        <w:t>e han realizado 2 visitas de seguimiento ambiental para las cuales la ANLA destinó 2 grupos de 3 profesionales cada uno (biótico, físico y social), acompañados de un profesional encargado de revisar el tema de las emisiones atmosféricas y la calidad del aire. Igualmente, este grupo técnico cuenta con la asesoría de un profesional en derecho, delegado para los aspectos netamente jurídicos.</w:t>
      </w:r>
    </w:p>
    <w:p w:rsidR="00386FC9" w:rsidRPr="00386FC9" w:rsidRDefault="00386FC9" w:rsidP="00386FC9">
      <w:pPr>
        <w:jc w:val="both"/>
        <w:rPr>
          <w:rFonts w:ascii="Arial" w:hAnsi="Arial" w:cs="Arial"/>
          <w:sz w:val="22"/>
          <w:lang w:val="es-CO"/>
        </w:rPr>
      </w:pPr>
    </w:p>
    <w:p w:rsidR="00386FC9" w:rsidRDefault="00386FC9" w:rsidP="00386FC9">
      <w:pPr>
        <w:jc w:val="both"/>
        <w:rPr>
          <w:rFonts w:ascii="Arial" w:hAnsi="Arial" w:cs="Arial"/>
          <w:sz w:val="22"/>
          <w:lang w:val="es-CO"/>
        </w:rPr>
      </w:pPr>
      <w:r w:rsidRPr="00386FC9">
        <w:rPr>
          <w:rFonts w:ascii="Arial" w:hAnsi="Arial" w:cs="Arial"/>
          <w:sz w:val="22"/>
          <w:lang w:val="es-CO"/>
        </w:rPr>
        <w:t xml:space="preserve">Para cada seguimiento ambiental, desde la visita hasta la elaboración del respectivo concepto técnico, </w:t>
      </w:r>
      <w:r w:rsidR="00C557B3" w:rsidRPr="008049AC">
        <w:rPr>
          <w:rFonts w:ascii="Arial" w:hAnsi="Arial" w:cs="Arial"/>
          <w:bCs/>
          <w:iCs/>
          <w:sz w:val="22"/>
          <w:lang w:val="es-CO"/>
        </w:rPr>
        <w:t>de acuerdo al manual de seguimiento ambiental no hay un tiempo estándar para el proceso de seguimiento</w:t>
      </w:r>
      <w:r w:rsidR="00C557B3">
        <w:rPr>
          <w:rFonts w:ascii="Arial" w:hAnsi="Arial" w:cs="Arial"/>
          <w:bCs/>
          <w:iCs/>
          <w:sz w:val="22"/>
          <w:lang w:val="es-CO"/>
        </w:rPr>
        <w:t xml:space="preserve">. </w:t>
      </w:r>
      <w:r w:rsidRPr="00386FC9">
        <w:rPr>
          <w:rFonts w:ascii="Arial" w:hAnsi="Arial" w:cs="Arial"/>
          <w:sz w:val="22"/>
          <w:lang w:val="es-CO"/>
        </w:rPr>
        <w:t>.</w:t>
      </w:r>
    </w:p>
    <w:p w:rsidR="00160344" w:rsidRDefault="00160344" w:rsidP="00386FC9">
      <w:pPr>
        <w:jc w:val="both"/>
        <w:rPr>
          <w:rFonts w:ascii="Arial" w:hAnsi="Arial" w:cs="Arial"/>
          <w:sz w:val="22"/>
          <w:lang w:val="es-CO"/>
        </w:rPr>
      </w:pPr>
    </w:p>
    <w:p w:rsidR="008049AC" w:rsidRDefault="008049AC" w:rsidP="008049AC">
      <w:pPr>
        <w:jc w:val="both"/>
        <w:rPr>
          <w:rFonts w:ascii="Arial" w:hAnsi="Arial" w:cs="Arial"/>
          <w:bCs/>
          <w:iCs/>
          <w:sz w:val="22"/>
          <w:lang w:val="es-CO"/>
        </w:rPr>
      </w:pPr>
      <w:r>
        <w:rPr>
          <w:rFonts w:ascii="Arial" w:hAnsi="Arial" w:cs="Arial"/>
          <w:bCs/>
          <w:iCs/>
          <w:sz w:val="22"/>
          <w:lang w:val="es-CO"/>
        </w:rPr>
        <w:t xml:space="preserve">En el sector de </w:t>
      </w:r>
      <w:r w:rsidRPr="008049AC">
        <w:rPr>
          <w:rFonts w:ascii="Arial" w:hAnsi="Arial" w:cs="Arial"/>
          <w:bCs/>
          <w:iCs/>
          <w:sz w:val="22"/>
          <w:lang w:val="es-CO"/>
        </w:rPr>
        <w:t>h</w:t>
      </w:r>
      <w:r w:rsidRPr="008049AC">
        <w:rPr>
          <w:rFonts w:ascii="Arial" w:hAnsi="Arial" w:cs="Arial"/>
          <w:sz w:val="22"/>
          <w:lang w:val="es-CO"/>
        </w:rPr>
        <w:t>idrocarburos</w:t>
      </w:r>
      <w:r>
        <w:rPr>
          <w:rFonts w:ascii="Arial" w:hAnsi="Arial" w:cs="Arial"/>
          <w:sz w:val="22"/>
          <w:lang w:val="es-CO"/>
        </w:rPr>
        <w:t>, p</w:t>
      </w:r>
      <w:r w:rsidRPr="008049AC">
        <w:rPr>
          <w:rFonts w:ascii="Arial" w:hAnsi="Arial" w:cs="Arial"/>
          <w:bCs/>
          <w:iCs/>
          <w:sz w:val="22"/>
          <w:lang w:val="es-CO"/>
        </w:rPr>
        <w:t xml:space="preserve">ara cada proyecto objeto de seguimiento ambiental se  destinan tres profesionales idóneos con formación en cada disciplina a saber (componente físico, componente biótico y componente social). </w:t>
      </w:r>
      <w:r w:rsidR="00C557B3">
        <w:rPr>
          <w:rFonts w:ascii="Arial" w:hAnsi="Arial" w:cs="Arial"/>
          <w:bCs/>
          <w:iCs/>
          <w:sz w:val="22"/>
          <w:lang w:val="es-CO"/>
        </w:rPr>
        <w:t>P</w:t>
      </w:r>
      <w:r w:rsidRPr="008049AC">
        <w:rPr>
          <w:rFonts w:ascii="Arial" w:hAnsi="Arial" w:cs="Arial"/>
          <w:bCs/>
          <w:iCs/>
          <w:sz w:val="22"/>
          <w:lang w:val="es-CO"/>
        </w:rPr>
        <w:t>ara realizar la visita y elaborar el concepto técnico, dos revisores (físico biótico y social) para hacer la r</w:t>
      </w:r>
      <w:r>
        <w:rPr>
          <w:rFonts w:ascii="Arial" w:hAnsi="Arial" w:cs="Arial"/>
          <w:bCs/>
          <w:iCs/>
          <w:sz w:val="22"/>
          <w:lang w:val="es-CO"/>
        </w:rPr>
        <w:t>evisión y aprobación del mismo.</w:t>
      </w:r>
    </w:p>
    <w:p w:rsidR="008049AC" w:rsidRDefault="008049AC" w:rsidP="008049AC">
      <w:pPr>
        <w:jc w:val="both"/>
        <w:rPr>
          <w:rFonts w:ascii="Arial" w:hAnsi="Arial" w:cs="Arial"/>
          <w:bCs/>
          <w:iCs/>
          <w:sz w:val="22"/>
          <w:lang w:val="es-CO"/>
        </w:rPr>
      </w:pPr>
    </w:p>
    <w:p w:rsidR="008049AC" w:rsidRPr="008049AC" w:rsidRDefault="008049AC" w:rsidP="008049AC">
      <w:pPr>
        <w:jc w:val="both"/>
        <w:rPr>
          <w:rFonts w:ascii="Arial" w:hAnsi="Arial" w:cs="Arial"/>
          <w:bCs/>
          <w:iCs/>
          <w:sz w:val="22"/>
          <w:lang w:val="es-CO"/>
        </w:rPr>
      </w:pPr>
      <w:r w:rsidRPr="008049AC">
        <w:rPr>
          <w:rFonts w:ascii="Arial" w:hAnsi="Arial" w:cs="Arial"/>
          <w:bCs/>
          <w:iCs/>
          <w:sz w:val="22"/>
          <w:lang w:val="es-CO"/>
        </w:rPr>
        <w:t>El tiempo estimado para cada seguimiento varía de acuerdo a la complejidad del mismo, el cual puede oscilar entre tres (3) o cinco (5) días de visita dependiendo de las características del proyecto, además de la dedicación para la elaboración del concepto técnico, y el acto administrativo. Por esta razón y de acuerdo al manual de seguimiento ambiental no hay un tiempo estándar para el proceso de seguimiento.</w:t>
      </w:r>
    </w:p>
    <w:p w:rsidR="008049AC" w:rsidRPr="008049AC" w:rsidRDefault="008049AC" w:rsidP="008049AC">
      <w:pPr>
        <w:jc w:val="both"/>
        <w:rPr>
          <w:rFonts w:ascii="Arial" w:hAnsi="Arial" w:cs="Arial"/>
          <w:bCs/>
          <w:iCs/>
          <w:sz w:val="22"/>
          <w:lang w:val="es-CO"/>
        </w:rPr>
      </w:pPr>
    </w:p>
    <w:p w:rsidR="008049AC" w:rsidRPr="008049AC" w:rsidRDefault="008049AC" w:rsidP="008049AC">
      <w:pPr>
        <w:jc w:val="both"/>
        <w:rPr>
          <w:rFonts w:ascii="Arial" w:hAnsi="Arial" w:cs="Arial"/>
          <w:bCs/>
          <w:iCs/>
          <w:sz w:val="22"/>
          <w:lang w:val="es-CO"/>
        </w:rPr>
      </w:pPr>
      <w:r w:rsidRPr="008049AC">
        <w:rPr>
          <w:rFonts w:ascii="Arial" w:hAnsi="Arial" w:cs="Arial"/>
          <w:bCs/>
          <w:iCs/>
          <w:sz w:val="22"/>
          <w:lang w:val="es-CO"/>
        </w:rPr>
        <w:t>Finalmente es necesario indicar que en el 2012 se tenían 19 grupos de evaluación y seguimiento en el sector de hidrocarburos y en el 2013 se cuentan 8 grupos con exclusividad al seguimiento ambiental a proyectos de hidrocarburos, con un indicador promedio de 1.5 seguimientos por mes</w:t>
      </w:r>
      <w:r w:rsidR="00C557B3">
        <w:rPr>
          <w:rFonts w:ascii="Arial" w:hAnsi="Arial" w:cs="Arial"/>
          <w:bCs/>
          <w:iCs/>
          <w:sz w:val="22"/>
          <w:lang w:val="es-CO"/>
        </w:rPr>
        <w:t>,</w:t>
      </w:r>
      <w:r w:rsidRPr="008049AC">
        <w:rPr>
          <w:rFonts w:ascii="Arial" w:hAnsi="Arial" w:cs="Arial"/>
          <w:bCs/>
          <w:iCs/>
          <w:sz w:val="22"/>
          <w:lang w:val="es-CO"/>
        </w:rPr>
        <w:t xml:space="preserve"> por grupo.</w:t>
      </w:r>
    </w:p>
    <w:p w:rsidR="008049AC" w:rsidRPr="008049AC" w:rsidRDefault="008049AC" w:rsidP="008049AC">
      <w:pPr>
        <w:jc w:val="both"/>
        <w:rPr>
          <w:rFonts w:ascii="Arial" w:hAnsi="Arial" w:cs="Arial"/>
          <w:bCs/>
          <w:iCs/>
          <w:sz w:val="22"/>
          <w:lang w:val="es-CO"/>
        </w:rPr>
      </w:pPr>
    </w:p>
    <w:p w:rsidR="00386FC9" w:rsidRPr="00160344" w:rsidRDefault="00386FC9" w:rsidP="00386FC9">
      <w:pPr>
        <w:numPr>
          <w:ilvl w:val="0"/>
          <w:numId w:val="13"/>
        </w:numPr>
        <w:jc w:val="both"/>
        <w:rPr>
          <w:rFonts w:ascii="Arial" w:hAnsi="Arial" w:cs="Arial"/>
          <w:b/>
          <w:i/>
          <w:sz w:val="22"/>
          <w:lang w:val="es-CO"/>
        </w:rPr>
      </w:pPr>
      <w:r w:rsidRPr="00160344">
        <w:rPr>
          <w:rFonts w:ascii="Arial" w:hAnsi="Arial" w:cs="Arial"/>
          <w:b/>
          <w:i/>
          <w:sz w:val="22"/>
          <w:lang w:val="es-CO"/>
        </w:rPr>
        <w:t>En qué consiste y cómo se lleva a cabo el acompañamiento, seguimiento y control por parte de la ANLA a las actividades desarrollados en el país por las empresas que extraen minerales o hidrocarburos?</w:t>
      </w:r>
    </w:p>
    <w:p w:rsidR="00386FC9" w:rsidRDefault="00386FC9" w:rsidP="00386FC9">
      <w:pPr>
        <w:jc w:val="both"/>
        <w:rPr>
          <w:rFonts w:ascii="Arial" w:hAnsi="Arial" w:cs="Arial"/>
          <w:sz w:val="22"/>
          <w:lang w:val="es-CO"/>
        </w:rPr>
      </w:pPr>
    </w:p>
    <w:p w:rsidR="00160344" w:rsidRPr="00160344" w:rsidRDefault="00160344" w:rsidP="00160344">
      <w:pPr>
        <w:jc w:val="both"/>
        <w:rPr>
          <w:rFonts w:ascii="Arial" w:hAnsi="Arial" w:cs="Arial"/>
          <w:sz w:val="22"/>
        </w:rPr>
      </w:pPr>
      <w:r w:rsidRPr="00160344">
        <w:rPr>
          <w:rFonts w:ascii="Arial" w:hAnsi="Arial" w:cs="Arial"/>
          <w:sz w:val="22"/>
        </w:rPr>
        <w:t>En primer lugar, la ANLA ejerce la función de control y seguimiento ambiental a los proyectos de su competencia de acuerdo a lo establecido en el Título VI del Decreto 2820 de 2010, el cual reglamenta todo lo referente al control y seguimiento ambiental de proyectos, obras o actividades que los requieran, siendo su propósito:</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i/>
          <w:sz w:val="22"/>
        </w:rPr>
      </w:pPr>
      <w:r>
        <w:rPr>
          <w:rFonts w:ascii="Arial" w:hAnsi="Arial" w:cs="Arial"/>
          <w:sz w:val="22"/>
        </w:rPr>
        <w:t>“</w:t>
      </w:r>
      <w:r w:rsidRPr="00160344">
        <w:rPr>
          <w:rFonts w:ascii="Arial" w:hAnsi="Arial" w:cs="Arial"/>
          <w:i/>
          <w:sz w:val="22"/>
        </w:rPr>
        <w:t>(…) 1.</w:t>
      </w:r>
      <w:r w:rsidRPr="00160344">
        <w:rPr>
          <w:rFonts w:ascii="Arial" w:hAnsi="Arial" w:cs="Arial"/>
          <w:i/>
          <w:sz w:val="22"/>
        </w:rPr>
        <w:tab/>
        <w:t>Verificar la eficiencia y eficacia de las medidas de manejo implementadas en relación con el plan de manejo ambiental, el programa de seguimiento y monitoreo, el plan de contingencia, así como el plan de desmantelamiento y abandono y el plan de inversión del 1%, si aplican.</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i/>
          <w:sz w:val="22"/>
        </w:rPr>
      </w:pPr>
      <w:r w:rsidRPr="00160344">
        <w:rPr>
          <w:rFonts w:ascii="Arial" w:hAnsi="Arial" w:cs="Arial"/>
          <w:i/>
          <w:sz w:val="22"/>
        </w:rPr>
        <w:t>2.</w:t>
      </w:r>
      <w:r w:rsidRPr="00160344">
        <w:rPr>
          <w:rFonts w:ascii="Arial" w:hAnsi="Arial" w:cs="Arial"/>
          <w:i/>
          <w:sz w:val="22"/>
        </w:rPr>
        <w:tab/>
        <w:t>Constatar y exigir el cumplimiento de todos los términos, obligaciones y condiciones que se deriven de la Licencia Ambiental o Plan de Manejo Ambiental.</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i/>
          <w:sz w:val="22"/>
        </w:rPr>
      </w:pPr>
      <w:r w:rsidRPr="00160344">
        <w:rPr>
          <w:rFonts w:ascii="Arial" w:hAnsi="Arial" w:cs="Arial"/>
          <w:i/>
          <w:sz w:val="22"/>
        </w:rPr>
        <w:t>3.</w:t>
      </w:r>
      <w:r w:rsidRPr="00160344">
        <w:rPr>
          <w:rFonts w:ascii="Arial" w:hAnsi="Arial" w:cs="Arial"/>
          <w:i/>
          <w:sz w:val="22"/>
        </w:rPr>
        <w:tab/>
        <w:t>Corroborar el comportamiento de los medios bióticos, abióticos y socioeconómicos y de los recursos naturales frente al desarrollo del proyecto.</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i/>
          <w:sz w:val="22"/>
        </w:rPr>
      </w:pPr>
      <w:r w:rsidRPr="00160344">
        <w:rPr>
          <w:rFonts w:ascii="Arial" w:hAnsi="Arial" w:cs="Arial"/>
          <w:i/>
          <w:sz w:val="22"/>
        </w:rPr>
        <w:t>4.</w:t>
      </w:r>
      <w:r w:rsidRPr="00160344">
        <w:rPr>
          <w:rFonts w:ascii="Arial" w:hAnsi="Arial" w:cs="Arial"/>
          <w:i/>
          <w:sz w:val="22"/>
        </w:rPr>
        <w:tab/>
        <w:t>Revisar los impactos acumulativos generados por los proyectos, obras o actividades sujetos a licencia ambiental y localizados en una misma área de acuerdo con los estudios que para el efecto exija de sus titulares e imponer a cada uno de los proyectos las restricciones ambientales que considere pertinentes con el fin de disminuir el impacto ambiental en el área.</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i/>
          <w:sz w:val="22"/>
        </w:rPr>
      </w:pPr>
      <w:r w:rsidRPr="00160344">
        <w:rPr>
          <w:rFonts w:ascii="Arial" w:hAnsi="Arial" w:cs="Arial"/>
          <w:i/>
          <w:sz w:val="22"/>
        </w:rPr>
        <w:t>5.</w:t>
      </w:r>
      <w:r w:rsidRPr="00160344">
        <w:rPr>
          <w:rFonts w:ascii="Arial" w:hAnsi="Arial" w:cs="Arial"/>
          <w:i/>
          <w:sz w:val="22"/>
        </w:rPr>
        <w:tab/>
        <w:t>Verificar el cumplimiento de los permisos, concesiones o autorizaciones ambientales por el uso y/o utilización de los recursos naturales renovables, autorizados en la Licencia Ambiental.</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i/>
          <w:sz w:val="22"/>
        </w:rPr>
      </w:pPr>
      <w:r w:rsidRPr="00160344">
        <w:rPr>
          <w:rFonts w:ascii="Arial" w:hAnsi="Arial" w:cs="Arial"/>
          <w:i/>
          <w:sz w:val="22"/>
        </w:rPr>
        <w:t>6.</w:t>
      </w:r>
      <w:r w:rsidRPr="00160344">
        <w:rPr>
          <w:rFonts w:ascii="Arial" w:hAnsi="Arial" w:cs="Arial"/>
          <w:i/>
          <w:sz w:val="22"/>
        </w:rPr>
        <w:tab/>
        <w:t>Verificar el cumplimiento de la normatividad ambiental aplicable al proyecto, obra o actividad.</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i/>
          <w:sz w:val="22"/>
        </w:rPr>
      </w:pPr>
      <w:r w:rsidRPr="00160344">
        <w:rPr>
          <w:rFonts w:ascii="Arial" w:hAnsi="Arial" w:cs="Arial"/>
          <w:i/>
          <w:sz w:val="22"/>
        </w:rPr>
        <w:t>7.</w:t>
      </w:r>
      <w:r w:rsidRPr="00160344">
        <w:rPr>
          <w:rFonts w:ascii="Arial" w:hAnsi="Arial" w:cs="Arial"/>
          <w:i/>
          <w:sz w:val="22"/>
        </w:rPr>
        <w:tab/>
        <w:t>Verificar los hechos y las medidas ambientales implementadas para corregir las contingencias ambientales ocurridas.</w:t>
      </w:r>
    </w:p>
    <w:p w:rsidR="00160344" w:rsidRPr="00160344" w:rsidRDefault="00160344" w:rsidP="00160344">
      <w:pPr>
        <w:jc w:val="both"/>
        <w:rPr>
          <w:rFonts w:ascii="Arial" w:hAnsi="Arial" w:cs="Arial"/>
          <w:i/>
          <w:sz w:val="22"/>
        </w:rPr>
      </w:pPr>
    </w:p>
    <w:p w:rsidR="00160344" w:rsidRPr="00160344" w:rsidRDefault="00160344" w:rsidP="00160344">
      <w:pPr>
        <w:jc w:val="both"/>
        <w:rPr>
          <w:rFonts w:ascii="Arial" w:hAnsi="Arial" w:cs="Arial"/>
          <w:sz w:val="22"/>
        </w:rPr>
      </w:pPr>
      <w:r w:rsidRPr="00160344">
        <w:rPr>
          <w:rFonts w:ascii="Arial" w:hAnsi="Arial" w:cs="Arial"/>
          <w:i/>
          <w:sz w:val="22"/>
        </w:rPr>
        <w:t>8.</w:t>
      </w:r>
      <w:r w:rsidRPr="00160344">
        <w:rPr>
          <w:rFonts w:ascii="Arial" w:hAnsi="Arial" w:cs="Arial"/>
          <w:i/>
          <w:sz w:val="22"/>
        </w:rPr>
        <w:tab/>
        <w:t>Imponer medidas ambientales adicionales para prevenir, mitigar o corregir impactos ambientales no previstos en los estudios ambientales del proyecto.</w:t>
      </w:r>
      <w:r>
        <w:rPr>
          <w:rFonts w:ascii="Arial" w:hAnsi="Arial" w:cs="Arial"/>
          <w:i/>
          <w:sz w:val="22"/>
        </w:rPr>
        <w:t xml:space="preserve"> (…)</w:t>
      </w:r>
      <w:r w:rsidRPr="00160344">
        <w:rPr>
          <w:rFonts w:ascii="Arial" w:hAnsi="Arial" w:cs="Arial"/>
          <w:sz w:val="22"/>
        </w:rPr>
        <w:t>”</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En el desarrollo de dicha gestión, según está señalado, la ANLA realiza entre otras actividades, visitas al lugar donde se desarrolla el proyecto, efectúa  requerimientos, impone obligaciones ambientales, corrobora técnicamente o a través de pruebas los resultados de los monitoreos realizados por el beneficiario del instrumento de manejo ambiental, entre otras.</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lastRenderedPageBreak/>
        <w:t>Así mismo, el artículo 42 de ese Decreto, señala que para el seguimiento de los proyectos, obras o actividades objeto de licencia ambiental o Plan de Manejo Ambiental, las autoridades ambientales adoptarán los criterios definidos en el Manual de Seguimiento Ambiental de Proyectos expedido por el entonces Ministerio de Ambiente, Vivienda y Desarrollo Territorial – MAVDT, adoptado a través de la Resolución 1552 de 2005.</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En tal sentido, la ANLA realiza visitas de seguimiento periódicas con el fin de verificar en el sitio, el cumplimiento de todas las obligaciones ambientales previamente establecidas a los proyectos que cuentan con Licencia Ambiental o Plan de Manejo Ambiental, particularmente frente al:</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Cumplimiento de los programas que conforman el Plan de Manejo Ambiental.</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Cumplimiento de los permisos, concesiones o autorizaciones ambientales para el uso y/o aprovechamiento de los recursos naturales.</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Cumplimiento de los requerimientos establecidos en los actos administrativos.</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Análisis de las tendencias de calidad del medio en que se desarrolla el proyecto.</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Análisis de la efectividad de los programas que conforman el Plan de Manejo Ambiental, de los requeridos en los actos administrativos y propuestas de actualización.</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xml:space="preserve">En lo que respecta a las visitas de seguimiento al proyecto, éstas se realizan, en principio, con una periodicidad anual y en ocasiones semestral; sin embargo, se priorizan de acuerdo con criterios tales como: </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Importancia de los impactos ambientales, dada por las condiciones y características del proyecto (según el estudio ambiental).</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xml:space="preserve">- Grado de sensibilidad ambiental en la zona de ubicación del proyecto (según el estudio ambiental). </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Existencia o frecuencia de las quejas presentadas por la comunidad o por otras entidades públicas o privadas (oficios recibidos por la autoridad ambiental competente).</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Carácter de los impactos ambientales que puedan ocurrir o que hayan ocurrido por el incumplimiento de las actividades o por la presencia de impactos no previstos durante la ejecución del proyecto.</w:t>
      </w:r>
    </w:p>
    <w:p w:rsidR="00160344" w:rsidRPr="00160344" w:rsidRDefault="00160344" w:rsidP="00160344">
      <w:pPr>
        <w:jc w:val="both"/>
        <w:rPr>
          <w:rFonts w:ascii="Arial" w:hAnsi="Arial" w:cs="Arial"/>
          <w:sz w:val="22"/>
        </w:rPr>
      </w:pPr>
    </w:p>
    <w:p w:rsidR="00160344" w:rsidRPr="00160344" w:rsidRDefault="00160344" w:rsidP="00160344">
      <w:pPr>
        <w:jc w:val="both"/>
        <w:rPr>
          <w:rFonts w:ascii="Arial" w:hAnsi="Arial" w:cs="Arial"/>
          <w:sz w:val="22"/>
        </w:rPr>
      </w:pPr>
      <w:r w:rsidRPr="00160344">
        <w:rPr>
          <w:rFonts w:ascii="Arial" w:hAnsi="Arial" w:cs="Arial"/>
          <w:sz w:val="22"/>
        </w:rPr>
        <w:t xml:space="preserve">Así mismo, los proyectos que cuentan con Instrumento de Manejo Ambiental son objeto de visitas excepcionales de seguimiento ante eventualidades que generen impactos ambientales significativos, lo cual se define a partir de informes de la empresa o quejas de la comunidad, de entidades públicas o privadas, cuando se presentan impactos ambientales significativos por el incumplimiento de las actividades que estén a cargo del beneficiario, o cuando se presenten impactos no previstos en el estudio ambiental (esto último se determina </w:t>
      </w:r>
      <w:r w:rsidRPr="00160344">
        <w:rPr>
          <w:rFonts w:ascii="Arial" w:hAnsi="Arial" w:cs="Arial"/>
          <w:sz w:val="22"/>
        </w:rPr>
        <w:lastRenderedPageBreak/>
        <w:t>a través de los informes periódicos de cumplimiento ambiental que deben presentar los titulares de las licencias ambientales).</w:t>
      </w:r>
    </w:p>
    <w:p w:rsidR="00160344" w:rsidRPr="00160344" w:rsidRDefault="00160344" w:rsidP="00160344">
      <w:pPr>
        <w:jc w:val="both"/>
        <w:rPr>
          <w:rFonts w:ascii="Arial" w:hAnsi="Arial" w:cs="Arial"/>
          <w:sz w:val="22"/>
        </w:rPr>
      </w:pPr>
    </w:p>
    <w:p w:rsidR="00160344" w:rsidRDefault="00160344" w:rsidP="00160344">
      <w:pPr>
        <w:jc w:val="both"/>
        <w:rPr>
          <w:rFonts w:ascii="Arial" w:hAnsi="Arial" w:cs="Arial"/>
          <w:sz w:val="22"/>
        </w:rPr>
      </w:pPr>
      <w:r w:rsidRPr="00160344">
        <w:rPr>
          <w:rFonts w:ascii="Arial" w:hAnsi="Arial" w:cs="Arial"/>
          <w:sz w:val="22"/>
        </w:rPr>
        <w:t xml:space="preserve">De otra parte, a los titulares de una licencia ambiental o plan de manejo ambiental, se les impone la obligación de presentar Informes de Cumplimiento Ambiental (ICA) en periodos trimestrales, semestrales o anuales (dependiendo la complejidad del proyecto y lo establecido en los actos administrativos que los otorgan), sus proyectos son sujetos de visitas igualmente periódicas con el </w:t>
      </w:r>
      <w:r>
        <w:rPr>
          <w:rFonts w:ascii="Arial" w:hAnsi="Arial" w:cs="Arial"/>
          <w:sz w:val="22"/>
        </w:rPr>
        <w:t>fin</w:t>
      </w:r>
      <w:r w:rsidRPr="00160344">
        <w:rPr>
          <w:rFonts w:ascii="Arial" w:hAnsi="Arial" w:cs="Arial"/>
          <w:sz w:val="22"/>
        </w:rPr>
        <w:t xml:space="preserve"> de verificar la veracidad y eficacia del cumplimiento</w:t>
      </w:r>
      <w:r>
        <w:rPr>
          <w:rFonts w:ascii="Arial" w:hAnsi="Arial" w:cs="Arial"/>
          <w:sz w:val="22"/>
        </w:rPr>
        <w:t>.</w:t>
      </w:r>
    </w:p>
    <w:p w:rsidR="00160344" w:rsidRDefault="00160344" w:rsidP="00386FC9">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 xml:space="preserve">A través de los Informes de Cumplimiento Ambiental </w:t>
      </w:r>
      <w:r w:rsidR="00E63742">
        <w:rPr>
          <w:rFonts w:ascii="Arial" w:hAnsi="Arial" w:cs="Arial"/>
          <w:sz w:val="22"/>
        </w:rPr>
        <w:t xml:space="preserve">– ICA </w:t>
      </w:r>
      <w:r w:rsidRPr="004E4195">
        <w:rPr>
          <w:rFonts w:ascii="Arial" w:hAnsi="Arial" w:cs="Arial"/>
          <w:sz w:val="22"/>
        </w:rPr>
        <w:t xml:space="preserve">la Empresa consigna información correspondiente a la </w:t>
      </w:r>
      <w:r w:rsidR="00160344">
        <w:rPr>
          <w:rFonts w:ascii="Arial" w:hAnsi="Arial" w:cs="Arial"/>
          <w:sz w:val="22"/>
        </w:rPr>
        <w:t>a</w:t>
      </w:r>
      <w:r w:rsidRPr="004E4195">
        <w:rPr>
          <w:rFonts w:ascii="Arial" w:hAnsi="Arial" w:cs="Arial"/>
          <w:sz w:val="22"/>
        </w:rPr>
        <w:t xml:space="preserve">plicación de las medidas de manejo y obligaciones establecidas, así como el avance en la ejecución del proyecto. En los formatos ICA se busca que el beneficiario de la licencia pueda orientar al equipo de seguimiento de la autoridad ambiental. </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 xml:space="preserve">Con el objeto de hacer un seguimiento a la calidad del medio, se reúne la información relacionada con las variables de los componentes ambientales relevantes como son las fuentes de agua, el suelo, la flora, la fauna, los ecosistemas, el aire y medio socioeconómico, de forma tal que permitan generar indicadores que con el tiempo muestren la tendencia de esa calidad del medio, que aunque en muchos casos no son 100% responsabilidad directa de un proyecto, si permiten a la autoridad ambiental detectar casos críticos, identificar causas y generar planes de acción conjuntas con los sectores presentes en el área evaluada. </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Otro elemento que requiere un seguimiento independiente es el de las compensaciones propuestas por el beneficiario en el Estudio de Impacto Ambiental o Plan de Manejo Ambiental, o establecidas por la autoridad ambiental mediante algún acto administrativo, como parte del manejo a impactos que no pueden ser mitigados o controlados.</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 xml:space="preserve">De igual manera se realiza el seguimiento a las medidas de manejo propuestas en el plan de manejo ambiental, o establecidas por la autoridad ambiental en la respectiva licencia ambiental, al igual que las resultantes de actos administrativos posteriores a ésta. </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 xml:space="preserve">Un componente importante dentro del seguimiento ambiental de los proyectos, es el seguimiento a la recuperación de áreas que han sido afectadas por contingencias presentadas durante el desarrollo de los proyectos, como derrames, incendios, explosiones, derrumbes, deslizamientos u otras. Esta información sólo debe diligenciarse si se han presentado contingencias en el periodo que se está reportando o, en aquellos casos en que no se ha terminado la recuperación de áreas afectadas por contingencias anteriores al periodo que se reporta. </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 xml:space="preserve">Por último, se hace seguimiento al avance de los proyectos propuestos y aprobados para invertir el 1%, resultante del aprovechamiento del recurso hídrico para las actividades de un proyecto.  </w:t>
      </w:r>
    </w:p>
    <w:p w:rsidR="00E63742" w:rsidRPr="00386FC9" w:rsidRDefault="00E63742" w:rsidP="00386FC9">
      <w:pPr>
        <w:jc w:val="both"/>
        <w:rPr>
          <w:rFonts w:ascii="Arial" w:hAnsi="Arial" w:cs="Arial"/>
          <w:sz w:val="22"/>
        </w:rPr>
      </w:pPr>
    </w:p>
    <w:p w:rsidR="00386FC9" w:rsidRPr="00E63742" w:rsidRDefault="00386FC9" w:rsidP="00386FC9">
      <w:pPr>
        <w:numPr>
          <w:ilvl w:val="0"/>
          <w:numId w:val="14"/>
        </w:numPr>
        <w:jc w:val="both"/>
        <w:rPr>
          <w:rFonts w:ascii="Arial" w:hAnsi="Arial" w:cs="Arial"/>
          <w:b/>
          <w:i/>
          <w:sz w:val="22"/>
          <w:lang w:val="es-CO"/>
        </w:rPr>
      </w:pPr>
      <w:r w:rsidRPr="00E63742">
        <w:rPr>
          <w:rFonts w:ascii="Arial" w:hAnsi="Arial" w:cs="Arial"/>
          <w:b/>
          <w:i/>
          <w:sz w:val="22"/>
          <w:lang w:val="es-CO"/>
        </w:rPr>
        <w:t>¿En qué estudios de hidrogeología se basan para otorgar licencias ambientales a empresas en zonas donde se planean o desarrollan proyectos de intervención minera o de hidrocarburos?</w:t>
      </w:r>
    </w:p>
    <w:p w:rsidR="004E4195" w:rsidRPr="00E53351" w:rsidRDefault="004E4195" w:rsidP="00E53351">
      <w:pPr>
        <w:rPr>
          <w:rFonts w:ascii="Arial" w:hAnsi="Arial" w:cs="Arial"/>
          <w:b/>
          <w:sz w:val="22"/>
          <w:lang w:val="es-CO"/>
        </w:rPr>
      </w:pPr>
    </w:p>
    <w:p w:rsidR="004E4195" w:rsidRPr="004E4195" w:rsidRDefault="004E4195" w:rsidP="00E63742">
      <w:pPr>
        <w:pStyle w:val="Prrafodelista"/>
        <w:ind w:left="0"/>
        <w:jc w:val="both"/>
        <w:rPr>
          <w:rFonts w:ascii="Arial" w:hAnsi="Arial" w:cs="Arial"/>
          <w:sz w:val="22"/>
          <w:lang w:val="es-CO"/>
        </w:rPr>
      </w:pPr>
      <w:r w:rsidRPr="004E4195">
        <w:rPr>
          <w:rFonts w:ascii="Arial" w:hAnsi="Arial" w:cs="Arial"/>
          <w:sz w:val="22"/>
          <w:lang w:val="es-CO"/>
        </w:rPr>
        <w:t>LA ANLA a través de los términos de referencia para la elaboración del Estudio de Impacto Ambiental para los proyectos de explotación de hidrocarburos (HI-TER-1-03) y términos de referencia para la elaboración del Estudio de Impacto Ambiental para los proyectos de perforación exploratoria de hidrocarburos (HI-TER- 1-02) establece los lineamientos técnicos a tener en cuenta relacionados con  el componente hidrogeológico para la elaboración de EIA, con el fin de analizar los posibles efectos ambientales que se generen sobre las áreas de influencia directa e indirecta del proyecto y a partir de estos requerimientos se garantiza que los estudios contengan la información necesaria en este componente para emitir un pronunciamiento sobre la viabilidad o no del proyecto en evaluación.</w:t>
      </w:r>
    </w:p>
    <w:p w:rsidR="004E4195" w:rsidRPr="00386FC9" w:rsidRDefault="004E4195" w:rsidP="00386FC9">
      <w:pPr>
        <w:pStyle w:val="Prrafodelista"/>
        <w:ind w:left="360"/>
        <w:jc w:val="both"/>
        <w:rPr>
          <w:rFonts w:ascii="Arial" w:hAnsi="Arial" w:cs="Arial"/>
          <w:sz w:val="22"/>
          <w:lang w:val="es-CO"/>
        </w:rPr>
      </w:pPr>
    </w:p>
    <w:p w:rsidR="00386FC9" w:rsidRPr="00386FC9" w:rsidRDefault="00E63742" w:rsidP="00386FC9">
      <w:pPr>
        <w:jc w:val="both"/>
        <w:rPr>
          <w:rFonts w:ascii="Arial" w:hAnsi="Arial" w:cs="Arial"/>
          <w:sz w:val="22"/>
          <w:lang w:val="es-CO"/>
        </w:rPr>
      </w:pPr>
      <w:r>
        <w:rPr>
          <w:rFonts w:ascii="Arial" w:hAnsi="Arial" w:cs="Arial"/>
          <w:sz w:val="22"/>
          <w:lang w:val="es-CO"/>
        </w:rPr>
        <w:t>L</w:t>
      </w:r>
      <w:r w:rsidR="00386FC9" w:rsidRPr="00386FC9">
        <w:rPr>
          <w:rFonts w:ascii="Arial" w:hAnsi="Arial" w:cs="Arial"/>
          <w:sz w:val="22"/>
          <w:lang w:val="es-CO"/>
        </w:rPr>
        <w:t>a autoridad ambiental nacional entrega a las empresas los términos de referencia, donde se describe la información hidrogeológica que debe desarrollar para el proyecto, así:</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b/>
          <w:sz w:val="22"/>
          <w:lang w:val="es-ES_tradnl"/>
        </w:rPr>
      </w:pPr>
      <w:bookmarkStart w:id="1" w:name="_Toc318206890"/>
      <w:r w:rsidRPr="00386FC9">
        <w:rPr>
          <w:rFonts w:ascii="Arial" w:hAnsi="Arial" w:cs="Arial"/>
          <w:b/>
          <w:sz w:val="22"/>
          <w:lang w:val="es-ES_tradnl"/>
        </w:rPr>
        <w:t>- Hidrogeología</w:t>
      </w:r>
      <w:bookmarkEnd w:id="1"/>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El alcance de este estudio hidrogeológico está enfocado a la identificación y caracterización de los acuíferos presentes en la zona, en el planteamiento de un modelo conceptual sobre su funcionami</w:t>
      </w:r>
      <w:r w:rsidR="00E53351">
        <w:rPr>
          <w:rFonts w:ascii="Arial" w:hAnsi="Arial" w:cs="Arial"/>
          <w:sz w:val="22"/>
          <w:lang w:val="es-CO"/>
        </w:rPr>
        <w:t>e</w:t>
      </w:r>
      <w:r w:rsidRPr="00386FC9">
        <w:rPr>
          <w:rFonts w:ascii="Arial" w:hAnsi="Arial" w:cs="Arial"/>
          <w:sz w:val="22"/>
          <w:lang w:val="es-CO"/>
        </w:rPr>
        <w:t xml:space="preserve">nto hidráulico, en la identificación de la posible afectación de estos recursos en términos de calidad y cantidad, mediante la implementación de modelos numéricos que permitan realizar predicciones y en los planes de manejo, seguimiento y monitoreo de los mismos. </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9"/>
        </w:numPr>
        <w:jc w:val="both"/>
        <w:rPr>
          <w:rFonts w:ascii="Arial" w:hAnsi="Arial" w:cs="Arial"/>
          <w:b/>
          <w:sz w:val="22"/>
          <w:lang w:val="es-CO"/>
        </w:rPr>
      </w:pPr>
      <w:r w:rsidRPr="00386FC9">
        <w:rPr>
          <w:rFonts w:ascii="Arial" w:hAnsi="Arial" w:cs="Arial"/>
          <w:b/>
          <w:sz w:val="22"/>
          <w:lang w:val="es-CO"/>
        </w:rPr>
        <w:t>Área de influencia indirecta</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Se realiza la identificación de los acuíferos de carácter regional, sus zonas de recarga y descarga, direcciones generales de flujo, el tipo de acuífero, calidades y tipos de usos actuales, considerando además las investigaciones hidrogeológicas realizadas en la zona por diferentes instituciones estatales y/o educativas.</w:t>
      </w:r>
    </w:p>
    <w:p w:rsidR="00386FC9" w:rsidRPr="00386FC9" w:rsidRDefault="00386FC9" w:rsidP="00386FC9">
      <w:pPr>
        <w:jc w:val="both"/>
        <w:rPr>
          <w:rFonts w:ascii="Arial" w:hAnsi="Arial" w:cs="Arial"/>
          <w:sz w:val="22"/>
          <w:lang w:val="es-CO"/>
        </w:rPr>
      </w:pPr>
    </w:p>
    <w:p w:rsidR="00386FC9" w:rsidRPr="00386FC9" w:rsidRDefault="00386FC9" w:rsidP="00E53351">
      <w:pPr>
        <w:numPr>
          <w:ilvl w:val="0"/>
          <w:numId w:val="19"/>
        </w:numPr>
        <w:jc w:val="both"/>
        <w:rPr>
          <w:rFonts w:ascii="Arial" w:hAnsi="Arial" w:cs="Arial"/>
          <w:b/>
          <w:sz w:val="22"/>
          <w:lang w:val="es-CO"/>
        </w:rPr>
      </w:pPr>
      <w:r w:rsidRPr="00386FC9">
        <w:rPr>
          <w:rFonts w:ascii="Arial" w:hAnsi="Arial" w:cs="Arial"/>
          <w:b/>
          <w:sz w:val="22"/>
          <w:lang w:val="es-CO"/>
        </w:rPr>
        <w:t>Área de influencia directa</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La caracterización se fundamenta en un modelo hidrogeológico para el AID, considerando las siguientes fases:</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sz w:val="22"/>
          <w:lang w:val="es-CO"/>
        </w:rPr>
        <w:t>Recopilación y análisis de información hidrogeológica, hidrológica, geológica, geofísica, hidroquímica, cartográfica existente del área.</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sz w:val="22"/>
          <w:lang w:val="es-CO"/>
        </w:rPr>
        <w:t>Inventario de puntos de agua. Ésta deberá llevarse a cabo con base en el Formulario Único Nacional de Inventario de Aguas Subterráneas, FUNIAS, diligenciando la información general y específica de cada uno de los módulos que lo integran. Para la toma de datos de campo debe contarse con los equipos apropiados (GPS, sondas eléctricas para medición de niveles, multiparámetros (Conductividad, Temperatura, pH), instrumentos para aforos de caudales, etc.).</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Modelo hidrogeológico conceptual.</w:t>
      </w:r>
      <w:r w:rsidRPr="00386FC9">
        <w:rPr>
          <w:rFonts w:ascii="Arial" w:hAnsi="Arial" w:cs="Arial"/>
          <w:sz w:val="22"/>
          <w:lang w:val="es-CO"/>
        </w:rPr>
        <w:t xml:space="preserve"> Una vez se integre la información secundaria con la del inventario de puntos de agua subterránea se generará un modelo hidrogeológico </w:t>
      </w:r>
      <w:r w:rsidRPr="00386FC9">
        <w:rPr>
          <w:rFonts w:ascii="Arial" w:hAnsi="Arial" w:cs="Arial"/>
          <w:sz w:val="22"/>
          <w:lang w:val="es-CO"/>
        </w:rPr>
        <w:lastRenderedPageBreak/>
        <w:t xml:space="preserve">conceptual en el cual debe definirse el sistema de flujo de (el/los) Acuíferos (s), a través de la realización de mapas de superficies piezométricas.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Para ello previamente se debe establecer la red de monitoreo de niveles, se deben nivelar y georreferenciar los pozos o aljibes correspondiente, y se debe contar con por lo menos dos mediciones en época de invierno y verano y con los respectivos mapas. Las mediciones periódicas en la red deberán servir para calibrar el modelo numérico.  Establecer las unidades hidrogeológicas que intervendrá el proyecto de minero. Igualmente, se deben identificar aquellas unidades que tengan conexión hidráulica con fuentes de agua superficiales. Se deben clasificar las rocas de acuerdo al tipo de unidad hidrogeológica utilizando la siguiente clasificación: I.- Sedimentos y rocas con flujo esencialmente integranular. II.- Rocas con flujo esencialmente a través de fracturas (rocas fracturadas y/o carstificadas). III.- Sedimentos y rocas con limitados recursos de aguas subterráneas.</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Modelo geológico-geofísico (geometría del acuífero).</w:t>
      </w:r>
      <w:r w:rsidRPr="00386FC9">
        <w:rPr>
          <w:rFonts w:ascii="Arial" w:hAnsi="Arial" w:cs="Arial"/>
          <w:sz w:val="22"/>
          <w:lang w:val="es-CO"/>
        </w:rPr>
        <w:t xml:space="preserve"> Se deberá describir el tipo de método geofísico empleado, justificando su selección de acuerdo a las condiciones geológicas-estructurales particulares del área, georreferenciar los sondeos geofísicos, presentar las tablas en Excel con los datos de campo y la orientación del sondeo en azimut, la interpretación de los mismos y la correlación de las unidades litológicas presentes; con base en ésta última definir un posible comportamiento hidrogeológico de las unidades. Como resultado debe presentarse un modelo tridimensional de las posibles unidades hidrogeológicas y los límites de las mismas, generar mapas de isoresistividades para profundidades de 10m, 25m, 50m, 75m, 100m, 150m 200m, 300m y mayores, que permitan diferenciar áreas con condiciones geoeléctricas similares y zonas de interés hidrogeológico, diferenciadas por formaciones geológicas.</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Hidroquímica, calidad del agua.</w:t>
      </w:r>
      <w:r w:rsidRPr="00386FC9">
        <w:rPr>
          <w:rFonts w:ascii="Arial" w:hAnsi="Arial" w:cs="Arial"/>
          <w:sz w:val="22"/>
          <w:lang w:val="es-CO"/>
        </w:rPr>
        <w:t xml:space="preserve"> Deberá definirse una red de monitoreo representativa, y contemplar los parámetros de la Resolución 2115 de 2007, los iones mayoritarios para la clasificación de las aguas y los metales específicos que se espera encontrar en este tipo de actividad para definir la línea base. Los muestreos deben seguir estrictamente los protocolos establecidos por el IDEAM para este tipo de aguas, vigilando las cadenas de custodia, métodos para preservación y tiempos máximos establecidos para conservación de muestras para cada análisis a realizar. Los análisis deberán chequearse mínimamente mediante balance iónico, sólo se aceptarán aquellos con errores inferiores al 5%.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Los laboratorios para análisis de las muestras deberán estar acreditados en todos los parámetros a analizar, de acuerdo con lo definido en el Parágrafo 2, Artículo 5 del Decreto 1600 de 1994. Para determinar la procedencia del agua subterránea y tiempo de tránsito de las mismas, deberán emplearse los mejores métodos (hidrogeoquímica, isotopía, otro). Como resultado de esta fase deberá entregarse análisis de calidad del agua subterránea para diferentes usos, definición del tipo hidroquímico, interpretación sustentada de su procedencia y de la posible conexión con fuentes superficiales, de igual manera se deben entregar mapas con diagramas stiff y piper que permitan la identificación espacial de las facies hidroquímicas presentes en la zona de interés.</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Hidráulica subterránea.</w:t>
      </w:r>
      <w:r w:rsidRPr="00386FC9">
        <w:rPr>
          <w:rFonts w:ascii="Arial" w:hAnsi="Arial" w:cs="Arial"/>
          <w:sz w:val="22"/>
          <w:lang w:val="es-CO"/>
        </w:rPr>
        <w:t xml:space="preserve"> Deberán determinarse las propiedades hidráulicas de las diferentes unidades hidrogeológicas presentes, empleando los ensayos de bombeo </w:t>
      </w:r>
      <w:r w:rsidRPr="00386FC9">
        <w:rPr>
          <w:rFonts w:ascii="Arial" w:hAnsi="Arial" w:cs="Arial"/>
          <w:sz w:val="22"/>
          <w:lang w:val="es-CO"/>
        </w:rPr>
        <w:lastRenderedPageBreak/>
        <w:t xml:space="preserve">adecuados para el tipo de acuífero y de captaciones existentes y sustentando la selección de los mismos. Deberán aportarse los datos de campo (caudal de la prueba, nivel estático y abatimiento del nivel vs. tiempo) en formatos de Excel establecidos para tal fin, interpretación de los datos y los métodos utilizados para los análisis, sustentando su selección. La ejecución de pruebas de bombeo y presentación de las respectivas tablas de campo con duración ajustada a las condiciones de borde existente o de mínimo 24 horas, con su respectivo período de recuperación, los pozos seleccionados deberán tener su respectiva nivelación topográfica.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Los parámetros de las pruebas de bombeo, recuperación y escalonadas: datos de Distancia del (de los) pozo (s) de observación (m), Diámetro tubería revestimiento (m), Tope filtro superior (m), longitud total de filtros (m), Diámetro de perforación (m), Espesor del acuífero (m), todo expresado en metros. Adicionalmente, escriba la(s) formación(es) geológica(s) que penetra el pozo. Abatimiento (m): valor de abatimiento en metros seleccionado si utiliza el método gráfico de Theis, Tiempo de bombeo (min): tiempo de bombeo en minutos seleccionado si utiliza el método gráfico de Theis. Así mismo, los parámetros hidráulicos mínimos a determinar serán capacidad específica, transmisividad, conductividad hidráulica, radio de influencia, coeficiente de almacenamiento. Deberán definirse los tipos de acuíferos presentes.  A partir de la interpretación de los datos hidráulicos se debe construir la ecuación ideal del pozo y modelar el compartimiento del mismo en el tiempo con proyección anual hasta los cinco años y luego hasta el año de finalización de la actividad minera. Se deberá presentar el régimen de bombeo recomendado y su soporte técnico con base en los resultados anteriores.</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Hidrología, balance hídrico, recarga.</w:t>
      </w:r>
      <w:r w:rsidRPr="00386FC9">
        <w:rPr>
          <w:rFonts w:ascii="Arial" w:hAnsi="Arial" w:cs="Arial"/>
          <w:sz w:val="22"/>
          <w:lang w:val="es-CO"/>
        </w:rPr>
        <w:t xml:space="preserve">  Deberán emplearse los mejores métodos para determinar la recarga de las unidades hidrogeológicas presentes, sustentando su selección. Deberá entregarse un análisis de los procesos de recarga que se dan en los acuíferos de la zona, y su cuantificación.</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Protección de la calidad del acuífero.</w:t>
      </w:r>
      <w:r w:rsidRPr="00386FC9">
        <w:rPr>
          <w:rFonts w:ascii="Arial" w:hAnsi="Arial" w:cs="Arial"/>
          <w:sz w:val="22"/>
          <w:lang w:val="es-CO"/>
        </w:rPr>
        <w:t xml:space="preserve"> Deberá emplearse el método más adecuado para determinar la vulnerabilidad intrínseca de los acuíferos presentes a la contaminación y definir el riesgo a la contaminación por la actividad minera, sustentando su selección. Posteriormente deberá analizarse el riesgo de contaminación por la actividad minera que se pretende desarrollar en la zona. </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Diseño e implementación de redes de monitoreo, seguimiento y control de niveles y de la calidad del agua.</w:t>
      </w:r>
      <w:r w:rsidRPr="00386FC9">
        <w:rPr>
          <w:rFonts w:ascii="Arial" w:hAnsi="Arial" w:cs="Arial"/>
          <w:sz w:val="22"/>
          <w:lang w:val="es-CO"/>
        </w:rPr>
        <w:t xml:space="preserve"> Deberá definirse redes de monitoreo representativas de la calidad. Deberá definirse redes de monitoreo representativas de la calidad y de niveles de los recursos subterráneos. Se deberán sustentar los diseños de ambas redes de monitoreo y frecuencias de monitoreo. </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lang w:val="es-CO"/>
        </w:rPr>
      </w:pPr>
      <w:r w:rsidRPr="00386FC9">
        <w:rPr>
          <w:rFonts w:ascii="Arial" w:hAnsi="Arial" w:cs="Arial"/>
          <w:b/>
          <w:sz w:val="22"/>
          <w:lang w:val="es-CO"/>
        </w:rPr>
        <w:t>Modelo hidrogeológico conceptual.</w:t>
      </w:r>
      <w:r w:rsidRPr="00386FC9">
        <w:rPr>
          <w:rFonts w:ascii="Arial" w:hAnsi="Arial" w:cs="Arial"/>
          <w:sz w:val="22"/>
          <w:lang w:val="es-CO"/>
        </w:rPr>
        <w:t xml:space="preserve"> Con base en el análisis e integración de la información anterior, deberá definirse un modelo hidrogeológico conceptual de los acuíferos presentes en el área, que incluya los siguientes aspectos: Delimitación de las zonas de recarga, tránsito y descarga, direcciones de flujo, conexiones hidráulicas entre las diferentes unidades acuíferas y con las fuentes superficiales, definición de zonas con potencial de aprovechamiento, cálculo de reservas de agua subterránea. La </w:t>
      </w:r>
      <w:r w:rsidRPr="00386FC9">
        <w:rPr>
          <w:rFonts w:ascii="Arial" w:hAnsi="Arial" w:cs="Arial"/>
          <w:sz w:val="22"/>
          <w:lang w:val="es-CO"/>
        </w:rPr>
        <w:lastRenderedPageBreak/>
        <w:t xml:space="preserve">caracterización hidrogeológica de las unidades presentes deberá realizarse conforme a la Leyenda Hidrogeológica Internacional, o las convenciones adoptadas por INGEOMINAS. </w:t>
      </w:r>
    </w:p>
    <w:p w:rsidR="00386FC9" w:rsidRPr="00386FC9" w:rsidRDefault="00386FC9" w:rsidP="00386FC9">
      <w:pPr>
        <w:jc w:val="both"/>
        <w:rPr>
          <w:rFonts w:ascii="Arial" w:hAnsi="Arial" w:cs="Arial"/>
          <w:sz w:val="22"/>
          <w:lang w:val="es-CO"/>
        </w:rPr>
      </w:pPr>
    </w:p>
    <w:p w:rsidR="00386FC9" w:rsidRPr="00386FC9" w:rsidRDefault="00386FC9" w:rsidP="00386FC9">
      <w:pPr>
        <w:numPr>
          <w:ilvl w:val="0"/>
          <w:numId w:val="17"/>
        </w:numPr>
        <w:tabs>
          <w:tab w:val="num" w:pos="709"/>
        </w:tabs>
        <w:jc w:val="both"/>
        <w:rPr>
          <w:rFonts w:ascii="Arial" w:hAnsi="Arial" w:cs="Arial"/>
          <w:sz w:val="22"/>
          <w:u w:val="single"/>
          <w:lang w:val="es-CO"/>
        </w:rPr>
      </w:pPr>
      <w:r w:rsidRPr="00386FC9">
        <w:rPr>
          <w:rFonts w:ascii="Arial" w:hAnsi="Arial" w:cs="Arial"/>
          <w:b/>
          <w:sz w:val="22"/>
          <w:lang w:val="es-CO"/>
        </w:rPr>
        <w:t>Modelo numérico tridimensional del flujo de las aguas subterráneas.</w:t>
      </w:r>
      <w:r w:rsidRPr="00386FC9">
        <w:rPr>
          <w:rFonts w:ascii="Arial" w:hAnsi="Arial" w:cs="Arial"/>
          <w:sz w:val="22"/>
          <w:lang w:val="es-CO"/>
        </w:rPr>
        <w:t xml:space="preserve"> Deberá desarrollarse un modelo numérico, empleando el software adecuado para las características específicas de acuíferos presentes en la zona y sustentando su selección. Este modelo deberá representar el modelo hidrogeológico conceptual antes definido y deberán tenerse en cuenta los siguientes aspectos:</w:t>
      </w:r>
    </w:p>
    <w:p w:rsidR="00386FC9" w:rsidRPr="00386FC9" w:rsidRDefault="00386FC9" w:rsidP="00386FC9">
      <w:pPr>
        <w:jc w:val="both"/>
        <w:rPr>
          <w:rFonts w:ascii="Arial" w:hAnsi="Arial" w:cs="Arial"/>
          <w:sz w:val="22"/>
          <w:u w:val="single"/>
          <w:lang w:val="es-CO"/>
        </w:rPr>
      </w:pPr>
    </w:p>
    <w:p w:rsidR="00386FC9" w:rsidRPr="00386FC9" w:rsidRDefault="00386FC9" w:rsidP="00386FC9">
      <w:pPr>
        <w:numPr>
          <w:ilvl w:val="0"/>
          <w:numId w:val="16"/>
        </w:numPr>
        <w:jc w:val="both"/>
        <w:rPr>
          <w:rFonts w:ascii="Arial" w:hAnsi="Arial" w:cs="Arial"/>
          <w:sz w:val="22"/>
          <w:lang w:val="es-CO"/>
        </w:rPr>
      </w:pPr>
      <w:r w:rsidRPr="00386FC9">
        <w:rPr>
          <w:rFonts w:ascii="Arial" w:hAnsi="Arial" w:cs="Arial"/>
          <w:sz w:val="22"/>
          <w:lang w:val="es-CO"/>
        </w:rPr>
        <w:t>Correcta definición del área de interés para modelar</w:t>
      </w:r>
    </w:p>
    <w:p w:rsidR="00386FC9" w:rsidRPr="00386FC9" w:rsidRDefault="00386FC9" w:rsidP="00386FC9">
      <w:pPr>
        <w:numPr>
          <w:ilvl w:val="0"/>
          <w:numId w:val="16"/>
        </w:numPr>
        <w:jc w:val="both"/>
        <w:rPr>
          <w:rFonts w:ascii="Arial" w:hAnsi="Arial" w:cs="Arial"/>
          <w:sz w:val="22"/>
          <w:lang w:val="es-CO"/>
        </w:rPr>
      </w:pPr>
      <w:r w:rsidRPr="00386FC9">
        <w:rPr>
          <w:rFonts w:ascii="Arial" w:hAnsi="Arial" w:cs="Arial"/>
          <w:sz w:val="22"/>
          <w:lang w:val="es-CO"/>
        </w:rPr>
        <w:t>Definición de fronteras hidráulicas apropiadas</w:t>
      </w:r>
    </w:p>
    <w:p w:rsidR="00386FC9" w:rsidRPr="00386FC9" w:rsidRDefault="00386FC9" w:rsidP="00386FC9">
      <w:pPr>
        <w:numPr>
          <w:ilvl w:val="0"/>
          <w:numId w:val="16"/>
        </w:numPr>
        <w:jc w:val="both"/>
        <w:rPr>
          <w:rFonts w:ascii="Arial" w:hAnsi="Arial" w:cs="Arial"/>
          <w:sz w:val="22"/>
          <w:lang w:val="es-CO"/>
        </w:rPr>
      </w:pPr>
      <w:r w:rsidRPr="00386FC9">
        <w:rPr>
          <w:rFonts w:ascii="Arial" w:hAnsi="Arial" w:cs="Arial"/>
          <w:sz w:val="22"/>
          <w:lang w:val="es-CO"/>
        </w:rPr>
        <w:t>Datos de entrada del modelo (niveles históricos, parámetros hidráulicos de las diferentes capas a modelar, direcciones de flujo, conexiones hidráulicas).</w:t>
      </w:r>
    </w:p>
    <w:p w:rsidR="00386FC9" w:rsidRPr="00386FC9" w:rsidRDefault="00386FC9" w:rsidP="00386FC9">
      <w:pPr>
        <w:numPr>
          <w:ilvl w:val="0"/>
          <w:numId w:val="16"/>
        </w:numPr>
        <w:jc w:val="both"/>
        <w:rPr>
          <w:rFonts w:ascii="Arial" w:hAnsi="Arial" w:cs="Arial"/>
          <w:sz w:val="22"/>
          <w:lang w:val="es-CO"/>
        </w:rPr>
      </w:pPr>
      <w:r w:rsidRPr="00386FC9">
        <w:rPr>
          <w:rFonts w:ascii="Arial" w:hAnsi="Arial" w:cs="Arial"/>
          <w:sz w:val="22"/>
          <w:lang w:val="es-CO"/>
        </w:rPr>
        <w:t>Correcta discretización horizontal y vertical del área de interés y definición apropiada del número de capas matemáticas.</w:t>
      </w:r>
    </w:p>
    <w:p w:rsidR="00386FC9" w:rsidRPr="00386FC9" w:rsidRDefault="00386FC9" w:rsidP="00386FC9">
      <w:pPr>
        <w:numPr>
          <w:ilvl w:val="0"/>
          <w:numId w:val="16"/>
        </w:numPr>
        <w:jc w:val="both"/>
        <w:rPr>
          <w:rFonts w:ascii="Arial" w:hAnsi="Arial" w:cs="Arial"/>
          <w:sz w:val="22"/>
          <w:lang w:val="es-CO"/>
        </w:rPr>
      </w:pPr>
      <w:r w:rsidRPr="00386FC9">
        <w:rPr>
          <w:rFonts w:ascii="Arial" w:hAnsi="Arial" w:cs="Arial"/>
          <w:sz w:val="22"/>
          <w:lang w:val="es-CO"/>
        </w:rPr>
        <w:t>Correcta realización de las etapas de montaje, calibración, validación, creación de escenarios para predicción.</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El modelo numérico validado, deberá permitir la simulación del comportamiento del recurso hídrico subterráneo en donde se determine la posición actual del nivel piezométrico (estado estacionario) y como puede variar este nivel con el desarrollo del proyecto en diferentes escenarios en el tiempo y avance del proyecto (estados transitorios), este modelo debe ser capaz de predecir las alteraciones del comportamiento hidrogeológico frente a las acciones mineras.</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La información cartográfica producto de cada una de las temáticas (Inventario, Modelo geológico, Modelo hidrogeológico conceptual, Mapa hidrogeológico, Modelo hidroquímico, Mapas de isoresistividades, Modelo matemático de simulación hidrogeológica, Diseño de la red de monitoreo, etc.) debe entregarse de acuerdo con los modelos adoptados para la base de datos geográfica corporativa del Ministerio de Ambiente, Vivienda y Desarrollo Territorial (GDB – MAVDT), los datos espaciales deberán tener la estructura que se define en la Metodología general para la presentación de estudios Ambientales del MAVDT.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Una vez recibida la información descrita, por parte de la empresa solicitante, el grupo técnico verifica la validez de la información mediante consultas al Instituto de Hidrología, Meteorología y Estudios Ambientales de Colombia – IDEAM, al Servicio Geológico Colombiano y al Instituto de Investigación de Recursos Biológicos Alexander Von Humboldt – IAvH. Igualmente, se realiza la corroboración de la información requerida mediante el programa de Regionalización de la ANLA, el cual permite determinar la capacidad de carga de los recursos naturales en la zona del proyecto.</w:t>
      </w:r>
    </w:p>
    <w:p w:rsidR="00386FC9" w:rsidRPr="00386FC9" w:rsidRDefault="00386FC9" w:rsidP="00386FC9">
      <w:pPr>
        <w:jc w:val="both"/>
        <w:rPr>
          <w:rFonts w:ascii="Arial" w:hAnsi="Arial" w:cs="Arial"/>
          <w:sz w:val="22"/>
          <w:lang w:val="es-CO"/>
        </w:rPr>
      </w:pPr>
    </w:p>
    <w:p w:rsidR="00386FC9" w:rsidRPr="00FD65F5" w:rsidRDefault="00386FC9" w:rsidP="00386FC9">
      <w:pPr>
        <w:numPr>
          <w:ilvl w:val="0"/>
          <w:numId w:val="20"/>
        </w:numPr>
        <w:jc w:val="both"/>
        <w:rPr>
          <w:rFonts w:ascii="Arial" w:hAnsi="Arial" w:cs="Arial"/>
          <w:b/>
          <w:i/>
          <w:sz w:val="22"/>
          <w:lang w:val="es-CO"/>
        </w:rPr>
      </w:pPr>
      <w:r w:rsidRPr="00FD65F5">
        <w:rPr>
          <w:rFonts w:ascii="Arial" w:hAnsi="Arial" w:cs="Arial"/>
          <w:b/>
          <w:i/>
          <w:sz w:val="22"/>
          <w:lang w:val="es-CO"/>
        </w:rPr>
        <w:t>Ingeominas clasifica el área de intervención MNorte como de alto grado de amenaza sísmica ¿Qué planes de contingencia entregó la compañía Maurel &amp; Prom a la ANLA frente a las consecuencias socio-ambientales que generaría un movimiento telúrico en la región en la región?</w:t>
      </w:r>
    </w:p>
    <w:p w:rsidR="004E4195" w:rsidRPr="00386FC9" w:rsidRDefault="004E4195" w:rsidP="004E4195">
      <w:pPr>
        <w:ind w:left="360"/>
        <w:jc w:val="both"/>
        <w:rPr>
          <w:rFonts w:ascii="Arial" w:hAnsi="Arial" w:cs="Arial"/>
          <w:b/>
          <w:sz w:val="22"/>
          <w:lang w:val="es-CO"/>
        </w:rPr>
      </w:pPr>
    </w:p>
    <w:p w:rsidR="004E4195" w:rsidRDefault="004E4195" w:rsidP="004E4195">
      <w:pPr>
        <w:jc w:val="both"/>
        <w:rPr>
          <w:rFonts w:ascii="Arial" w:hAnsi="Arial" w:cs="Arial"/>
          <w:sz w:val="22"/>
          <w:lang w:val="es-CO"/>
        </w:rPr>
      </w:pPr>
      <w:r w:rsidRPr="004E4195">
        <w:rPr>
          <w:rFonts w:ascii="Arial" w:hAnsi="Arial" w:cs="Arial"/>
          <w:sz w:val="22"/>
          <w:lang w:val="es-CO"/>
        </w:rPr>
        <w:lastRenderedPageBreak/>
        <w:t xml:space="preserve">Es importante aclarar que el proyecto MNorte de la </w:t>
      </w:r>
      <w:r w:rsidRPr="004E4195">
        <w:rPr>
          <w:rFonts w:ascii="Arial" w:hAnsi="Arial" w:cs="Arial"/>
          <w:sz w:val="22"/>
        </w:rPr>
        <w:t xml:space="preserve">Empresa  </w:t>
      </w:r>
      <w:r w:rsidRPr="004E4195">
        <w:rPr>
          <w:rFonts w:ascii="Arial" w:hAnsi="Arial" w:cs="Arial"/>
          <w:sz w:val="22"/>
          <w:lang w:val="es-CO"/>
        </w:rPr>
        <w:t xml:space="preserve">Maurel &amp; Prom, se refiere al desarrollo de actividades de exploración sísmica en la provincia de sugamuxi, sobre el cual esta Autoridad no posee competencia dado que no incluye la construcción de nuevas vías y conforme al Decreto 2820 de 2010, este tipo de proyectos no requieren de licencia ambiental. </w:t>
      </w:r>
    </w:p>
    <w:p w:rsidR="00FD65F5" w:rsidRPr="004E4195" w:rsidRDefault="00FD65F5" w:rsidP="004E4195">
      <w:pPr>
        <w:jc w:val="both"/>
        <w:rPr>
          <w:rFonts w:ascii="Arial" w:hAnsi="Arial" w:cs="Arial"/>
          <w:sz w:val="22"/>
          <w:lang w:val="es-CO"/>
        </w:rPr>
      </w:pPr>
    </w:p>
    <w:p w:rsidR="004E4195" w:rsidRDefault="004E4195" w:rsidP="004E4195">
      <w:pPr>
        <w:jc w:val="both"/>
        <w:rPr>
          <w:rFonts w:ascii="Arial" w:hAnsi="Arial" w:cs="Arial"/>
          <w:b/>
          <w:sz w:val="22"/>
          <w:lang w:val="es-CO"/>
        </w:rPr>
      </w:pPr>
      <w:r w:rsidRPr="004E4195">
        <w:rPr>
          <w:rFonts w:ascii="Arial" w:hAnsi="Arial" w:cs="Arial"/>
          <w:sz w:val="22"/>
          <w:lang w:val="es-CO"/>
        </w:rPr>
        <w:t>No obstante, se informa que mediante la Resolución 2000 del 16 de octubre de 2009, el entonces MVDT</w:t>
      </w:r>
      <w:r w:rsidRPr="004E4195">
        <w:rPr>
          <w:rFonts w:ascii="Arial" w:hAnsi="Arial" w:cs="Arial"/>
          <w:b/>
          <w:sz w:val="22"/>
          <w:lang w:val="es-CO"/>
        </w:rPr>
        <w:t xml:space="preserve"> </w:t>
      </w:r>
      <w:r w:rsidRPr="004E4195">
        <w:rPr>
          <w:rFonts w:ascii="Arial" w:hAnsi="Arial" w:cs="Arial"/>
          <w:sz w:val="22"/>
          <w:lang w:val="es-CO"/>
        </w:rPr>
        <w:t xml:space="preserve">otorga a la </w:t>
      </w:r>
      <w:r w:rsidRPr="004E4195">
        <w:rPr>
          <w:rFonts w:ascii="Arial" w:hAnsi="Arial" w:cs="Arial"/>
          <w:sz w:val="22"/>
        </w:rPr>
        <w:t xml:space="preserve">Empresa  </w:t>
      </w:r>
      <w:r w:rsidRPr="004E4195">
        <w:rPr>
          <w:rFonts w:ascii="Arial" w:hAnsi="Arial" w:cs="Arial"/>
          <w:sz w:val="22"/>
          <w:lang w:val="es-CO"/>
        </w:rPr>
        <w:t>Maurel &amp; Prom Colombia B. V., Licencia Ambiental al proyecto “</w:t>
      </w:r>
      <w:r w:rsidRPr="004E4195">
        <w:rPr>
          <w:rFonts w:ascii="Arial" w:hAnsi="Arial" w:cs="Arial"/>
          <w:i/>
          <w:sz w:val="22"/>
          <w:lang w:val="es-CO"/>
        </w:rPr>
        <w:t>Area De Perforación Exploratoria Muisca”,</w:t>
      </w:r>
      <w:r w:rsidRPr="004E4195">
        <w:rPr>
          <w:rFonts w:ascii="Arial" w:hAnsi="Arial" w:cs="Arial"/>
          <w:sz w:val="22"/>
          <w:lang w:val="es-CO"/>
        </w:rPr>
        <w:t xml:space="preserve"> con número de expediente LAM 4437, el cual contempla actividades de exploración de hidrocarburos y no la de exploración sísmica.</w:t>
      </w:r>
      <w:r w:rsidRPr="004E4195">
        <w:rPr>
          <w:rFonts w:ascii="Arial" w:hAnsi="Arial" w:cs="Arial"/>
          <w:b/>
          <w:sz w:val="22"/>
          <w:lang w:val="es-CO"/>
        </w:rPr>
        <w:t xml:space="preserve"> </w:t>
      </w:r>
    </w:p>
    <w:p w:rsidR="00FD65F5" w:rsidRPr="004E4195" w:rsidRDefault="00FD65F5" w:rsidP="004E4195">
      <w:pPr>
        <w:jc w:val="both"/>
        <w:rPr>
          <w:rFonts w:ascii="Arial" w:hAnsi="Arial" w:cs="Arial"/>
          <w:b/>
          <w:sz w:val="22"/>
          <w:lang w:val="es-CO"/>
        </w:rPr>
      </w:pPr>
    </w:p>
    <w:p w:rsidR="004E4195" w:rsidRDefault="004E4195" w:rsidP="004E4195">
      <w:pPr>
        <w:jc w:val="both"/>
        <w:rPr>
          <w:rFonts w:ascii="Arial" w:hAnsi="Arial" w:cs="Arial"/>
          <w:sz w:val="22"/>
          <w:lang w:val="es-CO"/>
        </w:rPr>
      </w:pPr>
      <w:r w:rsidRPr="004E4195">
        <w:rPr>
          <w:rFonts w:ascii="Arial" w:hAnsi="Arial" w:cs="Arial"/>
          <w:sz w:val="22"/>
          <w:lang w:val="es-CO"/>
        </w:rPr>
        <w:t xml:space="preserve">Respecto al </w:t>
      </w:r>
      <w:r w:rsidRPr="004E4195">
        <w:rPr>
          <w:rFonts w:ascii="Arial" w:hAnsi="Arial" w:cs="Arial"/>
          <w:sz w:val="22"/>
        </w:rPr>
        <w:t xml:space="preserve">Estudio de Impacto Ambiental entregado </w:t>
      </w:r>
      <w:r w:rsidRPr="004E4195">
        <w:rPr>
          <w:rFonts w:ascii="Arial" w:hAnsi="Arial" w:cs="Arial"/>
          <w:sz w:val="22"/>
          <w:lang w:val="es-CO"/>
        </w:rPr>
        <w:t>por la compañía a la ANLA, este refiere lo siguiente respecto de la amenaza sísmica</w:t>
      </w:r>
      <w:r w:rsidR="00FD65F5">
        <w:rPr>
          <w:rFonts w:ascii="Arial" w:hAnsi="Arial" w:cs="Arial"/>
          <w:sz w:val="22"/>
          <w:lang w:val="es-CO"/>
        </w:rPr>
        <w:t>:</w:t>
      </w:r>
    </w:p>
    <w:p w:rsidR="00FD65F5" w:rsidRPr="004E4195" w:rsidRDefault="00FD65F5" w:rsidP="004E4195">
      <w:pPr>
        <w:jc w:val="both"/>
        <w:rPr>
          <w:rFonts w:ascii="Arial" w:hAnsi="Arial" w:cs="Arial"/>
          <w:b/>
          <w:sz w:val="22"/>
          <w:lang w:val="es-CO"/>
        </w:rPr>
      </w:pPr>
    </w:p>
    <w:p w:rsidR="004E4195" w:rsidRPr="004E4195" w:rsidRDefault="004E4195" w:rsidP="004E4195">
      <w:pPr>
        <w:jc w:val="both"/>
        <w:rPr>
          <w:rFonts w:ascii="Arial" w:hAnsi="Arial" w:cs="Arial"/>
          <w:i/>
          <w:sz w:val="22"/>
        </w:rPr>
      </w:pPr>
      <w:r w:rsidRPr="004E4195">
        <w:rPr>
          <w:rFonts w:ascii="Arial" w:hAnsi="Arial" w:cs="Arial"/>
          <w:sz w:val="22"/>
        </w:rPr>
        <w:t xml:space="preserve"> </w:t>
      </w:r>
      <w:r w:rsidRPr="004E4195">
        <w:rPr>
          <w:rFonts w:ascii="Arial" w:hAnsi="Arial" w:cs="Arial"/>
          <w:i/>
          <w:sz w:val="22"/>
        </w:rPr>
        <w:t>“…El Estudio General de Amenaza Sísmica de Colombia  (INGEOMINAS-AIS-UNIANDES, 1998) y la Norma Colombiana de Construcciones Sismorresistentes (Ley 400 de 1997 y Decreto 33 de 1998), clasifican el territorio del Departamento de Boyacá, dentro de las regiones colombianas, con grado alto y medio de amenaza sísmica. Esta situación se debe fundamentalmente a la posición tectónica y a las características geológicas que indican alta probabilidad de recurrencia de eventos sísmicos de magnitud importante; el Área de Interés Muisca se localiza dentro del sector con alto grado de amenaza sísmica…”</w:t>
      </w:r>
    </w:p>
    <w:tbl>
      <w:tblPr>
        <w:tblW w:w="0" w:type="auto"/>
        <w:jc w:val="center"/>
        <w:tblInd w:w="1630" w:type="dxa"/>
        <w:tblCellMar>
          <w:left w:w="70" w:type="dxa"/>
          <w:right w:w="70" w:type="dxa"/>
        </w:tblCellMar>
        <w:tblLook w:val="04A0" w:firstRow="1" w:lastRow="0" w:firstColumn="1" w:lastColumn="0" w:noHBand="0" w:noVBand="1"/>
      </w:tblPr>
      <w:tblGrid>
        <w:gridCol w:w="5670"/>
      </w:tblGrid>
      <w:tr w:rsidR="004E4195" w:rsidRPr="004E4195" w:rsidTr="004E4195">
        <w:trPr>
          <w:jc w:val="center"/>
        </w:trPr>
        <w:tc>
          <w:tcPr>
            <w:tcW w:w="5670" w:type="dxa"/>
            <w:hideMark/>
          </w:tcPr>
          <w:p w:rsidR="004E4195" w:rsidRPr="004E4195" w:rsidRDefault="004E4195" w:rsidP="004E4195">
            <w:pPr>
              <w:jc w:val="both"/>
              <w:rPr>
                <w:rFonts w:ascii="Arial" w:hAnsi="Arial" w:cs="Arial"/>
                <w:b/>
                <w:sz w:val="22"/>
              </w:rPr>
            </w:pPr>
            <w:r w:rsidRPr="004E4195">
              <w:rPr>
                <w:rFonts w:ascii="Arial" w:hAnsi="Arial" w:cs="Arial"/>
                <w:noProof/>
                <w:sz w:val="22"/>
                <w:lang w:val="es-CO" w:eastAsia="es-CO"/>
              </w:rPr>
              <w:drawing>
                <wp:anchor distT="0" distB="0" distL="114300" distR="114300" simplePos="0" relativeHeight="251659264" behindDoc="0" locked="0" layoutInCell="1" allowOverlap="1" wp14:anchorId="5BDDF372" wp14:editId="6CD130DB">
                  <wp:simplePos x="0" y="0"/>
                  <wp:positionH relativeFrom="column">
                    <wp:posOffset>460375</wp:posOffset>
                  </wp:positionH>
                  <wp:positionV relativeFrom="paragraph">
                    <wp:posOffset>374650</wp:posOffset>
                  </wp:positionV>
                  <wp:extent cx="2686050" cy="2979420"/>
                  <wp:effectExtent l="19050" t="19050" r="19050" b="11430"/>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0">
                            <a:extLst>
                              <a:ext uri="{28A0092B-C50C-407E-A947-70E740481C1C}">
                                <a14:useLocalDpi xmlns:a14="http://schemas.microsoft.com/office/drawing/2010/main" val="0"/>
                              </a:ext>
                            </a:extLst>
                          </a:blip>
                          <a:srcRect l="32436" t="8817" r="32578" b="15100"/>
                          <a:stretch>
                            <a:fillRect/>
                          </a:stretch>
                        </pic:blipFill>
                        <pic:spPr bwMode="auto">
                          <a:xfrm>
                            <a:off x="0" y="0"/>
                            <a:ext cx="2686050" cy="2979420"/>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bookmarkStart w:id="2" w:name="_Ref312772069"/>
            <w:bookmarkStart w:id="3" w:name="_Toc312791765"/>
            <w:r w:rsidRPr="004E4195">
              <w:rPr>
                <w:rFonts w:ascii="Arial" w:hAnsi="Arial" w:cs="Arial"/>
                <w:b/>
                <w:sz w:val="22"/>
              </w:rPr>
              <w:t>Riesgo de sismicidad Área de Interés Exploratorio Muisca</w:t>
            </w:r>
            <w:bookmarkEnd w:id="2"/>
            <w:bookmarkEnd w:id="3"/>
          </w:p>
        </w:tc>
      </w:tr>
      <w:tr w:rsidR="004E4195" w:rsidRPr="004E4195" w:rsidTr="004E4195">
        <w:trPr>
          <w:jc w:val="center"/>
        </w:trPr>
        <w:tc>
          <w:tcPr>
            <w:tcW w:w="5670" w:type="dxa"/>
            <w:hideMark/>
          </w:tcPr>
          <w:p w:rsidR="004E4195" w:rsidRPr="004E4195" w:rsidRDefault="004E4195" w:rsidP="004E4195">
            <w:pPr>
              <w:jc w:val="both"/>
              <w:rPr>
                <w:rFonts w:ascii="Arial" w:hAnsi="Arial" w:cs="Arial"/>
                <w:sz w:val="22"/>
                <w:lang w:val="es-CO"/>
              </w:rPr>
            </w:pPr>
          </w:p>
        </w:tc>
      </w:tr>
    </w:tbl>
    <w:p w:rsidR="004E4195" w:rsidRPr="004E4195" w:rsidRDefault="004E4195" w:rsidP="004E4195">
      <w:pPr>
        <w:jc w:val="both"/>
        <w:rPr>
          <w:rFonts w:ascii="Arial" w:hAnsi="Arial" w:cs="Arial"/>
          <w:i/>
          <w:sz w:val="22"/>
        </w:rPr>
      </w:pPr>
    </w:p>
    <w:p w:rsidR="004E4195" w:rsidRDefault="004E4195" w:rsidP="00FD65F5">
      <w:pPr>
        <w:jc w:val="both"/>
        <w:rPr>
          <w:rFonts w:ascii="Arial" w:hAnsi="Arial" w:cs="Arial"/>
          <w:i/>
          <w:sz w:val="18"/>
        </w:rPr>
      </w:pPr>
      <w:r w:rsidRPr="00FD65F5">
        <w:rPr>
          <w:rFonts w:ascii="Arial" w:hAnsi="Arial" w:cs="Arial"/>
          <w:i/>
          <w:sz w:val="18"/>
        </w:rPr>
        <w:t>Fuente: Estudio de impacto Ambiental para la modificación de la Licencia Ambiental, Maurel &amp; Prom Colombia B.V 2012</w:t>
      </w:r>
    </w:p>
    <w:p w:rsidR="00FD65F5" w:rsidRPr="00FD65F5" w:rsidRDefault="00FD65F5" w:rsidP="00FD65F5">
      <w:pPr>
        <w:jc w:val="both"/>
        <w:rPr>
          <w:rFonts w:ascii="Arial" w:hAnsi="Arial" w:cs="Arial"/>
          <w:i/>
          <w:sz w:val="18"/>
        </w:rPr>
      </w:pPr>
    </w:p>
    <w:p w:rsidR="004E4195" w:rsidRDefault="004E4195" w:rsidP="004E4195">
      <w:pPr>
        <w:jc w:val="both"/>
        <w:rPr>
          <w:rFonts w:ascii="Arial" w:hAnsi="Arial" w:cs="Arial"/>
          <w:i/>
          <w:sz w:val="22"/>
        </w:rPr>
      </w:pPr>
      <w:r w:rsidRPr="004E4195">
        <w:rPr>
          <w:rFonts w:ascii="Arial" w:hAnsi="Arial" w:cs="Arial"/>
          <w:sz w:val="22"/>
        </w:rPr>
        <w:lastRenderedPageBreak/>
        <w:t xml:space="preserve">De otra parte la Empresa describe </w:t>
      </w:r>
      <w:r w:rsidRPr="004E4195">
        <w:rPr>
          <w:rFonts w:ascii="Arial" w:hAnsi="Arial" w:cs="Arial"/>
          <w:i/>
          <w:sz w:val="22"/>
        </w:rPr>
        <w:t xml:space="preserve">“…La actividad tectónica en Boyacá está evidenciada por la variabilidad geológica y la evidencia de actividad sísmica recurrente de actividad media y alta en algunas regiones. La sismicidad media se presenta al oriente en límites con Casanare, en el resto del Departamento el riesgo sísmico es considerado como alto. Se puede afirmar que la causa de los temblores y terremotos en el Departamento de Boyacá obedece al sistema de fallas del pie de monte llanero, que cruzan cierta parte de su territorio, en dirección NE. Estas fallas son de tipo inverso, lo que podría estar generando actualmente grandes presiones internas por lo que se pueden considerar como potencialmente activas, redundando en amenaza alta por temblores de tierra…” </w:t>
      </w:r>
    </w:p>
    <w:p w:rsidR="00FD65F5" w:rsidRPr="004E4195" w:rsidRDefault="00FD65F5" w:rsidP="004E4195">
      <w:pPr>
        <w:jc w:val="both"/>
        <w:rPr>
          <w:rFonts w:ascii="Arial" w:hAnsi="Arial" w:cs="Arial"/>
          <w:i/>
          <w:sz w:val="22"/>
        </w:rPr>
      </w:pPr>
    </w:p>
    <w:p w:rsidR="004E4195" w:rsidRDefault="004E4195" w:rsidP="004E4195">
      <w:pPr>
        <w:jc w:val="both"/>
        <w:rPr>
          <w:rFonts w:ascii="Arial" w:hAnsi="Arial" w:cs="Arial"/>
          <w:sz w:val="22"/>
        </w:rPr>
      </w:pPr>
      <w:r w:rsidRPr="004E4195">
        <w:rPr>
          <w:rFonts w:ascii="Arial" w:hAnsi="Arial" w:cs="Arial"/>
          <w:sz w:val="22"/>
        </w:rPr>
        <w:t>De la misma manera, el plan de contingencia entregado por la Empresa en el EIA correspondiente a la solicitud de modificación de Licencia Ambiental, se describe el aspecto de amenaza sísmica de la siguiente manera:</w:t>
      </w:r>
      <w:bookmarkStart w:id="4" w:name="_Toc262818876"/>
      <w:bookmarkStart w:id="5" w:name="_Toc302343485"/>
      <w:bookmarkStart w:id="6" w:name="_Toc308787574"/>
      <w:bookmarkStart w:id="7" w:name="_Toc312332122"/>
    </w:p>
    <w:p w:rsidR="00FD65F5" w:rsidRPr="004E4195" w:rsidRDefault="00FD65F5" w:rsidP="004E4195">
      <w:pPr>
        <w:jc w:val="both"/>
        <w:rPr>
          <w:rFonts w:ascii="Arial" w:hAnsi="Arial" w:cs="Arial"/>
          <w:sz w:val="22"/>
        </w:rPr>
      </w:pPr>
    </w:p>
    <w:p w:rsidR="004E4195" w:rsidRPr="004E4195" w:rsidRDefault="004E4195" w:rsidP="004E4195">
      <w:pPr>
        <w:jc w:val="both"/>
        <w:rPr>
          <w:rFonts w:ascii="Arial" w:hAnsi="Arial" w:cs="Arial"/>
          <w:b/>
          <w:bCs/>
          <w:i/>
          <w:sz w:val="22"/>
        </w:rPr>
      </w:pPr>
      <w:r w:rsidRPr="004E4195">
        <w:rPr>
          <w:rFonts w:ascii="Arial" w:hAnsi="Arial" w:cs="Arial"/>
          <w:b/>
          <w:bCs/>
          <w:i/>
          <w:sz w:val="22"/>
        </w:rPr>
        <w:t>“…ANÁLISIS DE RIESGOS</w:t>
      </w:r>
      <w:bookmarkEnd w:id="4"/>
      <w:bookmarkEnd w:id="5"/>
      <w:bookmarkEnd w:id="6"/>
      <w:bookmarkEnd w:id="7"/>
    </w:p>
    <w:p w:rsidR="004E4195" w:rsidRPr="004E4195" w:rsidRDefault="004E4195" w:rsidP="004E4195">
      <w:pPr>
        <w:jc w:val="both"/>
        <w:rPr>
          <w:rFonts w:ascii="Arial" w:hAnsi="Arial" w:cs="Arial"/>
          <w:i/>
          <w:sz w:val="22"/>
        </w:rPr>
      </w:pPr>
      <w:r w:rsidRPr="004E4195">
        <w:rPr>
          <w:rFonts w:ascii="Arial" w:hAnsi="Arial" w:cs="Arial"/>
          <w:i/>
          <w:sz w:val="22"/>
        </w:rPr>
        <w:t>En general, el análisis de riesgos identifica aquellos eventos donde se requiere el desarrollo de procedimientos de contingencia: detallados, generales o aquellos eventos que no requieren la formulación de un plan. La metodología utilizada para el análisis de riesgos se basa en la desarrollada por el Plan Maestro de Emergencias de MAUREL &amp; PROM COLOMBIA B.V.</w:t>
      </w:r>
    </w:p>
    <w:p w:rsidR="004E4195" w:rsidRPr="004E4195" w:rsidRDefault="004E4195" w:rsidP="004E4195">
      <w:pPr>
        <w:jc w:val="both"/>
        <w:rPr>
          <w:rFonts w:ascii="Arial" w:hAnsi="Arial" w:cs="Arial"/>
          <w:i/>
          <w:sz w:val="22"/>
        </w:rPr>
      </w:pPr>
    </w:p>
    <w:p w:rsidR="004E4195" w:rsidRPr="004E4195" w:rsidRDefault="004E4195" w:rsidP="004E4195">
      <w:pPr>
        <w:jc w:val="both"/>
        <w:rPr>
          <w:rFonts w:ascii="Arial" w:hAnsi="Arial" w:cs="Arial"/>
          <w:b/>
          <w:bCs/>
          <w:sz w:val="22"/>
          <w:lang w:val="es-CO"/>
        </w:rPr>
      </w:pPr>
      <w:bookmarkStart w:id="8" w:name="_Toc42903878"/>
      <w:bookmarkStart w:id="9" w:name="_Toc172986816"/>
      <w:bookmarkStart w:id="10" w:name="_Toc187200284"/>
      <w:bookmarkStart w:id="11" w:name="_Toc251847816"/>
      <w:bookmarkStart w:id="12" w:name="_Toc258942450"/>
      <w:bookmarkStart w:id="13" w:name="_Toc312332123"/>
      <w:r w:rsidRPr="004E4195">
        <w:rPr>
          <w:rFonts w:ascii="Arial" w:hAnsi="Arial" w:cs="Arial"/>
          <w:b/>
          <w:bCs/>
          <w:sz w:val="22"/>
          <w:lang w:val="es-CO"/>
        </w:rPr>
        <w:t>Identificación de Riesgos</w:t>
      </w:r>
      <w:bookmarkEnd w:id="8"/>
      <w:bookmarkEnd w:id="9"/>
      <w:bookmarkEnd w:id="10"/>
      <w:bookmarkEnd w:id="11"/>
      <w:bookmarkEnd w:id="12"/>
      <w:r w:rsidRPr="004E4195">
        <w:rPr>
          <w:rFonts w:ascii="Arial" w:hAnsi="Arial" w:cs="Arial"/>
          <w:b/>
          <w:bCs/>
          <w:sz w:val="22"/>
          <w:lang w:val="es-CO"/>
        </w:rPr>
        <w:t>:</w:t>
      </w:r>
      <w:bookmarkEnd w:id="13"/>
      <w:r w:rsidRPr="004E4195">
        <w:rPr>
          <w:rFonts w:ascii="Arial" w:hAnsi="Arial" w:cs="Arial"/>
          <w:b/>
          <w:bCs/>
          <w:sz w:val="22"/>
          <w:lang w:val="es-CO"/>
        </w:rPr>
        <w:t xml:space="preserve"> </w:t>
      </w:r>
    </w:p>
    <w:tbl>
      <w:tblPr>
        <w:tblW w:w="9038" w:type="dxa"/>
        <w:jc w:val="center"/>
        <w:tblInd w:w="20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1512"/>
        <w:gridCol w:w="1659"/>
        <w:gridCol w:w="5867"/>
      </w:tblGrid>
      <w:tr w:rsidR="004E4195" w:rsidRPr="004E4195" w:rsidTr="004E4195">
        <w:trPr>
          <w:trHeight w:val="299"/>
          <w:tblHeader/>
          <w:jc w:val="center"/>
        </w:trPr>
        <w:tc>
          <w:tcPr>
            <w:tcW w:w="836" w:type="pct"/>
            <w:tcBorders>
              <w:top w:val="double" w:sz="4" w:space="0" w:color="auto"/>
              <w:left w:val="double" w:sz="4" w:space="0" w:color="auto"/>
              <w:bottom w:val="single" w:sz="6" w:space="0" w:color="auto"/>
              <w:right w:val="single" w:sz="6" w:space="0" w:color="auto"/>
            </w:tcBorders>
            <w:shd w:val="pct10" w:color="auto" w:fill="auto"/>
            <w:vAlign w:val="center"/>
            <w:hideMark/>
          </w:tcPr>
          <w:p w:rsidR="004E4195" w:rsidRPr="00FD65F5" w:rsidRDefault="004E4195" w:rsidP="004E4195">
            <w:pPr>
              <w:jc w:val="both"/>
              <w:rPr>
                <w:rFonts w:ascii="Arial" w:hAnsi="Arial" w:cs="Arial"/>
                <w:b/>
                <w:sz w:val="20"/>
              </w:rPr>
            </w:pPr>
            <w:r w:rsidRPr="00FD65F5">
              <w:rPr>
                <w:rFonts w:ascii="Arial" w:hAnsi="Arial" w:cs="Arial"/>
                <w:b/>
                <w:sz w:val="20"/>
              </w:rPr>
              <w:t>TIPO DE RIESGO</w:t>
            </w:r>
          </w:p>
        </w:tc>
        <w:tc>
          <w:tcPr>
            <w:tcW w:w="918" w:type="pct"/>
            <w:tcBorders>
              <w:top w:val="double" w:sz="4" w:space="0" w:color="auto"/>
              <w:left w:val="single" w:sz="6" w:space="0" w:color="auto"/>
              <w:bottom w:val="single" w:sz="6" w:space="0" w:color="auto"/>
              <w:right w:val="single" w:sz="6" w:space="0" w:color="auto"/>
            </w:tcBorders>
            <w:shd w:val="pct10" w:color="auto" w:fill="auto"/>
            <w:vAlign w:val="center"/>
            <w:hideMark/>
          </w:tcPr>
          <w:p w:rsidR="004E4195" w:rsidRPr="00FD65F5" w:rsidRDefault="004E4195" w:rsidP="004E4195">
            <w:pPr>
              <w:jc w:val="both"/>
              <w:rPr>
                <w:rFonts w:ascii="Arial" w:hAnsi="Arial" w:cs="Arial"/>
                <w:b/>
                <w:sz w:val="20"/>
              </w:rPr>
            </w:pPr>
            <w:r w:rsidRPr="00FD65F5">
              <w:rPr>
                <w:rFonts w:ascii="Arial" w:hAnsi="Arial" w:cs="Arial"/>
                <w:b/>
                <w:sz w:val="20"/>
              </w:rPr>
              <w:t>AMENAZA</w:t>
            </w:r>
          </w:p>
        </w:tc>
        <w:tc>
          <w:tcPr>
            <w:tcW w:w="3246" w:type="pct"/>
            <w:tcBorders>
              <w:top w:val="double" w:sz="4" w:space="0" w:color="auto"/>
              <w:left w:val="single" w:sz="6" w:space="0" w:color="auto"/>
              <w:bottom w:val="single" w:sz="6" w:space="0" w:color="auto"/>
              <w:right w:val="double" w:sz="4" w:space="0" w:color="auto"/>
            </w:tcBorders>
            <w:shd w:val="pct10" w:color="auto" w:fill="auto"/>
            <w:vAlign w:val="center"/>
            <w:hideMark/>
          </w:tcPr>
          <w:p w:rsidR="004E4195" w:rsidRPr="00FD65F5" w:rsidRDefault="004E4195" w:rsidP="004E4195">
            <w:pPr>
              <w:jc w:val="both"/>
              <w:rPr>
                <w:rFonts w:ascii="Arial" w:hAnsi="Arial" w:cs="Arial"/>
                <w:b/>
                <w:sz w:val="20"/>
              </w:rPr>
            </w:pPr>
            <w:r w:rsidRPr="00FD65F5">
              <w:rPr>
                <w:rFonts w:ascii="Arial" w:hAnsi="Arial" w:cs="Arial"/>
                <w:b/>
                <w:sz w:val="20"/>
              </w:rPr>
              <w:t>DESCRIPCIÓN</w:t>
            </w:r>
          </w:p>
        </w:tc>
      </w:tr>
      <w:tr w:rsidR="004E4195" w:rsidRPr="004E4195" w:rsidTr="004E4195">
        <w:trPr>
          <w:trHeight w:val="299"/>
          <w:jc w:val="center"/>
        </w:trPr>
        <w:tc>
          <w:tcPr>
            <w:tcW w:w="836" w:type="pct"/>
            <w:vMerge w:val="restart"/>
            <w:tcBorders>
              <w:top w:val="single" w:sz="6" w:space="0" w:color="auto"/>
              <w:left w:val="double" w:sz="4"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Tipo Endógeno</w:t>
            </w: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Incendios</w:t>
            </w:r>
          </w:p>
        </w:tc>
        <w:tc>
          <w:tcPr>
            <w:tcW w:w="3246" w:type="pct"/>
            <w:tcBorders>
              <w:top w:val="single" w:sz="6" w:space="0" w:color="auto"/>
              <w:left w:val="single" w:sz="6" w:space="0" w:color="auto"/>
              <w:bottom w:val="single" w:sz="6" w:space="0" w:color="auto"/>
              <w:right w:val="double" w:sz="4"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Manejo de combustibles (ACPM, diesel)</w:t>
            </w:r>
          </w:p>
          <w:p w:rsidR="004E4195" w:rsidRPr="00FD65F5" w:rsidRDefault="004E4195" w:rsidP="004E4195">
            <w:pPr>
              <w:jc w:val="both"/>
              <w:rPr>
                <w:rFonts w:ascii="Arial" w:hAnsi="Arial" w:cs="Arial"/>
                <w:sz w:val="20"/>
              </w:rPr>
            </w:pPr>
            <w:r w:rsidRPr="00FD65F5">
              <w:rPr>
                <w:rFonts w:ascii="Arial" w:hAnsi="Arial" w:cs="Arial"/>
                <w:sz w:val="20"/>
              </w:rPr>
              <w:t>Manejo de equipos operados con energía eléctrica (motores, generadores, maquinaria, compresores, tratadores, motobombas, vehículos).</w:t>
            </w:r>
          </w:p>
          <w:p w:rsidR="004E4195" w:rsidRPr="00FD65F5" w:rsidRDefault="004E4195" w:rsidP="004E4195">
            <w:pPr>
              <w:jc w:val="both"/>
              <w:rPr>
                <w:rFonts w:ascii="Arial" w:hAnsi="Arial" w:cs="Arial"/>
                <w:sz w:val="20"/>
              </w:rPr>
            </w:pPr>
            <w:r w:rsidRPr="00FD65F5">
              <w:rPr>
                <w:rFonts w:ascii="Arial" w:hAnsi="Arial" w:cs="Arial"/>
                <w:sz w:val="20"/>
              </w:rPr>
              <w:t>Almacenamiento de crudo.</w:t>
            </w:r>
          </w:p>
          <w:p w:rsidR="004E4195" w:rsidRPr="00FD65F5" w:rsidRDefault="004E4195" w:rsidP="004E4195">
            <w:pPr>
              <w:jc w:val="both"/>
              <w:rPr>
                <w:rFonts w:ascii="Arial" w:hAnsi="Arial" w:cs="Arial"/>
                <w:sz w:val="20"/>
              </w:rPr>
            </w:pPr>
            <w:r w:rsidRPr="00FD65F5">
              <w:rPr>
                <w:rFonts w:ascii="Arial" w:hAnsi="Arial" w:cs="Arial"/>
                <w:sz w:val="20"/>
              </w:rPr>
              <w:t>Almacenamiento de combustibles.</w:t>
            </w:r>
          </w:p>
        </w:tc>
      </w:tr>
      <w:tr w:rsidR="004E4195" w:rsidRPr="004E4195" w:rsidTr="004E4195">
        <w:trPr>
          <w:trHeight w:val="299"/>
          <w:jc w:val="center"/>
        </w:trPr>
        <w:tc>
          <w:tcPr>
            <w:tcW w:w="0" w:type="auto"/>
            <w:vMerge/>
            <w:tcBorders>
              <w:top w:val="single" w:sz="6" w:space="0" w:color="auto"/>
              <w:left w:val="double" w:sz="4"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Derrame de productos</w:t>
            </w:r>
          </w:p>
        </w:tc>
        <w:tc>
          <w:tcPr>
            <w:tcW w:w="3246" w:type="pct"/>
            <w:tcBorders>
              <w:top w:val="single" w:sz="6" w:space="0" w:color="auto"/>
              <w:left w:val="single" w:sz="6" w:space="0" w:color="auto"/>
              <w:bottom w:val="single" w:sz="6" w:space="0" w:color="auto"/>
              <w:right w:val="double" w:sz="4" w:space="0" w:color="auto"/>
            </w:tcBorders>
            <w:hideMark/>
          </w:tcPr>
          <w:p w:rsidR="004E4195" w:rsidRPr="00FD65F5" w:rsidRDefault="004E4195" w:rsidP="004E4195">
            <w:pPr>
              <w:jc w:val="both"/>
              <w:rPr>
                <w:rFonts w:ascii="Arial" w:hAnsi="Arial" w:cs="Arial"/>
                <w:sz w:val="20"/>
              </w:rPr>
            </w:pPr>
            <w:r w:rsidRPr="00FD65F5">
              <w:rPr>
                <w:rFonts w:ascii="Arial" w:hAnsi="Arial" w:cs="Arial"/>
                <w:sz w:val="20"/>
              </w:rPr>
              <w:t>Manipulación inadecuada de los tanques de combustibles (ACPM), materiales para los lodos de perforación, productos químicos, hidrocarburos.</w:t>
            </w:r>
          </w:p>
          <w:p w:rsidR="004E4195" w:rsidRPr="00FD65F5" w:rsidRDefault="004E4195" w:rsidP="004E4195">
            <w:pPr>
              <w:jc w:val="both"/>
              <w:rPr>
                <w:rFonts w:ascii="Arial" w:hAnsi="Arial" w:cs="Arial"/>
                <w:sz w:val="20"/>
              </w:rPr>
            </w:pPr>
            <w:r w:rsidRPr="00FD65F5">
              <w:rPr>
                <w:rFonts w:ascii="Arial" w:hAnsi="Arial" w:cs="Arial"/>
                <w:sz w:val="20"/>
              </w:rPr>
              <w:t>Materiales para tratamiento de aguas, materiales para el completamiento.</w:t>
            </w:r>
          </w:p>
          <w:p w:rsidR="004E4195" w:rsidRPr="00FD65F5" w:rsidRDefault="004E4195" w:rsidP="004E4195">
            <w:pPr>
              <w:jc w:val="both"/>
              <w:rPr>
                <w:rFonts w:ascii="Arial" w:hAnsi="Arial" w:cs="Arial"/>
                <w:sz w:val="20"/>
              </w:rPr>
            </w:pPr>
            <w:r w:rsidRPr="00FD65F5">
              <w:rPr>
                <w:rFonts w:ascii="Arial" w:hAnsi="Arial" w:cs="Arial"/>
                <w:sz w:val="20"/>
              </w:rPr>
              <w:t>Fuga en válvulas o bridas en los tanques de almacenamiento.</w:t>
            </w:r>
          </w:p>
          <w:p w:rsidR="004E4195" w:rsidRPr="00FD65F5" w:rsidRDefault="004E4195" w:rsidP="004E4195">
            <w:pPr>
              <w:jc w:val="both"/>
              <w:rPr>
                <w:rFonts w:ascii="Arial" w:hAnsi="Arial" w:cs="Arial"/>
                <w:sz w:val="20"/>
              </w:rPr>
            </w:pPr>
            <w:r w:rsidRPr="00FD65F5">
              <w:rPr>
                <w:rFonts w:ascii="Arial" w:hAnsi="Arial" w:cs="Arial"/>
                <w:sz w:val="20"/>
              </w:rPr>
              <w:t>Falla en los diques de contención para derrames y de las válvulas de drenaje.</w:t>
            </w:r>
          </w:p>
          <w:p w:rsidR="004E4195" w:rsidRPr="00FD65F5" w:rsidRDefault="004E4195" w:rsidP="004E4195">
            <w:pPr>
              <w:jc w:val="both"/>
              <w:rPr>
                <w:rFonts w:ascii="Arial" w:hAnsi="Arial" w:cs="Arial"/>
                <w:sz w:val="20"/>
              </w:rPr>
            </w:pPr>
            <w:r w:rsidRPr="00FD65F5">
              <w:rPr>
                <w:rFonts w:ascii="Arial" w:hAnsi="Arial" w:cs="Arial"/>
                <w:sz w:val="20"/>
              </w:rPr>
              <w:t>Rebosamiento en los tanques de lodo.</w:t>
            </w:r>
          </w:p>
          <w:p w:rsidR="004E4195" w:rsidRPr="00FD65F5" w:rsidRDefault="004E4195" w:rsidP="004E4195">
            <w:pPr>
              <w:jc w:val="both"/>
              <w:rPr>
                <w:rFonts w:ascii="Arial" w:hAnsi="Arial" w:cs="Arial"/>
                <w:sz w:val="20"/>
              </w:rPr>
            </w:pPr>
            <w:r w:rsidRPr="00FD65F5">
              <w:rPr>
                <w:rFonts w:ascii="Arial" w:hAnsi="Arial" w:cs="Arial"/>
                <w:sz w:val="20"/>
              </w:rPr>
              <w:t>Falla en las mangueras, válvulas, estructura o estado de la cisterna, estado de los carrotanques, estado de las vías.</w:t>
            </w:r>
          </w:p>
          <w:p w:rsidR="004E4195" w:rsidRPr="00FD65F5" w:rsidRDefault="004E4195" w:rsidP="004E4195">
            <w:pPr>
              <w:jc w:val="both"/>
              <w:rPr>
                <w:rFonts w:ascii="Arial" w:hAnsi="Arial" w:cs="Arial"/>
                <w:sz w:val="20"/>
              </w:rPr>
            </w:pPr>
            <w:r w:rsidRPr="00FD65F5">
              <w:rPr>
                <w:rFonts w:ascii="Arial" w:hAnsi="Arial" w:cs="Arial"/>
                <w:sz w:val="20"/>
              </w:rPr>
              <w:t>Falla en líneas de flujo.</w:t>
            </w:r>
          </w:p>
          <w:p w:rsidR="004E4195" w:rsidRPr="00FD65F5" w:rsidRDefault="004E4195" w:rsidP="004E4195">
            <w:pPr>
              <w:jc w:val="both"/>
              <w:rPr>
                <w:rFonts w:ascii="Arial" w:hAnsi="Arial" w:cs="Arial"/>
                <w:sz w:val="20"/>
              </w:rPr>
            </w:pPr>
            <w:r w:rsidRPr="00FD65F5">
              <w:rPr>
                <w:rFonts w:ascii="Arial" w:hAnsi="Arial" w:cs="Arial"/>
                <w:sz w:val="20"/>
              </w:rPr>
              <w:t xml:space="preserve">Daños por terceros: atentado, sabotaje. </w:t>
            </w:r>
          </w:p>
          <w:p w:rsidR="004E4195" w:rsidRPr="00FD65F5" w:rsidRDefault="004E4195" w:rsidP="004E4195">
            <w:pPr>
              <w:jc w:val="both"/>
              <w:rPr>
                <w:rFonts w:ascii="Arial" w:hAnsi="Arial" w:cs="Arial"/>
                <w:sz w:val="20"/>
              </w:rPr>
            </w:pPr>
            <w:r w:rsidRPr="00FD65F5">
              <w:rPr>
                <w:rFonts w:ascii="Arial" w:hAnsi="Arial" w:cs="Arial"/>
                <w:sz w:val="20"/>
              </w:rPr>
              <w:t>Durante la operación de cargue, descargue y transporte de hidrocarburos, ocasionando errores operacionales, accidentes de tránsito, entre otros.</w:t>
            </w:r>
          </w:p>
        </w:tc>
      </w:tr>
      <w:tr w:rsidR="004E4195" w:rsidRPr="004E4195" w:rsidTr="004E4195">
        <w:trPr>
          <w:trHeight w:val="299"/>
          <w:jc w:val="center"/>
        </w:trPr>
        <w:tc>
          <w:tcPr>
            <w:tcW w:w="0" w:type="auto"/>
            <w:vMerge/>
            <w:tcBorders>
              <w:top w:val="single" w:sz="6" w:space="0" w:color="auto"/>
              <w:left w:val="double" w:sz="4"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Explosión</w:t>
            </w:r>
          </w:p>
        </w:tc>
        <w:tc>
          <w:tcPr>
            <w:tcW w:w="3246" w:type="pct"/>
            <w:tcBorders>
              <w:top w:val="single" w:sz="6" w:space="0" w:color="auto"/>
              <w:left w:val="single" w:sz="6" w:space="0" w:color="auto"/>
              <w:bottom w:val="single" w:sz="6" w:space="0" w:color="auto"/>
              <w:right w:val="double" w:sz="4"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 xml:space="preserve">Las características de inflamabilidad de las sustancias empleadas en el desarrollo del proyecto, junto con las altas presiones de vapor de las sustancias manipuladas, generan una </w:t>
            </w:r>
            <w:r w:rsidRPr="00FD65F5">
              <w:rPr>
                <w:rFonts w:ascii="Arial" w:hAnsi="Arial" w:cs="Arial"/>
                <w:sz w:val="20"/>
              </w:rPr>
              <w:lastRenderedPageBreak/>
              <w:t>constante amenaza de formación de atmósferas explosivas.</w:t>
            </w:r>
          </w:p>
        </w:tc>
      </w:tr>
      <w:tr w:rsidR="004E4195" w:rsidRPr="004E4195" w:rsidTr="004E4195">
        <w:trPr>
          <w:trHeight w:val="299"/>
          <w:jc w:val="center"/>
        </w:trPr>
        <w:tc>
          <w:tcPr>
            <w:tcW w:w="0" w:type="auto"/>
            <w:vMerge/>
            <w:tcBorders>
              <w:top w:val="single" w:sz="6" w:space="0" w:color="auto"/>
              <w:left w:val="double" w:sz="4"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Derrame de aguas contaminadas</w:t>
            </w:r>
          </w:p>
        </w:tc>
        <w:tc>
          <w:tcPr>
            <w:tcW w:w="3246" w:type="pct"/>
            <w:tcBorders>
              <w:top w:val="single" w:sz="6" w:space="0" w:color="auto"/>
              <w:left w:val="single" w:sz="6" w:space="0" w:color="auto"/>
              <w:bottom w:val="single" w:sz="6" w:space="0" w:color="auto"/>
              <w:right w:val="double" w:sz="4" w:space="0" w:color="auto"/>
            </w:tcBorders>
            <w:hideMark/>
          </w:tcPr>
          <w:p w:rsidR="004E4195" w:rsidRPr="00FD65F5" w:rsidRDefault="004E4195" w:rsidP="004E4195">
            <w:pPr>
              <w:jc w:val="both"/>
              <w:rPr>
                <w:rFonts w:ascii="Arial" w:hAnsi="Arial" w:cs="Arial"/>
                <w:sz w:val="20"/>
              </w:rPr>
            </w:pPr>
            <w:r w:rsidRPr="00FD65F5">
              <w:rPr>
                <w:rFonts w:ascii="Arial" w:hAnsi="Arial" w:cs="Arial"/>
                <w:sz w:val="20"/>
              </w:rPr>
              <w:t>Rebosamiento en los tanques de lodo.</w:t>
            </w:r>
          </w:p>
          <w:p w:rsidR="004E4195" w:rsidRPr="00FD65F5" w:rsidRDefault="004E4195" w:rsidP="004E4195">
            <w:pPr>
              <w:jc w:val="both"/>
              <w:rPr>
                <w:rFonts w:ascii="Arial" w:hAnsi="Arial" w:cs="Arial"/>
                <w:sz w:val="20"/>
              </w:rPr>
            </w:pPr>
            <w:r w:rsidRPr="00FD65F5">
              <w:rPr>
                <w:rFonts w:ascii="Arial" w:hAnsi="Arial" w:cs="Arial"/>
                <w:sz w:val="20"/>
              </w:rPr>
              <w:t>Rebose de la piscina o skimmers del sistema de tratamiento de aguas.</w:t>
            </w:r>
          </w:p>
          <w:p w:rsidR="004E4195" w:rsidRPr="00FD65F5" w:rsidRDefault="004E4195" w:rsidP="004E4195">
            <w:pPr>
              <w:jc w:val="both"/>
              <w:rPr>
                <w:rFonts w:ascii="Arial" w:hAnsi="Arial" w:cs="Arial"/>
                <w:sz w:val="20"/>
              </w:rPr>
            </w:pPr>
            <w:r w:rsidRPr="00FD65F5">
              <w:rPr>
                <w:rFonts w:ascii="Arial" w:hAnsi="Arial" w:cs="Arial"/>
                <w:sz w:val="20"/>
              </w:rPr>
              <w:t>Fuga de fluido de perforación del pozo hacia el sistema de limpieza de lodo, por falla en la línea de flujo.</w:t>
            </w:r>
          </w:p>
        </w:tc>
      </w:tr>
      <w:tr w:rsidR="004E4195" w:rsidRPr="004E4195" w:rsidTr="004E4195">
        <w:trPr>
          <w:trHeight w:val="299"/>
          <w:jc w:val="center"/>
        </w:trPr>
        <w:tc>
          <w:tcPr>
            <w:tcW w:w="0" w:type="auto"/>
            <w:vMerge/>
            <w:tcBorders>
              <w:top w:val="single" w:sz="6" w:space="0" w:color="auto"/>
              <w:left w:val="double" w:sz="4"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Emisiones por fuera de los límites permitidos</w:t>
            </w:r>
          </w:p>
        </w:tc>
        <w:tc>
          <w:tcPr>
            <w:tcW w:w="3246" w:type="pct"/>
            <w:tcBorders>
              <w:top w:val="single" w:sz="6" w:space="0" w:color="auto"/>
              <w:left w:val="single" w:sz="6" w:space="0" w:color="auto"/>
              <w:bottom w:val="single" w:sz="6" w:space="0" w:color="auto"/>
              <w:right w:val="double" w:sz="4" w:space="0" w:color="auto"/>
            </w:tcBorders>
            <w:hideMark/>
          </w:tcPr>
          <w:p w:rsidR="004E4195" w:rsidRPr="00FD65F5" w:rsidRDefault="004E4195" w:rsidP="004E4195">
            <w:pPr>
              <w:jc w:val="both"/>
              <w:rPr>
                <w:rFonts w:ascii="Arial" w:hAnsi="Arial" w:cs="Arial"/>
                <w:sz w:val="20"/>
              </w:rPr>
            </w:pPr>
            <w:r w:rsidRPr="00FD65F5">
              <w:rPr>
                <w:rFonts w:ascii="Arial" w:hAnsi="Arial" w:cs="Arial"/>
                <w:sz w:val="20"/>
              </w:rPr>
              <w:t>Material particulado: Transporte de materiales, motores de combustión interna en servicio, de fuentes fijas y móviles.</w:t>
            </w:r>
          </w:p>
          <w:p w:rsidR="004E4195" w:rsidRPr="00FD65F5" w:rsidRDefault="004E4195" w:rsidP="004E4195">
            <w:pPr>
              <w:jc w:val="both"/>
              <w:rPr>
                <w:rFonts w:ascii="Arial" w:hAnsi="Arial" w:cs="Arial"/>
                <w:sz w:val="20"/>
              </w:rPr>
            </w:pPr>
            <w:r w:rsidRPr="00FD65F5">
              <w:rPr>
                <w:rFonts w:ascii="Arial" w:hAnsi="Arial" w:cs="Arial"/>
                <w:sz w:val="20"/>
              </w:rPr>
              <w:t>Gases de combustión: Motores de combustión interna; motores de bombas; plantas de generación eléctrica y plantas de emergencia, etc., fuentes fijas y móviles de la operación.</w:t>
            </w:r>
          </w:p>
          <w:p w:rsidR="004E4195" w:rsidRPr="00FD65F5" w:rsidRDefault="004E4195" w:rsidP="004E4195">
            <w:pPr>
              <w:jc w:val="both"/>
              <w:rPr>
                <w:rFonts w:ascii="Arial" w:hAnsi="Arial" w:cs="Arial"/>
                <w:sz w:val="20"/>
              </w:rPr>
            </w:pPr>
            <w:r w:rsidRPr="00FD65F5">
              <w:rPr>
                <w:rFonts w:ascii="Arial" w:hAnsi="Arial" w:cs="Arial"/>
                <w:sz w:val="20"/>
              </w:rPr>
              <w:t>Estas emisiones se consideran amenaza al sobrepasar los límites permitidos.</w:t>
            </w:r>
          </w:p>
        </w:tc>
      </w:tr>
      <w:tr w:rsidR="004E4195" w:rsidRPr="004E4195" w:rsidTr="004E4195">
        <w:trPr>
          <w:trHeight w:val="299"/>
          <w:jc w:val="center"/>
        </w:trPr>
        <w:tc>
          <w:tcPr>
            <w:tcW w:w="0" w:type="auto"/>
            <w:vMerge/>
            <w:tcBorders>
              <w:top w:val="single" w:sz="6" w:space="0" w:color="auto"/>
              <w:left w:val="double" w:sz="4"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Vertimientos por fuera de los límites permitidos</w:t>
            </w:r>
          </w:p>
        </w:tc>
        <w:tc>
          <w:tcPr>
            <w:tcW w:w="3246" w:type="pct"/>
            <w:tcBorders>
              <w:top w:val="single" w:sz="6" w:space="0" w:color="auto"/>
              <w:left w:val="single" w:sz="6" w:space="0" w:color="auto"/>
              <w:bottom w:val="single" w:sz="6" w:space="0" w:color="auto"/>
              <w:right w:val="double" w:sz="4" w:space="0" w:color="auto"/>
            </w:tcBorders>
            <w:hideMark/>
          </w:tcPr>
          <w:p w:rsidR="004E4195" w:rsidRPr="00FD65F5" w:rsidRDefault="004E4195" w:rsidP="004E4195">
            <w:pPr>
              <w:jc w:val="both"/>
              <w:rPr>
                <w:rFonts w:ascii="Arial" w:hAnsi="Arial" w:cs="Arial"/>
                <w:sz w:val="20"/>
              </w:rPr>
            </w:pPr>
            <w:r w:rsidRPr="00FD65F5">
              <w:rPr>
                <w:rFonts w:ascii="Arial" w:hAnsi="Arial" w:cs="Arial"/>
                <w:sz w:val="20"/>
              </w:rPr>
              <w:t>Vertimiento por fuera de los límites permitidos de los residuos líquidos generados en las etapas de exploración: aguas residuales domésticas, aguas residuales industriales, residuos líquidos especiales.</w:t>
            </w:r>
          </w:p>
        </w:tc>
      </w:tr>
      <w:tr w:rsidR="004E4195" w:rsidRPr="004E4195" w:rsidTr="004E4195">
        <w:trPr>
          <w:trHeight w:val="299"/>
          <w:jc w:val="center"/>
        </w:trPr>
        <w:tc>
          <w:tcPr>
            <w:tcW w:w="836" w:type="pct"/>
            <w:vMerge w:val="restart"/>
            <w:tcBorders>
              <w:top w:val="single" w:sz="6" w:space="0" w:color="auto"/>
              <w:left w:val="double" w:sz="4" w:space="0" w:color="auto"/>
              <w:bottom w:val="double" w:sz="4" w:space="0" w:color="auto"/>
              <w:right w:val="single" w:sz="6" w:space="0" w:color="auto"/>
            </w:tcBorders>
            <w:vAlign w:val="center"/>
            <w:hideMark/>
          </w:tcPr>
          <w:p w:rsidR="004E4195" w:rsidRPr="00FD65F5" w:rsidRDefault="004E4195" w:rsidP="004E4195">
            <w:pPr>
              <w:jc w:val="both"/>
              <w:rPr>
                <w:rFonts w:ascii="Arial" w:hAnsi="Arial" w:cs="Arial"/>
                <w:b/>
                <w:sz w:val="20"/>
              </w:rPr>
            </w:pPr>
            <w:r w:rsidRPr="00FD65F5">
              <w:rPr>
                <w:rFonts w:ascii="Arial" w:hAnsi="Arial" w:cs="Arial"/>
                <w:b/>
                <w:sz w:val="20"/>
              </w:rPr>
              <w:t>Tipo Exógeno</w:t>
            </w: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b/>
                <w:sz w:val="20"/>
              </w:rPr>
            </w:pPr>
            <w:r w:rsidRPr="00FD65F5">
              <w:rPr>
                <w:rFonts w:ascii="Arial" w:hAnsi="Arial" w:cs="Arial"/>
                <w:b/>
                <w:sz w:val="20"/>
              </w:rPr>
              <w:t>Sismicidad</w:t>
            </w:r>
          </w:p>
        </w:tc>
        <w:tc>
          <w:tcPr>
            <w:tcW w:w="3246" w:type="pct"/>
            <w:tcBorders>
              <w:top w:val="single" w:sz="6" w:space="0" w:color="auto"/>
              <w:left w:val="single" w:sz="6" w:space="0" w:color="auto"/>
              <w:bottom w:val="single" w:sz="6" w:space="0" w:color="auto"/>
              <w:right w:val="double" w:sz="4" w:space="0" w:color="auto"/>
            </w:tcBorders>
            <w:vAlign w:val="center"/>
            <w:hideMark/>
          </w:tcPr>
          <w:p w:rsidR="004E4195" w:rsidRPr="00FD65F5" w:rsidRDefault="004E4195" w:rsidP="004E4195">
            <w:pPr>
              <w:jc w:val="both"/>
              <w:rPr>
                <w:rFonts w:ascii="Arial" w:hAnsi="Arial" w:cs="Arial"/>
                <w:b/>
                <w:sz w:val="20"/>
              </w:rPr>
            </w:pPr>
            <w:r w:rsidRPr="00FD65F5">
              <w:rPr>
                <w:rFonts w:ascii="Arial" w:hAnsi="Arial" w:cs="Arial"/>
                <w:b/>
                <w:sz w:val="20"/>
              </w:rPr>
              <w:t xml:space="preserve">De acuerdo con el mapa de zonificación por amenaza sísmica de Colombia desarrollado por INGEOMINAS, el área de perforación exploratoria, está catalogada como zona de amenaza muy alta </w:t>
            </w:r>
          </w:p>
        </w:tc>
      </w:tr>
      <w:tr w:rsidR="004E4195" w:rsidRPr="004E4195" w:rsidTr="004E4195">
        <w:trPr>
          <w:trHeight w:val="299"/>
          <w:jc w:val="center"/>
        </w:trPr>
        <w:tc>
          <w:tcPr>
            <w:tcW w:w="0" w:type="auto"/>
            <w:vMerge/>
            <w:tcBorders>
              <w:top w:val="single" w:sz="6" w:space="0" w:color="auto"/>
              <w:left w:val="double" w:sz="4" w:space="0" w:color="auto"/>
              <w:bottom w:val="double" w:sz="4" w:space="0" w:color="auto"/>
              <w:right w:val="single" w:sz="6" w:space="0" w:color="auto"/>
            </w:tcBorders>
            <w:vAlign w:val="center"/>
            <w:hideMark/>
          </w:tcPr>
          <w:p w:rsidR="004E4195" w:rsidRPr="00FD65F5" w:rsidRDefault="004E4195" w:rsidP="004E4195">
            <w:pPr>
              <w:jc w:val="both"/>
              <w:rPr>
                <w:rFonts w:ascii="Arial" w:hAnsi="Arial" w:cs="Arial"/>
                <w:b/>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Inundación</w:t>
            </w:r>
          </w:p>
        </w:tc>
        <w:tc>
          <w:tcPr>
            <w:tcW w:w="3246" w:type="pct"/>
            <w:tcBorders>
              <w:top w:val="single" w:sz="6" w:space="0" w:color="auto"/>
              <w:left w:val="single" w:sz="6" w:space="0" w:color="auto"/>
              <w:bottom w:val="single" w:sz="6" w:space="0" w:color="auto"/>
              <w:right w:val="double" w:sz="4"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La amenaza de inundación es moderada.</w:t>
            </w:r>
          </w:p>
        </w:tc>
      </w:tr>
      <w:tr w:rsidR="004E4195" w:rsidRPr="004E4195" w:rsidTr="004E4195">
        <w:trPr>
          <w:trHeight w:val="299"/>
          <w:jc w:val="center"/>
        </w:trPr>
        <w:tc>
          <w:tcPr>
            <w:tcW w:w="0" w:type="auto"/>
            <w:vMerge/>
            <w:tcBorders>
              <w:top w:val="single" w:sz="6" w:space="0" w:color="auto"/>
              <w:left w:val="double" w:sz="4" w:space="0" w:color="auto"/>
              <w:bottom w:val="double" w:sz="4" w:space="0" w:color="auto"/>
              <w:right w:val="single" w:sz="6" w:space="0" w:color="auto"/>
            </w:tcBorders>
            <w:vAlign w:val="center"/>
            <w:hideMark/>
          </w:tcPr>
          <w:p w:rsidR="004E4195" w:rsidRPr="00FD65F5" w:rsidRDefault="004E4195" w:rsidP="004E4195">
            <w:pPr>
              <w:jc w:val="both"/>
              <w:rPr>
                <w:rFonts w:ascii="Arial" w:hAnsi="Arial" w:cs="Arial"/>
                <w:b/>
                <w:sz w:val="20"/>
              </w:rPr>
            </w:pPr>
          </w:p>
        </w:tc>
        <w:tc>
          <w:tcPr>
            <w:tcW w:w="918" w:type="pct"/>
            <w:tcBorders>
              <w:top w:val="single" w:sz="6" w:space="0" w:color="auto"/>
              <w:left w:val="single" w:sz="6" w:space="0" w:color="auto"/>
              <w:bottom w:val="single" w:sz="6"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Incendios</w:t>
            </w:r>
          </w:p>
        </w:tc>
        <w:tc>
          <w:tcPr>
            <w:tcW w:w="3246" w:type="pct"/>
            <w:tcBorders>
              <w:top w:val="single" w:sz="6" w:space="0" w:color="auto"/>
              <w:left w:val="single" w:sz="6" w:space="0" w:color="auto"/>
              <w:bottom w:val="single" w:sz="6" w:space="0" w:color="auto"/>
              <w:right w:val="double" w:sz="4"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 xml:space="preserve">Se pueden presentar incendios  generados por el hombre. </w:t>
            </w:r>
          </w:p>
        </w:tc>
      </w:tr>
      <w:tr w:rsidR="004E4195" w:rsidRPr="004E4195" w:rsidTr="004E4195">
        <w:trPr>
          <w:trHeight w:val="299"/>
          <w:jc w:val="center"/>
        </w:trPr>
        <w:tc>
          <w:tcPr>
            <w:tcW w:w="0" w:type="auto"/>
            <w:vMerge/>
            <w:tcBorders>
              <w:top w:val="single" w:sz="6" w:space="0" w:color="auto"/>
              <w:left w:val="double" w:sz="4" w:space="0" w:color="auto"/>
              <w:bottom w:val="double" w:sz="4" w:space="0" w:color="auto"/>
              <w:right w:val="single" w:sz="6" w:space="0" w:color="auto"/>
            </w:tcBorders>
            <w:vAlign w:val="center"/>
            <w:hideMark/>
          </w:tcPr>
          <w:p w:rsidR="004E4195" w:rsidRPr="00FD65F5" w:rsidRDefault="004E4195" w:rsidP="004E4195">
            <w:pPr>
              <w:jc w:val="both"/>
              <w:rPr>
                <w:rFonts w:ascii="Arial" w:hAnsi="Arial" w:cs="Arial"/>
                <w:b/>
                <w:sz w:val="20"/>
              </w:rPr>
            </w:pPr>
          </w:p>
        </w:tc>
        <w:tc>
          <w:tcPr>
            <w:tcW w:w="918" w:type="pct"/>
            <w:tcBorders>
              <w:top w:val="single" w:sz="6" w:space="0" w:color="auto"/>
              <w:left w:val="single" w:sz="6" w:space="0" w:color="auto"/>
              <w:bottom w:val="double" w:sz="4" w:space="0" w:color="auto"/>
              <w:right w:val="single" w:sz="6"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Situación geopolítica</w:t>
            </w:r>
          </w:p>
        </w:tc>
        <w:tc>
          <w:tcPr>
            <w:tcW w:w="3246" w:type="pct"/>
            <w:tcBorders>
              <w:top w:val="single" w:sz="6" w:space="0" w:color="auto"/>
              <w:left w:val="single" w:sz="6" w:space="0" w:color="auto"/>
              <w:bottom w:val="double" w:sz="4" w:space="0" w:color="auto"/>
              <w:right w:val="double" w:sz="4" w:space="0" w:color="auto"/>
            </w:tcBorders>
            <w:vAlign w:val="center"/>
            <w:hideMark/>
          </w:tcPr>
          <w:p w:rsidR="004E4195" w:rsidRPr="00FD65F5" w:rsidRDefault="004E4195" w:rsidP="004E4195">
            <w:pPr>
              <w:jc w:val="both"/>
              <w:rPr>
                <w:rFonts w:ascii="Arial" w:hAnsi="Arial" w:cs="Arial"/>
                <w:sz w:val="20"/>
              </w:rPr>
            </w:pPr>
            <w:r w:rsidRPr="00FD65F5">
              <w:rPr>
                <w:rFonts w:ascii="Arial" w:hAnsi="Arial" w:cs="Arial"/>
                <w:sz w:val="20"/>
              </w:rPr>
              <w:t>Las amenazas por situación geopolítica, ante esta situación el área están consideradas como zona de amenaza media a baja.</w:t>
            </w:r>
          </w:p>
        </w:tc>
      </w:tr>
    </w:tbl>
    <w:p w:rsidR="004E4195" w:rsidRDefault="004E4195" w:rsidP="004E4195">
      <w:pPr>
        <w:jc w:val="both"/>
        <w:rPr>
          <w:rFonts w:ascii="Arial" w:hAnsi="Arial" w:cs="Arial"/>
          <w:i/>
          <w:sz w:val="18"/>
        </w:rPr>
      </w:pPr>
      <w:r w:rsidRPr="00FD65F5">
        <w:rPr>
          <w:rFonts w:ascii="Arial" w:hAnsi="Arial" w:cs="Arial"/>
          <w:i/>
          <w:sz w:val="18"/>
        </w:rPr>
        <w:t>Fuente: Estudio de impacto Ambiental para la modificación de la Licencia Ambiental, Maurel &amp; Prom Colombia B.V. 2012</w:t>
      </w:r>
    </w:p>
    <w:p w:rsidR="00FD65F5" w:rsidRPr="00FD65F5" w:rsidRDefault="00FD65F5" w:rsidP="004E4195">
      <w:pPr>
        <w:jc w:val="both"/>
        <w:rPr>
          <w:rFonts w:ascii="Arial" w:hAnsi="Arial" w:cs="Arial"/>
          <w:i/>
          <w:sz w:val="18"/>
        </w:rPr>
      </w:pPr>
    </w:p>
    <w:p w:rsidR="004E4195" w:rsidRDefault="004E4195" w:rsidP="004E4195">
      <w:pPr>
        <w:jc w:val="both"/>
        <w:rPr>
          <w:rFonts w:ascii="Arial" w:hAnsi="Arial" w:cs="Arial"/>
          <w:b/>
          <w:i/>
          <w:sz w:val="22"/>
          <w:lang w:val="es-CO"/>
        </w:rPr>
      </w:pPr>
      <w:r w:rsidRPr="004E4195">
        <w:rPr>
          <w:rFonts w:ascii="Arial" w:hAnsi="Arial" w:cs="Arial"/>
          <w:b/>
          <w:i/>
          <w:sz w:val="22"/>
          <w:lang w:val="es-CO"/>
        </w:rPr>
        <w:t>Amenazas exógenas</w:t>
      </w:r>
    </w:p>
    <w:p w:rsidR="00FD65F5" w:rsidRPr="004E4195" w:rsidRDefault="00FD65F5" w:rsidP="004E4195">
      <w:pPr>
        <w:jc w:val="both"/>
        <w:rPr>
          <w:rFonts w:ascii="Arial" w:hAnsi="Arial" w:cs="Arial"/>
          <w:b/>
          <w:i/>
          <w:sz w:val="22"/>
          <w:lang w:val="es-CO"/>
        </w:rPr>
      </w:pPr>
    </w:p>
    <w:p w:rsidR="004E4195" w:rsidRPr="004E4195" w:rsidRDefault="004E4195" w:rsidP="004E4195">
      <w:pPr>
        <w:jc w:val="both"/>
        <w:rPr>
          <w:rFonts w:ascii="Arial" w:hAnsi="Arial" w:cs="Arial"/>
          <w:i/>
          <w:sz w:val="22"/>
          <w:lang w:val="es-CO"/>
        </w:rPr>
      </w:pPr>
      <w:r w:rsidRPr="004E4195">
        <w:rPr>
          <w:rFonts w:ascii="Arial" w:hAnsi="Arial" w:cs="Arial"/>
          <w:b/>
          <w:i/>
          <w:sz w:val="22"/>
          <w:lang w:val="es-CO"/>
        </w:rPr>
        <w:t>Amenazas naturales.</w:t>
      </w:r>
      <w:r w:rsidRPr="004E4195">
        <w:rPr>
          <w:rFonts w:ascii="Arial" w:hAnsi="Arial" w:cs="Arial"/>
          <w:i/>
          <w:sz w:val="22"/>
          <w:lang w:val="es-CO"/>
        </w:rPr>
        <w:t xml:space="preserve"> Se identifican a continuación los diferentes fenómenos de tipo natural que son los más significativos en el AIE MUISCA</w:t>
      </w:r>
    </w:p>
    <w:p w:rsidR="004E4195" w:rsidRPr="004E4195" w:rsidRDefault="004E4195" w:rsidP="004E4195">
      <w:pPr>
        <w:jc w:val="both"/>
        <w:rPr>
          <w:rFonts w:ascii="Arial" w:hAnsi="Arial" w:cs="Arial"/>
          <w:b/>
          <w:i/>
          <w:sz w:val="22"/>
          <w:lang w:val="es-CO"/>
        </w:rPr>
      </w:pPr>
      <w:r w:rsidRPr="004E4195">
        <w:rPr>
          <w:rFonts w:ascii="Arial" w:hAnsi="Arial" w:cs="Arial"/>
          <w:b/>
          <w:i/>
          <w:sz w:val="22"/>
          <w:lang w:val="es-CO"/>
        </w:rPr>
        <w:t>Sismicidad:</w:t>
      </w:r>
      <w:r w:rsidRPr="004E4195">
        <w:rPr>
          <w:rFonts w:ascii="Arial" w:hAnsi="Arial" w:cs="Arial"/>
          <w:i/>
          <w:sz w:val="22"/>
          <w:lang w:val="es-CO"/>
        </w:rPr>
        <w:t xml:space="preserve"> Según la zonificación Sísmica de Colombia (INGEOMINAS, 1999), la zona de influencia del área de interés, se encuentra en riesgo muy Alto</w:t>
      </w:r>
      <w:r w:rsidRPr="004E4195">
        <w:rPr>
          <w:rFonts w:ascii="Arial" w:hAnsi="Arial" w:cs="Arial"/>
          <w:b/>
          <w:i/>
          <w:sz w:val="22"/>
          <w:lang w:val="es-CO"/>
        </w:rPr>
        <w:t>…”</w:t>
      </w:r>
    </w:p>
    <w:p w:rsidR="00386FC9" w:rsidRDefault="00386FC9" w:rsidP="00386FC9">
      <w:pPr>
        <w:jc w:val="both"/>
        <w:rPr>
          <w:rFonts w:ascii="Arial" w:hAnsi="Arial" w:cs="Arial"/>
          <w:sz w:val="22"/>
          <w:lang w:val="es-CO"/>
        </w:rPr>
      </w:pPr>
    </w:p>
    <w:p w:rsidR="004E4195" w:rsidRPr="00FD65F5" w:rsidRDefault="004E4195" w:rsidP="00FD65F5">
      <w:pPr>
        <w:numPr>
          <w:ilvl w:val="0"/>
          <w:numId w:val="8"/>
        </w:numPr>
        <w:jc w:val="both"/>
        <w:rPr>
          <w:rFonts w:ascii="Arial" w:hAnsi="Arial" w:cs="Arial"/>
          <w:b/>
          <w:i/>
          <w:sz w:val="22"/>
          <w:lang w:val="es-CO"/>
        </w:rPr>
      </w:pPr>
      <w:r w:rsidRPr="00FD65F5">
        <w:rPr>
          <w:rFonts w:ascii="Arial" w:hAnsi="Arial" w:cs="Arial"/>
          <w:b/>
          <w:i/>
          <w:sz w:val="22"/>
          <w:lang w:val="es-CO"/>
        </w:rPr>
        <w:t>La composición ecológica y estructura biológica de la zonas de intervención del proyecto MNorte está altamente relacionada con microclimas que son condiciones fácilmente alterables ¿Cómo se pretende intervenir estos ecosistemas frágiles sin vulnerar la fauna y flora que en su mayoría son nativos o endémicos en la región?</w:t>
      </w:r>
    </w:p>
    <w:p w:rsidR="004E4195" w:rsidRPr="004E4195" w:rsidRDefault="004E4195" w:rsidP="004E4195">
      <w:pPr>
        <w:jc w:val="both"/>
        <w:rPr>
          <w:rFonts w:ascii="Arial" w:hAnsi="Arial" w:cs="Arial"/>
          <w:b/>
          <w:sz w:val="22"/>
          <w:lang w:val="es-CO"/>
        </w:rPr>
      </w:pPr>
    </w:p>
    <w:p w:rsidR="004E4195" w:rsidRDefault="004E4195" w:rsidP="004E4195">
      <w:pPr>
        <w:jc w:val="both"/>
        <w:rPr>
          <w:rFonts w:ascii="Arial" w:hAnsi="Arial" w:cs="Arial"/>
          <w:sz w:val="22"/>
          <w:lang w:val="es-CO"/>
        </w:rPr>
      </w:pPr>
      <w:r w:rsidRPr="00D63537">
        <w:rPr>
          <w:rFonts w:ascii="Arial" w:hAnsi="Arial" w:cs="Arial"/>
          <w:sz w:val="22"/>
          <w:lang w:val="es-CO"/>
        </w:rPr>
        <w:t>Recordando que el proyecto M</w:t>
      </w:r>
      <w:r w:rsidR="00FD65F5" w:rsidRPr="00D63537">
        <w:rPr>
          <w:rFonts w:ascii="Arial" w:hAnsi="Arial" w:cs="Arial"/>
          <w:sz w:val="22"/>
          <w:lang w:val="es-CO"/>
        </w:rPr>
        <w:t>N</w:t>
      </w:r>
      <w:r w:rsidRPr="00D63537">
        <w:rPr>
          <w:rFonts w:ascii="Arial" w:hAnsi="Arial" w:cs="Arial"/>
          <w:sz w:val="22"/>
          <w:lang w:val="es-CO"/>
        </w:rPr>
        <w:t>orte no es nuestra competencia</w:t>
      </w:r>
      <w:r w:rsidRPr="004E4195">
        <w:rPr>
          <w:rFonts w:ascii="Arial" w:hAnsi="Arial" w:cs="Arial"/>
          <w:sz w:val="22"/>
          <w:lang w:val="es-CO"/>
        </w:rPr>
        <w:t xml:space="preserve">, a continuación indicamos la respuesta para el proyecto de exploración de Hidrocarburos: de acuerdo con la información suministrada en el EIA de la modificación de la licencia ambiental otorgada mediante Resolución 2000 del 16 de octubre de 2009, en cuanto al manejo de ecosistemas frágiles, la Empresa los caracteriza dentro de la zonificación de manejo, dentro de las áreas de </w:t>
      </w:r>
      <w:r w:rsidRPr="004E4195">
        <w:rPr>
          <w:rFonts w:ascii="Arial" w:hAnsi="Arial" w:cs="Arial"/>
          <w:sz w:val="22"/>
          <w:lang w:val="es-CO"/>
        </w:rPr>
        <w:lastRenderedPageBreak/>
        <w:t xml:space="preserve">exclusión como áreas que no pueden ser intervenidas por las actividades del proyecto de perforación exploratoria debido a su importancia ambiental alta, fragilidad y funcionalidad socio-ambiental o por su carácter de áreas sometidas a un régimen especial de la siguiente manera: </w:t>
      </w:r>
    </w:p>
    <w:p w:rsidR="00FD65F5" w:rsidRPr="004E4195" w:rsidRDefault="00FD65F5" w:rsidP="004E4195">
      <w:pPr>
        <w:jc w:val="both"/>
        <w:rPr>
          <w:rFonts w:ascii="Arial" w:hAnsi="Arial" w:cs="Arial"/>
          <w:sz w:val="22"/>
          <w:lang w:val="es-CO"/>
        </w:rPr>
      </w:pPr>
    </w:p>
    <w:p w:rsidR="004E4195" w:rsidRDefault="004E4195" w:rsidP="004E4195">
      <w:pPr>
        <w:jc w:val="both"/>
        <w:rPr>
          <w:rFonts w:ascii="Arial" w:hAnsi="Arial" w:cs="Arial"/>
          <w:b/>
          <w:i/>
          <w:sz w:val="22"/>
          <w:lang w:val="es-CO"/>
        </w:rPr>
      </w:pPr>
      <w:r w:rsidRPr="004E4195">
        <w:rPr>
          <w:rFonts w:ascii="Arial" w:hAnsi="Arial" w:cs="Arial"/>
          <w:b/>
          <w:i/>
          <w:sz w:val="22"/>
          <w:lang w:val="es-CO"/>
        </w:rPr>
        <w:t>Ecosistemas de Páramo Naturales: Bosque denso alto andino y Arbustal Abierto Mesófilo</w:t>
      </w:r>
    </w:p>
    <w:p w:rsidR="00FD65F5" w:rsidRPr="004E4195" w:rsidRDefault="00FD65F5" w:rsidP="004E4195">
      <w:pPr>
        <w:jc w:val="both"/>
        <w:rPr>
          <w:rFonts w:ascii="Arial" w:hAnsi="Arial" w:cs="Arial"/>
          <w:b/>
          <w:i/>
          <w:sz w:val="22"/>
          <w:lang w:val="es-CO"/>
        </w:rPr>
      </w:pPr>
    </w:p>
    <w:p w:rsidR="004E4195" w:rsidRPr="004E4195" w:rsidRDefault="004E4195" w:rsidP="004E4195">
      <w:pPr>
        <w:jc w:val="both"/>
        <w:rPr>
          <w:rFonts w:ascii="Arial" w:hAnsi="Arial" w:cs="Arial"/>
          <w:i/>
          <w:sz w:val="22"/>
          <w:lang w:val="es-CO"/>
        </w:rPr>
      </w:pPr>
      <w:r w:rsidRPr="004E4195">
        <w:rPr>
          <w:rFonts w:ascii="Arial" w:hAnsi="Arial" w:cs="Arial"/>
          <w:i/>
          <w:sz w:val="22"/>
          <w:lang w:val="es-CO"/>
        </w:rPr>
        <w:t xml:space="preserve">Son considerados los ecosistemas de páramos, los paisajes de alta montaña con coberturas de arbustales y en algunos sectores hay formaciones boscosas, ubicadas sobre la cota de los 3.100 msnm (Resolución 2000 del 2009, Resolución 769 del 2002, Art. 2). Categorizadas como áreas de protección  de ecosistemas estratégicos, la cual está enfocada a un manejo orientado hacia la conservación y protección de acuerdo a las siguientes legislaciones y planes: Ley 1450 del 2011, Decreto 2372 del 2010, Resolución 769 del 2002,  plan de acción 2007 – 2012 de CORPOBOYACÁ. Para el presente estudio se identificaron los ecosistemas naturales de páramo por medio de una delimitación detallada a escala 1: 25.000, utilizando imágenes de satélites con su respectiva interpretación y verificación en campo (Ley 1450 del 2011, Cap. 5, Art. 202). Las áreas definidas como ecosistemas naturales de páramo en el presente estudio comprenden coberturas de  Bosque denso alto andino y Arbustal abierto mesófilo. </w:t>
      </w:r>
      <w:r w:rsidRPr="004E4195">
        <w:rPr>
          <w:rFonts w:ascii="Arial" w:hAnsi="Arial" w:cs="Arial"/>
          <w:i/>
          <w:sz w:val="22"/>
        </w:rPr>
        <w:t>Estas coberturas  son importantes para la región tanto como refugio de la fauna existente en el área como a la comunidad, ya que ofrecen servicios ambientales para su subsistencia. Para las áreas superiores a 3.100 msnm, con coberturas de bosque denso alto andino y arbustal abierto mesófilo, por su sensibilidad e importancia ambiental, se consideran como zona de exclusión para las actividades del proyecto (</w:t>
      </w:r>
      <w:r w:rsidRPr="004E4195">
        <w:rPr>
          <w:rFonts w:ascii="Arial" w:hAnsi="Arial" w:cs="Arial"/>
          <w:i/>
          <w:sz w:val="22"/>
        </w:rPr>
        <w:fldChar w:fldCharType="begin"/>
      </w:r>
      <w:r w:rsidRPr="004E4195">
        <w:rPr>
          <w:rFonts w:ascii="Arial" w:hAnsi="Arial" w:cs="Arial"/>
          <w:i/>
          <w:sz w:val="22"/>
        </w:rPr>
        <w:instrText xml:space="preserve"> REF _Ref312069786 \r \h  \* MERGEFORMAT </w:instrText>
      </w:r>
      <w:r w:rsidRPr="004E4195">
        <w:rPr>
          <w:rFonts w:ascii="Arial" w:hAnsi="Arial" w:cs="Arial"/>
          <w:i/>
          <w:sz w:val="22"/>
        </w:rPr>
      </w:r>
      <w:r w:rsidRPr="004E4195">
        <w:rPr>
          <w:rFonts w:ascii="Arial" w:hAnsi="Arial" w:cs="Arial"/>
          <w:i/>
          <w:sz w:val="22"/>
        </w:rPr>
        <w:fldChar w:fldCharType="separate"/>
      </w:r>
      <w:r w:rsidR="00270247">
        <w:rPr>
          <w:rFonts w:ascii="Arial" w:hAnsi="Arial" w:cs="Arial"/>
          <w:i/>
          <w:sz w:val="22"/>
        </w:rPr>
        <w:t>0</w:t>
      </w:r>
      <w:r w:rsidRPr="004E4195">
        <w:rPr>
          <w:rFonts w:ascii="Arial" w:hAnsi="Arial" w:cs="Arial"/>
          <w:sz w:val="22"/>
          <w:lang w:val="es-CO"/>
        </w:rPr>
        <w:fldChar w:fldCharType="end"/>
      </w:r>
      <w:r w:rsidRPr="004E4195">
        <w:rPr>
          <w:rFonts w:ascii="Arial" w:hAnsi="Arial" w:cs="Arial"/>
          <w:i/>
          <w:sz w:val="22"/>
        </w:rPr>
        <w:t xml:space="preserve"> y </w:t>
      </w:r>
      <w:r w:rsidRPr="004E4195">
        <w:rPr>
          <w:rFonts w:ascii="Arial" w:hAnsi="Arial" w:cs="Arial"/>
          <w:i/>
          <w:sz w:val="22"/>
        </w:rPr>
        <w:fldChar w:fldCharType="begin"/>
      </w:r>
      <w:r w:rsidRPr="004E4195">
        <w:rPr>
          <w:rFonts w:ascii="Arial" w:hAnsi="Arial" w:cs="Arial"/>
          <w:i/>
          <w:sz w:val="22"/>
        </w:rPr>
        <w:instrText xml:space="preserve"> REF _Ref312069787 \r \h  \* MERGEFORMAT </w:instrText>
      </w:r>
      <w:r w:rsidRPr="004E4195">
        <w:rPr>
          <w:rFonts w:ascii="Arial" w:hAnsi="Arial" w:cs="Arial"/>
          <w:i/>
          <w:sz w:val="22"/>
        </w:rPr>
      </w:r>
      <w:r w:rsidRPr="004E4195">
        <w:rPr>
          <w:rFonts w:ascii="Arial" w:hAnsi="Arial" w:cs="Arial"/>
          <w:i/>
          <w:sz w:val="22"/>
        </w:rPr>
        <w:fldChar w:fldCharType="separate"/>
      </w:r>
      <w:r w:rsidR="00270247">
        <w:rPr>
          <w:rFonts w:ascii="Arial" w:hAnsi="Arial" w:cs="Arial"/>
          <w:i/>
          <w:sz w:val="22"/>
        </w:rPr>
        <w:t>0</w:t>
      </w:r>
      <w:r w:rsidRPr="004E4195">
        <w:rPr>
          <w:rFonts w:ascii="Arial" w:hAnsi="Arial" w:cs="Arial"/>
          <w:sz w:val="22"/>
          <w:lang w:val="es-CO"/>
        </w:rPr>
        <w:fldChar w:fldCharType="end"/>
      </w:r>
      <w:r w:rsidRPr="004E4195">
        <w:rPr>
          <w:rFonts w:ascii="Arial" w:hAnsi="Arial" w:cs="Arial"/>
          <w:i/>
          <w:sz w:val="22"/>
        </w:rPr>
        <w:t>).</w:t>
      </w:r>
    </w:p>
    <w:p w:rsidR="004E4195" w:rsidRPr="004E4195" w:rsidRDefault="004E4195" w:rsidP="004E4195">
      <w:pPr>
        <w:jc w:val="both"/>
        <w:rPr>
          <w:rFonts w:ascii="Arial" w:hAnsi="Arial" w:cs="Arial"/>
          <w:i/>
          <w:sz w:val="22"/>
        </w:rPr>
      </w:pPr>
    </w:p>
    <w:tbl>
      <w:tblPr>
        <w:tblW w:w="0" w:type="auto"/>
        <w:tblLook w:val="04A0" w:firstRow="1" w:lastRow="0" w:firstColumn="1" w:lastColumn="0" w:noHBand="0" w:noVBand="1"/>
      </w:tblPr>
      <w:tblGrid>
        <w:gridCol w:w="4292"/>
        <w:gridCol w:w="4476"/>
      </w:tblGrid>
      <w:tr w:rsidR="004E4195" w:rsidRPr="004E4195" w:rsidTr="004E4195">
        <w:tc>
          <w:tcPr>
            <w:tcW w:w="4292" w:type="dxa"/>
            <w:hideMark/>
          </w:tcPr>
          <w:p w:rsidR="004E4195" w:rsidRPr="004E4195" w:rsidRDefault="004E4195" w:rsidP="004E4195">
            <w:pPr>
              <w:jc w:val="both"/>
              <w:rPr>
                <w:rFonts w:ascii="Arial" w:hAnsi="Arial" w:cs="Arial"/>
                <w:i/>
                <w:sz w:val="22"/>
              </w:rPr>
            </w:pPr>
            <w:r w:rsidRPr="004E4195">
              <w:rPr>
                <w:rFonts w:ascii="Arial" w:hAnsi="Arial" w:cs="Arial"/>
                <w:i/>
                <w:noProof/>
                <w:sz w:val="22"/>
                <w:lang w:val="es-CO" w:eastAsia="es-CO"/>
              </w:rPr>
              <w:drawing>
                <wp:inline distT="0" distB="0" distL="0" distR="0" wp14:anchorId="304C3699" wp14:editId="76D75AC7">
                  <wp:extent cx="2438400" cy="1981200"/>
                  <wp:effectExtent l="19050" t="19050" r="19050" b="19050"/>
                  <wp:docPr id="17" name="Imagen 17" descr="Subpara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Subparamo"/>
                          <pic:cNvPicPr>
                            <a:picLocks noChangeAspect="1" noChangeArrowheads="1"/>
                          </pic:cNvPicPr>
                        </pic:nvPicPr>
                        <pic:blipFill>
                          <a:blip r:embed="rId11">
                            <a:extLst>
                              <a:ext uri="{28A0092B-C50C-407E-A947-70E740481C1C}">
                                <a14:useLocalDpi xmlns:a14="http://schemas.microsoft.com/office/drawing/2010/main" val="0"/>
                              </a:ext>
                            </a:extLst>
                          </a:blip>
                          <a:srcRect l="3946" t="4680" r="9677" b="6239"/>
                          <a:stretch>
                            <a:fillRect/>
                          </a:stretch>
                        </pic:blipFill>
                        <pic:spPr bwMode="auto">
                          <a:xfrm>
                            <a:off x="0" y="0"/>
                            <a:ext cx="2438400" cy="1981200"/>
                          </a:xfrm>
                          <a:prstGeom prst="rect">
                            <a:avLst/>
                          </a:prstGeom>
                          <a:noFill/>
                          <a:ln w="6350" cmpd="sng">
                            <a:solidFill>
                              <a:srgbClr val="000000"/>
                            </a:solidFill>
                            <a:miter lim="800000"/>
                            <a:headEnd/>
                            <a:tailEnd/>
                          </a:ln>
                          <a:effectLst/>
                        </pic:spPr>
                      </pic:pic>
                    </a:graphicData>
                  </a:graphic>
                </wp:inline>
              </w:drawing>
            </w:r>
          </w:p>
        </w:tc>
        <w:tc>
          <w:tcPr>
            <w:tcW w:w="4428" w:type="dxa"/>
            <w:hideMark/>
          </w:tcPr>
          <w:p w:rsidR="004E4195" w:rsidRPr="004E4195" w:rsidRDefault="004E4195" w:rsidP="004E4195">
            <w:pPr>
              <w:jc w:val="both"/>
              <w:rPr>
                <w:rFonts w:ascii="Arial" w:hAnsi="Arial" w:cs="Arial"/>
                <w:i/>
                <w:sz w:val="22"/>
              </w:rPr>
            </w:pPr>
            <w:r w:rsidRPr="004E4195">
              <w:rPr>
                <w:rFonts w:ascii="Arial" w:hAnsi="Arial" w:cs="Arial"/>
                <w:i/>
                <w:noProof/>
                <w:sz w:val="22"/>
                <w:lang w:val="es-CO" w:eastAsia="es-CO"/>
              </w:rPr>
              <w:drawing>
                <wp:inline distT="0" distB="0" distL="0" distR="0" wp14:anchorId="3EC28445" wp14:editId="47592E32">
                  <wp:extent cx="2657475" cy="1981200"/>
                  <wp:effectExtent l="19050" t="19050" r="28575" b="19050"/>
                  <wp:docPr id="16" name="Imagen 16" descr="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141"/>
                          <pic:cNvPicPr>
                            <a:picLocks noChangeAspect="1" noChangeArrowheads="1"/>
                          </pic:cNvPicPr>
                        </pic:nvPicPr>
                        <pic:blipFill>
                          <a:blip r:embed="rId12">
                            <a:extLst>
                              <a:ext uri="{28A0092B-C50C-407E-A947-70E740481C1C}">
                                <a14:useLocalDpi xmlns:a14="http://schemas.microsoft.com/office/drawing/2010/main" val="0"/>
                              </a:ext>
                            </a:extLst>
                          </a:blip>
                          <a:srcRect r="1501" b="2788"/>
                          <a:stretch>
                            <a:fillRect/>
                          </a:stretch>
                        </pic:blipFill>
                        <pic:spPr bwMode="auto">
                          <a:xfrm>
                            <a:off x="0" y="0"/>
                            <a:ext cx="2657475" cy="1981200"/>
                          </a:xfrm>
                          <a:prstGeom prst="rect">
                            <a:avLst/>
                          </a:prstGeom>
                          <a:noFill/>
                          <a:ln w="6350" cmpd="sng">
                            <a:solidFill>
                              <a:srgbClr val="000000"/>
                            </a:solidFill>
                            <a:miter lim="800000"/>
                            <a:headEnd/>
                            <a:tailEnd/>
                          </a:ln>
                          <a:effectLst/>
                        </pic:spPr>
                      </pic:pic>
                    </a:graphicData>
                  </a:graphic>
                </wp:inline>
              </w:drawing>
            </w:r>
          </w:p>
        </w:tc>
      </w:tr>
      <w:tr w:rsidR="004E4195" w:rsidRPr="004E4195" w:rsidTr="004E4195">
        <w:tc>
          <w:tcPr>
            <w:tcW w:w="4292" w:type="dxa"/>
            <w:hideMark/>
          </w:tcPr>
          <w:p w:rsidR="004E4195" w:rsidRPr="00FD65F5" w:rsidRDefault="004E4195" w:rsidP="004E4195">
            <w:pPr>
              <w:jc w:val="both"/>
              <w:rPr>
                <w:rFonts w:ascii="Arial" w:hAnsi="Arial" w:cs="Arial"/>
                <w:i/>
                <w:sz w:val="20"/>
              </w:rPr>
            </w:pPr>
            <w:bookmarkStart w:id="14" w:name="_Ref312069786"/>
            <w:bookmarkStart w:id="15" w:name="_Toc312738811"/>
            <w:r w:rsidRPr="00FD65F5">
              <w:rPr>
                <w:rFonts w:ascii="Arial" w:hAnsi="Arial" w:cs="Arial"/>
                <w:i/>
                <w:sz w:val="20"/>
              </w:rPr>
              <w:t>Áreas naturales de subpáramo</w:t>
            </w:r>
            <w:bookmarkEnd w:id="14"/>
            <w:bookmarkEnd w:id="15"/>
          </w:p>
        </w:tc>
        <w:tc>
          <w:tcPr>
            <w:tcW w:w="4428" w:type="dxa"/>
            <w:hideMark/>
          </w:tcPr>
          <w:p w:rsidR="004E4195" w:rsidRPr="00FD65F5" w:rsidRDefault="004E4195" w:rsidP="004E4195">
            <w:pPr>
              <w:jc w:val="both"/>
              <w:rPr>
                <w:rFonts w:ascii="Arial" w:hAnsi="Arial" w:cs="Arial"/>
                <w:i/>
                <w:sz w:val="20"/>
              </w:rPr>
            </w:pPr>
            <w:bookmarkStart w:id="16" w:name="_Ref312069787"/>
            <w:bookmarkStart w:id="17" w:name="_Toc312738812"/>
            <w:r w:rsidRPr="00FD65F5">
              <w:rPr>
                <w:rFonts w:ascii="Arial" w:hAnsi="Arial" w:cs="Arial"/>
                <w:i/>
                <w:sz w:val="20"/>
              </w:rPr>
              <w:t>Paramo de Bijagual</w:t>
            </w:r>
            <w:bookmarkEnd w:id="16"/>
            <w:bookmarkEnd w:id="17"/>
          </w:p>
        </w:tc>
      </w:tr>
    </w:tbl>
    <w:p w:rsidR="00FD65F5" w:rsidRDefault="00FD65F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Una vez se decida la viabilidad del proyecto, en la Resolución que otorga licencia ambiental o modificación se establece la zonificación de manejo ambiental, en la que se presentende proteger los ecosistemas sensibles dentro del área objeto de intervención.</w:t>
      </w:r>
    </w:p>
    <w:p w:rsidR="004E4195" w:rsidRPr="004E4195" w:rsidRDefault="004E4195" w:rsidP="004E4195">
      <w:pPr>
        <w:jc w:val="both"/>
        <w:rPr>
          <w:rFonts w:ascii="Arial" w:hAnsi="Arial" w:cs="Arial"/>
          <w:sz w:val="22"/>
          <w:lang w:val="es-CO"/>
        </w:rPr>
      </w:pPr>
    </w:p>
    <w:p w:rsidR="004E4195" w:rsidRPr="00FD65F5" w:rsidRDefault="004E4195" w:rsidP="00FD65F5">
      <w:pPr>
        <w:numPr>
          <w:ilvl w:val="0"/>
          <w:numId w:val="8"/>
        </w:numPr>
        <w:jc w:val="both"/>
        <w:rPr>
          <w:rFonts w:ascii="Arial" w:hAnsi="Arial" w:cs="Arial"/>
          <w:b/>
          <w:i/>
          <w:sz w:val="22"/>
          <w:lang w:val="es-CO"/>
        </w:rPr>
      </w:pPr>
      <w:r w:rsidRPr="00FD65F5">
        <w:rPr>
          <w:rFonts w:ascii="Arial" w:hAnsi="Arial" w:cs="Arial"/>
          <w:b/>
          <w:i/>
          <w:sz w:val="22"/>
          <w:lang w:val="es-CO"/>
        </w:rPr>
        <w:t xml:space="preserve">¿El otorgamiento de licencias ambientales desde la ANLA se ha desarrollado en el completo cumplimiento de términos y parámetros expuestos en la normatividad ambiental?, indique cada uno de los términos y parámetros a los </w:t>
      </w:r>
      <w:r w:rsidRPr="00FD65F5">
        <w:rPr>
          <w:rFonts w:ascii="Arial" w:hAnsi="Arial" w:cs="Arial"/>
          <w:b/>
          <w:i/>
          <w:sz w:val="22"/>
          <w:lang w:val="es-CO"/>
        </w:rPr>
        <w:lastRenderedPageBreak/>
        <w:t>que le ha dado pleno cumplimiento y en caso de haber presentado dificultades indicar el motivo.</w:t>
      </w:r>
    </w:p>
    <w:p w:rsidR="004E4195" w:rsidRPr="004E4195" w:rsidRDefault="004E4195" w:rsidP="004E4195">
      <w:pPr>
        <w:ind w:left="720"/>
        <w:jc w:val="both"/>
        <w:rPr>
          <w:rFonts w:ascii="Arial" w:hAnsi="Arial" w:cs="Arial"/>
          <w:b/>
          <w:sz w:val="22"/>
          <w:lang w:val="es-CO"/>
        </w:rPr>
      </w:pPr>
    </w:p>
    <w:p w:rsidR="006720DA" w:rsidRDefault="006720DA" w:rsidP="006720DA">
      <w:pPr>
        <w:jc w:val="both"/>
        <w:rPr>
          <w:rFonts w:ascii="Arial" w:hAnsi="Arial" w:cs="Arial"/>
          <w:sz w:val="22"/>
          <w:lang w:val="es-CO"/>
        </w:rPr>
      </w:pPr>
      <w:r w:rsidRPr="004E4195">
        <w:rPr>
          <w:rFonts w:ascii="Arial" w:hAnsi="Arial" w:cs="Arial"/>
          <w:sz w:val="22"/>
          <w:lang w:val="es-CO"/>
        </w:rPr>
        <w:t>Tal como se manifestó, la ANLA desarrolla para el otorgamiento de licencias ambientales los parámetros y términos de cumplimiento establecidos en el Título IV del Decreto 2820 de 2010. Igualmente, con el ánimo de responder explícitamente lo correspondiente a los términos y parámetros cumplidos, nos remitimos a la respuesta dada con respecto a los procedimientos y al tiempo necesario para el otorgamiento de la licencia ambiental.</w:t>
      </w:r>
    </w:p>
    <w:p w:rsidR="006720DA" w:rsidRPr="004E4195" w:rsidRDefault="006720DA" w:rsidP="006720DA">
      <w:pPr>
        <w:jc w:val="both"/>
        <w:rPr>
          <w:rFonts w:ascii="Arial" w:hAnsi="Arial" w:cs="Arial"/>
          <w:sz w:val="22"/>
          <w:lang w:val="es-CO"/>
        </w:rPr>
      </w:pPr>
    </w:p>
    <w:p w:rsidR="004E4195" w:rsidRDefault="006720DA" w:rsidP="004E4195">
      <w:pPr>
        <w:jc w:val="both"/>
        <w:rPr>
          <w:rFonts w:ascii="Arial" w:hAnsi="Arial" w:cs="Arial"/>
          <w:sz w:val="22"/>
          <w:lang w:val="es-CO"/>
        </w:rPr>
      </w:pPr>
      <w:r>
        <w:rPr>
          <w:rFonts w:ascii="Arial" w:hAnsi="Arial" w:cs="Arial"/>
          <w:sz w:val="22"/>
          <w:lang w:val="es-CO"/>
        </w:rPr>
        <w:t>C</w:t>
      </w:r>
      <w:r w:rsidR="004E4195" w:rsidRPr="004E4195">
        <w:rPr>
          <w:rFonts w:ascii="Arial" w:hAnsi="Arial" w:cs="Arial"/>
          <w:sz w:val="22"/>
          <w:lang w:val="es-CO"/>
        </w:rPr>
        <w:t>abe precisar que cada proyecto tiene sus particularidades respecto a impactos ambientales y demandas de uso y aprovechamiento de recursos naturales, por los cual el marco legal aplicable dependerá de las condiciones y características de cada proyecto a licenciar, dicho lo anterior, es claro que realizada la evaluación de la solicitud se aplican los parámetros legales requeridos conforme a la naturaleza del proyecto, los cuales son ajustados vía seguimiento, en virtud de las novedades que se presentan durante la ejecución del mismo, conforme a lo establecido en el artículo 39 del Decreto 2820 de 2010.</w:t>
      </w:r>
    </w:p>
    <w:p w:rsidR="00FD65F5" w:rsidRPr="004E4195" w:rsidRDefault="00FD65F5" w:rsidP="004E4195">
      <w:pPr>
        <w:jc w:val="both"/>
        <w:rPr>
          <w:rFonts w:ascii="Arial" w:hAnsi="Arial" w:cs="Arial"/>
          <w:sz w:val="22"/>
          <w:lang w:val="es-CO"/>
        </w:rPr>
      </w:pPr>
    </w:p>
    <w:p w:rsidR="00FD65F5" w:rsidRDefault="004E4195" w:rsidP="004E4195">
      <w:pPr>
        <w:jc w:val="both"/>
        <w:rPr>
          <w:rFonts w:ascii="Arial" w:hAnsi="Arial" w:cs="Arial"/>
          <w:sz w:val="22"/>
          <w:lang w:val="es-CO"/>
        </w:rPr>
      </w:pPr>
      <w:r w:rsidRPr="004E4195">
        <w:rPr>
          <w:rFonts w:ascii="Arial" w:hAnsi="Arial" w:cs="Arial"/>
          <w:sz w:val="22"/>
          <w:lang w:val="es-CO"/>
        </w:rPr>
        <w:t>Así las cosas, esta Autoridad aplica con la mayor rigurosidad posible la normativa ambiental vigente a cada proyecto, que como ya se dijo se ajusta a las condiciones de cada proyecto.</w:t>
      </w:r>
      <w:r w:rsidR="00FD65F5">
        <w:rPr>
          <w:rFonts w:ascii="Arial" w:hAnsi="Arial" w:cs="Arial"/>
          <w:sz w:val="22"/>
          <w:lang w:val="es-CO"/>
        </w:rPr>
        <w:t xml:space="preserve"> </w:t>
      </w:r>
    </w:p>
    <w:p w:rsidR="00FD65F5" w:rsidRDefault="00FD65F5" w:rsidP="004E4195">
      <w:pPr>
        <w:jc w:val="both"/>
        <w:rPr>
          <w:rFonts w:ascii="Arial" w:hAnsi="Arial" w:cs="Arial"/>
          <w:sz w:val="22"/>
          <w:lang w:val="es-CO"/>
        </w:rPr>
      </w:pPr>
    </w:p>
    <w:p w:rsidR="00FD65F5" w:rsidRDefault="004E4195" w:rsidP="004E4195">
      <w:pPr>
        <w:jc w:val="both"/>
        <w:rPr>
          <w:rFonts w:ascii="Arial" w:hAnsi="Arial" w:cs="Arial"/>
          <w:sz w:val="22"/>
          <w:lang w:val="es-CO"/>
        </w:rPr>
      </w:pPr>
      <w:r w:rsidRPr="004E4195">
        <w:rPr>
          <w:rFonts w:ascii="Arial" w:hAnsi="Arial" w:cs="Arial"/>
          <w:sz w:val="22"/>
          <w:lang w:val="es-CO"/>
        </w:rPr>
        <w:t xml:space="preserve">Respecto a los términos y parámetros </w:t>
      </w:r>
      <w:r w:rsidR="00FD65F5">
        <w:rPr>
          <w:rFonts w:ascii="Arial" w:hAnsi="Arial" w:cs="Arial"/>
          <w:sz w:val="22"/>
          <w:lang w:val="es-CO"/>
        </w:rPr>
        <w:t xml:space="preserve">a </w:t>
      </w:r>
      <w:r w:rsidRPr="004E4195">
        <w:rPr>
          <w:rFonts w:ascii="Arial" w:hAnsi="Arial" w:cs="Arial"/>
          <w:sz w:val="22"/>
          <w:lang w:val="es-CO"/>
        </w:rPr>
        <w:t>que le ha dado pleno cumplimiento esta Autoridad y a las dificultades que se hayan presentado en el proceso de evaluación de las solicitudes de licenciamiento ambiental, tal como se indicó anteriormente</w:t>
      </w:r>
      <w:r w:rsidR="00FD65F5">
        <w:rPr>
          <w:rFonts w:ascii="Arial" w:hAnsi="Arial" w:cs="Arial"/>
          <w:sz w:val="22"/>
          <w:lang w:val="es-CO"/>
        </w:rPr>
        <w:t>,</w:t>
      </w:r>
      <w:r w:rsidRPr="004E4195">
        <w:rPr>
          <w:rFonts w:ascii="Arial" w:hAnsi="Arial" w:cs="Arial"/>
          <w:sz w:val="22"/>
          <w:lang w:val="es-CO"/>
        </w:rPr>
        <w:t xml:space="preserve"> dependerán de las características de cada proyecto</w:t>
      </w:r>
      <w:r w:rsidR="00FD65F5">
        <w:rPr>
          <w:rFonts w:ascii="Arial" w:hAnsi="Arial" w:cs="Arial"/>
          <w:sz w:val="22"/>
          <w:lang w:val="es-CO"/>
        </w:rPr>
        <w:t>.</w:t>
      </w:r>
    </w:p>
    <w:p w:rsidR="00FD65F5" w:rsidRDefault="00FD65F5" w:rsidP="004E4195">
      <w:pPr>
        <w:jc w:val="both"/>
        <w:rPr>
          <w:rFonts w:ascii="Arial" w:hAnsi="Arial" w:cs="Arial"/>
          <w:sz w:val="22"/>
          <w:lang w:val="es-CO"/>
        </w:rPr>
      </w:pPr>
    </w:p>
    <w:p w:rsidR="004E4195" w:rsidRDefault="00FD65F5" w:rsidP="004E4195">
      <w:pPr>
        <w:jc w:val="both"/>
        <w:rPr>
          <w:rFonts w:ascii="Arial" w:hAnsi="Arial" w:cs="Arial"/>
          <w:sz w:val="22"/>
          <w:lang w:val="es-CO"/>
        </w:rPr>
      </w:pPr>
      <w:r>
        <w:rPr>
          <w:rFonts w:ascii="Arial" w:hAnsi="Arial" w:cs="Arial"/>
          <w:sz w:val="22"/>
          <w:lang w:val="es-CO"/>
        </w:rPr>
        <w:t>E</w:t>
      </w:r>
      <w:r w:rsidR="004E4195" w:rsidRPr="004E4195">
        <w:rPr>
          <w:rFonts w:ascii="Arial" w:hAnsi="Arial" w:cs="Arial"/>
          <w:sz w:val="22"/>
          <w:lang w:val="es-CO"/>
        </w:rPr>
        <w:t>n la actualidad esta entidad no cuenta con estudios que permitan trazar o parametrizar problemas de tipo genérico en materia de licenciamiento ambiental, de tal suerte que no se puede brindar una estadística, ni un análisis de riesgos ni necesidades de regulaciones que permitan disminuir riesgos o problemas.</w:t>
      </w:r>
    </w:p>
    <w:p w:rsidR="00FD65F5" w:rsidRPr="004E4195" w:rsidRDefault="00FD65F5" w:rsidP="004E4195">
      <w:pPr>
        <w:jc w:val="both"/>
        <w:rPr>
          <w:rFonts w:ascii="Arial" w:hAnsi="Arial" w:cs="Arial"/>
          <w:sz w:val="22"/>
          <w:lang w:val="es-CO"/>
        </w:rPr>
      </w:pPr>
    </w:p>
    <w:p w:rsidR="004E4195" w:rsidRPr="004E4195" w:rsidRDefault="004E4195" w:rsidP="004E4195">
      <w:pPr>
        <w:jc w:val="both"/>
        <w:rPr>
          <w:rFonts w:ascii="Arial" w:hAnsi="Arial" w:cs="Arial"/>
          <w:sz w:val="22"/>
          <w:lang w:val="es-CO"/>
        </w:rPr>
      </w:pPr>
      <w:r w:rsidRPr="004E4195">
        <w:rPr>
          <w:rFonts w:ascii="Arial" w:hAnsi="Arial" w:cs="Arial"/>
          <w:sz w:val="22"/>
          <w:lang w:val="es-CO"/>
        </w:rPr>
        <w:t>Por lo anterior, para dar una respuesta precisa al cuestionamiento elevado por el Honorable Congreso de la República, es necesario que se puntualice</w:t>
      </w:r>
      <w:r w:rsidR="00FD65F5">
        <w:rPr>
          <w:rFonts w:ascii="Arial" w:hAnsi="Arial" w:cs="Arial"/>
          <w:sz w:val="22"/>
          <w:lang w:val="es-CO"/>
        </w:rPr>
        <w:t>n</w:t>
      </w:r>
      <w:r w:rsidRPr="004E4195">
        <w:rPr>
          <w:rFonts w:ascii="Arial" w:hAnsi="Arial" w:cs="Arial"/>
          <w:sz w:val="22"/>
          <w:lang w:val="es-CO"/>
        </w:rPr>
        <w:t xml:space="preserve"> los aspectos que requiere conocer sobre temas concretos de licenciamiento ambiental. </w:t>
      </w:r>
    </w:p>
    <w:p w:rsidR="004E4195" w:rsidRDefault="004E4195" w:rsidP="004E4195">
      <w:pPr>
        <w:jc w:val="both"/>
        <w:rPr>
          <w:rFonts w:ascii="Arial" w:hAnsi="Arial" w:cs="Arial"/>
          <w:sz w:val="22"/>
          <w:lang w:val="es-CO"/>
        </w:rPr>
      </w:pPr>
    </w:p>
    <w:p w:rsidR="004E4195" w:rsidRPr="006720DA" w:rsidRDefault="004E4195" w:rsidP="004E4195">
      <w:pPr>
        <w:numPr>
          <w:ilvl w:val="0"/>
          <w:numId w:val="8"/>
        </w:numPr>
        <w:jc w:val="both"/>
        <w:rPr>
          <w:rFonts w:ascii="Arial" w:hAnsi="Arial" w:cs="Arial"/>
          <w:b/>
          <w:i/>
          <w:sz w:val="22"/>
          <w:lang w:val="es-CO"/>
        </w:rPr>
      </w:pPr>
      <w:r w:rsidRPr="006720DA">
        <w:rPr>
          <w:rFonts w:ascii="Arial" w:hAnsi="Arial" w:cs="Arial"/>
          <w:b/>
          <w:i/>
          <w:sz w:val="22"/>
          <w:lang w:val="es-CO"/>
        </w:rPr>
        <w:t>Múltiples conceptos técnicos desarrollados por Corpoboyacá indican el incumplimiento del plan de manejo ambiental (PMA) presentado por el dueño del proyecto muisca ahora MNorte, así mismo el concepto de la Procuraduría General de la Nación de diciembre de 2012 expone que es la ANLA quien está sujeta a dar cumplimiento de este PMA ¿Qué medidas de seguimiento, correctivas y de control se tomaron al respecto por parte de la ANLA?</w:t>
      </w:r>
    </w:p>
    <w:p w:rsidR="004E4195" w:rsidRPr="004E4195" w:rsidRDefault="004E4195" w:rsidP="004E4195">
      <w:pPr>
        <w:jc w:val="both"/>
        <w:rPr>
          <w:rFonts w:ascii="Arial" w:hAnsi="Arial" w:cs="Arial"/>
          <w:b/>
          <w:sz w:val="22"/>
          <w:lang w:val="es-CO"/>
        </w:rPr>
      </w:pPr>
    </w:p>
    <w:p w:rsidR="00021205" w:rsidRDefault="00021205" w:rsidP="00021205">
      <w:pPr>
        <w:jc w:val="both"/>
        <w:rPr>
          <w:rFonts w:ascii="Arial" w:hAnsi="Arial" w:cs="Arial"/>
          <w:sz w:val="22"/>
        </w:rPr>
      </w:pPr>
      <w:r>
        <w:rPr>
          <w:rFonts w:ascii="Arial" w:hAnsi="Arial" w:cs="Arial"/>
          <w:sz w:val="22"/>
          <w:lang w:val="es-CO"/>
        </w:rPr>
        <w:t>E</w:t>
      </w:r>
      <w:r w:rsidRPr="006720DA">
        <w:rPr>
          <w:rFonts w:ascii="Arial" w:hAnsi="Arial" w:cs="Arial"/>
          <w:sz w:val="22"/>
          <w:lang w:val="es-CO"/>
        </w:rPr>
        <w:t>l concepto técnico-jurídico correspondiente al proyecto “</w:t>
      </w:r>
      <w:r w:rsidRPr="006720DA">
        <w:rPr>
          <w:rFonts w:ascii="Arial" w:hAnsi="Arial" w:cs="Arial"/>
          <w:i/>
          <w:iCs/>
          <w:sz w:val="22"/>
          <w:lang w:val="es-CO"/>
        </w:rPr>
        <w:t>Área de Interés Exploratorio Muisca hoy MMNorte</w:t>
      </w:r>
      <w:r w:rsidRPr="006720DA">
        <w:rPr>
          <w:rFonts w:ascii="Arial" w:hAnsi="Arial" w:cs="Arial"/>
          <w:sz w:val="22"/>
          <w:lang w:val="es-CO"/>
        </w:rPr>
        <w:t>”,</w:t>
      </w:r>
      <w:r w:rsidRPr="00021205">
        <w:rPr>
          <w:rFonts w:ascii="Arial" w:hAnsi="Arial" w:cs="Arial"/>
          <w:sz w:val="22"/>
          <w:lang w:val="es-CO"/>
        </w:rPr>
        <w:t xml:space="preserve"> </w:t>
      </w:r>
      <w:r w:rsidRPr="006720DA">
        <w:rPr>
          <w:rFonts w:ascii="Arial" w:hAnsi="Arial" w:cs="Arial"/>
          <w:sz w:val="22"/>
          <w:lang w:val="es-CO"/>
        </w:rPr>
        <w:t>presentad</w:t>
      </w:r>
      <w:r>
        <w:rPr>
          <w:rFonts w:ascii="Arial" w:hAnsi="Arial" w:cs="Arial"/>
          <w:sz w:val="22"/>
          <w:lang w:val="es-CO"/>
        </w:rPr>
        <w:t>o</w:t>
      </w:r>
      <w:r w:rsidRPr="006720DA">
        <w:rPr>
          <w:rFonts w:ascii="Arial" w:hAnsi="Arial" w:cs="Arial"/>
          <w:sz w:val="22"/>
          <w:lang w:val="es-CO"/>
        </w:rPr>
        <w:t xml:space="preserve"> por el Procurador Delegado para Asuntos ambientales y agrarios de la Procuraduría General de la Nación,</w:t>
      </w:r>
      <w:r>
        <w:rPr>
          <w:rFonts w:ascii="Arial" w:hAnsi="Arial" w:cs="Arial"/>
          <w:sz w:val="22"/>
          <w:lang w:val="es-CO"/>
        </w:rPr>
        <w:t xml:space="preserve"> </w:t>
      </w:r>
      <w:r w:rsidR="006720DA" w:rsidRPr="006720DA">
        <w:rPr>
          <w:rFonts w:ascii="Arial" w:hAnsi="Arial" w:cs="Arial"/>
          <w:sz w:val="22"/>
          <w:lang w:val="es-CO"/>
        </w:rPr>
        <w:t>será tenido en cuenta dentro del</w:t>
      </w:r>
      <w:r>
        <w:rPr>
          <w:rFonts w:ascii="Arial" w:hAnsi="Arial" w:cs="Arial"/>
          <w:sz w:val="22"/>
          <w:lang w:val="es-CO"/>
        </w:rPr>
        <w:t xml:space="preserve"> proceso de evaluación en curso, u</w:t>
      </w:r>
      <w:r w:rsidRPr="006720DA">
        <w:rPr>
          <w:rFonts w:ascii="Arial" w:hAnsi="Arial" w:cs="Arial"/>
          <w:sz w:val="22"/>
        </w:rPr>
        <w:t xml:space="preserve">na vez la Empresa remita la información requerida </w:t>
      </w:r>
      <w:r>
        <w:rPr>
          <w:rFonts w:ascii="Arial" w:hAnsi="Arial" w:cs="Arial"/>
          <w:sz w:val="22"/>
        </w:rPr>
        <w:t>por</w:t>
      </w:r>
      <w:r w:rsidRPr="006720DA">
        <w:rPr>
          <w:rFonts w:ascii="Arial" w:hAnsi="Arial" w:cs="Arial"/>
          <w:sz w:val="22"/>
        </w:rPr>
        <w:t xml:space="preserve"> esta Autoridad</w:t>
      </w:r>
      <w:r>
        <w:rPr>
          <w:rFonts w:ascii="Arial" w:hAnsi="Arial" w:cs="Arial"/>
          <w:sz w:val="22"/>
        </w:rPr>
        <w:t>.</w:t>
      </w:r>
    </w:p>
    <w:p w:rsidR="006720DA" w:rsidRPr="006720DA" w:rsidRDefault="006720DA" w:rsidP="004E4195">
      <w:pPr>
        <w:jc w:val="both"/>
        <w:rPr>
          <w:rFonts w:ascii="Arial" w:hAnsi="Arial" w:cs="Arial"/>
          <w:sz w:val="22"/>
        </w:rPr>
      </w:pPr>
    </w:p>
    <w:p w:rsidR="004E4195" w:rsidRPr="00021205" w:rsidRDefault="004E4195" w:rsidP="004E4195">
      <w:pPr>
        <w:numPr>
          <w:ilvl w:val="0"/>
          <w:numId w:val="8"/>
        </w:numPr>
        <w:jc w:val="both"/>
        <w:rPr>
          <w:rFonts w:ascii="Arial" w:hAnsi="Arial" w:cs="Arial"/>
          <w:b/>
          <w:i/>
          <w:sz w:val="22"/>
          <w:lang w:val="es-CO"/>
        </w:rPr>
      </w:pPr>
      <w:r w:rsidRPr="00021205">
        <w:rPr>
          <w:rFonts w:ascii="Arial" w:hAnsi="Arial" w:cs="Arial"/>
          <w:b/>
          <w:i/>
          <w:sz w:val="22"/>
          <w:lang w:val="es-CO"/>
        </w:rPr>
        <w:lastRenderedPageBreak/>
        <w:t>El concepto técnico RH-0141 de abril de 2012 de Corpoboyacá evidencia que numerosos cuerpo de agua no se tuvieron en cuenta dentro del estudio de impacto ambiental (EIA) entregado por la Empresa Maurel &amp; Prom ¿Qué mecanismos llevaron a cabo para evaluar el EIA y concluir viable otorgar la licencia ambiental para el proyecto MNorte?</w:t>
      </w:r>
    </w:p>
    <w:p w:rsidR="004E4195" w:rsidRPr="004E4195" w:rsidRDefault="004E4195" w:rsidP="004E4195">
      <w:pPr>
        <w:jc w:val="both"/>
        <w:rPr>
          <w:rFonts w:ascii="Arial" w:hAnsi="Arial" w:cs="Arial"/>
          <w:b/>
          <w:sz w:val="22"/>
          <w:lang w:val="es-CO"/>
        </w:rPr>
      </w:pPr>
    </w:p>
    <w:p w:rsidR="004E4195" w:rsidRPr="004E4195" w:rsidRDefault="004E4195" w:rsidP="004E4195">
      <w:pPr>
        <w:jc w:val="both"/>
        <w:rPr>
          <w:rFonts w:ascii="Arial" w:hAnsi="Arial" w:cs="Arial"/>
          <w:sz w:val="22"/>
          <w:lang w:val="es-CO"/>
        </w:rPr>
      </w:pPr>
      <w:r w:rsidRPr="004E4195">
        <w:rPr>
          <w:rFonts w:ascii="Arial" w:hAnsi="Arial" w:cs="Arial"/>
          <w:sz w:val="22"/>
          <w:lang w:val="es-CO"/>
        </w:rPr>
        <w:t xml:space="preserve">Después de revisado el expediente, en el cual reposa toda la información y trámites adelantados en el marco del proyecto Área de Perforación Exploratoria Muisca, le informamos que no se encontró el concepto RH-0141 de 2012 de Corpoboyaca, señalado en las proposiciones del asunto. Sin embargo,  en dicho expediente  reposan los siguientes conceptos técnicos por la Corporación Autónoma de Boyacá Corpoboyacá que fueron tenidos en cuenta para los procesos de evaluación adelantados por esta Autoridad para otorgar la Licencia Ambiental del proyecto en mención: </w:t>
      </w:r>
    </w:p>
    <w:p w:rsidR="004E4195" w:rsidRPr="004E4195" w:rsidRDefault="004E4195" w:rsidP="004E4195">
      <w:pPr>
        <w:jc w:val="both"/>
        <w:rPr>
          <w:rFonts w:ascii="Arial" w:hAnsi="Arial" w:cs="Arial"/>
          <w:b/>
          <w:sz w:val="22"/>
          <w:lang w:val="es-CO"/>
        </w:rPr>
      </w:pPr>
    </w:p>
    <w:p w:rsidR="004E4195" w:rsidRDefault="004E4195" w:rsidP="00021205">
      <w:pPr>
        <w:numPr>
          <w:ilvl w:val="0"/>
          <w:numId w:val="25"/>
        </w:numPr>
        <w:jc w:val="both"/>
        <w:rPr>
          <w:rFonts w:ascii="Arial" w:hAnsi="Arial" w:cs="Arial"/>
          <w:sz w:val="22"/>
          <w:lang w:val="es-CO"/>
        </w:rPr>
      </w:pPr>
      <w:r w:rsidRPr="004E4195">
        <w:rPr>
          <w:rFonts w:ascii="Arial" w:hAnsi="Arial" w:cs="Arial"/>
          <w:sz w:val="22"/>
          <w:lang w:val="es-CO"/>
        </w:rPr>
        <w:t>Concepto técnico Corpoboyacá CA-0007 de junio de 2009 “A través del cual se evalúa el Estudio de Impacto Ambiental”.</w:t>
      </w:r>
    </w:p>
    <w:p w:rsidR="00021205" w:rsidRPr="004E4195" w:rsidRDefault="00021205" w:rsidP="00021205">
      <w:pPr>
        <w:ind w:left="720"/>
        <w:jc w:val="both"/>
        <w:rPr>
          <w:rFonts w:ascii="Arial" w:hAnsi="Arial" w:cs="Arial"/>
          <w:sz w:val="22"/>
          <w:lang w:val="es-CO"/>
        </w:rPr>
      </w:pPr>
    </w:p>
    <w:p w:rsidR="004E4195" w:rsidRPr="004E4195" w:rsidRDefault="004E4195" w:rsidP="00021205">
      <w:pPr>
        <w:numPr>
          <w:ilvl w:val="0"/>
          <w:numId w:val="25"/>
        </w:numPr>
        <w:jc w:val="both"/>
        <w:rPr>
          <w:rFonts w:ascii="Arial" w:hAnsi="Arial" w:cs="Arial"/>
          <w:sz w:val="22"/>
          <w:lang w:val="es-CO"/>
        </w:rPr>
      </w:pPr>
      <w:r w:rsidRPr="004E4195">
        <w:rPr>
          <w:rFonts w:ascii="Arial" w:hAnsi="Arial" w:cs="Arial"/>
          <w:sz w:val="22"/>
          <w:lang w:val="es-CO"/>
        </w:rPr>
        <w:t>Concepto técnico Corpoboyacá CA-0011 de agosto de 2009 “Información adicional al Estudio de Impacto Ambiental”.</w:t>
      </w:r>
    </w:p>
    <w:p w:rsidR="004E4195" w:rsidRPr="00021205" w:rsidRDefault="004E4195" w:rsidP="004E4195">
      <w:pPr>
        <w:jc w:val="both"/>
        <w:rPr>
          <w:rFonts w:ascii="Arial" w:hAnsi="Arial" w:cs="Arial"/>
          <w:i/>
          <w:sz w:val="22"/>
          <w:lang w:val="es-CO"/>
        </w:rPr>
      </w:pPr>
    </w:p>
    <w:p w:rsidR="004E4195" w:rsidRPr="00021205" w:rsidRDefault="004E4195" w:rsidP="004E4195">
      <w:pPr>
        <w:numPr>
          <w:ilvl w:val="0"/>
          <w:numId w:val="8"/>
        </w:numPr>
        <w:jc w:val="both"/>
        <w:rPr>
          <w:rFonts w:ascii="Arial" w:hAnsi="Arial" w:cs="Arial"/>
          <w:b/>
          <w:i/>
          <w:sz w:val="22"/>
          <w:lang w:val="es-CO"/>
        </w:rPr>
      </w:pPr>
      <w:r w:rsidRPr="00021205">
        <w:rPr>
          <w:rFonts w:ascii="Arial" w:hAnsi="Arial" w:cs="Arial"/>
          <w:b/>
          <w:i/>
          <w:sz w:val="22"/>
          <w:lang w:val="es-CO"/>
        </w:rPr>
        <w:t>En el concepto RH-0344 de agosto del 2012 evidencia violación a los parámetros establecidos en la guía básica para proyectos de exploración sísmica al perforar nacimientos y corrientes de agua a una distancia de 92 m y 23m respectivamente. ¿Qué sanciones se le aplican a la empresa por dicha violación y qué infracciones o violaciones a la normatividad nacional debe cometer una empresa interesada en explotar hidrocarburos para que se le niegue la licencia ambiental?</w:t>
      </w:r>
    </w:p>
    <w:p w:rsidR="004E4195" w:rsidRPr="00021205" w:rsidRDefault="004E4195" w:rsidP="004E4195">
      <w:pPr>
        <w:jc w:val="both"/>
        <w:rPr>
          <w:rFonts w:ascii="Arial" w:hAnsi="Arial" w:cs="Arial"/>
          <w:i/>
          <w:sz w:val="22"/>
          <w:lang w:val="es-CO"/>
        </w:rPr>
      </w:pPr>
    </w:p>
    <w:p w:rsidR="004E4195" w:rsidRPr="004E4195" w:rsidRDefault="004E4195" w:rsidP="004E4195">
      <w:pPr>
        <w:jc w:val="both"/>
        <w:rPr>
          <w:rFonts w:ascii="Arial" w:hAnsi="Arial" w:cs="Arial"/>
          <w:sz w:val="22"/>
        </w:rPr>
      </w:pPr>
      <w:r w:rsidRPr="004E4195">
        <w:rPr>
          <w:rFonts w:ascii="Arial" w:hAnsi="Arial" w:cs="Arial"/>
          <w:sz w:val="22"/>
          <w:lang w:val="es-CO"/>
        </w:rPr>
        <w:t xml:space="preserve">Respecto a los programas de exploración sísmica, el Decreto 2820 de 2010, en su artículo 8°, numeral 1, literal a) establece que para el sector de hidrocarburos sólo requieren licencia ambiental: a) Las actividades de exploración sísmica que requieran la construcción de vías para el tránsito vehicular y las actividades de exploración sísmica en las áreas marinas del territorio nacional cuando se realicen en profundidades inferiores a 200 metros. </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En este orden de ideas, la actividad de exploración sísmica está sujeta a los permisos y autorizaciones de uso y aprovechamiento de recursos naturales, si el proyecto así lo exige, los cuales son competencia de la Corporación con jurisdicción en el área de ejecución del proyecto, siendo así la Autoridad ambiental encargada de ejercer la evaluación, control y seguimiento ambiental del proyecto y para otorgar los permisos, concesiones y autorizaciones ambientales requeridos para realizar dicha actividad.</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 xml:space="preserve">No sobra agregar que la Autoridad Ambiental regional puede utilizar como referencia para la evaluación y seguimiento ambiental de la sísmica la “Guía Ambiental para Exploración Sísmica” adoptada por el Ministerio de Ambiente, Vivienda y Desarrollo Territorial, hoy Ministerio de Ambiente y Desarrollo Sostenible, mediante la Resolución 1023 del 28 de julio de 2005. En la mencionada guía se establecen las recomendaciones sobre las distancias mínimas para los puntos de disparo y para prevenir y mitigar la afectación sobre acuíferos, </w:t>
      </w:r>
      <w:r w:rsidRPr="004E4195">
        <w:rPr>
          <w:rFonts w:ascii="Arial" w:hAnsi="Arial" w:cs="Arial"/>
          <w:sz w:val="22"/>
        </w:rPr>
        <w:lastRenderedPageBreak/>
        <w:t>nacederos de agua, suelos y edificaciones. Igualmente los Términos de Referencia HTER 105 y 110 adoptados por el Ministerio de Ambiente contienen los lineamientos y estructura de los planes de manejo ambiental para programas sísmicos y la norma ICONTEC NTC 5067 de 2002 establece las directrices para la planificación y gestión ambiental de proyectos de exploración Sísmica Terrestres, son documentos técnicos disponibles que pueden ser utilizados para el establecimiento de requisitos y parámetros mínimos de las detonaciones.</w:t>
      </w:r>
    </w:p>
    <w:p w:rsidR="004E4195" w:rsidRPr="004E4195" w:rsidRDefault="004E4195" w:rsidP="004E4195">
      <w:pPr>
        <w:jc w:val="both"/>
        <w:rPr>
          <w:rFonts w:ascii="Arial" w:hAnsi="Arial" w:cs="Arial"/>
          <w:sz w:val="22"/>
        </w:rPr>
      </w:pPr>
    </w:p>
    <w:p w:rsidR="004E4195" w:rsidRPr="004E4195" w:rsidRDefault="004E4195" w:rsidP="004E4195">
      <w:pPr>
        <w:jc w:val="both"/>
        <w:rPr>
          <w:rFonts w:ascii="Arial" w:hAnsi="Arial" w:cs="Arial"/>
          <w:sz w:val="22"/>
        </w:rPr>
      </w:pPr>
      <w:r w:rsidRPr="004E4195">
        <w:rPr>
          <w:rFonts w:ascii="Arial" w:hAnsi="Arial" w:cs="Arial"/>
          <w:sz w:val="22"/>
        </w:rPr>
        <w:t>Así mismo es obligación de la empresa implementar las medidas de manejo ambiental que se establezcan con el fin de mitigar los impactos generados por la exploración sísmica y cumplir con las obligaciones impuestas dentro de los permisos y autorizaciones ambientales otorgados.</w:t>
      </w:r>
    </w:p>
    <w:p w:rsidR="004E4195" w:rsidRPr="004E4195" w:rsidRDefault="004E4195" w:rsidP="004E4195">
      <w:pPr>
        <w:jc w:val="both"/>
        <w:rPr>
          <w:rFonts w:ascii="Arial" w:hAnsi="Arial" w:cs="Arial"/>
          <w:b/>
          <w:sz w:val="22"/>
          <w:lang w:val="es-CO"/>
        </w:rPr>
      </w:pPr>
    </w:p>
    <w:p w:rsidR="004E4195" w:rsidRPr="00021205" w:rsidRDefault="004E4195" w:rsidP="004E4195">
      <w:pPr>
        <w:numPr>
          <w:ilvl w:val="0"/>
          <w:numId w:val="8"/>
        </w:numPr>
        <w:jc w:val="both"/>
        <w:rPr>
          <w:rFonts w:ascii="Arial" w:hAnsi="Arial" w:cs="Arial"/>
          <w:b/>
          <w:i/>
          <w:sz w:val="22"/>
          <w:lang w:val="es-CO"/>
        </w:rPr>
      </w:pPr>
      <w:r w:rsidRPr="00021205">
        <w:rPr>
          <w:rFonts w:ascii="Arial" w:hAnsi="Arial" w:cs="Arial"/>
          <w:b/>
          <w:i/>
          <w:sz w:val="22"/>
          <w:lang w:val="es-CO"/>
        </w:rPr>
        <w:t>De acuerdo al decreto 3573 de 2011, Artículo 3, numeral 2, que ordena entre las funciones de la ANLA realizar el seguimiento de las licencias, permisos y trámites ambientales ¿Cuáles conceptos técnicos ha desarrollado la ANLA en el caso del proyecto MNorte como seguimiento al mismo y que se evidencia en cada uno de ellos?</w:t>
      </w:r>
    </w:p>
    <w:p w:rsidR="004E4195" w:rsidRPr="004E4195" w:rsidRDefault="004E4195" w:rsidP="004E4195">
      <w:pPr>
        <w:jc w:val="both"/>
        <w:rPr>
          <w:rFonts w:ascii="Arial" w:hAnsi="Arial" w:cs="Arial"/>
          <w:b/>
          <w:sz w:val="22"/>
          <w:lang w:val="es-CO"/>
        </w:rPr>
      </w:pPr>
    </w:p>
    <w:p w:rsidR="004E4195" w:rsidRPr="004E4195" w:rsidRDefault="004E4195" w:rsidP="004E4195">
      <w:pPr>
        <w:jc w:val="both"/>
        <w:rPr>
          <w:rFonts w:ascii="Arial" w:hAnsi="Arial" w:cs="Arial"/>
          <w:sz w:val="22"/>
          <w:lang w:val="es-CO"/>
        </w:rPr>
      </w:pPr>
      <w:r w:rsidRPr="004E4195">
        <w:rPr>
          <w:rFonts w:ascii="Arial" w:hAnsi="Arial" w:cs="Arial"/>
          <w:sz w:val="22"/>
          <w:lang w:val="es-CO"/>
        </w:rPr>
        <w:t>Debido a que el proyecto de exploración sísmica MNorte, no tiene instrumento de manejo y control establecido por esta Autoridad, no está dentro de nuestra competencia realizar seguimi</w:t>
      </w:r>
      <w:r w:rsidR="00021205">
        <w:rPr>
          <w:rFonts w:ascii="Arial" w:hAnsi="Arial" w:cs="Arial"/>
          <w:sz w:val="22"/>
          <w:lang w:val="es-CO"/>
        </w:rPr>
        <w:t>ento al desarrollo de estas acti</w:t>
      </w:r>
      <w:r w:rsidRPr="004E4195">
        <w:rPr>
          <w:rFonts w:ascii="Arial" w:hAnsi="Arial" w:cs="Arial"/>
          <w:sz w:val="22"/>
          <w:lang w:val="es-CO"/>
        </w:rPr>
        <w:t>v</w:t>
      </w:r>
      <w:r w:rsidR="00021205">
        <w:rPr>
          <w:rFonts w:ascii="Arial" w:hAnsi="Arial" w:cs="Arial"/>
          <w:sz w:val="22"/>
          <w:lang w:val="es-CO"/>
        </w:rPr>
        <w:t>i</w:t>
      </w:r>
      <w:r w:rsidRPr="004E4195">
        <w:rPr>
          <w:rFonts w:ascii="Arial" w:hAnsi="Arial" w:cs="Arial"/>
          <w:sz w:val="22"/>
          <w:lang w:val="es-CO"/>
        </w:rPr>
        <w:t>dades. No obstante, le informamos que  de acuerdo con lo establecido en el Decreto 3573 de 2011, Artículo 3, numeral 2, esta Autoridad ha realizado los siguientes seguimientos al proyecto Área de Perforación Exploratoria Muisca, con el fin de verificar el cumplimiento de las obligaciones establecidas en la licencia ambiental otorgada a este proyecto mediante la Resolución 2000 del 16 de octubre 2009:</w:t>
      </w:r>
    </w:p>
    <w:p w:rsidR="004E4195" w:rsidRPr="004E4195" w:rsidRDefault="004E4195" w:rsidP="004E4195">
      <w:pPr>
        <w:numPr>
          <w:ilvl w:val="0"/>
          <w:numId w:val="12"/>
        </w:numPr>
        <w:jc w:val="both"/>
        <w:rPr>
          <w:rFonts w:ascii="Arial" w:hAnsi="Arial" w:cs="Arial"/>
          <w:sz w:val="22"/>
          <w:lang w:val="es-CO"/>
        </w:rPr>
      </w:pPr>
      <w:r w:rsidRPr="004E4195">
        <w:rPr>
          <w:rFonts w:ascii="Arial" w:hAnsi="Arial" w:cs="Arial"/>
          <w:sz w:val="22"/>
          <w:lang w:val="es-CO"/>
        </w:rPr>
        <w:t>Concepto técnico de seguimiento No. 2172 del 10 de septiembre de 2010.</w:t>
      </w:r>
    </w:p>
    <w:p w:rsidR="004E4195" w:rsidRPr="004E4195" w:rsidRDefault="004E4195" w:rsidP="004E4195">
      <w:pPr>
        <w:numPr>
          <w:ilvl w:val="0"/>
          <w:numId w:val="12"/>
        </w:numPr>
        <w:jc w:val="both"/>
        <w:rPr>
          <w:rFonts w:ascii="Arial" w:hAnsi="Arial" w:cs="Arial"/>
          <w:sz w:val="22"/>
          <w:lang w:val="es-CO"/>
        </w:rPr>
      </w:pPr>
      <w:r w:rsidRPr="004E4195">
        <w:rPr>
          <w:rFonts w:ascii="Arial" w:hAnsi="Arial" w:cs="Arial"/>
          <w:sz w:val="22"/>
          <w:lang w:val="es-CO"/>
        </w:rPr>
        <w:t>Concepto técnico de seguimiento No. 2268 del 20 de diciembre de 2012.</w:t>
      </w:r>
    </w:p>
    <w:p w:rsidR="004E4195" w:rsidRDefault="004E4195" w:rsidP="004E4195">
      <w:pPr>
        <w:numPr>
          <w:ilvl w:val="0"/>
          <w:numId w:val="12"/>
        </w:numPr>
        <w:jc w:val="both"/>
        <w:rPr>
          <w:rFonts w:ascii="Arial" w:hAnsi="Arial" w:cs="Arial"/>
          <w:sz w:val="22"/>
          <w:lang w:val="es-CO"/>
        </w:rPr>
      </w:pPr>
      <w:r w:rsidRPr="004E4195">
        <w:rPr>
          <w:rFonts w:ascii="Arial" w:hAnsi="Arial" w:cs="Arial"/>
          <w:sz w:val="22"/>
          <w:lang w:val="es-CO"/>
        </w:rPr>
        <w:t>Concepto técnico de seguimiento No. 2349 del 27 de diciembre de 2012.</w:t>
      </w:r>
    </w:p>
    <w:p w:rsidR="008049AC" w:rsidRPr="004E4195" w:rsidRDefault="008049AC" w:rsidP="008049AC">
      <w:pPr>
        <w:ind w:left="780"/>
        <w:jc w:val="both"/>
        <w:rPr>
          <w:rFonts w:ascii="Arial" w:hAnsi="Arial" w:cs="Arial"/>
          <w:sz w:val="22"/>
          <w:lang w:val="es-CO"/>
        </w:rPr>
      </w:pPr>
    </w:p>
    <w:p w:rsidR="00386FC9" w:rsidRPr="00386FC9" w:rsidRDefault="00386FC9" w:rsidP="00386FC9">
      <w:pPr>
        <w:jc w:val="both"/>
        <w:rPr>
          <w:rFonts w:ascii="Arial" w:hAnsi="Arial" w:cs="Arial"/>
          <w:sz w:val="22"/>
          <w:lang w:val="es-CO"/>
        </w:rPr>
      </w:pPr>
    </w:p>
    <w:p w:rsidR="00386FC9" w:rsidRPr="004D4502" w:rsidRDefault="00386FC9" w:rsidP="00386FC9">
      <w:pPr>
        <w:numPr>
          <w:ilvl w:val="0"/>
          <w:numId w:val="21"/>
        </w:numPr>
        <w:jc w:val="both"/>
        <w:rPr>
          <w:rFonts w:ascii="Arial" w:hAnsi="Arial" w:cs="Arial"/>
          <w:b/>
          <w:i/>
          <w:sz w:val="22"/>
          <w:lang w:val="es-CO"/>
        </w:rPr>
      </w:pPr>
      <w:r w:rsidRPr="004D4502">
        <w:rPr>
          <w:rFonts w:ascii="Arial" w:hAnsi="Arial" w:cs="Arial"/>
          <w:b/>
          <w:i/>
          <w:sz w:val="22"/>
          <w:lang w:val="es-CO"/>
        </w:rPr>
        <w:t>Cuántas y cuales licencias ambientales se han negado y revocado en los últimos dos años y cuáles fueron las razones que motivaron esas decisiones?.  Indicando el proyecto al cual correspondía la licencia, la compañía que la solicitaba, la ubicación geográfica del proyecto, si se negó o se revocó y el motivo específico de cada una de esas decisiones.</w:t>
      </w:r>
    </w:p>
    <w:p w:rsidR="00386FC9" w:rsidRDefault="00386FC9" w:rsidP="00386FC9">
      <w:pPr>
        <w:jc w:val="both"/>
        <w:rPr>
          <w:rFonts w:ascii="Arial" w:hAnsi="Arial" w:cs="Arial"/>
          <w:b/>
          <w:sz w:val="22"/>
          <w:lang w:val="es-CO"/>
        </w:rPr>
      </w:pPr>
    </w:p>
    <w:p w:rsidR="008049AC" w:rsidRDefault="008049AC" w:rsidP="00386FC9">
      <w:pPr>
        <w:jc w:val="both"/>
        <w:rPr>
          <w:rFonts w:ascii="Arial" w:hAnsi="Arial" w:cs="Arial"/>
          <w:b/>
          <w:sz w:val="22"/>
          <w:lang w:val="es-CO"/>
        </w:rPr>
      </w:pPr>
    </w:p>
    <w:p w:rsidR="0050070B" w:rsidRDefault="004D4502" w:rsidP="0050070B">
      <w:pPr>
        <w:jc w:val="both"/>
        <w:rPr>
          <w:rFonts w:ascii="Arial" w:hAnsi="Arial" w:cs="Arial"/>
          <w:b/>
          <w:sz w:val="22"/>
          <w:lang w:val="es-CO"/>
        </w:rPr>
      </w:pPr>
      <w:r>
        <w:rPr>
          <w:rFonts w:ascii="Arial" w:hAnsi="Arial" w:cs="Arial"/>
          <w:b/>
          <w:sz w:val="22"/>
          <w:lang w:val="es-CO"/>
        </w:rPr>
        <w:t>Respecto del Sector de Minería:</w:t>
      </w:r>
    </w:p>
    <w:p w:rsidR="00021205" w:rsidRPr="0050070B" w:rsidRDefault="00021205" w:rsidP="0050070B">
      <w:pPr>
        <w:jc w:val="both"/>
        <w:rPr>
          <w:rFonts w:ascii="Arial" w:hAnsi="Arial" w:cs="Arial"/>
          <w:b/>
          <w:sz w:val="22"/>
          <w:lang w:val="es-CO"/>
        </w:rPr>
      </w:pPr>
    </w:p>
    <w:p w:rsidR="00386FC9" w:rsidRDefault="00386FC9" w:rsidP="00386FC9">
      <w:pPr>
        <w:jc w:val="both"/>
        <w:rPr>
          <w:rFonts w:ascii="Arial" w:hAnsi="Arial" w:cs="Arial"/>
          <w:sz w:val="22"/>
          <w:lang w:val="es-CO"/>
        </w:rPr>
      </w:pPr>
      <w:r w:rsidRPr="00386FC9">
        <w:rPr>
          <w:rFonts w:ascii="Arial" w:hAnsi="Arial" w:cs="Arial"/>
          <w:sz w:val="22"/>
          <w:lang w:val="es-CO"/>
        </w:rPr>
        <w:t>La respuesta a la presente pregunta se detalla en la siguiente tabla:</w:t>
      </w:r>
    </w:p>
    <w:p w:rsidR="008049AC" w:rsidRPr="00386FC9" w:rsidRDefault="008049AC"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p>
    <w:tbl>
      <w:tblPr>
        <w:tblStyle w:val="Tablaconcuadrcula"/>
        <w:tblW w:w="0" w:type="auto"/>
        <w:tblLook w:val="04A0" w:firstRow="1" w:lastRow="0" w:firstColumn="1" w:lastColumn="0" w:noHBand="0" w:noVBand="1"/>
      </w:tblPr>
      <w:tblGrid>
        <w:gridCol w:w="1770"/>
        <w:gridCol w:w="1399"/>
        <w:gridCol w:w="1785"/>
        <w:gridCol w:w="2244"/>
        <w:gridCol w:w="2139"/>
      </w:tblGrid>
      <w:tr w:rsidR="00386FC9" w:rsidRPr="00386FC9" w:rsidTr="00386FC9">
        <w:tc>
          <w:tcPr>
            <w:tcW w:w="0" w:type="auto"/>
            <w:vAlign w:val="center"/>
          </w:tcPr>
          <w:p w:rsidR="00386FC9" w:rsidRPr="004D4502" w:rsidRDefault="00386FC9" w:rsidP="00386FC9">
            <w:pPr>
              <w:jc w:val="both"/>
              <w:rPr>
                <w:rFonts w:ascii="Arial" w:hAnsi="Arial" w:cs="Arial"/>
                <w:b/>
                <w:sz w:val="20"/>
                <w:lang w:val="es-CO"/>
              </w:rPr>
            </w:pPr>
            <w:r w:rsidRPr="004D4502">
              <w:rPr>
                <w:rFonts w:ascii="Arial" w:hAnsi="Arial" w:cs="Arial"/>
                <w:b/>
                <w:sz w:val="20"/>
                <w:lang w:val="es-CO"/>
              </w:rPr>
              <w:t>Empresa</w:t>
            </w:r>
          </w:p>
        </w:tc>
        <w:tc>
          <w:tcPr>
            <w:tcW w:w="0" w:type="auto"/>
            <w:vAlign w:val="center"/>
          </w:tcPr>
          <w:p w:rsidR="00386FC9" w:rsidRPr="004D4502" w:rsidRDefault="00386FC9" w:rsidP="00386FC9">
            <w:pPr>
              <w:jc w:val="both"/>
              <w:rPr>
                <w:rFonts w:ascii="Arial" w:hAnsi="Arial" w:cs="Arial"/>
                <w:b/>
                <w:sz w:val="20"/>
                <w:lang w:val="es-CO"/>
              </w:rPr>
            </w:pPr>
            <w:r w:rsidRPr="004D4502">
              <w:rPr>
                <w:rFonts w:ascii="Arial" w:hAnsi="Arial" w:cs="Arial"/>
                <w:b/>
                <w:sz w:val="20"/>
                <w:lang w:val="es-CO"/>
              </w:rPr>
              <w:t>Proyecto</w:t>
            </w:r>
          </w:p>
        </w:tc>
        <w:tc>
          <w:tcPr>
            <w:tcW w:w="0" w:type="auto"/>
            <w:vAlign w:val="center"/>
          </w:tcPr>
          <w:p w:rsidR="00386FC9" w:rsidRPr="004D4502" w:rsidRDefault="00386FC9" w:rsidP="00386FC9">
            <w:pPr>
              <w:jc w:val="both"/>
              <w:rPr>
                <w:rFonts w:ascii="Arial" w:hAnsi="Arial" w:cs="Arial"/>
                <w:b/>
                <w:sz w:val="20"/>
                <w:lang w:val="es-CO"/>
              </w:rPr>
            </w:pPr>
            <w:r w:rsidRPr="004D4502">
              <w:rPr>
                <w:rFonts w:ascii="Arial" w:hAnsi="Arial" w:cs="Arial"/>
                <w:b/>
                <w:sz w:val="20"/>
                <w:lang w:val="es-CO"/>
              </w:rPr>
              <w:t>Ubicación</w:t>
            </w:r>
          </w:p>
        </w:tc>
        <w:tc>
          <w:tcPr>
            <w:tcW w:w="0" w:type="auto"/>
            <w:vAlign w:val="center"/>
          </w:tcPr>
          <w:p w:rsidR="00386FC9" w:rsidRPr="004D4502" w:rsidRDefault="00386FC9" w:rsidP="00386FC9">
            <w:pPr>
              <w:jc w:val="both"/>
              <w:rPr>
                <w:rFonts w:ascii="Arial" w:hAnsi="Arial" w:cs="Arial"/>
                <w:b/>
                <w:sz w:val="20"/>
                <w:lang w:val="es-CO"/>
              </w:rPr>
            </w:pPr>
            <w:r w:rsidRPr="004D4502">
              <w:rPr>
                <w:rFonts w:ascii="Arial" w:hAnsi="Arial" w:cs="Arial"/>
                <w:b/>
                <w:sz w:val="20"/>
                <w:lang w:val="es-CO"/>
              </w:rPr>
              <w:t>Estado</w:t>
            </w:r>
          </w:p>
        </w:tc>
        <w:tc>
          <w:tcPr>
            <w:tcW w:w="0" w:type="auto"/>
            <w:vAlign w:val="center"/>
          </w:tcPr>
          <w:p w:rsidR="00386FC9" w:rsidRPr="004D4502" w:rsidRDefault="00386FC9" w:rsidP="00386FC9">
            <w:pPr>
              <w:jc w:val="both"/>
              <w:rPr>
                <w:rFonts w:ascii="Arial" w:hAnsi="Arial" w:cs="Arial"/>
                <w:b/>
                <w:sz w:val="20"/>
                <w:lang w:val="es-CO"/>
              </w:rPr>
            </w:pPr>
            <w:r w:rsidRPr="004D4502">
              <w:rPr>
                <w:rFonts w:ascii="Arial" w:hAnsi="Arial" w:cs="Arial"/>
                <w:b/>
                <w:sz w:val="20"/>
                <w:lang w:val="es-CO"/>
              </w:rPr>
              <w:t>Observación</w:t>
            </w:r>
          </w:p>
        </w:tc>
      </w:tr>
      <w:tr w:rsidR="00386FC9" w:rsidRPr="00386FC9" w:rsidTr="00386FC9">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rPr>
              <w:t xml:space="preserve">Luis Ricardo Montoya Jaramillo Y Rafael Joaquín </w:t>
            </w:r>
            <w:r w:rsidRPr="004D4502">
              <w:rPr>
                <w:rFonts w:ascii="Arial" w:hAnsi="Arial" w:cs="Arial"/>
                <w:sz w:val="20"/>
              </w:rPr>
              <w:lastRenderedPageBreak/>
              <w:t>Rodriguez Naranjo.</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lastRenderedPageBreak/>
              <w:t>Cantera Agua Bonita</w:t>
            </w:r>
          </w:p>
          <w:p w:rsidR="00386FC9" w:rsidRPr="004D4502" w:rsidRDefault="00386FC9" w:rsidP="00386FC9">
            <w:pPr>
              <w:jc w:val="both"/>
              <w:rPr>
                <w:rFonts w:ascii="Arial" w:hAnsi="Arial" w:cs="Arial"/>
                <w:sz w:val="20"/>
                <w:lang w:val="es-CO"/>
              </w:rPr>
            </w:pP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Municipio de Silvania (Cundinamarca)</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Licencia Negada</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Insuficiencia de Información</w:t>
            </w:r>
          </w:p>
        </w:tc>
      </w:tr>
      <w:tr w:rsidR="00386FC9" w:rsidRPr="00386FC9" w:rsidTr="00386FC9">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lastRenderedPageBreak/>
              <w:t>VALE COAL (hoy CNR II)</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Mina El Hatillo (carbón)</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Municipio El Paso (Cesar)</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Negadas dos modificaciones: Explotación de un nuevo frente mina Cuevas y ampliación de botadero y pit de explotación</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No se dio viabilidad principalmente por declaratoria de área fuente de contaminación y deficiencia en la información</w:t>
            </w:r>
          </w:p>
        </w:tc>
      </w:tr>
      <w:tr w:rsidR="00386FC9" w:rsidRPr="00386FC9" w:rsidTr="00386FC9">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PRODECO</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Mina Calenturitas (carbón)</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Municipio El Paso (Cesar)</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Negada Modificación: desviación Caño Caimancito</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Justificación técnica inadecuada y deficiencia de información.</w:t>
            </w:r>
          </w:p>
        </w:tc>
      </w:tr>
      <w:tr w:rsidR="00386FC9" w:rsidRPr="00386FC9" w:rsidTr="00386FC9">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DRUMMOND LTD</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Descanso zona Norte (carbón)</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Municipio El Paso (Cesar)</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Negada Modificación: aprobación  botadero de estériles No. 8</w:t>
            </w:r>
          </w:p>
        </w:tc>
        <w:tc>
          <w:tcPr>
            <w:tcW w:w="0" w:type="auto"/>
            <w:vAlign w:val="center"/>
          </w:tcPr>
          <w:p w:rsidR="00386FC9" w:rsidRPr="004D4502" w:rsidRDefault="00386FC9" w:rsidP="00386FC9">
            <w:pPr>
              <w:jc w:val="both"/>
              <w:rPr>
                <w:rFonts w:ascii="Arial" w:hAnsi="Arial" w:cs="Arial"/>
                <w:sz w:val="20"/>
                <w:lang w:val="es-CO"/>
              </w:rPr>
            </w:pPr>
            <w:r w:rsidRPr="004D4502">
              <w:rPr>
                <w:rFonts w:ascii="Arial" w:hAnsi="Arial" w:cs="Arial"/>
                <w:sz w:val="20"/>
                <w:lang w:val="es-CO"/>
              </w:rPr>
              <w:t>Justificación técnica inadecuada y deficiencia de información.</w:t>
            </w:r>
          </w:p>
        </w:tc>
      </w:tr>
    </w:tbl>
    <w:p w:rsidR="004D4502" w:rsidRDefault="004D4502" w:rsidP="004D4502">
      <w:pPr>
        <w:jc w:val="both"/>
        <w:rPr>
          <w:rFonts w:ascii="Arial" w:hAnsi="Arial" w:cs="Arial"/>
          <w:sz w:val="22"/>
          <w:lang w:val="es-CO"/>
        </w:rPr>
      </w:pPr>
    </w:p>
    <w:p w:rsidR="004D4502" w:rsidRDefault="004D4502" w:rsidP="004D4502">
      <w:pPr>
        <w:jc w:val="both"/>
        <w:rPr>
          <w:rFonts w:ascii="Arial" w:hAnsi="Arial" w:cs="Arial"/>
          <w:b/>
          <w:sz w:val="22"/>
          <w:lang w:val="es-CO"/>
        </w:rPr>
      </w:pPr>
    </w:p>
    <w:p w:rsidR="004D4502" w:rsidRDefault="004D4502" w:rsidP="004D4502">
      <w:pPr>
        <w:jc w:val="both"/>
        <w:rPr>
          <w:rFonts w:ascii="Arial" w:hAnsi="Arial" w:cs="Arial"/>
          <w:b/>
          <w:sz w:val="22"/>
          <w:lang w:val="es-CO"/>
        </w:rPr>
      </w:pPr>
    </w:p>
    <w:p w:rsidR="004D4502" w:rsidRDefault="004D4502" w:rsidP="004D4502">
      <w:pPr>
        <w:jc w:val="both"/>
        <w:rPr>
          <w:rFonts w:ascii="Arial" w:hAnsi="Arial" w:cs="Arial"/>
          <w:b/>
          <w:sz w:val="22"/>
          <w:lang w:val="es-CO"/>
        </w:rPr>
      </w:pPr>
    </w:p>
    <w:p w:rsidR="004D4502" w:rsidRDefault="004D4502" w:rsidP="004D4502">
      <w:pPr>
        <w:jc w:val="both"/>
        <w:rPr>
          <w:rFonts w:ascii="Arial" w:hAnsi="Arial" w:cs="Arial"/>
          <w:b/>
          <w:sz w:val="22"/>
          <w:lang w:val="es-CO"/>
        </w:rPr>
      </w:pPr>
    </w:p>
    <w:p w:rsidR="004D4502" w:rsidRDefault="004D4502" w:rsidP="004D4502">
      <w:pPr>
        <w:jc w:val="both"/>
        <w:rPr>
          <w:rFonts w:ascii="Arial" w:hAnsi="Arial" w:cs="Arial"/>
          <w:b/>
          <w:sz w:val="22"/>
          <w:lang w:val="es-CO"/>
        </w:rPr>
      </w:pPr>
    </w:p>
    <w:p w:rsidR="00996570" w:rsidRDefault="004D4502" w:rsidP="004D4502">
      <w:pPr>
        <w:jc w:val="both"/>
        <w:rPr>
          <w:rFonts w:ascii="Arial" w:hAnsi="Arial" w:cs="Arial"/>
          <w:b/>
          <w:sz w:val="22"/>
          <w:lang w:val="es-CO"/>
        </w:rPr>
      </w:pPr>
      <w:r w:rsidRPr="004D4502">
        <w:rPr>
          <w:rFonts w:ascii="Arial" w:hAnsi="Arial" w:cs="Arial"/>
          <w:b/>
          <w:sz w:val="22"/>
          <w:lang w:val="es-CO"/>
        </w:rPr>
        <w:t xml:space="preserve">Respecto del Sector de </w:t>
      </w:r>
      <w:r w:rsidR="00996570" w:rsidRPr="004D4502">
        <w:rPr>
          <w:rFonts w:ascii="Arial" w:hAnsi="Arial" w:cs="Arial"/>
          <w:b/>
          <w:sz w:val="22"/>
          <w:lang w:val="es-CO"/>
        </w:rPr>
        <w:t>Hidrocarburos</w:t>
      </w:r>
    </w:p>
    <w:p w:rsidR="004D4502" w:rsidRDefault="004D4502" w:rsidP="004D4502">
      <w:pPr>
        <w:jc w:val="both"/>
        <w:rPr>
          <w:rFonts w:ascii="Arial" w:hAnsi="Arial" w:cs="Arial"/>
          <w:b/>
          <w:sz w:val="22"/>
          <w:lang w:val="es-CO"/>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5"/>
        <w:gridCol w:w="604"/>
        <w:gridCol w:w="696"/>
        <w:gridCol w:w="1017"/>
        <w:gridCol w:w="1132"/>
        <w:gridCol w:w="1750"/>
        <w:gridCol w:w="1115"/>
        <w:gridCol w:w="2782"/>
      </w:tblGrid>
      <w:tr w:rsidR="0039759F" w:rsidRPr="0039759F" w:rsidTr="0039759F">
        <w:trPr>
          <w:trHeight w:val="330"/>
        </w:trPr>
        <w:tc>
          <w:tcPr>
            <w:tcW w:w="89" w:type="pct"/>
            <w:tcBorders>
              <w:top w:val="single" w:sz="4" w:space="0" w:color="auto"/>
              <w:left w:val="single" w:sz="4" w:space="0" w:color="auto"/>
              <w:bottom w:val="single" w:sz="4" w:space="0" w:color="auto"/>
              <w:right w:val="single" w:sz="4" w:space="0" w:color="auto"/>
            </w:tcBorders>
            <w:noWrap/>
            <w:vAlign w:val="bottom"/>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 </w:t>
            </w:r>
          </w:p>
        </w:tc>
        <w:tc>
          <w:tcPr>
            <w:tcW w:w="326" w:type="pct"/>
            <w:tcBorders>
              <w:top w:val="single" w:sz="4" w:space="0" w:color="auto"/>
              <w:left w:val="single" w:sz="4" w:space="0" w:color="auto"/>
              <w:bottom w:val="single" w:sz="4" w:space="0" w:color="auto"/>
              <w:right w:val="single" w:sz="4" w:space="0" w:color="auto"/>
            </w:tcBorders>
            <w:noWrap/>
            <w:vAlign w:val="bottom"/>
            <w:hideMark/>
          </w:tcPr>
          <w:p w:rsidR="0039759F" w:rsidRPr="0039759F" w:rsidRDefault="0039759F" w:rsidP="0039759F">
            <w:pPr>
              <w:jc w:val="center"/>
              <w:rPr>
                <w:rFonts w:ascii="Arial Narrow" w:hAnsi="Arial Narrow" w:cs="Arial"/>
                <w:b/>
                <w:sz w:val="16"/>
                <w:szCs w:val="12"/>
                <w:lang w:val="es-CO"/>
              </w:rPr>
            </w:pPr>
          </w:p>
        </w:tc>
        <w:tc>
          <w:tcPr>
            <w:tcW w:w="376"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EXPEDIENTE</w:t>
            </w:r>
          </w:p>
        </w:tc>
        <w:tc>
          <w:tcPr>
            <w:tcW w:w="54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PROYECTO</w:t>
            </w:r>
          </w:p>
        </w:tc>
        <w:tc>
          <w:tcPr>
            <w:tcW w:w="611"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EMPRESA</w:t>
            </w:r>
          </w:p>
        </w:tc>
        <w:tc>
          <w:tcPr>
            <w:tcW w:w="945"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jc w:val="center"/>
              <w:rPr>
                <w:rFonts w:ascii="Arial Narrow" w:hAnsi="Arial Narrow" w:cs="Arial"/>
                <w:b/>
                <w:bCs/>
                <w:sz w:val="16"/>
                <w:szCs w:val="12"/>
                <w:lang w:val="es-CO"/>
              </w:rPr>
            </w:pPr>
            <w:r w:rsidRPr="0039759F">
              <w:rPr>
                <w:rFonts w:ascii="Arial Narrow" w:hAnsi="Arial Narrow" w:cs="Arial"/>
                <w:b/>
                <w:bCs/>
                <w:sz w:val="16"/>
                <w:szCs w:val="12"/>
                <w:lang w:val="es-CO"/>
              </w:rPr>
              <w:t>UBICACIÓN GEOGRAFICA</w:t>
            </w:r>
          </w:p>
        </w:tc>
        <w:tc>
          <w:tcPr>
            <w:tcW w:w="602"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RESOLUCION</w:t>
            </w:r>
          </w:p>
        </w:tc>
        <w:tc>
          <w:tcPr>
            <w:tcW w:w="1502"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NIEGA LICENCIA</w:t>
            </w:r>
          </w:p>
        </w:tc>
      </w:tr>
      <w:tr w:rsidR="0039759F" w:rsidRPr="0039759F" w:rsidTr="0039759F">
        <w:trPr>
          <w:trHeight w:val="2050"/>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center"/>
            <w:hideMark/>
          </w:tcPr>
          <w:p w:rsidR="0039759F" w:rsidRPr="0039759F" w:rsidRDefault="0039759F" w:rsidP="0039759F">
            <w:pPr>
              <w:rPr>
                <w:rFonts w:ascii="Arial Narrow" w:hAnsi="Arial Narrow" w:cs="Arial"/>
                <w:b/>
                <w:sz w:val="16"/>
                <w:szCs w:val="12"/>
                <w:lang w:val="es-CO"/>
              </w:rPr>
            </w:pPr>
            <w:r w:rsidRPr="0039759F">
              <w:rPr>
                <w:rFonts w:ascii="Arial Narrow" w:hAnsi="Arial Narrow" w:cs="Arial"/>
                <w:b/>
                <w:sz w:val="16"/>
                <w:szCs w:val="12"/>
                <w:lang w:val="es-CO"/>
              </w:rPr>
              <w:t>1</w:t>
            </w:r>
          </w:p>
        </w:tc>
        <w:tc>
          <w:tcPr>
            <w:tcW w:w="326" w:type="pct"/>
            <w:vMerge w:val="restart"/>
            <w:tcBorders>
              <w:top w:val="single" w:sz="4" w:space="0" w:color="auto"/>
              <w:left w:val="single" w:sz="4" w:space="0" w:color="auto"/>
              <w:bottom w:val="single" w:sz="4" w:space="0" w:color="auto"/>
              <w:right w:val="single" w:sz="4" w:space="0" w:color="auto"/>
            </w:tcBorders>
            <w:shd w:val="clear" w:color="auto" w:fill="C4D79B"/>
            <w:noWrap/>
            <w:textDirection w:val="tbLrV"/>
            <w:vAlign w:val="center"/>
            <w:hideMark/>
          </w:tcPr>
          <w:p w:rsidR="0039759F" w:rsidRPr="0039759F" w:rsidRDefault="0039759F" w:rsidP="0039759F">
            <w:pPr>
              <w:jc w:val="center"/>
              <w:rPr>
                <w:rFonts w:ascii="Arial Narrow" w:hAnsi="Arial Narrow" w:cs="Arial"/>
                <w:b/>
                <w:bCs/>
                <w:sz w:val="16"/>
                <w:szCs w:val="12"/>
                <w:lang w:val="es-CO"/>
              </w:rPr>
            </w:pPr>
            <w:r w:rsidRPr="0039759F">
              <w:rPr>
                <w:rFonts w:ascii="Arial Narrow" w:hAnsi="Arial Narrow" w:cs="Arial"/>
                <w:b/>
                <w:bCs/>
                <w:sz w:val="16"/>
                <w:szCs w:val="12"/>
                <w:lang w:val="es-CO"/>
              </w:rPr>
              <w:t>SOLICITUD DE LICENCIA AMBIENTAL</w:t>
            </w: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5279</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LICENCIA AMBIENTAL PARA EL PROYECTO "ÁREA DE PERFORACIÓN EXPLORATORIA BLOQUE VMM-4</w:t>
            </w:r>
          </w:p>
        </w:tc>
        <w:tc>
          <w:tcPr>
            <w:tcW w:w="611"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LOH ENERGY SUCURSAL COLOMBIA</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 xml:space="preserve">MUNICIPIOS DE SAN ALBERTO, SAN MARTIN, RIO DE ORO DEL DEPARTAMENTO DEL CESAR Y OCAÑA NORTE DE SANTANDER </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364 DEL 23 DE MAYO DEL 2012</w:t>
            </w:r>
          </w:p>
        </w:tc>
        <w:tc>
          <w:tcPr>
            <w:tcW w:w="15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rPr>
              <w:t>ARTICULO PRIMERO.-</w:t>
            </w:r>
            <w:r w:rsidRPr="0039759F">
              <w:rPr>
                <w:rFonts w:ascii="Arial Narrow" w:hAnsi="Arial Narrow" w:cs="Arial"/>
                <w:b/>
                <w:sz w:val="16"/>
                <w:szCs w:val="12"/>
              </w:rPr>
              <w:t xml:space="preserve">  Negar la licencia ambiental  solicitada por la empresa LOH ENERGY SUCURSAL COLOMBIA, para el proyecto “ÁREA DE PERFORACIÓN EXPLORATORIA BLOQUE VMM-4“, localizado en jurisdicción de los municipios de San Alberto, San Martin y Río de Oro en el departamento del Cesar, y Ocaña en el departamento Norte Santander, de conformidad con las consideraciones expuestas en la parte motiva.  </w:t>
            </w:r>
          </w:p>
        </w:tc>
      </w:tr>
      <w:tr w:rsidR="0039759F" w:rsidRPr="0039759F" w:rsidTr="0039759F">
        <w:trPr>
          <w:trHeight w:val="2249"/>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0D0818">
            <w:pPr>
              <w:jc w:val="both"/>
              <w:rPr>
                <w:rFonts w:ascii="Arial Narrow" w:hAnsi="Arial Narrow" w:cs="Arial"/>
                <w:b/>
                <w:sz w:val="16"/>
                <w:szCs w:val="12"/>
                <w:lang w:val="es-CO"/>
              </w:rPr>
            </w:pPr>
            <w:r w:rsidRPr="0039759F">
              <w:rPr>
                <w:rFonts w:ascii="Arial Narrow" w:hAnsi="Arial Narrow" w:cs="Arial"/>
                <w:b/>
                <w:sz w:val="16"/>
                <w:szCs w:val="12"/>
                <w:lang w:val="es-CO"/>
              </w:rPr>
              <w:t>2</w:t>
            </w:r>
          </w:p>
        </w:tc>
        <w:tc>
          <w:tcPr>
            <w:tcW w:w="326" w:type="pct"/>
            <w:vMerge/>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5282</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ÁREA DE PERFORACIÓN EXPLORATORIA DEL VMM 15</w:t>
            </w:r>
          </w:p>
        </w:tc>
        <w:tc>
          <w:tcPr>
            <w:tcW w:w="611"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LOH ENERGY SUCURSAL COLOMBIA</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MUNICIPIOS DE GUADUAS Y PUERTO SALGAR EN EL DEPARTAMENTO DE CUNDINAMARCA; HONDA EN EL DEPARTAMENTO DEL TOLIMA Y LA DORADA Y LA VICTORIA EN EL DEPARTAMENTO DE CALDAS.</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351 DEL 22 DE MAYO DEL 2012</w:t>
            </w:r>
          </w:p>
        </w:tc>
        <w:tc>
          <w:tcPr>
            <w:tcW w:w="15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rPr>
              <w:t xml:space="preserve">ARTICULO PRIMERO. </w:t>
            </w:r>
            <w:r w:rsidRPr="0039759F">
              <w:rPr>
                <w:rFonts w:ascii="Arial Narrow" w:hAnsi="Arial Narrow" w:cs="Arial"/>
                <w:b/>
                <w:sz w:val="16"/>
                <w:szCs w:val="12"/>
              </w:rPr>
              <w:t xml:space="preserve">Negar la licencia ambiental solicitada por la empresa LOH ENERGY SUCURSAL COLOMBIA, para el proyecto denominado Área de Perforación Exploratoria Bloque del Valle del Magdalena Medio -15 (VMM-15), localizado en jurisdicción de los municipios de Guaduas en el departamento de Cundinamarca, Honda en el departamento de Tolima y La Dorada y La Victoria en el departamento de Caldas, de conformidad con las consideraciones expuestas en la parte motiva del presente acto administrativo.  </w:t>
            </w:r>
          </w:p>
        </w:tc>
      </w:tr>
      <w:tr w:rsidR="0039759F" w:rsidRPr="0039759F" w:rsidTr="0039759F">
        <w:trPr>
          <w:trHeight w:val="1833"/>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rPr>
                <w:rFonts w:ascii="Arial Narrow" w:hAnsi="Arial Narrow" w:cs="Arial"/>
                <w:b/>
                <w:sz w:val="16"/>
                <w:szCs w:val="12"/>
                <w:lang w:val="es-CO"/>
              </w:rPr>
            </w:pPr>
            <w:r w:rsidRPr="0039759F">
              <w:rPr>
                <w:rFonts w:ascii="Arial Narrow" w:hAnsi="Arial Narrow" w:cs="Arial"/>
                <w:b/>
                <w:sz w:val="16"/>
                <w:szCs w:val="12"/>
                <w:lang w:val="es-CO"/>
              </w:rPr>
              <w:lastRenderedPageBreak/>
              <w:t>3</w:t>
            </w:r>
          </w:p>
        </w:tc>
        <w:tc>
          <w:tcPr>
            <w:tcW w:w="326" w:type="pct"/>
            <w:vMerge/>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5237</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 xml:space="preserve">LICENCIA AMBIENTAL PARA EL PROYECTO " ÁREA DE PERFORACIÓN EXPLORATORIA GOLOSA", </w:t>
            </w:r>
          </w:p>
        </w:tc>
        <w:tc>
          <w:tcPr>
            <w:tcW w:w="611"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ECOPETROL S.A.</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MUNICIPIO DE EL CARMEN DE CHUCURÍ EN EL DEPARTAMENTO DE SANTANDER</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1316 DEL 1 DE JULIO 2012</w:t>
            </w:r>
          </w:p>
        </w:tc>
        <w:tc>
          <w:tcPr>
            <w:tcW w:w="15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rPr>
              <w:t>ARTICULO PRIMERO.-</w:t>
            </w:r>
            <w:r w:rsidRPr="0039759F">
              <w:rPr>
                <w:rFonts w:ascii="Arial Narrow" w:hAnsi="Arial Narrow" w:cs="Arial"/>
                <w:b/>
                <w:sz w:val="16"/>
                <w:szCs w:val="12"/>
              </w:rPr>
              <w:t xml:space="preserve">  Negar la licencia ambiental  solicitada por la empresa ECOPETROL, para el proyecto denominado “Área de Perforación Exploratoria Golosa”, localizada en jurisdicción del municipio de Carmen de Chucuri, en el departamento de Santander, de conformidad con las consideraciones expuestas en la parte motiva del presente acto administrativo.  </w:t>
            </w:r>
          </w:p>
        </w:tc>
      </w:tr>
      <w:tr w:rsidR="0039759F" w:rsidRPr="0039759F" w:rsidTr="0039759F">
        <w:trPr>
          <w:trHeight w:val="1693"/>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rPr>
                <w:rFonts w:ascii="Arial Narrow" w:hAnsi="Arial Narrow" w:cs="Arial"/>
                <w:b/>
                <w:sz w:val="16"/>
                <w:szCs w:val="12"/>
                <w:lang w:val="es-CO"/>
              </w:rPr>
            </w:pPr>
            <w:r w:rsidRPr="0039759F">
              <w:rPr>
                <w:rFonts w:ascii="Arial Narrow" w:hAnsi="Arial Narrow" w:cs="Arial"/>
                <w:b/>
                <w:sz w:val="16"/>
                <w:szCs w:val="12"/>
                <w:lang w:val="es-CO"/>
              </w:rPr>
              <w:t>4</w:t>
            </w:r>
          </w:p>
        </w:tc>
        <w:tc>
          <w:tcPr>
            <w:tcW w:w="326" w:type="pct"/>
            <w:vMerge/>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5076</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ÁREA DE PERFORACIÓN EXPLORATORIA RÍO BLANCO</w:t>
            </w:r>
          </w:p>
        </w:tc>
        <w:tc>
          <w:tcPr>
            <w:tcW w:w="611"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GRAN TIERRA ENERGY COLOMBIA LTD</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MUNICIPIO DE VILLAGARZON DEPARTAMENTO DEL PUTUMAYO</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622 DEL 4 DE ABRIL DEL 2011</w:t>
            </w:r>
          </w:p>
        </w:tc>
        <w:tc>
          <w:tcPr>
            <w:tcW w:w="15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rPr>
              <w:t xml:space="preserve">ARTICULO PRIMERO. </w:t>
            </w:r>
            <w:r w:rsidRPr="0039759F">
              <w:rPr>
                <w:rFonts w:ascii="Arial Narrow" w:hAnsi="Arial Narrow" w:cs="Arial"/>
                <w:b/>
                <w:sz w:val="16"/>
                <w:szCs w:val="12"/>
              </w:rPr>
              <w:t xml:space="preserve">Negar la licencia ambiental  solicitada por la empresa GRAN TIERRA ENERGY COLOMBIA LTD., para el proyecto denominado Área de Perforación Exploratoria Río Blanco, localizada en jurisdicción del municipio de Villagarzón en el departamento de Putumayo, de conformidad con las consideraciones expuestas en la parte motiva del presente acto administrativo.  </w:t>
            </w:r>
          </w:p>
        </w:tc>
      </w:tr>
      <w:tr w:rsidR="0039759F" w:rsidRPr="0039759F" w:rsidTr="0039759F">
        <w:trPr>
          <w:trHeight w:val="1980"/>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rPr>
                <w:rFonts w:ascii="Arial Narrow" w:hAnsi="Arial Narrow" w:cs="Arial"/>
                <w:b/>
                <w:sz w:val="16"/>
                <w:szCs w:val="12"/>
                <w:lang w:val="es-CO"/>
              </w:rPr>
            </w:pPr>
            <w:r w:rsidRPr="0039759F">
              <w:rPr>
                <w:rFonts w:ascii="Arial Narrow" w:hAnsi="Arial Narrow" w:cs="Arial"/>
                <w:b/>
                <w:sz w:val="16"/>
                <w:szCs w:val="12"/>
                <w:lang w:val="es-CO"/>
              </w:rPr>
              <w:t>5</w:t>
            </w:r>
          </w:p>
        </w:tc>
        <w:tc>
          <w:tcPr>
            <w:tcW w:w="326" w:type="pct"/>
            <w:vMerge w:val="restart"/>
            <w:tcBorders>
              <w:top w:val="single" w:sz="4" w:space="0" w:color="auto"/>
              <w:left w:val="single" w:sz="4" w:space="0" w:color="auto"/>
              <w:bottom w:val="single" w:sz="4" w:space="0" w:color="auto"/>
              <w:right w:val="single" w:sz="4" w:space="0" w:color="auto"/>
            </w:tcBorders>
            <w:shd w:val="clear" w:color="auto" w:fill="C4D79B"/>
            <w:noWrap/>
            <w:textDirection w:val="tbLrV"/>
            <w:vAlign w:val="bottom"/>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MODIFICACION DE LICENCIA</w:t>
            </w: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3906</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BLOQUE EXPLORATORIO GARIBAY</w:t>
            </w:r>
          </w:p>
        </w:tc>
        <w:tc>
          <w:tcPr>
            <w:tcW w:w="611"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CEPSA COLOMBIA S.A.- CEPCOLSA</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MUNICIPIOS DE MANI Y TAURAMENA EN EL DEPARTAMENTO DE CASANARE.</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236 DEL 19 DE ABRIL DEL 2012</w:t>
            </w:r>
          </w:p>
        </w:tc>
        <w:tc>
          <w:tcPr>
            <w:tcW w:w="15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rPr>
              <w:t>ARTICULO PRIMERO.-</w:t>
            </w:r>
            <w:r w:rsidRPr="0039759F">
              <w:rPr>
                <w:rFonts w:ascii="Arial Narrow" w:hAnsi="Arial Narrow" w:cs="Arial"/>
                <w:b/>
                <w:sz w:val="16"/>
                <w:szCs w:val="12"/>
              </w:rPr>
              <w:t xml:space="preserve">  Negar la modificación de licencia ambiental  solicitada por la empresa CEPSA COLOMBIA S.A.- CEPCOLSA., para el proyecto denominado “Bloque Exploratorio Garibay”, localizado en jurisdicción de los municipios de Tauramena y Maní, departamento de Casanare, cobijado por la Resolución 269 del 19 de febrero de 2008, modificada a su vez  a través de la Resolución 381 del 23 de febrero de 2010, de acuerdo con las consideraciones expuestas en la parte motiva del presente acto administrativo.  </w:t>
            </w:r>
          </w:p>
        </w:tc>
      </w:tr>
      <w:tr w:rsidR="0039759F" w:rsidRPr="0039759F" w:rsidTr="0039759F">
        <w:trPr>
          <w:trHeight w:val="2205"/>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rPr>
                <w:rFonts w:ascii="Arial Narrow" w:hAnsi="Arial Narrow" w:cs="Arial"/>
                <w:b/>
                <w:sz w:val="16"/>
                <w:szCs w:val="12"/>
                <w:lang w:val="es-CO"/>
              </w:rPr>
            </w:pPr>
            <w:r w:rsidRPr="0039759F">
              <w:rPr>
                <w:rFonts w:ascii="Arial Narrow" w:hAnsi="Arial Narrow" w:cs="Arial"/>
                <w:b/>
                <w:sz w:val="16"/>
                <w:szCs w:val="12"/>
                <w:lang w:val="es-CO"/>
              </w:rPr>
              <w:t>6</w:t>
            </w:r>
          </w:p>
        </w:tc>
        <w:tc>
          <w:tcPr>
            <w:tcW w:w="326" w:type="pct"/>
            <w:vMerge/>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4503</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BLOQUE DE PERFORACIÓN EXPLORATORIA QUIFA NOROESTE RESGUARDO INDÍGENA VENCEDOR PIRIRI.</w:t>
            </w:r>
          </w:p>
        </w:tc>
        <w:tc>
          <w:tcPr>
            <w:tcW w:w="611"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META PETROLEUM CORP</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MUNICIPIO DE PUERTO GAITÁN, DEPARTAMENTO DEL META</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428 DEL 4 DE JUNIO DEL 2012</w:t>
            </w:r>
          </w:p>
        </w:tc>
        <w:tc>
          <w:tcPr>
            <w:tcW w:w="1502"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rPr>
              <w:t>ARTICULO PRIMERO.-</w:t>
            </w:r>
            <w:r w:rsidRPr="0039759F">
              <w:rPr>
                <w:rFonts w:ascii="Arial Narrow" w:hAnsi="Arial Narrow" w:cs="Arial"/>
                <w:b/>
                <w:sz w:val="16"/>
                <w:szCs w:val="12"/>
              </w:rPr>
              <w:t xml:space="preserve">  Negar la modificación de licencia ambiental  solicitada por la empresa META PETROLEUM CORP., para el proyecto </w:t>
            </w:r>
            <w:r w:rsidRPr="0039759F">
              <w:rPr>
                <w:rFonts w:ascii="Arial Narrow" w:hAnsi="Arial Narrow" w:cs="Arial"/>
                <w:b/>
                <w:i/>
                <w:iCs/>
                <w:sz w:val="16"/>
                <w:szCs w:val="12"/>
              </w:rPr>
              <w:t>“BLOQUE DE PERFORACIÓN EXPLORATORIA QUIFA NOROESTE, RESGUARDO INDÍGENA VENCEDOR PIRIRI”</w:t>
            </w:r>
            <w:r w:rsidRPr="0039759F">
              <w:rPr>
                <w:rFonts w:ascii="Arial Narrow" w:hAnsi="Arial Narrow" w:cs="Arial"/>
                <w:b/>
                <w:sz w:val="16"/>
                <w:szCs w:val="12"/>
              </w:rPr>
              <w:t xml:space="preserve">, localizado en jurisdicción del Municipio de Puerto Gaitán, Departamento del Meta, cobijado por la Resolución 122 del 25 de enero de 2010, de acuerdo con las consideraciones expuestas en la parte motiva del presente acto administrativo. </w:t>
            </w:r>
          </w:p>
        </w:tc>
      </w:tr>
      <w:tr w:rsidR="0039759F" w:rsidRPr="0039759F" w:rsidTr="0039759F">
        <w:trPr>
          <w:trHeight w:val="1550"/>
        </w:trPr>
        <w:tc>
          <w:tcPr>
            <w:tcW w:w="89" w:type="pct"/>
            <w:tcBorders>
              <w:top w:val="single" w:sz="4" w:space="0" w:color="auto"/>
              <w:left w:val="single" w:sz="4" w:space="0" w:color="auto"/>
              <w:bottom w:val="single" w:sz="4" w:space="0" w:color="auto"/>
              <w:right w:val="single" w:sz="4" w:space="0" w:color="auto"/>
            </w:tcBorders>
            <w:shd w:val="clear" w:color="auto" w:fill="C4D79B"/>
            <w:noWrap/>
            <w:vAlign w:val="bottom"/>
            <w:hideMark/>
          </w:tcPr>
          <w:p w:rsidR="0039759F" w:rsidRPr="0039759F" w:rsidRDefault="0039759F" w:rsidP="0039759F">
            <w:pPr>
              <w:rPr>
                <w:rFonts w:ascii="Arial Narrow" w:hAnsi="Arial Narrow" w:cs="Arial"/>
                <w:b/>
                <w:sz w:val="16"/>
                <w:szCs w:val="12"/>
                <w:lang w:val="es-CO"/>
              </w:rPr>
            </w:pPr>
            <w:r w:rsidRPr="0039759F">
              <w:rPr>
                <w:rFonts w:ascii="Arial Narrow" w:hAnsi="Arial Narrow" w:cs="Arial"/>
                <w:b/>
                <w:sz w:val="16"/>
                <w:szCs w:val="12"/>
                <w:lang w:val="es-CO"/>
              </w:rPr>
              <w:t>7</w:t>
            </w:r>
          </w:p>
        </w:tc>
        <w:tc>
          <w:tcPr>
            <w:tcW w:w="326" w:type="pct"/>
            <w:vMerge/>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bCs/>
                <w:sz w:val="16"/>
                <w:szCs w:val="12"/>
                <w:lang w:val="es-CO"/>
              </w:rPr>
            </w:pPr>
          </w:p>
        </w:tc>
        <w:tc>
          <w:tcPr>
            <w:tcW w:w="376"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2679</w:t>
            </w:r>
          </w:p>
        </w:tc>
        <w:tc>
          <w:tcPr>
            <w:tcW w:w="549"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PERFORACION EXPLORATORIA AREA DE INTERES RIO ZULIA WEST Y ESTABLECIMIENTO DE PLAN DE MANEJO AMBIENTAL PARA LA PERFORACION DE ON POZO EXPLORATO</w:t>
            </w:r>
            <w:r w:rsidRPr="0039759F">
              <w:rPr>
                <w:rFonts w:ascii="Arial Narrow" w:hAnsi="Arial Narrow" w:cs="Arial"/>
                <w:b/>
                <w:sz w:val="16"/>
                <w:szCs w:val="12"/>
                <w:lang w:val="es-CO"/>
              </w:rPr>
              <w:lastRenderedPageBreak/>
              <w:t>RIO EN LA MISMA AREA UBICADA EN EL DEPARTAMENTO DE NORTE DE SANTANDER</w:t>
            </w:r>
          </w:p>
        </w:tc>
        <w:tc>
          <w:tcPr>
            <w:tcW w:w="611" w:type="pct"/>
            <w:tcBorders>
              <w:top w:val="single" w:sz="4" w:space="0" w:color="auto"/>
              <w:left w:val="single" w:sz="4" w:space="0" w:color="auto"/>
              <w:bottom w:val="single" w:sz="4" w:space="0" w:color="auto"/>
              <w:right w:val="single" w:sz="4" w:space="0" w:color="auto"/>
            </w:tcBorders>
            <w:vAlign w:val="bottom"/>
            <w:hideMark/>
          </w:tcPr>
          <w:p w:rsidR="0039759F" w:rsidRPr="0039759F" w:rsidRDefault="0039759F" w:rsidP="0039759F">
            <w:pPr>
              <w:jc w:val="both"/>
              <w:rPr>
                <w:rFonts w:ascii="Arial Narrow" w:hAnsi="Arial Narrow" w:cs="Arial"/>
                <w:b/>
                <w:sz w:val="16"/>
                <w:szCs w:val="12"/>
                <w:lang w:val="en-US"/>
              </w:rPr>
            </w:pPr>
            <w:r w:rsidRPr="0039759F">
              <w:rPr>
                <w:rFonts w:ascii="Arial Narrow" w:hAnsi="Arial Narrow" w:cs="Arial"/>
                <w:b/>
                <w:sz w:val="16"/>
                <w:szCs w:val="12"/>
                <w:lang w:val="en-US"/>
              </w:rPr>
              <w:lastRenderedPageBreak/>
              <w:t>TURKISH PETROLEUM INTERNATIONAL COMPANY LIMITED</w:t>
            </w:r>
          </w:p>
        </w:tc>
        <w:tc>
          <w:tcPr>
            <w:tcW w:w="945"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VEREDA SANTA CRUZ DE MIRAFLORES DEL CORREGIMIENTO BUENA ESPERANZA DEL MUNICIPIO DE CÚCUTA, DEPARTAMENTO DE NORTE DE SANTANDER</w:t>
            </w:r>
          </w:p>
        </w:tc>
        <w:tc>
          <w:tcPr>
            <w:tcW w:w="602" w:type="pct"/>
            <w:tcBorders>
              <w:top w:val="single" w:sz="4" w:space="0" w:color="auto"/>
              <w:left w:val="single" w:sz="4" w:space="0" w:color="auto"/>
              <w:bottom w:val="single" w:sz="4" w:space="0" w:color="auto"/>
              <w:right w:val="single" w:sz="4" w:space="0" w:color="auto"/>
            </w:tcBorders>
            <w:vAlign w:val="center"/>
            <w:hideMark/>
          </w:tcPr>
          <w:p w:rsidR="0039759F" w:rsidRPr="0039759F" w:rsidRDefault="0039759F" w:rsidP="0039759F">
            <w:pPr>
              <w:jc w:val="both"/>
              <w:rPr>
                <w:rFonts w:ascii="Arial Narrow" w:hAnsi="Arial Narrow" w:cs="Arial"/>
                <w:b/>
                <w:sz w:val="16"/>
                <w:szCs w:val="12"/>
                <w:lang w:val="es-CO"/>
              </w:rPr>
            </w:pPr>
            <w:r w:rsidRPr="0039759F">
              <w:rPr>
                <w:rFonts w:ascii="Arial Narrow" w:hAnsi="Arial Narrow" w:cs="Arial"/>
                <w:b/>
                <w:sz w:val="16"/>
                <w:szCs w:val="12"/>
                <w:lang w:val="es-CO"/>
              </w:rPr>
              <w:t>328 DEL 12 DE ABRIL DEL 2013</w:t>
            </w:r>
          </w:p>
        </w:tc>
        <w:tc>
          <w:tcPr>
            <w:tcW w:w="1502" w:type="pct"/>
            <w:tcBorders>
              <w:top w:val="single" w:sz="4" w:space="0" w:color="auto"/>
              <w:left w:val="single" w:sz="4" w:space="0" w:color="auto"/>
              <w:bottom w:val="single" w:sz="4" w:space="0" w:color="auto"/>
              <w:right w:val="single" w:sz="4" w:space="0" w:color="auto"/>
            </w:tcBorders>
            <w:noWrap/>
            <w:vAlign w:val="center"/>
            <w:hideMark/>
          </w:tcPr>
          <w:p w:rsidR="0039759F" w:rsidRPr="0039759F" w:rsidRDefault="0039759F" w:rsidP="0039759F">
            <w:pPr>
              <w:jc w:val="both"/>
              <w:rPr>
                <w:rFonts w:ascii="Arial Narrow" w:hAnsi="Arial Narrow" w:cs="Arial"/>
                <w:b/>
                <w:bCs/>
                <w:sz w:val="16"/>
                <w:szCs w:val="12"/>
                <w:lang w:val="es-CO"/>
              </w:rPr>
            </w:pPr>
            <w:r w:rsidRPr="0039759F">
              <w:rPr>
                <w:rFonts w:ascii="Arial Narrow" w:hAnsi="Arial Narrow" w:cs="Arial"/>
                <w:b/>
                <w:bCs/>
                <w:sz w:val="16"/>
                <w:szCs w:val="12"/>
                <w:lang w:val="es-CO"/>
              </w:rPr>
              <w:t xml:space="preserve">ARTICULO PRIMERO. </w:t>
            </w:r>
            <w:r w:rsidRPr="0039759F">
              <w:rPr>
                <w:rFonts w:ascii="Arial Narrow" w:hAnsi="Arial Narrow" w:cs="Arial"/>
                <w:b/>
                <w:sz w:val="16"/>
                <w:szCs w:val="12"/>
                <w:lang w:val="es-CO"/>
              </w:rPr>
              <w:t>Negar la modificación de la Licencia Ambiental Global solicitada por la empresa TURKISH PETROLEUM INTERNATIONAL COMPANY LIMITED, GENERAL MANAGER COLOMBIAN BRANCH, para el proyecto denominado ÁREA DE INTERÉS DE PERFORACIÓN EXPLORATORIO RÍO ZULIA WEST, localizado en la vereda Santa Cruz de Miraflores del corregimiento Buena Esperanza del municipio de Cúcuta, departamento de Norte de Santander; de</w:t>
            </w:r>
          </w:p>
        </w:tc>
      </w:tr>
    </w:tbl>
    <w:p w:rsidR="0039759F" w:rsidRDefault="0039759F" w:rsidP="004D4502">
      <w:pPr>
        <w:jc w:val="both"/>
        <w:rPr>
          <w:rFonts w:ascii="Arial" w:hAnsi="Arial" w:cs="Arial"/>
          <w:b/>
          <w:sz w:val="22"/>
          <w:lang w:val="es-CO"/>
        </w:rPr>
      </w:pPr>
    </w:p>
    <w:p w:rsidR="00996570" w:rsidRDefault="00996570" w:rsidP="00386FC9">
      <w:pPr>
        <w:jc w:val="both"/>
        <w:rPr>
          <w:rFonts w:ascii="Arial" w:hAnsi="Arial" w:cs="Arial"/>
          <w:sz w:val="22"/>
          <w:lang w:val="es-CO"/>
        </w:rPr>
      </w:pPr>
    </w:p>
    <w:p w:rsidR="008049AC" w:rsidRPr="00386FC9" w:rsidRDefault="008049AC" w:rsidP="00386FC9">
      <w:pPr>
        <w:jc w:val="both"/>
        <w:rPr>
          <w:rFonts w:ascii="Arial" w:hAnsi="Arial" w:cs="Arial"/>
          <w:sz w:val="22"/>
          <w:lang w:val="es-CO"/>
        </w:rPr>
      </w:pPr>
    </w:p>
    <w:p w:rsidR="00386FC9" w:rsidRPr="000D0818" w:rsidRDefault="00386FC9" w:rsidP="00386FC9">
      <w:pPr>
        <w:numPr>
          <w:ilvl w:val="0"/>
          <w:numId w:val="21"/>
        </w:numPr>
        <w:jc w:val="both"/>
        <w:rPr>
          <w:rFonts w:ascii="Arial" w:hAnsi="Arial" w:cs="Arial"/>
          <w:b/>
          <w:i/>
          <w:sz w:val="22"/>
          <w:lang w:val="es-CO"/>
        </w:rPr>
      </w:pPr>
      <w:r w:rsidRPr="000D0818">
        <w:rPr>
          <w:rFonts w:ascii="Arial" w:hAnsi="Arial" w:cs="Arial"/>
          <w:b/>
          <w:i/>
          <w:sz w:val="22"/>
          <w:lang w:val="es-CO"/>
        </w:rPr>
        <w:t>¿Desde el 2011 al 2013 ¿cuánto ha sido el presupuesto neto por cada año  con el que ha desarrollado  sus funciones y cuáles son las fuentes de ingreso?</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Las siguientes tablas contiene</w:t>
      </w:r>
      <w:r w:rsidR="000D0818">
        <w:rPr>
          <w:rFonts w:ascii="Arial" w:hAnsi="Arial" w:cs="Arial"/>
          <w:sz w:val="22"/>
          <w:lang w:val="es-CO"/>
        </w:rPr>
        <w:t>n</w:t>
      </w:r>
      <w:r w:rsidRPr="00386FC9">
        <w:rPr>
          <w:rFonts w:ascii="Arial" w:hAnsi="Arial" w:cs="Arial"/>
          <w:sz w:val="22"/>
          <w:lang w:val="es-CO"/>
        </w:rPr>
        <w:t xml:space="preserve"> la información requerida en la presente pregunta:</w:t>
      </w:r>
    </w:p>
    <w:p w:rsidR="00386FC9" w:rsidRPr="00386FC9" w:rsidRDefault="00386FC9" w:rsidP="00386FC9">
      <w:pPr>
        <w:jc w:val="both"/>
        <w:rPr>
          <w:rFonts w:ascii="Arial" w:hAnsi="Arial" w:cs="Arial"/>
          <w:b/>
          <w:sz w:val="22"/>
          <w:lang w:val="es-CO"/>
        </w:rPr>
      </w:pPr>
    </w:p>
    <w:p w:rsidR="00386FC9" w:rsidRPr="00386FC9" w:rsidRDefault="00386FC9" w:rsidP="00386FC9">
      <w:pPr>
        <w:jc w:val="both"/>
        <w:rPr>
          <w:rFonts w:ascii="Arial" w:hAnsi="Arial" w:cs="Arial"/>
          <w:b/>
          <w:sz w:val="22"/>
          <w:lang w:val="es-CO"/>
        </w:rPr>
      </w:pPr>
      <w:r w:rsidRPr="00386FC9">
        <w:rPr>
          <w:rFonts w:ascii="Arial" w:hAnsi="Arial" w:cs="Arial"/>
          <w:b/>
          <w:sz w:val="22"/>
          <w:lang w:val="es-CO"/>
        </w:rPr>
        <w:t>Presupuesto 2011</w:t>
      </w:r>
    </w:p>
    <w:p w:rsidR="00386FC9" w:rsidRPr="00386FC9" w:rsidRDefault="00386FC9" w:rsidP="00386FC9">
      <w:pPr>
        <w:jc w:val="both"/>
        <w:rPr>
          <w:rFonts w:ascii="Arial" w:hAnsi="Arial" w:cs="Arial"/>
          <w:b/>
          <w:sz w:val="22"/>
          <w:lang w:val="es-CO"/>
        </w:rPr>
      </w:pPr>
    </w:p>
    <w:tbl>
      <w:tblPr>
        <w:tblStyle w:val="Tablaconcuadrcula"/>
        <w:tblW w:w="0" w:type="auto"/>
        <w:tblLook w:val="04A0" w:firstRow="1" w:lastRow="0" w:firstColumn="1" w:lastColumn="0" w:noHBand="0" w:noVBand="1"/>
      </w:tblPr>
      <w:tblGrid>
        <w:gridCol w:w="885"/>
        <w:gridCol w:w="4560"/>
        <w:gridCol w:w="1016"/>
        <w:gridCol w:w="639"/>
        <w:gridCol w:w="616"/>
        <w:gridCol w:w="1621"/>
      </w:tblGrid>
      <w:tr w:rsidR="00386FC9" w:rsidRPr="000D0818" w:rsidTr="00386FC9">
        <w:trPr>
          <w:trHeight w:val="300"/>
        </w:trPr>
        <w:tc>
          <w:tcPr>
            <w:tcW w:w="0" w:type="auto"/>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UEJ</w:t>
            </w:r>
          </w:p>
        </w:tc>
        <w:tc>
          <w:tcPr>
            <w:tcW w:w="0" w:type="auto"/>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NOMBRE UEJ</w:t>
            </w:r>
          </w:p>
        </w:tc>
        <w:tc>
          <w:tcPr>
            <w:tcW w:w="0" w:type="auto"/>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FUENTE</w:t>
            </w:r>
          </w:p>
        </w:tc>
        <w:tc>
          <w:tcPr>
            <w:tcW w:w="0" w:type="auto"/>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REC</w:t>
            </w:r>
          </w:p>
        </w:tc>
        <w:tc>
          <w:tcPr>
            <w:tcW w:w="0" w:type="auto"/>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SIT</w:t>
            </w:r>
          </w:p>
        </w:tc>
        <w:tc>
          <w:tcPr>
            <w:tcW w:w="0" w:type="auto"/>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APR. VIGENTE</w:t>
            </w:r>
          </w:p>
        </w:tc>
      </w:tr>
      <w:tr w:rsidR="00386FC9" w:rsidRPr="000D0818" w:rsidTr="00386FC9">
        <w:trPr>
          <w:trHeight w:val="450"/>
        </w:trPr>
        <w:tc>
          <w:tcPr>
            <w:tcW w:w="0" w:type="auto"/>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0" w:type="auto"/>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0" w:type="auto"/>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0" w:type="auto"/>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10</w:t>
            </w:r>
          </w:p>
        </w:tc>
        <w:tc>
          <w:tcPr>
            <w:tcW w:w="0" w:type="auto"/>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CSF</w:t>
            </w:r>
          </w:p>
        </w:tc>
        <w:tc>
          <w:tcPr>
            <w:tcW w:w="0" w:type="auto"/>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662.236.227,00</w:t>
            </w:r>
          </w:p>
        </w:tc>
      </w:tr>
    </w:tbl>
    <w:p w:rsidR="00386FC9" w:rsidRPr="000D0818" w:rsidRDefault="00386FC9" w:rsidP="00386FC9">
      <w:pPr>
        <w:jc w:val="both"/>
        <w:rPr>
          <w:rFonts w:ascii="Arial" w:hAnsi="Arial" w:cs="Arial"/>
          <w:sz w:val="20"/>
          <w:lang w:val="es-CO"/>
        </w:rPr>
      </w:pP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t>TOTAL $ 662.236.227,00</w:t>
      </w:r>
    </w:p>
    <w:p w:rsidR="00386FC9" w:rsidRPr="00386FC9" w:rsidRDefault="00386FC9" w:rsidP="00386FC9">
      <w:pPr>
        <w:jc w:val="both"/>
        <w:rPr>
          <w:rFonts w:ascii="Arial" w:hAnsi="Arial" w:cs="Arial"/>
          <w:b/>
          <w:sz w:val="22"/>
          <w:lang w:val="es-CO"/>
        </w:rPr>
      </w:pPr>
      <w:r w:rsidRPr="00386FC9">
        <w:rPr>
          <w:rFonts w:ascii="Arial" w:hAnsi="Arial" w:cs="Arial"/>
          <w:b/>
          <w:sz w:val="22"/>
          <w:lang w:val="es-CO"/>
        </w:rPr>
        <w:t>Presupuesto 2012</w:t>
      </w:r>
    </w:p>
    <w:p w:rsidR="00386FC9" w:rsidRPr="00386FC9" w:rsidRDefault="00386FC9" w:rsidP="00386FC9">
      <w:pPr>
        <w:jc w:val="both"/>
        <w:rPr>
          <w:rFonts w:ascii="Arial" w:hAnsi="Arial" w:cs="Arial"/>
          <w:b/>
          <w:sz w:val="22"/>
          <w:lang w:val="es-CO"/>
        </w:rPr>
      </w:pPr>
    </w:p>
    <w:tbl>
      <w:tblPr>
        <w:tblStyle w:val="Tablaconcuadrcula"/>
        <w:tblW w:w="0" w:type="auto"/>
        <w:tblLook w:val="04A0" w:firstRow="1" w:lastRow="0" w:firstColumn="1" w:lastColumn="0" w:noHBand="0" w:noVBand="1"/>
      </w:tblPr>
      <w:tblGrid>
        <w:gridCol w:w="1357"/>
        <w:gridCol w:w="2744"/>
        <w:gridCol w:w="1255"/>
        <w:gridCol w:w="820"/>
        <w:gridCol w:w="967"/>
        <w:gridCol w:w="1911"/>
      </w:tblGrid>
      <w:tr w:rsidR="00386FC9" w:rsidRPr="000D0818" w:rsidTr="00386FC9">
        <w:trPr>
          <w:trHeight w:val="300"/>
        </w:trPr>
        <w:tc>
          <w:tcPr>
            <w:tcW w:w="1357"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UEJ</w:t>
            </w:r>
          </w:p>
        </w:tc>
        <w:tc>
          <w:tcPr>
            <w:tcW w:w="2744"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NOMBRE UEJ</w:t>
            </w:r>
          </w:p>
        </w:tc>
        <w:tc>
          <w:tcPr>
            <w:tcW w:w="1255"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FUENTE</w:t>
            </w:r>
          </w:p>
        </w:tc>
        <w:tc>
          <w:tcPr>
            <w:tcW w:w="820"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REC</w:t>
            </w:r>
          </w:p>
        </w:tc>
        <w:tc>
          <w:tcPr>
            <w:tcW w:w="967"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SIT</w:t>
            </w:r>
          </w:p>
        </w:tc>
        <w:tc>
          <w:tcPr>
            <w:tcW w:w="1911"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APR. VIGENTE</w:t>
            </w:r>
          </w:p>
        </w:tc>
      </w:tr>
      <w:tr w:rsidR="00386FC9" w:rsidRPr="000D0818" w:rsidTr="00386FC9">
        <w:trPr>
          <w:trHeight w:val="450"/>
        </w:trPr>
        <w:tc>
          <w:tcPr>
            <w:tcW w:w="135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2744"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1255"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820"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10</w:t>
            </w:r>
          </w:p>
        </w:tc>
        <w:tc>
          <w:tcPr>
            <w:tcW w:w="96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CSF</w:t>
            </w:r>
          </w:p>
        </w:tc>
        <w:tc>
          <w:tcPr>
            <w:tcW w:w="1911"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$ 6.616.074.227,00</w:t>
            </w:r>
          </w:p>
        </w:tc>
      </w:tr>
      <w:tr w:rsidR="00386FC9" w:rsidRPr="000D0818" w:rsidTr="00386FC9">
        <w:trPr>
          <w:trHeight w:val="450"/>
        </w:trPr>
        <w:tc>
          <w:tcPr>
            <w:tcW w:w="135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2744"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1255"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820"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11</w:t>
            </w:r>
          </w:p>
        </w:tc>
        <w:tc>
          <w:tcPr>
            <w:tcW w:w="96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SSF</w:t>
            </w:r>
          </w:p>
        </w:tc>
        <w:tc>
          <w:tcPr>
            <w:tcW w:w="1911"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$ 7.388.000.000,00</w:t>
            </w:r>
          </w:p>
        </w:tc>
      </w:tr>
      <w:tr w:rsidR="00386FC9" w:rsidRPr="000D0818" w:rsidTr="00386FC9">
        <w:trPr>
          <w:trHeight w:val="450"/>
        </w:trPr>
        <w:tc>
          <w:tcPr>
            <w:tcW w:w="135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2744"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1255"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820"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11</w:t>
            </w:r>
          </w:p>
        </w:tc>
        <w:tc>
          <w:tcPr>
            <w:tcW w:w="96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CSF</w:t>
            </w:r>
          </w:p>
        </w:tc>
        <w:tc>
          <w:tcPr>
            <w:tcW w:w="1911"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$ 1.570.488.900,00</w:t>
            </w:r>
          </w:p>
        </w:tc>
      </w:tr>
    </w:tbl>
    <w:p w:rsidR="00386FC9" w:rsidRPr="000D0818" w:rsidRDefault="00386FC9" w:rsidP="00386FC9">
      <w:pPr>
        <w:jc w:val="both"/>
        <w:rPr>
          <w:rFonts w:ascii="Arial" w:hAnsi="Arial" w:cs="Arial"/>
          <w:sz w:val="20"/>
          <w:lang w:val="es-CO"/>
        </w:rPr>
      </w:pP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t>TOTAL $ 5.574.563.127,00</w:t>
      </w:r>
    </w:p>
    <w:p w:rsidR="00386FC9" w:rsidRPr="00386FC9" w:rsidRDefault="00386FC9" w:rsidP="00386FC9">
      <w:pPr>
        <w:jc w:val="both"/>
        <w:rPr>
          <w:rFonts w:ascii="Arial" w:hAnsi="Arial" w:cs="Arial"/>
          <w:b/>
          <w:sz w:val="22"/>
          <w:lang w:val="es-CO"/>
        </w:rPr>
      </w:pPr>
      <w:r w:rsidRPr="00386FC9">
        <w:rPr>
          <w:rFonts w:ascii="Arial" w:hAnsi="Arial" w:cs="Arial"/>
          <w:b/>
          <w:sz w:val="22"/>
          <w:lang w:val="es-CO"/>
        </w:rPr>
        <w:t>Presupuesto 2013</w:t>
      </w:r>
    </w:p>
    <w:p w:rsidR="00386FC9" w:rsidRPr="00386FC9" w:rsidRDefault="00386FC9" w:rsidP="00386FC9">
      <w:pPr>
        <w:jc w:val="both"/>
        <w:rPr>
          <w:rFonts w:ascii="Arial" w:hAnsi="Arial" w:cs="Arial"/>
          <w:b/>
          <w:sz w:val="22"/>
          <w:lang w:val="es-CO"/>
        </w:rPr>
      </w:pPr>
    </w:p>
    <w:tbl>
      <w:tblPr>
        <w:tblStyle w:val="Tablaconcuadrcula"/>
        <w:tblW w:w="0" w:type="auto"/>
        <w:tblLook w:val="04A0" w:firstRow="1" w:lastRow="0" w:firstColumn="1" w:lastColumn="0" w:noHBand="0" w:noVBand="1"/>
      </w:tblPr>
      <w:tblGrid>
        <w:gridCol w:w="1357"/>
        <w:gridCol w:w="2744"/>
        <w:gridCol w:w="1255"/>
        <w:gridCol w:w="820"/>
        <w:gridCol w:w="967"/>
        <w:gridCol w:w="1911"/>
      </w:tblGrid>
      <w:tr w:rsidR="00386FC9" w:rsidRPr="000D0818" w:rsidTr="00386FC9">
        <w:trPr>
          <w:trHeight w:val="300"/>
        </w:trPr>
        <w:tc>
          <w:tcPr>
            <w:tcW w:w="1357"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UEJ</w:t>
            </w:r>
          </w:p>
        </w:tc>
        <w:tc>
          <w:tcPr>
            <w:tcW w:w="2744"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NOMBRE UEJ</w:t>
            </w:r>
          </w:p>
        </w:tc>
        <w:tc>
          <w:tcPr>
            <w:tcW w:w="1255"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FUENTE</w:t>
            </w:r>
          </w:p>
        </w:tc>
        <w:tc>
          <w:tcPr>
            <w:tcW w:w="820"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REC</w:t>
            </w:r>
          </w:p>
        </w:tc>
        <w:tc>
          <w:tcPr>
            <w:tcW w:w="967"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SIT</w:t>
            </w:r>
          </w:p>
        </w:tc>
        <w:tc>
          <w:tcPr>
            <w:tcW w:w="1911" w:type="dxa"/>
            <w:vAlign w:val="center"/>
            <w:hideMark/>
          </w:tcPr>
          <w:p w:rsidR="00386FC9" w:rsidRPr="000D0818" w:rsidRDefault="00386FC9" w:rsidP="00386FC9">
            <w:pPr>
              <w:jc w:val="both"/>
              <w:rPr>
                <w:rFonts w:ascii="Arial" w:hAnsi="Arial" w:cs="Arial"/>
                <w:b/>
                <w:bCs/>
                <w:sz w:val="20"/>
                <w:lang w:val="es-CO"/>
              </w:rPr>
            </w:pPr>
            <w:r w:rsidRPr="000D0818">
              <w:rPr>
                <w:rFonts w:ascii="Arial" w:hAnsi="Arial" w:cs="Arial"/>
                <w:b/>
                <w:bCs/>
                <w:sz w:val="20"/>
                <w:lang w:val="es-CO"/>
              </w:rPr>
              <w:t>APR. VIGENTE</w:t>
            </w:r>
          </w:p>
        </w:tc>
      </w:tr>
      <w:tr w:rsidR="00386FC9" w:rsidRPr="000D0818" w:rsidTr="00386FC9">
        <w:trPr>
          <w:trHeight w:val="450"/>
        </w:trPr>
        <w:tc>
          <w:tcPr>
            <w:tcW w:w="135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2744"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1255"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820"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10</w:t>
            </w:r>
          </w:p>
        </w:tc>
        <w:tc>
          <w:tcPr>
            <w:tcW w:w="96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CSF</w:t>
            </w:r>
          </w:p>
        </w:tc>
        <w:tc>
          <w:tcPr>
            <w:tcW w:w="1911"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$ 5.000.000.000,00</w:t>
            </w:r>
          </w:p>
        </w:tc>
      </w:tr>
      <w:tr w:rsidR="00386FC9" w:rsidRPr="000D0818" w:rsidTr="00386FC9">
        <w:trPr>
          <w:trHeight w:val="450"/>
        </w:trPr>
        <w:tc>
          <w:tcPr>
            <w:tcW w:w="135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2744"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1255"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820"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11</w:t>
            </w:r>
          </w:p>
        </w:tc>
        <w:tc>
          <w:tcPr>
            <w:tcW w:w="96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SSF</w:t>
            </w:r>
          </w:p>
        </w:tc>
        <w:tc>
          <w:tcPr>
            <w:tcW w:w="1911"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$ 19.735.290.000,00</w:t>
            </w:r>
          </w:p>
        </w:tc>
      </w:tr>
      <w:tr w:rsidR="00386FC9" w:rsidRPr="000D0818" w:rsidTr="00386FC9">
        <w:trPr>
          <w:trHeight w:val="450"/>
        </w:trPr>
        <w:tc>
          <w:tcPr>
            <w:tcW w:w="135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32-01-04</w:t>
            </w:r>
          </w:p>
        </w:tc>
        <w:tc>
          <w:tcPr>
            <w:tcW w:w="2744"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AUTORIDAD NACIONAL DE LICENCIAS AMBIENTALES ANLA</w:t>
            </w:r>
          </w:p>
        </w:tc>
        <w:tc>
          <w:tcPr>
            <w:tcW w:w="1255"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Nación</w:t>
            </w:r>
          </w:p>
        </w:tc>
        <w:tc>
          <w:tcPr>
            <w:tcW w:w="820"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11</w:t>
            </w:r>
          </w:p>
        </w:tc>
        <w:tc>
          <w:tcPr>
            <w:tcW w:w="967"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CSF</w:t>
            </w:r>
          </w:p>
        </w:tc>
        <w:tc>
          <w:tcPr>
            <w:tcW w:w="1911" w:type="dxa"/>
            <w:vAlign w:val="center"/>
            <w:hideMark/>
          </w:tcPr>
          <w:p w:rsidR="00386FC9" w:rsidRPr="000D0818" w:rsidRDefault="00386FC9" w:rsidP="00386FC9">
            <w:pPr>
              <w:jc w:val="both"/>
              <w:rPr>
                <w:rFonts w:ascii="Arial" w:hAnsi="Arial" w:cs="Arial"/>
                <w:sz w:val="20"/>
                <w:lang w:val="es-CO"/>
              </w:rPr>
            </w:pPr>
            <w:r w:rsidRPr="000D0818">
              <w:rPr>
                <w:rFonts w:ascii="Arial" w:hAnsi="Arial" w:cs="Arial"/>
                <w:sz w:val="20"/>
                <w:lang w:val="es-CO"/>
              </w:rPr>
              <w:t>$ 5.500.000.000,00</w:t>
            </w:r>
          </w:p>
        </w:tc>
      </w:tr>
    </w:tbl>
    <w:p w:rsidR="00386FC9" w:rsidRPr="000D0818" w:rsidRDefault="00386FC9" w:rsidP="00386FC9">
      <w:pPr>
        <w:jc w:val="both"/>
        <w:rPr>
          <w:rFonts w:ascii="Arial" w:hAnsi="Arial" w:cs="Arial"/>
          <w:sz w:val="20"/>
          <w:lang w:val="es-CO"/>
        </w:rPr>
      </w:pP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r>
      <w:r w:rsidRPr="000D0818">
        <w:rPr>
          <w:rFonts w:ascii="Arial" w:hAnsi="Arial" w:cs="Arial"/>
          <w:sz w:val="20"/>
          <w:lang w:val="es-CO"/>
        </w:rPr>
        <w:tab/>
        <w:t>TOTAL $ 30.235.290.000,00</w:t>
      </w:r>
    </w:p>
    <w:p w:rsidR="00386FC9" w:rsidRPr="00386FC9" w:rsidRDefault="00386FC9" w:rsidP="00386FC9">
      <w:pPr>
        <w:jc w:val="both"/>
        <w:rPr>
          <w:rFonts w:ascii="Arial" w:hAnsi="Arial" w:cs="Arial"/>
          <w:sz w:val="22"/>
          <w:lang w:val="es-CO"/>
        </w:rPr>
      </w:pPr>
    </w:p>
    <w:p w:rsidR="00386FC9" w:rsidRPr="000D0818" w:rsidRDefault="00386FC9" w:rsidP="00386FC9">
      <w:pPr>
        <w:numPr>
          <w:ilvl w:val="0"/>
          <w:numId w:val="21"/>
        </w:numPr>
        <w:jc w:val="both"/>
        <w:rPr>
          <w:rFonts w:ascii="Arial" w:hAnsi="Arial" w:cs="Arial"/>
          <w:b/>
          <w:i/>
          <w:sz w:val="22"/>
          <w:lang w:val="es-CO"/>
        </w:rPr>
      </w:pPr>
      <w:r w:rsidRPr="000D0818">
        <w:rPr>
          <w:rFonts w:ascii="Arial" w:hAnsi="Arial" w:cs="Arial"/>
          <w:b/>
          <w:i/>
          <w:sz w:val="22"/>
          <w:lang w:val="es-CO"/>
        </w:rPr>
        <w:lastRenderedPageBreak/>
        <w:t>¿Considera que el recurso destinado para sus funciones es óptimo y/o suficientes para desarrollar a plenitud sus funciones? De ser así ¿Qué adiciones  requiere para su adecuado funcionamiento?</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D63537">
        <w:rPr>
          <w:rFonts w:ascii="Arial" w:hAnsi="Arial" w:cs="Arial"/>
          <w:sz w:val="22"/>
          <w:lang w:val="es-CO"/>
        </w:rPr>
        <w:t>Los recursos que presenta la ANLA para el desarrollo de sus funciones han sido suficientes y hasta la fecha no se ve la necesidad de una adición en su presupuesto.</w:t>
      </w:r>
    </w:p>
    <w:p w:rsidR="00386FC9" w:rsidRPr="00386FC9" w:rsidRDefault="00386FC9" w:rsidP="00386FC9">
      <w:pPr>
        <w:jc w:val="both"/>
        <w:rPr>
          <w:rFonts w:ascii="Arial" w:hAnsi="Arial" w:cs="Arial"/>
          <w:sz w:val="22"/>
          <w:lang w:val="es-CO"/>
        </w:rPr>
      </w:pPr>
    </w:p>
    <w:p w:rsidR="00386FC9" w:rsidRPr="000D0818" w:rsidRDefault="00386FC9" w:rsidP="00386FC9">
      <w:pPr>
        <w:numPr>
          <w:ilvl w:val="0"/>
          <w:numId w:val="21"/>
        </w:numPr>
        <w:jc w:val="both"/>
        <w:rPr>
          <w:rFonts w:ascii="Arial" w:hAnsi="Arial" w:cs="Arial"/>
          <w:b/>
          <w:i/>
          <w:sz w:val="22"/>
          <w:lang w:val="es-CO"/>
        </w:rPr>
      </w:pPr>
      <w:r w:rsidRPr="000D0818">
        <w:rPr>
          <w:rFonts w:ascii="Arial" w:hAnsi="Arial" w:cs="Arial"/>
          <w:b/>
          <w:i/>
          <w:sz w:val="22"/>
          <w:lang w:val="es-CO"/>
        </w:rPr>
        <w:t>¿A qué se debe el incumplimiento de las actividades de seguimiento y control ambiental a los proyectos minero-energéticos que corresponden a la ANLA, que se evidencia en el seguimiento y control que ha debido ejercer la comunidad civil por vías de hecho y de derecho?</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Sobre el particular es preciso informar que la ANLA en ejercicio de sus funciones de seguimiento y control ambiental a Licencias Ambientales o a Planes de Manejo Ambiental, en materia de actividades mineras, ejecuta diligentemente las correspondientes actividades y visitas de seguimiento de conformidad con las fechas establecidas en los cronogramas fijados por cada grupo de trabajo.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Ahora bien, en lo que tiene que ver con el control ambiental que ha tenido que ejercer la comunidad por vías de hecho o de derecho, es importante manifestar que la comunidad tiene garantizados sus derechos fundamentales y colectivos dentro del procedimiento de Licenciamiento Ambiental ante las Autoridades competentes, e incluso posterior al otorgamiento de la Licencia Ambiental o del establecimiento del Plan de Manejo Ambiental según sea el caso, pues es claro que de conformidad con lo establecido en el Título X de la Ley 99 de 1993, en los Artículos 69 y siguientes se consagran los posibles mecanismos de participación de la comunidad en las decisiones ambientales que puedan afectar sus derechos.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Así las cosas, es claro que la comunidad mediante tales mecanismos puede presentar peticiones respetuosas a las autoridades, hacerse parte y ser reconocido como tal en el proceso de Licenciamiento Ambiental a fin de que le sean notificados todos los actos administrativos mediante los cuales la administración adopte decisiones, interponer de esta manera recursos de reposición en vía gubernativa, participar activamente en las audiencias públicas ambientales reglamentadas mediante el Decreto 330 de 2007.</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De igual manera, están garantizados incluso derechos de las comunidades indígenas y negras mediante el mecanismo de consulta previa reglamentado en el Decreto 1320 de 1998.</w:t>
      </w:r>
    </w:p>
    <w:p w:rsidR="00386FC9" w:rsidRPr="00386FC9" w:rsidRDefault="00386FC9" w:rsidP="00386FC9">
      <w:pPr>
        <w:jc w:val="both"/>
        <w:rPr>
          <w:rFonts w:ascii="Arial" w:hAnsi="Arial" w:cs="Arial"/>
          <w:sz w:val="22"/>
          <w:lang w:val="es-CO"/>
        </w:rPr>
      </w:pPr>
    </w:p>
    <w:p w:rsidR="00386FC9" w:rsidRPr="000D0818" w:rsidRDefault="00386FC9" w:rsidP="00386FC9">
      <w:pPr>
        <w:numPr>
          <w:ilvl w:val="0"/>
          <w:numId w:val="21"/>
        </w:numPr>
        <w:jc w:val="both"/>
        <w:rPr>
          <w:rFonts w:ascii="Arial" w:hAnsi="Arial" w:cs="Arial"/>
          <w:b/>
          <w:i/>
          <w:sz w:val="22"/>
          <w:lang w:val="es-CO"/>
        </w:rPr>
      </w:pPr>
      <w:r w:rsidRPr="000D0818">
        <w:rPr>
          <w:rFonts w:ascii="Arial" w:hAnsi="Arial" w:cs="Arial"/>
          <w:b/>
          <w:i/>
          <w:sz w:val="22"/>
          <w:lang w:val="es-CO"/>
        </w:rPr>
        <w:t>Teniendo en cuenta el desplazamiento, cambio de vocación, contaminación ambiental, inflación, problema de orden público, ruptura del tejido social y demás  fenómenos que puede acarrear la explotación de hidrocarburos, ¿ Cuál es el mecanismo de verificación ejercido por el ANLA para garantizar que las jornadas de socialización dirigidas a las comunidades afectadas, cumplan realmente el objetivo de informar por completo las consecuencias  de la intervención a realizar en los territorios, aparte de los informes soportados que deben entregar las empresas de hidrocarburos?</w:t>
      </w:r>
    </w:p>
    <w:p w:rsidR="00386FC9" w:rsidRPr="00386FC9" w:rsidRDefault="00386FC9" w:rsidP="00386FC9">
      <w:pPr>
        <w:jc w:val="both"/>
        <w:rPr>
          <w:rFonts w:ascii="Arial" w:hAnsi="Arial" w:cs="Arial"/>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t xml:space="preserve">El procedimiento que adelanta esta Autoridad dentro del proceso de evaluación de un proyecto de explotación o exploración de hidrocarburos, con el fin de garantizar que las jornadas de socialización dirigidas a las comunidades afectadas cumplan con su objetivo, incluye la revisión documental del Estudio de Impacto Ambiental y los soportes presentados por el usuario que den cuenta de la aplicación de los lineamientos de participación social en el marco de lo establecido en el Decreto 2820 de 2010  </w:t>
      </w:r>
      <w:r w:rsidRPr="00996570">
        <w:rPr>
          <w:rFonts w:ascii="Arial" w:hAnsi="Arial" w:cs="Arial"/>
          <w:i/>
          <w:sz w:val="22"/>
          <w:lang w:val="es-CO"/>
        </w:rPr>
        <w:t xml:space="preserve">“Por el cual se reglamenta el Titulo VIII de la Ley 99 de 1993 sobre licencias ambientales" </w:t>
      </w:r>
      <w:r w:rsidRPr="00996570">
        <w:rPr>
          <w:rFonts w:ascii="Arial" w:hAnsi="Arial" w:cs="Arial"/>
          <w:sz w:val="22"/>
          <w:lang w:val="es-CO"/>
        </w:rPr>
        <w:t>y  los Términos de Referencia HI-TER-1-03 del 2010, emitidos por el entonces Ministerio de Ambiente y Desarrollo Territorial. Adicionalmente, se realiza la verificación de esta información mediante visita de evaluación por parte de un equipo de profesionales interdisciplinario de la ANLA al área de influencia (AI) del proyecto, durante la cual se sostienen reuniones con las comunidades y autoridades locales del AI del proyecto, con el fin de determinar si las comunidades conocen el alcance del proyecto, sus implicaciones ambientales y las medidas de manejo presentadas en el Estudio de Impacto Ambiental.</w:t>
      </w:r>
    </w:p>
    <w:p w:rsidR="00996570" w:rsidRPr="00996570" w:rsidRDefault="00996570" w:rsidP="00996570">
      <w:pPr>
        <w:jc w:val="both"/>
        <w:rPr>
          <w:rFonts w:ascii="Arial" w:hAnsi="Arial" w:cs="Arial"/>
          <w:b/>
          <w:sz w:val="22"/>
          <w:lang w:val="es-CO"/>
        </w:rPr>
      </w:pPr>
    </w:p>
    <w:p w:rsidR="00996570" w:rsidRPr="005D3023" w:rsidRDefault="00996570" w:rsidP="005D3023">
      <w:pPr>
        <w:pStyle w:val="Prrafodelista"/>
        <w:numPr>
          <w:ilvl w:val="0"/>
          <w:numId w:val="21"/>
        </w:numPr>
        <w:jc w:val="both"/>
        <w:rPr>
          <w:rFonts w:ascii="Arial" w:hAnsi="Arial" w:cs="Arial"/>
          <w:b/>
          <w:i/>
          <w:sz w:val="22"/>
          <w:lang w:val="es-CO"/>
        </w:rPr>
      </w:pPr>
      <w:bookmarkStart w:id="18" w:name="138"/>
      <w:bookmarkEnd w:id="18"/>
      <w:r w:rsidRPr="005D3023">
        <w:rPr>
          <w:rFonts w:ascii="Arial" w:hAnsi="Arial" w:cs="Arial"/>
          <w:b/>
          <w:i/>
          <w:sz w:val="22"/>
          <w:lang w:val="es-CO"/>
        </w:rPr>
        <w:t>Teniendo en cuenta que la contraloría general de la nación evidencia ineficiencia por parte de la ANLA para ejercer seguimiento a proyectos activos, incluso sin licencia ambiental como los casos denunciados el día primero (1) de abril de 2013 en la revista Semana ¿Por qué consideran ustedes pertinente otorgar o no la modificación y ampliación de licencia ambiental para el proyecto MNorte con zona de influencia en Sugamuxi Boyacá; aun cuando la Procuraduría también emitió su concepto al respecto?</w:t>
      </w:r>
    </w:p>
    <w:p w:rsidR="00996570" w:rsidRPr="00996570" w:rsidRDefault="00996570" w:rsidP="00996570">
      <w:pPr>
        <w:jc w:val="both"/>
        <w:rPr>
          <w:rFonts w:ascii="Arial" w:hAnsi="Arial" w:cs="Arial"/>
          <w:b/>
          <w:sz w:val="22"/>
          <w:lang w:val="es-CO"/>
        </w:rPr>
      </w:pPr>
    </w:p>
    <w:p w:rsidR="00996570" w:rsidRDefault="00996570" w:rsidP="00996570">
      <w:pPr>
        <w:jc w:val="both"/>
        <w:rPr>
          <w:rFonts w:ascii="Arial" w:hAnsi="Arial" w:cs="Arial"/>
          <w:sz w:val="22"/>
          <w:lang w:val="es-CO"/>
        </w:rPr>
      </w:pPr>
      <w:r w:rsidRPr="00996570">
        <w:rPr>
          <w:rFonts w:ascii="Arial" w:hAnsi="Arial" w:cs="Arial"/>
          <w:sz w:val="22"/>
          <w:lang w:val="es-CO"/>
        </w:rPr>
        <w:t xml:space="preserve">Respecto </w:t>
      </w:r>
      <w:r w:rsidR="001D66A9">
        <w:rPr>
          <w:rFonts w:ascii="Arial" w:hAnsi="Arial" w:cs="Arial"/>
          <w:sz w:val="22"/>
          <w:lang w:val="es-CO"/>
        </w:rPr>
        <w:t>a la</w:t>
      </w:r>
      <w:r w:rsidRPr="00996570">
        <w:rPr>
          <w:rFonts w:ascii="Arial" w:hAnsi="Arial" w:cs="Arial"/>
          <w:sz w:val="22"/>
          <w:lang w:val="es-CO"/>
        </w:rPr>
        <w:t xml:space="preserve"> pregunta sobre otorgar o modificar la licencia ambiental para el proyecto MNorte con zona de influencia en Sugamuxi Boyacá, es necesario recordar que no es nuestra competencia la exploración sísmica en comento, sin embargo para el proceso de evaluación para la modificación de la licencia ambiental del proyecto de exploración de hidrocarburos Muisca, se tiene lo siguiente:</w:t>
      </w:r>
    </w:p>
    <w:p w:rsidR="00996570" w:rsidRPr="00996570" w:rsidRDefault="00996570" w:rsidP="00996570">
      <w:pPr>
        <w:jc w:val="both"/>
        <w:rPr>
          <w:rFonts w:ascii="Arial" w:hAnsi="Arial" w:cs="Arial"/>
          <w:sz w:val="22"/>
          <w:lang w:val="es-CO"/>
        </w:rPr>
      </w:pPr>
    </w:p>
    <w:p w:rsidR="00996570" w:rsidRDefault="00996570" w:rsidP="00996570">
      <w:pPr>
        <w:jc w:val="both"/>
        <w:rPr>
          <w:rFonts w:ascii="Arial" w:hAnsi="Arial" w:cs="Arial"/>
          <w:sz w:val="22"/>
          <w:lang w:val="es-CO"/>
        </w:rPr>
      </w:pPr>
      <w:r w:rsidRPr="00996570">
        <w:rPr>
          <w:rFonts w:ascii="Arial" w:hAnsi="Arial" w:cs="Arial"/>
          <w:sz w:val="22"/>
          <w:lang w:val="es-CO"/>
        </w:rPr>
        <w:t xml:space="preserve">Después de realizar el proceso de evaluación a la solicitud presentada por parte de la Empresa para modificar la Licencia Ambiental otorgada en el 2009, la ANLA emitió los Autos  2037 del 12 de junio de 2012 y 369 del 12 de </w:t>
      </w:r>
      <w:r w:rsidR="005D3023">
        <w:rPr>
          <w:rFonts w:ascii="Arial" w:hAnsi="Arial" w:cs="Arial"/>
          <w:sz w:val="22"/>
          <w:lang w:val="es-CO"/>
        </w:rPr>
        <w:t>f</w:t>
      </w:r>
      <w:r w:rsidRPr="00996570">
        <w:rPr>
          <w:rFonts w:ascii="Arial" w:hAnsi="Arial" w:cs="Arial"/>
          <w:sz w:val="22"/>
          <w:lang w:val="es-CO"/>
        </w:rPr>
        <w:t>ebrero de 2013, mediante los cuales solicitó información adicional al EIA allegado, ya que lo presentado a través del mismo no es suficiente para pronunciarse sobre la viabilidad a dicha modificación.</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t xml:space="preserve">Teniendo en cuenta lo conceptuado en dichos Autos, la Empresa mediante radicado </w:t>
      </w:r>
      <w:r w:rsidRPr="00996570">
        <w:rPr>
          <w:rFonts w:ascii="Arial" w:hAnsi="Arial" w:cs="Arial"/>
          <w:bCs/>
          <w:sz w:val="22"/>
        </w:rPr>
        <w:t xml:space="preserve">4120-E1-3289 del 24 de </w:t>
      </w:r>
      <w:r w:rsidR="005D3023">
        <w:rPr>
          <w:rFonts w:ascii="Arial" w:hAnsi="Arial" w:cs="Arial"/>
          <w:bCs/>
          <w:sz w:val="22"/>
        </w:rPr>
        <w:t>e</w:t>
      </w:r>
      <w:r w:rsidRPr="00996570">
        <w:rPr>
          <w:rFonts w:ascii="Arial" w:hAnsi="Arial" w:cs="Arial"/>
          <w:bCs/>
          <w:sz w:val="22"/>
        </w:rPr>
        <w:t xml:space="preserve">nero de 2013, </w:t>
      </w:r>
      <w:r w:rsidRPr="00996570">
        <w:rPr>
          <w:rFonts w:ascii="Arial" w:hAnsi="Arial" w:cs="Arial"/>
          <w:sz w:val="22"/>
          <w:lang w:val="es-ES_tradnl"/>
        </w:rPr>
        <w:t xml:space="preserve">solicitó a esta Autoridad, </w:t>
      </w:r>
      <w:r w:rsidRPr="00996570">
        <w:rPr>
          <w:rFonts w:ascii="Arial" w:hAnsi="Arial" w:cs="Arial"/>
          <w:i/>
          <w:sz w:val="22"/>
          <w:lang w:val="es-ES_tradnl"/>
        </w:rPr>
        <w:t xml:space="preserve">“reducción del área del APE requerida inicialmente para la modificación de Licencia ambiental”, </w:t>
      </w:r>
      <w:r w:rsidRPr="00996570">
        <w:rPr>
          <w:rFonts w:ascii="Arial" w:hAnsi="Arial" w:cs="Arial"/>
          <w:sz w:val="22"/>
          <w:lang w:val="es-ES_tradnl"/>
        </w:rPr>
        <w:t xml:space="preserve">al respecto la ANLA requirió a la Empresa </w:t>
      </w:r>
      <w:r w:rsidRPr="00996570">
        <w:rPr>
          <w:rFonts w:ascii="Arial" w:hAnsi="Arial" w:cs="Arial"/>
          <w:sz w:val="22"/>
          <w:lang w:val="es-CO"/>
        </w:rPr>
        <w:t xml:space="preserve">presentar un nuevo Estudio de Impacto Ambiental acorde con el alcance y las características del área del polígono a reducir, solicitada en la comunicación de la referencia, además de lo establecido en los Autos 2037 del 12 de junio de 2012 y 369 del 12 de </w:t>
      </w:r>
      <w:r w:rsidR="005D3023">
        <w:rPr>
          <w:rFonts w:ascii="Arial" w:hAnsi="Arial" w:cs="Arial"/>
          <w:sz w:val="22"/>
          <w:lang w:val="es-CO"/>
        </w:rPr>
        <w:t>f</w:t>
      </w:r>
      <w:r w:rsidRPr="00996570">
        <w:rPr>
          <w:rFonts w:ascii="Arial" w:hAnsi="Arial" w:cs="Arial"/>
          <w:sz w:val="22"/>
          <w:lang w:val="es-CO"/>
        </w:rPr>
        <w:t>ebrero de 2013, con el fin de iniciar un nuevo proceso de evaluación y contar con la información suficiente para otorgar o no viabilidad a la modificación del proyecto.</w:t>
      </w:r>
    </w:p>
    <w:p w:rsidR="00386FC9" w:rsidRPr="00386FC9" w:rsidRDefault="00386FC9" w:rsidP="00386FC9">
      <w:pPr>
        <w:jc w:val="both"/>
        <w:rPr>
          <w:rFonts w:ascii="Arial" w:hAnsi="Arial" w:cs="Arial"/>
          <w:sz w:val="22"/>
          <w:lang w:val="es-CO"/>
        </w:rPr>
      </w:pPr>
    </w:p>
    <w:p w:rsidR="00386FC9" w:rsidRPr="005D3023" w:rsidRDefault="00386FC9" w:rsidP="005D3023">
      <w:pPr>
        <w:pStyle w:val="Prrafodelista"/>
        <w:numPr>
          <w:ilvl w:val="0"/>
          <w:numId w:val="26"/>
        </w:numPr>
        <w:jc w:val="both"/>
        <w:rPr>
          <w:rFonts w:ascii="Arial" w:hAnsi="Arial" w:cs="Arial"/>
          <w:b/>
          <w:i/>
          <w:sz w:val="22"/>
          <w:lang w:val="es-CO"/>
        </w:rPr>
      </w:pPr>
      <w:r w:rsidRPr="005D3023">
        <w:rPr>
          <w:rFonts w:ascii="Arial" w:hAnsi="Arial" w:cs="Arial"/>
          <w:b/>
          <w:i/>
          <w:sz w:val="22"/>
          <w:lang w:val="es-CO"/>
        </w:rPr>
        <w:t xml:space="preserve">Respecto del proyecto trasvase Manso-Amaní ubicado entre el municipio de Norcacia y Samaná en el departamento de Caldas, ¿cuál es la situación derivada de </w:t>
      </w:r>
      <w:r w:rsidRPr="005D3023">
        <w:rPr>
          <w:rFonts w:ascii="Arial" w:hAnsi="Arial" w:cs="Arial"/>
          <w:b/>
          <w:i/>
          <w:sz w:val="22"/>
          <w:lang w:val="es-CO"/>
        </w:rPr>
        <w:lastRenderedPageBreak/>
        <w:t>los problemas de filtraciones en el túnel que corresponde a este proyecto y que ocasionó el desecamiento de varias quebradas en la zona? ¿la empresa encargadas de este proyecto tuvo alguna sanción?</w:t>
      </w:r>
    </w:p>
    <w:p w:rsidR="00386FC9" w:rsidRPr="00386FC9" w:rsidRDefault="00386FC9" w:rsidP="00386FC9">
      <w:pPr>
        <w:jc w:val="both"/>
        <w:rPr>
          <w:rFonts w:ascii="Arial" w:hAnsi="Arial" w:cs="Arial"/>
          <w:sz w:val="22"/>
          <w:lang w:val="es-CO"/>
        </w:rPr>
      </w:pPr>
    </w:p>
    <w:p w:rsidR="00D63537" w:rsidRPr="00D63537" w:rsidRDefault="00D63537" w:rsidP="00D63537">
      <w:pPr>
        <w:jc w:val="both"/>
        <w:rPr>
          <w:rFonts w:ascii="Arial" w:hAnsi="Arial" w:cs="Arial"/>
          <w:bCs/>
          <w:sz w:val="22"/>
          <w:lang w:val="es-MX"/>
        </w:rPr>
      </w:pPr>
      <w:r w:rsidRPr="00D63537">
        <w:rPr>
          <w:rFonts w:ascii="Arial" w:hAnsi="Arial" w:cs="Arial"/>
          <w:bCs/>
          <w:sz w:val="22"/>
          <w:lang w:val="es-MX"/>
        </w:rPr>
        <w:t xml:space="preserve">La determinación del proceso constructivo de un túnel es la suma de variables geotécnicas, climáticas y de diseño debido a la diversidad y funcionalidad del mismo (vial, de transvase o de carga en hidroeléctricas). La identificación  de posibles infiltraciones o del potencial de infiltración es dado mediante estudios para la determinación de los parámetros hidráulicos dentro de un acuífero, los cuales requiere la realización de ensayos de campo como pruebas de bombeo, seguimiento de niveles con piezómetros, pruebas de resistividad, determinación de permeabilidad, análisis de infiltración, posibles zonas inestables, geología e hidrología entre otros. Estos análisis proyectan la necesidad de contar con blindaje, recubrimiento o sin el mismo, esto lo determina entre otras el tipo de roca que afecte la estructura.  </w:t>
      </w:r>
    </w:p>
    <w:p w:rsidR="00D63537" w:rsidRPr="00D63537" w:rsidRDefault="00D63537" w:rsidP="00D63537">
      <w:pPr>
        <w:jc w:val="both"/>
        <w:rPr>
          <w:rFonts w:ascii="Arial" w:hAnsi="Arial" w:cs="Arial"/>
          <w:bCs/>
          <w:sz w:val="22"/>
          <w:lang w:val="es-MX"/>
        </w:rPr>
      </w:pPr>
      <w:r w:rsidRPr="00D63537">
        <w:rPr>
          <w:rFonts w:ascii="Arial" w:hAnsi="Arial" w:cs="Arial"/>
          <w:bCs/>
          <w:sz w:val="22"/>
          <w:lang w:val="es-MX"/>
        </w:rPr>
        <w:t xml:space="preserve"> </w:t>
      </w:r>
    </w:p>
    <w:p w:rsidR="00D63537" w:rsidRPr="00D63537" w:rsidRDefault="00D63537" w:rsidP="00D63537">
      <w:pPr>
        <w:jc w:val="both"/>
        <w:rPr>
          <w:rFonts w:ascii="Arial" w:hAnsi="Arial" w:cs="Arial"/>
          <w:iCs/>
          <w:sz w:val="22"/>
          <w:lang w:val="es-CO"/>
        </w:rPr>
      </w:pPr>
      <w:r w:rsidRPr="00D63537">
        <w:rPr>
          <w:rFonts w:ascii="Arial" w:hAnsi="Arial" w:cs="Arial"/>
          <w:bCs/>
          <w:sz w:val="22"/>
          <w:lang w:val="es-MX"/>
        </w:rPr>
        <w:t xml:space="preserve">Las obras del túnel trasvase Manso iniciaron con la construcción de caminos de acceso en septiembre de 2008 y la construcción del túnel en enero 06 de 2009, finalizando la excavación el 16 de abril de 2011. </w:t>
      </w:r>
      <w:r w:rsidRPr="00D63537">
        <w:rPr>
          <w:rFonts w:ascii="Arial" w:hAnsi="Arial" w:cs="Arial"/>
          <w:bCs/>
          <w:sz w:val="22"/>
          <w:lang w:val="es-CO"/>
        </w:rPr>
        <w:t>La función primordial de esta estructura es captar el agua d</w:t>
      </w:r>
      <w:r w:rsidRPr="00D63537">
        <w:rPr>
          <w:rFonts w:ascii="Arial" w:hAnsi="Arial" w:cs="Arial"/>
          <w:iCs/>
          <w:sz w:val="22"/>
          <w:lang w:val="es-CO"/>
        </w:rPr>
        <w:t xml:space="preserve">el río Manso y trasvasarla al embalse Amaní, el transvase consiste en una estructura de captación ubicada en la margen derecha del río Manso, conducida por un túnel de 4014 metros que se planificó a superficie libre, parcialmente revestido en concreto. </w:t>
      </w:r>
    </w:p>
    <w:p w:rsidR="00D63537" w:rsidRPr="00D63537" w:rsidRDefault="00D63537" w:rsidP="00D63537">
      <w:pPr>
        <w:jc w:val="both"/>
        <w:rPr>
          <w:rFonts w:ascii="Arial" w:hAnsi="Arial" w:cs="Arial"/>
          <w:iCs/>
          <w:sz w:val="22"/>
          <w:lang w:val="es-CO"/>
        </w:rPr>
      </w:pPr>
    </w:p>
    <w:p w:rsidR="00D63537" w:rsidRPr="00D63537" w:rsidRDefault="00D63537" w:rsidP="00D63537">
      <w:pPr>
        <w:jc w:val="both"/>
        <w:rPr>
          <w:rFonts w:ascii="Arial" w:hAnsi="Arial" w:cs="Arial"/>
          <w:sz w:val="22"/>
          <w:lang w:val="es-CO"/>
        </w:rPr>
      </w:pPr>
      <w:r w:rsidRPr="00D63537">
        <w:rPr>
          <w:rFonts w:ascii="Arial" w:hAnsi="Arial" w:cs="Arial"/>
          <w:bCs/>
          <w:sz w:val="22"/>
          <w:lang w:val="es-CO"/>
        </w:rPr>
        <w:t xml:space="preserve">La presencia de infiltraciones al interior del túnel del trasvase Manso, fue identificado y propuesto su manejo desde el Estudio de Impacto Ambiental; no obstante, la cantidad de infiltraciones y la afectación de fuentes superficiales fueron mayores a las previstas desde 2008, donde se evidenció la afectación de algunos cuerpos de agua ubicados en predios localizados sobre el alineamiento del túnel. Lo anterior conllevó </w:t>
      </w:r>
      <w:r w:rsidRPr="00D63537">
        <w:rPr>
          <w:rFonts w:ascii="Arial" w:hAnsi="Arial" w:cs="Arial"/>
          <w:sz w:val="22"/>
          <w:lang w:val="es-CO"/>
        </w:rPr>
        <w:t xml:space="preserve">en primera instancia, a cambios en la dinámica hídrica, disminución en los caudales, secamiento de algunas quebradas en periodos de estiaje, variación sobre la dinámica de fauna terrestre y acuática, afectación a la actividad económica de los predios, la calidad de vida y servicios sociales a la comunidad dentro del área de afectación la  cual fue definida mediante la estimación del cono de abatimiento del nivel freático. </w:t>
      </w:r>
    </w:p>
    <w:p w:rsidR="00D63537" w:rsidRPr="00D63537" w:rsidRDefault="00D63537" w:rsidP="00D63537">
      <w:pPr>
        <w:jc w:val="both"/>
        <w:rPr>
          <w:rFonts w:ascii="Arial" w:hAnsi="Arial" w:cs="Arial"/>
          <w:sz w:val="22"/>
          <w:lang w:val="es-CO"/>
        </w:rPr>
      </w:pPr>
    </w:p>
    <w:p w:rsidR="00D63537" w:rsidRDefault="00D63537" w:rsidP="00D63537">
      <w:pPr>
        <w:jc w:val="both"/>
        <w:rPr>
          <w:rFonts w:ascii="Arial" w:hAnsi="Arial" w:cs="Arial"/>
          <w:bCs/>
          <w:sz w:val="22"/>
          <w:lang w:val="es-CO"/>
        </w:rPr>
      </w:pPr>
      <w:r w:rsidRPr="00D63537">
        <w:rPr>
          <w:rFonts w:ascii="Arial" w:hAnsi="Arial" w:cs="Arial"/>
          <w:bCs/>
          <w:sz w:val="22"/>
          <w:lang w:val="es-CO"/>
        </w:rPr>
        <w:t xml:space="preserve">Razón por la cual se propone adelantar las acciones tendientes al monitoreo, cuidado y recuperación del recurso hídrico, las cuales contemplaban aspectos relacionados con: </w:t>
      </w:r>
    </w:p>
    <w:p w:rsidR="00D63537" w:rsidRPr="00D63537" w:rsidRDefault="00D63537" w:rsidP="00D63537">
      <w:pPr>
        <w:jc w:val="both"/>
        <w:rPr>
          <w:rFonts w:ascii="Arial" w:hAnsi="Arial" w:cs="Arial"/>
          <w:bCs/>
          <w:sz w:val="22"/>
          <w:lang w:val="es-CO"/>
        </w:rPr>
      </w:pPr>
    </w:p>
    <w:p w:rsidR="00D63537" w:rsidRPr="00D63537" w:rsidRDefault="00D63537" w:rsidP="00D63537">
      <w:pPr>
        <w:numPr>
          <w:ilvl w:val="0"/>
          <w:numId w:val="28"/>
        </w:numPr>
        <w:jc w:val="both"/>
        <w:rPr>
          <w:rFonts w:ascii="Arial" w:hAnsi="Arial" w:cs="Arial"/>
          <w:bCs/>
          <w:sz w:val="22"/>
          <w:lang w:val="es-CO"/>
        </w:rPr>
      </w:pPr>
      <w:r w:rsidRPr="00D63537">
        <w:rPr>
          <w:rFonts w:ascii="Arial" w:hAnsi="Arial" w:cs="Arial"/>
          <w:bCs/>
          <w:sz w:val="22"/>
          <w:lang w:val="es-CO"/>
        </w:rPr>
        <w:t>Levantar y actualizar las actas de nacedero en los predios ubicados a lo largo del alineamiento del túnel.</w:t>
      </w:r>
    </w:p>
    <w:p w:rsidR="00D63537" w:rsidRPr="00D63537" w:rsidRDefault="00D63537" w:rsidP="00D63537">
      <w:pPr>
        <w:numPr>
          <w:ilvl w:val="0"/>
          <w:numId w:val="28"/>
        </w:numPr>
        <w:jc w:val="both"/>
        <w:rPr>
          <w:rFonts w:ascii="Arial" w:hAnsi="Arial" w:cs="Arial"/>
          <w:bCs/>
          <w:sz w:val="22"/>
          <w:lang w:val="es-CO"/>
        </w:rPr>
      </w:pPr>
      <w:r w:rsidRPr="00D63537">
        <w:rPr>
          <w:rFonts w:ascii="Arial" w:hAnsi="Arial" w:cs="Arial"/>
          <w:bCs/>
          <w:sz w:val="22"/>
          <w:lang w:val="es-CO"/>
        </w:rPr>
        <w:t xml:space="preserve">Adelantar actividades de recuperación y protección de las coberturas vegetales en los predios ubicados sobre el alineamiento del túnel. </w:t>
      </w:r>
    </w:p>
    <w:p w:rsidR="00D63537" w:rsidRPr="00D63537" w:rsidRDefault="00D63537" w:rsidP="00D63537">
      <w:pPr>
        <w:numPr>
          <w:ilvl w:val="0"/>
          <w:numId w:val="28"/>
        </w:numPr>
        <w:jc w:val="both"/>
        <w:rPr>
          <w:rFonts w:ascii="Arial" w:hAnsi="Arial" w:cs="Arial"/>
          <w:bCs/>
          <w:sz w:val="22"/>
          <w:lang w:val="es-CO"/>
        </w:rPr>
      </w:pPr>
      <w:r w:rsidRPr="00D63537">
        <w:rPr>
          <w:rFonts w:ascii="Arial" w:hAnsi="Arial" w:cs="Arial"/>
          <w:bCs/>
          <w:sz w:val="22"/>
          <w:lang w:val="es-CO"/>
        </w:rPr>
        <w:t>Adelantar actividades de recuperación y protección de las coberturas vegetales, mediante actividades de cerramiento de las áreas aledañas a los cuerpos de agua superficiales afectadas, e incentivación de la regeneración natural.</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sz w:val="22"/>
          <w:lang w:val="es-CO"/>
        </w:rPr>
      </w:pPr>
      <w:r w:rsidRPr="00D63537">
        <w:rPr>
          <w:rFonts w:ascii="Arial" w:hAnsi="Arial" w:cs="Arial"/>
          <w:sz w:val="22"/>
          <w:lang w:val="es-CO"/>
        </w:rPr>
        <w:t xml:space="preserve">Posterior a la afectación  y dentro del marco del seguimiento, el Auto 2336 del 24 de junio de 2010 y el Auto 3805 del 07 de diciembre de 2011, se formularon requerimientos en relación con las quejas presentadas por la comunidad sobre las afectaciones de la construcción del </w:t>
      </w:r>
      <w:r w:rsidRPr="00D63537">
        <w:rPr>
          <w:rFonts w:ascii="Arial" w:hAnsi="Arial" w:cs="Arial"/>
          <w:sz w:val="22"/>
          <w:lang w:val="es-CO"/>
        </w:rPr>
        <w:lastRenderedPageBreak/>
        <w:t>proyecto causadas en las fuentes hídricas superficiales con ocasión de la construcción del túnel de trasvase.</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sz w:val="22"/>
        </w:rPr>
      </w:pPr>
      <w:r w:rsidRPr="00D63537">
        <w:rPr>
          <w:rFonts w:ascii="Arial" w:hAnsi="Arial" w:cs="Arial"/>
          <w:sz w:val="22"/>
        </w:rPr>
        <w:t xml:space="preserve">En definitiva, teniendo en cuenta el riesgo al recurso hídrico en la ejecución del proyecto que fue evidenciado por la Autoridad Ambiental dio lugar a la imposición de la medida preventiva de suspensión de la entrada en operación del Trasvase del Río Manso al Embalse de la Central Hidroeléctrica Miel I, mediante la Resolución 300 de 29 de diciembre de 2011. Adicionalmente mediante el Auto 3866 de 13 de diciembre de 2011 ordenó la apertura de la investigación ambiental contra la Empresa ISAGEN S.A E.S.P con el fin de verificar las acciones u omisiones constitutivas de infracción ambiental dentro del marco de ejecución del proyecto. </w:t>
      </w:r>
    </w:p>
    <w:p w:rsidR="00D63537" w:rsidRPr="00D63537" w:rsidRDefault="00D63537" w:rsidP="00D63537">
      <w:pPr>
        <w:jc w:val="both"/>
        <w:rPr>
          <w:rFonts w:ascii="Arial" w:hAnsi="Arial" w:cs="Arial"/>
          <w:sz w:val="22"/>
        </w:rPr>
      </w:pPr>
    </w:p>
    <w:p w:rsidR="00D63537" w:rsidRPr="00D63537" w:rsidRDefault="00D63537" w:rsidP="00D63537">
      <w:pPr>
        <w:jc w:val="both"/>
        <w:rPr>
          <w:rFonts w:ascii="Arial" w:hAnsi="Arial" w:cs="Arial"/>
          <w:sz w:val="22"/>
        </w:rPr>
      </w:pPr>
      <w:r w:rsidRPr="00D63537">
        <w:rPr>
          <w:rFonts w:ascii="Arial" w:hAnsi="Arial" w:cs="Arial"/>
          <w:sz w:val="22"/>
        </w:rPr>
        <w:t>En la citada resolución se indicaron como condicionantes para el levantamiento de la medida preventiva impuesta, ejecutar las siguientes actividades y presentar sus resultados para evaluación y aprobación de esta Autoridad:</w:t>
      </w:r>
    </w:p>
    <w:p w:rsidR="00D63537" w:rsidRPr="00D63537" w:rsidRDefault="00D63537" w:rsidP="00D63537">
      <w:pPr>
        <w:jc w:val="both"/>
        <w:rPr>
          <w:rFonts w:ascii="Arial" w:hAnsi="Arial" w:cs="Arial"/>
          <w:sz w:val="22"/>
          <w:lang w:val="es-CO"/>
        </w:rPr>
      </w:pPr>
    </w:p>
    <w:p w:rsidR="00D63537" w:rsidRPr="00D63537" w:rsidRDefault="00D63537" w:rsidP="00D63537">
      <w:pPr>
        <w:numPr>
          <w:ilvl w:val="0"/>
          <w:numId w:val="29"/>
        </w:numPr>
        <w:jc w:val="both"/>
        <w:rPr>
          <w:rFonts w:ascii="Arial" w:hAnsi="Arial" w:cs="Arial"/>
          <w:sz w:val="22"/>
          <w:lang w:val="es-CO"/>
        </w:rPr>
      </w:pPr>
      <w:r w:rsidRPr="00D63537">
        <w:rPr>
          <w:rFonts w:ascii="Arial" w:hAnsi="Arial" w:cs="Arial"/>
          <w:sz w:val="22"/>
          <w:lang w:val="es-CO"/>
        </w:rPr>
        <w:t>Adelantar los estudios que permitan determinar el grado de incidencia de la construcción del túnel en las aguas superficiales y subterráneas y los impactos causados sobre los medios físico, biótico y socioeconómico.</w:t>
      </w:r>
    </w:p>
    <w:p w:rsidR="00D63537" w:rsidRPr="00D63537" w:rsidRDefault="00D63537" w:rsidP="00D63537">
      <w:pPr>
        <w:numPr>
          <w:ilvl w:val="0"/>
          <w:numId w:val="29"/>
        </w:numPr>
        <w:jc w:val="both"/>
        <w:rPr>
          <w:rFonts w:ascii="Arial" w:hAnsi="Arial" w:cs="Arial"/>
          <w:sz w:val="22"/>
          <w:lang w:val="es-CO"/>
        </w:rPr>
      </w:pPr>
      <w:r w:rsidRPr="00D63537">
        <w:rPr>
          <w:rFonts w:ascii="Arial" w:hAnsi="Arial" w:cs="Arial"/>
          <w:sz w:val="22"/>
          <w:lang w:val="es-CO"/>
        </w:rPr>
        <w:t>Presentar los resultados de la modelación del comportamiento de las aguas superficiales y subterráneas, para la situación correspondiente al recubrimiento total del túnel.</w:t>
      </w:r>
    </w:p>
    <w:p w:rsidR="00D63537" w:rsidRPr="00D63537" w:rsidRDefault="00D63537" w:rsidP="00D63537">
      <w:pPr>
        <w:numPr>
          <w:ilvl w:val="0"/>
          <w:numId w:val="29"/>
        </w:numPr>
        <w:jc w:val="both"/>
        <w:rPr>
          <w:rFonts w:ascii="Arial" w:hAnsi="Arial" w:cs="Arial"/>
          <w:b/>
          <w:bCs/>
          <w:sz w:val="22"/>
          <w:lang w:val="es-CO"/>
        </w:rPr>
      </w:pPr>
      <w:r w:rsidRPr="00D63537">
        <w:rPr>
          <w:rFonts w:ascii="Arial" w:hAnsi="Arial" w:cs="Arial"/>
          <w:sz w:val="22"/>
          <w:lang w:val="es-CO"/>
        </w:rPr>
        <w:t xml:space="preserve">Con base en la información obtenida a partir de la evaluación de tales impactos, proponer para evaluación y aprobación de esta Autoridad las medidas de manejo que, </w:t>
      </w:r>
      <w:r w:rsidRPr="00D63537">
        <w:rPr>
          <w:rFonts w:ascii="Arial" w:hAnsi="Arial" w:cs="Arial"/>
          <w:b/>
          <w:bCs/>
          <w:sz w:val="22"/>
          <w:lang w:val="es-CO"/>
        </w:rPr>
        <w:t xml:space="preserve">en primera instancia, permitan la recuperación del recurso hídrico. </w:t>
      </w:r>
    </w:p>
    <w:p w:rsidR="00D63537" w:rsidRPr="00D63537" w:rsidRDefault="00D63537" w:rsidP="00D63537">
      <w:pPr>
        <w:numPr>
          <w:ilvl w:val="0"/>
          <w:numId w:val="29"/>
        </w:numPr>
        <w:jc w:val="both"/>
        <w:rPr>
          <w:rFonts w:ascii="Arial" w:hAnsi="Arial" w:cs="Arial"/>
          <w:i/>
          <w:iCs/>
          <w:sz w:val="22"/>
          <w:lang w:val="es-CO"/>
        </w:rPr>
      </w:pPr>
      <w:r w:rsidRPr="00D63537">
        <w:rPr>
          <w:rFonts w:ascii="Arial" w:hAnsi="Arial" w:cs="Arial"/>
          <w:sz w:val="22"/>
          <w:lang w:val="es-CO"/>
        </w:rPr>
        <w:t>De no ser posible la recuperación del recurso hídrico de que trata el parágrafo anterior, la empresa ISAGEN S.A. E.S.P. deberá presentar para evaluación y aprobación de esta Autoridad las medidas que compensen la afectación generada por el trasvase sobre los medios físico, biótico y socioeconómico.</w:t>
      </w:r>
    </w:p>
    <w:p w:rsidR="00D63537" w:rsidRPr="00D63537" w:rsidRDefault="00D63537" w:rsidP="00D63537">
      <w:pPr>
        <w:jc w:val="both"/>
        <w:rPr>
          <w:rFonts w:ascii="Arial" w:hAnsi="Arial" w:cs="Arial"/>
          <w:sz w:val="22"/>
        </w:rPr>
      </w:pPr>
    </w:p>
    <w:p w:rsidR="00D63537" w:rsidRPr="00D63537" w:rsidRDefault="00D63537" w:rsidP="00D63537">
      <w:pPr>
        <w:jc w:val="both"/>
        <w:rPr>
          <w:rFonts w:ascii="Arial" w:hAnsi="Arial" w:cs="Arial"/>
          <w:sz w:val="22"/>
          <w:lang w:val="es-CO"/>
        </w:rPr>
      </w:pPr>
      <w:r w:rsidRPr="00D63537">
        <w:rPr>
          <w:rFonts w:ascii="Arial" w:hAnsi="Arial" w:cs="Arial"/>
          <w:sz w:val="22"/>
        </w:rPr>
        <w:t xml:space="preserve">Durante el proceso </w:t>
      </w:r>
      <w:r w:rsidRPr="00D63537">
        <w:rPr>
          <w:rFonts w:ascii="Arial" w:hAnsi="Arial" w:cs="Arial"/>
          <w:sz w:val="22"/>
          <w:lang w:val="es-CO"/>
        </w:rPr>
        <w:t xml:space="preserve">ISAGEN S.A. E.S.P, presenta información complementaria, y da aclaraciones sobre los condicionantes de la media medida preventiva (febrero, mayo,  y junio de 2012) y solicita su levantamiento. </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sz w:val="22"/>
        </w:rPr>
      </w:pPr>
      <w:r w:rsidRPr="00D63537">
        <w:rPr>
          <w:rFonts w:ascii="Arial" w:hAnsi="Arial" w:cs="Arial"/>
          <w:sz w:val="22"/>
        </w:rPr>
        <w:t>Posteriormente la solicitud de levantamiento de la medida preventiva y conforme a la evaluación adelantada por esta Autoridad Ambiental mediante la Resolución 901 de 1º de noviembre se dispuso precisar las condiciones para el levantamiento de la medida preventiva, así:</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i/>
          <w:iCs/>
          <w:sz w:val="22"/>
          <w:lang w:val="es-CO"/>
        </w:rPr>
      </w:pPr>
      <w:r w:rsidRPr="00D63537">
        <w:rPr>
          <w:rFonts w:ascii="Arial" w:hAnsi="Arial" w:cs="Arial"/>
          <w:b/>
          <w:bCs/>
          <w:sz w:val="22"/>
          <w:lang w:val="es-CO"/>
        </w:rPr>
        <w:t>“</w:t>
      </w:r>
      <w:r w:rsidRPr="00D63537">
        <w:rPr>
          <w:rFonts w:ascii="Arial" w:hAnsi="Arial" w:cs="Arial"/>
          <w:b/>
          <w:bCs/>
          <w:i/>
          <w:iCs/>
          <w:sz w:val="22"/>
          <w:lang w:val="es-CO"/>
        </w:rPr>
        <w:t>ARTÍCULO SEGUNDO.</w:t>
      </w:r>
      <w:r w:rsidRPr="00D63537">
        <w:rPr>
          <w:rFonts w:ascii="Arial" w:hAnsi="Arial" w:cs="Arial"/>
          <w:i/>
          <w:iCs/>
          <w:sz w:val="22"/>
          <w:lang w:val="es-CO"/>
        </w:rPr>
        <w:t xml:space="preserve"> A partir de la información presentada por la Empresa ISAGEN S.A E.S.P y de la evaluación técnica contenida en el Concepto Técnico No. 1478 de 2012, para dar cumplimiento al parágrafo 1º del artículo 2º de la Resolución 300 de 2011, la Empresa ISAGEN S.A E.S.P deberá: </w:t>
      </w:r>
    </w:p>
    <w:p w:rsidR="00D63537" w:rsidRPr="00D63537" w:rsidRDefault="00D63537" w:rsidP="00D63537">
      <w:pPr>
        <w:jc w:val="both"/>
        <w:rPr>
          <w:rFonts w:ascii="Arial" w:hAnsi="Arial" w:cs="Arial"/>
          <w:i/>
          <w:iCs/>
          <w:sz w:val="22"/>
          <w:lang w:val="es-CO"/>
        </w:rPr>
      </w:pPr>
    </w:p>
    <w:p w:rsidR="00D63537" w:rsidRPr="00D63537" w:rsidRDefault="00D63537" w:rsidP="00D63537">
      <w:pPr>
        <w:jc w:val="both"/>
        <w:rPr>
          <w:rFonts w:ascii="Arial" w:hAnsi="Arial" w:cs="Arial"/>
          <w:i/>
          <w:iCs/>
          <w:sz w:val="22"/>
          <w:lang w:val="es-CO"/>
        </w:rPr>
      </w:pPr>
      <w:r w:rsidRPr="00D63537">
        <w:rPr>
          <w:rFonts w:ascii="Arial" w:hAnsi="Arial" w:cs="Arial"/>
          <w:i/>
          <w:iCs/>
          <w:sz w:val="22"/>
          <w:lang w:val="es-CO"/>
        </w:rPr>
        <w:t xml:space="preserve">1. Ejecutar actividades constructivas de sostenimiento e impermeabilización del túnel considerando las condiciones de fracturación, dureza y permeabilidad que presenta el macizo rocoso actualmente a lo largo del mismo.  </w:t>
      </w:r>
    </w:p>
    <w:p w:rsidR="00D63537" w:rsidRPr="00D63537" w:rsidRDefault="00D63537" w:rsidP="00D63537">
      <w:pPr>
        <w:jc w:val="both"/>
        <w:rPr>
          <w:rFonts w:ascii="Arial" w:hAnsi="Arial" w:cs="Arial"/>
          <w:i/>
          <w:iCs/>
          <w:sz w:val="22"/>
          <w:lang w:val="es-CO"/>
        </w:rPr>
      </w:pPr>
    </w:p>
    <w:p w:rsidR="00D63537" w:rsidRPr="00D63537" w:rsidRDefault="00D63537" w:rsidP="00D63537">
      <w:pPr>
        <w:jc w:val="both"/>
        <w:rPr>
          <w:rFonts w:ascii="Arial" w:hAnsi="Arial" w:cs="Arial"/>
          <w:i/>
          <w:iCs/>
          <w:sz w:val="22"/>
        </w:rPr>
      </w:pPr>
      <w:r w:rsidRPr="00D63537">
        <w:rPr>
          <w:rFonts w:ascii="Arial" w:hAnsi="Arial" w:cs="Arial"/>
          <w:i/>
          <w:iCs/>
          <w:sz w:val="22"/>
        </w:rPr>
        <w:t xml:space="preserve">2. Presentar para evaluación y aprobación el complemento del Plan de Restauración Ecológica de los Ecosistemas Terrestres y Acuáticos, considerando la redefinición del área de influencia física, biótica y socioeconómica y la tendencia del medio </w:t>
      </w:r>
      <w:r w:rsidRPr="00D63537">
        <w:rPr>
          <w:rFonts w:ascii="Arial" w:hAnsi="Arial" w:cs="Arial"/>
          <w:b/>
          <w:bCs/>
          <w:i/>
          <w:iCs/>
          <w:sz w:val="22"/>
        </w:rPr>
        <w:t>hasta el inicio de la recuperación del recurso hídrico</w:t>
      </w:r>
      <w:r>
        <w:rPr>
          <w:rFonts w:ascii="Arial" w:hAnsi="Arial" w:cs="Arial"/>
          <w:i/>
          <w:iCs/>
          <w:sz w:val="22"/>
        </w:rPr>
        <w:t xml:space="preserve"> </w:t>
      </w:r>
      <w:r w:rsidRPr="00D63537">
        <w:rPr>
          <w:rFonts w:ascii="Arial" w:hAnsi="Arial" w:cs="Arial"/>
          <w:i/>
          <w:iCs/>
          <w:sz w:val="22"/>
        </w:rPr>
        <w:t>(…)” (</w:t>
      </w:r>
      <w:r w:rsidRPr="00D63537">
        <w:rPr>
          <w:rFonts w:ascii="Arial" w:hAnsi="Arial" w:cs="Arial"/>
          <w:sz w:val="22"/>
        </w:rPr>
        <w:t>negrillas fuera de texto)</w:t>
      </w:r>
    </w:p>
    <w:p w:rsidR="00D63537" w:rsidRPr="00D63537" w:rsidRDefault="00D63537" w:rsidP="00D63537">
      <w:pPr>
        <w:jc w:val="both"/>
        <w:rPr>
          <w:rFonts w:ascii="Arial" w:hAnsi="Arial" w:cs="Arial"/>
          <w:i/>
          <w:iCs/>
          <w:sz w:val="22"/>
        </w:rPr>
      </w:pPr>
    </w:p>
    <w:p w:rsidR="00D63537" w:rsidRPr="00D63537" w:rsidRDefault="00D63537" w:rsidP="00D63537">
      <w:pPr>
        <w:jc w:val="both"/>
        <w:rPr>
          <w:rFonts w:ascii="Arial" w:hAnsi="Arial" w:cs="Arial"/>
          <w:bCs/>
          <w:sz w:val="22"/>
          <w:lang w:val="es-CO"/>
        </w:rPr>
      </w:pPr>
      <w:r w:rsidRPr="00D63537">
        <w:rPr>
          <w:rFonts w:ascii="Arial" w:hAnsi="Arial" w:cs="Arial"/>
          <w:sz w:val="22"/>
          <w:lang w:val="es-CO"/>
        </w:rPr>
        <w:t>Respecto de la sanción señalada en la pregunta, la Autoridad Nacional de Licencias Ambientales- ANLA mediante Resolución 300 de 29 de diciembre de 2011 impuso a la empresa ISAGEN S.A E.S.P medida preventiva</w:t>
      </w:r>
      <w:r w:rsidRPr="00D63537">
        <w:rPr>
          <w:rFonts w:ascii="Arial" w:hAnsi="Arial" w:cs="Arial"/>
          <w:sz w:val="22"/>
          <w:lang w:val="es-ES_tradnl"/>
        </w:rPr>
        <w:t xml:space="preserve"> consistente en la suspensión </w:t>
      </w:r>
      <w:r w:rsidRPr="00D63537">
        <w:rPr>
          <w:rFonts w:ascii="Arial" w:hAnsi="Arial" w:cs="Arial"/>
          <w:sz w:val="22"/>
          <w:lang w:val="es-CO"/>
        </w:rPr>
        <w:t>de la entrada en operación del Trasvase del Río Manso al Embalse de la Central Hidroeléctrica Miel I, en consideración al riesgo</w:t>
      </w:r>
      <w:r w:rsidRPr="00D63537">
        <w:rPr>
          <w:rFonts w:ascii="Arial" w:hAnsi="Arial" w:cs="Arial"/>
          <w:bCs/>
          <w:sz w:val="22"/>
          <w:lang w:val="es-CO"/>
        </w:rPr>
        <w:t xml:space="preserve"> sobre las fuentes hídricas que están ubicadas sobre el túnel de desviación (disminución del caudal en unos casos y secamiento total en otros) y sobre algunas especies de fauna (algunas de ellas amenazadas y/o endémicas) cuya supervivencia y reproducción se vería comprometida por la permanencia de la afectación sobre dichos cuerpos de agua y de igual manera, la afectación sobre las actividades productivas en el área.</w:t>
      </w:r>
    </w:p>
    <w:p w:rsidR="00D63537" w:rsidRPr="00D63537" w:rsidRDefault="00D63537" w:rsidP="00D63537">
      <w:pPr>
        <w:jc w:val="both"/>
        <w:rPr>
          <w:rFonts w:ascii="Arial" w:hAnsi="Arial" w:cs="Arial"/>
          <w:bCs/>
          <w:sz w:val="22"/>
          <w:lang w:val="es-CO"/>
        </w:rPr>
      </w:pPr>
    </w:p>
    <w:p w:rsidR="00D63537" w:rsidRPr="00D63537" w:rsidRDefault="00D63537" w:rsidP="00D63537">
      <w:pPr>
        <w:jc w:val="both"/>
        <w:rPr>
          <w:rFonts w:ascii="Arial" w:hAnsi="Arial" w:cs="Arial"/>
          <w:sz w:val="22"/>
        </w:rPr>
      </w:pPr>
      <w:r w:rsidRPr="00D63537">
        <w:rPr>
          <w:rFonts w:ascii="Arial" w:hAnsi="Arial" w:cs="Arial"/>
          <w:sz w:val="22"/>
        </w:rPr>
        <w:t>Posteriormente, ante la solicitud de levantamiento de la medida preventiva, mediante Resolución 901 de 1º de noviembre de 2012, la Autoridad Nacional de Licencias Ambientales- ANLA- mantuvo la medida preventiva de suspensión de entrada en operación del transvase, precisando las condiciones para su levantamiento.</w:t>
      </w:r>
    </w:p>
    <w:p w:rsidR="00D63537" w:rsidRPr="00D63537" w:rsidRDefault="00D63537" w:rsidP="00D63537">
      <w:pPr>
        <w:jc w:val="both"/>
        <w:rPr>
          <w:rFonts w:ascii="Arial" w:hAnsi="Arial" w:cs="Arial"/>
          <w:sz w:val="22"/>
        </w:rPr>
      </w:pPr>
    </w:p>
    <w:p w:rsidR="00D63537" w:rsidRPr="00D63537" w:rsidRDefault="00D63537" w:rsidP="00D63537">
      <w:pPr>
        <w:jc w:val="both"/>
        <w:rPr>
          <w:rFonts w:ascii="Arial" w:hAnsi="Arial" w:cs="Arial"/>
          <w:sz w:val="22"/>
          <w:lang w:val="es-CO"/>
        </w:rPr>
      </w:pPr>
      <w:r w:rsidRPr="00D63537">
        <w:rPr>
          <w:rFonts w:ascii="Arial" w:hAnsi="Arial" w:cs="Arial"/>
          <w:sz w:val="22"/>
          <w:lang w:val="es-CO"/>
        </w:rPr>
        <w:t>Como consecuencia de las afectaciones al recurso hídrico que dieron lugar a la medida preventiva impuesta mediante Resolución 300 de 29 de diciembre de 2011, la Autoridad Nacional de Licencias Ambientales- ANLA mediante Auto 3866 de 13 de diciembre de 2011 ordenó la apertura de la investigación ambiental contra la empresa ISAGEN S.A E.S.P, con el fin de establecer la posible ocurrencia de infracciones ambientales.</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sz w:val="22"/>
        </w:rPr>
      </w:pPr>
      <w:r w:rsidRPr="00D63537">
        <w:rPr>
          <w:rFonts w:ascii="Arial" w:hAnsi="Arial" w:cs="Arial"/>
          <w:sz w:val="22"/>
        </w:rPr>
        <w:t>Teniendo en cuenta que mediante la Ley 1333 de 2009, se establece el procedimiento sancionatorio ambiental es preciso indicar que la investigación ambiental se encuentra en curso, para lo cual se deberá agotar las etapas y rigorismos propios del proceso para decidir de fondo el mismo.</w:t>
      </w:r>
    </w:p>
    <w:p w:rsidR="00D63537" w:rsidRPr="00D63537" w:rsidRDefault="00D63537" w:rsidP="00D63537">
      <w:pPr>
        <w:jc w:val="both"/>
        <w:rPr>
          <w:rFonts w:ascii="Arial" w:hAnsi="Arial" w:cs="Arial"/>
          <w:sz w:val="22"/>
        </w:rPr>
      </w:pPr>
    </w:p>
    <w:p w:rsidR="00D63537" w:rsidRPr="00D63537" w:rsidRDefault="00D63537" w:rsidP="00D63537">
      <w:pPr>
        <w:numPr>
          <w:ilvl w:val="0"/>
          <w:numId w:val="30"/>
        </w:numPr>
        <w:jc w:val="both"/>
        <w:rPr>
          <w:rFonts w:ascii="Arial" w:hAnsi="Arial" w:cs="Arial"/>
          <w:b/>
          <w:bCs/>
          <w:i/>
          <w:sz w:val="22"/>
          <w:lang w:val="es-CO"/>
        </w:rPr>
      </w:pPr>
      <w:r w:rsidRPr="00D63537">
        <w:rPr>
          <w:rFonts w:ascii="Arial" w:hAnsi="Arial" w:cs="Arial"/>
          <w:b/>
          <w:bCs/>
          <w:i/>
          <w:sz w:val="22"/>
          <w:lang w:val="es-CO"/>
        </w:rPr>
        <w:t>Proyectos como el trasvase Manso-Amaní que afectaron más de 22 quebradas en la zona y cuyo impacto es irreversible ¿Qué tipo de medidas están contempladas para mitigar este impacto en el ecosistema?</w:t>
      </w:r>
    </w:p>
    <w:p w:rsidR="00D63537" w:rsidRPr="00D63537" w:rsidRDefault="00D63537" w:rsidP="00D63537">
      <w:pPr>
        <w:jc w:val="both"/>
        <w:rPr>
          <w:rFonts w:ascii="Arial" w:hAnsi="Arial" w:cs="Arial"/>
          <w:sz w:val="22"/>
        </w:rPr>
      </w:pPr>
    </w:p>
    <w:p w:rsidR="00D63537" w:rsidRPr="00D63537" w:rsidRDefault="00D63537" w:rsidP="00D63537">
      <w:pPr>
        <w:jc w:val="both"/>
        <w:rPr>
          <w:rFonts w:ascii="Arial" w:hAnsi="Arial" w:cs="Arial"/>
          <w:sz w:val="22"/>
          <w:lang w:val="es-CO"/>
        </w:rPr>
      </w:pPr>
      <w:r w:rsidRPr="00D63537">
        <w:rPr>
          <w:rFonts w:ascii="Arial" w:hAnsi="Arial" w:cs="Arial"/>
          <w:sz w:val="22"/>
          <w:lang w:val="es-CO"/>
        </w:rPr>
        <w:t xml:space="preserve">En relación a las medidas de mitigación es importante mencionar que el plan de manejo del proyecto en comento desde su inicio valoró los impactos asociados al proceso de construcción del túnel y el trasvase. Específicamente en relación al impacto de las infiltraciones en el túnel y sus posibles consecuencias, la Empresa constituyó el </w:t>
      </w:r>
      <w:r w:rsidRPr="00D63537">
        <w:rPr>
          <w:rFonts w:ascii="Arial" w:hAnsi="Arial" w:cs="Arial"/>
          <w:i/>
          <w:sz w:val="22"/>
          <w:lang w:val="es-CO"/>
        </w:rPr>
        <w:t>“Programa para el manejo de la construcción del túnel (PMF-5)”;</w:t>
      </w:r>
      <w:r w:rsidRPr="00D63537">
        <w:rPr>
          <w:rFonts w:ascii="Arial" w:hAnsi="Arial" w:cs="Arial"/>
          <w:sz w:val="22"/>
          <w:lang w:val="es-CO"/>
        </w:rPr>
        <w:t xml:space="preserve"> qué tenía como objetivo principal la detección de aguas de infiltración en los sectores de entrada, contabilizar el caudal e implementar medidas como sellamientos o inyecciones para controlar infiltraciones de ser necesario.  </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sz w:val="22"/>
          <w:lang w:val="es-CO"/>
        </w:rPr>
      </w:pPr>
      <w:r w:rsidRPr="00D63537">
        <w:rPr>
          <w:rFonts w:ascii="Arial" w:hAnsi="Arial" w:cs="Arial"/>
          <w:sz w:val="22"/>
          <w:lang w:val="es-CO"/>
        </w:rPr>
        <w:lastRenderedPageBreak/>
        <w:t>De igual manera en relación a los impactos asociados a la construcción se ejecutaron los programas relacionados con el monitoreo de la estabilidad de las obras, el manejo para la intervención de cauces y cruces de cuerpos hídricos; la intervención de cauces y cruces de cuerpos hídricos; la construcción de trinchos para protección de cuerpos hídricos; el manejo para la protección de fauna local, biota acuática, ictiofauna e hidrobiología y calidad del agua. Finalmente para el componente socioeconómico -que también se vio afectado por las infiltraciones durante la construcción-, la empresa ejecut</w:t>
      </w:r>
      <w:r w:rsidR="00206739">
        <w:rPr>
          <w:rFonts w:ascii="Arial" w:hAnsi="Arial" w:cs="Arial"/>
          <w:sz w:val="22"/>
          <w:lang w:val="es-CO"/>
        </w:rPr>
        <w:t>ó</w:t>
      </w:r>
      <w:r w:rsidRPr="00D63537">
        <w:rPr>
          <w:rFonts w:ascii="Arial" w:hAnsi="Arial" w:cs="Arial"/>
          <w:sz w:val="22"/>
          <w:lang w:val="es-CO"/>
        </w:rPr>
        <w:t xml:space="preserve"> los programas de manejo para la información a la comunidad y apoyo a la veeduría ciudadana y atención a quejas por parte a fin de atender los requerimientos de los propietarios. La Empresa conformó un equipo técnico y social para evaluar el impacto real sobre cada predio e inició desde el mes de agosto de 2010, las visitas de identificación y diagnóstico para cada caso en el que se presentó queja o reclamación, posteriormente se visitaron todos los predios localizados sobre el alineamiento del túnel y finalmente algunos por fuera del alineamiento, de los cuales se recibió algún tipo de queja relacionada con la afectación del recurso hídrico.</w:t>
      </w:r>
    </w:p>
    <w:p w:rsidR="00D63537" w:rsidRPr="00D63537" w:rsidRDefault="00D63537" w:rsidP="00D63537">
      <w:pPr>
        <w:jc w:val="both"/>
        <w:rPr>
          <w:rFonts w:ascii="Arial" w:hAnsi="Arial" w:cs="Arial"/>
          <w:sz w:val="22"/>
          <w:lang w:val="es-CO"/>
        </w:rPr>
      </w:pPr>
    </w:p>
    <w:p w:rsidR="00D63537" w:rsidRPr="00D63537" w:rsidRDefault="00D63537" w:rsidP="00D63537">
      <w:pPr>
        <w:jc w:val="both"/>
        <w:rPr>
          <w:rFonts w:ascii="Arial" w:hAnsi="Arial" w:cs="Arial"/>
          <w:bCs/>
          <w:sz w:val="22"/>
          <w:lang w:val="es-CO"/>
        </w:rPr>
      </w:pPr>
      <w:r w:rsidRPr="00D63537">
        <w:rPr>
          <w:rFonts w:ascii="Arial" w:hAnsi="Arial" w:cs="Arial"/>
          <w:sz w:val="22"/>
        </w:rPr>
        <w:t>La Empresa ISAGEN S.A mediante el radicado 4120-E1-18612 de 2 de mayo de 2013, solicitó el levantamiento de la medida preventiva impuesta mediante Resolución 300 de 2011 presentando el documento “Evolución del Impacto sobre el Recurso Hídrico”, el cual contempla una propuesta de acciones y medidas tendientes a la recuperación y/o compensación del recurso, que se encuentra en evaluación por parte de esta Autoridad Ambiental.</w:t>
      </w:r>
      <w:r w:rsidRPr="00D63537">
        <w:rPr>
          <w:rFonts w:ascii="Arial" w:hAnsi="Arial" w:cs="Arial"/>
          <w:bCs/>
          <w:sz w:val="22"/>
          <w:lang w:val="es-CO"/>
        </w:rPr>
        <w:t xml:space="preserve"> La adecuación y ajuste de estos programas así como las medidas de compensación y mitigación posterior al impacto hacen parte de los condicionamientos para el levantamiento de la medida preventiva y se encuentran actualmente en evaluación  por la Autoridad. </w:t>
      </w:r>
    </w:p>
    <w:p w:rsidR="00D63537" w:rsidRPr="00D63537" w:rsidRDefault="00D63537" w:rsidP="00D63537">
      <w:pPr>
        <w:jc w:val="both"/>
        <w:rPr>
          <w:rFonts w:ascii="Arial" w:hAnsi="Arial" w:cs="Arial"/>
          <w:sz w:val="22"/>
          <w:highlight w:val="yellow"/>
        </w:rPr>
      </w:pPr>
    </w:p>
    <w:p w:rsidR="00386FC9" w:rsidRPr="00973D83" w:rsidRDefault="00386FC9" w:rsidP="005D3023">
      <w:pPr>
        <w:pStyle w:val="Prrafodelista"/>
        <w:numPr>
          <w:ilvl w:val="0"/>
          <w:numId w:val="26"/>
        </w:numPr>
        <w:jc w:val="both"/>
        <w:rPr>
          <w:rFonts w:ascii="Arial" w:hAnsi="Arial" w:cs="Arial"/>
          <w:b/>
          <w:i/>
          <w:sz w:val="22"/>
          <w:lang w:val="es-CO"/>
        </w:rPr>
      </w:pPr>
      <w:r w:rsidRPr="00973D83">
        <w:rPr>
          <w:rFonts w:ascii="Arial" w:hAnsi="Arial" w:cs="Arial"/>
          <w:b/>
          <w:i/>
          <w:sz w:val="22"/>
          <w:lang w:val="es-CO"/>
        </w:rPr>
        <w:t>¿Hay en el país obras que se estén realizando sin licencia ambiental? De ser así ¿a qué se debe esta anomalía?</w:t>
      </w:r>
    </w:p>
    <w:p w:rsidR="00386FC9" w:rsidRDefault="00386FC9" w:rsidP="00386FC9">
      <w:pPr>
        <w:jc w:val="both"/>
        <w:rPr>
          <w:rFonts w:ascii="Arial" w:hAnsi="Arial" w:cs="Arial"/>
          <w:b/>
          <w:i/>
          <w:sz w:val="22"/>
          <w:lang w:val="es-CO"/>
        </w:rPr>
      </w:pPr>
    </w:p>
    <w:p w:rsidR="001D66A9" w:rsidRDefault="001D66A9" w:rsidP="00386FC9">
      <w:pPr>
        <w:jc w:val="both"/>
        <w:rPr>
          <w:rFonts w:ascii="Arial" w:hAnsi="Arial" w:cs="Arial"/>
          <w:sz w:val="22"/>
          <w:lang w:val="es-CO"/>
        </w:rPr>
      </w:pPr>
      <w:r>
        <w:rPr>
          <w:rFonts w:ascii="Arial" w:hAnsi="Arial" w:cs="Arial"/>
          <w:sz w:val="22"/>
          <w:lang w:val="es-CO"/>
        </w:rPr>
        <w:t xml:space="preserve">Para los casos de proyectos, obras o actividades que requieren licencia ambiental, y sobre las cuales no se ha obtenido previamente la correspondiente licencia, </w:t>
      </w:r>
      <w:r w:rsidR="00A949AB">
        <w:rPr>
          <w:rFonts w:ascii="Arial" w:hAnsi="Arial" w:cs="Arial"/>
          <w:sz w:val="22"/>
          <w:lang w:val="es-CO"/>
        </w:rPr>
        <w:t>est</w:t>
      </w:r>
      <w:r>
        <w:rPr>
          <w:rFonts w:ascii="Arial" w:hAnsi="Arial" w:cs="Arial"/>
          <w:sz w:val="22"/>
          <w:lang w:val="es-CO"/>
        </w:rPr>
        <w:t xml:space="preserve">a autoridad en el marco del procedimiento </w:t>
      </w:r>
      <w:r w:rsidR="00A949AB">
        <w:rPr>
          <w:rFonts w:ascii="Arial" w:hAnsi="Arial" w:cs="Arial"/>
          <w:sz w:val="22"/>
          <w:lang w:val="es-CO"/>
        </w:rPr>
        <w:t xml:space="preserve">sancionatorio ambiental </w:t>
      </w:r>
      <w:r>
        <w:rPr>
          <w:rFonts w:ascii="Arial" w:hAnsi="Arial" w:cs="Arial"/>
          <w:sz w:val="22"/>
          <w:lang w:val="es-CO"/>
        </w:rPr>
        <w:t xml:space="preserve">establecido en la Ley 1333 de 2009, </w:t>
      </w:r>
      <w:r w:rsidR="00A949AB">
        <w:rPr>
          <w:rFonts w:ascii="Arial" w:hAnsi="Arial" w:cs="Arial"/>
          <w:sz w:val="22"/>
          <w:lang w:val="es-CO"/>
        </w:rPr>
        <w:t xml:space="preserve">ha </w:t>
      </w:r>
      <w:r>
        <w:rPr>
          <w:rFonts w:ascii="Arial" w:hAnsi="Arial" w:cs="Arial"/>
          <w:sz w:val="22"/>
          <w:lang w:val="es-CO"/>
        </w:rPr>
        <w:t>proced</w:t>
      </w:r>
      <w:r w:rsidR="00A949AB">
        <w:rPr>
          <w:rFonts w:ascii="Arial" w:hAnsi="Arial" w:cs="Arial"/>
          <w:sz w:val="22"/>
          <w:lang w:val="es-CO"/>
        </w:rPr>
        <w:t>ido</w:t>
      </w:r>
      <w:r>
        <w:rPr>
          <w:rFonts w:ascii="Arial" w:hAnsi="Arial" w:cs="Arial"/>
          <w:sz w:val="22"/>
          <w:lang w:val="es-CO"/>
        </w:rPr>
        <w:t xml:space="preserve"> a </w:t>
      </w:r>
      <w:r w:rsidR="0079713F">
        <w:rPr>
          <w:rFonts w:ascii="Arial" w:hAnsi="Arial" w:cs="Arial"/>
          <w:sz w:val="22"/>
          <w:lang w:val="es-CO"/>
        </w:rPr>
        <w:t xml:space="preserve">iniciar las  investigaciones, a </w:t>
      </w:r>
      <w:r>
        <w:rPr>
          <w:rFonts w:ascii="Arial" w:hAnsi="Arial" w:cs="Arial"/>
          <w:sz w:val="22"/>
          <w:lang w:val="es-CO"/>
        </w:rPr>
        <w:t>imponer las medidas preventivas</w:t>
      </w:r>
      <w:r w:rsidR="0079713F">
        <w:rPr>
          <w:rFonts w:ascii="Arial" w:hAnsi="Arial" w:cs="Arial"/>
          <w:sz w:val="22"/>
          <w:lang w:val="es-CO"/>
        </w:rPr>
        <w:t xml:space="preserve">, </w:t>
      </w:r>
      <w:r>
        <w:rPr>
          <w:rFonts w:ascii="Arial" w:hAnsi="Arial" w:cs="Arial"/>
          <w:sz w:val="22"/>
          <w:lang w:val="es-CO"/>
        </w:rPr>
        <w:t>y sanciones</w:t>
      </w:r>
      <w:r w:rsidR="0079713F">
        <w:rPr>
          <w:rFonts w:ascii="Arial" w:hAnsi="Arial" w:cs="Arial"/>
          <w:sz w:val="22"/>
          <w:lang w:val="es-CO"/>
        </w:rPr>
        <w:t xml:space="preserve"> correspondientes</w:t>
      </w:r>
      <w:r>
        <w:rPr>
          <w:rFonts w:ascii="Arial" w:hAnsi="Arial" w:cs="Arial"/>
          <w:sz w:val="22"/>
          <w:lang w:val="es-CO"/>
        </w:rPr>
        <w:t xml:space="preserve">. </w:t>
      </w:r>
    </w:p>
    <w:p w:rsidR="001D66A9" w:rsidRPr="001D66A9" w:rsidRDefault="001D66A9" w:rsidP="00386FC9">
      <w:pPr>
        <w:jc w:val="both"/>
        <w:rPr>
          <w:rFonts w:ascii="Arial" w:hAnsi="Arial" w:cs="Arial"/>
          <w:sz w:val="22"/>
          <w:lang w:val="es-CO"/>
        </w:rPr>
      </w:pPr>
    </w:p>
    <w:p w:rsidR="00386FC9" w:rsidRPr="00973D83" w:rsidRDefault="00386FC9" w:rsidP="005D3023">
      <w:pPr>
        <w:pStyle w:val="Prrafodelista"/>
        <w:numPr>
          <w:ilvl w:val="0"/>
          <w:numId w:val="26"/>
        </w:numPr>
        <w:jc w:val="both"/>
        <w:rPr>
          <w:rFonts w:ascii="Arial" w:hAnsi="Arial" w:cs="Arial"/>
          <w:i/>
          <w:sz w:val="22"/>
          <w:lang w:val="es-CO"/>
        </w:rPr>
      </w:pPr>
      <w:r w:rsidRPr="00973D83">
        <w:rPr>
          <w:rFonts w:ascii="Arial" w:hAnsi="Arial" w:cs="Arial"/>
          <w:b/>
          <w:i/>
          <w:sz w:val="22"/>
          <w:lang w:val="es-CO"/>
        </w:rPr>
        <w:t>De qué manera se realizan los seguimientos a las licencias ambientales y cómo se realizan los controles a dichos seguimientos?</w:t>
      </w:r>
    </w:p>
    <w:p w:rsidR="00386FC9" w:rsidRDefault="00386FC9" w:rsidP="00386FC9">
      <w:pPr>
        <w:jc w:val="both"/>
        <w:rPr>
          <w:rFonts w:ascii="Arial" w:hAnsi="Arial" w:cs="Arial"/>
          <w:sz w:val="22"/>
        </w:rPr>
      </w:pPr>
      <w:r w:rsidRPr="00386FC9">
        <w:rPr>
          <w:rFonts w:ascii="Arial" w:hAnsi="Arial" w:cs="Arial"/>
          <w:sz w:val="22"/>
        </w:rPr>
        <w:t xml:space="preserve"> </w:t>
      </w:r>
    </w:p>
    <w:p w:rsidR="00386FC9" w:rsidRPr="00386FC9" w:rsidRDefault="00386FC9" w:rsidP="00386FC9">
      <w:pPr>
        <w:jc w:val="both"/>
        <w:rPr>
          <w:rFonts w:ascii="Arial" w:hAnsi="Arial" w:cs="Arial"/>
          <w:sz w:val="22"/>
        </w:rPr>
      </w:pPr>
      <w:r w:rsidRPr="00386FC9">
        <w:rPr>
          <w:rFonts w:ascii="Arial" w:hAnsi="Arial" w:cs="Arial"/>
          <w:sz w:val="22"/>
        </w:rPr>
        <w:t xml:space="preserve">Con respecto a la presente pregunta, </w:t>
      </w:r>
      <w:r w:rsidRPr="00386FC9">
        <w:rPr>
          <w:rFonts w:ascii="Arial" w:hAnsi="Arial" w:cs="Arial"/>
          <w:sz w:val="22"/>
          <w:lang w:val="es-CO"/>
        </w:rPr>
        <w:t>nos remitimos a la respuesta dada con relación a al acompañamiento, seguimiento y control por parte de la ANLA, a las actividades desarrollados en el país por las empresas que extraen minerales o hidrocarburos.</w:t>
      </w:r>
    </w:p>
    <w:p w:rsidR="00386FC9" w:rsidRPr="00386FC9" w:rsidRDefault="00386FC9" w:rsidP="00386FC9">
      <w:pPr>
        <w:jc w:val="both"/>
        <w:rPr>
          <w:rFonts w:ascii="Arial" w:hAnsi="Arial" w:cs="Arial"/>
          <w:sz w:val="22"/>
        </w:rPr>
      </w:pPr>
    </w:p>
    <w:p w:rsidR="00386FC9" w:rsidRPr="005D3023" w:rsidRDefault="00386FC9" w:rsidP="005D3023">
      <w:pPr>
        <w:pStyle w:val="Prrafodelista"/>
        <w:numPr>
          <w:ilvl w:val="0"/>
          <w:numId w:val="27"/>
        </w:numPr>
        <w:jc w:val="both"/>
        <w:rPr>
          <w:rFonts w:ascii="Arial" w:hAnsi="Arial" w:cs="Arial"/>
          <w:b/>
          <w:i/>
          <w:sz w:val="22"/>
          <w:lang w:val="es-CO"/>
        </w:rPr>
      </w:pPr>
      <w:r w:rsidRPr="005D3023">
        <w:rPr>
          <w:rFonts w:ascii="Arial" w:hAnsi="Arial" w:cs="Arial"/>
          <w:b/>
          <w:i/>
          <w:sz w:val="22"/>
          <w:lang w:val="es-CO"/>
        </w:rPr>
        <w:t>Cuáles son los criterios de licenciamiento para proyectos que como la explotación marítima en la Guajira y la zona minera de Dibulla, la ampliación de la zona portuaria en Santa Marta y Ciénaga y otros más pudieran general alto impacto sobre los ecosistemas.</w:t>
      </w:r>
    </w:p>
    <w:p w:rsidR="00386FC9" w:rsidRPr="00386FC9" w:rsidRDefault="00386FC9" w:rsidP="00386FC9">
      <w:pPr>
        <w:jc w:val="both"/>
        <w:rPr>
          <w:rFonts w:ascii="Arial" w:hAnsi="Arial" w:cs="Arial"/>
          <w:b/>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lastRenderedPageBreak/>
        <w:t>En relación a los criterios de licenciamiento de puertos marítimos en general, esta Autoridad se rige por lo establecido en el Decreto 2820 de 2010, el cual establece lo siguiente:</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“Artículo 7°, Proyectos, obras y actividades sujetos a licencia ambiental.</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Estarán sujetos a licencia ambiental únicamente los proyectos, obras y actividades que se enumeran en los artículos 8˚ y 9˚ del presente decreto.</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Las autoridades ambientales no podrán establecer o imponer Planes de Manejo Ambiental para proyectos diferentes a los establecidos en el presente decreto o como resultado de la aplicación del régimen de transición.</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Artículo 8°, Competencia del Ministerio de Ambiente, Vivienda y Desarrollo Territorial. El Ministerio de Ambient'3, Vivienda y Desarrollo Territorial, otorgará o negará de manera privativa la licencia ambiental para los siguientes proyectos, obras o actividades:</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6. En el sector marítimo y portuario:</w:t>
      </w:r>
    </w:p>
    <w:p w:rsidR="00996570" w:rsidRPr="00996570" w:rsidRDefault="00996570" w:rsidP="00996570">
      <w:pPr>
        <w:jc w:val="both"/>
        <w:rPr>
          <w:rFonts w:ascii="Arial" w:hAnsi="Arial" w:cs="Arial"/>
          <w:b/>
          <w:i/>
          <w:sz w:val="22"/>
          <w:lang w:val="es-CO"/>
        </w:rPr>
      </w:pPr>
      <w:r w:rsidRPr="00996570">
        <w:rPr>
          <w:rFonts w:ascii="Arial" w:hAnsi="Arial" w:cs="Arial"/>
          <w:b/>
          <w:i/>
          <w:sz w:val="22"/>
          <w:lang w:val="es-CO"/>
        </w:rPr>
        <w:t>a) La construcción o ampliación y operación de puertos marítimos de gran calado.</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w:t>
      </w:r>
    </w:p>
    <w:p w:rsidR="00996570" w:rsidRPr="00996570" w:rsidRDefault="00996570" w:rsidP="00996570">
      <w:pPr>
        <w:jc w:val="both"/>
        <w:rPr>
          <w:rFonts w:ascii="Arial" w:hAnsi="Arial" w:cs="Arial"/>
          <w:sz w:val="22"/>
          <w:lang w:val="es-CO"/>
        </w:rPr>
      </w:pPr>
      <w:r w:rsidRPr="00996570">
        <w:rPr>
          <w:rFonts w:ascii="Arial" w:hAnsi="Arial" w:cs="Arial"/>
          <w:sz w:val="22"/>
          <w:lang w:val="es-CO"/>
        </w:rPr>
        <w:t>En tal sentido para el tema portuario, la ANLA es competente para la construcción de puertos marítimos de gran calado los cuales se definen dentro del mismo decreto como: “</w:t>
      </w:r>
      <w:r w:rsidRPr="00996570">
        <w:rPr>
          <w:rFonts w:ascii="Arial" w:hAnsi="Arial" w:cs="Arial"/>
          <w:i/>
          <w:sz w:val="22"/>
          <w:lang w:val="es-CO"/>
        </w:rPr>
        <w:t>aquellos terminales marítimos, su conjunto de elementos físicos y las obras de canales de acceso cuya capacidad para movilizar carga es igual o superior a un millón quinientas mil (1´500.000) ton/año y en los cuales pueden atracar embarcaciones con un calado igual o superior a 27 pies</w:t>
      </w:r>
      <w:r w:rsidRPr="00996570">
        <w:rPr>
          <w:rFonts w:ascii="Arial" w:hAnsi="Arial" w:cs="Arial"/>
          <w:sz w:val="22"/>
          <w:lang w:val="es-CO"/>
        </w:rPr>
        <w:t xml:space="preserve">.” </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t>Los puertos que no cumplan con la anterior condición, serán competencia de las Corporaciones Autónomas Regionales, según lo establecido en el artículo 9˚ del Decreto 2820 de 2010.</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t>Además, y en relación con la construcción de puertos, el artículo 18 del mencionado decreto establece que:</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“Artículo 18° Exigibilidad del Diagnóstico Ambiental de Alternativas. Los interesados en los proyectos, obras o actividades que se describen a continuación deberán solicitar pronunciamiento a la autoridad ambiental competente sobre la necesidad de presentar el Diagnóstico Ambiental de Alternativas -DAA:</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10.La construcción de puertos;</w:t>
      </w:r>
    </w:p>
    <w:p w:rsidR="00996570" w:rsidRPr="00996570" w:rsidRDefault="00996570" w:rsidP="00996570">
      <w:pPr>
        <w:jc w:val="both"/>
        <w:rPr>
          <w:rFonts w:ascii="Arial" w:hAnsi="Arial" w:cs="Arial"/>
          <w:i/>
          <w:sz w:val="22"/>
          <w:lang w:val="es-CO"/>
        </w:rPr>
      </w:pPr>
      <w:r w:rsidRPr="00996570">
        <w:rPr>
          <w:rFonts w:ascii="Arial" w:hAnsi="Arial" w:cs="Arial"/>
          <w:i/>
          <w:sz w:val="22"/>
          <w:lang w:val="es-CO"/>
        </w:rPr>
        <w:t>(…)”</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t>Teniendo en cuenta lo anterior, los interesados en la construcción de puertos marítimos deberán solicitar el pronunciamiento de la Autoridad Ambiental competente sobre la necesidad o no del Diagnóstico Ambiental de Alternativas, a fin de construir un proyecto portuario.</w:t>
      </w:r>
    </w:p>
    <w:p w:rsidR="00996570" w:rsidRPr="00996570" w:rsidRDefault="00996570" w:rsidP="00996570">
      <w:pPr>
        <w:jc w:val="both"/>
        <w:rPr>
          <w:rFonts w:ascii="Arial" w:hAnsi="Arial" w:cs="Arial"/>
          <w:sz w:val="22"/>
          <w:lang w:val="es-CO"/>
        </w:rPr>
      </w:pPr>
    </w:p>
    <w:p w:rsidR="00996570" w:rsidRPr="00996570" w:rsidRDefault="00996570" w:rsidP="00996570">
      <w:pPr>
        <w:jc w:val="both"/>
        <w:rPr>
          <w:rFonts w:ascii="Arial" w:hAnsi="Arial" w:cs="Arial"/>
          <w:sz w:val="22"/>
          <w:lang w:val="es-CO"/>
        </w:rPr>
      </w:pPr>
      <w:r w:rsidRPr="00996570">
        <w:rPr>
          <w:rFonts w:ascii="Arial" w:hAnsi="Arial" w:cs="Arial"/>
          <w:sz w:val="22"/>
          <w:lang w:val="es-CO"/>
        </w:rPr>
        <w:t>En el caso de un puerto marítimo de gran calado, competencia de esta Autoridad, y luego del resultado de la necesidad de presentar Diagnóstico Ambiental de Alternativas, el interesado deberá seguir los términos de referencia para este tipo de proyectos, los cuales son desarrollados por la entidad y pueden ser consultados en la página web de la misma:</w:t>
      </w:r>
    </w:p>
    <w:p w:rsidR="00996570" w:rsidRPr="00996570" w:rsidRDefault="00996570" w:rsidP="00996570">
      <w:pPr>
        <w:jc w:val="both"/>
        <w:rPr>
          <w:rFonts w:ascii="Arial" w:hAnsi="Arial" w:cs="Arial"/>
          <w:sz w:val="22"/>
          <w:lang w:val="es-CO"/>
        </w:rPr>
      </w:pPr>
    </w:p>
    <w:p w:rsidR="00996570" w:rsidRPr="00996570" w:rsidRDefault="00996570" w:rsidP="00996570">
      <w:pPr>
        <w:numPr>
          <w:ilvl w:val="0"/>
          <w:numId w:val="24"/>
        </w:numPr>
        <w:jc w:val="both"/>
        <w:rPr>
          <w:rFonts w:ascii="Arial" w:hAnsi="Arial" w:cs="Arial"/>
          <w:sz w:val="22"/>
          <w:lang w:val="es-CO"/>
        </w:rPr>
      </w:pPr>
      <w:r w:rsidRPr="00996570">
        <w:rPr>
          <w:rFonts w:ascii="Arial" w:hAnsi="Arial" w:cs="Arial"/>
          <w:sz w:val="22"/>
          <w:lang w:val="es-CO"/>
        </w:rPr>
        <w:t xml:space="preserve">Diagnóstico Ambiental de Alternativas: Términos de referencia elaboración de Diagnóstico Ambiental de Alternativas para proyectos puntuales.  DA-TER-4-01.  Aprobado mediante Resolución 1255 del 30 de junio de 2006. </w:t>
      </w:r>
    </w:p>
    <w:p w:rsidR="00996570" w:rsidRPr="00996570" w:rsidRDefault="00996570" w:rsidP="005D3023">
      <w:pPr>
        <w:ind w:firstLine="708"/>
        <w:jc w:val="both"/>
        <w:rPr>
          <w:rFonts w:ascii="Arial" w:hAnsi="Arial" w:cs="Arial"/>
          <w:sz w:val="22"/>
          <w:lang w:val="es-CO"/>
        </w:rPr>
      </w:pPr>
      <w:r w:rsidRPr="00996570">
        <w:rPr>
          <w:rFonts w:ascii="Arial" w:hAnsi="Arial" w:cs="Arial"/>
          <w:sz w:val="22"/>
          <w:lang w:val="es-CO"/>
        </w:rPr>
        <w:t>(</w:t>
      </w:r>
      <w:hyperlink r:id="rId13" w:history="1">
        <w:r w:rsidRPr="00996570">
          <w:rPr>
            <w:rStyle w:val="Hipervnculo"/>
            <w:rFonts w:ascii="Arial" w:hAnsi="Arial" w:cs="Arial"/>
            <w:sz w:val="22"/>
            <w:lang w:val="es-CO"/>
          </w:rPr>
          <w:t>http://www.anla.gov.co/contenido/contenido.aspx?catID=144&amp;conID=7915</w:t>
        </w:r>
      </w:hyperlink>
      <w:r w:rsidRPr="00996570">
        <w:rPr>
          <w:rFonts w:ascii="Arial" w:hAnsi="Arial" w:cs="Arial"/>
          <w:sz w:val="22"/>
          <w:lang w:val="es-CO"/>
        </w:rPr>
        <w:t>)</w:t>
      </w:r>
    </w:p>
    <w:p w:rsidR="00996570" w:rsidRPr="00996570" w:rsidRDefault="00996570" w:rsidP="00996570">
      <w:pPr>
        <w:jc w:val="both"/>
        <w:rPr>
          <w:rFonts w:ascii="Arial" w:hAnsi="Arial" w:cs="Arial"/>
          <w:sz w:val="22"/>
          <w:lang w:val="es-CO"/>
        </w:rPr>
      </w:pPr>
    </w:p>
    <w:p w:rsidR="00996570" w:rsidRPr="00996570" w:rsidRDefault="00996570" w:rsidP="00996570">
      <w:pPr>
        <w:numPr>
          <w:ilvl w:val="0"/>
          <w:numId w:val="24"/>
        </w:numPr>
        <w:jc w:val="both"/>
        <w:rPr>
          <w:rFonts w:ascii="Arial" w:hAnsi="Arial" w:cs="Arial"/>
          <w:sz w:val="22"/>
          <w:lang w:val="es-CO"/>
        </w:rPr>
      </w:pPr>
      <w:r w:rsidRPr="00996570">
        <w:rPr>
          <w:rFonts w:ascii="Arial" w:hAnsi="Arial" w:cs="Arial"/>
          <w:sz w:val="22"/>
          <w:lang w:val="es-CO"/>
        </w:rPr>
        <w:t>Elaboración de Estudio de Impacto Ambiental: Términos de referencia para la elaboración del estudio de impacto ambiental para proyectos de construcción y/o ampliación de puertos marítimos de gran calado.  PU-TER-1-02 1281 del 30 de junio de 2006.  (</w:t>
      </w:r>
      <w:hyperlink r:id="rId14" w:history="1">
        <w:r w:rsidRPr="00996570">
          <w:rPr>
            <w:rStyle w:val="Hipervnculo"/>
            <w:rFonts w:ascii="Arial" w:hAnsi="Arial" w:cs="Arial"/>
            <w:sz w:val="22"/>
            <w:lang w:val="es-CO"/>
          </w:rPr>
          <w:t>http://www.anla.gov.co/contenido/contenido.aspx?catID=144&amp;conID=7915</w:t>
        </w:r>
      </w:hyperlink>
      <w:r w:rsidRPr="00996570">
        <w:rPr>
          <w:rFonts w:ascii="Arial" w:hAnsi="Arial" w:cs="Arial"/>
          <w:sz w:val="22"/>
          <w:lang w:val="es-CO"/>
        </w:rPr>
        <w:t>)</w:t>
      </w:r>
    </w:p>
    <w:p w:rsidR="00996570" w:rsidRDefault="00996570" w:rsidP="00996570">
      <w:pPr>
        <w:jc w:val="both"/>
        <w:rPr>
          <w:rFonts w:ascii="Arial" w:hAnsi="Arial" w:cs="Arial"/>
          <w:sz w:val="22"/>
          <w:lang w:val="es-CO"/>
        </w:rPr>
      </w:pPr>
    </w:p>
    <w:p w:rsidR="00270247" w:rsidRPr="00996570" w:rsidRDefault="00270247" w:rsidP="00996570">
      <w:pPr>
        <w:jc w:val="both"/>
        <w:rPr>
          <w:rFonts w:ascii="Arial" w:hAnsi="Arial" w:cs="Arial"/>
          <w:sz w:val="22"/>
          <w:lang w:val="es-CO"/>
        </w:rPr>
      </w:pPr>
    </w:p>
    <w:p w:rsidR="00386FC9" w:rsidRPr="005D3023" w:rsidRDefault="00386FC9" w:rsidP="005D3023">
      <w:pPr>
        <w:pStyle w:val="Prrafodelista"/>
        <w:numPr>
          <w:ilvl w:val="0"/>
          <w:numId w:val="27"/>
        </w:numPr>
        <w:jc w:val="both"/>
        <w:rPr>
          <w:rFonts w:ascii="Arial" w:hAnsi="Arial" w:cs="Arial"/>
          <w:b/>
          <w:i/>
          <w:sz w:val="22"/>
          <w:lang w:val="es-CO"/>
        </w:rPr>
      </w:pPr>
      <w:r w:rsidRPr="005D3023">
        <w:rPr>
          <w:rFonts w:ascii="Arial" w:hAnsi="Arial" w:cs="Arial"/>
          <w:b/>
          <w:i/>
          <w:sz w:val="22"/>
          <w:lang w:val="es-CO"/>
        </w:rPr>
        <w:t>¿Tiene la ANLA al interior de la institución un equipo científico que evalué la pertinencia  o no en  el otorgamiento de las licencias ambientales?</w:t>
      </w:r>
    </w:p>
    <w:p w:rsidR="00386FC9" w:rsidRPr="00386FC9" w:rsidRDefault="00386FC9" w:rsidP="00386FC9">
      <w:pPr>
        <w:jc w:val="both"/>
        <w:rPr>
          <w:rFonts w:ascii="Arial" w:hAnsi="Arial" w:cs="Arial"/>
          <w:sz w:val="22"/>
          <w:lang w:val="es-CO"/>
        </w:rPr>
      </w:pPr>
    </w:p>
    <w:p w:rsidR="00386FC9" w:rsidRPr="00386FC9" w:rsidRDefault="005D3023" w:rsidP="00386FC9">
      <w:pPr>
        <w:jc w:val="both"/>
        <w:rPr>
          <w:rFonts w:ascii="Arial" w:hAnsi="Arial" w:cs="Arial"/>
          <w:sz w:val="22"/>
          <w:lang w:val="es-CO"/>
        </w:rPr>
      </w:pPr>
      <w:r>
        <w:rPr>
          <w:rFonts w:ascii="Arial" w:hAnsi="Arial" w:cs="Arial"/>
          <w:sz w:val="22"/>
          <w:lang w:val="es-CO"/>
        </w:rPr>
        <w:t>La A</w:t>
      </w:r>
      <w:r w:rsidR="00386FC9" w:rsidRPr="00386FC9">
        <w:rPr>
          <w:rFonts w:ascii="Arial" w:hAnsi="Arial" w:cs="Arial"/>
          <w:sz w:val="22"/>
          <w:lang w:val="es-CO"/>
        </w:rPr>
        <w:t>NLA cuenta con un grupo de profesionales idóneos expertos en diferentes áreas del conocimiento, relacionadas con el manejo, aprovechamiento, uso y/o  afectación de los recursos naturales, del ambiente y sociales, necesarios para el cumplimiento de su labor misional; este equipo técnico elegido mediante un riguroso proceso de selección de personal, cuenta con las capacidades y experiencia suficientes, para evaluar, monitorear y hacer seguimiento a los proyectos de los diferentes sectores y a las solicitudes de licenciamiento objeto de nuestra competencia.</w:t>
      </w:r>
    </w:p>
    <w:p w:rsidR="00386FC9" w:rsidRDefault="00386FC9" w:rsidP="00386FC9">
      <w:pPr>
        <w:jc w:val="both"/>
        <w:rPr>
          <w:rFonts w:ascii="Arial" w:hAnsi="Arial" w:cs="Arial"/>
          <w:sz w:val="22"/>
          <w:lang w:val="es-CO"/>
        </w:rPr>
      </w:pPr>
    </w:p>
    <w:p w:rsidR="00270247" w:rsidRPr="00386FC9" w:rsidRDefault="00270247" w:rsidP="00386FC9">
      <w:pPr>
        <w:jc w:val="both"/>
        <w:rPr>
          <w:rFonts w:ascii="Arial" w:hAnsi="Arial" w:cs="Arial"/>
          <w:sz w:val="22"/>
          <w:lang w:val="es-CO"/>
        </w:rPr>
      </w:pPr>
    </w:p>
    <w:p w:rsidR="00386FC9" w:rsidRPr="005D3023" w:rsidRDefault="00386FC9" w:rsidP="005D3023">
      <w:pPr>
        <w:pStyle w:val="Prrafodelista"/>
        <w:numPr>
          <w:ilvl w:val="0"/>
          <w:numId w:val="27"/>
        </w:numPr>
        <w:jc w:val="both"/>
        <w:rPr>
          <w:rFonts w:ascii="Arial" w:hAnsi="Arial" w:cs="Arial"/>
          <w:b/>
          <w:i/>
          <w:sz w:val="22"/>
          <w:lang w:val="es-CO"/>
        </w:rPr>
      </w:pPr>
      <w:r w:rsidRPr="005D3023">
        <w:rPr>
          <w:rFonts w:ascii="Arial" w:hAnsi="Arial" w:cs="Arial"/>
          <w:b/>
          <w:i/>
          <w:sz w:val="22"/>
          <w:lang w:val="es-CO"/>
        </w:rPr>
        <w:t>¿Cómo se articula el trabajo de la ANLA con las corporaciones autónomas regionales para el otorgamiento de las licencias ambientales?</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 xml:space="preserve">La Ley 99 de 1993, en su artículo 49, consagra la obligatoriedad de la licencia ambiental para la ejecución de obras, el establecimiento y/ o el desarrollo de cualquier actividad  que pueda producir deterioro grave  a los recursos naturales renovables o al medio ambiente o introducir modificaciones  notorias al paisaje. Así mismo, esta misma Ley en su artículo 53, cita que el Gobierno Nacional por medio de reglamento establecerá los casos en que las corporaciones autónomas  regionales  otorgarán licencias ambientales.  Que en este mismo sentido, el Decreto 2820 del 5 de abril de 2010 por medio del cual se reglamenta el Título VIII de la Ley 99/93, en su Artículo 2, consagra las competencias de las autoridades ambientales para otorgar y/o negar licencias ambientales definiendo los proyectos obras y actividades  que son de competencia de la ANLA  (Artículo 8) y los casos  que por sus características y por jurisdicción, son de competencia de las corporaciones autónomas, de Desarrollo Sostenible, Grandes Centros Urbanos y las autoridades ambientales creadas mediante la ley 768 de 2002 (Artículo 9).  </w:t>
      </w:r>
    </w:p>
    <w:p w:rsidR="00386FC9" w:rsidRPr="00386FC9" w:rsidRDefault="00386FC9" w:rsidP="00386FC9">
      <w:pPr>
        <w:jc w:val="both"/>
        <w:rPr>
          <w:rFonts w:ascii="Arial" w:hAnsi="Arial" w:cs="Arial"/>
          <w:sz w:val="22"/>
          <w:lang w:val="es-CO"/>
        </w:rPr>
      </w:pPr>
    </w:p>
    <w:p w:rsidR="00386FC9" w:rsidRPr="00386FC9" w:rsidRDefault="00386FC9" w:rsidP="00386FC9">
      <w:pPr>
        <w:jc w:val="both"/>
        <w:rPr>
          <w:rFonts w:ascii="Arial" w:hAnsi="Arial" w:cs="Arial"/>
          <w:sz w:val="22"/>
          <w:lang w:val="es-CO"/>
        </w:rPr>
      </w:pPr>
      <w:r w:rsidRPr="00386FC9">
        <w:rPr>
          <w:rFonts w:ascii="Arial" w:hAnsi="Arial" w:cs="Arial"/>
          <w:sz w:val="22"/>
          <w:lang w:val="es-CO"/>
        </w:rPr>
        <w:t>Así las cosas, solamente en los casos en que la licencia ambiental NO es global y los permisos se encuentran a cargo de las Corporaciones, la ANLA articula con estas las labores de seguimiento y monitoreo sobre los permiso otorgados por ellas.  Por lo demás, cada autoridad cuenta con sus términos de referencia y sus manuales de procedimientos para evaluar y hacer monitoreo y seguimiento de los proyectos.</w:t>
      </w:r>
    </w:p>
    <w:p w:rsidR="00386FC9" w:rsidRPr="00386FC9" w:rsidRDefault="00386FC9" w:rsidP="00386FC9">
      <w:pPr>
        <w:jc w:val="both"/>
        <w:rPr>
          <w:rFonts w:ascii="Arial" w:hAnsi="Arial" w:cs="Arial"/>
          <w:sz w:val="22"/>
          <w:lang w:val="es-CO"/>
        </w:rPr>
      </w:pPr>
    </w:p>
    <w:p w:rsidR="00270247" w:rsidRDefault="00270247" w:rsidP="00386FC9">
      <w:pPr>
        <w:jc w:val="both"/>
        <w:rPr>
          <w:rFonts w:ascii="Arial" w:hAnsi="Arial" w:cs="Arial"/>
          <w:b/>
          <w:sz w:val="22"/>
          <w:lang w:val="es-CO"/>
        </w:rPr>
      </w:pPr>
    </w:p>
    <w:p w:rsidR="00270247" w:rsidRDefault="00270247" w:rsidP="00386FC9">
      <w:pPr>
        <w:jc w:val="both"/>
        <w:rPr>
          <w:rFonts w:ascii="Arial" w:hAnsi="Arial" w:cs="Arial"/>
          <w:b/>
          <w:sz w:val="22"/>
          <w:lang w:val="es-CO"/>
        </w:rPr>
      </w:pPr>
    </w:p>
    <w:p w:rsidR="00270247" w:rsidRDefault="00270247" w:rsidP="00386FC9">
      <w:pPr>
        <w:jc w:val="both"/>
        <w:rPr>
          <w:rFonts w:ascii="Arial" w:hAnsi="Arial" w:cs="Arial"/>
          <w:b/>
          <w:sz w:val="22"/>
          <w:lang w:val="es-CO"/>
        </w:rPr>
      </w:pPr>
    </w:p>
    <w:p w:rsidR="00386FC9" w:rsidRPr="00386FC9" w:rsidRDefault="00386FC9" w:rsidP="00386FC9">
      <w:pPr>
        <w:jc w:val="both"/>
        <w:rPr>
          <w:rFonts w:ascii="Arial" w:hAnsi="Arial" w:cs="Arial"/>
          <w:b/>
          <w:sz w:val="22"/>
          <w:lang w:val="es-CO"/>
        </w:rPr>
      </w:pPr>
      <w:r w:rsidRPr="00386FC9">
        <w:rPr>
          <w:rFonts w:ascii="Arial" w:hAnsi="Arial" w:cs="Arial"/>
          <w:b/>
          <w:sz w:val="22"/>
          <w:lang w:val="es-CO"/>
        </w:rPr>
        <w:t>PROPOSICIÓN 141</w:t>
      </w:r>
    </w:p>
    <w:p w:rsidR="00386FC9" w:rsidRPr="00386FC9" w:rsidRDefault="00386FC9" w:rsidP="00386FC9">
      <w:pPr>
        <w:jc w:val="both"/>
        <w:rPr>
          <w:rFonts w:ascii="Arial" w:hAnsi="Arial" w:cs="Arial"/>
          <w:b/>
          <w:sz w:val="22"/>
          <w:lang w:val="es-CO"/>
        </w:rPr>
      </w:pPr>
    </w:p>
    <w:p w:rsidR="00270247" w:rsidRDefault="00270247" w:rsidP="00386FC9">
      <w:pPr>
        <w:jc w:val="both"/>
        <w:rPr>
          <w:rFonts w:ascii="Arial" w:hAnsi="Arial" w:cs="Arial"/>
          <w:b/>
          <w:sz w:val="22"/>
          <w:lang w:val="es-CO"/>
        </w:rPr>
      </w:pPr>
    </w:p>
    <w:p w:rsidR="00386FC9" w:rsidRPr="00386FC9" w:rsidRDefault="00386FC9" w:rsidP="00386FC9">
      <w:pPr>
        <w:jc w:val="both"/>
        <w:rPr>
          <w:rFonts w:ascii="Arial" w:hAnsi="Arial" w:cs="Arial"/>
          <w:sz w:val="22"/>
          <w:lang w:val="es-CO"/>
        </w:rPr>
      </w:pPr>
      <w:r w:rsidRPr="00386FC9">
        <w:rPr>
          <w:rFonts w:ascii="Arial" w:hAnsi="Arial" w:cs="Arial"/>
          <w:b/>
          <w:sz w:val="22"/>
          <w:lang w:val="es-CO"/>
        </w:rPr>
        <w:t>Para la señora directora de la Autoridad Nacional de Licencias Ambientales (ANLA) doctora LUZ HELENA SARMIENTO:</w:t>
      </w:r>
    </w:p>
    <w:p w:rsidR="00386FC9" w:rsidRDefault="00386FC9" w:rsidP="00386FC9">
      <w:pPr>
        <w:jc w:val="both"/>
        <w:rPr>
          <w:rFonts w:ascii="Arial" w:hAnsi="Arial" w:cs="Arial"/>
          <w:sz w:val="22"/>
        </w:rPr>
      </w:pPr>
    </w:p>
    <w:p w:rsidR="00270247" w:rsidRPr="00386FC9" w:rsidRDefault="00270247" w:rsidP="00386FC9">
      <w:pPr>
        <w:jc w:val="both"/>
        <w:rPr>
          <w:rFonts w:ascii="Arial" w:hAnsi="Arial" w:cs="Arial"/>
          <w:sz w:val="22"/>
        </w:rPr>
      </w:pPr>
    </w:p>
    <w:p w:rsidR="00386FC9" w:rsidRPr="005D3023" w:rsidRDefault="00386FC9" w:rsidP="00386FC9">
      <w:pPr>
        <w:numPr>
          <w:ilvl w:val="0"/>
          <w:numId w:val="21"/>
        </w:numPr>
        <w:jc w:val="both"/>
        <w:rPr>
          <w:rFonts w:ascii="Arial" w:hAnsi="Arial" w:cs="Arial"/>
          <w:b/>
          <w:i/>
          <w:sz w:val="22"/>
        </w:rPr>
      </w:pPr>
      <w:r w:rsidRPr="005D3023">
        <w:rPr>
          <w:rFonts w:ascii="Arial" w:hAnsi="Arial" w:cs="Arial"/>
          <w:b/>
          <w:i/>
          <w:sz w:val="22"/>
        </w:rPr>
        <w:t>¿Cuánto personal y tiempo en promedio se destinó para el seguimiento a cada una de las licencias ambientales otorgadas a proyectos de exploración y explotación minera y de hidrocarburos, por año, desde la creación de la agencia hasta 2013?</w:t>
      </w:r>
    </w:p>
    <w:p w:rsidR="0050070B" w:rsidRPr="0050070B" w:rsidRDefault="0050070B" w:rsidP="0050070B">
      <w:pPr>
        <w:jc w:val="both"/>
        <w:rPr>
          <w:rFonts w:ascii="Arial" w:hAnsi="Arial" w:cs="Arial"/>
          <w:sz w:val="22"/>
          <w:lang w:val="es-CO"/>
        </w:rPr>
      </w:pPr>
    </w:p>
    <w:p w:rsidR="00270247" w:rsidRDefault="00270247" w:rsidP="00270247">
      <w:pPr>
        <w:jc w:val="both"/>
        <w:rPr>
          <w:rFonts w:ascii="Arial" w:hAnsi="Arial" w:cs="Arial"/>
          <w:sz w:val="22"/>
          <w:lang w:val="es-CO"/>
        </w:rPr>
      </w:pPr>
    </w:p>
    <w:p w:rsidR="00270247" w:rsidRPr="00386FC9" w:rsidRDefault="00270247" w:rsidP="00270247">
      <w:pPr>
        <w:jc w:val="both"/>
        <w:rPr>
          <w:rFonts w:ascii="Arial" w:hAnsi="Arial" w:cs="Arial"/>
          <w:sz w:val="22"/>
          <w:lang w:val="es-CO"/>
        </w:rPr>
      </w:pPr>
      <w:r w:rsidRPr="00386FC9">
        <w:rPr>
          <w:rFonts w:ascii="Arial" w:hAnsi="Arial" w:cs="Arial"/>
          <w:sz w:val="22"/>
          <w:lang w:val="es-CO"/>
        </w:rPr>
        <w:t xml:space="preserve">Teniendo en cuenta la respuesta anterior, </w:t>
      </w:r>
      <w:r>
        <w:rPr>
          <w:rFonts w:ascii="Arial" w:hAnsi="Arial" w:cs="Arial"/>
          <w:sz w:val="22"/>
          <w:lang w:val="es-CO"/>
        </w:rPr>
        <w:t xml:space="preserve">para el sector de minería, </w:t>
      </w:r>
      <w:r w:rsidRPr="00386FC9">
        <w:rPr>
          <w:rFonts w:ascii="Arial" w:hAnsi="Arial" w:cs="Arial"/>
          <w:sz w:val="22"/>
          <w:lang w:val="es-CO"/>
        </w:rPr>
        <w:t>desde la creación de la ANLA hasta la fecha</w:t>
      </w:r>
      <w:r>
        <w:rPr>
          <w:rFonts w:ascii="Arial" w:hAnsi="Arial" w:cs="Arial"/>
          <w:sz w:val="22"/>
          <w:lang w:val="es-CO"/>
        </w:rPr>
        <w:t>,</w:t>
      </w:r>
      <w:r w:rsidRPr="00386FC9">
        <w:rPr>
          <w:rFonts w:ascii="Arial" w:hAnsi="Arial" w:cs="Arial"/>
          <w:sz w:val="22"/>
          <w:lang w:val="es-CO"/>
        </w:rPr>
        <w:t xml:space="preserve"> sólo se asumió la competencia del proyecto de explotación de material del río Saldaña, desarrollada por la empresa CEMENTOS ARGOS S.A. en el municipio de Saldaña (Tolima). </w:t>
      </w:r>
      <w:r>
        <w:rPr>
          <w:rFonts w:ascii="Arial" w:hAnsi="Arial" w:cs="Arial"/>
          <w:sz w:val="22"/>
          <w:lang w:val="es-CO"/>
        </w:rPr>
        <w:t>Para dicho proyecto, d</w:t>
      </w:r>
      <w:r w:rsidRPr="00386FC9">
        <w:rPr>
          <w:rFonts w:ascii="Arial" w:hAnsi="Arial" w:cs="Arial"/>
          <w:sz w:val="22"/>
          <w:lang w:val="es-CO"/>
        </w:rPr>
        <w:t xml:space="preserve">esde que se modificó la licencia ambiental, inicialmente otorgada por CORTOLIMA, </w:t>
      </w:r>
      <w:r>
        <w:rPr>
          <w:rFonts w:ascii="Arial" w:hAnsi="Arial" w:cs="Arial"/>
          <w:sz w:val="22"/>
          <w:lang w:val="es-CO"/>
        </w:rPr>
        <w:t>s</w:t>
      </w:r>
      <w:r w:rsidRPr="00386FC9">
        <w:rPr>
          <w:rFonts w:ascii="Arial" w:hAnsi="Arial" w:cs="Arial"/>
          <w:sz w:val="22"/>
          <w:lang w:val="es-CO"/>
        </w:rPr>
        <w:t>e han realizado 2 visitas de seguimiento ambiental para las cuales la ANLA destinó 2 grupos de 3 profesionales cada uno (biótico, físico y social), acompañados de un profesional encargado de revisar el tema de las emisiones atmosféricas y la calidad del aire. Igualmente, este grupo técnico cuenta con la asesoría de un profesional en derecho, delegado para los aspectos netamente jurídicos.</w:t>
      </w:r>
    </w:p>
    <w:p w:rsidR="00270247" w:rsidRPr="00386FC9" w:rsidRDefault="00270247" w:rsidP="00270247">
      <w:pPr>
        <w:jc w:val="both"/>
        <w:rPr>
          <w:rFonts w:ascii="Arial" w:hAnsi="Arial" w:cs="Arial"/>
          <w:sz w:val="22"/>
          <w:lang w:val="es-CO"/>
        </w:rPr>
      </w:pPr>
    </w:p>
    <w:p w:rsidR="00270247" w:rsidRDefault="00270247" w:rsidP="00270247">
      <w:pPr>
        <w:jc w:val="both"/>
        <w:rPr>
          <w:rFonts w:ascii="Arial" w:hAnsi="Arial" w:cs="Arial"/>
          <w:sz w:val="22"/>
          <w:lang w:val="es-CO"/>
        </w:rPr>
      </w:pPr>
    </w:p>
    <w:p w:rsidR="00270247" w:rsidRDefault="00270247" w:rsidP="00270247">
      <w:pPr>
        <w:jc w:val="both"/>
        <w:rPr>
          <w:rFonts w:ascii="Arial" w:hAnsi="Arial" w:cs="Arial"/>
          <w:sz w:val="22"/>
          <w:lang w:val="es-CO"/>
        </w:rPr>
      </w:pPr>
      <w:r w:rsidRPr="00386FC9">
        <w:rPr>
          <w:rFonts w:ascii="Arial" w:hAnsi="Arial" w:cs="Arial"/>
          <w:sz w:val="22"/>
          <w:lang w:val="es-CO"/>
        </w:rPr>
        <w:t xml:space="preserve">Para cada seguimiento ambiental, desde la visita hasta la elaboración del respectivo concepto técnico, </w:t>
      </w:r>
      <w:r w:rsidRPr="008049AC">
        <w:rPr>
          <w:rFonts w:ascii="Arial" w:hAnsi="Arial" w:cs="Arial"/>
          <w:bCs/>
          <w:iCs/>
          <w:sz w:val="22"/>
          <w:lang w:val="es-CO"/>
        </w:rPr>
        <w:t>de acuerdo al manual de seguimiento ambiental no hay un tiempo estándar para el proceso de seguimiento</w:t>
      </w:r>
      <w:r>
        <w:rPr>
          <w:rFonts w:ascii="Arial" w:hAnsi="Arial" w:cs="Arial"/>
          <w:bCs/>
          <w:iCs/>
          <w:sz w:val="22"/>
          <w:lang w:val="es-CO"/>
        </w:rPr>
        <w:t xml:space="preserve">. </w:t>
      </w:r>
      <w:r w:rsidRPr="00386FC9">
        <w:rPr>
          <w:rFonts w:ascii="Arial" w:hAnsi="Arial" w:cs="Arial"/>
          <w:sz w:val="22"/>
          <w:lang w:val="es-CO"/>
        </w:rPr>
        <w:t>.</w:t>
      </w:r>
    </w:p>
    <w:p w:rsidR="00270247" w:rsidRDefault="00270247" w:rsidP="00270247">
      <w:pPr>
        <w:jc w:val="both"/>
        <w:rPr>
          <w:rFonts w:ascii="Arial" w:hAnsi="Arial" w:cs="Arial"/>
          <w:sz w:val="22"/>
          <w:lang w:val="es-CO"/>
        </w:rPr>
      </w:pPr>
    </w:p>
    <w:p w:rsidR="00270247" w:rsidRDefault="00270247" w:rsidP="00270247">
      <w:pPr>
        <w:jc w:val="both"/>
        <w:rPr>
          <w:rFonts w:ascii="Arial" w:hAnsi="Arial" w:cs="Arial"/>
          <w:bCs/>
          <w:iCs/>
          <w:sz w:val="22"/>
          <w:lang w:val="es-CO"/>
        </w:rPr>
      </w:pPr>
    </w:p>
    <w:p w:rsidR="00270247" w:rsidRDefault="00270247" w:rsidP="00270247">
      <w:pPr>
        <w:jc w:val="both"/>
        <w:rPr>
          <w:rFonts w:ascii="Arial" w:hAnsi="Arial" w:cs="Arial"/>
          <w:bCs/>
          <w:iCs/>
          <w:sz w:val="22"/>
          <w:lang w:val="es-CO"/>
        </w:rPr>
      </w:pPr>
      <w:r>
        <w:rPr>
          <w:rFonts w:ascii="Arial" w:hAnsi="Arial" w:cs="Arial"/>
          <w:bCs/>
          <w:iCs/>
          <w:sz w:val="22"/>
          <w:lang w:val="es-CO"/>
        </w:rPr>
        <w:t xml:space="preserve">En el sector de </w:t>
      </w:r>
      <w:r w:rsidRPr="008049AC">
        <w:rPr>
          <w:rFonts w:ascii="Arial" w:hAnsi="Arial" w:cs="Arial"/>
          <w:bCs/>
          <w:iCs/>
          <w:sz w:val="22"/>
          <w:lang w:val="es-CO"/>
        </w:rPr>
        <w:t>h</w:t>
      </w:r>
      <w:r w:rsidRPr="008049AC">
        <w:rPr>
          <w:rFonts w:ascii="Arial" w:hAnsi="Arial" w:cs="Arial"/>
          <w:sz w:val="22"/>
          <w:lang w:val="es-CO"/>
        </w:rPr>
        <w:t>idrocarburos</w:t>
      </w:r>
      <w:r>
        <w:rPr>
          <w:rFonts w:ascii="Arial" w:hAnsi="Arial" w:cs="Arial"/>
          <w:sz w:val="22"/>
          <w:lang w:val="es-CO"/>
        </w:rPr>
        <w:t>, p</w:t>
      </w:r>
      <w:r w:rsidRPr="008049AC">
        <w:rPr>
          <w:rFonts w:ascii="Arial" w:hAnsi="Arial" w:cs="Arial"/>
          <w:bCs/>
          <w:iCs/>
          <w:sz w:val="22"/>
          <w:lang w:val="es-CO"/>
        </w:rPr>
        <w:t xml:space="preserve">ara cada proyecto objeto de seguimiento ambiental se  destinan tres profesionales idóneos con formación en cada disciplina a saber (componente físico, componente biótico y componente social). </w:t>
      </w:r>
      <w:r>
        <w:rPr>
          <w:rFonts w:ascii="Arial" w:hAnsi="Arial" w:cs="Arial"/>
          <w:bCs/>
          <w:iCs/>
          <w:sz w:val="22"/>
          <w:lang w:val="es-CO"/>
        </w:rPr>
        <w:t>P</w:t>
      </w:r>
      <w:r w:rsidRPr="008049AC">
        <w:rPr>
          <w:rFonts w:ascii="Arial" w:hAnsi="Arial" w:cs="Arial"/>
          <w:bCs/>
          <w:iCs/>
          <w:sz w:val="22"/>
          <w:lang w:val="es-CO"/>
        </w:rPr>
        <w:t>ara realizar la visita y elaborar el concepto técnico, dos revisores (físico biótico y social) para hacer la r</w:t>
      </w:r>
      <w:r>
        <w:rPr>
          <w:rFonts w:ascii="Arial" w:hAnsi="Arial" w:cs="Arial"/>
          <w:bCs/>
          <w:iCs/>
          <w:sz w:val="22"/>
          <w:lang w:val="es-CO"/>
        </w:rPr>
        <w:t>evisión y aprobación del mismo.</w:t>
      </w:r>
    </w:p>
    <w:p w:rsidR="00270247" w:rsidRDefault="00270247" w:rsidP="00270247">
      <w:pPr>
        <w:jc w:val="both"/>
        <w:rPr>
          <w:rFonts w:ascii="Arial" w:hAnsi="Arial" w:cs="Arial"/>
          <w:bCs/>
          <w:iCs/>
          <w:sz w:val="22"/>
          <w:lang w:val="es-CO"/>
        </w:rPr>
      </w:pPr>
    </w:p>
    <w:p w:rsidR="00270247" w:rsidRDefault="00270247" w:rsidP="00270247">
      <w:pPr>
        <w:jc w:val="both"/>
        <w:rPr>
          <w:rFonts w:ascii="Arial" w:hAnsi="Arial" w:cs="Arial"/>
          <w:bCs/>
          <w:iCs/>
          <w:sz w:val="22"/>
          <w:lang w:val="es-CO"/>
        </w:rPr>
      </w:pPr>
    </w:p>
    <w:p w:rsidR="00270247" w:rsidRPr="008049AC" w:rsidRDefault="00270247" w:rsidP="00270247">
      <w:pPr>
        <w:jc w:val="both"/>
        <w:rPr>
          <w:rFonts w:ascii="Arial" w:hAnsi="Arial" w:cs="Arial"/>
          <w:bCs/>
          <w:iCs/>
          <w:sz w:val="22"/>
          <w:lang w:val="es-CO"/>
        </w:rPr>
      </w:pPr>
      <w:r w:rsidRPr="008049AC">
        <w:rPr>
          <w:rFonts w:ascii="Arial" w:hAnsi="Arial" w:cs="Arial"/>
          <w:bCs/>
          <w:iCs/>
          <w:sz w:val="22"/>
          <w:lang w:val="es-CO"/>
        </w:rPr>
        <w:t>El tiempo estimado para cada seguimiento varía de acuerdo a la complejidad del mismo, el cual puede oscilar entre tres (3) o cinco (5) días de visita dependiendo de las características del proyecto, además de la dedicación para la elaboración del concepto técnico, y el acto administrativo. Por esta razón y de acuerdo al manual de seguimiento ambiental no hay un tiempo estándar para el proceso de seguimiento.</w:t>
      </w:r>
    </w:p>
    <w:p w:rsidR="00270247" w:rsidRPr="008049AC" w:rsidRDefault="00270247" w:rsidP="00270247">
      <w:pPr>
        <w:jc w:val="both"/>
        <w:rPr>
          <w:rFonts w:ascii="Arial" w:hAnsi="Arial" w:cs="Arial"/>
          <w:bCs/>
          <w:iCs/>
          <w:sz w:val="22"/>
          <w:lang w:val="es-CO"/>
        </w:rPr>
      </w:pPr>
    </w:p>
    <w:p w:rsidR="00270247" w:rsidRDefault="00270247" w:rsidP="008049AC">
      <w:pPr>
        <w:jc w:val="both"/>
        <w:rPr>
          <w:rFonts w:ascii="Arial" w:hAnsi="Arial" w:cs="Arial"/>
          <w:bCs/>
          <w:iCs/>
          <w:sz w:val="22"/>
          <w:lang w:val="es-CO"/>
        </w:rPr>
      </w:pPr>
    </w:p>
    <w:p w:rsidR="00270247" w:rsidRDefault="00270247" w:rsidP="008049AC">
      <w:pPr>
        <w:jc w:val="both"/>
        <w:rPr>
          <w:rFonts w:ascii="Arial" w:hAnsi="Arial" w:cs="Arial"/>
          <w:bCs/>
          <w:iCs/>
          <w:sz w:val="22"/>
          <w:lang w:val="es-CO"/>
        </w:rPr>
      </w:pPr>
    </w:p>
    <w:p w:rsidR="008049AC" w:rsidRDefault="00270247" w:rsidP="008049AC">
      <w:pPr>
        <w:jc w:val="both"/>
        <w:rPr>
          <w:rFonts w:ascii="Arial" w:hAnsi="Arial" w:cs="Arial"/>
          <w:bCs/>
          <w:iCs/>
          <w:sz w:val="22"/>
          <w:lang w:val="es-CO"/>
        </w:rPr>
      </w:pPr>
      <w:r w:rsidRPr="008049AC">
        <w:rPr>
          <w:rFonts w:ascii="Arial" w:hAnsi="Arial" w:cs="Arial"/>
          <w:bCs/>
          <w:iCs/>
          <w:sz w:val="22"/>
          <w:lang w:val="es-CO"/>
        </w:rPr>
        <w:t xml:space="preserve">Finalmente es necesario indicar que en el 2012 se tenían 19 grupos de evaluación y seguimiento en el sector de hidrocarburos y en el 2013 se cuentan 8 grupos con exclusividad </w:t>
      </w:r>
      <w:r w:rsidRPr="008049AC">
        <w:rPr>
          <w:rFonts w:ascii="Arial" w:hAnsi="Arial" w:cs="Arial"/>
          <w:bCs/>
          <w:iCs/>
          <w:sz w:val="22"/>
          <w:lang w:val="es-CO"/>
        </w:rPr>
        <w:lastRenderedPageBreak/>
        <w:t>al seguimiento ambiental a proyectos de hidrocarburos, con un indicador promedio de 1.5 seguimientos por mes</w:t>
      </w:r>
      <w:r>
        <w:rPr>
          <w:rFonts w:ascii="Arial" w:hAnsi="Arial" w:cs="Arial"/>
          <w:bCs/>
          <w:iCs/>
          <w:sz w:val="22"/>
          <w:lang w:val="es-CO"/>
        </w:rPr>
        <w:t>,</w:t>
      </w:r>
      <w:r w:rsidRPr="008049AC">
        <w:rPr>
          <w:rFonts w:ascii="Arial" w:hAnsi="Arial" w:cs="Arial"/>
          <w:bCs/>
          <w:iCs/>
          <w:sz w:val="22"/>
          <w:lang w:val="es-CO"/>
        </w:rPr>
        <w:t xml:space="preserve"> por grupo.</w:t>
      </w:r>
    </w:p>
    <w:p w:rsidR="00270247" w:rsidRPr="008049AC" w:rsidRDefault="00270247" w:rsidP="008049AC">
      <w:pPr>
        <w:jc w:val="both"/>
        <w:rPr>
          <w:rFonts w:ascii="Arial" w:hAnsi="Arial" w:cs="Arial"/>
          <w:bCs/>
          <w:iCs/>
          <w:sz w:val="22"/>
          <w:highlight w:val="yellow"/>
          <w:lang w:val="es-CO"/>
        </w:rPr>
      </w:pPr>
    </w:p>
    <w:p w:rsidR="00202EC9" w:rsidRDefault="00737E95" w:rsidP="00344099">
      <w:pPr>
        <w:jc w:val="both"/>
        <w:rPr>
          <w:rFonts w:ascii="Arial" w:hAnsi="Arial" w:cs="Arial"/>
          <w:sz w:val="22"/>
          <w:lang w:val="es-CO"/>
        </w:rPr>
      </w:pPr>
      <w:r w:rsidRPr="000E37E7">
        <w:rPr>
          <w:rFonts w:ascii="Arial" w:hAnsi="Arial" w:cs="Arial"/>
          <w:sz w:val="22"/>
          <w:lang w:val="es-CO"/>
        </w:rPr>
        <w:t>Sin otro particular</w:t>
      </w:r>
      <w:r w:rsidR="004D1541" w:rsidRPr="000E37E7">
        <w:rPr>
          <w:rFonts w:ascii="Arial" w:hAnsi="Arial" w:cs="Arial"/>
          <w:sz w:val="22"/>
          <w:lang w:val="es-CO"/>
        </w:rPr>
        <w:t>.</w:t>
      </w:r>
    </w:p>
    <w:p w:rsidR="008049AC" w:rsidRPr="000E37E7" w:rsidRDefault="008049AC" w:rsidP="00344099">
      <w:pPr>
        <w:jc w:val="both"/>
        <w:rPr>
          <w:rFonts w:ascii="Arial" w:hAnsi="Arial" w:cs="Arial"/>
          <w:sz w:val="22"/>
          <w:lang w:val="es-CO"/>
        </w:rPr>
      </w:pPr>
    </w:p>
    <w:p w:rsidR="00202EC9" w:rsidRPr="000E37E7" w:rsidRDefault="00202EC9" w:rsidP="00202EC9">
      <w:pPr>
        <w:rPr>
          <w:rFonts w:ascii="Arial" w:hAnsi="Arial" w:cs="Arial"/>
          <w:sz w:val="22"/>
          <w:lang w:val="es-CO"/>
        </w:rPr>
      </w:pPr>
    </w:p>
    <w:p w:rsidR="00202EC9" w:rsidRDefault="00737E95" w:rsidP="00202EC9">
      <w:pPr>
        <w:rPr>
          <w:rFonts w:ascii="Arial" w:hAnsi="Arial" w:cs="Arial"/>
          <w:sz w:val="22"/>
          <w:lang w:val="es-CO"/>
        </w:rPr>
      </w:pPr>
      <w:r w:rsidRPr="000E37E7">
        <w:rPr>
          <w:rFonts w:ascii="Arial" w:hAnsi="Arial" w:cs="Arial"/>
          <w:sz w:val="22"/>
          <w:lang w:val="es-CO"/>
        </w:rPr>
        <w:t>Atentamen</w:t>
      </w:r>
      <w:r w:rsidR="00202EC9" w:rsidRPr="000E37E7">
        <w:rPr>
          <w:rFonts w:ascii="Arial" w:hAnsi="Arial" w:cs="Arial"/>
          <w:sz w:val="22"/>
          <w:lang w:val="es-CO"/>
        </w:rPr>
        <w:t>te,</w:t>
      </w:r>
    </w:p>
    <w:p w:rsidR="008049AC" w:rsidRPr="000E37E7" w:rsidRDefault="008049AC" w:rsidP="00202EC9">
      <w:pPr>
        <w:rPr>
          <w:rFonts w:ascii="Arial" w:hAnsi="Arial" w:cs="Arial"/>
          <w:sz w:val="22"/>
          <w:lang w:val="es-CO"/>
        </w:rPr>
      </w:pPr>
    </w:p>
    <w:p w:rsidR="00202EC9" w:rsidRDefault="00202EC9" w:rsidP="00202EC9">
      <w:pPr>
        <w:rPr>
          <w:rFonts w:ascii="Arial" w:hAnsi="Arial" w:cs="Arial"/>
          <w:sz w:val="22"/>
          <w:lang w:val="es-CO"/>
        </w:rPr>
      </w:pPr>
    </w:p>
    <w:p w:rsidR="008049AC" w:rsidRDefault="008049AC" w:rsidP="00202EC9">
      <w:pPr>
        <w:rPr>
          <w:rFonts w:ascii="Arial" w:hAnsi="Arial" w:cs="Arial"/>
          <w:sz w:val="22"/>
          <w:lang w:val="es-CO"/>
        </w:rPr>
      </w:pPr>
    </w:p>
    <w:p w:rsidR="005D3023" w:rsidRDefault="00270247" w:rsidP="00270247">
      <w:pPr>
        <w:jc w:val="center"/>
        <w:rPr>
          <w:rFonts w:ascii="Arial" w:hAnsi="Arial" w:cs="Arial"/>
          <w:b/>
          <w:sz w:val="22"/>
          <w:lang w:val="es-CO"/>
        </w:rPr>
      </w:pPr>
      <w:r>
        <w:rPr>
          <w:rFonts w:ascii="Arial" w:hAnsi="Arial" w:cs="Arial"/>
          <w:b/>
          <w:sz w:val="22"/>
          <w:lang w:val="es-CO"/>
        </w:rPr>
        <w:t xml:space="preserve">ROBERTH LESMES ORJUELA </w:t>
      </w:r>
    </w:p>
    <w:p w:rsidR="00270247" w:rsidRPr="00270247" w:rsidRDefault="00270247" w:rsidP="00270247">
      <w:pPr>
        <w:jc w:val="center"/>
        <w:rPr>
          <w:rFonts w:ascii="Arial" w:hAnsi="Arial" w:cs="Arial"/>
          <w:sz w:val="22"/>
          <w:lang w:val="es-CO"/>
        </w:rPr>
      </w:pPr>
      <w:r>
        <w:rPr>
          <w:rFonts w:ascii="Arial" w:hAnsi="Arial" w:cs="Arial"/>
          <w:sz w:val="22"/>
          <w:lang w:val="es-CO"/>
        </w:rPr>
        <w:t>Jefe Oficina Asesora Jurídica</w:t>
      </w:r>
    </w:p>
    <w:p w:rsidR="00202EC9" w:rsidRPr="000E37E7" w:rsidRDefault="00202EC9" w:rsidP="00202EC9">
      <w:pPr>
        <w:rPr>
          <w:rFonts w:ascii="Arial" w:hAnsi="Arial" w:cs="Arial"/>
          <w:lang w:val="es-CO"/>
        </w:rPr>
      </w:pPr>
    </w:p>
    <w:p w:rsidR="004724E8" w:rsidRDefault="004724E8" w:rsidP="00E63988">
      <w:pPr>
        <w:jc w:val="center"/>
        <w:rPr>
          <w:rFonts w:ascii="Arial" w:hAnsi="Arial" w:cs="Arial"/>
          <w:sz w:val="22"/>
          <w:szCs w:val="22"/>
        </w:rPr>
      </w:pPr>
    </w:p>
    <w:p w:rsidR="008049AC" w:rsidRDefault="008049AC" w:rsidP="00202EC9">
      <w:pPr>
        <w:rPr>
          <w:rFonts w:ascii="Arial" w:hAnsi="Arial" w:cs="Arial"/>
        </w:rPr>
      </w:pPr>
    </w:p>
    <w:p w:rsidR="008049AC" w:rsidRDefault="008049AC" w:rsidP="00202EC9">
      <w:pPr>
        <w:rPr>
          <w:rFonts w:ascii="Arial" w:hAnsi="Arial" w:cs="Arial"/>
        </w:rPr>
      </w:pPr>
    </w:p>
    <w:p w:rsidR="00202EC9" w:rsidRPr="000E37E7" w:rsidRDefault="004724E8" w:rsidP="00202EC9">
      <w:pPr>
        <w:rPr>
          <w:rFonts w:ascii="Arial" w:hAnsi="Arial" w:cs="Arial"/>
        </w:rPr>
      </w:pPr>
      <w:r>
        <w:rPr>
          <w:rFonts w:ascii="Arial" w:hAnsi="Arial" w:cs="Arial"/>
        </w:rPr>
        <w:t>Anexo: Lo anunciado en un (1) CD.</w:t>
      </w:r>
    </w:p>
    <w:p w:rsidR="00202EC9" w:rsidRDefault="00202EC9" w:rsidP="00202EC9">
      <w:pPr>
        <w:rPr>
          <w:rFonts w:ascii="Arial" w:hAnsi="Arial" w:cs="Arial"/>
          <w:lang w:val="es-CO"/>
        </w:rPr>
      </w:pPr>
    </w:p>
    <w:p w:rsidR="008049AC" w:rsidRDefault="008049AC" w:rsidP="00202EC9">
      <w:pPr>
        <w:rPr>
          <w:rFonts w:ascii="Arial" w:hAnsi="Arial" w:cs="Arial"/>
          <w:lang w:val="es-CO"/>
        </w:rPr>
      </w:pPr>
    </w:p>
    <w:p w:rsidR="008049AC" w:rsidRPr="000E37E7" w:rsidRDefault="008049AC" w:rsidP="00202EC9">
      <w:pPr>
        <w:rPr>
          <w:rFonts w:ascii="Arial" w:hAnsi="Arial" w:cs="Arial"/>
          <w:lang w:val="es-CO"/>
        </w:rPr>
      </w:pPr>
    </w:p>
    <w:p w:rsidR="00053D3F" w:rsidRPr="008049AC" w:rsidRDefault="00053D3F" w:rsidP="008049AC">
      <w:pPr>
        <w:jc w:val="both"/>
        <w:rPr>
          <w:rFonts w:ascii="Arial" w:hAnsi="Arial" w:cs="Arial"/>
          <w:bCs/>
          <w:iCs/>
          <w:sz w:val="14"/>
          <w:lang w:val="es-CO"/>
        </w:rPr>
      </w:pPr>
      <w:r w:rsidRPr="008049AC">
        <w:rPr>
          <w:rFonts w:ascii="Arial" w:hAnsi="Arial" w:cs="Arial"/>
          <w:bCs/>
          <w:iCs/>
          <w:sz w:val="14"/>
          <w:lang w:val="es-CO"/>
        </w:rPr>
        <w:t>Proyectó:</w:t>
      </w:r>
      <w:r w:rsidR="008049AC">
        <w:rPr>
          <w:rFonts w:ascii="Arial" w:hAnsi="Arial" w:cs="Arial"/>
          <w:bCs/>
          <w:iCs/>
          <w:sz w:val="14"/>
          <w:lang w:val="es-CO"/>
        </w:rPr>
        <w:tab/>
      </w:r>
      <w:r w:rsidRPr="008049AC">
        <w:rPr>
          <w:rFonts w:ascii="Arial" w:hAnsi="Arial" w:cs="Arial"/>
          <w:bCs/>
          <w:iCs/>
          <w:sz w:val="14"/>
          <w:lang w:val="es-CO"/>
        </w:rPr>
        <w:t xml:space="preserve">Jorge Eliécer Prada Ríos - Profesional Especializado / Subdirección Evaluación y Seguimiento </w:t>
      </w:r>
    </w:p>
    <w:p w:rsidR="00053D3F" w:rsidRPr="008049AC" w:rsidRDefault="00053D3F" w:rsidP="008049AC">
      <w:pPr>
        <w:ind w:firstLine="708"/>
        <w:jc w:val="both"/>
        <w:rPr>
          <w:rFonts w:ascii="Arial" w:hAnsi="Arial" w:cs="Arial"/>
          <w:bCs/>
          <w:iCs/>
          <w:sz w:val="14"/>
          <w:lang w:val="es-CO"/>
        </w:rPr>
      </w:pPr>
      <w:r w:rsidRPr="008049AC">
        <w:rPr>
          <w:rFonts w:ascii="Arial" w:hAnsi="Arial" w:cs="Arial"/>
          <w:bCs/>
          <w:iCs/>
          <w:sz w:val="14"/>
          <w:lang w:val="es-CO"/>
        </w:rPr>
        <w:t>María Fernanda Usubillaga / Abogada Subdirección Evaluación y Seguimiento</w:t>
      </w:r>
    </w:p>
    <w:p w:rsidR="00053D3F" w:rsidRPr="008049AC" w:rsidRDefault="00053D3F" w:rsidP="008049AC">
      <w:pPr>
        <w:ind w:firstLine="708"/>
        <w:jc w:val="both"/>
        <w:rPr>
          <w:rFonts w:ascii="Arial" w:hAnsi="Arial" w:cs="Arial"/>
          <w:bCs/>
          <w:iCs/>
          <w:sz w:val="14"/>
          <w:lang w:val="es-CO"/>
        </w:rPr>
      </w:pPr>
      <w:r w:rsidRPr="008049AC">
        <w:rPr>
          <w:rFonts w:ascii="Arial" w:hAnsi="Arial" w:cs="Arial"/>
          <w:bCs/>
          <w:iCs/>
          <w:sz w:val="14"/>
          <w:lang w:val="es-CO"/>
        </w:rPr>
        <w:t>Juan Carlos Mantilla / Subdirección Evaluación y Seguimiento</w:t>
      </w:r>
    </w:p>
    <w:p w:rsidR="00053D3F" w:rsidRPr="008049AC" w:rsidRDefault="00053D3F" w:rsidP="008049AC">
      <w:pPr>
        <w:jc w:val="both"/>
        <w:rPr>
          <w:rFonts w:ascii="Arial" w:hAnsi="Arial" w:cs="Arial"/>
          <w:bCs/>
          <w:iCs/>
          <w:sz w:val="14"/>
          <w:lang w:val="es-CO"/>
        </w:rPr>
      </w:pPr>
      <w:r w:rsidRPr="008049AC">
        <w:rPr>
          <w:rFonts w:ascii="Arial" w:hAnsi="Arial" w:cs="Arial"/>
          <w:bCs/>
          <w:iCs/>
          <w:sz w:val="14"/>
          <w:lang w:val="es-CO"/>
        </w:rPr>
        <w:t>Revisó:</w:t>
      </w:r>
      <w:r w:rsidR="008049AC">
        <w:rPr>
          <w:rFonts w:ascii="Arial" w:hAnsi="Arial" w:cs="Arial"/>
          <w:bCs/>
          <w:iCs/>
          <w:sz w:val="14"/>
          <w:lang w:val="es-CO"/>
        </w:rPr>
        <w:tab/>
      </w:r>
      <w:r w:rsidRPr="008049AC">
        <w:rPr>
          <w:rFonts w:ascii="Arial" w:hAnsi="Arial" w:cs="Arial"/>
          <w:bCs/>
          <w:iCs/>
          <w:sz w:val="14"/>
          <w:lang w:val="es-CO"/>
        </w:rPr>
        <w:t>Carolina Rovecchi - Profesional Especializado / Subdirección Evaluación y Seguimiento</w:t>
      </w:r>
    </w:p>
    <w:p w:rsidR="00053D3F" w:rsidRPr="008049AC" w:rsidRDefault="00053D3F" w:rsidP="008049AC">
      <w:pPr>
        <w:ind w:firstLine="708"/>
        <w:jc w:val="both"/>
        <w:rPr>
          <w:rFonts w:ascii="Arial" w:hAnsi="Arial" w:cs="Arial"/>
          <w:bCs/>
          <w:iCs/>
          <w:sz w:val="14"/>
          <w:lang w:val="es-CO"/>
        </w:rPr>
      </w:pPr>
      <w:r w:rsidRPr="008049AC">
        <w:rPr>
          <w:rFonts w:ascii="Arial" w:hAnsi="Arial" w:cs="Arial"/>
          <w:bCs/>
          <w:iCs/>
          <w:sz w:val="14"/>
          <w:lang w:val="es-CO"/>
        </w:rPr>
        <w:t>Laura Santoyo –Subdirección Evaluación y Seguimiento</w:t>
      </w:r>
    </w:p>
    <w:p w:rsidR="00053D3F" w:rsidRDefault="00053D3F" w:rsidP="008049AC">
      <w:pPr>
        <w:ind w:firstLine="708"/>
        <w:jc w:val="both"/>
        <w:rPr>
          <w:rFonts w:ascii="Arial" w:hAnsi="Arial" w:cs="Arial"/>
          <w:bCs/>
          <w:iCs/>
          <w:sz w:val="14"/>
          <w:lang w:val="es-CO"/>
        </w:rPr>
      </w:pPr>
      <w:r w:rsidRPr="008049AC">
        <w:rPr>
          <w:rFonts w:ascii="Arial" w:hAnsi="Arial" w:cs="Arial"/>
          <w:bCs/>
          <w:iCs/>
          <w:sz w:val="14"/>
          <w:lang w:val="es-CO"/>
        </w:rPr>
        <w:t>Juan David Herrera - Subdirección Evaluación y Seguimiento</w:t>
      </w:r>
    </w:p>
    <w:p w:rsidR="001D5C89" w:rsidRPr="008049AC" w:rsidRDefault="001D5C89" w:rsidP="008049AC">
      <w:pPr>
        <w:ind w:firstLine="708"/>
        <w:jc w:val="both"/>
        <w:rPr>
          <w:rFonts w:ascii="Arial" w:hAnsi="Arial" w:cs="Arial"/>
          <w:bCs/>
          <w:iCs/>
          <w:sz w:val="14"/>
          <w:lang w:val="es-CO"/>
        </w:rPr>
      </w:pPr>
      <w:r>
        <w:rPr>
          <w:rFonts w:ascii="Arial" w:hAnsi="Arial" w:cs="Arial"/>
          <w:bCs/>
          <w:iCs/>
          <w:sz w:val="14"/>
          <w:lang w:val="es-CO"/>
        </w:rPr>
        <w:t xml:space="preserve">Silvia Vanegas - </w:t>
      </w:r>
      <w:r w:rsidRPr="001D5C89">
        <w:rPr>
          <w:rFonts w:ascii="Arial" w:hAnsi="Arial" w:cs="Arial"/>
          <w:bCs/>
          <w:iCs/>
          <w:sz w:val="14"/>
          <w:lang w:val="es-CO"/>
        </w:rPr>
        <w:t>Subdirección Evaluación y Seguimiento</w:t>
      </w:r>
    </w:p>
    <w:p w:rsidR="00053D3F" w:rsidRPr="008049AC" w:rsidRDefault="00053D3F" w:rsidP="008049AC">
      <w:pPr>
        <w:jc w:val="both"/>
        <w:rPr>
          <w:rFonts w:ascii="Arial" w:hAnsi="Arial" w:cs="Arial"/>
          <w:bCs/>
          <w:iCs/>
          <w:sz w:val="14"/>
          <w:lang w:val="es-CO"/>
        </w:rPr>
      </w:pPr>
      <w:r w:rsidRPr="008049AC">
        <w:rPr>
          <w:rFonts w:ascii="Arial" w:hAnsi="Arial" w:cs="Arial"/>
          <w:bCs/>
          <w:iCs/>
          <w:sz w:val="14"/>
          <w:lang w:val="es-CO"/>
        </w:rPr>
        <w:t xml:space="preserve">Aprobó: </w:t>
      </w:r>
      <w:r w:rsidR="008049AC">
        <w:rPr>
          <w:rFonts w:ascii="Arial" w:hAnsi="Arial" w:cs="Arial"/>
          <w:bCs/>
          <w:iCs/>
          <w:sz w:val="14"/>
          <w:lang w:val="es-CO"/>
        </w:rPr>
        <w:tab/>
      </w:r>
      <w:r w:rsidRPr="008049AC">
        <w:rPr>
          <w:rFonts w:ascii="Arial" w:hAnsi="Arial" w:cs="Arial"/>
          <w:bCs/>
          <w:iCs/>
          <w:sz w:val="14"/>
          <w:lang w:val="es-CO"/>
        </w:rPr>
        <w:t xml:space="preserve">Nubia Orozco – Subdirectora Evaluación y Seguimiento </w:t>
      </w:r>
    </w:p>
    <w:p w:rsidR="004E1559" w:rsidRPr="008049AC" w:rsidRDefault="00053D3F" w:rsidP="008049AC">
      <w:pPr>
        <w:jc w:val="both"/>
        <w:rPr>
          <w:rFonts w:ascii="Arial" w:hAnsi="Arial" w:cs="Arial"/>
          <w:bCs/>
          <w:iCs/>
          <w:sz w:val="14"/>
          <w:lang w:val="es-CO"/>
        </w:rPr>
      </w:pPr>
      <w:r w:rsidRPr="008049AC">
        <w:rPr>
          <w:rFonts w:ascii="Arial" w:hAnsi="Arial" w:cs="Arial"/>
          <w:bCs/>
          <w:iCs/>
          <w:sz w:val="14"/>
          <w:lang w:val="es-CO"/>
        </w:rPr>
        <w:t xml:space="preserve">Consolidó: </w:t>
      </w:r>
      <w:r w:rsidR="008049AC">
        <w:rPr>
          <w:rFonts w:ascii="Arial" w:hAnsi="Arial" w:cs="Arial"/>
          <w:bCs/>
          <w:iCs/>
          <w:sz w:val="14"/>
          <w:lang w:val="es-CO"/>
        </w:rPr>
        <w:tab/>
      </w:r>
      <w:r w:rsidRPr="008049AC">
        <w:rPr>
          <w:rFonts w:ascii="Arial" w:hAnsi="Arial" w:cs="Arial"/>
          <w:bCs/>
          <w:iCs/>
          <w:sz w:val="14"/>
          <w:lang w:val="es-CO"/>
        </w:rPr>
        <w:t>Jenny Castro – Dirección General</w:t>
      </w:r>
    </w:p>
    <w:sectPr w:rsidR="004E1559" w:rsidRPr="008049AC" w:rsidSect="00F3567F">
      <w:headerReference w:type="even" r:id="rId15"/>
      <w:headerReference w:type="default" r:id="rId16"/>
      <w:footerReference w:type="default" r:id="rId17"/>
      <w:headerReference w:type="first" r:id="rId18"/>
      <w:type w:val="continuous"/>
      <w:pgSz w:w="12240" w:h="15840" w:code="1"/>
      <w:pgMar w:top="1985" w:right="1418" w:bottom="1843" w:left="1701" w:header="0" w:footer="7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4D4C" w:rsidRDefault="00BB4D4C" w:rsidP="008A0B78">
      <w:r>
        <w:separator/>
      </w:r>
    </w:p>
  </w:endnote>
  <w:endnote w:type="continuationSeparator" w:id="0">
    <w:p w:rsidR="00BB4D4C" w:rsidRDefault="00BB4D4C" w:rsidP="008A0B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65280421"/>
      <w:docPartObj>
        <w:docPartGallery w:val="Page Numbers (Bottom of Page)"/>
        <w:docPartUnique/>
      </w:docPartObj>
    </w:sdtPr>
    <w:sdtEndPr/>
    <w:sdtContent>
      <w:p w:rsidR="005B2642" w:rsidRDefault="005B2642">
        <w:pPr>
          <w:pStyle w:val="Piedepgina"/>
          <w:rPr>
            <w:noProof/>
            <w:lang w:eastAsia="es-CO"/>
          </w:rPr>
        </w:pPr>
        <w:r>
          <w:rPr>
            <w:noProof/>
            <w:lang w:eastAsia="es-CO"/>
          </w:rPr>
          <mc:AlternateContent>
            <mc:Choice Requires="wps">
              <w:drawing>
                <wp:anchor distT="0" distB="0" distL="114300" distR="114300" simplePos="0" relativeHeight="251682816" behindDoc="1" locked="0" layoutInCell="1" allowOverlap="1" wp14:anchorId="65591286" wp14:editId="25287FCA">
                  <wp:simplePos x="0" y="0"/>
                  <wp:positionH relativeFrom="column">
                    <wp:posOffset>-290195</wp:posOffset>
                  </wp:positionH>
                  <wp:positionV relativeFrom="paragraph">
                    <wp:posOffset>-222885</wp:posOffset>
                  </wp:positionV>
                  <wp:extent cx="2868295" cy="862330"/>
                  <wp:effectExtent l="0" t="0" r="0" b="0"/>
                  <wp:wrapTight wrapText="bothSides">
                    <wp:wrapPolygon edited="0">
                      <wp:start x="430" y="0"/>
                      <wp:lineTo x="430" y="20996"/>
                      <wp:lineTo x="21088" y="20996"/>
                      <wp:lineTo x="21088" y="0"/>
                      <wp:lineTo x="430" y="0"/>
                    </wp:wrapPolygon>
                  </wp:wrapTight>
                  <wp:docPr id="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8295" cy="862330"/>
                          </a:xfrm>
                          <a:prstGeom prst="rect">
                            <a:avLst/>
                          </a:prstGeom>
                          <a:noFill/>
                          <a:ln w="9525">
                            <a:noFill/>
                            <a:miter lim="800000"/>
                            <a:headEnd/>
                            <a:tailEnd/>
                          </a:ln>
                        </wps:spPr>
                        <wps:txbx>
                          <w:txbxContent>
                            <w:p w:rsidR="005B2642" w:rsidRDefault="005B2642" w:rsidP="007E6836">
                              <w:pPr>
                                <w:rPr>
                                  <w:rFonts w:ascii="Arial" w:hAnsi="Arial" w:cs="Arial"/>
                                  <w:b/>
                                  <w:color w:val="000000" w:themeColor="text1"/>
                                  <w:sz w:val="20"/>
                                  <w:szCs w:val="20"/>
                                  <w:lang w:val="es-CO"/>
                                </w:rPr>
                              </w:pPr>
                              <w:r w:rsidRPr="00F3567F">
                                <w:rPr>
                                  <w:rFonts w:ascii="Arial" w:hAnsi="Arial" w:cs="Arial"/>
                                  <w:b/>
                                  <w:color w:val="000000" w:themeColor="text1"/>
                                  <w:sz w:val="18"/>
                                  <w:szCs w:val="20"/>
                                </w:rPr>
                                <w:t>Calle 37 No. 8 – 40 Bogotá, D.C.  Edificio anexo</w:t>
                              </w:r>
                              <w:r w:rsidRPr="00F3567F">
                                <w:rPr>
                                  <w:rFonts w:ascii="Arial" w:hAnsi="Arial" w:cs="Arial"/>
                                  <w:b/>
                                  <w:color w:val="000000" w:themeColor="text1"/>
                                  <w:sz w:val="18"/>
                                  <w:szCs w:val="20"/>
                                </w:rPr>
                                <w:br/>
                              </w:r>
                              <w:r w:rsidRPr="00F3567F">
                                <w:rPr>
                                  <w:rFonts w:ascii="Arial" w:hAnsi="Arial" w:cs="Arial"/>
                                  <w:b/>
                                  <w:color w:val="000000" w:themeColor="text1"/>
                                  <w:sz w:val="18"/>
                                  <w:szCs w:val="20"/>
                                  <w:lang w:val="es-CO"/>
                                </w:rPr>
                                <w:t xml:space="preserve">PBX: 332 34 00 Ext. </w:t>
                              </w:r>
                              <w:r>
                                <w:rPr>
                                  <w:rFonts w:ascii="Arial" w:hAnsi="Arial" w:cs="Arial"/>
                                  <w:b/>
                                  <w:color w:val="000000" w:themeColor="text1"/>
                                  <w:sz w:val="18"/>
                                  <w:szCs w:val="20"/>
                                  <w:lang w:val="es-CO"/>
                                </w:rPr>
                                <w:t>2820</w:t>
                              </w:r>
                              <w:r w:rsidRPr="00F3567F">
                                <w:rPr>
                                  <w:rFonts w:ascii="Arial" w:hAnsi="Arial" w:cs="Arial"/>
                                  <w:b/>
                                  <w:color w:val="000000" w:themeColor="text1"/>
                                  <w:sz w:val="18"/>
                                  <w:szCs w:val="20"/>
                                  <w:lang w:val="es-CO"/>
                                </w:rPr>
                                <w:br/>
                              </w:r>
                              <w:hyperlink r:id="rId1" w:history="1">
                                <w:r w:rsidRPr="004F3500">
                                  <w:rPr>
                                    <w:rStyle w:val="Hipervnculo"/>
                                    <w:rFonts w:ascii="Arial" w:hAnsi="Arial" w:cs="Arial"/>
                                    <w:b/>
                                    <w:sz w:val="20"/>
                                    <w:szCs w:val="20"/>
                                    <w:lang w:val="es-CO"/>
                                  </w:rPr>
                                  <w:t>www.anla.gov.co</w:t>
                                </w:r>
                              </w:hyperlink>
                              <w:r>
                                <w:rPr>
                                  <w:rFonts w:ascii="Arial" w:hAnsi="Arial" w:cs="Arial"/>
                                  <w:b/>
                                  <w:color w:val="000000" w:themeColor="text1"/>
                                  <w:sz w:val="20"/>
                                  <w:szCs w:val="20"/>
                                  <w:lang w:val="es-CO"/>
                                </w:rPr>
                                <w:t xml:space="preserve"> </w:t>
                              </w:r>
                            </w:p>
                            <w:p w:rsidR="005B2642" w:rsidRDefault="005B2642" w:rsidP="007E6836">
                              <w:pPr>
                                <w:rPr>
                                  <w:rFonts w:ascii="Arial" w:hAnsi="Arial" w:cs="Arial"/>
                                  <w:b/>
                                  <w:color w:val="000000" w:themeColor="text1"/>
                                  <w:sz w:val="20"/>
                                  <w:szCs w:val="20"/>
                                  <w:lang w:val="es-CO"/>
                                </w:rPr>
                              </w:pPr>
                            </w:p>
                            <w:p w:rsidR="005B2642" w:rsidRPr="00A1278B" w:rsidRDefault="005B2642" w:rsidP="007E6836">
                              <w:pPr>
                                <w:rPr>
                                  <w:rFonts w:ascii="Arial" w:hAnsi="Arial" w:cs="Arial"/>
                                  <w:b/>
                                  <w:color w:val="000000" w:themeColor="text1"/>
                                  <w:sz w:val="20"/>
                                  <w:szCs w:val="20"/>
                                  <w:lang w:val="es-CO"/>
                                </w:rPr>
                              </w:pPr>
                              <w:r w:rsidRPr="00904D70">
                                <w:rPr>
                                  <w:rFonts w:ascii="Arial" w:hAnsi="Arial" w:cs="Arial"/>
                                  <w:b/>
                                  <w:color w:val="000000" w:themeColor="text1"/>
                                  <w:sz w:val="20"/>
                                  <w:szCs w:val="20"/>
                                  <w:lang w:val="es-CO"/>
                                </w:rPr>
                                <w:fldChar w:fldCharType="begin"/>
                              </w:r>
                              <w:r w:rsidRPr="00904D70">
                                <w:rPr>
                                  <w:rFonts w:ascii="Arial" w:hAnsi="Arial" w:cs="Arial"/>
                                  <w:b/>
                                  <w:color w:val="000000" w:themeColor="text1"/>
                                  <w:sz w:val="20"/>
                                  <w:szCs w:val="20"/>
                                  <w:lang w:val="es-CO"/>
                                </w:rPr>
                                <w:instrText>PAGE   \* MERGEFORMAT</w:instrText>
                              </w:r>
                              <w:r w:rsidRPr="00904D70">
                                <w:rPr>
                                  <w:rFonts w:ascii="Arial" w:hAnsi="Arial" w:cs="Arial"/>
                                  <w:b/>
                                  <w:color w:val="000000" w:themeColor="text1"/>
                                  <w:sz w:val="20"/>
                                  <w:szCs w:val="20"/>
                                  <w:lang w:val="es-CO"/>
                                </w:rPr>
                                <w:fldChar w:fldCharType="separate"/>
                              </w:r>
                              <w:r w:rsidR="00C7224A" w:rsidRPr="00C7224A">
                                <w:rPr>
                                  <w:rFonts w:ascii="Arial" w:hAnsi="Arial" w:cs="Arial"/>
                                  <w:b/>
                                  <w:noProof/>
                                  <w:color w:val="000000" w:themeColor="text1"/>
                                  <w:sz w:val="20"/>
                                  <w:szCs w:val="20"/>
                                </w:rPr>
                                <w:t>1</w:t>
                              </w:r>
                              <w:r w:rsidRPr="00904D70">
                                <w:rPr>
                                  <w:rFonts w:ascii="Arial" w:hAnsi="Arial" w:cs="Arial"/>
                                  <w:b/>
                                  <w:color w:val="000000" w:themeColor="text1"/>
                                  <w:sz w:val="20"/>
                                  <w:szCs w:val="20"/>
                                  <w:lang w:val="es-CO"/>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22.85pt;margin-top:-17.55pt;width:225.85pt;height:67.9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" filled="f" stroked="f">
                  <v:textbox>
                    <w:txbxContent>
                      <w:p w:rsidR="005B2642" w:rsidRDefault="005B2642" w:rsidP="007E6836">
                        <w:pPr>
                          <w:rPr>
                            <w:rFonts w:ascii="Arial" w:hAnsi="Arial" w:cs="Arial"/>
                            <w:b/>
                            <w:color w:val="000000" w:themeColor="text1"/>
                            <w:sz w:val="20"/>
                            <w:szCs w:val="20"/>
                            <w:lang w:val="es-CO"/>
                          </w:rPr>
                        </w:pPr>
                        <w:r w:rsidRPr="00F3567F">
                          <w:rPr>
                            <w:rFonts w:ascii="Arial" w:hAnsi="Arial" w:cs="Arial"/>
                            <w:b/>
                            <w:color w:val="000000" w:themeColor="text1"/>
                            <w:sz w:val="18"/>
                            <w:szCs w:val="20"/>
                          </w:rPr>
                          <w:t>Calle 37 No. 8 – 40 Bogotá, D.C.  Edificio anexo</w:t>
                        </w:r>
                        <w:r w:rsidRPr="00F3567F">
                          <w:rPr>
                            <w:rFonts w:ascii="Arial" w:hAnsi="Arial" w:cs="Arial"/>
                            <w:b/>
                            <w:color w:val="000000" w:themeColor="text1"/>
                            <w:sz w:val="18"/>
                            <w:szCs w:val="20"/>
                          </w:rPr>
                          <w:br/>
                        </w:r>
                        <w:r w:rsidRPr="00F3567F">
                          <w:rPr>
                            <w:rFonts w:ascii="Arial" w:hAnsi="Arial" w:cs="Arial"/>
                            <w:b/>
                            <w:color w:val="000000" w:themeColor="text1"/>
                            <w:sz w:val="18"/>
                            <w:szCs w:val="20"/>
                            <w:lang w:val="es-CO"/>
                          </w:rPr>
                          <w:t xml:space="preserve">PBX: 332 34 00 Ext. </w:t>
                        </w:r>
                        <w:r>
                          <w:rPr>
                            <w:rFonts w:ascii="Arial" w:hAnsi="Arial" w:cs="Arial"/>
                            <w:b/>
                            <w:color w:val="000000" w:themeColor="text1"/>
                            <w:sz w:val="18"/>
                            <w:szCs w:val="20"/>
                            <w:lang w:val="es-CO"/>
                          </w:rPr>
                          <w:t>2820</w:t>
                        </w:r>
                        <w:r w:rsidRPr="00F3567F">
                          <w:rPr>
                            <w:rFonts w:ascii="Arial" w:hAnsi="Arial" w:cs="Arial"/>
                            <w:b/>
                            <w:color w:val="000000" w:themeColor="text1"/>
                            <w:sz w:val="18"/>
                            <w:szCs w:val="20"/>
                            <w:lang w:val="es-CO"/>
                          </w:rPr>
                          <w:br/>
                        </w:r>
                        <w:hyperlink r:id="rId2" w:history="1">
                          <w:r w:rsidRPr="004F3500">
                            <w:rPr>
                              <w:rStyle w:val="Hipervnculo"/>
                              <w:rFonts w:ascii="Arial" w:hAnsi="Arial" w:cs="Arial"/>
                              <w:b/>
                              <w:sz w:val="20"/>
                              <w:szCs w:val="20"/>
                              <w:lang w:val="es-CO"/>
                            </w:rPr>
                            <w:t>www.anla.gov.co</w:t>
                          </w:r>
                        </w:hyperlink>
                        <w:r>
                          <w:rPr>
                            <w:rFonts w:ascii="Arial" w:hAnsi="Arial" w:cs="Arial"/>
                            <w:b/>
                            <w:color w:val="000000" w:themeColor="text1"/>
                            <w:sz w:val="20"/>
                            <w:szCs w:val="20"/>
                            <w:lang w:val="es-CO"/>
                          </w:rPr>
                          <w:t xml:space="preserve"> </w:t>
                        </w:r>
                      </w:p>
                      <w:p w:rsidR="005B2642" w:rsidRDefault="005B2642" w:rsidP="007E6836">
                        <w:pPr>
                          <w:rPr>
                            <w:rFonts w:ascii="Arial" w:hAnsi="Arial" w:cs="Arial"/>
                            <w:b/>
                            <w:color w:val="000000" w:themeColor="text1"/>
                            <w:sz w:val="20"/>
                            <w:szCs w:val="20"/>
                            <w:lang w:val="es-CO"/>
                          </w:rPr>
                        </w:pPr>
                      </w:p>
                      <w:p w:rsidR="005B2642" w:rsidRPr="00A1278B" w:rsidRDefault="005B2642" w:rsidP="007E6836">
                        <w:pPr>
                          <w:rPr>
                            <w:rFonts w:ascii="Arial" w:hAnsi="Arial" w:cs="Arial"/>
                            <w:b/>
                            <w:color w:val="000000" w:themeColor="text1"/>
                            <w:sz w:val="20"/>
                            <w:szCs w:val="20"/>
                            <w:lang w:val="es-CO"/>
                          </w:rPr>
                        </w:pPr>
                        <w:r w:rsidRPr="00904D70">
                          <w:rPr>
                            <w:rFonts w:ascii="Arial" w:hAnsi="Arial" w:cs="Arial"/>
                            <w:b/>
                            <w:color w:val="000000" w:themeColor="text1"/>
                            <w:sz w:val="20"/>
                            <w:szCs w:val="20"/>
                            <w:lang w:val="es-CO"/>
                          </w:rPr>
                          <w:fldChar w:fldCharType="begin"/>
                        </w:r>
                        <w:r w:rsidRPr="00904D70">
                          <w:rPr>
                            <w:rFonts w:ascii="Arial" w:hAnsi="Arial" w:cs="Arial"/>
                            <w:b/>
                            <w:color w:val="000000" w:themeColor="text1"/>
                            <w:sz w:val="20"/>
                            <w:szCs w:val="20"/>
                            <w:lang w:val="es-CO"/>
                          </w:rPr>
                          <w:instrText>PAGE   \* MERGEFORMAT</w:instrText>
                        </w:r>
                        <w:r w:rsidRPr="00904D70">
                          <w:rPr>
                            <w:rFonts w:ascii="Arial" w:hAnsi="Arial" w:cs="Arial"/>
                            <w:b/>
                            <w:color w:val="000000" w:themeColor="text1"/>
                            <w:sz w:val="20"/>
                            <w:szCs w:val="20"/>
                            <w:lang w:val="es-CO"/>
                          </w:rPr>
                          <w:fldChar w:fldCharType="separate"/>
                        </w:r>
                        <w:r w:rsidR="00C7224A" w:rsidRPr="00C7224A">
                          <w:rPr>
                            <w:rFonts w:ascii="Arial" w:hAnsi="Arial" w:cs="Arial"/>
                            <w:b/>
                            <w:noProof/>
                            <w:color w:val="000000" w:themeColor="text1"/>
                            <w:sz w:val="20"/>
                            <w:szCs w:val="20"/>
                          </w:rPr>
                          <w:t>1</w:t>
                        </w:r>
                        <w:r w:rsidRPr="00904D70">
                          <w:rPr>
                            <w:rFonts w:ascii="Arial" w:hAnsi="Arial" w:cs="Arial"/>
                            <w:b/>
                            <w:color w:val="000000" w:themeColor="text1"/>
                            <w:sz w:val="20"/>
                            <w:szCs w:val="20"/>
                            <w:lang w:val="es-CO"/>
                          </w:rPr>
                          <w:fldChar w:fldCharType="end"/>
                        </w:r>
                      </w:p>
                    </w:txbxContent>
                  </v:textbox>
                  <w10:wrap type="tight"/>
                </v:shape>
              </w:pict>
            </mc:Fallback>
          </mc:AlternateContent>
        </w:r>
        <w:r>
          <w:rPr>
            <w:noProof/>
            <w:lang w:eastAsia="es-CO"/>
          </w:rPr>
          <w:drawing>
            <wp:anchor distT="0" distB="0" distL="114300" distR="114300" simplePos="0" relativeHeight="251685888" behindDoc="0" locked="0" layoutInCell="1" allowOverlap="1" wp14:anchorId="1DBB2B72" wp14:editId="307E7DB2">
              <wp:simplePos x="0" y="0"/>
              <wp:positionH relativeFrom="column">
                <wp:posOffset>2869565</wp:posOffset>
              </wp:positionH>
              <wp:positionV relativeFrom="paragraph">
                <wp:posOffset>-111760</wp:posOffset>
              </wp:positionV>
              <wp:extent cx="3352800" cy="576580"/>
              <wp:effectExtent l="0" t="0" r="0" b="0"/>
              <wp:wrapNone/>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min-01-01-01.jpg"/>
                      <pic:cNvPicPr/>
                    </pic:nvPicPr>
                    <pic:blipFill rotWithShape="1">
                      <a:blip r:embed="rId3" cstate="print">
                        <a:extLst>
                          <a:ext uri="{28A0092B-C50C-407E-A947-70E740481C1C}">
                            <a14:useLocalDpi xmlns:a14="http://schemas.microsoft.com/office/drawing/2010/main" val="0"/>
                          </a:ext>
                        </a:extLst>
                      </a:blip>
                      <a:srcRect l="1748" r="1234"/>
                      <a:stretch/>
                    </pic:blipFill>
                    <pic:spPr bwMode="auto">
                      <a:xfrm>
                        <a:off x="0" y="0"/>
                        <a:ext cx="3352800" cy="576580"/>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es-CO"/>
          </w:rPr>
          <mc:AlternateContent>
            <mc:Choice Requires="wps">
              <w:drawing>
                <wp:anchor distT="0" distB="0" distL="114300" distR="114300" simplePos="0" relativeHeight="251654140" behindDoc="0" locked="0" layoutInCell="1" allowOverlap="1" wp14:anchorId="7FA8E1DD" wp14:editId="0CEDD113">
                  <wp:simplePos x="0" y="0"/>
                  <wp:positionH relativeFrom="column">
                    <wp:posOffset>2519680</wp:posOffset>
                  </wp:positionH>
                  <wp:positionV relativeFrom="paragraph">
                    <wp:posOffset>-263525</wp:posOffset>
                  </wp:positionV>
                  <wp:extent cx="4445635" cy="846455"/>
                  <wp:effectExtent l="0" t="0" r="0" b="0"/>
                  <wp:wrapNone/>
                  <wp:docPr id="7" name="7 Rectángulo redondeado"/>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635" cy="84645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7 Rectángulo redondeado" o:spid="_x0000_s1026" style="position:absolute;margin-left:198.4pt;margin-top:-20.75pt;width:350.05pt;height:66.65pt;z-index:2516541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" fillcolor="white [3212]" stroked="f" strokeweight="2pt">
                  <v:path arrowok="t"/>
                </v:roundrect>
              </w:pict>
            </mc:Fallback>
          </mc:AlternateContent>
        </w:r>
      </w:p>
      <w:p w:rsidR="005B2642" w:rsidRDefault="005B2642">
        <w:pPr>
          <w:pStyle w:val="Piedepgina"/>
        </w:pPr>
        <w:r>
          <w:rPr>
            <w:noProof/>
            <w:lang w:eastAsia="es-CO"/>
          </w:rPr>
          <mc:AlternateContent>
            <mc:Choice Requires="wps">
              <w:drawing>
                <wp:anchor distT="0" distB="0" distL="114300" distR="114300" simplePos="0" relativeHeight="251668480" behindDoc="1" locked="0" layoutInCell="1" allowOverlap="1" wp14:anchorId="1A7A8E10" wp14:editId="6AA8AC37">
                  <wp:simplePos x="0" y="0"/>
                  <wp:positionH relativeFrom="column">
                    <wp:posOffset>-291465</wp:posOffset>
                  </wp:positionH>
                  <wp:positionV relativeFrom="paragraph">
                    <wp:posOffset>144780</wp:posOffset>
                  </wp:positionV>
                  <wp:extent cx="987425" cy="328930"/>
                  <wp:effectExtent l="0" t="0" r="0" b="0"/>
                  <wp:wrapTight wrapText="bothSides">
                    <wp:wrapPolygon edited="0">
                      <wp:start x="1250" y="0"/>
                      <wp:lineTo x="1250" y="20015"/>
                      <wp:lineTo x="20003" y="20015"/>
                      <wp:lineTo x="20003" y="0"/>
                      <wp:lineTo x="1250" y="0"/>
                    </wp:wrapPolygon>
                  </wp:wrapTight>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7425" cy="328930"/>
                          </a:xfrm>
                          <a:prstGeom prst="rect">
                            <a:avLst/>
                          </a:prstGeom>
                          <a:noFill/>
                          <a:ln w="9525">
                            <a:noFill/>
                            <a:miter lim="800000"/>
                            <a:headEnd/>
                            <a:tailEnd/>
                          </a:ln>
                        </wps:spPr>
                        <wps:txbx>
                          <w:txbxContent>
                            <w:p w:rsidR="005B2642" w:rsidRPr="007E6836" w:rsidRDefault="005B2642">
                              <w:pPr>
                                <w:rPr>
                                  <w:color w:val="FFFFFF" w:themeColor="background1"/>
                                  <w:sz w:val="20"/>
                                </w:rPr>
                              </w:pPr>
                              <w:r w:rsidRPr="00904D70">
                                <w:rPr>
                                  <w:color w:val="FFFFFF" w:themeColor="background1"/>
                                  <w:sz w:val="20"/>
                                </w:rPr>
                                <w:fldChar w:fldCharType="begin"/>
                              </w:r>
                              <w:r w:rsidRPr="00904D70">
                                <w:rPr>
                                  <w:color w:val="FFFFFF" w:themeColor="background1"/>
                                  <w:sz w:val="20"/>
                                </w:rPr>
                                <w:instrText>PAGE   \* MERGEFORMAT</w:instrText>
                              </w:r>
                              <w:r w:rsidRPr="00904D70">
                                <w:rPr>
                                  <w:color w:val="FFFFFF" w:themeColor="background1"/>
                                  <w:sz w:val="20"/>
                                </w:rPr>
                                <w:fldChar w:fldCharType="separate"/>
                              </w:r>
                              <w:r w:rsidR="00C7224A">
                                <w:rPr>
                                  <w:noProof/>
                                  <w:color w:val="FFFFFF" w:themeColor="background1"/>
                                  <w:sz w:val="20"/>
                                </w:rPr>
                                <w:t>1</w:t>
                              </w:r>
                              <w:r w:rsidRPr="00904D70">
                                <w:rPr>
                                  <w:color w:val="FFFFFF" w:themeColor="background1"/>
                                  <w:sz w:val="20"/>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2.95pt;margin-top:11.4pt;width:77.75pt;height:25.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" filled="f" stroked="f">
                  <v:textbox>
                    <w:txbxContent>
                      <w:p w:rsidR="005B2642" w:rsidRPr="007E6836" w:rsidRDefault="005B2642">
                        <w:pPr>
                          <w:rPr>
                            <w:color w:val="FFFFFF" w:themeColor="background1"/>
                            <w:sz w:val="20"/>
                          </w:rPr>
                        </w:pPr>
                        <w:r w:rsidRPr="00904D70">
                          <w:rPr>
                            <w:color w:val="FFFFFF" w:themeColor="background1"/>
                            <w:sz w:val="20"/>
                          </w:rPr>
                          <w:fldChar w:fldCharType="begin"/>
                        </w:r>
                        <w:r w:rsidRPr="00904D70">
                          <w:rPr>
                            <w:color w:val="FFFFFF" w:themeColor="background1"/>
                            <w:sz w:val="20"/>
                          </w:rPr>
                          <w:instrText>PAGE   \* MERGEFORMAT</w:instrText>
                        </w:r>
                        <w:r w:rsidRPr="00904D70">
                          <w:rPr>
                            <w:color w:val="FFFFFF" w:themeColor="background1"/>
                            <w:sz w:val="20"/>
                          </w:rPr>
                          <w:fldChar w:fldCharType="separate"/>
                        </w:r>
                        <w:r w:rsidR="00C7224A">
                          <w:rPr>
                            <w:noProof/>
                            <w:color w:val="FFFFFF" w:themeColor="background1"/>
                            <w:sz w:val="20"/>
                          </w:rPr>
                          <w:t>1</w:t>
                        </w:r>
                        <w:r w:rsidRPr="00904D70">
                          <w:rPr>
                            <w:color w:val="FFFFFF" w:themeColor="background1"/>
                            <w:sz w:val="20"/>
                          </w:rPr>
                          <w:fldChar w:fldCharType="end"/>
                        </w:r>
                      </w:p>
                    </w:txbxContent>
                  </v:textbox>
                  <w10:wrap type="tight"/>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4D4C" w:rsidRDefault="00BB4D4C" w:rsidP="008A0B78">
      <w:r>
        <w:separator/>
      </w:r>
    </w:p>
  </w:footnote>
  <w:footnote w:type="continuationSeparator" w:id="0">
    <w:p w:rsidR="00BB4D4C" w:rsidRDefault="00BB4D4C" w:rsidP="008A0B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642" w:rsidRDefault="00BB4D4C">
    <w:pPr>
      <w:pStyle w:val="Encabezado"/>
    </w:pPr>
    <w:r>
      <w:rPr>
        <w:noProof/>
        <w:lang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6489096" o:spid="_x0000_s2053" type="#_x0000_t75" style="position:absolute;margin-left:0;margin-top:0;width:618.1pt;height:799.9pt;z-index:-251642880;mso-position-horizontal:center;mso-position-horizontal-relative:margin;mso-position-vertical:center;mso-position-vertical-relative:margin" o:allowincell="f">
          <v:imagedata r:id="rId1" o:title="fond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642" w:rsidRPr="00353F77" w:rsidRDefault="005B2642" w:rsidP="00244944">
    <w:pPr>
      <w:spacing w:after="100" w:afterAutospacing="1"/>
      <w:ind w:right="18"/>
      <w:rPr>
        <w:rFonts w:ascii="Arial" w:hAnsi="Arial" w:cs="Arial"/>
        <w:b/>
        <w:color w:val="256930"/>
        <w:sz w:val="22"/>
        <w:lang w:val="es-CO"/>
      </w:rPr>
    </w:pPr>
    <w:r>
      <w:rPr>
        <w:rFonts w:ascii="Arial" w:hAnsi="Arial" w:cs="Arial"/>
        <w:b/>
        <w:noProof/>
        <w:color w:val="256930"/>
        <w:sz w:val="22"/>
        <w:lang w:val="es-CO" w:eastAsia="es-CO"/>
      </w:rPr>
      <mc:AlternateContent>
        <mc:Choice Requires="wps">
          <w:drawing>
            <wp:anchor distT="0" distB="0" distL="114300" distR="114300" simplePos="0" relativeHeight="251675648" behindDoc="0" locked="0" layoutInCell="0" allowOverlap="1" wp14:anchorId="292B8AF4" wp14:editId="067E74F5">
              <wp:simplePos x="0" y="0"/>
              <wp:positionH relativeFrom="rightMargin">
                <wp:posOffset>-1935480</wp:posOffset>
              </wp:positionH>
              <wp:positionV relativeFrom="page">
                <wp:posOffset>445770</wp:posOffset>
              </wp:positionV>
              <wp:extent cx="2141855" cy="798830"/>
              <wp:effectExtent l="0" t="0" r="0" b="1270"/>
              <wp:wrapNone/>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1855" cy="798830"/>
                      </a:xfrm>
                      <a:prstGeom prst="rect">
                        <a:avLst/>
                      </a:prstGeom>
                      <a:noFill/>
                      <a:ln w="9525">
                        <a:noFill/>
                        <a:miter lim="800000"/>
                        <a:headEnd/>
                        <a:tailEnd/>
                      </a:ln>
                    </wps:spPr>
                    <wps:txbx>
                      <w:txbxContent>
                        <w:p w:rsidR="005B2642" w:rsidRPr="00E3757B" w:rsidRDefault="00270247" w:rsidP="004F103E">
                          <w:pPr>
                            <w:ind w:right="165"/>
                            <w:jc w:val="right"/>
                            <w:rPr>
                              <w:lang w:val="es-CO"/>
                            </w:rPr>
                          </w:pPr>
                          <w:r>
                            <w:rPr>
                              <w:rFonts w:ascii="Arial" w:hAnsi="Arial" w:cs="Arial"/>
                              <w:b/>
                              <w:color w:val="256930"/>
                              <w:sz w:val="22"/>
                              <w:lang w:val="es-CO"/>
                            </w:rPr>
                            <w:t xml:space="preserve">Oficina Asesora Jurídica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margin-left:-152.4pt;margin-top:35.1pt;width:168.65pt;height:62.9pt;z-index:2516756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" o:allowincell="f" filled="f" stroked="f">
              <v:textbox>
                <w:txbxContent>
                  <w:p w:rsidR="005B2642" w:rsidRPr="00E3757B" w:rsidRDefault="00270247" w:rsidP="004F103E">
                    <w:pPr>
                      <w:ind w:right="165"/>
                      <w:jc w:val="right"/>
                      <w:rPr>
                        <w:lang w:val="es-CO"/>
                      </w:rPr>
                    </w:pPr>
                    <w:r>
                      <w:rPr>
                        <w:rFonts w:ascii="Arial" w:hAnsi="Arial" w:cs="Arial"/>
                        <w:b/>
                        <w:color w:val="256930"/>
                        <w:sz w:val="22"/>
                        <w:lang w:val="es-CO"/>
                      </w:rPr>
                      <w:t xml:space="preserve">Oficina Asesora Jurídica </w:t>
                    </w:r>
                  </w:p>
                </w:txbxContent>
              </v:textbox>
              <w10:wrap anchorx="margin" anchory="page"/>
            </v:shape>
          </w:pict>
        </mc:Fallback>
      </mc:AlternateContent>
    </w:r>
    <w:r w:rsidRPr="00B55BE0">
      <w:rPr>
        <w:rFonts w:ascii="Arial" w:hAnsi="Arial" w:cs="Arial"/>
        <w:b/>
        <w:noProof/>
        <w:color w:val="256930"/>
        <w:sz w:val="22"/>
        <w:lang w:val="es-CO" w:eastAsia="es-CO"/>
      </w:rPr>
      <w:drawing>
        <wp:anchor distT="0" distB="0" distL="114300" distR="114300" simplePos="0" relativeHeight="251657215" behindDoc="1" locked="0" layoutInCell="1" allowOverlap="1" wp14:anchorId="3C5984F7" wp14:editId="514EC6C7">
          <wp:simplePos x="0" y="0"/>
          <wp:positionH relativeFrom="column">
            <wp:posOffset>-542925</wp:posOffset>
          </wp:positionH>
          <wp:positionV relativeFrom="paragraph">
            <wp:posOffset>185420</wp:posOffset>
          </wp:positionV>
          <wp:extent cx="2214245" cy="938530"/>
          <wp:effectExtent l="0" t="0" r="0" b="0"/>
          <wp:wrapNone/>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nla-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14245" cy="93853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2642" w:rsidRDefault="00BB4D4C">
    <w:pPr>
      <w:pStyle w:val="Encabezado"/>
    </w:pPr>
    <w:r>
      <w:rPr>
        <w:noProof/>
        <w:lang w:eastAsia="es-C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6489095" o:spid="_x0000_s2052" type="#_x0000_t75" style="position:absolute;margin-left:0;margin-top:0;width:618.1pt;height:799.9pt;z-index:-251643904;mso-position-horizontal:center;mso-position-horizontal-relative:margin;mso-position-vertical:center;mso-position-vertical-relative:margin" o:allowincell="f">
          <v:imagedata r:id="rId1" o:title="fondo"/>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C2EF6"/>
    <w:multiLevelType w:val="hybridMultilevel"/>
    <w:tmpl w:val="8434317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
    <w:nsid w:val="01A839EE"/>
    <w:multiLevelType w:val="hybridMultilevel"/>
    <w:tmpl w:val="3A0A182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nsid w:val="043D35F7"/>
    <w:multiLevelType w:val="hybridMultilevel"/>
    <w:tmpl w:val="C48A8B3C"/>
    <w:lvl w:ilvl="0" w:tplc="A1301BAE">
      <w:start w:val="1"/>
      <w:numFmt w:val="bullet"/>
      <w:lvlText w:val=""/>
      <w:lvlJc w:val="left"/>
      <w:pPr>
        <w:tabs>
          <w:tab w:val="num" w:pos="360"/>
        </w:tabs>
        <w:ind w:left="360" w:hanging="360"/>
      </w:pPr>
      <w:rPr>
        <w:rFonts w:ascii="Symbol" w:hAnsi="Symbol" w:hint="default"/>
        <w:color w:val="auto"/>
      </w:rPr>
    </w:lvl>
    <w:lvl w:ilvl="1" w:tplc="0C0A0005">
      <w:start w:val="1"/>
      <w:numFmt w:val="bullet"/>
      <w:lvlText w:val=""/>
      <w:lvlJc w:val="left"/>
      <w:pPr>
        <w:tabs>
          <w:tab w:val="num" w:pos="1080"/>
        </w:tabs>
        <w:ind w:left="1080" w:hanging="360"/>
      </w:pPr>
      <w:rPr>
        <w:rFonts w:ascii="Wingdings" w:hAnsi="Wingdings" w:hint="default"/>
        <w:color w:val="auto"/>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3">
    <w:nsid w:val="05A54719"/>
    <w:multiLevelType w:val="hybridMultilevel"/>
    <w:tmpl w:val="BD24980E"/>
    <w:lvl w:ilvl="0" w:tplc="240A000B">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
    <w:nsid w:val="0CAF3596"/>
    <w:multiLevelType w:val="hybridMultilevel"/>
    <w:tmpl w:val="760E71D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nsid w:val="0FA96735"/>
    <w:multiLevelType w:val="hybridMultilevel"/>
    <w:tmpl w:val="6298F05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6">
    <w:nsid w:val="24852A69"/>
    <w:multiLevelType w:val="hybridMultilevel"/>
    <w:tmpl w:val="85AED50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7">
    <w:nsid w:val="29381013"/>
    <w:multiLevelType w:val="hybridMultilevel"/>
    <w:tmpl w:val="B73ABFA8"/>
    <w:lvl w:ilvl="0" w:tplc="240A0001">
      <w:start w:val="1"/>
      <w:numFmt w:val="bullet"/>
      <w:lvlText w:val=""/>
      <w:lvlJc w:val="left"/>
      <w:pPr>
        <w:ind w:left="644"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8">
    <w:nsid w:val="29902C53"/>
    <w:multiLevelType w:val="hybridMultilevel"/>
    <w:tmpl w:val="683EA33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nsid w:val="326D4716"/>
    <w:multiLevelType w:val="hybridMultilevel"/>
    <w:tmpl w:val="D1DA0F3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
    <w:nsid w:val="366D2799"/>
    <w:multiLevelType w:val="hybridMultilevel"/>
    <w:tmpl w:val="80EEBEC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1">
    <w:nsid w:val="3AD53364"/>
    <w:multiLevelType w:val="hybridMultilevel"/>
    <w:tmpl w:val="7B68C846"/>
    <w:lvl w:ilvl="0" w:tplc="240A0001">
      <w:start w:val="1"/>
      <w:numFmt w:val="bullet"/>
      <w:lvlText w:val=""/>
      <w:lvlJc w:val="left"/>
      <w:pPr>
        <w:ind w:left="780" w:hanging="360"/>
      </w:pPr>
      <w:rPr>
        <w:rFonts w:ascii="Symbol" w:hAnsi="Symbol" w:hint="default"/>
      </w:rPr>
    </w:lvl>
    <w:lvl w:ilvl="1" w:tplc="240A0003">
      <w:start w:val="1"/>
      <w:numFmt w:val="bullet"/>
      <w:lvlText w:val="o"/>
      <w:lvlJc w:val="left"/>
      <w:pPr>
        <w:ind w:left="1500" w:hanging="360"/>
      </w:pPr>
      <w:rPr>
        <w:rFonts w:ascii="Courier New" w:hAnsi="Courier New" w:cs="Courier New" w:hint="default"/>
      </w:rPr>
    </w:lvl>
    <w:lvl w:ilvl="2" w:tplc="240A0005">
      <w:start w:val="1"/>
      <w:numFmt w:val="bullet"/>
      <w:lvlText w:val=""/>
      <w:lvlJc w:val="left"/>
      <w:pPr>
        <w:ind w:left="2220" w:hanging="360"/>
      </w:pPr>
      <w:rPr>
        <w:rFonts w:ascii="Wingdings" w:hAnsi="Wingdings" w:hint="default"/>
      </w:rPr>
    </w:lvl>
    <w:lvl w:ilvl="3" w:tplc="240A0001">
      <w:start w:val="1"/>
      <w:numFmt w:val="bullet"/>
      <w:lvlText w:val=""/>
      <w:lvlJc w:val="left"/>
      <w:pPr>
        <w:ind w:left="2940" w:hanging="360"/>
      </w:pPr>
      <w:rPr>
        <w:rFonts w:ascii="Symbol" w:hAnsi="Symbol" w:hint="default"/>
      </w:rPr>
    </w:lvl>
    <w:lvl w:ilvl="4" w:tplc="240A0003">
      <w:start w:val="1"/>
      <w:numFmt w:val="bullet"/>
      <w:lvlText w:val="o"/>
      <w:lvlJc w:val="left"/>
      <w:pPr>
        <w:ind w:left="3660" w:hanging="360"/>
      </w:pPr>
      <w:rPr>
        <w:rFonts w:ascii="Courier New" w:hAnsi="Courier New" w:cs="Courier New" w:hint="default"/>
      </w:rPr>
    </w:lvl>
    <w:lvl w:ilvl="5" w:tplc="240A0005">
      <w:start w:val="1"/>
      <w:numFmt w:val="bullet"/>
      <w:lvlText w:val=""/>
      <w:lvlJc w:val="left"/>
      <w:pPr>
        <w:ind w:left="4380" w:hanging="360"/>
      </w:pPr>
      <w:rPr>
        <w:rFonts w:ascii="Wingdings" w:hAnsi="Wingdings" w:hint="default"/>
      </w:rPr>
    </w:lvl>
    <w:lvl w:ilvl="6" w:tplc="240A0001">
      <w:start w:val="1"/>
      <w:numFmt w:val="bullet"/>
      <w:lvlText w:val=""/>
      <w:lvlJc w:val="left"/>
      <w:pPr>
        <w:ind w:left="5100" w:hanging="360"/>
      </w:pPr>
      <w:rPr>
        <w:rFonts w:ascii="Symbol" w:hAnsi="Symbol" w:hint="default"/>
      </w:rPr>
    </w:lvl>
    <w:lvl w:ilvl="7" w:tplc="240A0003">
      <w:start w:val="1"/>
      <w:numFmt w:val="bullet"/>
      <w:lvlText w:val="o"/>
      <w:lvlJc w:val="left"/>
      <w:pPr>
        <w:ind w:left="5820" w:hanging="360"/>
      </w:pPr>
      <w:rPr>
        <w:rFonts w:ascii="Courier New" w:hAnsi="Courier New" w:cs="Courier New" w:hint="default"/>
      </w:rPr>
    </w:lvl>
    <w:lvl w:ilvl="8" w:tplc="240A0005">
      <w:start w:val="1"/>
      <w:numFmt w:val="bullet"/>
      <w:lvlText w:val=""/>
      <w:lvlJc w:val="left"/>
      <w:pPr>
        <w:ind w:left="6540" w:hanging="360"/>
      </w:pPr>
      <w:rPr>
        <w:rFonts w:ascii="Wingdings" w:hAnsi="Wingdings" w:hint="default"/>
      </w:rPr>
    </w:lvl>
  </w:abstractNum>
  <w:abstractNum w:abstractNumId="12">
    <w:nsid w:val="3F48602F"/>
    <w:multiLevelType w:val="hybridMultilevel"/>
    <w:tmpl w:val="D0805DA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3">
    <w:nsid w:val="4D3E0BE5"/>
    <w:multiLevelType w:val="hybridMultilevel"/>
    <w:tmpl w:val="BE2C27E2"/>
    <w:lvl w:ilvl="0" w:tplc="EACC5290">
      <w:start w:val="1"/>
      <w:numFmt w:val="decimal"/>
      <w:lvlText w:val="%1."/>
      <w:lvlJc w:val="left"/>
      <w:pPr>
        <w:ind w:left="644" w:hanging="360"/>
      </w:pPr>
    </w:lvl>
    <w:lvl w:ilvl="1" w:tplc="240A0019">
      <w:start w:val="1"/>
      <w:numFmt w:val="lowerLetter"/>
      <w:lvlText w:val="%2."/>
      <w:lvlJc w:val="left"/>
      <w:pPr>
        <w:ind w:left="1364" w:hanging="360"/>
      </w:pPr>
    </w:lvl>
    <w:lvl w:ilvl="2" w:tplc="240A001B">
      <w:start w:val="1"/>
      <w:numFmt w:val="lowerRoman"/>
      <w:lvlText w:val="%3."/>
      <w:lvlJc w:val="right"/>
      <w:pPr>
        <w:ind w:left="2084" w:hanging="180"/>
      </w:pPr>
    </w:lvl>
    <w:lvl w:ilvl="3" w:tplc="240A000F">
      <w:start w:val="1"/>
      <w:numFmt w:val="decimal"/>
      <w:lvlText w:val="%4."/>
      <w:lvlJc w:val="left"/>
      <w:pPr>
        <w:ind w:left="2804" w:hanging="360"/>
      </w:pPr>
    </w:lvl>
    <w:lvl w:ilvl="4" w:tplc="240A0019">
      <w:start w:val="1"/>
      <w:numFmt w:val="lowerLetter"/>
      <w:lvlText w:val="%5."/>
      <w:lvlJc w:val="left"/>
      <w:pPr>
        <w:ind w:left="3524" w:hanging="360"/>
      </w:pPr>
    </w:lvl>
    <w:lvl w:ilvl="5" w:tplc="240A001B">
      <w:start w:val="1"/>
      <w:numFmt w:val="lowerRoman"/>
      <w:lvlText w:val="%6."/>
      <w:lvlJc w:val="right"/>
      <w:pPr>
        <w:ind w:left="4244" w:hanging="180"/>
      </w:pPr>
    </w:lvl>
    <w:lvl w:ilvl="6" w:tplc="240A000F">
      <w:start w:val="1"/>
      <w:numFmt w:val="decimal"/>
      <w:lvlText w:val="%7."/>
      <w:lvlJc w:val="left"/>
      <w:pPr>
        <w:ind w:left="4964" w:hanging="360"/>
      </w:pPr>
    </w:lvl>
    <w:lvl w:ilvl="7" w:tplc="240A0019">
      <w:start w:val="1"/>
      <w:numFmt w:val="lowerLetter"/>
      <w:lvlText w:val="%8."/>
      <w:lvlJc w:val="left"/>
      <w:pPr>
        <w:ind w:left="5684" w:hanging="360"/>
      </w:pPr>
    </w:lvl>
    <w:lvl w:ilvl="8" w:tplc="240A001B">
      <w:start w:val="1"/>
      <w:numFmt w:val="lowerRoman"/>
      <w:lvlText w:val="%9."/>
      <w:lvlJc w:val="right"/>
      <w:pPr>
        <w:ind w:left="6404" w:hanging="180"/>
      </w:pPr>
    </w:lvl>
  </w:abstractNum>
  <w:abstractNum w:abstractNumId="14">
    <w:nsid w:val="4E0312CD"/>
    <w:multiLevelType w:val="hybridMultilevel"/>
    <w:tmpl w:val="4B78967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5">
    <w:nsid w:val="4F7D2562"/>
    <w:multiLevelType w:val="hybridMultilevel"/>
    <w:tmpl w:val="576C62E8"/>
    <w:lvl w:ilvl="0" w:tplc="C5C6F52A">
      <w:numFmt w:val="bullet"/>
      <w:lvlText w:val="-"/>
      <w:lvlJc w:val="left"/>
      <w:pPr>
        <w:tabs>
          <w:tab w:val="num" w:pos="540"/>
        </w:tabs>
        <w:ind w:left="540" w:hanging="360"/>
      </w:pPr>
      <w:rPr>
        <w:rFonts w:ascii="Times New Roman" w:eastAsia="Times New Roman" w:hAnsi="Times New Roman" w:cs="Times New Roman" w:hint="default"/>
        <w:i w:val="0"/>
      </w:rPr>
    </w:lvl>
    <w:lvl w:ilvl="1" w:tplc="4E6AB44C">
      <w:numFmt w:val="bullet"/>
      <w:lvlText w:val=""/>
      <w:lvlJc w:val="left"/>
      <w:pPr>
        <w:tabs>
          <w:tab w:val="num" w:pos="1440"/>
        </w:tabs>
        <w:ind w:left="1440" w:hanging="360"/>
      </w:pPr>
      <w:rPr>
        <w:rFonts w:ascii="Symbol" w:eastAsia="Times New Roman" w:hAnsi="Symbol" w:hint="default"/>
        <w:i w:val="0"/>
        <w:color w:val="auto"/>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nsid w:val="573602E4"/>
    <w:multiLevelType w:val="hybridMultilevel"/>
    <w:tmpl w:val="26A28C02"/>
    <w:lvl w:ilvl="0" w:tplc="240A0017">
      <w:start w:val="1"/>
      <w:numFmt w:val="lowerLetter"/>
      <w:lvlText w:val="%1)"/>
      <w:lvlJc w:val="left"/>
      <w:pPr>
        <w:ind w:left="360" w:hanging="360"/>
      </w:pPr>
      <w:rPr>
        <w:rFonts w:hint="default"/>
      </w:rPr>
    </w:lvl>
    <w:lvl w:ilvl="1" w:tplc="240A0019" w:tentative="1">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7">
    <w:nsid w:val="5E646F13"/>
    <w:multiLevelType w:val="hybridMultilevel"/>
    <w:tmpl w:val="1CB0CE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67D23C5F"/>
    <w:multiLevelType w:val="hybridMultilevel"/>
    <w:tmpl w:val="87649C48"/>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9">
    <w:nsid w:val="6A174867"/>
    <w:multiLevelType w:val="hybridMultilevel"/>
    <w:tmpl w:val="9600EE82"/>
    <w:lvl w:ilvl="0" w:tplc="0C0A000F">
      <w:start w:val="1"/>
      <w:numFmt w:val="decimal"/>
      <w:lvlText w:val="%1."/>
      <w:lvlJc w:val="left"/>
      <w:pPr>
        <w:ind w:left="1440" w:hanging="360"/>
      </w:pPr>
      <w:rPr>
        <w:rFonts w:hint="default"/>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0">
    <w:nsid w:val="6F8C1466"/>
    <w:multiLevelType w:val="hybridMultilevel"/>
    <w:tmpl w:val="5DBAFF7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nsid w:val="798826DB"/>
    <w:multiLevelType w:val="hybridMultilevel"/>
    <w:tmpl w:val="CB088DDA"/>
    <w:lvl w:ilvl="0" w:tplc="C5C6F52A">
      <w:numFmt w:val="bullet"/>
      <w:lvlText w:val="-"/>
      <w:lvlJc w:val="left"/>
      <w:pPr>
        <w:ind w:left="360" w:hanging="360"/>
      </w:pPr>
      <w:rPr>
        <w:rFonts w:ascii="Times New Roman" w:eastAsia="Times New Roman" w:hAnsi="Times New Roman" w:cs="Times New Roman" w:hint="default"/>
        <w:i w:val="0"/>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
    <w:nsid w:val="7DBC725C"/>
    <w:multiLevelType w:val="hybridMultilevel"/>
    <w:tmpl w:val="E7F69042"/>
    <w:lvl w:ilvl="0" w:tplc="C5C6F52A">
      <w:numFmt w:val="bullet"/>
      <w:lvlText w:val="-"/>
      <w:lvlJc w:val="left"/>
      <w:pPr>
        <w:ind w:left="360" w:hanging="360"/>
      </w:pPr>
      <w:rPr>
        <w:rFonts w:ascii="Times New Roman" w:eastAsia="Times New Roman" w:hAnsi="Times New Roman" w:cs="Times New Roman" w:hint="default"/>
        <w:i w:val="0"/>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3">
    <w:nsid w:val="7ED90D56"/>
    <w:multiLevelType w:val="hybridMultilevel"/>
    <w:tmpl w:val="B2B2C878"/>
    <w:lvl w:ilvl="0" w:tplc="240A000B">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20"/>
  </w:num>
  <w:num w:numId="4">
    <w:abstractNumId w:val="6"/>
  </w:num>
  <w:num w:numId="5">
    <w:abstractNumId w:val="6"/>
  </w:num>
  <w:num w:numId="6">
    <w:abstractNumId w:val="17"/>
  </w:num>
  <w:num w:numId="7">
    <w:abstractNumId w:val="1"/>
  </w:num>
  <w:num w:numId="8">
    <w:abstractNumId w:val="7"/>
  </w:num>
  <w:num w:numId="9">
    <w:abstractNumId w:val="12"/>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11"/>
  </w:num>
  <w:num w:numId="13">
    <w:abstractNumId w:val="4"/>
  </w:num>
  <w:num w:numId="14">
    <w:abstractNumId w:val="9"/>
  </w:num>
  <w:num w:numId="15">
    <w:abstractNumId w:val="2"/>
  </w:num>
  <w:num w:numId="16">
    <w:abstractNumId w:val="15"/>
  </w:num>
  <w:num w:numId="17">
    <w:abstractNumId w:val="16"/>
  </w:num>
  <w:num w:numId="18">
    <w:abstractNumId w:val="19"/>
  </w:num>
  <w:num w:numId="19">
    <w:abstractNumId w:val="3"/>
  </w:num>
  <w:num w:numId="20">
    <w:abstractNumId w:val="8"/>
  </w:num>
  <w:num w:numId="21">
    <w:abstractNumId w:val="14"/>
  </w:num>
  <w:num w:numId="22">
    <w:abstractNumId w:val="8"/>
  </w:num>
  <w:num w:numId="23">
    <w:abstractNumId w:val="1"/>
  </w:num>
  <w:num w:numId="24">
    <w:abstractNumId w:val="6"/>
  </w:num>
  <w:num w:numId="25">
    <w:abstractNumId w:val="23"/>
  </w:num>
  <w:num w:numId="26">
    <w:abstractNumId w:val="21"/>
  </w:num>
  <w:num w:numId="27">
    <w:abstractNumId w:val="22"/>
  </w:num>
  <w:num w:numId="28">
    <w:abstractNumId w:val="18"/>
  </w:num>
  <w:num w:numId="29">
    <w:abstractNumId w:val="0"/>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isplayBackgroundShape/>
  <w:gutterAtTop/>
  <w:trackRevisions/>
  <w:defaultTabStop w:val="708"/>
  <w:hyphenationZone w:val="425"/>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0B78"/>
    <w:rsid w:val="0000390C"/>
    <w:rsid w:val="000178C0"/>
    <w:rsid w:val="00021205"/>
    <w:rsid w:val="00043DD1"/>
    <w:rsid w:val="00053414"/>
    <w:rsid w:val="00053D3F"/>
    <w:rsid w:val="000669D4"/>
    <w:rsid w:val="00073F06"/>
    <w:rsid w:val="00087433"/>
    <w:rsid w:val="000A1363"/>
    <w:rsid w:val="000A5E2D"/>
    <w:rsid w:val="000A6A91"/>
    <w:rsid w:val="000A6CFF"/>
    <w:rsid w:val="000B0DE4"/>
    <w:rsid w:val="000B202F"/>
    <w:rsid w:val="000C3113"/>
    <w:rsid w:val="000D0818"/>
    <w:rsid w:val="000D6591"/>
    <w:rsid w:val="000D7799"/>
    <w:rsid w:val="000E37E7"/>
    <w:rsid w:val="00115C7F"/>
    <w:rsid w:val="00124D54"/>
    <w:rsid w:val="001422B4"/>
    <w:rsid w:val="00160344"/>
    <w:rsid w:val="001D3742"/>
    <w:rsid w:val="001D5C89"/>
    <w:rsid w:val="001D66A9"/>
    <w:rsid w:val="001E3785"/>
    <w:rsid w:val="00202EC9"/>
    <w:rsid w:val="00206739"/>
    <w:rsid w:val="0021668F"/>
    <w:rsid w:val="0022715F"/>
    <w:rsid w:val="002340C8"/>
    <w:rsid w:val="00244944"/>
    <w:rsid w:val="00265963"/>
    <w:rsid w:val="00270247"/>
    <w:rsid w:val="002A66D1"/>
    <w:rsid w:val="002B40A0"/>
    <w:rsid w:val="002C1DF1"/>
    <w:rsid w:val="002D2D9A"/>
    <w:rsid w:val="002F010F"/>
    <w:rsid w:val="00301BAD"/>
    <w:rsid w:val="0031017A"/>
    <w:rsid w:val="00312633"/>
    <w:rsid w:val="0034032B"/>
    <w:rsid w:val="00344099"/>
    <w:rsid w:val="00353F77"/>
    <w:rsid w:val="00357245"/>
    <w:rsid w:val="003654F6"/>
    <w:rsid w:val="003736A7"/>
    <w:rsid w:val="00385108"/>
    <w:rsid w:val="00386FC9"/>
    <w:rsid w:val="003931FC"/>
    <w:rsid w:val="0039759F"/>
    <w:rsid w:val="003A7658"/>
    <w:rsid w:val="003B795E"/>
    <w:rsid w:val="003C0328"/>
    <w:rsid w:val="003F4D12"/>
    <w:rsid w:val="00402478"/>
    <w:rsid w:val="00407A7C"/>
    <w:rsid w:val="00434967"/>
    <w:rsid w:val="00441606"/>
    <w:rsid w:val="004504BC"/>
    <w:rsid w:val="004724E8"/>
    <w:rsid w:val="0048761C"/>
    <w:rsid w:val="004D1541"/>
    <w:rsid w:val="004D4502"/>
    <w:rsid w:val="004D7A21"/>
    <w:rsid w:val="004E1559"/>
    <w:rsid w:val="004E4195"/>
    <w:rsid w:val="004F103E"/>
    <w:rsid w:val="004F7B17"/>
    <w:rsid w:val="0050070B"/>
    <w:rsid w:val="00520D43"/>
    <w:rsid w:val="00527BC4"/>
    <w:rsid w:val="00540010"/>
    <w:rsid w:val="005424C6"/>
    <w:rsid w:val="005762EB"/>
    <w:rsid w:val="00577508"/>
    <w:rsid w:val="00584788"/>
    <w:rsid w:val="00592540"/>
    <w:rsid w:val="005B2642"/>
    <w:rsid w:val="005D3023"/>
    <w:rsid w:val="00623555"/>
    <w:rsid w:val="006238DF"/>
    <w:rsid w:val="00665A0D"/>
    <w:rsid w:val="006720DA"/>
    <w:rsid w:val="00694FF9"/>
    <w:rsid w:val="006A498B"/>
    <w:rsid w:val="006B2F2C"/>
    <w:rsid w:val="006B61B6"/>
    <w:rsid w:val="006C4DFD"/>
    <w:rsid w:val="006E37CB"/>
    <w:rsid w:val="006F6CD6"/>
    <w:rsid w:val="007302E0"/>
    <w:rsid w:val="00735DEF"/>
    <w:rsid w:val="00737E95"/>
    <w:rsid w:val="00743401"/>
    <w:rsid w:val="00756A85"/>
    <w:rsid w:val="00764924"/>
    <w:rsid w:val="007914E2"/>
    <w:rsid w:val="00796152"/>
    <w:rsid w:val="0079713F"/>
    <w:rsid w:val="007B71F9"/>
    <w:rsid w:val="007C4751"/>
    <w:rsid w:val="007E19BF"/>
    <w:rsid w:val="007E6836"/>
    <w:rsid w:val="00803B4C"/>
    <w:rsid w:val="008049AC"/>
    <w:rsid w:val="00850A47"/>
    <w:rsid w:val="00861486"/>
    <w:rsid w:val="008754D1"/>
    <w:rsid w:val="00883961"/>
    <w:rsid w:val="008A0B78"/>
    <w:rsid w:val="008A0DF3"/>
    <w:rsid w:val="008A304B"/>
    <w:rsid w:val="008B30CD"/>
    <w:rsid w:val="008B4A0E"/>
    <w:rsid w:val="008C54AA"/>
    <w:rsid w:val="008E4E04"/>
    <w:rsid w:val="00903EC6"/>
    <w:rsid w:val="00904D70"/>
    <w:rsid w:val="00961E28"/>
    <w:rsid w:val="00973D83"/>
    <w:rsid w:val="009834EF"/>
    <w:rsid w:val="00996570"/>
    <w:rsid w:val="009B4905"/>
    <w:rsid w:val="009D5FDD"/>
    <w:rsid w:val="009E0B95"/>
    <w:rsid w:val="009F21C6"/>
    <w:rsid w:val="009F42CC"/>
    <w:rsid w:val="009F7070"/>
    <w:rsid w:val="00A00AED"/>
    <w:rsid w:val="00A012DE"/>
    <w:rsid w:val="00A1278B"/>
    <w:rsid w:val="00A326D4"/>
    <w:rsid w:val="00A34CBB"/>
    <w:rsid w:val="00A458F4"/>
    <w:rsid w:val="00A47307"/>
    <w:rsid w:val="00A63057"/>
    <w:rsid w:val="00A949AB"/>
    <w:rsid w:val="00A95006"/>
    <w:rsid w:val="00AB37B8"/>
    <w:rsid w:val="00AC334F"/>
    <w:rsid w:val="00AC5E1F"/>
    <w:rsid w:val="00AD06AA"/>
    <w:rsid w:val="00AD2BAB"/>
    <w:rsid w:val="00B000A8"/>
    <w:rsid w:val="00B22446"/>
    <w:rsid w:val="00B51D6E"/>
    <w:rsid w:val="00B52744"/>
    <w:rsid w:val="00B55BE0"/>
    <w:rsid w:val="00B87486"/>
    <w:rsid w:val="00B901F0"/>
    <w:rsid w:val="00B92B6D"/>
    <w:rsid w:val="00B94014"/>
    <w:rsid w:val="00BB4D4C"/>
    <w:rsid w:val="00C101E9"/>
    <w:rsid w:val="00C270CB"/>
    <w:rsid w:val="00C44215"/>
    <w:rsid w:val="00C443EA"/>
    <w:rsid w:val="00C557B3"/>
    <w:rsid w:val="00C7224A"/>
    <w:rsid w:val="00C9550A"/>
    <w:rsid w:val="00CA02B9"/>
    <w:rsid w:val="00CD5BE6"/>
    <w:rsid w:val="00CD60C2"/>
    <w:rsid w:val="00CF7AC4"/>
    <w:rsid w:val="00D035B2"/>
    <w:rsid w:val="00D130E3"/>
    <w:rsid w:val="00D566B1"/>
    <w:rsid w:val="00D63537"/>
    <w:rsid w:val="00D84AFA"/>
    <w:rsid w:val="00D94DED"/>
    <w:rsid w:val="00DB3029"/>
    <w:rsid w:val="00DC785F"/>
    <w:rsid w:val="00DD2051"/>
    <w:rsid w:val="00DE2DB0"/>
    <w:rsid w:val="00E31FF6"/>
    <w:rsid w:val="00E35213"/>
    <w:rsid w:val="00E3757B"/>
    <w:rsid w:val="00E418CD"/>
    <w:rsid w:val="00E41A6D"/>
    <w:rsid w:val="00E42DBF"/>
    <w:rsid w:val="00E440A8"/>
    <w:rsid w:val="00E53351"/>
    <w:rsid w:val="00E53F75"/>
    <w:rsid w:val="00E60748"/>
    <w:rsid w:val="00E63742"/>
    <w:rsid w:val="00E63988"/>
    <w:rsid w:val="00E6566D"/>
    <w:rsid w:val="00E677DC"/>
    <w:rsid w:val="00E861C0"/>
    <w:rsid w:val="00E87798"/>
    <w:rsid w:val="00E90F8F"/>
    <w:rsid w:val="00EA38F2"/>
    <w:rsid w:val="00EA5D60"/>
    <w:rsid w:val="00EC6660"/>
    <w:rsid w:val="00ED5A24"/>
    <w:rsid w:val="00ED5B67"/>
    <w:rsid w:val="00ED7791"/>
    <w:rsid w:val="00EE234A"/>
    <w:rsid w:val="00EE3800"/>
    <w:rsid w:val="00EE4E20"/>
    <w:rsid w:val="00F00D1D"/>
    <w:rsid w:val="00F14D74"/>
    <w:rsid w:val="00F2661E"/>
    <w:rsid w:val="00F3567F"/>
    <w:rsid w:val="00F37A94"/>
    <w:rsid w:val="00F45CAD"/>
    <w:rsid w:val="00F467A3"/>
    <w:rsid w:val="00F72428"/>
    <w:rsid w:val="00F860BF"/>
    <w:rsid w:val="00F875A4"/>
    <w:rsid w:val="00FC310D"/>
    <w:rsid w:val="00FC7E97"/>
    <w:rsid w:val="00FD1776"/>
    <w:rsid w:val="00FD55F0"/>
    <w:rsid w:val="00FD65F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6836"/>
    <w:pPr>
      <w:spacing w:after="0" w:line="240" w:lineRule="auto"/>
    </w:pPr>
    <w:rPr>
      <w:rFonts w:ascii="Times New Roman" w:eastAsia="Times New Roman" w:hAnsi="Times New Roman" w:cs="Times New Roman"/>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A0B78"/>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A0B78"/>
  </w:style>
  <w:style w:type="paragraph" w:styleId="Piedepgina">
    <w:name w:val="footer"/>
    <w:basedOn w:val="Normal"/>
    <w:link w:val="PiedepginaCar"/>
    <w:uiPriority w:val="99"/>
    <w:unhideWhenUsed/>
    <w:rsid w:val="008A0B78"/>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A0B78"/>
  </w:style>
  <w:style w:type="paragraph" w:styleId="Textodeglobo">
    <w:name w:val="Balloon Text"/>
    <w:basedOn w:val="Normal"/>
    <w:link w:val="TextodegloboCar"/>
    <w:uiPriority w:val="99"/>
    <w:semiHidden/>
    <w:unhideWhenUsed/>
    <w:rsid w:val="008A0B78"/>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A0B78"/>
    <w:rPr>
      <w:rFonts w:ascii="Tahoma" w:hAnsi="Tahoma" w:cs="Tahoma"/>
      <w:sz w:val="16"/>
      <w:szCs w:val="16"/>
    </w:rPr>
  </w:style>
  <w:style w:type="paragraph" w:customStyle="1" w:styleId="epgrafe">
    <w:name w:val="epgrafe"/>
    <w:basedOn w:val="Normal"/>
    <w:rsid w:val="007E6836"/>
    <w:pPr>
      <w:spacing w:before="100" w:beforeAutospacing="1" w:after="100" w:afterAutospacing="1"/>
    </w:pPr>
    <w:rPr>
      <w:rFonts w:eastAsia="Calibri"/>
    </w:rPr>
  </w:style>
  <w:style w:type="paragraph" w:styleId="Sinespaciado">
    <w:name w:val="No Spacing"/>
    <w:uiPriority w:val="1"/>
    <w:qFormat/>
    <w:rsid w:val="004E1559"/>
    <w:pPr>
      <w:spacing w:after="0" w:line="240" w:lineRule="auto"/>
    </w:pPr>
    <w:rPr>
      <w:rFonts w:ascii="Times New Roman" w:eastAsia="Times New Roman" w:hAnsi="Times New Roman" w:cs="Times New Roman"/>
      <w:sz w:val="24"/>
      <w:szCs w:val="24"/>
      <w:lang w:val="es-ES" w:eastAsia="es-ES"/>
    </w:rPr>
  </w:style>
  <w:style w:type="character" w:styleId="Hipervnculo">
    <w:name w:val="Hyperlink"/>
    <w:basedOn w:val="Fuentedeprrafopredeter"/>
    <w:uiPriority w:val="99"/>
    <w:unhideWhenUsed/>
    <w:rsid w:val="00ED5B67"/>
    <w:rPr>
      <w:color w:val="0000FF" w:themeColor="hyperlink"/>
      <w:u w:val="single"/>
    </w:rPr>
  </w:style>
  <w:style w:type="paragraph" w:styleId="Textocomentario">
    <w:name w:val="annotation text"/>
    <w:basedOn w:val="Normal"/>
    <w:link w:val="TextocomentarioCar"/>
    <w:semiHidden/>
    <w:unhideWhenUsed/>
    <w:rsid w:val="007B71F9"/>
    <w:rPr>
      <w:sz w:val="20"/>
      <w:szCs w:val="20"/>
    </w:rPr>
  </w:style>
  <w:style w:type="character" w:customStyle="1" w:styleId="TextocomentarioCar">
    <w:name w:val="Texto comentario Car"/>
    <w:basedOn w:val="Fuentedeprrafopredeter"/>
    <w:link w:val="Textocomentario"/>
    <w:semiHidden/>
    <w:rsid w:val="007B71F9"/>
    <w:rPr>
      <w:rFonts w:ascii="Times New Roman" w:eastAsia="Times New Roman" w:hAnsi="Times New Roman" w:cs="Times New Roman"/>
      <w:sz w:val="20"/>
      <w:szCs w:val="20"/>
      <w:lang w:val="es-ES" w:eastAsia="es-ES"/>
    </w:rPr>
  </w:style>
  <w:style w:type="character" w:styleId="Refdecomentario">
    <w:name w:val="annotation reference"/>
    <w:uiPriority w:val="99"/>
    <w:semiHidden/>
    <w:unhideWhenUsed/>
    <w:rsid w:val="007B71F9"/>
    <w:rPr>
      <w:sz w:val="16"/>
      <w:szCs w:val="16"/>
    </w:rPr>
  </w:style>
  <w:style w:type="paragraph" w:styleId="Prrafodelista">
    <w:name w:val="List Paragraph"/>
    <w:aliases w:val="HOJA,Bolita,Párrafo de lista3,Guión,Párrafo de lista31,BOLA,Párrafo de lista21,BOLADEF,Párrafo de lista2,Titulo 8,Párrafo de lista5,Colorful List - Accent 11,Colorful List - Accent 12,Lista vistosa - Énfasis 11,List Paragraph"/>
    <w:basedOn w:val="Normal"/>
    <w:link w:val="PrrafodelistaCar"/>
    <w:uiPriority w:val="34"/>
    <w:qFormat/>
    <w:rsid w:val="006B61B6"/>
    <w:pPr>
      <w:ind w:left="720"/>
      <w:contextualSpacing/>
    </w:pPr>
  </w:style>
  <w:style w:type="paragraph" w:styleId="Asuntodelcomentario">
    <w:name w:val="annotation subject"/>
    <w:basedOn w:val="Textocomentario"/>
    <w:next w:val="Textocomentario"/>
    <w:link w:val="AsuntodelcomentarioCar"/>
    <w:uiPriority w:val="99"/>
    <w:semiHidden/>
    <w:unhideWhenUsed/>
    <w:rsid w:val="00F467A3"/>
    <w:rPr>
      <w:b/>
      <w:bCs/>
    </w:rPr>
  </w:style>
  <w:style w:type="character" w:customStyle="1" w:styleId="AsuntodelcomentarioCar">
    <w:name w:val="Asunto del comentario Car"/>
    <w:basedOn w:val="TextocomentarioCar"/>
    <w:link w:val="Asuntodelcomentario"/>
    <w:uiPriority w:val="99"/>
    <w:semiHidden/>
    <w:rsid w:val="00F467A3"/>
    <w:rPr>
      <w:rFonts w:ascii="Times New Roman" w:eastAsia="Times New Roman" w:hAnsi="Times New Roman" w:cs="Times New Roman"/>
      <w:b/>
      <w:bCs/>
      <w:sz w:val="20"/>
      <w:szCs w:val="20"/>
      <w:lang w:val="es-ES" w:eastAsia="es-ES"/>
    </w:rPr>
  </w:style>
  <w:style w:type="paragraph" w:styleId="Textonotapie">
    <w:name w:val="footnote text"/>
    <w:basedOn w:val="Normal"/>
    <w:link w:val="TextonotapieCar"/>
    <w:uiPriority w:val="99"/>
    <w:semiHidden/>
    <w:unhideWhenUsed/>
    <w:rsid w:val="000B202F"/>
    <w:rPr>
      <w:sz w:val="20"/>
      <w:szCs w:val="20"/>
    </w:rPr>
  </w:style>
  <w:style w:type="character" w:customStyle="1" w:styleId="TextonotapieCar">
    <w:name w:val="Texto nota pie Car"/>
    <w:basedOn w:val="Fuentedeprrafopredeter"/>
    <w:link w:val="Textonotapie"/>
    <w:uiPriority w:val="99"/>
    <w:semiHidden/>
    <w:rsid w:val="000B202F"/>
    <w:rPr>
      <w:rFonts w:ascii="Times New Roman" w:eastAsia="Times New Roman" w:hAnsi="Times New Roman" w:cs="Times New Roman"/>
      <w:sz w:val="20"/>
      <w:szCs w:val="20"/>
      <w:lang w:val="es-ES" w:eastAsia="es-ES"/>
    </w:rPr>
  </w:style>
  <w:style w:type="character" w:styleId="Refdenotaalpie">
    <w:name w:val="footnote reference"/>
    <w:basedOn w:val="Fuentedeprrafopredeter"/>
    <w:uiPriority w:val="99"/>
    <w:semiHidden/>
    <w:unhideWhenUsed/>
    <w:rsid w:val="000B202F"/>
    <w:rPr>
      <w:vertAlign w:val="superscript"/>
    </w:rPr>
  </w:style>
  <w:style w:type="character" w:customStyle="1" w:styleId="PrrafodelistaCar">
    <w:name w:val="Párrafo de lista Car"/>
    <w:aliases w:val="HOJA Car,Bolita Car,Párrafo de lista3 Car,Guión Car,Párrafo de lista31 Car,BOLA Car,Párrafo de lista21 Car,BOLADEF Car,Párrafo de lista2 Car,Titulo 8 Car,Párrafo de lista5 Car,Colorful List - Accent 11 Car,List Paragraph Car"/>
    <w:basedOn w:val="Fuentedeprrafopredeter"/>
    <w:link w:val="Prrafodelista"/>
    <w:uiPriority w:val="34"/>
    <w:locked/>
    <w:rsid w:val="00B92B6D"/>
    <w:rPr>
      <w:rFonts w:ascii="Times New Roman" w:eastAsia="Times New Roman" w:hAnsi="Times New Roman" w:cs="Times New Roman"/>
      <w:sz w:val="24"/>
      <w:szCs w:val="24"/>
      <w:lang w:val="es-ES" w:eastAsia="es-ES"/>
    </w:rPr>
  </w:style>
  <w:style w:type="table" w:styleId="Tablaconcuadrcula">
    <w:name w:val="Table Grid"/>
    <w:basedOn w:val="Tablanormal"/>
    <w:uiPriority w:val="59"/>
    <w:rsid w:val="00386FC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
    <w:name w:val="st"/>
    <w:basedOn w:val="Fuentedeprrafopredeter"/>
    <w:rsid w:val="00386FC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6836"/>
    <w:pPr>
      <w:spacing w:after="0" w:line="240" w:lineRule="auto"/>
    </w:pPr>
    <w:rPr>
      <w:rFonts w:ascii="Times New Roman" w:eastAsia="Times New Roman" w:hAnsi="Times New Roman" w:cs="Times New Roman"/>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A0B78"/>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A0B78"/>
  </w:style>
  <w:style w:type="paragraph" w:styleId="Piedepgina">
    <w:name w:val="footer"/>
    <w:basedOn w:val="Normal"/>
    <w:link w:val="PiedepginaCar"/>
    <w:uiPriority w:val="99"/>
    <w:unhideWhenUsed/>
    <w:rsid w:val="008A0B78"/>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A0B78"/>
  </w:style>
  <w:style w:type="paragraph" w:styleId="Textodeglobo">
    <w:name w:val="Balloon Text"/>
    <w:basedOn w:val="Normal"/>
    <w:link w:val="TextodegloboCar"/>
    <w:uiPriority w:val="99"/>
    <w:semiHidden/>
    <w:unhideWhenUsed/>
    <w:rsid w:val="008A0B78"/>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A0B78"/>
    <w:rPr>
      <w:rFonts w:ascii="Tahoma" w:hAnsi="Tahoma" w:cs="Tahoma"/>
      <w:sz w:val="16"/>
      <w:szCs w:val="16"/>
    </w:rPr>
  </w:style>
  <w:style w:type="paragraph" w:customStyle="1" w:styleId="epgrafe">
    <w:name w:val="epgrafe"/>
    <w:basedOn w:val="Normal"/>
    <w:rsid w:val="007E6836"/>
    <w:pPr>
      <w:spacing w:before="100" w:beforeAutospacing="1" w:after="100" w:afterAutospacing="1"/>
    </w:pPr>
    <w:rPr>
      <w:rFonts w:eastAsia="Calibri"/>
    </w:rPr>
  </w:style>
  <w:style w:type="paragraph" w:styleId="Sinespaciado">
    <w:name w:val="No Spacing"/>
    <w:uiPriority w:val="1"/>
    <w:qFormat/>
    <w:rsid w:val="004E1559"/>
    <w:pPr>
      <w:spacing w:after="0" w:line="240" w:lineRule="auto"/>
    </w:pPr>
    <w:rPr>
      <w:rFonts w:ascii="Times New Roman" w:eastAsia="Times New Roman" w:hAnsi="Times New Roman" w:cs="Times New Roman"/>
      <w:sz w:val="24"/>
      <w:szCs w:val="24"/>
      <w:lang w:val="es-ES" w:eastAsia="es-ES"/>
    </w:rPr>
  </w:style>
  <w:style w:type="character" w:styleId="Hipervnculo">
    <w:name w:val="Hyperlink"/>
    <w:basedOn w:val="Fuentedeprrafopredeter"/>
    <w:uiPriority w:val="99"/>
    <w:unhideWhenUsed/>
    <w:rsid w:val="00ED5B67"/>
    <w:rPr>
      <w:color w:val="0000FF" w:themeColor="hyperlink"/>
      <w:u w:val="single"/>
    </w:rPr>
  </w:style>
  <w:style w:type="paragraph" w:styleId="Textocomentario">
    <w:name w:val="annotation text"/>
    <w:basedOn w:val="Normal"/>
    <w:link w:val="TextocomentarioCar"/>
    <w:semiHidden/>
    <w:unhideWhenUsed/>
    <w:rsid w:val="007B71F9"/>
    <w:rPr>
      <w:sz w:val="20"/>
      <w:szCs w:val="20"/>
    </w:rPr>
  </w:style>
  <w:style w:type="character" w:customStyle="1" w:styleId="TextocomentarioCar">
    <w:name w:val="Texto comentario Car"/>
    <w:basedOn w:val="Fuentedeprrafopredeter"/>
    <w:link w:val="Textocomentario"/>
    <w:semiHidden/>
    <w:rsid w:val="007B71F9"/>
    <w:rPr>
      <w:rFonts w:ascii="Times New Roman" w:eastAsia="Times New Roman" w:hAnsi="Times New Roman" w:cs="Times New Roman"/>
      <w:sz w:val="20"/>
      <w:szCs w:val="20"/>
      <w:lang w:val="es-ES" w:eastAsia="es-ES"/>
    </w:rPr>
  </w:style>
  <w:style w:type="character" w:styleId="Refdecomentario">
    <w:name w:val="annotation reference"/>
    <w:uiPriority w:val="99"/>
    <w:semiHidden/>
    <w:unhideWhenUsed/>
    <w:rsid w:val="007B71F9"/>
    <w:rPr>
      <w:sz w:val="16"/>
      <w:szCs w:val="16"/>
    </w:rPr>
  </w:style>
  <w:style w:type="paragraph" w:styleId="Prrafodelista">
    <w:name w:val="List Paragraph"/>
    <w:aliases w:val="HOJA,Bolita,Párrafo de lista3,Guión,Párrafo de lista31,BOLA,Párrafo de lista21,BOLADEF,Párrafo de lista2,Titulo 8,Párrafo de lista5,Colorful List - Accent 11,Colorful List - Accent 12,Lista vistosa - Énfasis 11,List Paragraph"/>
    <w:basedOn w:val="Normal"/>
    <w:link w:val="PrrafodelistaCar"/>
    <w:uiPriority w:val="34"/>
    <w:qFormat/>
    <w:rsid w:val="006B61B6"/>
    <w:pPr>
      <w:ind w:left="720"/>
      <w:contextualSpacing/>
    </w:pPr>
  </w:style>
  <w:style w:type="paragraph" w:styleId="Asuntodelcomentario">
    <w:name w:val="annotation subject"/>
    <w:basedOn w:val="Textocomentario"/>
    <w:next w:val="Textocomentario"/>
    <w:link w:val="AsuntodelcomentarioCar"/>
    <w:uiPriority w:val="99"/>
    <w:semiHidden/>
    <w:unhideWhenUsed/>
    <w:rsid w:val="00F467A3"/>
    <w:rPr>
      <w:b/>
      <w:bCs/>
    </w:rPr>
  </w:style>
  <w:style w:type="character" w:customStyle="1" w:styleId="AsuntodelcomentarioCar">
    <w:name w:val="Asunto del comentario Car"/>
    <w:basedOn w:val="TextocomentarioCar"/>
    <w:link w:val="Asuntodelcomentario"/>
    <w:uiPriority w:val="99"/>
    <w:semiHidden/>
    <w:rsid w:val="00F467A3"/>
    <w:rPr>
      <w:rFonts w:ascii="Times New Roman" w:eastAsia="Times New Roman" w:hAnsi="Times New Roman" w:cs="Times New Roman"/>
      <w:b/>
      <w:bCs/>
      <w:sz w:val="20"/>
      <w:szCs w:val="20"/>
      <w:lang w:val="es-ES" w:eastAsia="es-ES"/>
    </w:rPr>
  </w:style>
  <w:style w:type="paragraph" w:styleId="Textonotapie">
    <w:name w:val="footnote text"/>
    <w:basedOn w:val="Normal"/>
    <w:link w:val="TextonotapieCar"/>
    <w:uiPriority w:val="99"/>
    <w:semiHidden/>
    <w:unhideWhenUsed/>
    <w:rsid w:val="000B202F"/>
    <w:rPr>
      <w:sz w:val="20"/>
      <w:szCs w:val="20"/>
    </w:rPr>
  </w:style>
  <w:style w:type="character" w:customStyle="1" w:styleId="TextonotapieCar">
    <w:name w:val="Texto nota pie Car"/>
    <w:basedOn w:val="Fuentedeprrafopredeter"/>
    <w:link w:val="Textonotapie"/>
    <w:uiPriority w:val="99"/>
    <w:semiHidden/>
    <w:rsid w:val="000B202F"/>
    <w:rPr>
      <w:rFonts w:ascii="Times New Roman" w:eastAsia="Times New Roman" w:hAnsi="Times New Roman" w:cs="Times New Roman"/>
      <w:sz w:val="20"/>
      <w:szCs w:val="20"/>
      <w:lang w:val="es-ES" w:eastAsia="es-ES"/>
    </w:rPr>
  </w:style>
  <w:style w:type="character" w:styleId="Refdenotaalpie">
    <w:name w:val="footnote reference"/>
    <w:basedOn w:val="Fuentedeprrafopredeter"/>
    <w:uiPriority w:val="99"/>
    <w:semiHidden/>
    <w:unhideWhenUsed/>
    <w:rsid w:val="000B202F"/>
    <w:rPr>
      <w:vertAlign w:val="superscript"/>
    </w:rPr>
  </w:style>
  <w:style w:type="character" w:customStyle="1" w:styleId="PrrafodelistaCar">
    <w:name w:val="Párrafo de lista Car"/>
    <w:aliases w:val="HOJA Car,Bolita Car,Párrafo de lista3 Car,Guión Car,Párrafo de lista31 Car,BOLA Car,Párrafo de lista21 Car,BOLADEF Car,Párrafo de lista2 Car,Titulo 8 Car,Párrafo de lista5 Car,Colorful List - Accent 11 Car,List Paragraph Car"/>
    <w:basedOn w:val="Fuentedeprrafopredeter"/>
    <w:link w:val="Prrafodelista"/>
    <w:uiPriority w:val="34"/>
    <w:locked/>
    <w:rsid w:val="00B92B6D"/>
    <w:rPr>
      <w:rFonts w:ascii="Times New Roman" w:eastAsia="Times New Roman" w:hAnsi="Times New Roman" w:cs="Times New Roman"/>
      <w:sz w:val="24"/>
      <w:szCs w:val="24"/>
      <w:lang w:val="es-ES" w:eastAsia="es-ES"/>
    </w:rPr>
  </w:style>
  <w:style w:type="table" w:styleId="Tablaconcuadrcula">
    <w:name w:val="Table Grid"/>
    <w:basedOn w:val="Tablanormal"/>
    <w:uiPriority w:val="59"/>
    <w:rsid w:val="00386FC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
    <w:name w:val="st"/>
    <w:basedOn w:val="Fuentedeprrafopredeter"/>
    <w:rsid w:val="00386F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03664">
      <w:bodyDiv w:val="1"/>
      <w:marLeft w:val="0"/>
      <w:marRight w:val="0"/>
      <w:marTop w:val="0"/>
      <w:marBottom w:val="0"/>
      <w:divBdr>
        <w:top w:val="none" w:sz="0" w:space="0" w:color="auto"/>
        <w:left w:val="none" w:sz="0" w:space="0" w:color="auto"/>
        <w:bottom w:val="none" w:sz="0" w:space="0" w:color="auto"/>
        <w:right w:val="none" w:sz="0" w:space="0" w:color="auto"/>
      </w:divBdr>
    </w:div>
    <w:div w:id="73283192">
      <w:bodyDiv w:val="1"/>
      <w:marLeft w:val="0"/>
      <w:marRight w:val="0"/>
      <w:marTop w:val="0"/>
      <w:marBottom w:val="0"/>
      <w:divBdr>
        <w:top w:val="none" w:sz="0" w:space="0" w:color="auto"/>
        <w:left w:val="none" w:sz="0" w:space="0" w:color="auto"/>
        <w:bottom w:val="none" w:sz="0" w:space="0" w:color="auto"/>
        <w:right w:val="none" w:sz="0" w:space="0" w:color="auto"/>
      </w:divBdr>
    </w:div>
    <w:div w:id="77757859">
      <w:bodyDiv w:val="1"/>
      <w:marLeft w:val="0"/>
      <w:marRight w:val="0"/>
      <w:marTop w:val="0"/>
      <w:marBottom w:val="0"/>
      <w:divBdr>
        <w:top w:val="none" w:sz="0" w:space="0" w:color="auto"/>
        <w:left w:val="none" w:sz="0" w:space="0" w:color="auto"/>
        <w:bottom w:val="none" w:sz="0" w:space="0" w:color="auto"/>
        <w:right w:val="none" w:sz="0" w:space="0" w:color="auto"/>
      </w:divBdr>
    </w:div>
    <w:div w:id="95445482">
      <w:bodyDiv w:val="1"/>
      <w:marLeft w:val="0"/>
      <w:marRight w:val="0"/>
      <w:marTop w:val="0"/>
      <w:marBottom w:val="0"/>
      <w:divBdr>
        <w:top w:val="none" w:sz="0" w:space="0" w:color="auto"/>
        <w:left w:val="none" w:sz="0" w:space="0" w:color="auto"/>
        <w:bottom w:val="none" w:sz="0" w:space="0" w:color="auto"/>
        <w:right w:val="none" w:sz="0" w:space="0" w:color="auto"/>
      </w:divBdr>
    </w:div>
    <w:div w:id="128329368">
      <w:bodyDiv w:val="1"/>
      <w:marLeft w:val="0"/>
      <w:marRight w:val="0"/>
      <w:marTop w:val="0"/>
      <w:marBottom w:val="0"/>
      <w:divBdr>
        <w:top w:val="none" w:sz="0" w:space="0" w:color="auto"/>
        <w:left w:val="none" w:sz="0" w:space="0" w:color="auto"/>
        <w:bottom w:val="none" w:sz="0" w:space="0" w:color="auto"/>
        <w:right w:val="none" w:sz="0" w:space="0" w:color="auto"/>
      </w:divBdr>
    </w:div>
    <w:div w:id="138766274">
      <w:bodyDiv w:val="1"/>
      <w:marLeft w:val="0"/>
      <w:marRight w:val="0"/>
      <w:marTop w:val="0"/>
      <w:marBottom w:val="0"/>
      <w:divBdr>
        <w:top w:val="none" w:sz="0" w:space="0" w:color="auto"/>
        <w:left w:val="none" w:sz="0" w:space="0" w:color="auto"/>
        <w:bottom w:val="none" w:sz="0" w:space="0" w:color="auto"/>
        <w:right w:val="none" w:sz="0" w:space="0" w:color="auto"/>
      </w:divBdr>
    </w:div>
    <w:div w:id="181357301">
      <w:bodyDiv w:val="1"/>
      <w:marLeft w:val="0"/>
      <w:marRight w:val="0"/>
      <w:marTop w:val="0"/>
      <w:marBottom w:val="0"/>
      <w:divBdr>
        <w:top w:val="none" w:sz="0" w:space="0" w:color="auto"/>
        <w:left w:val="none" w:sz="0" w:space="0" w:color="auto"/>
        <w:bottom w:val="none" w:sz="0" w:space="0" w:color="auto"/>
        <w:right w:val="none" w:sz="0" w:space="0" w:color="auto"/>
      </w:divBdr>
    </w:div>
    <w:div w:id="188565593">
      <w:bodyDiv w:val="1"/>
      <w:marLeft w:val="0"/>
      <w:marRight w:val="0"/>
      <w:marTop w:val="0"/>
      <w:marBottom w:val="0"/>
      <w:divBdr>
        <w:top w:val="none" w:sz="0" w:space="0" w:color="auto"/>
        <w:left w:val="none" w:sz="0" w:space="0" w:color="auto"/>
        <w:bottom w:val="none" w:sz="0" w:space="0" w:color="auto"/>
        <w:right w:val="none" w:sz="0" w:space="0" w:color="auto"/>
      </w:divBdr>
    </w:div>
    <w:div w:id="222912724">
      <w:bodyDiv w:val="1"/>
      <w:marLeft w:val="0"/>
      <w:marRight w:val="0"/>
      <w:marTop w:val="0"/>
      <w:marBottom w:val="0"/>
      <w:divBdr>
        <w:top w:val="none" w:sz="0" w:space="0" w:color="auto"/>
        <w:left w:val="none" w:sz="0" w:space="0" w:color="auto"/>
        <w:bottom w:val="none" w:sz="0" w:space="0" w:color="auto"/>
        <w:right w:val="none" w:sz="0" w:space="0" w:color="auto"/>
      </w:divBdr>
    </w:div>
    <w:div w:id="325786748">
      <w:bodyDiv w:val="1"/>
      <w:marLeft w:val="0"/>
      <w:marRight w:val="0"/>
      <w:marTop w:val="0"/>
      <w:marBottom w:val="0"/>
      <w:divBdr>
        <w:top w:val="none" w:sz="0" w:space="0" w:color="auto"/>
        <w:left w:val="none" w:sz="0" w:space="0" w:color="auto"/>
        <w:bottom w:val="none" w:sz="0" w:space="0" w:color="auto"/>
        <w:right w:val="none" w:sz="0" w:space="0" w:color="auto"/>
      </w:divBdr>
    </w:div>
    <w:div w:id="363019745">
      <w:bodyDiv w:val="1"/>
      <w:marLeft w:val="0"/>
      <w:marRight w:val="0"/>
      <w:marTop w:val="0"/>
      <w:marBottom w:val="0"/>
      <w:divBdr>
        <w:top w:val="none" w:sz="0" w:space="0" w:color="auto"/>
        <w:left w:val="none" w:sz="0" w:space="0" w:color="auto"/>
        <w:bottom w:val="none" w:sz="0" w:space="0" w:color="auto"/>
        <w:right w:val="none" w:sz="0" w:space="0" w:color="auto"/>
      </w:divBdr>
    </w:div>
    <w:div w:id="382674741">
      <w:bodyDiv w:val="1"/>
      <w:marLeft w:val="0"/>
      <w:marRight w:val="0"/>
      <w:marTop w:val="0"/>
      <w:marBottom w:val="0"/>
      <w:divBdr>
        <w:top w:val="none" w:sz="0" w:space="0" w:color="auto"/>
        <w:left w:val="none" w:sz="0" w:space="0" w:color="auto"/>
        <w:bottom w:val="none" w:sz="0" w:space="0" w:color="auto"/>
        <w:right w:val="none" w:sz="0" w:space="0" w:color="auto"/>
      </w:divBdr>
    </w:div>
    <w:div w:id="438792261">
      <w:bodyDiv w:val="1"/>
      <w:marLeft w:val="0"/>
      <w:marRight w:val="0"/>
      <w:marTop w:val="0"/>
      <w:marBottom w:val="0"/>
      <w:divBdr>
        <w:top w:val="none" w:sz="0" w:space="0" w:color="auto"/>
        <w:left w:val="none" w:sz="0" w:space="0" w:color="auto"/>
        <w:bottom w:val="none" w:sz="0" w:space="0" w:color="auto"/>
        <w:right w:val="none" w:sz="0" w:space="0" w:color="auto"/>
      </w:divBdr>
    </w:div>
    <w:div w:id="475806339">
      <w:bodyDiv w:val="1"/>
      <w:marLeft w:val="0"/>
      <w:marRight w:val="0"/>
      <w:marTop w:val="0"/>
      <w:marBottom w:val="0"/>
      <w:divBdr>
        <w:top w:val="none" w:sz="0" w:space="0" w:color="auto"/>
        <w:left w:val="none" w:sz="0" w:space="0" w:color="auto"/>
        <w:bottom w:val="none" w:sz="0" w:space="0" w:color="auto"/>
        <w:right w:val="none" w:sz="0" w:space="0" w:color="auto"/>
      </w:divBdr>
    </w:div>
    <w:div w:id="480460620">
      <w:bodyDiv w:val="1"/>
      <w:marLeft w:val="0"/>
      <w:marRight w:val="0"/>
      <w:marTop w:val="0"/>
      <w:marBottom w:val="0"/>
      <w:divBdr>
        <w:top w:val="none" w:sz="0" w:space="0" w:color="auto"/>
        <w:left w:val="none" w:sz="0" w:space="0" w:color="auto"/>
        <w:bottom w:val="none" w:sz="0" w:space="0" w:color="auto"/>
        <w:right w:val="none" w:sz="0" w:space="0" w:color="auto"/>
      </w:divBdr>
    </w:div>
    <w:div w:id="500854984">
      <w:bodyDiv w:val="1"/>
      <w:marLeft w:val="0"/>
      <w:marRight w:val="0"/>
      <w:marTop w:val="0"/>
      <w:marBottom w:val="0"/>
      <w:divBdr>
        <w:top w:val="none" w:sz="0" w:space="0" w:color="auto"/>
        <w:left w:val="none" w:sz="0" w:space="0" w:color="auto"/>
        <w:bottom w:val="none" w:sz="0" w:space="0" w:color="auto"/>
        <w:right w:val="none" w:sz="0" w:space="0" w:color="auto"/>
      </w:divBdr>
    </w:div>
    <w:div w:id="502205802">
      <w:bodyDiv w:val="1"/>
      <w:marLeft w:val="0"/>
      <w:marRight w:val="0"/>
      <w:marTop w:val="0"/>
      <w:marBottom w:val="0"/>
      <w:divBdr>
        <w:top w:val="none" w:sz="0" w:space="0" w:color="auto"/>
        <w:left w:val="none" w:sz="0" w:space="0" w:color="auto"/>
        <w:bottom w:val="none" w:sz="0" w:space="0" w:color="auto"/>
        <w:right w:val="none" w:sz="0" w:space="0" w:color="auto"/>
      </w:divBdr>
    </w:div>
    <w:div w:id="557085741">
      <w:bodyDiv w:val="1"/>
      <w:marLeft w:val="0"/>
      <w:marRight w:val="0"/>
      <w:marTop w:val="0"/>
      <w:marBottom w:val="0"/>
      <w:divBdr>
        <w:top w:val="none" w:sz="0" w:space="0" w:color="auto"/>
        <w:left w:val="none" w:sz="0" w:space="0" w:color="auto"/>
        <w:bottom w:val="none" w:sz="0" w:space="0" w:color="auto"/>
        <w:right w:val="none" w:sz="0" w:space="0" w:color="auto"/>
      </w:divBdr>
    </w:div>
    <w:div w:id="574436596">
      <w:bodyDiv w:val="1"/>
      <w:marLeft w:val="0"/>
      <w:marRight w:val="0"/>
      <w:marTop w:val="0"/>
      <w:marBottom w:val="0"/>
      <w:divBdr>
        <w:top w:val="none" w:sz="0" w:space="0" w:color="auto"/>
        <w:left w:val="none" w:sz="0" w:space="0" w:color="auto"/>
        <w:bottom w:val="none" w:sz="0" w:space="0" w:color="auto"/>
        <w:right w:val="none" w:sz="0" w:space="0" w:color="auto"/>
      </w:divBdr>
    </w:div>
    <w:div w:id="576793903">
      <w:bodyDiv w:val="1"/>
      <w:marLeft w:val="0"/>
      <w:marRight w:val="0"/>
      <w:marTop w:val="0"/>
      <w:marBottom w:val="0"/>
      <w:divBdr>
        <w:top w:val="none" w:sz="0" w:space="0" w:color="auto"/>
        <w:left w:val="none" w:sz="0" w:space="0" w:color="auto"/>
        <w:bottom w:val="none" w:sz="0" w:space="0" w:color="auto"/>
        <w:right w:val="none" w:sz="0" w:space="0" w:color="auto"/>
      </w:divBdr>
    </w:div>
    <w:div w:id="578100279">
      <w:bodyDiv w:val="1"/>
      <w:marLeft w:val="0"/>
      <w:marRight w:val="0"/>
      <w:marTop w:val="0"/>
      <w:marBottom w:val="0"/>
      <w:divBdr>
        <w:top w:val="none" w:sz="0" w:space="0" w:color="auto"/>
        <w:left w:val="none" w:sz="0" w:space="0" w:color="auto"/>
        <w:bottom w:val="none" w:sz="0" w:space="0" w:color="auto"/>
        <w:right w:val="none" w:sz="0" w:space="0" w:color="auto"/>
      </w:divBdr>
    </w:div>
    <w:div w:id="623538670">
      <w:bodyDiv w:val="1"/>
      <w:marLeft w:val="0"/>
      <w:marRight w:val="0"/>
      <w:marTop w:val="0"/>
      <w:marBottom w:val="0"/>
      <w:divBdr>
        <w:top w:val="none" w:sz="0" w:space="0" w:color="auto"/>
        <w:left w:val="none" w:sz="0" w:space="0" w:color="auto"/>
        <w:bottom w:val="none" w:sz="0" w:space="0" w:color="auto"/>
        <w:right w:val="none" w:sz="0" w:space="0" w:color="auto"/>
      </w:divBdr>
    </w:div>
    <w:div w:id="627323921">
      <w:bodyDiv w:val="1"/>
      <w:marLeft w:val="0"/>
      <w:marRight w:val="0"/>
      <w:marTop w:val="0"/>
      <w:marBottom w:val="0"/>
      <w:divBdr>
        <w:top w:val="none" w:sz="0" w:space="0" w:color="auto"/>
        <w:left w:val="none" w:sz="0" w:space="0" w:color="auto"/>
        <w:bottom w:val="none" w:sz="0" w:space="0" w:color="auto"/>
        <w:right w:val="none" w:sz="0" w:space="0" w:color="auto"/>
      </w:divBdr>
    </w:div>
    <w:div w:id="683168456">
      <w:bodyDiv w:val="1"/>
      <w:marLeft w:val="0"/>
      <w:marRight w:val="0"/>
      <w:marTop w:val="0"/>
      <w:marBottom w:val="0"/>
      <w:divBdr>
        <w:top w:val="none" w:sz="0" w:space="0" w:color="auto"/>
        <w:left w:val="none" w:sz="0" w:space="0" w:color="auto"/>
        <w:bottom w:val="none" w:sz="0" w:space="0" w:color="auto"/>
        <w:right w:val="none" w:sz="0" w:space="0" w:color="auto"/>
      </w:divBdr>
    </w:div>
    <w:div w:id="683672880">
      <w:bodyDiv w:val="1"/>
      <w:marLeft w:val="0"/>
      <w:marRight w:val="0"/>
      <w:marTop w:val="0"/>
      <w:marBottom w:val="0"/>
      <w:divBdr>
        <w:top w:val="none" w:sz="0" w:space="0" w:color="auto"/>
        <w:left w:val="none" w:sz="0" w:space="0" w:color="auto"/>
        <w:bottom w:val="none" w:sz="0" w:space="0" w:color="auto"/>
        <w:right w:val="none" w:sz="0" w:space="0" w:color="auto"/>
      </w:divBdr>
    </w:div>
    <w:div w:id="699860475">
      <w:bodyDiv w:val="1"/>
      <w:marLeft w:val="0"/>
      <w:marRight w:val="0"/>
      <w:marTop w:val="0"/>
      <w:marBottom w:val="0"/>
      <w:divBdr>
        <w:top w:val="none" w:sz="0" w:space="0" w:color="auto"/>
        <w:left w:val="none" w:sz="0" w:space="0" w:color="auto"/>
        <w:bottom w:val="none" w:sz="0" w:space="0" w:color="auto"/>
        <w:right w:val="none" w:sz="0" w:space="0" w:color="auto"/>
      </w:divBdr>
    </w:div>
    <w:div w:id="761148280">
      <w:bodyDiv w:val="1"/>
      <w:marLeft w:val="0"/>
      <w:marRight w:val="0"/>
      <w:marTop w:val="0"/>
      <w:marBottom w:val="0"/>
      <w:divBdr>
        <w:top w:val="none" w:sz="0" w:space="0" w:color="auto"/>
        <w:left w:val="none" w:sz="0" w:space="0" w:color="auto"/>
        <w:bottom w:val="none" w:sz="0" w:space="0" w:color="auto"/>
        <w:right w:val="none" w:sz="0" w:space="0" w:color="auto"/>
      </w:divBdr>
    </w:div>
    <w:div w:id="777338301">
      <w:bodyDiv w:val="1"/>
      <w:marLeft w:val="0"/>
      <w:marRight w:val="0"/>
      <w:marTop w:val="0"/>
      <w:marBottom w:val="0"/>
      <w:divBdr>
        <w:top w:val="none" w:sz="0" w:space="0" w:color="auto"/>
        <w:left w:val="none" w:sz="0" w:space="0" w:color="auto"/>
        <w:bottom w:val="none" w:sz="0" w:space="0" w:color="auto"/>
        <w:right w:val="none" w:sz="0" w:space="0" w:color="auto"/>
      </w:divBdr>
    </w:div>
    <w:div w:id="828130248">
      <w:bodyDiv w:val="1"/>
      <w:marLeft w:val="0"/>
      <w:marRight w:val="0"/>
      <w:marTop w:val="0"/>
      <w:marBottom w:val="0"/>
      <w:divBdr>
        <w:top w:val="none" w:sz="0" w:space="0" w:color="auto"/>
        <w:left w:val="none" w:sz="0" w:space="0" w:color="auto"/>
        <w:bottom w:val="none" w:sz="0" w:space="0" w:color="auto"/>
        <w:right w:val="none" w:sz="0" w:space="0" w:color="auto"/>
      </w:divBdr>
    </w:div>
    <w:div w:id="831264353">
      <w:bodyDiv w:val="1"/>
      <w:marLeft w:val="0"/>
      <w:marRight w:val="0"/>
      <w:marTop w:val="0"/>
      <w:marBottom w:val="0"/>
      <w:divBdr>
        <w:top w:val="none" w:sz="0" w:space="0" w:color="auto"/>
        <w:left w:val="none" w:sz="0" w:space="0" w:color="auto"/>
        <w:bottom w:val="none" w:sz="0" w:space="0" w:color="auto"/>
        <w:right w:val="none" w:sz="0" w:space="0" w:color="auto"/>
      </w:divBdr>
    </w:div>
    <w:div w:id="920211495">
      <w:bodyDiv w:val="1"/>
      <w:marLeft w:val="0"/>
      <w:marRight w:val="0"/>
      <w:marTop w:val="0"/>
      <w:marBottom w:val="0"/>
      <w:divBdr>
        <w:top w:val="none" w:sz="0" w:space="0" w:color="auto"/>
        <w:left w:val="none" w:sz="0" w:space="0" w:color="auto"/>
        <w:bottom w:val="none" w:sz="0" w:space="0" w:color="auto"/>
        <w:right w:val="none" w:sz="0" w:space="0" w:color="auto"/>
      </w:divBdr>
    </w:div>
    <w:div w:id="950237220">
      <w:bodyDiv w:val="1"/>
      <w:marLeft w:val="0"/>
      <w:marRight w:val="0"/>
      <w:marTop w:val="0"/>
      <w:marBottom w:val="0"/>
      <w:divBdr>
        <w:top w:val="none" w:sz="0" w:space="0" w:color="auto"/>
        <w:left w:val="none" w:sz="0" w:space="0" w:color="auto"/>
        <w:bottom w:val="none" w:sz="0" w:space="0" w:color="auto"/>
        <w:right w:val="none" w:sz="0" w:space="0" w:color="auto"/>
      </w:divBdr>
    </w:div>
    <w:div w:id="954026155">
      <w:bodyDiv w:val="1"/>
      <w:marLeft w:val="0"/>
      <w:marRight w:val="0"/>
      <w:marTop w:val="0"/>
      <w:marBottom w:val="0"/>
      <w:divBdr>
        <w:top w:val="none" w:sz="0" w:space="0" w:color="auto"/>
        <w:left w:val="none" w:sz="0" w:space="0" w:color="auto"/>
        <w:bottom w:val="none" w:sz="0" w:space="0" w:color="auto"/>
        <w:right w:val="none" w:sz="0" w:space="0" w:color="auto"/>
      </w:divBdr>
    </w:div>
    <w:div w:id="1014190978">
      <w:bodyDiv w:val="1"/>
      <w:marLeft w:val="0"/>
      <w:marRight w:val="0"/>
      <w:marTop w:val="0"/>
      <w:marBottom w:val="0"/>
      <w:divBdr>
        <w:top w:val="none" w:sz="0" w:space="0" w:color="auto"/>
        <w:left w:val="none" w:sz="0" w:space="0" w:color="auto"/>
        <w:bottom w:val="none" w:sz="0" w:space="0" w:color="auto"/>
        <w:right w:val="none" w:sz="0" w:space="0" w:color="auto"/>
      </w:divBdr>
    </w:div>
    <w:div w:id="1072309218">
      <w:bodyDiv w:val="1"/>
      <w:marLeft w:val="0"/>
      <w:marRight w:val="0"/>
      <w:marTop w:val="0"/>
      <w:marBottom w:val="0"/>
      <w:divBdr>
        <w:top w:val="none" w:sz="0" w:space="0" w:color="auto"/>
        <w:left w:val="none" w:sz="0" w:space="0" w:color="auto"/>
        <w:bottom w:val="none" w:sz="0" w:space="0" w:color="auto"/>
        <w:right w:val="none" w:sz="0" w:space="0" w:color="auto"/>
      </w:divBdr>
    </w:div>
    <w:div w:id="1087729933">
      <w:bodyDiv w:val="1"/>
      <w:marLeft w:val="0"/>
      <w:marRight w:val="0"/>
      <w:marTop w:val="0"/>
      <w:marBottom w:val="0"/>
      <w:divBdr>
        <w:top w:val="none" w:sz="0" w:space="0" w:color="auto"/>
        <w:left w:val="none" w:sz="0" w:space="0" w:color="auto"/>
        <w:bottom w:val="none" w:sz="0" w:space="0" w:color="auto"/>
        <w:right w:val="none" w:sz="0" w:space="0" w:color="auto"/>
      </w:divBdr>
    </w:div>
    <w:div w:id="1102383231">
      <w:bodyDiv w:val="1"/>
      <w:marLeft w:val="0"/>
      <w:marRight w:val="0"/>
      <w:marTop w:val="0"/>
      <w:marBottom w:val="0"/>
      <w:divBdr>
        <w:top w:val="none" w:sz="0" w:space="0" w:color="auto"/>
        <w:left w:val="none" w:sz="0" w:space="0" w:color="auto"/>
        <w:bottom w:val="none" w:sz="0" w:space="0" w:color="auto"/>
        <w:right w:val="none" w:sz="0" w:space="0" w:color="auto"/>
      </w:divBdr>
    </w:div>
    <w:div w:id="1122042735">
      <w:bodyDiv w:val="1"/>
      <w:marLeft w:val="0"/>
      <w:marRight w:val="0"/>
      <w:marTop w:val="0"/>
      <w:marBottom w:val="0"/>
      <w:divBdr>
        <w:top w:val="none" w:sz="0" w:space="0" w:color="auto"/>
        <w:left w:val="none" w:sz="0" w:space="0" w:color="auto"/>
        <w:bottom w:val="none" w:sz="0" w:space="0" w:color="auto"/>
        <w:right w:val="none" w:sz="0" w:space="0" w:color="auto"/>
      </w:divBdr>
    </w:div>
    <w:div w:id="1184399096">
      <w:bodyDiv w:val="1"/>
      <w:marLeft w:val="0"/>
      <w:marRight w:val="0"/>
      <w:marTop w:val="0"/>
      <w:marBottom w:val="0"/>
      <w:divBdr>
        <w:top w:val="none" w:sz="0" w:space="0" w:color="auto"/>
        <w:left w:val="none" w:sz="0" w:space="0" w:color="auto"/>
        <w:bottom w:val="none" w:sz="0" w:space="0" w:color="auto"/>
        <w:right w:val="none" w:sz="0" w:space="0" w:color="auto"/>
      </w:divBdr>
    </w:div>
    <w:div w:id="1220673917">
      <w:bodyDiv w:val="1"/>
      <w:marLeft w:val="0"/>
      <w:marRight w:val="0"/>
      <w:marTop w:val="0"/>
      <w:marBottom w:val="0"/>
      <w:divBdr>
        <w:top w:val="none" w:sz="0" w:space="0" w:color="auto"/>
        <w:left w:val="none" w:sz="0" w:space="0" w:color="auto"/>
        <w:bottom w:val="none" w:sz="0" w:space="0" w:color="auto"/>
        <w:right w:val="none" w:sz="0" w:space="0" w:color="auto"/>
      </w:divBdr>
    </w:div>
    <w:div w:id="1265504614">
      <w:bodyDiv w:val="1"/>
      <w:marLeft w:val="0"/>
      <w:marRight w:val="0"/>
      <w:marTop w:val="0"/>
      <w:marBottom w:val="0"/>
      <w:divBdr>
        <w:top w:val="none" w:sz="0" w:space="0" w:color="auto"/>
        <w:left w:val="none" w:sz="0" w:space="0" w:color="auto"/>
        <w:bottom w:val="none" w:sz="0" w:space="0" w:color="auto"/>
        <w:right w:val="none" w:sz="0" w:space="0" w:color="auto"/>
      </w:divBdr>
    </w:div>
    <w:div w:id="1297644906">
      <w:bodyDiv w:val="1"/>
      <w:marLeft w:val="0"/>
      <w:marRight w:val="0"/>
      <w:marTop w:val="0"/>
      <w:marBottom w:val="0"/>
      <w:divBdr>
        <w:top w:val="none" w:sz="0" w:space="0" w:color="auto"/>
        <w:left w:val="none" w:sz="0" w:space="0" w:color="auto"/>
        <w:bottom w:val="none" w:sz="0" w:space="0" w:color="auto"/>
        <w:right w:val="none" w:sz="0" w:space="0" w:color="auto"/>
      </w:divBdr>
    </w:div>
    <w:div w:id="1325234582">
      <w:bodyDiv w:val="1"/>
      <w:marLeft w:val="0"/>
      <w:marRight w:val="0"/>
      <w:marTop w:val="0"/>
      <w:marBottom w:val="0"/>
      <w:divBdr>
        <w:top w:val="none" w:sz="0" w:space="0" w:color="auto"/>
        <w:left w:val="none" w:sz="0" w:space="0" w:color="auto"/>
        <w:bottom w:val="none" w:sz="0" w:space="0" w:color="auto"/>
        <w:right w:val="none" w:sz="0" w:space="0" w:color="auto"/>
      </w:divBdr>
    </w:div>
    <w:div w:id="1330211730">
      <w:bodyDiv w:val="1"/>
      <w:marLeft w:val="0"/>
      <w:marRight w:val="0"/>
      <w:marTop w:val="0"/>
      <w:marBottom w:val="0"/>
      <w:divBdr>
        <w:top w:val="none" w:sz="0" w:space="0" w:color="auto"/>
        <w:left w:val="none" w:sz="0" w:space="0" w:color="auto"/>
        <w:bottom w:val="none" w:sz="0" w:space="0" w:color="auto"/>
        <w:right w:val="none" w:sz="0" w:space="0" w:color="auto"/>
      </w:divBdr>
    </w:div>
    <w:div w:id="1362632036">
      <w:bodyDiv w:val="1"/>
      <w:marLeft w:val="0"/>
      <w:marRight w:val="0"/>
      <w:marTop w:val="0"/>
      <w:marBottom w:val="0"/>
      <w:divBdr>
        <w:top w:val="none" w:sz="0" w:space="0" w:color="auto"/>
        <w:left w:val="none" w:sz="0" w:space="0" w:color="auto"/>
        <w:bottom w:val="none" w:sz="0" w:space="0" w:color="auto"/>
        <w:right w:val="none" w:sz="0" w:space="0" w:color="auto"/>
      </w:divBdr>
    </w:div>
    <w:div w:id="1378317817">
      <w:bodyDiv w:val="1"/>
      <w:marLeft w:val="0"/>
      <w:marRight w:val="0"/>
      <w:marTop w:val="0"/>
      <w:marBottom w:val="0"/>
      <w:divBdr>
        <w:top w:val="none" w:sz="0" w:space="0" w:color="auto"/>
        <w:left w:val="none" w:sz="0" w:space="0" w:color="auto"/>
        <w:bottom w:val="none" w:sz="0" w:space="0" w:color="auto"/>
        <w:right w:val="none" w:sz="0" w:space="0" w:color="auto"/>
      </w:divBdr>
    </w:div>
    <w:div w:id="1380977489">
      <w:bodyDiv w:val="1"/>
      <w:marLeft w:val="0"/>
      <w:marRight w:val="0"/>
      <w:marTop w:val="0"/>
      <w:marBottom w:val="0"/>
      <w:divBdr>
        <w:top w:val="none" w:sz="0" w:space="0" w:color="auto"/>
        <w:left w:val="none" w:sz="0" w:space="0" w:color="auto"/>
        <w:bottom w:val="none" w:sz="0" w:space="0" w:color="auto"/>
        <w:right w:val="none" w:sz="0" w:space="0" w:color="auto"/>
      </w:divBdr>
    </w:div>
    <w:div w:id="1440447182">
      <w:bodyDiv w:val="1"/>
      <w:marLeft w:val="0"/>
      <w:marRight w:val="0"/>
      <w:marTop w:val="0"/>
      <w:marBottom w:val="0"/>
      <w:divBdr>
        <w:top w:val="none" w:sz="0" w:space="0" w:color="auto"/>
        <w:left w:val="none" w:sz="0" w:space="0" w:color="auto"/>
        <w:bottom w:val="none" w:sz="0" w:space="0" w:color="auto"/>
        <w:right w:val="none" w:sz="0" w:space="0" w:color="auto"/>
      </w:divBdr>
    </w:div>
    <w:div w:id="1507136247">
      <w:bodyDiv w:val="1"/>
      <w:marLeft w:val="0"/>
      <w:marRight w:val="0"/>
      <w:marTop w:val="0"/>
      <w:marBottom w:val="0"/>
      <w:divBdr>
        <w:top w:val="none" w:sz="0" w:space="0" w:color="auto"/>
        <w:left w:val="none" w:sz="0" w:space="0" w:color="auto"/>
        <w:bottom w:val="none" w:sz="0" w:space="0" w:color="auto"/>
        <w:right w:val="none" w:sz="0" w:space="0" w:color="auto"/>
      </w:divBdr>
    </w:div>
    <w:div w:id="1541940406">
      <w:bodyDiv w:val="1"/>
      <w:marLeft w:val="0"/>
      <w:marRight w:val="0"/>
      <w:marTop w:val="0"/>
      <w:marBottom w:val="0"/>
      <w:divBdr>
        <w:top w:val="none" w:sz="0" w:space="0" w:color="auto"/>
        <w:left w:val="none" w:sz="0" w:space="0" w:color="auto"/>
        <w:bottom w:val="none" w:sz="0" w:space="0" w:color="auto"/>
        <w:right w:val="none" w:sz="0" w:space="0" w:color="auto"/>
      </w:divBdr>
    </w:div>
    <w:div w:id="1558738262">
      <w:bodyDiv w:val="1"/>
      <w:marLeft w:val="0"/>
      <w:marRight w:val="0"/>
      <w:marTop w:val="0"/>
      <w:marBottom w:val="0"/>
      <w:divBdr>
        <w:top w:val="none" w:sz="0" w:space="0" w:color="auto"/>
        <w:left w:val="none" w:sz="0" w:space="0" w:color="auto"/>
        <w:bottom w:val="none" w:sz="0" w:space="0" w:color="auto"/>
        <w:right w:val="none" w:sz="0" w:space="0" w:color="auto"/>
      </w:divBdr>
    </w:div>
    <w:div w:id="1590650483">
      <w:bodyDiv w:val="1"/>
      <w:marLeft w:val="0"/>
      <w:marRight w:val="0"/>
      <w:marTop w:val="0"/>
      <w:marBottom w:val="0"/>
      <w:divBdr>
        <w:top w:val="none" w:sz="0" w:space="0" w:color="auto"/>
        <w:left w:val="none" w:sz="0" w:space="0" w:color="auto"/>
        <w:bottom w:val="none" w:sz="0" w:space="0" w:color="auto"/>
        <w:right w:val="none" w:sz="0" w:space="0" w:color="auto"/>
      </w:divBdr>
    </w:div>
    <w:div w:id="1651444630">
      <w:bodyDiv w:val="1"/>
      <w:marLeft w:val="0"/>
      <w:marRight w:val="0"/>
      <w:marTop w:val="0"/>
      <w:marBottom w:val="0"/>
      <w:divBdr>
        <w:top w:val="none" w:sz="0" w:space="0" w:color="auto"/>
        <w:left w:val="none" w:sz="0" w:space="0" w:color="auto"/>
        <w:bottom w:val="none" w:sz="0" w:space="0" w:color="auto"/>
        <w:right w:val="none" w:sz="0" w:space="0" w:color="auto"/>
      </w:divBdr>
    </w:div>
    <w:div w:id="1663048048">
      <w:bodyDiv w:val="1"/>
      <w:marLeft w:val="0"/>
      <w:marRight w:val="0"/>
      <w:marTop w:val="0"/>
      <w:marBottom w:val="0"/>
      <w:divBdr>
        <w:top w:val="none" w:sz="0" w:space="0" w:color="auto"/>
        <w:left w:val="none" w:sz="0" w:space="0" w:color="auto"/>
        <w:bottom w:val="none" w:sz="0" w:space="0" w:color="auto"/>
        <w:right w:val="none" w:sz="0" w:space="0" w:color="auto"/>
      </w:divBdr>
    </w:div>
    <w:div w:id="1676685845">
      <w:bodyDiv w:val="1"/>
      <w:marLeft w:val="0"/>
      <w:marRight w:val="0"/>
      <w:marTop w:val="0"/>
      <w:marBottom w:val="0"/>
      <w:divBdr>
        <w:top w:val="none" w:sz="0" w:space="0" w:color="auto"/>
        <w:left w:val="none" w:sz="0" w:space="0" w:color="auto"/>
        <w:bottom w:val="none" w:sz="0" w:space="0" w:color="auto"/>
        <w:right w:val="none" w:sz="0" w:space="0" w:color="auto"/>
      </w:divBdr>
    </w:div>
    <w:div w:id="1704985326">
      <w:bodyDiv w:val="1"/>
      <w:marLeft w:val="0"/>
      <w:marRight w:val="0"/>
      <w:marTop w:val="0"/>
      <w:marBottom w:val="0"/>
      <w:divBdr>
        <w:top w:val="none" w:sz="0" w:space="0" w:color="auto"/>
        <w:left w:val="none" w:sz="0" w:space="0" w:color="auto"/>
        <w:bottom w:val="none" w:sz="0" w:space="0" w:color="auto"/>
        <w:right w:val="none" w:sz="0" w:space="0" w:color="auto"/>
      </w:divBdr>
    </w:div>
    <w:div w:id="1726637624">
      <w:bodyDiv w:val="1"/>
      <w:marLeft w:val="0"/>
      <w:marRight w:val="0"/>
      <w:marTop w:val="0"/>
      <w:marBottom w:val="0"/>
      <w:divBdr>
        <w:top w:val="none" w:sz="0" w:space="0" w:color="auto"/>
        <w:left w:val="none" w:sz="0" w:space="0" w:color="auto"/>
        <w:bottom w:val="none" w:sz="0" w:space="0" w:color="auto"/>
        <w:right w:val="none" w:sz="0" w:space="0" w:color="auto"/>
      </w:divBdr>
    </w:div>
    <w:div w:id="1804544176">
      <w:bodyDiv w:val="1"/>
      <w:marLeft w:val="0"/>
      <w:marRight w:val="0"/>
      <w:marTop w:val="0"/>
      <w:marBottom w:val="0"/>
      <w:divBdr>
        <w:top w:val="none" w:sz="0" w:space="0" w:color="auto"/>
        <w:left w:val="none" w:sz="0" w:space="0" w:color="auto"/>
        <w:bottom w:val="none" w:sz="0" w:space="0" w:color="auto"/>
        <w:right w:val="none" w:sz="0" w:space="0" w:color="auto"/>
      </w:divBdr>
    </w:div>
    <w:div w:id="1873423252">
      <w:bodyDiv w:val="1"/>
      <w:marLeft w:val="0"/>
      <w:marRight w:val="0"/>
      <w:marTop w:val="0"/>
      <w:marBottom w:val="0"/>
      <w:divBdr>
        <w:top w:val="none" w:sz="0" w:space="0" w:color="auto"/>
        <w:left w:val="none" w:sz="0" w:space="0" w:color="auto"/>
        <w:bottom w:val="none" w:sz="0" w:space="0" w:color="auto"/>
        <w:right w:val="none" w:sz="0" w:space="0" w:color="auto"/>
      </w:divBdr>
    </w:div>
    <w:div w:id="1875997758">
      <w:bodyDiv w:val="1"/>
      <w:marLeft w:val="0"/>
      <w:marRight w:val="0"/>
      <w:marTop w:val="0"/>
      <w:marBottom w:val="0"/>
      <w:divBdr>
        <w:top w:val="none" w:sz="0" w:space="0" w:color="auto"/>
        <w:left w:val="none" w:sz="0" w:space="0" w:color="auto"/>
        <w:bottom w:val="none" w:sz="0" w:space="0" w:color="auto"/>
        <w:right w:val="none" w:sz="0" w:space="0" w:color="auto"/>
      </w:divBdr>
    </w:div>
    <w:div w:id="1898198490">
      <w:bodyDiv w:val="1"/>
      <w:marLeft w:val="0"/>
      <w:marRight w:val="0"/>
      <w:marTop w:val="0"/>
      <w:marBottom w:val="0"/>
      <w:divBdr>
        <w:top w:val="none" w:sz="0" w:space="0" w:color="auto"/>
        <w:left w:val="none" w:sz="0" w:space="0" w:color="auto"/>
        <w:bottom w:val="none" w:sz="0" w:space="0" w:color="auto"/>
        <w:right w:val="none" w:sz="0" w:space="0" w:color="auto"/>
      </w:divBdr>
    </w:div>
    <w:div w:id="1930042186">
      <w:bodyDiv w:val="1"/>
      <w:marLeft w:val="0"/>
      <w:marRight w:val="0"/>
      <w:marTop w:val="0"/>
      <w:marBottom w:val="0"/>
      <w:divBdr>
        <w:top w:val="none" w:sz="0" w:space="0" w:color="auto"/>
        <w:left w:val="none" w:sz="0" w:space="0" w:color="auto"/>
        <w:bottom w:val="none" w:sz="0" w:space="0" w:color="auto"/>
        <w:right w:val="none" w:sz="0" w:space="0" w:color="auto"/>
      </w:divBdr>
    </w:div>
    <w:div w:id="1989506537">
      <w:bodyDiv w:val="1"/>
      <w:marLeft w:val="0"/>
      <w:marRight w:val="0"/>
      <w:marTop w:val="0"/>
      <w:marBottom w:val="0"/>
      <w:divBdr>
        <w:top w:val="none" w:sz="0" w:space="0" w:color="auto"/>
        <w:left w:val="none" w:sz="0" w:space="0" w:color="auto"/>
        <w:bottom w:val="none" w:sz="0" w:space="0" w:color="auto"/>
        <w:right w:val="none" w:sz="0" w:space="0" w:color="auto"/>
      </w:divBdr>
    </w:div>
    <w:div w:id="2075928433">
      <w:bodyDiv w:val="1"/>
      <w:marLeft w:val="0"/>
      <w:marRight w:val="0"/>
      <w:marTop w:val="0"/>
      <w:marBottom w:val="0"/>
      <w:divBdr>
        <w:top w:val="none" w:sz="0" w:space="0" w:color="auto"/>
        <w:left w:val="none" w:sz="0" w:space="0" w:color="auto"/>
        <w:bottom w:val="none" w:sz="0" w:space="0" w:color="auto"/>
        <w:right w:val="none" w:sz="0" w:space="0" w:color="auto"/>
      </w:divBdr>
    </w:div>
    <w:div w:id="2100515855">
      <w:bodyDiv w:val="1"/>
      <w:marLeft w:val="0"/>
      <w:marRight w:val="0"/>
      <w:marTop w:val="0"/>
      <w:marBottom w:val="0"/>
      <w:divBdr>
        <w:top w:val="none" w:sz="0" w:space="0" w:color="auto"/>
        <w:left w:val="none" w:sz="0" w:space="0" w:color="auto"/>
        <w:bottom w:val="none" w:sz="0" w:space="0" w:color="auto"/>
        <w:right w:val="none" w:sz="0" w:space="0" w:color="auto"/>
      </w:divBdr>
    </w:div>
    <w:div w:id="2127305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nla.gov.co/contenido/contenido.aspx?catID=144&amp;conID=7915" TargetMode="External"/><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anla.gov.co/contenido/contenido.aspx?catID=144&amp;conID=7915"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hyperlink" Target="http://www.anla.gov.co" TargetMode="External"/><Relationship Id="rId1" Type="http://schemas.openxmlformats.org/officeDocument/2006/relationships/hyperlink" Target="http://www.anla.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0E6CBE-3424-40FE-9569-FFCA6DA77C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32</Pages>
  <Words>13038</Words>
  <Characters>71713</Characters>
  <Application>Microsoft Office Word</Application>
  <DocSecurity>0</DocSecurity>
  <Lines>597</Lines>
  <Paragraphs>169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84582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Diego Andres Alvarado Peña</dc:creator>
  <cp:lastModifiedBy>diegogonzalez</cp:lastModifiedBy>
  <cp:revision>2</cp:revision>
  <cp:lastPrinted>2013-05-20T21:41:00Z</cp:lastPrinted>
  <dcterms:created xsi:type="dcterms:W3CDTF">2013-05-21T17:05:00Z</dcterms:created>
  <dcterms:modified xsi:type="dcterms:W3CDTF">2013-05-21T17:05:00Z</dcterms:modified>
</cp:coreProperties>
</file>