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66C" w:rsidRPr="0089503C" w:rsidRDefault="0089503C" w:rsidP="00C70932">
      <w:pPr>
        <w:pStyle w:val="Ttulo1"/>
        <w:numPr>
          <w:ilvl w:val="0"/>
          <w:numId w:val="0"/>
        </w:numPr>
        <w:jc w:val="center"/>
        <w:rPr>
          <w:color w:val="548DD4" w:themeColor="text2" w:themeTint="99"/>
          <w:sz w:val="24"/>
          <w:szCs w:val="24"/>
          <w:lang w:val="es-ES_tradnl"/>
        </w:rPr>
      </w:pPr>
      <w:bookmarkStart w:id="0" w:name="_Toc213491817"/>
      <w:r w:rsidRPr="0089503C">
        <w:rPr>
          <w:color w:val="548DD4" w:themeColor="text2" w:themeTint="99"/>
          <w:sz w:val="24"/>
          <w:szCs w:val="24"/>
          <w:lang w:val="es-ES_tradnl"/>
        </w:rPr>
        <w:t>DIAGNÓSTICO DEL SECTOR EN COLOMBIA</w:t>
      </w:r>
      <w:bookmarkEnd w:id="0"/>
    </w:p>
    <w:p w:rsidR="00BD066C" w:rsidRPr="0089503C" w:rsidRDefault="00BD066C" w:rsidP="00C70932">
      <w:pPr>
        <w:pStyle w:val="Ttulo2"/>
        <w:numPr>
          <w:ilvl w:val="0"/>
          <w:numId w:val="2"/>
        </w:numPr>
        <w:rPr>
          <w:sz w:val="24"/>
          <w:szCs w:val="24"/>
          <w:lang w:val="es-ES_tradnl"/>
        </w:rPr>
      </w:pPr>
      <w:bookmarkStart w:id="1" w:name="_Toc213491818"/>
      <w:r w:rsidRPr="0089503C">
        <w:rPr>
          <w:sz w:val="24"/>
          <w:szCs w:val="24"/>
          <w:lang w:val="es-ES_tradnl"/>
        </w:rPr>
        <w:t>Cadena de valor del sector lácteo</w:t>
      </w:r>
      <w:bookmarkEnd w:id="1"/>
      <w:r w:rsidRPr="0089503C">
        <w:rPr>
          <w:sz w:val="24"/>
          <w:szCs w:val="24"/>
          <w:lang w:val="es-ES_tradnl"/>
        </w:rPr>
        <w:t xml:space="preserve"> </w:t>
      </w:r>
    </w:p>
    <w:p w:rsidR="00BD066C" w:rsidRPr="0089503C" w:rsidRDefault="00BD066C" w:rsidP="00BD066C">
      <w:pPr>
        <w:spacing w:after="120"/>
        <w:rPr>
          <w:rFonts w:cs="Arial"/>
          <w:b/>
          <w:sz w:val="24"/>
          <w:lang w:val="es-ES_tradnl"/>
        </w:rPr>
      </w:pPr>
      <w:r w:rsidRPr="0089503C">
        <w:rPr>
          <w:rFonts w:cs="Arial"/>
          <w:b/>
          <w:sz w:val="24"/>
          <w:lang w:val="es-ES_tradnl"/>
        </w:rPr>
        <w:t xml:space="preserve">Identificación y análisis de la cadena láctea </w:t>
      </w:r>
    </w:p>
    <w:p w:rsidR="00BD066C" w:rsidRPr="0089503C" w:rsidRDefault="00BD066C" w:rsidP="00BD066C">
      <w:pPr>
        <w:jc w:val="both"/>
        <w:rPr>
          <w:rFonts w:cs="Arial"/>
          <w:sz w:val="24"/>
          <w:lang w:val="es-ES_tradnl"/>
        </w:rPr>
      </w:pPr>
      <w:r w:rsidRPr="0089503C">
        <w:rPr>
          <w:rFonts w:cs="Arial"/>
          <w:sz w:val="24"/>
          <w:lang w:val="es-ES_tradnl"/>
        </w:rPr>
        <w:t>El peso del sector lácteo colombiano en el PIB nacional durante el 2011 fue del 1,4%, del cual 1,1% corresponde a la producción de leche y 0,4% al procesamiento de productos lácteos</w:t>
      </w:r>
      <w:r w:rsidRPr="0089503C">
        <w:rPr>
          <w:rStyle w:val="Refdenotaalpie"/>
          <w:rFonts w:cs="Arial"/>
          <w:sz w:val="24"/>
          <w:lang w:val="es-ES_tradnl"/>
        </w:rPr>
        <w:footnoteReference w:id="2"/>
      </w:r>
      <w:r w:rsidRPr="0089503C">
        <w:rPr>
          <w:rFonts w:cs="Arial"/>
          <w:sz w:val="24"/>
          <w:lang w:val="es-ES_tradnl"/>
        </w:rPr>
        <w:t>.</w:t>
      </w:r>
    </w:p>
    <w:p w:rsidR="00BD066C" w:rsidRPr="0089503C" w:rsidRDefault="00BD066C" w:rsidP="00BD066C">
      <w:pPr>
        <w:jc w:val="both"/>
        <w:rPr>
          <w:rFonts w:cs="Arial"/>
          <w:sz w:val="24"/>
          <w:lang w:val="es-ES_tradnl"/>
        </w:rPr>
      </w:pPr>
      <w:r w:rsidRPr="0089503C">
        <w:rPr>
          <w:rFonts w:cs="Arial"/>
          <w:sz w:val="24"/>
          <w:lang w:val="es-ES_tradnl"/>
        </w:rPr>
        <w:t>En términos de empleo, se estima que la producción de leche genera más de 600.000 empleos en Colombia. Por su parte, la industria emplea aproximadamente a 16.000 personas</w:t>
      </w:r>
      <w:r w:rsidRPr="0089503C">
        <w:rPr>
          <w:rStyle w:val="Refdenotaalpie"/>
          <w:rFonts w:cs="Arial"/>
          <w:sz w:val="24"/>
          <w:lang w:val="es-ES_tradnl"/>
        </w:rPr>
        <w:footnoteReference w:id="3"/>
      </w:r>
      <w:r w:rsidRPr="0089503C">
        <w:rPr>
          <w:rFonts w:cs="Arial"/>
          <w:sz w:val="24"/>
          <w:lang w:val="es-ES_tradnl"/>
        </w:rPr>
        <w:t>.</w:t>
      </w:r>
    </w:p>
    <w:p w:rsidR="00BD066C" w:rsidRPr="0089503C" w:rsidRDefault="00BD066C" w:rsidP="00BD066C">
      <w:pPr>
        <w:jc w:val="both"/>
        <w:rPr>
          <w:rFonts w:cs="Arial"/>
          <w:sz w:val="24"/>
          <w:lang w:val="es-ES_tradnl"/>
        </w:rPr>
      </w:pPr>
      <w:r w:rsidRPr="0089503C">
        <w:rPr>
          <w:rFonts w:cs="Arial"/>
          <w:sz w:val="24"/>
          <w:lang w:val="es-ES_tradnl"/>
        </w:rPr>
        <w:t>A continuación se detalla un gráfico con los eslabones y procesos que describen a la cadena productiva láctea en Colombia</w:t>
      </w:r>
      <w:r w:rsidRPr="0089503C">
        <w:rPr>
          <w:rStyle w:val="Refdenotaalpie"/>
          <w:rFonts w:cs="Arial"/>
          <w:sz w:val="24"/>
          <w:lang w:val="es-ES_tradnl"/>
        </w:rPr>
        <w:footnoteReference w:id="4"/>
      </w:r>
      <w:r w:rsidRPr="0089503C">
        <w:rPr>
          <w:rFonts w:cs="Arial"/>
          <w:sz w:val="24"/>
          <w:lang w:val="es-ES_tradnl"/>
        </w:rPr>
        <w:t xml:space="preserve">: </w:t>
      </w:r>
    </w:p>
    <w:p w:rsidR="00BD066C" w:rsidRPr="0089503C" w:rsidRDefault="00BD066C" w:rsidP="00BD066C">
      <w:pPr>
        <w:pStyle w:val="Epgrafe"/>
        <w:keepNext/>
        <w:jc w:val="center"/>
        <w:rPr>
          <w:b w:val="0"/>
          <w:i/>
          <w:sz w:val="24"/>
          <w:szCs w:val="24"/>
          <w:lang w:val="es-ES_tradnl"/>
        </w:rPr>
      </w:pPr>
      <w:bookmarkStart w:id="2" w:name="_Toc213491899"/>
      <w:r w:rsidRPr="0089503C">
        <w:rPr>
          <w:b w:val="0"/>
          <w:i/>
          <w:sz w:val="24"/>
          <w:szCs w:val="24"/>
          <w:lang w:val="es-ES_tradnl"/>
        </w:rPr>
        <w:t xml:space="preserve">Gráfico </w:t>
      </w:r>
      <w:r w:rsidR="001C55E0" w:rsidRPr="0089503C">
        <w:rPr>
          <w:b w:val="0"/>
          <w:i/>
          <w:sz w:val="24"/>
          <w:szCs w:val="24"/>
          <w:lang w:val="es-ES_tradnl"/>
        </w:rPr>
        <w:fldChar w:fldCharType="begin"/>
      </w:r>
      <w:r w:rsidRPr="0089503C">
        <w:rPr>
          <w:b w:val="0"/>
          <w:i/>
          <w:sz w:val="24"/>
          <w:szCs w:val="24"/>
          <w:lang w:val="es-ES_tradnl"/>
        </w:rPr>
        <w:instrText xml:space="preserve"> SEQ Gráfico \* ARABIC </w:instrText>
      </w:r>
      <w:r w:rsidR="001C55E0" w:rsidRPr="0089503C">
        <w:rPr>
          <w:b w:val="0"/>
          <w:i/>
          <w:sz w:val="24"/>
          <w:szCs w:val="24"/>
          <w:lang w:val="es-ES_tradnl"/>
        </w:rPr>
        <w:fldChar w:fldCharType="separate"/>
      </w:r>
      <w:r w:rsidRPr="0089503C">
        <w:rPr>
          <w:b w:val="0"/>
          <w:i/>
          <w:noProof/>
          <w:sz w:val="24"/>
          <w:szCs w:val="24"/>
          <w:lang w:val="es-ES_tradnl"/>
        </w:rPr>
        <w:t>1</w:t>
      </w:r>
      <w:r w:rsidR="001C55E0" w:rsidRPr="0089503C">
        <w:rPr>
          <w:b w:val="0"/>
          <w:i/>
          <w:sz w:val="24"/>
          <w:szCs w:val="24"/>
          <w:lang w:val="es-ES_tradnl"/>
        </w:rPr>
        <w:fldChar w:fldCharType="end"/>
      </w:r>
      <w:r w:rsidRPr="0089503C">
        <w:rPr>
          <w:b w:val="0"/>
          <w:i/>
          <w:sz w:val="24"/>
          <w:szCs w:val="24"/>
          <w:lang w:val="es-ES_tradnl"/>
        </w:rPr>
        <w:t>: Cadena de valor Láctea (Consejo Nacional Lácteo)</w:t>
      </w:r>
      <w:bookmarkEnd w:id="2"/>
    </w:p>
    <w:p w:rsidR="00BD066C" w:rsidRPr="0089503C" w:rsidRDefault="009B3708" w:rsidP="00BD066C">
      <w:pPr>
        <w:spacing w:after="120"/>
        <w:ind w:right="-852"/>
        <w:jc w:val="center"/>
        <w:rPr>
          <w:rFonts w:cs="Arial"/>
          <w:sz w:val="24"/>
          <w:lang w:val="es-ES_tradnl"/>
        </w:rPr>
      </w:pPr>
      <w:r w:rsidRPr="0089503C">
        <w:rPr>
          <w:rFonts w:cs="Arial"/>
          <w:noProof/>
          <w:sz w:val="24"/>
          <w:lang w:val="en-US" w:eastAsia="en-US"/>
        </w:rPr>
        <w:drawing>
          <wp:inline distT="0" distB="0" distL="0" distR="0">
            <wp:extent cx="4581525" cy="2790825"/>
            <wp:effectExtent l="19050" t="0" r="9525" b="0"/>
            <wp:docPr id="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7" cstate="print"/>
                    <a:srcRect/>
                    <a:stretch>
                      <a:fillRect/>
                    </a:stretch>
                  </pic:blipFill>
                  <pic:spPr bwMode="auto">
                    <a:xfrm>
                      <a:off x="0" y="0"/>
                      <a:ext cx="4581525" cy="2790825"/>
                    </a:xfrm>
                    <a:prstGeom prst="rect">
                      <a:avLst/>
                    </a:prstGeom>
                    <a:noFill/>
                    <a:ln w="9525">
                      <a:noFill/>
                      <a:miter lim="800000"/>
                      <a:headEnd/>
                      <a:tailEnd/>
                    </a:ln>
                  </pic:spPr>
                </pic:pic>
              </a:graphicData>
            </a:graphic>
          </wp:inline>
        </w:drawing>
      </w:r>
    </w:p>
    <w:p w:rsidR="00BD066C" w:rsidRPr="0089503C" w:rsidRDefault="00BD066C" w:rsidP="00BD066C">
      <w:pPr>
        <w:spacing w:after="120"/>
        <w:rPr>
          <w:rFonts w:cs="Arial"/>
          <w:b/>
          <w:sz w:val="24"/>
          <w:lang w:val="es-ES_tradnl"/>
        </w:rPr>
      </w:pPr>
    </w:p>
    <w:p w:rsidR="00BD066C" w:rsidRPr="0089503C" w:rsidRDefault="00BD066C" w:rsidP="00BD066C">
      <w:pPr>
        <w:spacing w:after="120"/>
        <w:rPr>
          <w:rFonts w:cs="Arial"/>
          <w:b/>
          <w:sz w:val="24"/>
          <w:lang w:val="es-ES_tradnl"/>
        </w:rPr>
      </w:pPr>
    </w:p>
    <w:p w:rsidR="00BD066C" w:rsidRPr="0089503C" w:rsidRDefault="00BD066C" w:rsidP="00BD066C">
      <w:pPr>
        <w:spacing w:after="120"/>
        <w:rPr>
          <w:rFonts w:cs="Arial"/>
          <w:b/>
          <w:sz w:val="24"/>
          <w:lang w:val="es-ES_tradnl"/>
        </w:rPr>
      </w:pPr>
    </w:p>
    <w:p w:rsidR="00BD066C" w:rsidRPr="0089503C" w:rsidRDefault="00BD066C" w:rsidP="00BD066C">
      <w:pPr>
        <w:spacing w:after="120"/>
        <w:rPr>
          <w:rFonts w:cs="Arial"/>
          <w:b/>
          <w:sz w:val="24"/>
          <w:lang w:val="es-ES_tradnl"/>
        </w:rPr>
      </w:pPr>
    </w:p>
    <w:p w:rsidR="00BD066C" w:rsidRPr="0089503C" w:rsidRDefault="00BD066C" w:rsidP="00C70932">
      <w:pPr>
        <w:pStyle w:val="Prrafodelista"/>
        <w:numPr>
          <w:ilvl w:val="0"/>
          <w:numId w:val="2"/>
        </w:numPr>
        <w:spacing w:after="120"/>
        <w:rPr>
          <w:rFonts w:cs="Arial"/>
          <w:b/>
          <w:sz w:val="24"/>
          <w:lang w:val="es-ES_tradnl"/>
        </w:rPr>
      </w:pPr>
      <w:r w:rsidRPr="0089503C">
        <w:rPr>
          <w:rFonts w:cs="Arial"/>
          <w:b/>
          <w:sz w:val="24"/>
          <w:lang w:val="es-ES_tradnl"/>
        </w:rPr>
        <w:lastRenderedPageBreak/>
        <w:t>Producción de leche</w:t>
      </w:r>
    </w:p>
    <w:p w:rsidR="00BD066C" w:rsidRPr="0089503C" w:rsidRDefault="00BD066C" w:rsidP="00BD066C">
      <w:pPr>
        <w:jc w:val="both"/>
        <w:rPr>
          <w:rFonts w:cs="Arial"/>
          <w:sz w:val="24"/>
          <w:lang w:val="es-ES_tradnl"/>
        </w:rPr>
      </w:pPr>
      <w:r w:rsidRPr="0089503C">
        <w:rPr>
          <w:rFonts w:cs="Arial"/>
          <w:sz w:val="24"/>
          <w:lang w:val="es-ES_tradnl"/>
        </w:rPr>
        <w:t>Durante la última década, la producción de leche en Colombia ha crecido un 10,6%, si bien este crecimiento no ha sido sostenido. Entre 2008 y 2010, la producción cayó significativamente debido, en parte, al fenómeno de El Niño y al “cierre” del mercado venezolano que obligó al sector a regular su producción. En 2011, Colombia produjo 6.360 millones de litros de leche</w:t>
      </w:r>
      <w:r w:rsidRPr="0089503C">
        <w:rPr>
          <w:rStyle w:val="Refdenotaalpie"/>
          <w:rFonts w:cs="Arial"/>
          <w:sz w:val="24"/>
          <w:lang w:val="es-ES_tradnl"/>
        </w:rPr>
        <w:footnoteReference w:id="5"/>
      </w:r>
      <w:r w:rsidRPr="0089503C">
        <w:rPr>
          <w:rFonts w:cs="Arial"/>
          <w:sz w:val="24"/>
          <w:lang w:val="es-ES_tradnl"/>
        </w:rPr>
        <w:t xml:space="preserve">. </w:t>
      </w:r>
    </w:p>
    <w:p w:rsidR="00BD066C" w:rsidRPr="0089503C" w:rsidRDefault="00BD066C" w:rsidP="00BD066C">
      <w:pPr>
        <w:pStyle w:val="Epgrafe"/>
        <w:keepNext/>
        <w:jc w:val="center"/>
        <w:rPr>
          <w:i/>
          <w:sz w:val="24"/>
          <w:szCs w:val="24"/>
          <w:lang w:val="es-ES_tradnl"/>
        </w:rPr>
      </w:pPr>
      <w:bookmarkStart w:id="3" w:name="_Toc213491900"/>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2</w:t>
      </w:r>
      <w:r w:rsidR="001C55E0" w:rsidRPr="0089503C">
        <w:rPr>
          <w:i/>
          <w:sz w:val="24"/>
          <w:szCs w:val="24"/>
          <w:lang w:val="es-ES_tradnl"/>
        </w:rPr>
        <w:fldChar w:fldCharType="end"/>
      </w:r>
      <w:r w:rsidRPr="0089503C">
        <w:rPr>
          <w:i/>
          <w:sz w:val="24"/>
          <w:szCs w:val="24"/>
          <w:lang w:val="es-ES_tradnl"/>
        </w:rPr>
        <w:t xml:space="preserve"> Evolución de la Producción de Leche en Colombia (FEDEGAN)</w:t>
      </w:r>
      <w:bookmarkEnd w:id="3"/>
    </w:p>
    <w:p w:rsidR="00BD066C" w:rsidRPr="0089503C" w:rsidRDefault="009B3708" w:rsidP="00BD066C">
      <w:pPr>
        <w:jc w:val="center"/>
        <w:rPr>
          <w:rFonts w:cs="Arial"/>
          <w:sz w:val="24"/>
          <w:lang w:val="es-ES_tradnl"/>
        </w:rPr>
      </w:pPr>
      <w:r w:rsidRPr="0089503C">
        <w:rPr>
          <w:rFonts w:cs="Arial"/>
          <w:noProof/>
          <w:sz w:val="24"/>
          <w:lang w:val="en-US" w:eastAsia="en-US"/>
        </w:rPr>
        <w:drawing>
          <wp:inline distT="0" distB="0" distL="0" distR="0">
            <wp:extent cx="4076700" cy="2476500"/>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t="9306"/>
                    <a:stretch>
                      <a:fillRect/>
                    </a:stretch>
                  </pic:blipFill>
                  <pic:spPr bwMode="auto">
                    <a:xfrm>
                      <a:off x="0" y="0"/>
                      <a:ext cx="4076700" cy="2476500"/>
                    </a:xfrm>
                    <a:prstGeom prst="rect">
                      <a:avLst/>
                    </a:prstGeom>
                    <a:noFill/>
                    <a:ln w="9525">
                      <a:noFill/>
                      <a:miter lim="800000"/>
                      <a:headEnd/>
                      <a:tailEnd/>
                    </a:ln>
                  </pic:spPr>
                </pic:pic>
              </a:graphicData>
            </a:graphic>
          </wp:inline>
        </w:drawing>
      </w:r>
    </w:p>
    <w:p w:rsidR="00BD066C" w:rsidRPr="0089503C" w:rsidRDefault="00BD066C" w:rsidP="00BD066C">
      <w:pPr>
        <w:jc w:val="both"/>
        <w:rPr>
          <w:rFonts w:cs="Arial"/>
          <w:sz w:val="24"/>
          <w:lang w:val="es-ES_tradnl"/>
        </w:rPr>
      </w:pPr>
      <w:r w:rsidRPr="0089503C">
        <w:rPr>
          <w:rFonts w:cs="Arial"/>
          <w:sz w:val="24"/>
          <w:lang w:val="es-ES_tradnl"/>
        </w:rPr>
        <w:t>Esto sitúa a Colombia como el cuarto productor de leche en Latinoamérica, superado sólo por Brasil (28 mil millones), México (11 mil millones) y Argentina (10 mil millones). No obstante, la participación del país en la producción global es mucho más discreta y no supera el 1%</w:t>
      </w:r>
      <w:r w:rsidRPr="0089503C">
        <w:rPr>
          <w:rStyle w:val="Refdenotaalpie"/>
          <w:rFonts w:cs="Arial"/>
          <w:sz w:val="24"/>
          <w:lang w:val="es-ES_tradnl"/>
        </w:rPr>
        <w:footnoteReference w:id="6"/>
      </w:r>
      <w:r w:rsidRPr="0089503C">
        <w:rPr>
          <w:rFonts w:cs="Arial"/>
          <w:sz w:val="24"/>
          <w:lang w:val="es-ES_tradnl"/>
        </w:rPr>
        <w:t xml:space="preserve">. </w:t>
      </w:r>
    </w:p>
    <w:p w:rsidR="00BD066C" w:rsidRPr="0089503C" w:rsidRDefault="00BD066C" w:rsidP="00BD066C">
      <w:pPr>
        <w:jc w:val="both"/>
        <w:rPr>
          <w:rFonts w:cs="Arial"/>
          <w:sz w:val="24"/>
          <w:lang w:val="es-ES_tradnl"/>
        </w:rPr>
      </w:pPr>
      <w:r w:rsidRPr="0089503C">
        <w:rPr>
          <w:rFonts w:cs="Arial"/>
          <w:sz w:val="24"/>
          <w:lang w:val="es-ES_tradnl"/>
        </w:rPr>
        <w:t>De la producción total nacional, la participación departamental en la producción la lidera Cundinamarca (19,46%), seguido de Antioquia (17,15%) y Boyacá (10,36%). En conjunto estos departamentos representan el 47,11% de la producción nacional.</w:t>
      </w:r>
    </w:p>
    <w:p w:rsidR="00BD066C" w:rsidRPr="0089503C" w:rsidRDefault="00BD066C" w:rsidP="00BD066C">
      <w:pPr>
        <w:jc w:val="both"/>
        <w:rPr>
          <w:rFonts w:cs="Arial"/>
          <w:sz w:val="24"/>
          <w:lang w:val="es-ES_tradnl"/>
        </w:rPr>
      </w:pPr>
      <w:r w:rsidRPr="0089503C">
        <w:rPr>
          <w:rFonts w:cs="Arial"/>
          <w:sz w:val="24"/>
          <w:lang w:val="es-ES_tradnl"/>
        </w:rPr>
        <w:t xml:space="preserve">No obstante lo anterior, la producción de leche en Colombia se encuentra dispersa a lo largo de todo el territorio nacional, por lo cual existe una gran variedad de condiciones de producción y comercialización de leche, desde regiones con alto nivel de industrialización hasta zonas con bajos niveles de transformación formal pero con alto potencial productivo. La amplia disponibilidad de pasturas a lo largo del territorio (el sector pecuario ocupa el 77% del suelo a nivel nacional y, de este porcentaje, el 72% son pastos y </w:t>
      </w:r>
      <w:r w:rsidRPr="0089503C">
        <w:rPr>
          <w:rFonts w:cs="Arial"/>
          <w:sz w:val="24"/>
          <w:lang w:val="es-ES_tradnl"/>
        </w:rPr>
        <w:lastRenderedPageBreak/>
        <w:t>forrajes) hace que en Colombia se desarrolle predominantemente el sistema de pastoreo siendo muy pocas las fincas que optan por la estabulación</w:t>
      </w:r>
      <w:r w:rsidRPr="0089503C">
        <w:rPr>
          <w:rStyle w:val="Refdenotaalpie"/>
          <w:rFonts w:cs="Arial"/>
          <w:sz w:val="24"/>
          <w:lang w:val="es-ES_tradnl"/>
        </w:rPr>
        <w:footnoteReference w:id="7"/>
      </w:r>
      <w:r w:rsidRPr="0089503C">
        <w:rPr>
          <w:rFonts w:cs="Arial"/>
          <w:sz w:val="24"/>
          <w:lang w:val="es-ES_tradnl"/>
        </w:rPr>
        <w:t xml:space="preserve">. </w:t>
      </w:r>
    </w:p>
    <w:p w:rsidR="00BD066C" w:rsidRPr="0089503C" w:rsidRDefault="00BD066C" w:rsidP="00BD066C">
      <w:pPr>
        <w:jc w:val="both"/>
        <w:rPr>
          <w:rFonts w:cs="Arial"/>
          <w:sz w:val="24"/>
          <w:lang w:val="es-ES_tradnl"/>
        </w:rPr>
      </w:pPr>
      <w:r w:rsidRPr="0089503C">
        <w:rPr>
          <w:rFonts w:cs="Arial"/>
          <w:sz w:val="24"/>
          <w:lang w:val="es-ES_tradnl"/>
        </w:rPr>
        <w:t>El inventario bovino en Colombia ascendía a 27,7 millones de cabezas en 2010, según la Encuesta Nacional Agropecuaria (ENA). 74% de éstas se orientan a producir carne, 21% a doble propósito y 5% a leche</w:t>
      </w:r>
      <w:r w:rsidRPr="0089503C">
        <w:rPr>
          <w:rStyle w:val="Refdenotaalpie"/>
          <w:rFonts w:cs="Arial"/>
          <w:sz w:val="24"/>
          <w:lang w:val="es-ES_tradnl"/>
        </w:rPr>
        <w:footnoteReference w:id="8"/>
      </w:r>
      <w:r w:rsidRPr="0089503C">
        <w:rPr>
          <w:rFonts w:cs="Arial"/>
          <w:sz w:val="24"/>
          <w:lang w:val="es-ES_tradnl"/>
        </w:rPr>
        <w:t xml:space="preserve">. Según el ENA, el total de vacas en ordeño en Colombia ascendía a 3,1 millones en 2010. A pesar de contar muchas menos vacas (5%), la lechería especializada tiene un aporte esencial en la producción de leche, representando aproximadamente la mitad del total producido en el país. </w:t>
      </w:r>
    </w:p>
    <w:p w:rsidR="00BD066C" w:rsidRPr="0089503C" w:rsidRDefault="00BD066C" w:rsidP="00BD066C">
      <w:pPr>
        <w:jc w:val="both"/>
        <w:rPr>
          <w:rFonts w:cs="Arial"/>
          <w:sz w:val="24"/>
          <w:lang w:val="es-ES_tradnl"/>
        </w:rPr>
      </w:pPr>
      <w:r w:rsidRPr="0089503C">
        <w:rPr>
          <w:rFonts w:cs="Arial"/>
          <w:sz w:val="24"/>
          <w:lang w:val="es-ES_tradnl"/>
        </w:rPr>
        <w:t>Colombia presenta un índice muy bajo en términos de productividad litros/vaca/día cuando se compara con otros países. Según el ENA, en 2010 la productividad promedio litro/vaca/día estaba en 4,39. El departamento más productivo fue Quindío con 13,6 litros y el peor situado fue Sucre, con 2,46 litros. Esto es un reflejo de los distintos tipos de lechería existentes en el país (especializada y doble propósito) y una señal de que hay zonas que, por sus condiciones específicas, se encuentran en clara desventaja a la hora de generar rendimientos en volumen por animal. Los 4,9 litros/vaca/día promedio de Colombia están lejos de países y regiones como Estados Unidos, Canadá, la Unión Europea o México que tienen cifras de 35,6, 31,7, 21,2 y 17,2 litros/vaca/día respectivamente</w:t>
      </w:r>
      <w:r w:rsidRPr="0089503C">
        <w:rPr>
          <w:rStyle w:val="Refdenotaalpie"/>
          <w:rFonts w:cs="Arial"/>
          <w:sz w:val="24"/>
          <w:lang w:val="es-ES_tradnl"/>
        </w:rPr>
        <w:footnoteReference w:id="9"/>
      </w:r>
      <w:r w:rsidRPr="0089503C">
        <w:rPr>
          <w:rFonts w:cs="Arial"/>
          <w:sz w:val="24"/>
          <w:lang w:val="es-ES_tradnl"/>
        </w:rPr>
        <w:t xml:space="preserve">. </w:t>
      </w:r>
    </w:p>
    <w:p w:rsidR="00BD066C" w:rsidRPr="0089503C" w:rsidRDefault="00BD066C" w:rsidP="00BD066C">
      <w:pPr>
        <w:jc w:val="both"/>
        <w:rPr>
          <w:rFonts w:cs="Arial"/>
          <w:sz w:val="24"/>
          <w:lang w:val="es-ES_tradnl"/>
        </w:rPr>
      </w:pPr>
      <w:r w:rsidRPr="0089503C">
        <w:rPr>
          <w:rFonts w:cs="Arial"/>
          <w:sz w:val="24"/>
          <w:lang w:val="es-ES_tradnl"/>
        </w:rPr>
        <w:t>En términos de calidad composicional, el promedio de grasa de la leche nacional es de 3,62%. Este porcentaje está por debajo de países como Nueva Zelanda (4,67%), Alemania (4,25%), Suiza (4,02%) o Estados Unidos (3,66%), al igual que se encuentra por debajo del promedio establecido por IFCN (</w:t>
      </w:r>
      <w:r w:rsidRPr="0089503C">
        <w:rPr>
          <w:rFonts w:cs="Arial"/>
          <w:i/>
          <w:sz w:val="24"/>
          <w:lang w:val="es-ES_tradnl"/>
        </w:rPr>
        <w:t>International Farm Comparison Network</w:t>
      </w:r>
      <w:r w:rsidRPr="0089503C">
        <w:rPr>
          <w:rFonts w:cs="Arial"/>
          <w:sz w:val="24"/>
          <w:lang w:val="es-ES_tradnl"/>
        </w:rPr>
        <w:t>)</w:t>
      </w:r>
      <w:r w:rsidRPr="0089503C">
        <w:rPr>
          <w:rStyle w:val="Refdenotaalpie"/>
          <w:rFonts w:cs="Arial"/>
          <w:sz w:val="24"/>
          <w:lang w:val="es-ES_tradnl"/>
        </w:rPr>
        <w:footnoteReference w:id="10"/>
      </w:r>
      <w:r w:rsidRPr="0089503C">
        <w:rPr>
          <w:rFonts w:cs="Arial"/>
          <w:sz w:val="24"/>
          <w:lang w:val="es-ES_tradnl"/>
        </w:rPr>
        <w:t xml:space="preserve"> de 4%.</w:t>
      </w:r>
    </w:p>
    <w:p w:rsidR="00BD066C" w:rsidRPr="0089503C" w:rsidRDefault="00BD066C" w:rsidP="00BD066C">
      <w:pPr>
        <w:jc w:val="both"/>
        <w:rPr>
          <w:rFonts w:cs="Arial"/>
          <w:sz w:val="24"/>
          <w:lang w:val="es-ES_tradnl"/>
        </w:rPr>
      </w:pPr>
      <w:r w:rsidRPr="0089503C">
        <w:rPr>
          <w:rFonts w:cs="Arial"/>
          <w:sz w:val="24"/>
          <w:lang w:val="es-ES_tradnl"/>
        </w:rPr>
        <w:t xml:space="preserve">Algo similar sucede con el porcentaje de proteína que se sitúa en  3,07%. Al igual que en el caso de la grasa, este promedio se encuentra por debajo de Nueva Zelanda (3,52%), Alemania (3,41%), Suiza (3,28%) y Estados Unidos </w:t>
      </w:r>
      <w:r w:rsidRPr="0089503C">
        <w:rPr>
          <w:rFonts w:cs="Arial"/>
          <w:sz w:val="24"/>
          <w:lang w:val="es-ES_tradnl"/>
        </w:rPr>
        <w:lastRenderedPageBreak/>
        <w:t>(3,15%), y también se encuentra por debajo del promedio establecido por IFCN de 3,3%.</w:t>
      </w:r>
    </w:p>
    <w:p w:rsidR="00BD066C" w:rsidRPr="0089503C" w:rsidRDefault="00BD066C" w:rsidP="00BD066C">
      <w:pPr>
        <w:jc w:val="both"/>
        <w:rPr>
          <w:rFonts w:cs="Arial"/>
          <w:sz w:val="24"/>
          <w:lang w:val="es-ES_tradnl"/>
        </w:rPr>
      </w:pPr>
      <w:r w:rsidRPr="0089503C">
        <w:rPr>
          <w:rFonts w:cs="Arial"/>
          <w:sz w:val="24"/>
          <w:lang w:val="es-ES_tradnl"/>
        </w:rPr>
        <w:t>En términos de la evolución de la calidad composicional, como se observa en el gráfico a continuación, no ha habido grandes cambios ni en grasa ni en proteína en los últimos 4 años.</w:t>
      </w:r>
    </w:p>
    <w:p w:rsidR="00BD066C" w:rsidRPr="0089503C" w:rsidRDefault="00BD066C" w:rsidP="00BD066C">
      <w:pPr>
        <w:pStyle w:val="Epgrafe"/>
        <w:keepNext/>
        <w:jc w:val="center"/>
        <w:rPr>
          <w:i/>
          <w:sz w:val="24"/>
          <w:szCs w:val="24"/>
          <w:lang w:val="es-ES_tradnl"/>
        </w:rPr>
      </w:pPr>
      <w:bookmarkStart w:id="4" w:name="_Toc213491901"/>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3</w:t>
      </w:r>
      <w:r w:rsidR="001C55E0" w:rsidRPr="0089503C">
        <w:rPr>
          <w:i/>
          <w:sz w:val="24"/>
          <w:szCs w:val="24"/>
          <w:lang w:val="es-ES_tradnl"/>
        </w:rPr>
        <w:fldChar w:fldCharType="end"/>
      </w:r>
      <w:r w:rsidRPr="0089503C">
        <w:rPr>
          <w:i/>
          <w:sz w:val="24"/>
          <w:szCs w:val="24"/>
          <w:lang w:val="es-ES_tradnl"/>
        </w:rPr>
        <w:t>: Evolución de la Calidad Composicional 2008-2011 (ANALAC)</w:t>
      </w:r>
      <w:bookmarkEnd w:id="4"/>
    </w:p>
    <w:p w:rsidR="00017B99" w:rsidRPr="0089503C" w:rsidRDefault="009B3708" w:rsidP="009A724B">
      <w:pPr>
        <w:keepNext/>
        <w:jc w:val="center"/>
        <w:rPr>
          <w:rFonts w:cs="Arial"/>
          <w:sz w:val="24"/>
          <w:lang w:val="es-ES_tradnl"/>
        </w:rPr>
      </w:pPr>
      <w:r w:rsidRPr="0089503C">
        <w:rPr>
          <w:rFonts w:cs="Arial"/>
          <w:noProof/>
          <w:sz w:val="24"/>
          <w:lang w:val="en-US" w:eastAsia="en-US"/>
        </w:rPr>
        <w:drawing>
          <wp:inline distT="0" distB="0" distL="0" distR="0">
            <wp:extent cx="4503420" cy="2637028"/>
            <wp:effectExtent l="6096" t="0" r="5334" b="1397"/>
            <wp:docPr id="1" name="Char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724B" w:rsidRDefault="009A724B" w:rsidP="009A724B">
      <w:pPr>
        <w:jc w:val="both"/>
        <w:rPr>
          <w:rFonts w:cs="Arial"/>
          <w:sz w:val="24"/>
          <w:lang w:val="es-ES_tradnl"/>
        </w:rPr>
      </w:pPr>
      <w:r w:rsidRPr="0089503C">
        <w:rPr>
          <w:rFonts w:cs="Arial"/>
          <w:sz w:val="24"/>
          <w:lang w:val="es-ES_tradnl"/>
        </w:rPr>
        <w:t>No obstante, no se puede afirmar que los puntajes en calidad composicional son homogéneos a lo largo del territorio Colombiano. Si se toman como base las dos regiones definidas por la Resolución 17</w:t>
      </w:r>
      <w:r w:rsidRPr="0089503C">
        <w:rPr>
          <w:rStyle w:val="Refdenotaalpie"/>
          <w:rFonts w:cs="Arial"/>
          <w:sz w:val="24"/>
          <w:lang w:val="es-ES_tradnl"/>
        </w:rPr>
        <w:footnoteReference w:id="11"/>
      </w:r>
      <w:r w:rsidRPr="0089503C">
        <w:rPr>
          <w:rFonts w:cs="Arial"/>
          <w:sz w:val="24"/>
          <w:lang w:val="es-ES_tradnl"/>
        </w:rPr>
        <w:t>, se pueden observar las marcadas diferencias entre las regiones 1 y 2 en términos de grasa, proteína. Como se observa en los gráficos a continuación, la región 2, que agrupa la mayoría del ganado de doble propósito en el país, cuenta con niveles de grasa y proteína mucho más elevados que la región 1, la cual sigue de cerca el comportamiento nacional promedio en términos de estas dos variables.</w:t>
      </w:r>
      <w:bookmarkStart w:id="5" w:name="_Toc213491902"/>
    </w:p>
    <w:p w:rsidR="0089503C" w:rsidRDefault="0089503C" w:rsidP="009A724B">
      <w:pPr>
        <w:jc w:val="both"/>
        <w:rPr>
          <w:rFonts w:cs="Arial"/>
          <w:sz w:val="24"/>
          <w:lang w:val="es-ES_tradnl"/>
        </w:rPr>
      </w:pPr>
    </w:p>
    <w:p w:rsidR="0089503C" w:rsidRDefault="0089503C" w:rsidP="009A724B">
      <w:pPr>
        <w:jc w:val="both"/>
        <w:rPr>
          <w:rFonts w:cs="Arial"/>
          <w:sz w:val="24"/>
          <w:lang w:val="es-ES_tradnl"/>
        </w:rPr>
      </w:pPr>
    </w:p>
    <w:p w:rsidR="0089503C" w:rsidRPr="0089503C" w:rsidRDefault="0089503C" w:rsidP="009A724B">
      <w:pPr>
        <w:jc w:val="both"/>
        <w:rPr>
          <w:rFonts w:cs="Arial"/>
          <w:sz w:val="24"/>
          <w:lang w:val="es-ES_tradnl"/>
        </w:rPr>
      </w:pPr>
    </w:p>
    <w:p w:rsidR="009A724B" w:rsidRPr="0089503C" w:rsidRDefault="009A724B" w:rsidP="009E2F1D">
      <w:pPr>
        <w:jc w:val="center"/>
        <w:rPr>
          <w:rFonts w:cs="Arial"/>
          <w:b/>
          <w:i/>
          <w:sz w:val="24"/>
          <w:lang w:val="es-ES_tradnl"/>
        </w:rPr>
      </w:pPr>
      <w:r w:rsidRPr="0089503C">
        <w:rPr>
          <w:rFonts w:cs="Arial"/>
          <w:b/>
          <w:i/>
          <w:sz w:val="24"/>
          <w:lang w:val="es-ES_tradnl"/>
        </w:rPr>
        <w:lastRenderedPageBreak/>
        <w:t xml:space="preserve">Gráfico </w:t>
      </w:r>
      <w:r w:rsidR="001C55E0" w:rsidRPr="0089503C">
        <w:rPr>
          <w:rFonts w:cs="Arial"/>
          <w:b/>
          <w:i/>
          <w:sz w:val="24"/>
          <w:lang w:val="es-ES_tradnl"/>
        </w:rPr>
        <w:fldChar w:fldCharType="begin"/>
      </w:r>
      <w:r w:rsidRPr="0089503C">
        <w:rPr>
          <w:rFonts w:cs="Arial"/>
          <w:b/>
          <w:i/>
          <w:sz w:val="24"/>
          <w:lang w:val="es-ES_tradnl"/>
        </w:rPr>
        <w:instrText xml:space="preserve"> SEQ Gráfico \* ARABIC </w:instrText>
      </w:r>
      <w:r w:rsidR="001C55E0" w:rsidRPr="0089503C">
        <w:rPr>
          <w:rFonts w:cs="Arial"/>
          <w:b/>
          <w:i/>
          <w:sz w:val="24"/>
          <w:lang w:val="es-ES_tradnl"/>
        </w:rPr>
        <w:fldChar w:fldCharType="separate"/>
      </w:r>
      <w:r w:rsidRPr="0089503C">
        <w:rPr>
          <w:rFonts w:cs="Arial"/>
          <w:b/>
          <w:i/>
          <w:noProof/>
          <w:sz w:val="24"/>
          <w:lang w:val="es-ES_tradnl"/>
        </w:rPr>
        <w:t>4</w:t>
      </w:r>
      <w:r w:rsidR="001C55E0" w:rsidRPr="0089503C">
        <w:rPr>
          <w:rFonts w:cs="Arial"/>
          <w:b/>
          <w:i/>
          <w:sz w:val="24"/>
          <w:lang w:val="es-ES_tradnl"/>
        </w:rPr>
        <w:fldChar w:fldCharType="end"/>
      </w:r>
      <w:r w:rsidRPr="0089503C">
        <w:rPr>
          <w:rFonts w:cs="Arial"/>
          <w:b/>
          <w:i/>
          <w:sz w:val="24"/>
          <w:lang w:val="es-ES_tradnl"/>
        </w:rPr>
        <w:t>: Evolución % de Grasa por Región (Unidad de Seguimiento de Precios MADR)</w:t>
      </w:r>
      <w:bookmarkEnd w:id="5"/>
    </w:p>
    <w:p w:rsidR="009A724B" w:rsidRPr="0089503C" w:rsidRDefault="009A724B" w:rsidP="009A724B">
      <w:pPr>
        <w:jc w:val="center"/>
        <w:rPr>
          <w:rFonts w:cs="Arial"/>
          <w:sz w:val="24"/>
          <w:lang w:val="es-ES_tradnl"/>
        </w:rPr>
      </w:pPr>
      <w:r w:rsidRPr="0089503C">
        <w:rPr>
          <w:rFonts w:cs="Arial"/>
          <w:noProof/>
          <w:sz w:val="24"/>
          <w:lang w:val="en-US" w:eastAsia="en-US"/>
        </w:rPr>
        <w:drawing>
          <wp:inline distT="0" distB="0" distL="0" distR="0">
            <wp:extent cx="4431665" cy="2286000"/>
            <wp:effectExtent l="19050" t="0" r="26035"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724B" w:rsidRPr="0089503C" w:rsidRDefault="009A724B" w:rsidP="009A724B">
      <w:pPr>
        <w:pStyle w:val="Epgrafe"/>
        <w:keepNext/>
        <w:jc w:val="center"/>
        <w:rPr>
          <w:i/>
          <w:sz w:val="24"/>
          <w:szCs w:val="24"/>
          <w:lang w:val="es-ES_tradnl"/>
        </w:rPr>
      </w:pPr>
      <w:bookmarkStart w:id="6" w:name="_Toc213491903"/>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5</w:t>
      </w:r>
      <w:r w:rsidR="001C55E0" w:rsidRPr="0089503C">
        <w:rPr>
          <w:i/>
          <w:sz w:val="24"/>
          <w:szCs w:val="24"/>
          <w:lang w:val="es-ES_tradnl"/>
        </w:rPr>
        <w:fldChar w:fldCharType="end"/>
      </w:r>
      <w:r w:rsidRPr="0089503C">
        <w:rPr>
          <w:i/>
          <w:sz w:val="24"/>
          <w:szCs w:val="24"/>
          <w:lang w:val="es-ES_tradnl"/>
        </w:rPr>
        <w:t>: Evolución % de Proteína por Región (USP)</w:t>
      </w:r>
      <w:bookmarkEnd w:id="6"/>
    </w:p>
    <w:p w:rsidR="009A724B" w:rsidRPr="0089503C" w:rsidRDefault="009A724B" w:rsidP="009A724B">
      <w:pPr>
        <w:jc w:val="center"/>
        <w:rPr>
          <w:rFonts w:cs="Arial"/>
          <w:sz w:val="24"/>
          <w:lang w:val="es-ES_tradnl"/>
        </w:rPr>
      </w:pPr>
      <w:r w:rsidRPr="0089503C">
        <w:rPr>
          <w:rFonts w:cs="Arial"/>
          <w:noProof/>
          <w:sz w:val="24"/>
          <w:lang w:val="en-US" w:eastAsia="en-US"/>
        </w:rPr>
        <w:drawing>
          <wp:inline distT="0" distB="0" distL="0" distR="0">
            <wp:extent cx="4513689" cy="2490952"/>
            <wp:effectExtent l="19050" t="0" r="20211" b="4598"/>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8762F" w:rsidRPr="0089503C" w:rsidRDefault="009A724B" w:rsidP="00E33EE9">
      <w:pPr>
        <w:jc w:val="both"/>
        <w:rPr>
          <w:rFonts w:cs="Arial"/>
          <w:sz w:val="24"/>
          <w:lang w:val="es-ES_tradnl"/>
        </w:rPr>
      </w:pPr>
      <w:r w:rsidRPr="0089503C">
        <w:rPr>
          <w:rFonts w:cs="Arial"/>
          <w:sz w:val="24"/>
          <w:lang w:val="es-ES_tradnl"/>
        </w:rPr>
        <w:t xml:space="preserve">No obstante, la situación es la contraria en términos de calidad higiénica. En este sentido, la región 2 presenta un porcentaje mucho mayor de Unidades Formadoras de Colonia (UFC) que la región 1 y el promedio nacional. En la región del Caribe el problema es especialmente grave debido a las altas temperaturas y falta de cadena de frio. </w:t>
      </w:r>
    </w:p>
    <w:p w:rsidR="00D16379" w:rsidRPr="0089503C" w:rsidRDefault="00E33EE9" w:rsidP="00E33EE9">
      <w:pPr>
        <w:jc w:val="both"/>
        <w:rPr>
          <w:rFonts w:cs="Arial"/>
          <w:sz w:val="24"/>
          <w:lang w:val="es-ES_tradnl"/>
        </w:rPr>
      </w:pPr>
      <w:r w:rsidRPr="0089503C">
        <w:rPr>
          <w:rFonts w:cs="Arial"/>
          <w:sz w:val="24"/>
          <w:lang w:val="es-ES_tradnl"/>
        </w:rPr>
        <w:t>En Colombia son pocas las fincas que se encuentran profesionalizadas o altamente profesionalizadas</w:t>
      </w:r>
      <w:r w:rsidRPr="0089503C">
        <w:rPr>
          <w:rStyle w:val="Refdenotaalpie"/>
          <w:rFonts w:cs="Arial"/>
          <w:sz w:val="24"/>
          <w:lang w:val="es-ES_tradnl"/>
        </w:rPr>
        <w:footnoteReference w:id="12"/>
      </w:r>
      <w:r w:rsidRPr="0089503C">
        <w:rPr>
          <w:rFonts w:cs="Arial"/>
          <w:sz w:val="24"/>
          <w:lang w:val="es-ES_tradnl"/>
        </w:rPr>
        <w:t xml:space="preserve">. Algo que diferencia a Colombia de otros países como Chile, Nueva Zelanda o Estados Unidos, es la escasa consolidación del hato en el país en términos relativos. 80% de los 499.000 predios existentes </w:t>
      </w:r>
      <w:r w:rsidRPr="0089503C">
        <w:rPr>
          <w:rFonts w:cs="Arial"/>
          <w:sz w:val="24"/>
          <w:lang w:val="es-ES_tradnl"/>
        </w:rPr>
        <w:lastRenderedPageBreak/>
        <w:t>en el país aun cuentan con menos de 50 cabezas y representan el 33% de la producción nacional. Asimismo, 67% de las fincas tienen menos de 8 vacas y producen el 23% del total</w:t>
      </w:r>
      <w:r w:rsidRPr="0089503C">
        <w:rPr>
          <w:rStyle w:val="Refdenotaalpie"/>
          <w:rFonts w:cs="Arial"/>
          <w:sz w:val="24"/>
          <w:lang w:val="es-ES_tradnl"/>
        </w:rPr>
        <w:footnoteReference w:id="13"/>
      </w:r>
      <w:r w:rsidRPr="0089503C">
        <w:rPr>
          <w:rFonts w:cs="Arial"/>
          <w:sz w:val="24"/>
          <w:lang w:val="es-ES_tradnl"/>
        </w:rPr>
        <w:t>. Con la apertura al exterior que viene dándose en el sector, es de esperar que el tamaño del hato aumente y el número de predios se reduzca, dinámicas estas que pueden ser claramente observadas en los países anteriormente citados</w:t>
      </w:r>
      <w:r w:rsidRPr="0089503C">
        <w:rPr>
          <w:rStyle w:val="Refdenotaalpie"/>
          <w:rFonts w:cs="Arial"/>
          <w:sz w:val="24"/>
          <w:lang w:val="es-ES_tradnl"/>
        </w:rPr>
        <w:footnoteReference w:id="14"/>
      </w:r>
      <w:r w:rsidRPr="0089503C">
        <w:rPr>
          <w:rFonts w:cs="Arial"/>
          <w:sz w:val="24"/>
          <w:lang w:val="es-ES_tradnl"/>
        </w:rPr>
        <w:t xml:space="preserve">. </w:t>
      </w:r>
    </w:p>
    <w:p w:rsidR="00E33EE9" w:rsidRPr="0089503C" w:rsidRDefault="00E33EE9" w:rsidP="00E33EE9">
      <w:pPr>
        <w:jc w:val="both"/>
        <w:rPr>
          <w:rFonts w:cs="Arial"/>
          <w:sz w:val="24"/>
          <w:lang w:val="es-ES_tradnl"/>
        </w:rPr>
      </w:pPr>
      <w:r w:rsidRPr="0089503C">
        <w:rPr>
          <w:rFonts w:cs="Arial"/>
          <w:sz w:val="24"/>
          <w:lang w:val="es-ES_tradnl"/>
        </w:rPr>
        <w:t xml:space="preserve">Cabe resaltar que el proceso de apertura y el dinamismo del mercado interno colombiano están atrayendo inversión extranjera específicamente orientada a crear mega-hatos lecheros en Colombia. Un conocido inversor que ya tiene proyectos de este tipo en marcha es </w:t>
      </w:r>
      <w:r w:rsidRPr="0089503C">
        <w:rPr>
          <w:rFonts w:cs="Arial"/>
          <w:i/>
          <w:sz w:val="24"/>
          <w:lang w:val="es-ES_tradnl"/>
        </w:rPr>
        <w:t>Waikato Innovation</w:t>
      </w:r>
      <w:r w:rsidRPr="0089503C">
        <w:rPr>
          <w:rFonts w:cs="Arial"/>
          <w:sz w:val="24"/>
          <w:lang w:val="es-ES_tradnl"/>
        </w:rPr>
        <w:t xml:space="preserve">, de Nueva Zelanda. En países como Chile, este tipo de mega-hatos (por ejemplo </w:t>
      </w:r>
      <w:r w:rsidRPr="0089503C">
        <w:rPr>
          <w:rFonts w:cs="Arial"/>
          <w:i/>
          <w:sz w:val="24"/>
          <w:lang w:val="es-ES_tradnl"/>
        </w:rPr>
        <w:t>Manuka Farms</w:t>
      </w:r>
      <w:r w:rsidRPr="0089503C">
        <w:rPr>
          <w:rFonts w:cs="Arial"/>
          <w:sz w:val="24"/>
          <w:lang w:val="es-ES_tradnl"/>
        </w:rPr>
        <w:t xml:space="preserve"> o </w:t>
      </w:r>
      <w:r w:rsidRPr="0089503C">
        <w:rPr>
          <w:rFonts w:cs="Arial"/>
          <w:i/>
          <w:sz w:val="24"/>
          <w:lang w:val="es-ES_tradnl"/>
        </w:rPr>
        <w:t>Chilterra</w:t>
      </w:r>
      <w:r w:rsidRPr="0089503C">
        <w:rPr>
          <w:rFonts w:cs="Arial"/>
          <w:sz w:val="24"/>
          <w:lang w:val="es-ES_tradnl"/>
        </w:rPr>
        <w:t>) ya se encuentran prácticamente consolidados</w:t>
      </w:r>
      <w:r w:rsidRPr="0089503C">
        <w:rPr>
          <w:rStyle w:val="Refdenotaalpie"/>
          <w:rFonts w:cs="Arial"/>
          <w:sz w:val="24"/>
          <w:lang w:val="es-ES_tradnl"/>
        </w:rPr>
        <w:footnoteReference w:id="15"/>
      </w:r>
      <w:r w:rsidRPr="0089503C">
        <w:rPr>
          <w:rFonts w:cs="Arial"/>
          <w:sz w:val="24"/>
          <w:lang w:val="es-ES_tradnl"/>
        </w:rPr>
        <w:t>.</w:t>
      </w:r>
    </w:p>
    <w:p w:rsidR="00D16379" w:rsidRPr="0089503C" w:rsidRDefault="00D16379" w:rsidP="001D5A10">
      <w:pPr>
        <w:pStyle w:val="Prrafodelista"/>
        <w:numPr>
          <w:ilvl w:val="0"/>
          <w:numId w:val="2"/>
        </w:numPr>
        <w:jc w:val="both"/>
        <w:rPr>
          <w:rFonts w:cs="Arial"/>
          <w:b/>
          <w:sz w:val="24"/>
          <w:lang w:val="es-ES_tradnl"/>
        </w:rPr>
      </w:pPr>
      <w:r w:rsidRPr="0089503C">
        <w:rPr>
          <w:rFonts w:cs="Arial"/>
          <w:b/>
          <w:sz w:val="24"/>
          <w:lang w:val="es-ES_tradnl"/>
        </w:rPr>
        <w:t>Costos a nivel primario</w:t>
      </w:r>
    </w:p>
    <w:p w:rsidR="00D16379" w:rsidRPr="0089503C" w:rsidRDefault="00D16379" w:rsidP="00D16379">
      <w:pPr>
        <w:jc w:val="both"/>
        <w:rPr>
          <w:rFonts w:cs="Arial"/>
          <w:sz w:val="24"/>
          <w:lang w:val="es-ES_tradnl"/>
        </w:rPr>
      </w:pPr>
      <w:r w:rsidRPr="0089503C">
        <w:rPr>
          <w:rFonts w:cs="Arial"/>
          <w:sz w:val="24"/>
          <w:lang w:val="es-ES_tradnl"/>
        </w:rPr>
        <w:t xml:space="preserve">De acuerdo con el IFCN, el costo de producir leche en Colombia es de 50-60 dólares/100 Kg en promedio. Como se puede observar en el gráfico a continuación, el nivel de costos a nivel primario es significativamente superior al de países competidores como Estados Unidos o Nueva Zelanda (ambos 40-50 dólares/100 Kg), y muy superiores a los costos de países como Chile o Argentina (ambos 20-30 dólares/100 Kg). </w:t>
      </w:r>
    </w:p>
    <w:p w:rsidR="00D16379" w:rsidRPr="0089503C" w:rsidRDefault="00D16379" w:rsidP="00D16379">
      <w:pPr>
        <w:pStyle w:val="Epgrafe"/>
        <w:keepNext/>
        <w:jc w:val="center"/>
        <w:rPr>
          <w:i/>
          <w:sz w:val="24"/>
          <w:szCs w:val="24"/>
          <w:lang w:val="es-ES_tradnl"/>
        </w:rPr>
      </w:pPr>
      <w:bookmarkStart w:id="7" w:name="_Toc213491904"/>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6</w:t>
      </w:r>
      <w:r w:rsidR="001C55E0" w:rsidRPr="0089503C">
        <w:rPr>
          <w:i/>
          <w:sz w:val="24"/>
          <w:szCs w:val="24"/>
          <w:lang w:val="es-ES_tradnl"/>
        </w:rPr>
        <w:fldChar w:fldCharType="end"/>
      </w:r>
      <w:r w:rsidRPr="0089503C">
        <w:rPr>
          <w:i/>
          <w:sz w:val="24"/>
          <w:szCs w:val="24"/>
          <w:lang w:val="es-ES_tradnl"/>
        </w:rPr>
        <w:t>: Mapa de  Costos (IFCN)</w:t>
      </w:r>
      <w:bookmarkEnd w:id="7"/>
      <w:r w:rsidR="00D15A53" w:rsidRPr="0089503C">
        <w:rPr>
          <w:i/>
          <w:sz w:val="24"/>
          <w:szCs w:val="24"/>
          <w:lang w:val="es-ES_tradnl"/>
        </w:rPr>
        <w:t xml:space="preserve"> 2011</w:t>
      </w:r>
    </w:p>
    <w:p w:rsidR="00D16379" w:rsidRPr="0089503C" w:rsidRDefault="00D16379" w:rsidP="0088762F">
      <w:pPr>
        <w:keepNext/>
        <w:jc w:val="center"/>
        <w:rPr>
          <w:rFonts w:cs="Arial"/>
          <w:sz w:val="24"/>
          <w:lang w:val="es-ES_tradnl"/>
        </w:rPr>
      </w:pPr>
      <w:r w:rsidRPr="0089503C">
        <w:rPr>
          <w:rFonts w:cs="Arial"/>
          <w:noProof/>
          <w:sz w:val="24"/>
          <w:lang w:val="en-US" w:eastAsia="en-US"/>
        </w:rPr>
        <w:drawing>
          <wp:inline distT="0" distB="0" distL="0" distR="0">
            <wp:extent cx="4429667" cy="2060575"/>
            <wp:effectExtent l="0" t="0" r="0" b="0"/>
            <wp:docPr id="1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t="21500" r="2087"/>
                    <a:stretch>
                      <a:fillRect/>
                    </a:stretch>
                  </pic:blipFill>
                  <pic:spPr bwMode="auto">
                    <a:xfrm>
                      <a:off x="0" y="0"/>
                      <a:ext cx="4429667" cy="2060575"/>
                    </a:xfrm>
                    <a:prstGeom prst="rect">
                      <a:avLst/>
                    </a:prstGeom>
                    <a:noFill/>
                    <a:ln w="9525">
                      <a:noFill/>
                      <a:miter lim="800000"/>
                      <a:headEnd/>
                      <a:tailEnd/>
                    </a:ln>
                  </pic:spPr>
                </pic:pic>
              </a:graphicData>
            </a:graphic>
          </wp:inline>
        </w:drawing>
      </w:r>
    </w:p>
    <w:p w:rsidR="00D16379" w:rsidRPr="0089503C" w:rsidRDefault="00D16379" w:rsidP="00D16379">
      <w:pPr>
        <w:jc w:val="both"/>
        <w:rPr>
          <w:rFonts w:cs="Arial"/>
          <w:sz w:val="24"/>
          <w:lang w:val="es-ES_tradnl"/>
        </w:rPr>
      </w:pPr>
      <w:r w:rsidRPr="0089503C">
        <w:rPr>
          <w:rFonts w:cs="Arial"/>
          <w:sz w:val="24"/>
          <w:lang w:val="es-ES_tradnl"/>
        </w:rPr>
        <w:t>Uno de los costos más importantes en la producción de leche es la alimentación. Ésta representa el 50%-60%</w:t>
      </w:r>
      <w:r w:rsidRPr="0089503C">
        <w:rPr>
          <w:rStyle w:val="Refdenotaalpie"/>
          <w:rFonts w:cs="Arial"/>
          <w:sz w:val="24"/>
          <w:lang w:val="es-ES_tradnl"/>
        </w:rPr>
        <w:footnoteReference w:id="16"/>
      </w:r>
      <w:r w:rsidRPr="0089503C">
        <w:rPr>
          <w:rFonts w:cs="Arial"/>
          <w:sz w:val="24"/>
          <w:lang w:val="es-ES_tradnl"/>
        </w:rPr>
        <w:t xml:space="preserve"> del costo total en lechería </w:t>
      </w:r>
      <w:r w:rsidRPr="0089503C">
        <w:rPr>
          <w:rFonts w:cs="Arial"/>
          <w:sz w:val="24"/>
          <w:lang w:val="es-ES_tradnl"/>
        </w:rPr>
        <w:lastRenderedPageBreak/>
        <w:t>especializada y es esencial para competir, al ser un factor clave en el aporte de calidad composicional a la leche. De este 50-60%, el 70% equivale a concentrados</w:t>
      </w:r>
      <w:r w:rsidRPr="0089503C">
        <w:rPr>
          <w:rStyle w:val="Refdenotaalpie"/>
          <w:rFonts w:cs="Arial"/>
          <w:sz w:val="24"/>
          <w:lang w:val="es-ES_tradnl"/>
        </w:rPr>
        <w:footnoteReference w:id="17"/>
      </w:r>
      <w:r w:rsidRPr="0089503C">
        <w:rPr>
          <w:rFonts w:cs="Arial"/>
          <w:sz w:val="24"/>
          <w:lang w:val="es-ES_tradnl"/>
        </w:rPr>
        <w:t xml:space="preserve">. La base principal de los concentrados son el maíz y la soya, cuyos precios juegan un papel importante a la hora de contabilizar el precio del concentrado. </w:t>
      </w:r>
    </w:p>
    <w:p w:rsidR="00D16379" w:rsidRPr="0089503C" w:rsidRDefault="00D16379" w:rsidP="00D16379">
      <w:pPr>
        <w:jc w:val="both"/>
        <w:rPr>
          <w:rFonts w:cs="Arial"/>
          <w:sz w:val="24"/>
          <w:lang w:val="es-ES_tradnl"/>
        </w:rPr>
      </w:pPr>
      <w:r w:rsidRPr="0089503C">
        <w:rPr>
          <w:rFonts w:cs="Arial"/>
          <w:sz w:val="24"/>
          <w:lang w:val="es-ES_tradnl"/>
        </w:rPr>
        <w:t xml:space="preserve">A continuación se muestra la fuerte correlación entre los precios internado del maíz y de la soya con los precios pagados al productor de leche. Esta correlación es de 0,79 y 0,72 respectivamente. Asimismo, como se puede observar, dichos precios presentan una tendencia a la alza en los últimos años, lo cual viene restando competitividad a los productores. </w:t>
      </w:r>
    </w:p>
    <w:p w:rsidR="00D16379" w:rsidRPr="0089503C" w:rsidRDefault="00D16379" w:rsidP="00D16379">
      <w:pPr>
        <w:pStyle w:val="Epgrafe"/>
        <w:keepNext/>
        <w:jc w:val="center"/>
        <w:rPr>
          <w:i/>
          <w:sz w:val="24"/>
          <w:szCs w:val="24"/>
          <w:lang w:val="es-ES_tradnl"/>
        </w:rPr>
      </w:pPr>
      <w:bookmarkStart w:id="8" w:name="_Toc213491905"/>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7</w:t>
      </w:r>
      <w:r w:rsidR="001C55E0" w:rsidRPr="0089503C">
        <w:rPr>
          <w:i/>
          <w:sz w:val="24"/>
          <w:szCs w:val="24"/>
          <w:lang w:val="es-ES_tradnl"/>
        </w:rPr>
        <w:fldChar w:fldCharType="end"/>
      </w:r>
      <w:r w:rsidRPr="0089503C">
        <w:rPr>
          <w:i/>
          <w:sz w:val="24"/>
          <w:szCs w:val="24"/>
          <w:lang w:val="es-ES_tradnl"/>
        </w:rPr>
        <w:t>: Correlación Precio Maíz (Internado) y Precio Leche al Productor (USP)</w:t>
      </w:r>
      <w:bookmarkEnd w:id="8"/>
      <w:r w:rsidR="002B598D" w:rsidRPr="0089503C">
        <w:rPr>
          <w:i/>
          <w:sz w:val="24"/>
          <w:szCs w:val="24"/>
          <w:lang w:val="es-ES_tradnl"/>
        </w:rPr>
        <w:t>MADR</w:t>
      </w:r>
      <w:r w:rsidR="00BF3813" w:rsidRPr="0089503C">
        <w:rPr>
          <w:i/>
          <w:sz w:val="24"/>
          <w:szCs w:val="24"/>
          <w:lang w:val="es-ES_tradnl"/>
        </w:rPr>
        <w:t xml:space="preserve"> 2011</w:t>
      </w:r>
    </w:p>
    <w:p w:rsidR="00D16379" w:rsidRPr="0089503C" w:rsidRDefault="00D16379" w:rsidP="0037652D">
      <w:pPr>
        <w:keepNext/>
        <w:jc w:val="center"/>
        <w:rPr>
          <w:rFonts w:cs="Arial"/>
          <w:sz w:val="24"/>
          <w:lang w:val="es-ES_tradnl"/>
        </w:rPr>
      </w:pPr>
      <w:r w:rsidRPr="0089503C">
        <w:rPr>
          <w:rFonts w:cs="Arial"/>
          <w:noProof/>
          <w:sz w:val="24"/>
          <w:lang w:val="en-US" w:eastAsia="en-US"/>
        </w:rPr>
        <w:drawing>
          <wp:inline distT="0" distB="0" distL="0" distR="0">
            <wp:extent cx="3996690" cy="1829435"/>
            <wp:effectExtent l="0" t="0" r="16510" b="24765"/>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16379" w:rsidRPr="0089503C" w:rsidRDefault="0089503C" w:rsidP="00D16379">
      <w:pPr>
        <w:pStyle w:val="Epgrafe"/>
        <w:keepNext/>
        <w:jc w:val="center"/>
        <w:rPr>
          <w:i/>
          <w:sz w:val="24"/>
          <w:szCs w:val="24"/>
          <w:lang w:val="es-ES_tradnl"/>
        </w:rPr>
      </w:pPr>
      <w:bookmarkStart w:id="9" w:name="_Toc213491906"/>
      <w:r>
        <w:rPr>
          <w:i/>
          <w:sz w:val="24"/>
          <w:szCs w:val="24"/>
          <w:lang w:val="es-ES_tradnl"/>
        </w:rPr>
        <w:t>G</w:t>
      </w:r>
      <w:r w:rsidR="00D16379" w:rsidRPr="0089503C">
        <w:rPr>
          <w:i/>
          <w:sz w:val="24"/>
          <w:szCs w:val="24"/>
          <w:lang w:val="es-ES_tradnl"/>
        </w:rPr>
        <w:t xml:space="preserve">ráfico </w:t>
      </w:r>
      <w:r w:rsidR="001C55E0" w:rsidRPr="0089503C">
        <w:rPr>
          <w:i/>
          <w:sz w:val="24"/>
          <w:szCs w:val="24"/>
          <w:lang w:val="es-ES_tradnl"/>
        </w:rPr>
        <w:fldChar w:fldCharType="begin"/>
      </w:r>
      <w:r w:rsidR="00D16379" w:rsidRPr="0089503C">
        <w:rPr>
          <w:i/>
          <w:sz w:val="24"/>
          <w:szCs w:val="24"/>
          <w:lang w:val="es-ES_tradnl"/>
        </w:rPr>
        <w:instrText xml:space="preserve"> SEQ Gráfico \* ARABIC </w:instrText>
      </w:r>
      <w:r w:rsidR="001C55E0" w:rsidRPr="0089503C">
        <w:rPr>
          <w:i/>
          <w:sz w:val="24"/>
          <w:szCs w:val="24"/>
          <w:lang w:val="es-ES_tradnl"/>
        </w:rPr>
        <w:fldChar w:fldCharType="separate"/>
      </w:r>
      <w:r w:rsidR="00D16379" w:rsidRPr="0089503C">
        <w:rPr>
          <w:i/>
          <w:noProof/>
          <w:sz w:val="24"/>
          <w:szCs w:val="24"/>
          <w:lang w:val="es-ES_tradnl"/>
        </w:rPr>
        <w:t>8</w:t>
      </w:r>
      <w:r w:rsidR="001C55E0" w:rsidRPr="0089503C">
        <w:rPr>
          <w:i/>
          <w:sz w:val="24"/>
          <w:szCs w:val="24"/>
          <w:lang w:val="es-ES_tradnl"/>
        </w:rPr>
        <w:fldChar w:fldCharType="end"/>
      </w:r>
      <w:r w:rsidR="00D16379" w:rsidRPr="0089503C">
        <w:rPr>
          <w:i/>
          <w:sz w:val="24"/>
          <w:szCs w:val="24"/>
          <w:lang w:val="es-ES_tradnl"/>
        </w:rPr>
        <w:t>: Correlación Precio Soya (Internado) y Precio Leche al Productor (USP)</w:t>
      </w:r>
      <w:bookmarkEnd w:id="9"/>
      <w:r w:rsidR="00B05E8A" w:rsidRPr="0089503C">
        <w:rPr>
          <w:i/>
          <w:sz w:val="24"/>
          <w:szCs w:val="24"/>
          <w:lang w:val="es-ES_tradnl"/>
        </w:rPr>
        <w:t xml:space="preserve"> MADR</w:t>
      </w:r>
    </w:p>
    <w:p w:rsidR="00D16379" w:rsidRPr="0089503C" w:rsidRDefault="00D16379" w:rsidP="0037652D">
      <w:pPr>
        <w:keepNext/>
        <w:jc w:val="center"/>
        <w:rPr>
          <w:rFonts w:cs="Arial"/>
          <w:sz w:val="24"/>
          <w:lang w:val="es-ES_tradnl"/>
        </w:rPr>
      </w:pPr>
      <w:r w:rsidRPr="0089503C">
        <w:rPr>
          <w:rFonts w:cs="Arial"/>
          <w:noProof/>
          <w:sz w:val="24"/>
          <w:lang w:val="en-US" w:eastAsia="en-US"/>
        </w:rPr>
        <w:drawing>
          <wp:inline distT="0" distB="0" distL="0" distR="0">
            <wp:extent cx="4139565" cy="2022475"/>
            <wp:effectExtent l="0" t="0" r="26035" b="34925"/>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16379" w:rsidRPr="0089503C" w:rsidRDefault="00D16379" w:rsidP="00D16379">
      <w:pPr>
        <w:jc w:val="both"/>
        <w:rPr>
          <w:rFonts w:cs="Arial"/>
          <w:sz w:val="24"/>
          <w:lang w:val="es-ES_tradnl"/>
        </w:rPr>
      </w:pPr>
      <w:r w:rsidRPr="0089503C">
        <w:rPr>
          <w:rFonts w:cs="Arial"/>
          <w:sz w:val="24"/>
          <w:lang w:val="es-ES_tradnl"/>
        </w:rPr>
        <w:t xml:space="preserve">El consumo de concentrados es menos común en lechería de doble propósito lo cual reduce los costos de alimentación para este tipo de lechería. </w:t>
      </w:r>
    </w:p>
    <w:p w:rsidR="008F64AD" w:rsidRPr="0089503C" w:rsidRDefault="008F64AD" w:rsidP="008F64AD">
      <w:pPr>
        <w:jc w:val="both"/>
        <w:rPr>
          <w:rFonts w:cs="Arial"/>
          <w:sz w:val="24"/>
          <w:lang w:val="es-ES_tradnl"/>
        </w:rPr>
      </w:pPr>
    </w:p>
    <w:p w:rsidR="008F64AD" w:rsidRPr="0089503C" w:rsidRDefault="008F64AD" w:rsidP="008F64AD">
      <w:pPr>
        <w:pStyle w:val="Epgrafe"/>
        <w:keepNext/>
        <w:jc w:val="center"/>
        <w:rPr>
          <w:i/>
          <w:sz w:val="24"/>
          <w:szCs w:val="24"/>
          <w:lang w:val="es-ES_tradnl"/>
        </w:rPr>
      </w:pPr>
      <w:bookmarkStart w:id="10" w:name="_Toc213491874"/>
      <w:r w:rsidRPr="0089503C">
        <w:rPr>
          <w:i/>
          <w:sz w:val="24"/>
          <w:szCs w:val="24"/>
          <w:lang w:val="es-ES_tradnl"/>
        </w:rPr>
        <w:t xml:space="preserve">Tabla </w:t>
      </w:r>
      <w:r w:rsidR="001C55E0" w:rsidRPr="0089503C">
        <w:rPr>
          <w:i/>
          <w:sz w:val="24"/>
          <w:szCs w:val="24"/>
          <w:lang w:val="es-ES_tradnl"/>
        </w:rPr>
        <w:fldChar w:fldCharType="begin"/>
      </w:r>
      <w:r w:rsidRPr="0089503C">
        <w:rPr>
          <w:i/>
          <w:sz w:val="24"/>
          <w:szCs w:val="24"/>
          <w:lang w:val="es-ES_tradnl"/>
        </w:rPr>
        <w:instrText xml:space="preserve"> SEQ Tabla \* ARABIC </w:instrText>
      </w:r>
      <w:r w:rsidR="001C55E0" w:rsidRPr="0089503C">
        <w:rPr>
          <w:i/>
          <w:sz w:val="24"/>
          <w:szCs w:val="24"/>
          <w:lang w:val="es-ES_tradnl"/>
        </w:rPr>
        <w:fldChar w:fldCharType="separate"/>
      </w:r>
      <w:r w:rsidRPr="0089503C">
        <w:rPr>
          <w:i/>
          <w:noProof/>
          <w:sz w:val="24"/>
          <w:szCs w:val="24"/>
          <w:lang w:val="es-ES_tradnl"/>
        </w:rPr>
        <w:t>1</w:t>
      </w:r>
      <w:r w:rsidR="001C55E0" w:rsidRPr="0089503C">
        <w:rPr>
          <w:i/>
          <w:sz w:val="24"/>
          <w:szCs w:val="24"/>
          <w:lang w:val="es-ES_tradnl"/>
        </w:rPr>
        <w:fldChar w:fldCharType="end"/>
      </w:r>
      <w:r w:rsidRPr="0089503C">
        <w:rPr>
          <w:i/>
          <w:sz w:val="24"/>
          <w:szCs w:val="24"/>
          <w:lang w:val="es-ES_tradnl"/>
        </w:rPr>
        <w:t xml:space="preserve"> Porcentaje de Costos (FEDEGAN</w:t>
      </w:r>
      <w:r w:rsidR="001E71B7" w:rsidRPr="0089503C">
        <w:rPr>
          <w:i/>
          <w:sz w:val="24"/>
          <w:szCs w:val="24"/>
          <w:lang w:val="es-ES_tradnl"/>
        </w:rPr>
        <w:t xml:space="preserve"> 2011</w:t>
      </w:r>
      <w:r w:rsidRPr="0089503C">
        <w:rPr>
          <w:i/>
          <w:sz w:val="24"/>
          <w:szCs w:val="24"/>
          <w:lang w:val="es-ES_tradnl"/>
        </w:rPr>
        <w:t>)</w:t>
      </w:r>
      <w:bookmarkEnd w:id="10"/>
    </w:p>
    <w:p w:rsidR="008F64AD" w:rsidRPr="0089503C" w:rsidRDefault="008F64AD" w:rsidP="008F64AD">
      <w:pPr>
        <w:keepNext/>
        <w:jc w:val="center"/>
        <w:rPr>
          <w:rFonts w:cs="Arial"/>
          <w:sz w:val="24"/>
          <w:lang w:val="es-ES_tradnl"/>
        </w:rPr>
      </w:pPr>
      <w:r w:rsidRPr="0089503C">
        <w:rPr>
          <w:rFonts w:cs="Arial"/>
          <w:noProof/>
          <w:sz w:val="24"/>
          <w:lang w:val="en-US" w:eastAsia="en-US"/>
        </w:rPr>
        <w:drawing>
          <wp:inline distT="0" distB="0" distL="0" distR="0">
            <wp:extent cx="2802105" cy="2028825"/>
            <wp:effectExtent l="19050" t="0" r="0" b="0"/>
            <wp:docPr id="26" name="Picture 47" descr="Macintosh HD:Users:danieldelacuesta:Desktop:Captura de pantalla 2012-10-27 a la(s) 9.49.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danieldelacuesta:Desktop:Captura de pantalla 2012-10-27 a la(s) 9.49.24.png"/>
                    <pic:cNvPicPr>
                      <a:picLocks noChangeAspect="1" noChangeArrowheads="1"/>
                    </pic:cNvPicPr>
                  </pic:nvPicPr>
                  <pic:blipFill>
                    <a:blip r:embed="rId15"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1280" cy="2028227"/>
                    </a:xfrm>
                    <a:prstGeom prst="rect">
                      <a:avLst/>
                    </a:prstGeom>
                    <a:noFill/>
                    <a:ln>
                      <a:noFill/>
                    </a:ln>
                  </pic:spPr>
                </pic:pic>
              </a:graphicData>
            </a:graphic>
          </wp:inline>
        </w:drawing>
      </w:r>
    </w:p>
    <w:p w:rsidR="008F64AD" w:rsidRPr="0089503C" w:rsidRDefault="008F64AD" w:rsidP="008F64AD">
      <w:pPr>
        <w:jc w:val="both"/>
        <w:rPr>
          <w:rFonts w:cs="Arial"/>
          <w:sz w:val="24"/>
          <w:lang w:val="es-ES_tradnl"/>
        </w:rPr>
      </w:pPr>
      <w:r w:rsidRPr="0089503C">
        <w:rPr>
          <w:rFonts w:cs="Arial"/>
          <w:sz w:val="24"/>
          <w:lang w:val="es-ES_tradnl"/>
        </w:rPr>
        <w:t>El principal costo de los bovinos de doble propósito está en la mano de obra. Esto significa que el valor agregado generado por trabajador juega un rol principal en la productividad del sector. De acuerdo al Banco Mundial, Colombia cuenta con muy bajos aportes por trabajador a la actividad agrícola. Esto significa que la productividad trabajador/litro en el país, está muy por debajo de países de referencia. A continuación se puede observar la posición de Colombia.</w:t>
      </w:r>
      <w:r w:rsidRPr="0089503C">
        <w:rPr>
          <w:rStyle w:val="Refdenotaalpie"/>
          <w:rFonts w:cs="Arial"/>
          <w:sz w:val="24"/>
          <w:lang w:val="es-ES_tradnl"/>
        </w:rPr>
        <w:footnoteReference w:id="18"/>
      </w:r>
    </w:p>
    <w:p w:rsidR="008F64AD" w:rsidRPr="0089503C" w:rsidRDefault="008F64AD" w:rsidP="008F64AD">
      <w:pPr>
        <w:pStyle w:val="Epgrafe"/>
        <w:keepNext/>
        <w:jc w:val="center"/>
        <w:rPr>
          <w:sz w:val="24"/>
          <w:szCs w:val="24"/>
        </w:rPr>
      </w:pPr>
    </w:p>
    <w:p w:rsidR="008F64AD" w:rsidRPr="0089503C" w:rsidRDefault="008F64AD" w:rsidP="008F64AD">
      <w:pPr>
        <w:pStyle w:val="Epgrafe"/>
        <w:keepNext/>
        <w:jc w:val="center"/>
        <w:rPr>
          <w:sz w:val="24"/>
          <w:szCs w:val="24"/>
        </w:rPr>
      </w:pPr>
      <w:r w:rsidRPr="0089503C">
        <w:rPr>
          <w:sz w:val="24"/>
          <w:szCs w:val="24"/>
        </w:rPr>
        <w:t xml:space="preserve">Gráfico </w:t>
      </w:r>
      <w:r w:rsidR="001C55E0" w:rsidRPr="0089503C">
        <w:rPr>
          <w:sz w:val="24"/>
          <w:szCs w:val="24"/>
        </w:rPr>
        <w:fldChar w:fldCharType="begin"/>
      </w:r>
      <w:r w:rsidRPr="0089503C">
        <w:rPr>
          <w:sz w:val="24"/>
          <w:szCs w:val="24"/>
        </w:rPr>
        <w:instrText xml:space="preserve"> SEQ Gráfico \* ARABIC </w:instrText>
      </w:r>
      <w:r w:rsidR="001C55E0" w:rsidRPr="0089503C">
        <w:rPr>
          <w:sz w:val="24"/>
          <w:szCs w:val="24"/>
        </w:rPr>
        <w:fldChar w:fldCharType="separate"/>
      </w:r>
      <w:r w:rsidRPr="0089503C">
        <w:rPr>
          <w:noProof/>
          <w:sz w:val="24"/>
          <w:szCs w:val="24"/>
        </w:rPr>
        <w:t>9</w:t>
      </w:r>
      <w:r w:rsidR="001C55E0" w:rsidRPr="0089503C">
        <w:rPr>
          <w:sz w:val="24"/>
          <w:szCs w:val="24"/>
        </w:rPr>
        <w:fldChar w:fldCharType="end"/>
      </w:r>
      <w:r w:rsidRPr="0089503C">
        <w:rPr>
          <w:sz w:val="24"/>
          <w:szCs w:val="24"/>
        </w:rPr>
        <w:t>: Valor Agregado por Trabajador</w:t>
      </w:r>
    </w:p>
    <w:p w:rsidR="008F64AD" w:rsidRPr="0089503C" w:rsidRDefault="008F64AD" w:rsidP="008F64AD">
      <w:pPr>
        <w:pStyle w:val="Epgrafe"/>
        <w:keepNext/>
        <w:jc w:val="center"/>
        <w:rPr>
          <w:sz w:val="24"/>
          <w:szCs w:val="24"/>
          <w:lang w:val="es-ES_tradnl"/>
        </w:rPr>
      </w:pPr>
      <w:r w:rsidRPr="0089503C">
        <w:rPr>
          <w:noProof/>
          <w:sz w:val="24"/>
          <w:szCs w:val="24"/>
          <w:lang w:val="en-US" w:eastAsia="en-US"/>
        </w:rPr>
        <w:drawing>
          <wp:inline distT="0" distB="0" distL="0" distR="0">
            <wp:extent cx="4499610" cy="2699766"/>
            <wp:effectExtent l="0" t="0" r="21590" b="1841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F64AD" w:rsidRPr="0089503C" w:rsidRDefault="008F64AD" w:rsidP="008F64AD">
      <w:pPr>
        <w:jc w:val="both"/>
        <w:rPr>
          <w:rFonts w:cs="Arial"/>
          <w:sz w:val="24"/>
          <w:lang w:val="es-ES_tradnl"/>
        </w:rPr>
      </w:pPr>
    </w:p>
    <w:p w:rsidR="008F64AD" w:rsidRPr="0089503C" w:rsidRDefault="008F64AD" w:rsidP="008F64AD">
      <w:pPr>
        <w:jc w:val="both"/>
        <w:rPr>
          <w:rFonts w:cs="Arial"/>
          <w:sz w:val="24"/>
          <w:lang w:val="es-ES_tradnl"/>
        </w:rPr>
      </w:pPr>
      <w:r w:rsidRPr="0089503C">
        <w:rPr>
          <w:rFonts w:cs="Arial"/>
          <w:sz w:val="24"/>
          <w:lang w:val="es-ES_tradnl"/>
        </w:rPr>
        <w:lastRenderedPageBreak/>
        <w:t>Finalmente, Colombia se destaca en los informes de IFCN por sus altos costos de recolección de la leche en relación con otros países. Colombia es el país en América con los costos de recolección más altos con un promedio de 3 dólares/100kg.</w:t>
      </w:r>
    </w:p>
    <w:p w:rsidR="008F64AD" w:rsidRPr="0089503C" w:rsidRDefault="008F64AD" w:rsidP="008F64AD">
      <w:pPr>
        <w:jc w:val="both"/>
        <w:rPr>
          <w:rFonts w:cs="Arial"/>
          <w:color w:val="FF0000"/>
          <w:sz w:val="24"/>
          <w:lang w:val="es-ES_tradnl"/>
        </w:rPr>
      </w:pPr>
    </w:p>
    <w:p w:rsidR="008F64AD" w:rsidRPr="0089503C" w:rsidRDefault="008F64AD" w:rsidP="008F64AD">
      <w:pPr>
        <w:pStyle w:val="Epgrafe"/>
        <w:keepNext/>
        <w:jc w:val="center"/>
        <w:rPr>
          <w:sz w:val="24"/>
          <w:szCs w:val="24"/>
          <w:lang w:val="es-ES_tradnl"/>
        </w:rPr>
      </w:pPr>
      <w:bookmarkStart w:id="11" w:name="_Toc213491907"/>
      <w:r w:rsidRPr="0089503C">
        <w:rPr>
          <w:sz w:val="24"/>
          <w:szCs w:val="24"/>
          <w:lang w:val="es-ES_tradnl"/>
        </w:rPr>
        <w:t xml:space="preserve">Gráfico </w:t>
      </w:r>
      <w:r w:rsidR="001C55E0" w:rsidRPr="0089503C">
        <w:rPr>
          <w:sz w:val="24"/>
          <w:szCs w:val="24"/>
          <w:lang w:val="es-ES_tradnl"/>
        </w:rPr>
        <w:fldChar w:fldCharType="begin"/>
      </w:r>
      <w:r w:rsidRPr="0089503C">
        <w:rPr>
          <w:sz w:val="24"/>
          <w:szCs w:val="24"/>
          <w:lang w:val="es-ES_tradnl"/>
        </w:rPr>
        <w:instrText xml:space="preserve"> SEQ Gráfico \* ARABIC </w:instrText>
      </w:r>
      <w:r w:rsidR="001C55E0" w:rsidRPr="0089503C">
        <w:rPr>
          <w:sz w:val="24"/>
          <w:szCs w:val="24"/>
          <w:lang w:val="es-ES_tradnl"/>
        </w:rPr>
        <w:fldChar w:fldCharType="separate"/>
      </w:r>
      <w:r w:rsidRPr="0089503C">
        <w:rPr>
          <w:noProof/>
          <w:sz w:val="24"/>
          <w:szCs w:val="24"/>
          <w:lang w:val="es-ES_tradnl"/>
        </w:rPr>
        <w:t>10</w:t>
      </w:r>
      <w:r w:rsidR="001C55E0" w:rsidRPr="0089503C">
        <w:rPr>
          <w:sz w:val="24"/>
          <w:szCs w:val="24"/>
          <w:lang w:val="es-ES_tradnl"/>
        </w:rPr>
        <w:fldChar w:fldCharType="end"/>
      </w:r>
      <w:r w:rsidRPr="0089503C">
        <w:rPr>
          <w:sz w:val="24"/>
          <w:szCs w:val="24"/>
          <w:lang w:val="es-ES_tradnl"/>
        </w:rPr>
        <w:t>: Costos de Recolección de la Leche (IFCN)</w:t>
      </w:r>
      <w:bookmarkEnd w:id="11"/>
    </w:p>
    <w:p w:rsidR="008F64AD" w:rsidRPr="0089503C" w:rsidRDefault="008F64AD" w:rsidP="008F64AD">
      <w:pPr>
        <w:keepNext/>
        <w:jc w:val="center"/>
        <w:rPr>
          <w:rFonts w:cs="Arial"/>
          <w:sz w:val="24"/>
          <w:lang w:val="es-ES_tradnl"/>
        </w:rPr>
      </w:pPr>
      <w:r w:rsidRPr="0089503C">
        <w:rPr>
          <w:rFonts w:cs="Arial"/>
          <w:noProof/>
          <w:sz w:val="24"/>
          <w:lang w:val="en-US" w:eastAsia="en-US"/>
        </w:rPr>
        <w:drawing>
          <wp:inline distT="0" distB="0" distL="0" distR="0">
            <wp:extent cx="4141579" cy="2657475"/>
            <wp:effectExtent l="0" t="0" r="0" b="9525"/>
            <wp:docPr id="42" name="Picture 42" descr="Macintosh HD:Users:danieldelacuesta:Desktop:Captura de pantalla 2012-10-23 a la(s) 8.35.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nieldelacuesta:Desktop:Captura de pantalla 2012-10-23 a la(s) 8.35.50.png"/>
                    <pic:cNvPicPr>
                      <a:picLocks noChangeAspect="1" noChangeArrowheads="1"/>
                    </pic:cNvPicPr>
                  </pic:nvPicPr>
                  <pic:blipFill rotWithShape="1">
                    <a:blip r:embed="rId17"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805" t="7049" r="12614" b="7672"/>
                    <a:stretch/>
                  </pic:blipFill>
                  <pic:spPr bwMode="auto">
                    <a:xfrm>
                      <a:off x="0" y="0"/>
                      <a:ext cx="4142396" cy="2657999"/>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F64AD" w:rsidRPr="0089503C" w:rsidRDefault="008F64AD" w:rsidP="008F64AD">
      <w:pPr>
        <w:jc w:val="both"/>
        <w:rPr>
          <w:rFonts w:cs="Arial"/>
          <w:sz w:val="24"/>
          <w:u w:val="single"/>
          <w:lang w:val="es-ES_tradnl"/>
        </w:rPr>
      </w:pPr>
      <w:r w:rsidRPr="0089503C">
        <w:rPr>
          <w:rFonts w:cs="Arial"/>
          <w:sz w:val="24"/>
          <w:lang w:val="es-ES_tradnl"/>
        </w:rPr>
        <w:t>En conclusión, la producción láctea en Colombia se caracteriza por bajos volúmenes y altos costos de producción.</w:t>
      </w:r>
    </w:p>
    <w:p w:rsidR="008D5EA9" w:rsidRPr="0089503C" w:rsidRDefault="008D5EA9" w:rsidP="00C70932">
      <w:pPr>
        <w:pStyle w:val="Prrafodelista"/>
        <w:numPr>
          <w:ilvl w:val="0"/>
          <w:numId w:val="2"/>
        </w:numPr>
        <w:spacing w:after="120"/>
        <w:rPr>
          <w:rFonts w:cs="Arial"/>
          <w:b/>
          <w:sz w:val="24"/>
          <w:lang w:val="es-ES_tradnl"/>
        </w:rPr>
      </w:pPr>
      <w:r w:rsidRPr="0089503C">
        <w:rPr>
          <w:rFonts w:cs="Arial"/>
          <w:b/>
          <w:sz w:val="24"/>
          <w:lang w:val="es-ES_tradnl"/>
        </w:rPr>
        <w:t>Transformación</w:t>
      </w:r>
    </w:p>
    <w:p w:rsidR="008D5EA9" w:rsidRPr="0089503C" w:rsidRDefault="008D5EA9" w:rsidP="008D5EA9">
      <w:pPr>
        <w:jc w:val="both"/>
        <w:rPr>
          <w:rFonts w:cs="Arial"/>
          <w:sz w:val="24"/>
          <w:lang w:val="es-ES_tradnl"/>
        </w:rPr>
      </w:pPr>
      <w:r w:rsidRPr="0089503C">
        <w:rPr>
          <w:rFonts w:cs="Arial"/>
          <w:sz w:val="24"/>
          <w:lang w:val="es-ES_tradnl"/>
        </w:rPr>
        <w:t>La industria láctea tiene una participación dentro de toda la industria manufacturera del 3,5%, ocupando el 10º puesto de 61 industrias. El procesamiento se lleva a cabo por empresas transformadoras así como por procesadores informales</w:t>
      </w:r>
      <w:r w:rsidRPr="0089503C">
        <w:rPr>
          <w:rStyle w:val="Refdenotaalpie"/>
          <w:rFonts w:cs="Arial"/>
          <w:sz w:val="24"/>
          <w:lang w:val="es-ES_tradnl"/>
        </w:rPr>
        <w:footnoteReference w:id="19"/>
      </w:r>
      <w:r w:rsidRPr="0089503C">
        <w:rPr>
          <w:rFonts w:cs="Arial"/>
          <w:sz w:val="24"/>
          <w:lang w:val="es-ES_tradnl"/>
        </w:rPr>
        <w:t xml:space="preserve">. </w:t>
      </w:r>
    </w:p>
    <w:p w:rsidR="008D5EA9" w:rsidRPr="0089503C" w:rsidRDefault="008D5EA9" w:rsidP="008D5EA9">
      <w:pPr>
        <w:jc w:val="both"/>
        <w:rPr>
          <w:rFonts w:cs="Arial"/>
          <w:sz w:val="24"/>
          <w:lang w:val="es-ES_tradnl"/>
        </w:rPr>
      </w:pPr>
      <w:r w:rsidRPr="0089503C">
        <w:rPr>
          <w:rFonts w:cs="Arial"/>
          <w:sz w:val="24"/>
          <w:lang w:val="es-ES_tradnl"/>
        </w:rPr>
        <w:t xml:space="preserve">Colombia presenta una tasa de informalidad en procesamiento preocupante. A pesar de la expedición de normas (Decretos 616, 2838, 2964, 3411,1880 y Conpes 3375, 3376, 3675 y 3676) los avances han sido marginales hasta la fecha. Se estima que un 47% de la leche producida llega al consumidor a través del canal informal. Según un estudio realizado en 2010 por ANALAC y el Fondo Nacional del Ganado (FNG) sobre la informalidad en las regiones de trópico bajo Colombiano, en la costa norte, Caquetá, Tolima y Huila, el 15% de la producción de leche se consume de manera directa sin higienizar, y más del </w:t>
      </w:r>
      <w:r w:rsidRPr="0089503C">
        <w:rPr>
          <w:rFonts w:cs="Arial"/>
          <w:sz w:val="24"/>
          <w:lang w:val="es-ES_tradnl"/>
        </w:rPr>
        <w:lastRenderedPageBreak/>
        <w:t xml:space="preserve">45% de la leche se destina a la producción de quesos que se fabrican informalmente. </w:t>
      </w:r>
    </w:p>
    <w:p w:rsidR="008D5EA9" w:rsidRPr="0089503C" w:rsidRDefault="008D5EA9" w:rsidP="009919AB">
      <w:pPr>
        <w:pStyle w:val="Epgrafe"/>
        <w:keepNext/>
        <w:jc w:val="center"/>
        <w:rPr>
          <w:i/>
          <w:sz w:val="24"/>
          <w:szCs w:val="24"/>
          <w:lang w:val="es-ES_tradnl"/>
        </w:rPr>
      </w:pPr>
      <w:bookmarkStart w:id="12" w:name="_Toc213491910"/>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13</w:t>
      </w:r>
      <w:r w:rsidR="001C55E0" w:rsidRPr="0089503C">
        <w:rPr>
          <w:i/>
          <w:sz w:val="24"/>
          <w:szCs w:val="24"/>
          <w:lang w:val="es-ES_tradnl"/>
        </w:rPr>
        <w:fldChar w:fldCharType="end"/>
      </w:r>
      <w:r w:rsidRPr="0089503C">
        <w:rPr>
          <w:i/>
          <w:sz w:val="24"/>
          <w:szCs w:val="24"/>
          <w:lang w:val="es-ES_tradnl"/>
        </w:rPr>
        <w:t xml:space="preserve"> Destino de la Leche en Colombia</w:t>
      </w:r>
      <w:bookmarkEnd w:id="12"/>
    </w:p>
    <w:p w:rsidR="008D5EA9" w:rsidRPr="0089503C" w:rsidRDefault="008D5EA9" w:rsidP="009919AB">
      <w:pPr>
        <w:jc w:val="center"/>
        <w:rPr>
          <w:rFonts w:cs="Arial"/>
          <w:sz w:val="24"/>
          <w:lang w:val="es-ES_tradnl"/>
        </w:rPr>
      </w:pPr>
      <w:r w:rsidRPr="0089503C">
        <w:rPr>
          <w:rFonts w:cs="Arial"/>
          <w:noProof/>
          <w:sz w:val="24"/>
          <w:lang w:val="en-US" w:eastAsia="en-US"/>
        </w:rPr>
        <w:drawing>
          <wp:inline distT="0" distB="0" distL="0" distR="0">
            <wp:extent cx="4499610" cy="2253549"/>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4499610" cy="2253549"/>
                    </a:xfrm>
                    <a:prstGeom prst="rect">
                      <a:avLst/>
                    </a:prstGeom>
                    <a:noFill/>
                    <a:ln w="9525">
                      <a:noFill/>
                      <a:miter lim="800000"/>
                      <a:headEnd/>
                      <a:tailEnd/>
                    </a:ln>
                  </pic:spPr>
                </pic:pic>
              </a:graphicData>
            </a:graphic>
          </wp:inline>
        </w:drawing>
      </w:r>
    </w:p>
    <w:p w:rsidR="008D5EA9" w:rsidRPr="0089503C" w:rsidRDefault="008D5EA9" w:rsidP="008D5EA9">
      <w:pPr>
        <w:jc w:val="both"/>
        <w:rPr>
          <w:rFonts w:cs="Arial"/>
          <w:sz w:val="24"/>
          <w:lang w:val="es-ES_tradnl"/>
        </w:rPr>
      </w:pPr>
      <w:r w:rsidRPr="0089503C">
        <w:rPr>
          <w:rFonts w:cs="Arial"/>
          <w:sz w:val="24"/>
          <w:lang w:val="es-ES_tradnl"/>
        </w:rPr>
        <w:t>Esta práctica conlleva efectos negativos tanto para la salud de los consumidores como para la competitividad del sector. En este sentido, este grado de informalidad es un obstáculo tanto de la implementación de instrumentos de política y de iniciativas de modernización de la cadena, como de la entrada de nuevos jugadores al mercado, suponiendo también una competencia desleal con respecto a los actores que compiten de manera formal. Asimismo, contribuye a manchar la imagen que el sector proyecta al exterior, especialmente considerando que países cercanos y competidores como Chile manejan tasas de informalidad inferiores al 8%</w:t>
      </w:r>
      <w:r w:rsidRPr="0089503C">
        <w:rPr>
          <w:rStyle w:val="Refdenotaalpie"/>
          <w:rFonts w:cs="Arial"/>
          <w:sz w:val="24"/>
          <w:lang w:val="es-ES_tradnl"/>
        </w:rPr>
        <w:footnoteReference w:id="20"/>
      </w:r>
      <w:r w:rsidRPr="0089503C">
        <w:rPr>
          <w:rFonts w:cs="Arial"/>
          <w:sz w:val="24"/>
          <w:lang w:val="es-ES_tradnl"/>
        </w:rPr>
        <w:t>. Uno de los limitantes para atajar la informalidad es el hecho de que las autoridades solamente centran sus competencias en las empresas registradas, con poco enfoque en intervenir contundentemente en los establecimientos informales no registrados</w:t>
      </w:r>
      <w:r w:rsidRPr="0089503C">
        <w:rPr>
          <w:rStyle w:val="Refdenotaalpie"/>
          <w:rFonts w:cs="Arial"/>
          <w:sz w:val="24"/>
          <w:lang w:val="es-ES_tradnl"/>
        </w:rPr>
        <w:footnoteReference w:id="21"/>
      </w:r>
      <w:r w:rsidRPr="0089503C">
        <w:rPr>
          <w:rFonts w:cs="Arial"/>
          <w:sz w:val="24"/>
          <w:lang w:val="es-ES_tradnl"/>
        </w:rPr>
        <w:t>. Sin embargo, en algunos casos de referencia – especialmente Chile y Estados Unidos – los expertos consultados han confirmado que la reducción significativa de la informalidad se dio en estos países como consecuencia directa de la consolidación de la distribución, una vez que los grandes supermercados no aceptan ningún producto no proveniente de procesos de transformación formales.</w:t>
      </w:r>
    </w:p>
    <w:p w:rsidR="008D5EA9" w:rsidRPr="0089503C" w:rsidRDefault="008D5EA9" w:rsidP="008D5EA9">
      <w:pPr>
        <w:jc w:val="both"/>
        <w:rPr>
          <w:rFonts w:cs="Arial"/>
          <w:sz w:val="24"/>
          <w:lang w:val="es-ES_tradnl"/>
        </w:rPr>
      </w:pPr>
      <w:r w:rsidRPr="0089503C">
        <w:rPr>
          <w:rFonts w:cs="Arial"/>
          <w:sz w:val="24"/>
          <w:lang w:val="es-ES_tradnl"/>
        </w:rPr>
        <w:t>Aproximadamente el 80% de la leche siendo acopiada por la industria pertenece a la región 1, mientras el 20% pertenece a la región 2</w:t>
      </w:r>
      <w:r w:rsidRPr="0089503C">
        <w:rPr>
          <w:rStyle w:val="Refdenotaalpie"/>
          <w:rFonts w:cs="Arial"/>
          <w:sz w:val="24"/>
          <w:lang w:val="es-ES_tradnl"/>
        </w:rPr>
        <w:footnoteReference w:id="22"/>
      </w:r>
      <w:r w:rsidRPr="0089503C">
        <w:rPr>
          <w:rFonts w:cs="Arial"/>
          <w:sz w:val="24"/>
          <w:lang w:val="es-ES_tradnl"/>
        </w:rPr>
        <w:t xml:space="preserve">. Se calcula que existan aproximadamente 650 empresas (95% micro y pequeñas </w:t>
      </w:r>
      <w:r w:rsidRPr="0089503C">
        <w:rPr>
          <w:rFonts w:cs="Arial"/>
          <w:sz w:val="24"/>
          <w:lang w:val="es-ES_tradnl"/>
        </w:rPr>
        <w:lastRenderedPageBreak/>
        <w:t>empresas) en el país de las cuales las 25 mayores representan el 79% del acopio nacional, y los 5 primeros el 55%</w:t>
      </w:r>
      <w:r w:rsidRPr="0089503C">
        <w:rPr>
          <w:rStyle w:val="Refdenotaalpie"/>
          <w:rFonts w:cs="Arial"/>
          <w:sz w:val="24"/>
          <w:lang w:val="es-ES_tradnl"/>
        </w:rPr>
        <w:footnoteReference w:id="23"/>
      </w:r>
      <w:r w:rsidRPr="0089503C">
        <w:rPr>
          <w:rFonts w:cs="Arial"/>
          <w:sz w:val="24"/>
          <w:lang w:val="es-ES_tradnl"/>
        </w:rPr>
        <w:t>. Por otra parte, del acopio formal el 29% es realizado por las industrias y el 16% por cooperativas</w:t>
      </w:r>
      <w:r w:rsidRPr="0089503C">
        <w:rPr>
          <w:rStyle w:val="Refdenotaalpie"/>
          <w:rFonts w:cs="Arial"/>
          <w:sz w:val="24"/>
          <w:lang w:val="es-ES_tradnl"/>
        </w:rPr>
        <w:footnoteReference w:id="24"/>
      </w:r>
      <w:r w:rsidRPr="0089503C">
        <w:rPr>
          <w:rFonts w:cs="Arial"/>
          <w:sz w:val="24"/>
          <w:lang w:val="es-ES_tradnl"/>
        </w:rPr>
        <w:t>, lo que refleja la importancia del cooperativismo en Colombia. Esta concentración del acopio ha hecho que las principales industrias del país hayan tenido que expandir su presencia hasta zonas lejanas a lo que tradicionalmente venían siendo sus zonas de influencia, como representan el gráfico a continuación</w:t>
      </w:r>
      <w:r w:rsidRPr="0089503C">
        <w:rPr>
          <w:rStyle w:val="Refdenotaalpie"/>
          <w:rFonts w:cs="Arial"/>
          <w:sz w:val="24"/>
          <w:lang w:val="es-ES_tradnl"/>
        </w:rPr>
        <w:t xml:space="preserve"> </w:t>
      </w:r>
      <w:r w:rsidRPr="0089503C">
        <w:rPr>
          <w:rStyle w:val="Refdenotaalpie"/>
          <w:rFonts w:cs="Arial"/>
          <w:sz w:val="24"/>
          <w:lang w:val="es-ES_tradnl"/>
        </w:rPr>
        <w:footnoteReference w:id="25"/>
      </w:r>
      <w:r w:rsidRPr="0089503C">
        <w:rPr>
          <w:rFonts w:cs="Arial"/>
          <w:sz w:val="24"/>
          <w:lang w:val="es-ES_tradnl"/>
        </w:rPr>
        <w:t xml:space="preserve">. </w:t>
      </w:r>
    </w:p>
    <w:p w:rsidR="008D5EA9" w:rsidRPr="0089503C" w:rsidRDefault="008D5EA9" w:rsidP="009919AB">
      <w:pPr>
        <w:pStyle w:val="Epgrafe"/>
        <w:keepNext/>
        <w:jc w:val="center"/>
        <w:rPr>
          <w:i/>
          <w:sz w:val="24"/>
          <w:szCs w:val="24"/>
          <w:lang w:val="es-ES_tradnl"/>
        </w:rPr>
      </w:pPr>
      <w:bookmarkStart w:id="13" w:name="_Toc213491911"/>
      <w:r w:rsidRPr="0089503C">
        <w:rPr>
          <w:i/>
          <w:sz w:val="24"/>
          <w:szCs w:val="24"/>
          <w:lang w:val="es-ES_tradnl"/>
        </w:rPr>
        <w:t xml:space="preserve">Gráfico </w:t>
      </w:r>
      <w:r w:rsidR="001C55E0" w:rsidRPr="0089503C">
        <w:rPr>
          <w:i/>
          <w:sz w:val="24"/>
          <w:szCs w:val="24"/>
          <w:lang w:val="es-ES_tradnl"/>
        </w:rPr>
        <w:fldChar w:fldCharType="begin"/>
      </w:r>
      <w:r w:rsidRPr="0089503C">
        <w:rPr>
          <w:i/>
          <w:sz w:val="24"/>
          <w:szCs w:val="24"/>
          <w:lang w:val="es-ES_tradnl"/>
        </w:rPr>
        <w:instrText xml:space="preserve"> SEQ Gráfico \* ARABIC </w:instrText>
      </w:r>
      <w:r w:rsidR="001C55E0" w:rsidRPr="0089503C">
        <w:rPr>
          <w:i/>
          <w:sz w:val="24"/>
          <w:szCs w:val="24"/>
          <w:lang w:val="es-ES_tradnl"/>
        </w:rPr>
        <w:fldChar w:fldCharType="separate"/>
      </w:r>
      <w:r w:rsidRPr="0089503C">
        <w:rPr>
          <w:i/>
          <w:noProof/>
          <w:sz w:val="24"/>
          <w:szCs w:val="24"/>
          <w:lang w:val="es-ES_tradnl"/>
        </w:rPr>
        <w:t>14</w:t>
      </w:r>
      <w:r w:rsidR="001C55E0" w:rsidRPr="0089503C">
        <w:rPr>
          <w:i/>
          <w:sz w:val="24"/>
          <w:szCs w:val="24"/>
          <w:lang w:val="es-ES_tradnl"/>
        </w:rPr>
        <w:fldChar w:fldCharType="end"/>
      </w:r>
      <w:r w:rsidRPr="0089503C">
        <w:rPr>
          <w:i/>
          <w:sz w:val="24"/>
          <w:szCs w:val="24"/>
          <w:lang w:val="es-ES_tradnl"/>
        </w:rPr>
        <w:t>: Expansión del Acopio de las Principales Empresas Colombianas</w:t>
      </w:r>
      <w:bookmarkEnd w:id="13"/>
    </w:p>
    <w:p w:rsidR="008D5EA9" w:rsidRPr="0089503C" w:rsidRDefault="008D5EA9" w:rsidP="008D5EA9">
      <w:pPr>
        <w:jc w:val="center"/>
        <w:rPr>
          <w:rFonts w:cs="Arial"/>
          <w:sz w:val="24"/>
          <w:lang w:val="es-ES_tradnl"/>
        </w:rPr>
      </w:pPr>
      <w:r w:rsidRPr="0089503C">
        <w:rPr>
          <w:rFonts w:cs="Arial"/>
          <w:noProof/>
          <w:sz w:val="24"/>
          <w:lang w:val="en-US" w:eastAsia="en-US"/>
        </w:rPr>
        <w:drawing>
          <wp:inline distT="0" distB="0" distL="0" distR="0">
            <wp:extent cx="2533650" cy="2464287"/>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2543996" cy="2474350"/>
                    </a:xfrm>
                    <a:prstGeom prst="rect">
                      <a:avLst/>
                    </a:prstGeom>
                    <a:noFill/>
                    <a:ln w="9525">
                      <a:noFill/>
                      <a:miter lim="800000"/>
                      <a:headEnd/>
                      <a:tailEnd/>
                    </a:ln>
                  </pic:spPr>
                </pic:pic>
              </a:graphicData>
            </a:graphic>
          </wp:inline>
        </w:drawing>
      </w:r>
    </w:p>
    <w:p w:rsidR="008D5EA9" w:rsidRDefault="008D5EA9" w:rsidP="008D5EA9">
      <w:pPr>
        <w:jc w:val="both"/>
        <w:rPr>
          <w:rFonts w:cs="Arial"/>
          <w:sz w:val="24"/>
          <w:lang w:val="es-ES_tradnl"/>
        </w:rPr>
      </w:pPr>
      <w:r w:rsidRPr="0089503C">
        <w:rPr>
          <w:rFonts w:cs="Arial"/>
          <w:sz w:val="24"/>
          <w:lang w:val="es-ES_tradnl"/>
        </w:rPr>
        <w:t>Las 10 procesadores líderes en ventas en 2011 fueron Colanta, Alpina, Alquería, Meals de Colombia, Parmalat Colombia, Coolechera, Algarra, Freskaleche, Proleche y Alival</w:t>
      </w:r>
      <w:r w:rsidRPr="0089503C">
        <w:rPr>
          <w:rStyle w:val="Refdenotaalpie"/>
          <w:rFonts w:cs="Arial"/>
          <w:sz w:val="24"/>
          <w:lang w:val="es-ES_tradnl"/>
        </w:rPr>
        <w:footnoteReference w:id="26"/>
      </w:r>
      <w:r w:rsidRPr="0089503C">
        <w:rPr>
          <w:rFonts w:cs="Arial"/>
          <w:sz w:val="24"/>
          <w:lang w:val="es-ES_tradnl"/>
        </w:rPr>
        <w:t xml:space="preserve"> De estas, Algarra y Alquería mostraron el mayor crecimiento en ventas entre 2007 y 2010 con 19,4 y 16,9%, respectivamente. </w:t>
      </w:r>
    </w:p>
    <w:p w:rsidR="0089503C" w:rsidRPr="0089503C" w:rsidRDefault="0089503C" w:rsidP="008D5EA9">
      <w:pPr>
        <w:jc w:val="both"/>
        <w:rPr>
          <w:rFonts w:cs="Arial"/>
          <w:sz w:val="24"/>
          <w:lang w:val="es-ES_tradnl"/>
        </w:rPr>
      </w:pPr>
    </w:p>
    <w:p w:rsidR="008D5EA9" w:rsidRPr="0089503C" w:rsidRDefault="009919AB" w:rsidP="009919AB">
      <w:pPr>
        <w:tabs>
          <w:tab w:val="left" w:pos="1320"/>
        </w:tabs>
        <w:spacing w:after="0"/>
        <w:rPr>
          <w:rFonts w:cs="Arial"/>
          <w:b/>
          <w:sz w:val="24"/>
          <w:lang w:val="es-ES_tradnl"/>
        </w:rPr>
      </w:pPr>
      <w:r w:rsidRPr="0089503C">
        <w:rPr>
          <w:rFonts w:cs="Arial"/>
          <w:b/>
          <w:sz w:val="24"/>
          <w:lang w:val="es-ES_tradnl"/>
        </w:rPr>
        <w:tab/>
      </w:r>
    </w:p>
    <w:p w:rsidR="008D5EA9" w:rsidRPr="0089503C" w:rsidRDefault="008D5EA9" w:rsidP="008D5EA9">
      <w:pPr>
        <w:pStyle w:val="Epgrafe"/>
        <w:keepNext/>
        <w:jc w:val="center"/>
        <w:rPr>
          <w:i/>
          <w:sz w:val="24"/>
          <w:szCs w:val="24"/>
          <w:lang w:val="es-ES_tradnl"/>
        </w:rPr>
      </w:pPr>
      <w:bookmarkStart w:id="14" w:name="_Toc213491877"/>
      <w:r w:rsidRPr="0089503C">
        <w:rPr>
          <w:i/>
          <w:sz w:val="24"/>
          <w:szCs w:val="24"/>
          <w:lang w:val="es-ES_tradnl"/>
        </w:rPr>
        <w:lastRenderedPageBreak/>
        <w:t xml:space="preserve">Tabla </w:t>
      </w:r>
      <w:r w:rsidR="001C55E0" w:rsidRPr="0089503C">
        <w:rPr>
          <w:i/>
          <w:sz w:val="24"/>
          <w:szCs w:val="24"/>
          <w:lang w:val="es-ES_tradnl"/>
        </w:rPr>
        <w:fldChar w:fldCharType="begin"/>
      </w:r>
      <w:r w:rsidRPr="0089503C">
        <w:rPr>
          <w:i/>
          <w:sz w:val="24"/>
          <w:szCs w:val="24"/>
          <w:lang w:val="es-ES_tradnl"/>
        </w:rPr>
        <w:instrText xml:space="preserve"> SEQ Tabla \* ARABIC </w:instrText>
      </w:r>
      <w:r w:rsidR="001C55E0" w:rsidRPr="0089503C">
        <w:rPr>
          <w:i/>
          <w:sz w:val="24"/>
          <w:szCs w:val="24"/>
          <w:lang w:val="es-ES_tradnl"/>
        </w:rPr>
        <w:fldChar w:fldCharType="separate"/>
      </w:r>
      <w:r w:rsidRPr="0089503C">
        <w:rPr>
          <w:i/>
          <w:noProof/>
          <w:sz w:val="24"/>
          <w:szCs w:val="24"/>
          <w:lang w:val="es-ES_tradnl"/>
        </w:rPr>
        <w:t>4</w:t>
      </w:r>
      <w:r w:rsidR="001C55E0" w:rsidRPr="0089503C">
        <w:rPr>
          <w:i/>
          <w:sz w:val="24"/>
          <w:szCs w:val="24"/>
          <w:lang w:val="es-ES_tradnl"/>
        </w:rPr>
        <w:fldChar w:fldCharType="end"/>
      </w:r>
      <w:r w:rsidRPr="0089503C">
        <w:rPr>
          <w:i/>
          <w:sz w:val="24"/>
          <w:szCs w:val="24"/>
          <w:lang w:val="es-ES_tradnl"/>
        </w:rPr>
        <w:t>: Principales Procesadoras Lácteas en Ventas, 2011 (Pesos Colombianos)</w:t>
      </w:r>
      <w:bookmarkEnd w:id="14"/>
    </w:p>
    <w:tbl>
      <w:tblPr>
        <w:tblStyle w:val="Cuadrculamedia2-nfasis3"/>
        <w:tblW w:w="7025" w:type="dxa"/>
        <w:jc w:val="center"/>
        <w:tblInd w:w="-1372" w:type="dxa"/>
        <w:tblBorders>
          <w:top w:val="single" w:sz="12" w:space="0" w:color="9BBB59" w:themeColor="accent3"/>
          <w:left w:val="single" w:sz="12" w:space="0" w:color="9BBB59" w:themeColor="accent3"/>
          <w:bottom w:val="single" w:sz="12" w:space="0" w:color="9BBB59" w:themeColor="accent3"/>
          <w:right w:val="single" w:sz="12" w:space="0" w:color="9BBB59" w:themeColor="accent3"/>
        </w:tblBorders>
        <w:tblLook w:val="04A0"/>
      </w:tblPr>
      <w:tblGrid>
        <w:gridCol w:w="2330"/>
        <w:gridCol w:w="1329"/>
        <w:gridCol w:w="1329"/>
        <w:gridCol w:w="2037"/>
      </w:tblGrid>
      <w:tr w:rsidR="008D5EA9" w:rsidRPr="0089503C" w:rsidTr="008D5EA9">
        <w:trPr>
          <w:cnfStyle w:val="100000000000"/>
          <w:trHeight w:val="678"/>
          <w:jc w:val="center"/>
        </w:trPr>
        <w:tc>
          <w:tcPr>
            <w:cnfStyle w:val="0010000001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D5EA9" w:rsidRPr="0089503C" w:rsidRDefault="008D5EA9" w:rsidP="007F5253">
            <w:pPr>
              <w:jc w:val="center"/>
              <w:rPr>
                <w:rFonts w:cs="Arial"/>
                <w:color w:val="auto"/>
                <w:sz w:val="24"/>
                <w:szCs w:val="24"/>
                <w:lang w:val="es-ES_tradnl"/>
              </w:rPr>
            </w:pPr>
            <w:r w:rsidRPr="0089503C">
              <w:rPr>
                <w:rFonts w:cs="Arial"/>
                <w:sz w:val="24"/>
                <w:szCs w:val="24"/>
                <w:lang w:val="es-ES_tradnl"/>
              </w:rPr>
              <w:t>Empresa</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D5EA9" w:rsidRPr="0089503C" w:rsidRDefault="008D5EA9" w:rsidP="007F5253">
            <w:pPr>
              <w:jc w:val="center"/>
              <w:cnfStyle w:val="100000000000"/>
              <w:rPr>
                <w:rFonts w:cs="Arial"/>
                <w:color w:val="auto"/>
                <w:sz w:val="24"/>
                <w:szCs w:val="24"/>
                <w:lang w:val="es-ES_tradnl"/>
              </w:rPr>
            </w:pPr>
            <w:r w:rsidRPr="0089503C">
              <w:rPr>
                <w:rFonts w:cs="Arial"/>
                <w:sz w:val="24"/>
                <w:szCs w:val="24"/>
                <w:lang w:val="es-ES_tradnl"/>
              </w:rPr>
              <w:t>2010</w:t>
            </w:r>
          </w:p>
        </w:tc>
        <w:tc>
          <w:tcPr>
            <w:tcW w:w="1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D5EA9" w:rsidRPr="0089503C" w:rsidRDefault="008D5EA9" w:rsidP="007F5253">
            <w:pPr>
              <w:jc w:val="center"/>
              <w:cnfStyle w:val="100000000000"/>
              <w:rPr>
                <w:rFonts w:cs="Arial"/>
                <w:sz w:val="24"/>
                <w:szCs w:val="24"/>
                <w:lang w:val="es-ES_tradnl"/>
              </w:rPr>
            </w:pPr>
            <w:r w:rsidRPr="0089503C">
              <w:rPr>
                <w:rFonts w:cs="Arial"/>
                <w:sz w:val="24"/>
                <w:szCs w:val="24"/>
                <w:lang w:val="es-ES_tradnl"/>
              </w:rPr>
              <w:t>2011</w:t>
            </w:r>
          </w:p>
        </w:tc>
        <w:tc>
          <w:tcPr>
            <w:tcW w:w="2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spacing w:after="0"/>
              <w:jc w:val="center"/>
              <w:cnfStyle w:val="100000000000"/>
              <w:rPr>
                <w:rFonts w:cs="Arial"/>
                <w:sz w:val="24"/>
                <w:szCs w:val="24"/>
                <w:lang w:val="es-ES_tradnl"/>
              </w:rPr>
            </w:pPr>
            <w:r w:rsidRPr="0089503C">
              <w:rPr>
                <w:rFonts w:cs="Arial"/>
                <w:sz w:val="24"/>
                <w:szCs w:val="24"/>
                <w:lang w:val="es-ES_tradnl"/>
              </w:rPr>
              <w:t xml:space="preserve">Crecimiento </w:t>
            </w:r>
          </w:p>
          <w:p w:rsidR="008D5EA9" w:rsidRPr="0089503C" w:rsidRDefault="008D5EA9" w:rsidP="007F5253">
            <w:pPr>
              <w:jc w:val="center"/>
              <w:cnfStyle w:val="100000000000"/>
              <w:rPr>
                <w:rFonts w:cs="Arial"/>
                <w:sz w:val="24"/>
                <w:szCs w:val="24"/>
                <w:lang w:val="es-ES_tradnl"/>
              </w:rPr>
            </w:pPr>
            <w:r w:rsidRPr="0089503C">
              <w:rPr>
                <w:rFonts w:cs="Arial"/>
                <w:sz w:val="24"/>
                <w:szCs w:val="24"/>
                <w:lang w:val="es-ES_tradnl"/>
              </w:rPr>
              <w:t xml:space="preserve">2007-2010 </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Colanta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color w:val="auto"/>
                <w:sz w:val="24"/>
                <w:szCs w:val="24"/>
                <w:lang w:val="es-ES_tradnl"/>
              </w:rPr>
            </w:pPr>
            <w:r w:rsidRPr="0089503C">
              <w:rPr>
                <w:rFonts w:cs="Arial"/>
                <w:i/>
                <w:sz w:val="24"/>
                <w:szCs w:val="24"/>
                <w:lang w:val="es-ES_tradnl"/>
              </w:rPr>
              <w:t>1.509.572</w:t>
            </w:r>
          </w:p>
        </w:tc>
        <w:tc>
          <w:tcPr>
            <w:tcW w:w="1240" w:type="dxa"/>
            <w:tcBorders>
              <w:top w:val="single" w:sz="4" w:space="0" w:color="auto"/>
              <w:left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1.651.042</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7,1%</w:t>
            </w:r>
          </w:p>
        </w:tc>
      </w:tr>
      <w:tr w:rsidR="008D5EA9" w:rsidRPr="0089503C" w:rsidTr="008D5EA9">
        <w:trPr>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Alpina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color w:val="auto"/>
                <w:sz w:val="24"/>
                <w:szCs w:val="24"/>
                <w:lang w:val="es-ES_tradnl"/>
              </w:rPr>
            </w:pPr>
            <w:r w:rsidRPr="0089503C">
              <w:rPr>
                <w:rFonts w:cs="Arial"/>
                <w:i/>
                <w:sz w:val="24"/>
                <w:szCs w:val="24"/>
                <w:lang w:val="es-ES_tradnl"/>
              </w:rPr>
              <w:t>1.142.356</w:t>
            </w:r>
          </w:p>
        </w:tc>
        <w:tc>
          <w:tcPr>
            <w:tcW w:w="1240" w:type="dxa"/>
            <w:tcBorders>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1.265.084</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7,7%</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sz w:val="24"/>
                <w:szCs w:val="24"/>
                <w:lang w:val="es-ES_tradnl"/>
              </w:rPr>
            </w:pPr>
            <w:r w:rsidRPr="0089503C">
              <w:rPr>
                <w:rFonts w:cs="Arial"/>
                <w:sz w:val="24"/>
                <w:szCs w:val="24"/>
                <w:lang w:val="es-ES_tradnl"/>
              </w:rPr>
              <w:t>Alquería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533.358</w:t>
            </w:r>
          </w:p>
        </w:tc>
        <w:tc>
          <w:tcPr>
            <w:tcW w:w="1240" w:type="dxa"/>
            <w:tcBorders>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566.951</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16,9%</w:t>
            </w:r>
          </w:p>
        </w:tc>
      </w:tr>
      <w:tr w:rsidR="008D5EA9" w:rsidRPr="0089503C" w:rsidTr="008D5EA9">
        <w:trPr>
          <w:trHeight w:val="297"/>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Meals de Colombia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color w:val="auto"/>
                <w:sz w:val="24"/>
                <w:szCs w:val="24"/>
                <w:lang w:val="es-ES_tradnl"/>
              </w:rPr>
            </w:pPr>
            <w:r w:rsidRPr="0089503C">
              <w:rPr>
                <w:rFonts w:cs="Arial"/>
                <w:i/>
                <w:sz w:val="24"/>
                <w:szCs w:val="24"/>
                <w:lang w:val="es-ES_tradnl"/>
              </w:rPr>
              <w:t>259.735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286.126</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2.3%</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Parmalat Colombia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color w:val="auto"/>
                <w:sz w:val="24"/>
                <w:szCs w:val="24"/>
                <w:lang w:val="es-ES_tradnl"/>
              </w:rPr>
            </w:pPr>
            <w:r w:rsidRPr="0089503C">
              <w:rPr>
                <w:rFonts w:cs="Arial"/>
                <w:i/>
                <w:sz w:val="24"/>
                <w:szCs w:val="24"/>
                <w:lang w:val="es-ES_tradnl"/>
              </w:rPr>
              <w:t>221.596</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226.285</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-0,2%</w:t>
            </w:r>
          </w:p>
        </w:tc>
      </w:tr>
      <w:tr w:rsidR="008D5EA9" w:rsidRPr="0089503C" w:rsidTr="008D5EA9">
        <w:trPr>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Coolechera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color w:val="auto"/>
                <w:sz w:val="24"/>
                <w:szCs w:val="24"/>
                <w:lang w:val="es-ES_tradnl"/>
              </w:rPr>
            </w:pPr>
            <w:r w:rsidRPr="0089503C">
              <w:rPr>
                <w:rFonts w:cs="Arial"/>
                <w:i/>
                <w:sz w:val="24"/>
                <w:szCs w:val="24"/>
                <w:lang w:val="es-ES_tradnl"/>
              </w:rPr>
              <w:t>166.680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178.499</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-0,3%</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Algarra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147,349</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160,932</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19,4%</w:t>
            </w:r>
          </w:p>
        </w:tc>
      </w:tr>
      <w:tr w:rsidR="008D5EA9" w:rsidRPr="0089503C" w:rsidTr="008D5EA9">
        <w:trPr>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Freskaleche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148.515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145.904</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6,8%</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Proleche</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131.772</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147,021</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0,8%</w:t>
            </w:r>
          </w:p>
        </w:tc>
      </w:tr>
      <w:tr w:rsidR="008D5EA9" w:rsidRPr="0089503C" w:rsidTr="008D5EA9">
        <w:trPr>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Alival</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133.906</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145.904</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000000"/>
              <w:rPr>
                <w:rFonts w:cs="Arial"/>
                <w:i/>
                <w:sz w:val="24"/>
                <w:szCs w:val="24"/>
                <w:lang w:val="es-ES_tradnl"/>
              </w:rPr>
            </w:pPr>
            <w:r w:rsidRPr="0089503C">
              <w:rPr>
                <w:rFonts w:cs="Arial"/>
                <w:i/>
                <w:sz w:val="24"/>
                <w:szCs w:val="24"/>
                <w:lang w:val="es-ES_tradnl"/>
              </w:rPr>
              <w:t>5%</w:t>
            </w:r>
          </w:p>
        </w:tc>
      </w:tr>
      <w:tr w:rsidR="008D5EA9" w:rsidRPr="0089503C" w:rsidTr="008D5EA9">
        <w:trPr>
          <w:cnfStyle w:val="000000100000"/>
          <w:jc w:val="center"/>
        </w:trPr>
        <w:tc>
          <w:tcPr>
            <w:cnfStyle w:val="001000000000"/>
            <w:tcW w:w="2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EA9" w:rsidRPr="0089503C" w:rsidRDefault="008D5EA9" w:rsidP="007F5253">
            <w:pPr>
              <w:rPr>
                <w:rFonts w:cs="Arial"/>
                <w:color w:val="auto"/>
                <w:sz w:val="24"/>
                <w:szCs w:val="24"/>
                <w:lang w:val="es-ES_tradnl"/>
              </w:rPr>
            </w:pPr>
            <w:r w:rsidRPr="0089503C">
              <w:rPr>
                <w:rFonts w:cs="Arial"/>
                <w:sz w:val="24"/>
                <w:szCs w:val="24"/>
                <w:lang w:val="es-ES_tradnl"/>
              </w:rPr>
              <w:t>Ciledco</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88.592</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92.409</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EA9" w:rsidRPr="0089503C" w:rsidRDefault="008D5EA9" w:rsidP="007F5253">
            <w:pPr>
              <w:jc w:val="center"/>
              <w:cnfStyle w:val="000000100000"/>
              <w:rPr>
                <w:rFonts w:cs="Arial"/>
                <w:i/>
                <w:sz w:val="24"/>
                <w:szCs w:val="24"/>
                <w:lang w:val="es-ES_tradnl"/>
              </w:rPr>
            </w:pPr>
            <w:r w:rsidRPr="0089503C">
              <w:rPr>
                <w:rFonts w:cs="Arial"/>
                <w:i/>
                <w:sz w:val="24"/>
                <w:szCs w:val="24"/>
                <w:lang w:val="es-ES_tradnl"/>
              </w:rPr>
              <w:t>11,1%</w:t>
            </w:r>
          </w:p>
        </w:tc>
      </w:tr>
    </w:tbl>
    <w:p w:rsidR="008D5EA9" w:rsidRPr="0089503C" w:rsidRDefault="008D5EA9" w:rsidP="008D5EA9">
      <w:pPr>
        <w:ind w:left="284"/>
        <w:jc w:val="both"/>
        <w:rPr>
          <w:rFonts w:cs="Arial"/>
          <w:sz w:val="24"/>
          <w:lang w:val="es-ES_tradnl"/>
        </w:rPr>
      </w:pPr>
      <w:r w:rsidRPr="0089503C">
        <w:rPr>
          <w:rFonts w:cs="Arial"/>
          <w:sz w:val="24"/>
          <w:lang w:val="es-ES_tradnl"/>
        </w:rPr>
        <w:t>* Crecimiento equivale a promedio anual en pesos.</w:t>
      </w:r>
    </w:p>
    <w:p w:rsidR="008D5EA9" w:rsidRPr="0089503C" w:rsidRDefault="008D5EA9" w:rsidP="008D5EA9">
      <w:pPr>
        <w:jc w:val="both"/>
        <w:rPr>
          <w:rFonts w:cs="Arial"/>
          <w:sz w:val="24"/>
          <w:lang w:val="es-ES_tradnl"/>
        </w:rPr>
      </w:pPr>
      <w:r w:rsidRPr="0089503C">
        <w:rPr>
          <w:rFonts w:cs="Arial"/>
          <w:sz w:val="24"/>
          <w:lang w:val="es-ES_tradnl"/>
        </w:rPr>
        <w:t>Según este ranking, publicado en el Vademécum de mercados de La Nota, otras empresas que mostraron especial dinamismo en 2011 fueron: El Recreo, Lácteos Betania, Lácteos del Cesar, Auralac, Pasteurizadora La Mejor, Helados Popsy, Prodilácteos, Proalimentos Liber, Lácteos Colfrance, Pasteurizadora La Pradera, Industrias Normandy, Surcolombiana de Lácteos, Lechecol, Productos La María, Induhuila, Schadel, Desarrollos Campesinos, y Alimentos Pippo.</w:t>
      </w:r>
    </w:p>
    <w:p w:rsidR="008D5EA9" w:rsidRPr="0089503C" w:rsidRDefault="008D5EA9" w:rsidP="008D5EA9">
      <w:pPr>
        <w:jc w:val="both"/>
        <w:rPr>
          <w:rFonts w:cs="Arial"/>
          <w:sz w:val="24"/>
          <w:lang w:val="es-ES_tradnl"/>
        </w:rPr>
      </w:pPr>
      <w:r w:rsidRPr="0089503C">
        <w:rPr>
          <w:rFonts w:cs="Arial"/>
          <w:sz w:val="24"/>
          <w:lang w:val="es-ES_tradnl"/>
        </w:rPr>
        <w:t xml:space="preserve">También es importante destacar la ya tradicional presencia de importantes multinacionales lácteas en Colombia como Nestlé, Parmalat, Danone (que entró en el mercado colombiano en alianza con Alquería), Gloria (con Algarra) y Dairy Partners of America (pulverizadora participada por Nestlé y Fonterra). Por su parte, existen multinacionales colombianas como Alpina, presentes en </w:t>
      </w:r>
      <w:r w:rsidRPr="0089503C">
        <w:rPr>
          <w:rFonts w:cs="Arial"/>
          <w:sz w:val="24"/>
          <w:lang w:val="es-ES_tradnl"/>
        </w:rPr>
        <w:lastRenderedPageBreak/>
        <w:t>varios países, inclusive en Estados Unidos, con productos con alto valor agregado</w:t>
      </w:r>
      <w:r w:rsidRPr="0089503C">
        <w:rPr>
          <w:rStyle w:val="Refdenotaalpie"/>
          <w:rFonts w:cs="Arial"/>
          <w:sz w:val="24"/>
          <w:lang w:val="es-ES_tradnl"/>
        </w:rPr>
        <w:footnoteReference w:id="27"/>
      </w:r>
      <w:r w:rsidRPr="0089503C">
        <w:rPr>
          <w:rFonts w:cs="Arial"/>
          <w:sz w:val="24"/>
          <w:lang w:val="es-ES_tradnl"/>
        </w:rPr>
        <w:t>.</w:t>
      </w:r>
    </w:p>
    <w:p w:rsidR="00E33EE9" w:rsidRPr="0089503C" w:rsidRDefault="00E33EE9">
      <w:pPr>
        <w:rPr>
          <w:rFonts w:cs="Arial"/>
          <w:sz w:val="24"/>
        </w:rPr>
      </w:pPr>
    </w:p>
    <w:sectPr w:rsidR="00E33EE9" w:rsidRPr="0089503C" w:rsidSect="00017B99">
      <w:footerReference w:type="default" r:id="rId2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78F" w:rsidRDefault="005F578F" w:rsidP="00BD066C">
      <w:pPr>
        <w:spacing w:after="0" w:line="240" w:lineRule="auto"/>
      </w:pPr>
      <w:r>
        <w:separator/>
      </w:r>
    </w:p>
  </w:endnote>
  <w:endnote w:type="continuationSeparator" w:id="1">
    <w:p w:rsidR="005F578F" w:rsidRDefault="005F578F" w:rsidP="00BD0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66C" w:rsidRDefault="001C55E0">
    <w:pPr>
      <w:pStyle w:val="Piedepgina"/>
      <w:jc w:val="right"/>
    </w:pPr>
    <w:fldSimple w:instr=" PAGE   \* MERGEFORMAT ">
      <w:r w:rsidR="00D95D5A">
        <w:rPr>
          <w:noProof/>
        </w:rPr>
        <w:t>12</w:t>
      </w:r>
    </w:fldSimple>
  </w:p>
  <w:p w:rsidR="00BD066C" w:rsidRDefault="00BD066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78F" w:rsidRDefault="005F578F" w:rsidP="00BD066C">
      <w:pPr>
        <w:spacing w:after="0" w:line="240" w:lineRule="auto"/>
      </w:pPr>
      <w:r>
        <w:separator/>
      </w:r>
    </w:p>
  </w:footnote>
  <w:footnote w:type="continuationSeparator" w:id="1">
    <w:p w:rsidR="005F578F" w:rsidRDefault="005F578F" w:rsidP="00BD066C">
      <w:pPr>
        <w:spacing w:after="0" w:line="240" w:lineRule="auto"/>
      </w:pPr>
      <w:r>
        <w:continuationSeparator/>
      </w:r>
    </w:p>
  </w:footnote>
  <w:footnote w:id="2">
    <w:p w:rsidR="00BD066C" w:rsidRPr="006502E1" w:rsidRDefault="00BD066C" w:rsidP="00BD066C">
      <w:pPr>
        <w:pStyle w:val="Textonotapie"/>
        <w:rPr>
          <w:lang w:val="es-CO"/>
        </w:rPr>
      </w:pPr>
      <w:r>
        <w:rPr>
          <w:rStyle w:val="Refdenotaalpie"/>
        </w:rPr>
        <w:footnoteRef/>
      </w:r>
      <w:r w:rsidRPr="006502E1">
        <w:rPr>
          <w:lang w:val="es-CO"/>
        </w:rPr>
        <w:t xml:space="preserve"> </w:t>
      </w:r>
      <w:r>
        <w:rPr>
          <w:lang w:val="es-CO"/>
        </w:rPr>
        <w:t>FEDEGAN 2011, “La Ganadería Colombiana y las Cadenas Láctea y Cárnica”, con fuentes DANE.</w:t>
      </w:r>
    </w:p>
  </w:footnote>
  <w:footnote w:id="3">
    <w:p w:rsidR="00BD066C" w:rsidRPr="006502E1" w:rsidRDefault="00BD066C" w:rsidP="00BD066C">
      <w:pPr>
        <w:pStyle w:val="Textonotapie"/>
        <w:rPr>
          <w:lang w:val="es-CO"/>
        </w:rPr>
      </w:pPr>
      <w:r>
        <w:rPr>
          <w:rStyle w:val="Refdenotaalpie"/>
        </w:rPr>
        <w:footnoteRef/>
      </w:r>
      <w:r>
        <w:rPr>
          <w:lang w:val="es-CO"/>
        </w:rPr>
        <w:t xml:space="preserve"> Propuesta de Valor Cadena Láctea Colombiana, Consejo Nacional Lácteo 2011.</w:t>
      </w:r>
    </w:p>
  </w:footnote>
  <w:footnote w:id="4">
    <w:p w:rsidR="00BD066C" w:rsidRPr="001822E4" w:rsidRDefault="00BD066C" w:rsidP="00BD066C">
      <w:pPr>
        <w:pStyle w:val="Textonotapie"/>
        <w:rPr>
          <w:lang w:val="es-CO"/>
        </w:rPr>
      </w:pPr>
      <w:r>
        <w:rPr>
          <w:rStyle w:val="Refdenotaalpie"/>
        </w:rPr>
        <w:footnoteRef/>
      </w:r>
      <w:r>
        <w:rPr>
          <w:lang w:val="es-CO"/>
        </w:rPr>
        <w:t xml:space="preserve"> Secretaría Técnica CNL con base en la a</w:t>
      </w:r>
      <w:r w:rsidRPr="00543805">
        <w:rPr>
          <w:lang w:val="es-CO"/>
        </w:rPr>
        <w:t>genda prospectiv</w:t>
      </w:r>
      <w:r>
        <w:rPr>
          <w:lang w:val="es-CO"/>
        </w:rPr>
        <w:t>a de investigación y desarrollo de la cadena láctea colombiana del MADR, 2007.</w:t>
      </w:r>
    </w:p>
  </w:footnote>
  <w:footnote w:id="5">
    <w:p w:rsidR="00BD066C" w:rsidRPr="00C6000E" w:rsidRDefault="00BD066C" w:rsidP="00BD066C">
      <w:pPr>
        <w:pStyle w:val="Textonotapie"/>
        <w:rPr>
          <w:lang w:val="es-CO"/>
        </w:rPr>
      </w:pPr>
      <w:r>
        <w:rPr>
          <w:rStyle w:val="Refdenotaalpie"/>
        </w:rPr>
        <w:footnoteRef/>
      </w:r>
      <w:r w:rsidRPr="00C6000E">
        <w:rPr>
          <w:lang w:val="es-CO"/>
        </w:rPr>
        <w:t xml:space="preserve"> </w:t>
      </w:r>
      <w:r>
        <w:rPr>
          <w:lang w:val="es-CO"/>
        </w:rPr>
        <w:t>Oficina de planeación – FEDEGAN 2011.</w:t>
      </w:r>
    </w:p>
  </w:footnote>
  <w:footnote w:id="6">
    <w:p w:rsidR="00BD066C" w:rsidRPr="00A301E3" w:rsidRDefault="00BD066C" w:rsidP="00BD066C">
      <w:pPr>
        <w:pStyle w:val="Textonotapie"/>
        <w:rPr>
          <w:lang w:val="es-CO"/>
        </w:rPr>
      </w:pPr>
      <w:r>
        <w:rPr>
          <w:rStyle w:val="Refdenotaalpie"/>
        </w:rPr>
        <w:footnoteRef/>
      </w:r>
      <w:r w:rsidRPr="00A301E3">
        <w:rPr>
          <w:lang w:val="es-CO"/>
        </w:rPr>
        <w:t xml:space="preserve"> </w:t>
      </w:r>
      <w:r>
        <w:rPr>
          <w:lang w:val="es-CO"/>
        </w:rPr>
        <w:t>PROEXPORT 2011, Sector Lácteo en Colombia.</w:t>
      </w:r>
    </w:p>
  </w:footnote>
  <w:footnote w:id="7">
    <w:p w:rsidR="00BD066C" w:rsidRPr="00C6000E" w:rsidRDefault="00BD066C" w:rsidP="00BD066C">
      <w:pPr>
        <w:pStyle w:val="Textonotapie"/>
        <w:rPr>
          <w:lang w:val="es-CO"/>
        </w:rPr>
      </w:pPr>
      <w:r>
        <w:rPr>
          <w:rStyle w:val="Refdenotaalpie"/>
        </w:rPr>
        <w:footnoteRef/>
      </w:r>
      <w:r w:rsidRPr="00C6000E">
        <w:rPr>
          <w:lang w:val="es-CO"/>
        </w:rPr>
        <w:t xml:space="preserve"> </w:t>
      </w:r>
      <w:r>
        <w:rPr>
          <w:lang w:val="es-CO"/>
        </w:rPr>
        <w:t>ENA 2010.</w:t>
      </w:r>
    </w:p>
  </w:footnote>
  <w:footnote w:id="8">
    <w:p w:rsidR="00BD066C" w:rsidRPr="00016060" w:rsidRDefault="00BD066C" w:rsidP="00BD066C">
      <w:pPr>
        <w:spacing w:after="120"/>
        <w:jc w:val="both"/>
        <w:rPr>
          <w:sz w:val="15"/>
          <w:szCs w:val="15"/>
          <w:lang w:val="es-CO"/>
        </w:rPr>
      </w:pPr>
      <w:r w:rsidRPr="008D3D0D">
        <w:rPr>
          <w:rStyle w:val="Refdenotaalpie"/>
          <w:sz w:val="15"/>
          <w:szCs w:val="15"/>
        </w:rPr>
        <w:footnoteRef/>
      </w:r>
      <w:r w:rsidRPr="008D3D0D">
        <w:rPr>
          <w:sz w:val="15"/>
          <w:szCs w:val="15"/>
          <w:lang w:val="es-CO"/>
        </w:rPr>
        <w:t xml:space="preserve"> La</w:t>
      </w:r>
      <w:r w:rsidRPr="00016060">
        <w:rPr>
          <w:sz w:val="15"/>
          <w:szCs w:val="15"/>
          <w:lang w:val="es-CO"/>
        </w:rPr>
        <w:t xml:space="preserve"> lechería especializada predomina en los departamentos de Antioquia, Cundinamarca, Boyacá y Nariño y el doble propósito en la Costa Atlántica, seguida en menor medida de Cundinamarca, Antioquia y Boyacá.</w:t>
      </w:r>
    </w:p>
  </w:footnote>
  <w:footnote w:id="9">
    <w:p w:rsidR="00BD066C" w:rsidRPr="009C0C25" w:rsidRDefault="00BD066C" w:rsidP="00BD066C">
      <w:pPr>
        <w:pStyle w:val="Textonotapie"/>
      </w:pPr>
      <w:r>
        <w:rPr>
          <w:rStyle w:val="Refdenotaalpie"/>
        </w:rPr>
        <w:footnoteRef/>
      </w:r>
      <w:r w:rsidRPr="009C0C25">
        <w:rPr>
          <w:lang w:val="es-CO"/>
        </w:rPr>
        <w:t xml:space="preserve"> </w:t>
      </w:r>
      <w:r>
        <w:t>En el Acuerdo de Competitividad de la Cadena Láctea Colombiana de 2010, la cadena se puso como objetivo llegar a 6 litros/vaca/día para 2015. Por tanto, en esa fecha, el nivel de productividad aun distará considerablemente con respecto al de estos países.</w:t>
      </w:r>
    </w:p>
  </w:footnote>
  <w:footnote w:id="10">
    <w:p w:rsidR="00BD066C" w:rsidRPr="003901D9" w:rsidRDefault="00BD066C" w:rsidP="00BD066C">
      <w:pPr>
        <w:pStyle w:val="Textonotapie"/>
        <w:jc w:val="both"/>
      </w:pPr>
      <w:r>
        <w:rPr>
          <w:rStyle w:val="Refdenotaalpie"/>
        </w:rPr>
        <w:footnoteRef/>
      </w:r>
      <w:r w:rsidRPr="003901D9">
        <w:t xml:space="preserve"> </w:t>
      </w:r>
      <w:r>
        <w:t>Re</w:t>
      </w:r>
      <w:r w:rsidRPr="00DA6783">
        <w:t xml:space="preserve">d global de investigadores </w:t>
      </w:r>
      <w:r>
        <w:t>lácteo</w:t>
      </w:r>
      <w:r w:rsidRPr="00DA6783">
        <w:t>s de 90 países donde participan</w:t>
      </w:r>
      <w:r>
        <w:t xml:space="preserve"> más de 85 compa</w:t>
      </w:r>
      <w:r w:rsidRPr="00DA6783">
        <w:t>ñías de la cadena láctea. Sus actividades, procesos e investigaciones son coordinadas por expertos en el Dairy Research Center (DRC)</w:t>
      </w:r>
      <w:r>
        <w:t xml:space="preserve"> Más información en </w:t>
      </w:r>
      <w:hyperlink r:id="rId1" w:history="1">
        <w:r w:rsidRPr="003901D9">
          <w:rPr>
            <w:rStyle w:val="Hipervnculo"/>
          </w:rPr>
          <w:t>www.ifcnnetwork.org</w:t>
        </w:r>
      </w:hyperlink>
    </w:p>
  </w:footnote>
  <w:footnote w:id="11">
    <w:p w:rsidR="009A724B" w:rsidRPr="0004777C" w:rsidRDefault="009A724B" w:rsidP="009A724B">
      <w:pPr>
        <w:jc w:val="both"/>
        <w:rPr>
          <w:sz w:val="15"/>
          <w:szCs w:val="15"/>
          <w:lang w:val="es-ES_tradnl"/>
        </w:rPr>
      </w:pPr>
      <w:r w:rsidRPr="0004777C">
        <w:rPr>
          <w:rStyle w:val="Refdenotaalpie"/>
          <w:sz w:val="15"/>
          <w:szCs w:val="15"/>
        </w:rPr>
        <w:footnoteRef/>
      </w:r>
      <w:r w:rsidRPr="0004777C">
        <w:rPr>
          <w:sz w:val="15"/>
          <w:szCs w:val="15"/>
        </w:rPr>
        <w:t xml:space="preserve"> </w:t>
      </w:r>
      <w:r w:rsidRPr="0004777C">
        <w:rPr>
          <w:i/>
          <w:sz w:val="15"/>
          <w:szCs w:val="15"/>
          <w:lang w:val="es-ES_tradnl"/>
        </w:rPr>
        <w:t>Región 1</w:t>
      </w:r>
      <w:r w:rsidRPr="0004777C">
        <w:rPr>
          <w:sz w:val="15"/>
          <w:szCs w:val="15"/>
          <w:lang w:val="es-ES_tradnl"/>
        </w:rPr>
        <w:t xml:space="preserve">: Cundinamarca, Boyacá, Antioquia, Quindío, Risaralda, Caldas, Nariño, Cauca y Valle del Cauca. </w:t>
      </w:r>
      <w:r w:rsidRPr="0004777C">
        <w:rPr>
          <w:i/>
          <w:sz w:val="15"/>
          <w:szCs w:val="15"/>
          <w:lang w:val="es-ES_tradnl"/>
        </w:rPr>
        <w:t>Región 2</w:t>
      </w:r>
      <w:r w:rsidRPr="0004777C">
        <w:rPr>
          <w:sz w:val="15"/>
          <w:szCs w:val="15"/>
          <w:lang w:val="es-ES_tradnl"/>
        </w:rPr>
        <w:t xml:space="preserve">: Cesar, Guajira, Atlántico, Bolívar, Sucre, Córdoba, Chocó, Magdalena, Norte de Santander, Santander, Caquetá, Tolima, Huila, Meta, Orinoquía y Amazonía. </w:t>
      </w:r>
    </w:p>
    <w:p w:rsidR="009A724B" w:rsidRPr="0004777C" w:rsidRDefault="009A724B" w:rsidP="009A724B">
      <w:pPr>
        <w:pStyle w:val="Textonotapie"/>
        <w:rPr>
          <w:lang w:val="es-ES_tradnl"/>
        </w:rPr>
      </w:pPr>
    </w:p>
  </w:footnote>
  <w:footnote w:id="12">
    <w:p w:rsidR="00E33EE9" w:rsidRPr="001421DA" w:rsidRDefault="00E33EE9" w:rsidP="00E33EE9">
      <w:pPr>
        <w:pStyle w:val="Textonotapie"/>
        <w:rPr>
          <w:lang w:val="es-CO"/>
        </w:rPr>
      </w:pPr>
      <w:r>
        <w:rPr>
          <w:rStyle w:val="Refdenotaalpie"/>
        </w:rPr>
        <w:footnoteRef/>
      </w:r>
      <w:r w:rsidRPr="001421DA">
        <w:rPr>
          <w:lang w:val="es-CO"/>
        </w:rPr>
        <w:t xml:space="preserve"> </w:t>
      </w:r>
      <w:r>
        <w:rPr>
          <w:lang w:val="es-CO"/>
        </w:rPr>
        <w:t>Información obtenida en el proceso de entrevistas.</w:t>
      </w:r>
    </w:p>
  </w:footnote>
  <w:footnote w:id="13">
    <w:p w:rsidR="00E33EE9" w:rsidRPr="002C3725" w:rsidRDefault="00E33EE9" w:rsidP="00E33EE9">
      <w:pPr>
        <w:pStyle w:val="Textonotapie"/>
        <w:rPr>
          <w:lang w:val="es-CO"/>
        </w:rPr>
      </w:pPr>
      <w:r>
        <w:rPr>
          <w:rStyle w:val="Refdenotaalpie"/>
        </w:rPr>
        <w:footnoteRef/>
      </w:r>
      <w:r w:rsidRPr="002C3725">
        <w:rPr>
          <w:lang w:val="es-CO"/>
        </w:rPr>
        <w:t xml:space="preserve"> </w:t>
      </w:r>
      <w:r>
        <w:rPr>
          <w:lang w:val="es-CO"/>
        </w:rPr>
        <w:t>FEDEGAN 2011, “La Ganadería Colombiana y las Cadenas Láctea y Cárnica”.</w:t>
      </w:r>
    </w:p>
  </w:footnote>
  <w:footnote w:id="14">
    <w:p w:rsidR="00E33EE9" w:rsidRDefault="00E33EE9" w:rsidP="00E33EE9">
      <w:pPr>
        <w:pStyle w:val="Textonotapie"/>
      </w:pPr>
      <w:r>
        <w:rPr>
          <w:rStyle w:val="Refdenotaalpie"/>
        </w:rPr>
        <w:footnoteRef/>
      </w:r>
      <w:r>
        <w:t xml:space="preserve"> Para más información sobre la consolidación del hato en dichos países consultar el Producto 1 de Diagnóstico del Sector Lácteo en el Mundo.</w:t>
      </w:r>
    </w:p>
  </w:footnote>
  <w:footnote w:id="15">
    <w:p w:rsidR="00E33EE9" w:rsidRPr="00286284" w:rsidRDefault="00E33EE9" w:rsidP="00E33EE9">
      <w:pPr>
        <w:pStyle w:val="Textonotapie"/>
        <w:rPr>
          <w:lang w:val="es-CO"/>
        </w:rPr>
      </w:pPr>
      <w:r>
        <w:rPr>
          <w:rStyle w:val="Refdenotaalpie"/>
        </w:rPr>
        <w:footnoteRef/>
      </w:r>
      <w:r w:rsidRPr="00286284">
        <w:rPr>
          <w:lang w:val="es-CO"/>
        </w:rPr>
        <w:t xml:space="preserve"> </w:t>
      </w:r>
      <w:r>
        <w:rPr>
          <w:lang w:val="es-CO"/>
        </w:rPr>
        <w:t>Para más información sobre el desempeño de estos hatos lecheros en Chile consultar el Producto 1.</w:t>
      </w:r>
    </w:p>
  </w:footnote>
  <w:footnote w:id="16">
    <w:p w:rsidR="00D16379" w:rsidRPr="00BF6403" w:rsidRDefault="00D16379" w:rsidP="00D16379">
      <w:pPr>
        <w:pStyle w:val="Textonotapie"/>
        <w:rPr>
          <w:lang w:val="es-ES_tradnl"/>
        </w:rPr>
      </w:pPr>
      <w:r>
        <w:rPr>
          <w:rStyle w:val="Refdenotaalpie"/>
        </w:rPr>
        <w:footnoteRef/>
      </w:r>
      <w:r>
        <w:rPr>
          <w:lang w:val="es-ES_tradnl"/>
        </w:rPr>
        <w:t xml:space="preserve">Finca Consolidado ASEL – Año 2012 </w:t>
      </w:r>
    </w:p>
  </w:footnote>
  <w:footnote w:id="17">
    <w:p w:rsidR="00D16379" w:rsidRPr="00265002" w:rsidRDefault="00D16379" w:rsidP="00D16379">
      <w:pPr>
        <w:pStyle w:val="Textonotapie"/>
        <w:rPr>
          <w:lang w:val="es-ES_tradnl"/>
        </w:rPr>
      </w:pPr>
      <w:r>
        <w:rPr>
          <w:rStyle w:val="Refdenotaalpie"/>
        </w:rPr>
        <w:footnoteRef/>
      </w:r>
      <w:r>
        <w:rPr>
          <w:lang w:val="es-ES_tradnl"/>
        </w:rPr>
        <w:t>Finca Consolidado ASEL – Año 2012</w:t>
      </w:r>
    </w:p>
  </w:footnote>
  <w:footnote w:id="18">
    <w:p w:rsidR="008F64AD" w:rsidRPr="00AB6D3A" w:rsidRDefault="008F64AD" w:rsidP="008F64AD">
      <w:pPr>
        <w:pStyle w:val="Textonotapie"/>
        <w:rPr>
          <w:lang w:val="es-ES_tradnl"/>
        </w:rPr>
      </w:pPr>
      <w:r>
        <w:rPr>
          <w:rStyle w:val="Refdenotaalpie"/>
        </w:rPr>
        <w:footnoteRef/>
      </w:r>
      <w:r>
        <w:t xml:space="preserve"> Banco Mundial </w:t>
      </w:r>
      <w:r w:rsidRPr="00AB6D3A">
        <w:t>http://datos.bancomundial.org/indicador/EA.PRD.AGRI.KD/countries/1W?display=default</w:t>
      </w:r>
    </w:p>
  </w:footnote>
  <w:footnote w:id="19">
    <w:p w:rsidR="008D5EA9" w:rsidRPr="00EC79E1" w:rsidRDefault="008D5EA9" w:rsidP="008D5EA9">
      <w:pPr>
        <w:pStyle w:val="Textonotapie"/>
        <w:rPr>
          <w:lang w:val="es-CO"/>
        </w:rPr>
      </w:pPr>
      <w:r>
        <w:rPr>
          <w:rStyle w:val="Refdenotaalpie"/>
        </w:rPr>
        <w:footnoteRef/>
      </w:r>
      <w:r w:rsidRPr="00EC79E1">
        <w:rPr>
          <w:lang w:val="es-CO"/>
        </w:rPr>
        <w:t xml:space="preserve"> </w:t>
      </w:r>
      <w:r>
        <w:rPr>
          <w:lang w:val="es-CO"/>
        </w:rPr>
        <w:t>Gráfico, FEDEGAN 2011.</w:t>
      </w:r>
    </w:p>
  </w:footnote>
  <w:footnote w:id="20">
    <w:p w:rsidR="008D5EA9" w:rsidRPr="00010A64" w:rsidRDefault="008D5EA9" w:rsidP="008D5EA9">
      <w:pPr>
        <w:pStyle w:val="Textonotapie"/>
        <w:rPr>
          <w:lang w:val="es-CO"/>
        </w:rPr>
      </w:pPr>
      <w:r>
        <w:rPr>
          <w:rStyle w:val="Refdenotaalpie"/>
        </w:rPr>
        <w:footnoteRef/>
      </w:r>
      <w:r w:rsidRPr="00010A64">
        <w:rPr>
          <w:lang w:val="es-CO"/>
        </w:rPr>
        <w:t xml:space="preserve"> </w:t>
      </w:r>
      <w:r>
        <w:rPr>
          <w:lang w:val="es-CO"/>
        </w:rPr>
        <w:t>Para más información sobre el eslabón de procesamiento chileno, consultar el caso Chile en el Producto 1.</w:t>
      </w:r>
    </w:p>
  </w:footnote>
  <w:footnote w:id="21">
    <w:p w:rsidR="008D5EA9" w:rsidRPr="00210523" w:rsidRDefault="008D5EA9" w:rsidP="008D5EA9">
      <w:pPr>
        <w:pStyle w:val="Textonotapie"/>
        <w:rPr>
          <w:lang w:val="es-CO"/>
        </w:rPr>
      </w:pPr>
      <w:r>
        <w:rPr>
          <w:rStyle w:val="Refdenotaalpie"/>
        </w:rPr>
        <w:footnoteRef/>
      </w:r>
      <w:r w:rsidRPr="00210523">
        <w:rPr>
          <w:lang w:val="es-CO"/>
        </w:rPr>
        <w:t xml:space="preserve"> </w:t>
      </w:r>
      <w:r>
        <w:rPr>
          <w:lang w:val="es-CO"/>
        </w:rPr>
        <w:t>Información obtenida en el proceso de entrevistas.</w:t>
      </w:r>
    </w:p>
  </w:footnote>
  <w:footnote w:id="22">
    <w:p w:rsidR="008D5EA9" w:rsidRPr="00E214DB" w:rsidRDefault="008D5EA9" w:rsidP="008D5EA9">
      <w:pPr>
        <w:pStyle w:val="Textonotapie"/>
        <w:rPr>
          <w:lang w:val="es-ES_tradnl"/>
        </w:rPr>
      </w:pPr>
      <w:r>
        <w:rPr>
          <w:rStyle w:val="Refdenotaalpie"/>
        </w:rPr>
        <w:footnoteRef/>
      </w:r>
      <w:r w:rsidRPr="00E214DB">
        <w:rPr>
          <w:lang w:val="es-CO"/>
        </w:rPr>
        <w:t>USP. Reporte agentes compradores de leche cruda</w:t>
      </w:r>
    </w:p>
  </w:footnote>
  <w:footnote w:id="23">
    <w:p w:rsidR="008D5EA9" w:rsidRPr="003D540D" w:rsidRDefault="008D5EA9" w:rsidP="008D5EA9">
      <w:pPr>
        <w:pStyle w:val="Textonotapie"/>
        <w:rPr>
          <w:lang w:val="es-CO"/>
        </w:rPr>
      </w:pPr>
      <w:r>
        <w:rPr>
          <w:rStyle w:val="Refdenotaalpie"/>
        </w:rPr>
        <w:footnoteRef/>
      </w:r>
      <w:r w:rsidRPr="003D540D">
        <w:rPr>
          <w:lang w:val="es-CO"/>
        </w:rPr>
        <w:t xml:space="preserve"> </w:t>
      </w:r>
      <w:r>
        <w:rPr>
          <w:lang w:val="es-CO"/>
        </w:rPr>
        <w:t>Propuesta de Valor Cadena Láctea Colombiana, Consejo Nacional Lácteo 2011.</w:t>
      </w:r>
    </w:p>
  </w:footnote>
  <w:footnote w:id="24">
    <w:p w:rsidR="008D5EA9" w:rsidRDefault="008D5EA9" w:rsidP="008D5EA9">
      <w:pPr>
        <w:pStyle w:val="Textonotapie"/>
      </w:pPr>
      <w:r>
        <w:rPr>
          <w:rStyle w:val="Refdenotaalpie"/>
        </w:rPr>
        <w:footnoteRef/>
      </w:r>
      <w:r>
        <w:t xml:space="preserve"> Cabe resaltar que este 16% puede ser una cifra menor si consideramos que las cooperativas en Colombia también reciben leche de proveedores no asociados.</w:t>
      </w:r>
    </w:p>
  </w:footnote>
  <w:footnote w:id="25">
    <w:p w:rsidR="008D5EA9" w:rsidRPr="00BA2E75" w:rsidRDefault="008D5EA9" w:rsidP="008D5EA9">
      <w:pPr>
        <w:pStyle w:val="Textonotapie"/>
        <w:rPr>
          <w:lang w:val="es-CO"/>
        </w:rPr>
      </w:pPr>
      <w:r>
        <w:rPr>
          <w:rStyle w:val="Refdenotaalpie"/>
        </w:rPr>
        <w:footnoteRef/>
      </w:r>
      <w:r w:rsidRPr="00BA2E75">
        <w:rPr>
          <w:lang w:val="es-CO"/>
        </w:rPr>
        <w:t xml:space="preserve"> </w:t>
      </w:r>
      <w:r>
        <w:rPr>
          <w:lang w:val="es-CO"/>
        </w:rPr>
        <w:t>Gráfico: Oficina de Planeación de FEDEGAN.</w:t>
      </w:r>
    </w:p>
  </w:footnote>
  <w:footnote w:id="26">
    <w:p w:rsidR="008D5EA9" w:rsidRPr="00B62CFA" w:rsidRDefault="008D5EA9" w:rsidP="008D5EA9">
      <w:pPr>
        <w:pStyle w:val="Textonotapie"/>
        <w:rPr>
          <w:lang w:val="es-CO"/>
        </w:rPr>
      </w:pPr>
      <w:r>
        <w:rPr>
          <w:rStyle w:val="Refdenotaalpie"/>
        </w:rPr>
        <w:footnoteRef/>
      </w:r>
      <w:r w:rsidRPr="00721F76">
        <w:rPr>
          <w:lang w:val="es-CO"/>
        </w:rPr>
        <w:t xml:space="preserve"> </w:t>
      </w:r>
      <w:r>
        <w:rPr>
          <w:lang w:val="es-CO"/>
        </w:rPr>
        <w:t>Líderes en Productos Lácteos 2007-2011. Ranking de La Nota.com.</w:t>
      </w:r>
    </w:p>
    <w:p w:rsidR="008D5EA9" w:rsidRPr="00721F76" w:rsidRDefault="008D5EA9" w:rsidP="008D5EA9">
      <w:pPr>
        <w:pStyle w:val="Textonotapie"/>
        <w:rPr>
          <w:lang w:val="es-CO"/>
        </w:rPr>
      </w:pPr>
    </w:p>
  </w:footnote>
  <w:footnote w:id="27">
    <w:p w:rsidR="008D5EA9" w:rsidRPr="00936611" w:rsidRDefault="008D5EA9" w:rsidP="008D5EA9">
      <w:pPr>
        <w:pStyle w:val="Default"/>
        <w:rPr>
          <w:sz w:val="16"/>
          <w:szCs w:val="16"/>
          <w:lang w:val="es-CO" w:eastAsia="es-ES"/>
        </w:rPr>
      </w:pPr>
      <w:r w:rsidRPr="00DB1D42">
        <w:rPr>
          <w:rStyle w:val="Refdenotaalpie"/>
          <w:sz w:val="16"/>
          <w:szCs w:val="16"/>
        </w:rPr>
        <w:footnoteRef/>
      </w:r>
      <w:r w:rsidRPr="00936611">
        <w:rPr>
          <w:bCs/>
          <w:sz w:val="15"/>
          <w:szCs w:val="15"/>
          <w:lang w:val="es-CO"/>
        </w:rPr>
        <w:t>ALPINA BACKGROUNDER.PDF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82694"/>
    <w:multiLevelType w:val="hybridMultilevel"/>
    <w:tmpl w:val="608C3E4E"/>
    <w:lvl w:ilvl="0" w:tplc="93941240">
      <w:start w:val="1"/>
      <w:numFmt w:val="decimal"/>
      <w:pStyle w:val="Ttulo1"/>
      <w:lvlText w:val="%1."/>
      <w:lvlJc w:val="left"/>
      <w:pPr>
        <w:tabs>
          <w:tab w:val="num" w:pos="720"/>
        </w:tabs>
        <w:ind w:left="720" w:hanging="360"/>
      </w:pPr>
    </w:lvl>
    <w:lvl w:ilvl="1" w:tplc="354C0414">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6A267F67"/>
    <w:multiLevelType w:val="hybridMultilevel"/>
    <w:tmpl w:val="D1BCDA9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066C"/>
    <w:rsid w:val="00017B99"/>
    <w:rsid w:val="001C55E0"/>
    <w:rsid w:val="001D5A10"/>
    <w:rsid w:val="001E71B7"/>
    <w:rsid w:val="002B598D"/>
    <w:rsid w:val="0037652D"/>
    <w:rsid w:val="005F578F"/>
    <w:rsid w:val="00644FBC"/>
    <w:rsid w:val="00731A24"/>
    <w:rsid w:val="007B1DB1"/>
    <w:rsid w:val="0088762F"/>
    <w:rsid w:val="0089503C"/>
    <w:rsid w:val="008C691C"/>
    <w:rsid w:val="008D5EA9"/>
    <w:rsid w:val="008F64AD"/>
    <w:rsid w:val="009919AB"/>
    <w:rsid w:val="009A724B"/>
    <w:rsid w:val="009B3708"/>
    <w:rsid w:val="009E2F1D"/>
    <w:rsid w:val="00B05E8A"/>
    <w:rsid w:val="00B54FEA"/>
    <w:rsid w:val="00BD066C"/>
    <w:rsid w:val="00BF3813"/>
    <w:rsid w:val="00C70932"/>
    <w:rsid w:val="00D15A53"/>
    <w:rsid w:val="00D16379"/>
    <w:rsid w:val="00D95D5A"/>
    <w:rsid w:val="00E33EE9"/>
    <w:rsid w:val="00E45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66C"/>
    <w:pPr>
      <w:spacing w:after="240" w:line="300" w:lineRule="atLeast"/>
    </w:pPr>
    <w:rPr>
      <w:rFonts w:ascii="Arial" w:eastAsia="Times New Roman" w:hAnsi="Arial"/>
      <w:spacing w:val="5"/>
      <w:sz w:val="22"/>
      <w:szCs w:val="24"/>
      <w:lang w:val="es-ES" w:eastAsia="es-ES"/>
    </w:rPr>
  </w:style>
  <w:style w:type="paragraph" w:styleId="Ttulo1">
    <w:name w:val="heading 1"/>
    <w:aliases w:val="chapter heading"/>
    <w:basedOn w:val="Normal"/>
    <w:next w:val="Normal"/>
    <w:link w:val="Ttulo1Car"/>
    <w:qFormat/>
    <w:rsid w:val="00BD066C"/>
    <w:pPr>
      <w:keepNext/>
      <w:pageBreakBefore/>
      <w:numPr>
        <w:numId w:val="1"/>
      </w:numPr>
      <w:tabs>
        <w:tab w:val="clear" w:pos="720"/>
        <w:tab w:val="num" w:pos="0"/>
      </w:tabs>
      <w:spacing w:after="400"/>
      <w:ind w:left="0" w:hanging="1134"/>
      <w:outlineLvl w:val="0"/>
    </w:pPr>
    <w:rPr>
      <w:rFonts w:cs="Arial"/>
      <w:b/>
      <w:color w:val="4FBA00"/>
      <w:kern w:val="32"/>
      <w:sz w:val="36"/>
      <w:szCs w:val="32"/>
    </w:rPr>
  </w:style>
  <w:style w:type="paragraph" w:styleId="Ttulo2">
    <w:name w:val="heading 2"/>
    <w:basedOn w:val="Normal"/>
    <w:next w:val="Normal"/>
    <w:link w:val="Ttulo2Car"/>
    <w:qFormat/>
    <w:rsid w:val="00BD066C"/>
    <w:pPr>
      <w:keepNext/>
      <w:spacing w:before="360" w:after="120"/>
      <w:outlineLvl w:val="1"/>
    </w:pPr>
    <w:rPr>
      <w:rFonts w:cs="Arial"/>
      <w:b/>
      <w:iCs/>
      <w:sz w:val="26"/>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hapter heading Car"/>
    <w:basedOn w:val="Fuentedeprrafopredeter"/>
    <w:link w:val="Ttulo1"/>
    <w:rsid w:val="00BD066C"/>
    <w:rPr>
      <w:rFonts w:ascii="Arial" w:eastAsia="Times New Roman" w:hAnsi="Arial" w:cs="Arial"/>
      <w:b/>
      <w:color w:val="4FBA00"/>
      <w:spacing w:val="5"/>
      <w:kern w:val="32"/>
      <w:sz w:val="36"/>
      <w:szCs w:val="32"/>
      <w:lang w:val="es-ES" w:eastAsia="es-ES"/>
    </w:rPr>
  </w:style>
  <w:style w:type="character" w:customStyle="1" w:styleId="Ttulo2Car">
    <w:name w:val="Título 2 Car"/>
    <w:basedOn w:val="Fuentedeprrafopredeter"/>
    <w:link w:val="Ttulo2"/>
    <w:rsid w:val="00BD066C"/>
    <w:rPr>
      <w:rFonts w:ascii="Arial" w:eastAsia="Times New Roman" w:hAnsi="Arial" w:cs="Arial"/>
      <w:b/>
      <w:iCs/>
      <w:spacing w:val="5"/>
      <w:sz w:val="26"/>
      <w:szCs w:val="28"/>
      <w:lang w:val="es-ES" w:eastAsia="es-ES"/>
    </w:rPr>
  </w:style>
  <w:style w:type="character" w:styleId="Hipervnculo">
    <w:name w:val="Hyperlink"/>
    <w:basedOn w:val="Fuentedeprrafopredeter"/>
    <w:uiPriority w:val="99"/>
    <w:rsid w:val="00BD066C"/>
    <w:rPr>
      <w:color w:val="0000FF"/>
      <w:u w:val="single"/>
    </w:rPr>
  </w:style>
  <w:style w:type="paragraph" w:styleId="Epgrafe">
    <w:name w:val="caption"/>
    <w:basedOn w:val="Normal"/>
    <w:next w:val="Normal"/>
    <w:qFormat/>
    <w:rsid w:val="00BD066C"/>
    <w:pPr>
      <w:spacing w:before="120" w:after="120"/>
    </w:pPr>
    <w:rPr>
      <w:rFonts w:cs="Arial"/>
      <w:b/>
      <w:bCs/>
      <w:sz w:val="16"/>
      <w:szCs w:val="20"/>
    </w:rPr>
  </w:style>
  <w:style w:type="paragraph" w:styleId="Textonotapie">
    <w:name w:val="footnote text"/>
    <w:basedOn w:val="Normal"/>
    <w:link w:val="TextonotapieCar"/>
    <w:uiPriority w:val="99"/>
    <w:rsid w:val="00BD066C"/>
    <w:pPr>
      <w:spacing w:after="0"/>
    </w:pPr>
    <w:rPr>
      <w:sz w:val="15"/>
      <w:szCs w:val="20"/>
    </w:rPr>
  </w:style>
  <w:style w:type="character" w:customStyle="1" w:styleId="TextonotapieCar">
    <w:name w:val="Texto nota pie Car"/>
    <w:basedOn w:val="Fuentedeprrafopredeter"/>
    <w:link w:val="Textonotapie"/>
    <w:uiPriority w:val="99"/>
    <w:rsid w:val="00BD066C"/>
    <w:rPr>
      <w:rFonts w:ascii="Arial" w:eastAsia="Times New Roman" w:hAnsi="Arial" w:cs="Times New Roman"/>
      <w:spacing w:val="5"/>
      <w:sz w:val="15"/>
      <w:szCs w:val="20"/>
      <w:lang w:val="es-ES" w:eastAsia="es-ES"/>
    </w:rPr>
  </w:style>
  <w:style w:type="character" w:styleId="Refdenotaalpie">
    <w:name w:val="footnote reference"/>
    <w:basedOn w:val="Fuentedeprrafopredeter"/>
    <w:uiPriority w:val="99"/>
    <w:unhideWhenUsed/>
    <w:rsid w:val="00BD066C"/>
    <w:rPr>
      <w:vertAlign w:val="superscript"/>
    </w:rPr>
  </w:style>
  <w:style w:type="paragraph" w:styleId="Textodeglobo">
    <w:name w:val="Balloon Text"/>
    <w:basedOn w:val="Normal"/>
    <w:link w:val="TextodegloboCar"/>
    <w:uiPriority w:val="99"/>
    <w:semiHidden/>
    <w:unhideWhenUsed/>
    <w:rsid w:val="00BD06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66C"/>
    <w:rPr>
      <w:rFonts w:ascii="Tahoma" w:eastAsia="Times New Roman" w:hAnsi="Tahoma" w:cs="Tahoma"/>
      <w:spacing w:val="5"/>
      <w:sz w:val="16"/>
      <w:szCs w:val="16"/>
      <w:lang w:val="es-ES" w:eastAsia="es-ES"/>
    </w:rPr>
  </w:style>
  <w:style w:type="paragraph" w:styleId="Encabezado">
    <w:name w:val="header"/>
    <w:basedOn w:val="Normal"/>
    <w:link w:val="EncabezadoCar"/>
    <w:uiPriority w:val="99"/>
    <w:semiHidden/>
    <w:unhideWhenUsed/>
    <w:rsid w:val="00BD06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D066C"/>
    <w:rPr>
      <w:rFonts w:ascii="Arial" w:eastAsia="Times New Roman" w:hAnsi="Arial" w:cs="Times New Roman"/>
      <w:spacing w:val="5"/>
      <w:szCs w:val="24"/>
      <w:lang w:val="es-ES" w:eastAsia="es-ES"/>
    </w:rPr>
  </w:style>
  <w:style w:type="paragraph" w:styleId="Piedepgina">
    <w:name w:val="footer"/>
    <w:basedOn w:val="Normal"/>
    <w:link w:val="PiedepginaCar"/>
    <w:uiPriority w:val="99"/>
    <w:unhideWhenUsed/>
    <w:rsid w:val="00BD06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066C"/>
    <w:rPr>
      <w:rFonts w:ascii="Arial" w:eastAsia="Times New Roman" w:hAnsi="Arial" w:cs="Times New Roman"/>
      <w:spacing w:val="5"/>
      <w:szCs w:val="24"/>
      <w:lang w:val="es-ES" w:eastAsia="es-ES"/>
    </w:rPr>
  </w:style>
  <w:style w:type="paragraph" w:customStyle="1" w:styleId="Default">
    <w:name w:val="Default"/>
    <w:rsid w:val="008D5EA9"/>
    <w:pPr>
      <w:autoSpaceDE w:val="0"/>
      <w:autoSpaceDN w:val="0"/>
      <w:adjustRightInd w:val="0"/>
    </w:pPr>
    <w:rPr>
      <w:rFonts w:ascii="Arial" w:eastAsia="Times New Roman" w:hAnsi="Arial" w:cs="Arial"/>
      <w:color w:val="000000"/>
      <w:sz w:val="24"/>
      <w:szCs w:val="24"/>
      <w:lang w:val="es-MX" w:eastAsia="es-MX"/>
    </w:rPr>
  </w:style>
  <w:style w:type="table" w:styleId="Cuadrculamedia2-nfasis3">
    <w:name w:val="Medium Grid 2 Accent 3"/>
    <w:basedOn w:val="Tablanormal"/>
    <w:uiPriority w:val="68"/>
    <w:rsid w:val="008D5EA9"/>
    <w:rPr>
      <w:rFonts w:asciiTheme="majorHAnsi" w:eastAsiaTheme="majorEastAsia" w:hAnsiTheme="majorHAnsi" w:cstheme="majorBidi"/>
      <w:color w:val="000000" w:themeColor="text1"/>
      <w:sz w:val="22"/>
      <w:szCs w:val="22"/>
      <w:lang w:val="en-US"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Prrafodelista">
    <w:name w:val="List Paragraph"/>
    <w:basedOn w:val="Normal"/>
    <w:uiPriority w:val="34"/>
    <w:qFormat/>
    <w:rsid w:val="00C709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4.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chart" Target="charts/chart2.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fcnnetwork.or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Macintosh%20HD:Users:danieldelacuesta:Library:Containers:com.apple.mail:Data:Library:Mail%20Downloads:Calidades%20cuatro%20Regiones-Resoluci&#243;n%20201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danieldelacuesta:Library:Containers:com.apple.mail:Data:Library:Mail%20Downloads:Calidades%20-%20Res%200017%20de%20201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danieldelacuesta:Library:Containers:com.apple.mail:Data:Library:Mail%20Downloads:Calidades%20-%20Res%200017%20de%20201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6"/>
  <c:chart>
    <c:autoTitleDeleted val="1"/>
    <c:plotArea>
      <c:layout/>
      <c:barChart>
        <c:barDir val="col"/>
        <c:grouping val="clustered"/>
        <c:ser>
          <c:idx val="0"/>
          <c:order val="0"/>
          <c:tx>
            <c:strRef>
              <c:f>'Calidades Nacional y Regional'!$AZ$24</c:f>
              <c:strCache>
                <c:ptCount val="1"/>
                <c:pt idx="0">
                  <c:v>Proteína</c:v>
                </c:pt>
              </c:strCache>
            </c:strRef>
          </c:tx>
          <c:spPr>
            <a:solidFill>
              <a:srgbClr val="E46C0A"/>
            </a:solidFill>
            <a:ln w="25400">
              <a:noFill/>
            </a:ln>
            <a:effectLst>
              <a:outerShdw dist="35921" dir="2700000" algn="br">
                <a:srgbClr val="000000"/>
              </a:outerShdw>
            </a:effectLst>
          </c:spPr>
          <c:dLbls>
            <c:dLbl>
              <c:idx val="0"/>
              <c:layout>
                <c:manualLayout>
                  <c:x val="-2.7777777777777887E-3"/>
                  <c:y val="-4.1666666666666713E-2"/>
                </c:manualLayout>
              </c:layout>
              <c:dLblPos val="outEnd"/>
              <c:showVal val="1"/>
            </c:dLbl>
            <c:dLbl>
              <c:idx val="1"/>
              <c:layout>
                <c:manualLayout>
                  <c:x val="-1.1111111111111105E-2"/>
                  <c:y val="-6.9444444444444461E-2"/>
                </c:manualLayout>
              </c:layout>
              <c:dLblPos val="outEnd"/>
              <c:showVal val="1"/>
            </c:dLbl>
            <c:dLbl>
              <c:idx val="2"/>
              <c:layout>
                <c:manualLayout>
                  <c:x val="5.5555555555555462E-3"/>
                  <c:y val="-3.2407407407407454E-2"/>
                </c:manualLayout>
              </c:layout>
              <c:dLblPos val="outEnd"/>
              <c:showVal val="1"/>
            </c:dLbl>
            <c:dLbl>
              <c:idx val="3"/>
              <c:layout>
                <c:manualLayout>
                  <c:x val="-8.3333333333333523E-3"/>
                  <c:y val="-2.7777777777777877E-2"/>
                </c:manualLayout>
              </c:layout>
              <c:dLblPos val="outEnd"/>
              <c:showVal val="1"/>
            </c:dLbl>
            <c:spPr>
              <a:noFill/>
              <a:ln w="25400">
                <a:noFill/>
              </a:ln>
            </c:spPr>
            <c:txPr>
              <a:bodyPr/>
              <a:lstStyle/>
              <a:p>
                <a:pPr>
                  <a:defRPr lang="en-US"/>
                </a:pPr>
                <a:endParaRPr lang="en-US"/>
              </a:p>
            </c:txPr>
            <c:dLblPos val="outEnd"/>
            <c:showVal val="1"/>
          </c:dLbls>
          <c:cat>
            <c:numRef>
              <c:f>'Calidades Nacional y Regional'!$BA$2:$BD$2</c:f>
              <c:numCache>
                <c:formatCode>General</c:formatCode>
                <c:ptCount val="4"/>
                <c:pt idx="0">
                  <c:v>2008</c:v>
                </c:pt>
                <c:pt idx="1">
                  <c:v>2009</c:v>
                </c:pt>
                <c:pt idx="2">
                  <c:v>2010</c:v>
                </c:pt>
                <c:pt idx="3">
                  <c:v>2011</c:v>
                </c:pt>
              </c:numCache>
            </c:numRef>
          </c:cat>
          <c:val>
            <c:numRef>
              <c:f>'Calidades Nacional y Regional'!$BA$24:$BD$24</c:f>
              <c:numCache>
                <c:formatCode>0.00</c:formatCode>
                <c:ptCount val="4"/>
                <c:pt idx="0">
                  <c:v>3.116815406623032</c:v>
                </c:pt>
                <c:pt idx="1">
                  <c:v>3.0713882769680003</c:v>
                </c:pt>
                <c:pt idx="2">
                  <c:v>3.121867039253206</c:v>
                </c:pt>
                <c:pt idx="3">
                  <c:v>3.1535482683112601</c:v>
                </c:pt>
              </c:numCache>
            </c:numRef>
          </c:val>
        </c:ser>
        <c:ser>
          <c:idx val="1"/>
          <c:order val="1"/>
          <c:tx>
            <c:strRef>
              <c:f>'Calidades Nacional y Regional'!$AZ$25</c:f>
              <c:strCache>
                <c:ptCount val="1"/>
                <c:pt idx="0">
                  <c:v>Grasa</c:v>
                </c:pt>
              </c:strCache>
            </c:strRef>
          </c:tx>
          <c:spPr>
            <a:solidFill>
              <a:srgbClr val="FFC000"/>
            </a:solidFill>
            <a:ln w="25400">
              <a:noFill/>
            </a:ln>
            <a:effectLst>
              <a:outerShdw dist="35921" dir="2700000" algn="br">
                <a:srgbClr val="000000"/>
              </a:outerShdw>
            </a:effectLst>
          </c:spPr>
          <c:dLbls>
            <c:dLbl>
              <c:idx val="0"/>
              <c:layout>
                <c:manualLayout>
                  <c:x val="2.7777777777777683E-3"/>
                  <c:y val="1.3888888888888928E-2"/>
                </c:manualLayout>
              </c:layout>
              <c:dLblPos val="outEnd"/>
              <c:showVal val="1"/>
            </c:dLbl>
            <c:dLbl>
              <c:idx val="1"/>
              <c:layout>
                <c:manualLayout>
                  <c:x val="0"/>
                  <c:y val="4.6296296296296389E-3"/>
                </c:manualLayout>
              </c:layout>
              <c:dLblPos val="outEnd"/>
              <c:showVal val="1"/>
            </c:dLbl>
            <c:dLbl>
              <c:idx val="2"/>
              <c:layout>
                <c:manualLayout>
                  <c:x val="0"/>
                  <c:y val="4.6296296296296389E-3"/>
                </c:manualLayout>
              </c:layout>
              <c:dLblPos val="outEnd"/>
              <c:showVal val="1"/>
            </c:dLbl>
            <c:dLbl>
              <c:idx val="3"/>
              <c:layout>
                <c:manualLayout>
                  <c:x val="-1.0185067526416056E-16"/>
                  <c:y val="1.3888888888888928E-2"/>
                </c:manualLayout>
              </c:layout>
              <c:dLblPos val="outEnd"/>
              <c:showVal val="1"/>
            </c:dLbl>
            <c:spPr>
              <a:noFill/>
              <a:ln w="25400">
                <a:noFill/>
              </a:ln>
            </c:spPr>
            <c:txPr>
              <a:bodyPr/>
              <a:lstStyle/>
              <a:p>
                <a:pPr>
                  <a:defRPr lang="en-US"/>
                </a:pPr>
                <a:endParaRPr lang="en-US"/>
              </a:p>
            </c:txPr>
            <c:dLblPos val="outEnd"/>
            <c:showVal val="1"/>
          </c:dLbls>
          <c:cat>
            <c:numRef>
              <c:f>'Calidades Nacional y Regional'!$BA$2:$BD$2</c:f>
              <c:numCache>
                <c:formatCode>General</c:formatCode>
                <c:ptCount val="4"/>
                <c:pt idx="0">
                  <c:v>2008</c:v>
                </c:pt>
                <c:pt idx="1">
                  <c:v>2009</c:v>
                </c:pt>
                <c:pt idx="2">
                  <c:v>2010</c:v>
                </c:pt>
                <c:pt idx="3">
                  <c:v>2011</c:v>
                </c:pt>
              </c:numCache>
            </c:numRef>
          </c:cat>
          <c:val>
            <c:numRef>
              <c:f>'Calidades Nacional y Regional'!$BA$25:$BD$25</c:f>
              <c:numCache>
                <c:formatCode>0.00</c:formatCode>
                <c:ptCount val="4"/>
                <c:pt idx="0">
                  <c:v>3.6801643097889136</c:v>
                </c:pt>
                <c:pt idx="1">
                  <c:v>3.6212762952091437</c:v>
                </c:pt>
                <c:pt idx="2">
                  <c:v>3.6199857796987587</c:v>
                </c:pt>
                <c:pt idx="3">
                  <c:v>3.6747746036035469</c:v>
                </c:pt>
              </c:numCache>
            </c:numRef>
          </c:val>
        </c:ser>
        <c:dLbls>
          <c:showVal val="1"/>
        </c:dLbls>
        <c:axId val="129848064"/>
        <c:axId val="129849600"/>
      </c:barChart>
      <c:catAx>
        <c:axId val="129848064"/>
        <c:scaling>
          <c:orientation val="minMax"/>
        </c:scaling>
        <c:axPos val="b"/>
        <c:majorGridlines>
          <c:spPr>
            <a:ln w="3175">
              <a:solidFill>
                <a:srgbClr val="808080"/>
              </a:solidFill>
              <a:prstDash val="solid"/>
            </a:ln>
          </c:spPr>
        </c:majorGridlines>
        <c:numFmt formatCode="General" sourceLinked="1"/>
        <c:majorTickMark val="none"/>
        <c:tickLblPos val="nextTo"/>
        <c:spPr>
          <a:ln w="3175">
            <a:solidFill>
              <a:srgbClr val="808080"/>
            </a:solidFill>
            <a:prstDash val="solid"/>
          </a:ln>
        </c:spPr>
        <c:txPr>
          <a:bodyPr/>
          <a:lstStyle/>
          <a:p>
            <a:pPr>
              <a:defRPr lang="en-US"/>
            </a:pPr>
            <a:endParaRPr lang="en-US"/>
          </a:p>
        </c:txPr>
        <c:crossAx val="129849600"/>
        <c:crosses val="autoZero"/>
        <c:auto val="1"/>
        <c:lblAlgn val="ctr"/>
        <c:lblOffset val="100"/>
      </c:catAx>
      <c:valAx>
        <c:axId val="129849600"/>
        <c:scaling>
          <c:orientation val="minMax"/>
        </c:scaling>
        <c:axPos val="l"/>
        <c:majorGridlines>
          <c:spPr>
            <a:ln w="3175">
              <a:solidFill>
                <a:srgbClr val="808080"/>
              </a:solidFill>
              <a:prstDash val="solid"/>
            </a:ln>
          </c:spPr>
        </c:majorGridlines>
        <c:numFmt formatCode="0.00" sourceLinked="1"/>
        <c:majorTickMark val="none"/>
        <c:tickLblPos val="nextTo"/>
        <c:spPr>
          <a:ln w="3175">
            <a:solidFill>
              <a:srgbClr val="808080"/>
            </a:solidFill>
            <a:prstDash val="solid"/>
          </a:ln>
        </c:spPr>
        <c:txPr>
          <a:bodyPr/>
          <a:lstStyle/>
          <a:p>
            <a:pPr>
              <a:defRPr lang="en-US"/>
            </a:pPr>
            <a:endParaRPr lang="en-US"/>
          </a:p>
        </c:txPr>
        <c:crossAx val="129848064"/>
        <c:crosses val="autoZero"/>
        <c:crossBetween val="between"/>
      </c:valAx>
      <c:spPr>
        <a:solidFill>
          <a:srgbClr val="FFFFFF"/>
        </a:solidFill>
        <a:ln w="25400">
          <a:noFill/>
        </a:ln>
      </c:spPr>
    </c:plotArea>
    <c:legend>
      <c:legendPos val="l"/>
      <c:spPr>
        <a:noFill/>
        <a:ln w="25400">
          <a:noFill/>
        </a:ln>
      </c:spPr>
      <c:txPr>
        <a:bodyPr/>
        <a:lstStyle/>
        <a:p>
          <a:pPr>
            <a:defRPr lang="en-US"/>
          </a:pPr>
          <a:endParaRPr lang="en-US"/>
        </a:p>
      </c:txPr>
    </c:legend>
    <c:plotVisOnly val="1"/>
    <c:dispBlanksAs val="gap"/>
  </c:chart>
  <c:spPr>
    <a:solidFill>
      <a:srgbClr val="FFFFFF"/>
    </a:solidFill>
    <a:ln w="3175">
      <a:solidFill>
        <a:srgbClr val="808080"/>
      </a:solidFill>
      <a:prstDash val="solid"/>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lineChart>
        <c:grouping val="standard"/>
        <c:ser>
          <c:idx val="0"/>
          <c:order val="0"/>
          <c:tx>
            <c:v>Grasa Region 1</c:v>
          </c:tx>
          <c:marker>
            <c:symbol val="none"/>
          </c:marker>
          <c:cat>
            <c:numRef>
              <c:f>'Calidades Nacional y Regional'!$D$2:$BF$2</c:f>
              <c:numCache>
                <c:formatCode>mmm\-yy</c:formatCode>
                <c:ptCount val="55"/>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numCache>
            </c:numRef>
          </c:cat>
          <c:val>
            <c:numRef>
              <c:f>'Calidades Nacional y Regional'!$D$5:$BF$5</c:f>
              <c:numCache>
                <c:formatCode>0.00</c:formatCode>
                <c:ptCount val="55"/>
                <c:pt idx="0">
                  <c:v>3.5711714322277079</c:v>
                </c:pt>
                <c:pt idx="1">
                  <c:v>3.5771840058376099</c:v>
                </c:pt>
                <c:pt idx="2">
                  <c:v>3.5876674282718501</c:v>
                </c:pt>
                <c:pt idx="3">
                  <c:v>3.5707316602779309</c:v>
                </c:pt>
                <c:pt idx="4">
                  <c:v>3.5557652160324342</c:v>
                </c:pt>
                <c:pt idx="5">
                  <c:v>3.5591373197701408</c:v>
                </c:pt>
                <c:pt idx="6">
                  <c:v>3.5918292801615248</c:v>
                </c:pt>
                <c:pt idx="7">
                  <c:v>3.642827399442679</c:v>
                </c:pt>
                <c:pt idx="8">
                  <c:v>3.6668547609630342</c:v>
                </c:pt>
                <c:pt idx="9">
                  <c:v>3.6706834296370077</c:v>
                </c:pt>
                <c:pt idx="10">
                  <c:v>3.641381977299849</c:v>
                </c:pt>
                <c:pt idx="11">
                  <c:v>3.6308128879945341</c:v>
                </c:pt>
                <c:pt idx="12">
                  <c:v>3.5641363215597166</c:v>
                </c:pt>
                <c:pt idx="13">
                  <c:v>3.5423625937673302</c:v>
                </c:pt>
                <c:pt idx="14">
                  <c:v>3.5219275202854359</c:v>
                </c:pt>
                <c:pt idx="15">
                  <c:v>3.5255984652667478</c:v>
                </c:pt>
                <c:pt idx="16">
                  <c:v>3.5290025939516561</c:v>
                </c:pt>
                <c:pt idx="17">
                  <c:v>3.536954718026895</c:v>
                </c:pt>
                <c:pt idx="18">
                  <c:v>3.5334163418601592</c:v>
                </c:pt>
                <c:pt idx="19">
                  <c:v>3.5248940490701512</c:v>
                </c:pt>
                <c:pt idx="20">
                  <c:v>3.5076317974956246</c:v>
                </c:pt>
                <c:pt idx="21">
                  <c:v>3.5372478402533609</c:v>
                </c:pt>
                <c:pt idx="22">
                  <c:v>3.5479865893807752</c:v>
                </c:pt>
                <c:pt idx="23">
                  <c:v>3.5223548832787968</c:v>
                </c:pt>
                <c:pt idx="24">
                  <c:v>3.5131844138271182</c:v>
                </c:pt>
                <c:pt idx="25">
                  <c:v>3.5633091772841401</c:v>
                </c:pt>
                <c:pt idx="26">
                  <c:v>3.5283702559817809</c:v>
                </c:pt>
                <c:pt idx="27">
                  <c:v>3.5047011775239358</c:v>
                </c:pt>
                <c:pt idx="28">
                  <c:v>3.4812299383245437</c:v>
                </c:pt>
                <c:pt idx="29">
                  <c:v>3.5049207540807759</c:v>
                </c:pt>
                <c:pt idx="30">
                  <c:v>3.5751809185639511</c:v>
                </c:pt>
                <c:pt idx="31">
                  <c:v>3.5908179409541687</c:v>
                </c:pt>
                <c:pt idx="32">
                  <c:v>3.59556514659142</c:v>
                </c:pt>
                <c:pt idx="33">
                  <c:v>3.6165845204505751</c:v>
                </c:pt>
                <c:pt idx="34">
                  <c:v>3.6333414902638004</c:v>
                </c:pt>
                <c:pt idx="35">
                  <c:v>3.6391997392790132</c:v>
                </c:pt>
                <c:pt idx="36">
                  <c:v>3.6094394815509601</c:v>
                </c:pt>
                <c:pt idx="37">
                  <c:v>3.6278174661420106</c:v>
                </c:pt>
                <c:pt idx="38">
                  <c:v>3.6403809262357951</c:v>
                </c:pt>
                <c:pt idx="39">
                  <c:v>3.6427006610457742</c:v>
                </c:pt>
                <c:pt idx="40">
                  <c:v>3.6215604519052902</c:v>
                </c:pt>
                <c:pt idx="41">
                  <c:v>3.6357074385588004</c:v>
                </c:pt>
                <c:pt idx="42">
                  <c:v>3.6374348690138487</c:v>
                </c:pt>
                <c:pt idx="43">
                  <c:v>3.6392410874900771</c:v>
                </c:pt>
                <c:pt idx="44">
                  <c:v>3.6597206769346271</c:v>
                </c:pt>
                <c:pt idx="45">
                  <c:v>3.6630631063476842</c:v>
                </c:pt>
                <c:pt idx="46">
                  <c:v>3.672138025077043</c:v>
                </c:pt>
                <c:pt idx="47">
                  <c:v>3.669884702420342</c:v>
                </c:pt>
                <c:pt idx="48">
                  <c:v>3.6632984792845971</c:v>
                </c:pt>
                <c:pt idx="49">
                  <c:v>3.6385972889050819</c:v>
                </c:pt>
                <c:pt idx="50">
                  <c:v>3.6416699107228969</c:v>
                </c:pt>
                <c:pt idx="51">
                  <c:v>3.6171764667244592</c:v>
                </c:pt>
                <c:pt idx="52">
                  <c:v>3.6164873582830088</c:v>
                </c:pt>
                <c:pt idx="53">
                  <c:v>3.6120772636751122</c:v>
                </c:pt>
                <c:pt idx="54">
                  <c:v>3.5945105811124454</c:v>
                </c:pt>
              </c:numCache>
            </c:numRef>
          </c:val>
        </c:ser>
        <c:ser>
          <c:idx val="1"/>
          <c:order val="1"/>
          <c:tx>
            <c:v>Grasa Region 2</c:v>
          </c:tx>
          <c:marker>
            <c:symbol val="none"/>
          </c:marker>
          <c:val>
            <c:numRef>
              <c:f>'Calidades Nacional y Regional'!$D$10:$BF$10</c:f>
              <c:numCache>
                <c:formatCode>0.00</c:formatCode>
                <c:ptCount val="55"/>
                <c:pt idx="0">
                  <c:v>3.873729620612925</c:v>
                </c:pt>
                <c:pt idx="1">
                  <c:v>3.8321596222629379</c:v>
                </c:pt>
                <c:pt idx="2">
                  <c:v>3.6761866555285048</c:v>
                </c:pt>
                <c:pt idx="3">
                  <c:v>3.7417217781512737</c:v>
                </c:pt>
                <c:pt idx="4">
                  <c:v>3.7800795572028094</c:v>
                </c:pt>
                <c:pt idx="5">
                  <c:v>3.8491942368162575</c:v>
                </c:pt>
                <c:pt idx="6">
                  <c:v>3.8497534681522971</c:v>
                </c:pt>
                <c:pt idx="7">
                  <c:v>3.8785773377939132</c:v>
                </c:pt>
                <c:pt idx="8">
                  <c:v>4.0112045971490744</c:v>
                </c:pt>
                <c:pt idx="9">
                  <c:v>4.0403733444886134</c:v>
                </c:pt>
                <c:pt idx="10">
                  <c:v>4.0699750225655755</c:v>
                </c:pt>
                <c:pt idx="11">
                  <c:v>4.0627225479558957</c:v>
                </c:pt>
                <c:pt idx="12">
                  <c:v>3.8725885024815261</c:v>
                </c:pt>
                <c:pt idx="13">
                  <c:v>3.7084671528987951</c:v>
                </c:pt>
                <c:pt idx="14">
                  <c:v>3.7477150703479158</c:v>
                </c:pt>
                <c:pt idx="15">
                  <c:v>3.7834437874918052</c:v>
                </c:pt>
                <c:pt idx="16">
                  <c:v>3.8251015766508312</c:v>
                </c:pt>
                <c:pt idx="17">
                  <c:v>3.8234699802394561</c:v>
                </c:pt>
                <c:pt idx="18">
                  <c:v>3.8879310599855881</c:v>
                </c:pt>
                <c:pt idx="19">
                  <c:v>3.9399188246174028</c:v>
                </c:pt>
                <c:pt idx="20">
                  <c:v>3.9240212273359432</c:v>
                </c:pt>
                <c:pt idx="21">
                  <c:v>4.0109890257773966</c:v>
                </c:pt>
                <c:pt idx="22">
                  <c:v>4.0281046872016306</c:v>
                </c:pt>
                <c:pt idx="23">
                  <c:v>3.9512328588381589</c:v>
                </c:pt>
                <c:pt idx="24">
                  <c:v>3.8321329883983237</c:v>
                </c:pt>
                <c:pt idx="25">
                  <c:v>3.6329929400888727</c:v>
                </c:pt>
                <c:pt idx="26">
                  <c:v>3.5872180321704552</c:v>
                </c:pt>
                <c:pt idx="27">
                  <c:v>3.6750887746209222</c:v>
                </c:pt>
                <c:pt idx="28">
                  <c:v>3.7416148239901541</c:v>
                </c:pt>
                <c:pt idx="29">
                  <c:v>3.8184825921788139</c:v>
                </c:pt>
                <c:pt idx="30">
                  <c:v>3.8829054487474051</c:v>
                </c:pt>
                <c:pt idx="31">
                  <c:v>3.9493020951335627</c:v>
                </c:pt>
                <c:pt idx="32">
                  <c:v>3.9611761021003353</c:v>
                </c:pt>
                <c:pt idx="33">
                  <c:v>3.984070857348061</c:v>
                </c:pt>
                <c:pt idx="34">
                  <c:v>3.941073028866604</c:v>
                </c:pt>
                <c:pt idx="35">
                  <c:v>3.8013466230263644</c:v>
                </c:pt>
                <c:pt idx="36">
                  <c:v>3.7505636043107087</c:v>
                </c:pt>
                <c:pt idx="37">
                  <c:v>3.7041489558712182</c:v>
                </c:pt>
                <c:pt idx="38">
                  <c:v>3.697087641917522</c:v>
                </c:pt>
                <c:pt idx="39">
                  <c:v>3.689616366111641</c:v>
                </c:pt>
                <c:pt idx="40">
                  <c:v>3.7384565324532937</c:v>
                </c:pt>
                <c:pt idx="41">
                  <c:v>3.8263910035563549</c:v>
                </c:pt>
                <c:pt idx="42">
                  <c:v>3.8282954974729599</c:v>
                </c:pt>
                <c:pt idx="43">
                  <c:v>3.9263037654662822</c:v>
                </c:pt>
                <c:pt idx="44">
                  <c:v>3.8824627088244061</c:v>
                </c:pt>
                <c:pt idx="45">
                  <c:v>3.8781071112402579</c:v>
                </c:pt>
                <c:pt idx="46">
                  <c:v>3.8755283008876198</c:v>
                </c:pt>
                <c:pt idx="47">
                  <c:v>3.8753334182747867</c:v>
                </c:pt>
                <c:pt idx="48">
                  <c:v>3.746292538039329</c:v>
                </c:pt>
                <c:pt idx="49">
                  <c:v>3.6727355544773208</c:v>
                </c:pt>
                <c:pt idx="50">
                  <c:v>3.7831397013838752</c:v>
                </c:pt>
                <c:pt idx="51">
                  <c:v>3.7408661495127711</c:v>
                </c:pt>
                <c:pt idx="52">
                  <c:v>3.7391961805785248</c:v>
                </c:pt>
                <c:pt idx="53">
                  <c:v>3.8622780618630004</c:v>
                </c:pt>
                <c:pt idx="54">
                  <c:v>3.7902441611259952</c:v>
                </c:pt>
              </c:numCache>
            </c:numRef>
          </c:val>
        </c:ser>
        <c:ser>
          <c:idx val="2"/>
          <c:order val="2"/>
          <c:tx>
            <c:v>Grasa Nacional</c:v>
          </c:tx>
          <c:marker>
            <c:symbol val="none"/>
          </c:marker>
          <c:val>
            <c:numRef>
              <c:f>'Calidades Nacional y Regional'!$D$15:$BF$15</c:f>
              <c:numCache>
                <c:formatCode>0.00</c:formatCode>
                <c:ptCount val="55"/>
                <c:pt idx="0">
                  <c:v>3.614847650459839</c:v>
                </c:pt>
                <c:pt idx="1">
                  <c:v>3.6173673873888181</c:v>
                </c:pt>
                <c:pt idx="2">
                  <c:v>3.6051999022168282</c:v>
                </c:pt>
                <c:pt idx="3">
                  <c:v>3.6005871566817547</c:v>
                </c:pt>
                <c:pt idx="4">
                  <c:v>3.5977349350169452</c:v>
                </c:pt>
                <c:pt idx="5">
                  <c:v>3.6216681209476227</c:v>
                </c:pt>
                <c:pt idx="6">
                  <c:v>3.6471631515664447</c:v>
                </c:pt>
                <c:pt idx="7">
                  <c:v>3.6975934695459527</c:v>
                </c:pt>
                <c:pt idx="8">
                  <c:v>3.7367319982670733</c:v>
                </c:pt>
                <c:pt idx="9">
                  <c:v>3.7367915001276359</c:v>
                </c:pt>
                <c:pt idx="10">
                  <c:v>3.7205877707489767</c:v>
                </c:pt>
                <c:pt idx="11">
                  <c:v>3.7083474835656647</c:v>
                </c:pt>
                <c:pt idx="12">
                  <c:v>3.6141902242487629</c:v>
                </c:pt>
                <c:pt idx="13">
                  <c:v>3.5715978364590399</c:v>
                </c:pt>
                <c:pt idx="14">
                  <c:v>3.5581385898673781</c:v>
                </c:pt>
                <c:pt idx="15">
                  <c:v>3.5644817002414459</c:v>
                </c:pt>
                <c:pt idx="16">
                  <c:v>3.574687482700873</c:v>
                </c:pt>
                <c:pt idx="17">
                  <c:v>3.573490827233587</c:v>
                </c:pt>
                <c:pt idx="18">
                  <c:v>3.5901915167667506</c:v>
                </c:pt>
                <c:pt idx="19">
                  <c:v>3.596307534469859</c:v>
                </c:pt>
                <c:pt idx="20">
                  <c:v>3.5806703177288131</c:v>
                </c:pt>
                <c:pt idx="21">
                  <c:v>3.61427038256218</c:v>
                </c:pt>
                <c:pt idx="22">
                  <c:v>3.6230068112569747</c:v>
                </c:pt>
                <c:pt idx="23">
                  <c:v>3.5842372371040812</c:v>
                </c:pt>
                <c:pt idx="24">
                  <c:v>3.5558609460292967</c:v>
                </c:pt>
                <c:pt idx="25">
                  <c:v>3.5713731403585047</c:v>
                </c:pt>
                <c:pt idx="26">
                  <c:v>3.5356632486589081</c:v>
                </c:pt>
                <c:pt idx="27">
                  <c:v>3.5290426638600789</c:v>
                </c:pt>
                <c:pt idx="28">
                  <c:v>3.5255050946040187</c:v>
                </c:pt>
                <c:pt idx="29">
                  <c:v>3.5603927755615854</c:v>
                </c:pt>
                <c:pt idx="30">
                  <c:v>3.6275950011551812</c:v>
                </c:pt>
                <c:pt idx="31">
                  <c:v>3.6522365510693082</c:v>
                </c:pt>
                <c:pt idx="32">
                  <c:v>3.653812224751003</c:v>
                </c:pt>
                <c:pt idx="33">
                  <c:v>3.6723127051495501</c:v>
                </c:pt>
                <c:pt idx="34">
                  <c:v>3.677031887321204</c:v>
                </c:pt>
                <c:pt idx="35">
                  <c:v>3.6601412775448163</c:v>
                </c:pt>
                <c:pt idx="36">
                  <c:v>3.6283586500282778</c:v>
                </c:pt>
                <c:pt idx="37">
                  <c:v>3.6381105603268549</c:v>
                </c:pt>
                <c:pt idx="38">
                  <c:v>3.6474733523958052</c:v>
                </c:pt>
                <c:pt idx="39">
                  <c:v>3.6495541292598928</c:v>
                </c:pt>
                <c:pt idx="40">
                  <c:v>3.639950120348773</c:v>
                </c:pt>
                <c:pt idx="41">
                  <c:v>3.6661976189580159</c:v>
                </c:pt>
                <c:pt idx="42">
                  <c:v>3.6686671156861332</c:v>
                </c:pt>
                <c:pt idx="43">
                  <c:v>3.6851301811391401</c:v>
                </c:pt>
                <c:pt idx="44">
                  <c:v>3.6929556199199567</c:v>
                </c:pt>
                <c:pt idx="45">
                  <c:v>3.6955760694539808</c:v>
                </c:pt>
                <c:pt idx="46">
                  <c:v>3.7023234797461662</c:v>
                </c:pt>
                <c:pt idx="47">
                  <c:v>3.6979332765952906</c:v>
                </c:pt>
                <c:pt idx="48">
                  <c:v>3.6753512002375652</c:v>
                </c:pt>
                <c:pt idx="49">
                  <c:v>3.6436107364870578</c:v>
                </c:pt>
                <c:pt idx="50">
                  <c:v>3.6518157509108349</c:v>
                </c:pt>
                <c:pt idx="51">
                  <c:v>3.6271068091217202</c:v>
                </c:pt>
                <c:pt idx="52">
                  <c:v>3.6283318305431158</c:v>
                </c:pt>
                <c:pt idx="53">
                  <c:v>3.6380004162329311</c:v>
                </c:pt>
                <c:pt idx="54">
                  <c:v>3.6162209259091944</c:v>
                </c:pt>
              </c:numCache>
            </c:numRef>
          </c:val>
        </c:ser>
        <c:marker val="1"/>
        <c:axId val="130009728"/>
        <c:axId val="132887296"/>
      </c:lineChart>
      <c:dateAx>
        <c:axId val="130009728"/>
        <c:scaling>
          <c:orientation val="minMax"/>
        </c:scaling>
        <c:axPos val="b"/>
        <c:numFmt formatCode="mmm\-yy" sourceLinked="1"/>
        <c:tickLblPos val="nextTo"/>
        <c:txPr>
          <a:bodyPr/>
          <a:lstStyle/>
          <a:p>
            <a:pPr>
              <a:defRPr lang="en-US" sz="500"/>
            </a:pPr>
            <a:endParaRPr lang="en-US"/>
          </a:p>
        </c:txPr>
        <c:crossAx val="132887296"/>
        <c:crosses val="autoZero"/>
        <c:auto val="1"/>
        <c:lblOffset val="100"/>
        <c:baseTimeUnit val="months"/>
      </c:dateAx>
      <c:valAx>
        <c:axId val="132887296"/>
        <c:scaling>
          <c:orientation val="minMax"/>
        </c:scaling>
        <c:axPos val="l"/>
        <c:majorGridlines/>
        <c:numFmt formatCode="0.00" sourceLinked="1"/>
        <c:tickLblPos val="nextTo"/>
        <c:txPr>
          <a:bodyPr/>
          <a:lstStyle/>
          <a:p>
            <a:pPr>
              <a:defRPr lang="en-US" sz="500"/>
            </a:pPr>
            <a:endParaRPr lang="en-US"/>
          </a:p>
        </c:txPr>
        <c:crossAx val="130009728"/>
        <c:crosses val="autoZero"/>
        <c:crossBetween val="between"/>
      </c:valAx>
    </c:plotArea>
    <c:legend>
      <c:legendPos val="b"/>
      <c:txPr>
        <a:bodyPr/>
        <a:lstStyle/>
        <a:p>
          <a:pPr>
            <a:defRPr lang="en-US" sz="500"/>
          </a:pPr>
          <a:endParaRPr lang="en-US"/>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lineChart>
        <c:grouping val="standard"/>
        <c:ser>
          <c:idx val="0"/>
          <c:order val="0"/>
          <c:tx>
            <c:v>Proteina Region 1</c:v>
          </c:tx>
          <c:marker>
            <c:symbol val="none"/>
          </c:marker>
          <c:cat>
            <c:numRef>
              <c:f>'Calidades Nacional y Regional'!$D$2:$BF$2</c:f>
              <c:numCache>
                <c:formatCode>mmm\-yy</c:formatCode>
                <c:ptCount val="55"/>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numCache>
            </c:numRef>
          </c:cat>
          <c:val>
            <c:numRef>
              <c:f>'Calidades Nacional y Regional'!$D$4:$BF$4</c:f>
              <c:numCache>
                <c:formatCode>0.00</c:formatCode>
                <c:ptCount val="55"/>
                <c:pt idx="0">
                  <c:v>2.9995761388982429</c:v>
                </c:pt>
                <c:pt idx="1">
                  <c:v>2.9940038742378468</c:v>
                </c:pt>
                <c:pt idx="2">
                  <c:v>3.036464726106995</c:v>
                </c:pt>
                <c:pt idx="3">
                  <c:v>2.993808848091795</c:v>
                </c:pt>
                <c:pt idx="4">
                  <c:v>3.0015758522365852</c:v>
                </c:pt>
                <c:pt idx="5">
                  <c:v>3.0049107135115491</c:v>
                </c:pt>
                <c:pt idx="6">
                  <c:v>3.0133647907769086</c:v>
                </c:pt>
                <c:pt idx="7">
                  <c:v>3.0155885557488129</c:v>
                </c:pt>
                <c:pt idx="8">
                  <c:v>3.0178947869032142</c:v>
                </c:pt>
                <c:pt idx="9">
                  <c:v>3.0270678151685542</c:v>
                </c:pt>
                <c:pt idx="10">
                  <c:v>3.0251216417113573</c:v>
                </c:pt>
                <c:pt idx="11">
                  <c:v>3.0199534196714377</c:v>
                </c:pt>
                <c:pt idx="12">
                  <c:v>2.9851160384797679</c:v>
                </c:pt>
                <c:pt idx="13">
                  <c:v>2.9695374530011032</c:v>
                </c:pt>
                <c:pt idx="14">
                  <c:v>2.9788055076614772</c:v>
                </c:pt>
                <c:pt idx="15">
                  <c:v>2.9918645695017587</c:v>
                </c:pt>
                <c:pt idx="16">
                  <c:v>2.9943094376945738</c:v>
                </c:pt>
                <c:pt idx="17">
                  <c:v>2.9921121560730977</c:v>
                </c:pt>
                <c:pt idx="18">
                  <c:v>2.9920873627568771</c:v>
                </c:pt>
                <c:pt idx="19">
                  <c:v>2.9946379107196237</c:v>
                </c:pt>
                <c:pt idx="20">
                  <c:v>2.9931571770726642</c:v>
                </c:pt>
                <c:pt idx="21">
                  <c:v>2.9757427396850185</c:v>
                </c:pt>
                <c:pt idx="22">
                  <c:v>3.0043478068894252</c:v>
                </c:pt>
                <c:pt idx="23">
                  <c:v>3.0061243348940607</c:v>
                </c:pt>
                <c:pt idx="24">
                  <c:v>2.9996841763800077</c:v>
                </c:pt>
                <c:pt idx="25">
                  <c:v>2.9927199730082319</c:v>
                </c:pt>
                <c:pt idx="26">
                  <c:v>3.0030803617450132</c:v>
                </c:pt>
                <c:pt idx="27">
                  <c:v>3.0254104025089048</c:v>
                </c:pt>
                <c:pt idx="28">
                  <c:v>3.0381120974263132</c:v>
                </c:pt>
                <c:pt idx="29">
                  <c:v>3.06043854650986</c:v>
                </c:pt>
                <c:pt idx="30">
                  <c:v>3.0820479169832553</c:v>
                </c:pt>
                <c:pt idx="31">
                  <c:v>3.0883323251181132</c:v>
                </c:pt>
                <c:pt idx="32">
                  <c:v>3.0924843637230404</c:v>
                </c:pt>
                <c:pt idx="33">
                  <c:v>3.1017863533026748</c:v>
                </c:pt>
                <c:pt idx="34">
                  <c:v>3.1102792921892171</c:v>
                </c:pt>
                <c:pt idx="35">
                  <c:v>3.102031539830238</c:v>
                </c:pt>
                <c:pt idx="36">
                  <c:v>3.0754897395311267</c:v>
                </c:pt>
                <c:pt idx="37">
                  <c:v>3.0736547848944271</c:v>
                </c:pt>
                <c:pt idx="38">
                  <c:v>3.060221849854516</c:v>
                </c:pt>
                <c:pt idx="39">
                  <c:v>3.0913269935662577</c:v>
                </c:pt>
                <c:pt idx="40">
                  <c:v>3.0975515557106954</c:v>
                </c:pt>
                <c:pt idx="41">
                  <c:v>3.091297653924852</c:v>
                </c:pt>
                <c:pt idx="42">
                  <c:v>3.090836334384337</c:v>
                </c:pt>
                <c:pt idx="43">
                  <c:v>3.0895323040409712</c:v>
                </c:pt>
                <c:pt idx="44">
                  <c:v>3.103659580026727</c:v>
                </c:pt>
                <c:pt idx="45">
                  <c:v>3.1226814878574252</c:v>
                </c:pt>
                <c:pt idx="46">
                  <c:v>3.1455959470229651</c:v>
                </c:pt>
                <c:pt idx="47">
                  <c:v>3.1282652219359592</c:v>
                </c:pt>
                <c:pt idx="48">
                  <c:v>3.1184474032566767</c:v>
                </c:pt>
                <c:pt idx="49">
                  <c:v>3.1050127647513532</c:v>
                </c:pt>
                <c:pt idx="50">
                  <c:v>3.0906132965678847</c:v>
                </c:pt>
                <c:pt idx="51">
                  <c:v>3.0853053225758029</c:v>
                </c:pt>
                <c:pt idx="52">
                  <c:v>3.0867984850960837</c:v>
                </c:pt>
                <c:pt idx="53">
                  <c:v>3.0768896182771077</c:v>
                </c:pt>
                <c:pt idx="54">
                  <c:v>3.0665403411720749</c:v>
                </c:pt>
              </c:numCache>
            </c:numRef>
          </c:val>
        </c:ser>
        <c:ser>
          <c:idx val="1"/>
          <c:order val="1"/>
          <c:tx>
            <c:v>Proteina Region 2</c:v>
          </c:tx>
          <c:marker>
            <c:symbol val="none"/>
          </c:marker>
          <c:cat>
            <c:numRef>
              <c:f>'Calidades Nacional y Regional'!$D$2:$BF$2</c:f>
              <c:numCache>
                <c:formatCode>mmm\-yy</c:formatCode>
                <c:ptCount val="55"/>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numCache>
            </c:numRef>
          </c:cat>
          <c:val>
            <c:numRef>
              <c:f>'Calidades Nacional y Regional'!$D$9:$BF$9</c:f>
              <c:numCache>
                <c:formatCode>0.00</c:formatCode>
                <c:ptCount val="55"/>
                <c:pt idx="0">
                  <c:v>3.3743603101550379</c:v>
                </c:pt>
                <c:pt idx="1">
                  <c:v>3.2823652776732102</c:v>
                </c:pt>
                <c:pt idx="2">
                  <c:v>3.2941102216182991</c:v>
                </c:pt>
                <c:pt idx="3">
                  <c:v>3.3238428824005308</c:v>
                </c:pt>
                <c:pt idx="4">
                  <c:v>3.313391614839309</c:v>
                </c:pt>
                <c:pt idx="5">
                  <c:v>3.3606841670716432</c:v>
                </c:pt>
                <c:pt idx="6">
                  <c:v>3.4392726890736189</c:v>
                </c:pt>
                <c:pt idx="7">
                  <c:v>3.3370824377494777</c:v>
                </c:pt>
                <c:pt idx="8">
                  <c:v>3.4867437847326772</c:v>
                </c:pt>
                <c:pt idx="9">
                  <c:v>3.435713002915</c:v>
                </c:pt>
                <c:pt idx="10">
                  <c:v>3.4377164956964008</c:v>
                </c:pt>
                <c:pt idx="11">
                  <c:v>3.3797993108082167</c:v>
                </c:pt>
                <c:pt idx="12">
                  <c:v>3.3282906022666201</c:v>
                </c:pt>
                <c:pt idx="13">
                  <c:v>3.2837935489465195</c:v>
                </c:pt>
                <c:pt idx="14">
                  <c:v>3.2266731713328771</c:v>
                </c:pt>
                <c:pt idx="15">
                  <c:v>3.2647992292093559</c:v>
                </c:pt>
                <c:pt idx="16">
                  <c:v>3.284042034549377</c:v>
                </c:pt>
                <c:pt idx="17">
                  <c:v>3.293453788085384</c:v>
                </c:pt>
                <c:pt idx="18">
                  <c:v>3.3284120798270771</c:v>
                </c:pt>
                <c:pt idx="19">
                  <c:v>3.4093665714103012</c:v>
                </c:pt>
                <c:pt idx="20">
                  <c:v>3.3490488044211544</c:v>
                </c:pt>
                <c:pt idx="21">
                  <c:v>3.3580038709030227</c:v>
                </c:pt>
                <c:pt idx="22">
                  <c:v>3.3522084917895398</c:v>
                </c:pt>
                <c:pt idx="23">
                  <c:v>3.3028640125794131</c:v>
                </c:pt>
                <c:pt idx="24">
                  <c:v>3.2521120893254181</c:v>
                </c:pt>
                <c:pt idx="25">
                  <c:v>3.2604747649402954</c:v>
                </c:pt>
                <c:pt idx="26">
                  <c:v>3.2666887177650792</c:v>
                </c:pt>
                <c:pt idx="27">
                  <c:v>3.3050643994272839</c:v>
                </c:pt>
                <c:pt idx="28">
                  <c:v>3.3646246401801601</c:v>
                </c:pt>
                <c:pt idx="29">
                  <c:v>3.3941947159412051</c:v>
                </c:pt>
                <c:pt idx="30">
                  <c:v>3.478280264828026</c:v>
                </c:pt>
                <c:pt idx="31">
                  <c:v>3.4485514935636967</c:v>
                </c:pt>
                <c:pt idx="32">
                  <c:v>3.4551859856176548</c:v>
                </c:pt>
                <c:pt idx="33">
                  <c:v>3.4498089999935626</c:v>
                </c:pt>
                <c:pt idx="34">
                  <c:v>3.4371528040708199</c:v>
                </c:pt>
                <c:pt idx="35">
                  <c:v>3.4326051564196329</c:v>
                </c:pt>
                <c:pt idx="36">
                  <c:v>3.3557038241143107</c:v>
                </c:pt>
                <c:pt idx="37">
                  <c:v>3.3746609227149844</c:v>
                </c:pt>
                <c:pt idx="38">
                  <c:v>3.3464131709684639</c:v>
                </c:pt>
                <c:pt idx="39">
                  <c:v>3.3664804440131744</c:v>
                </c:pt>
                <c:pt idx="40">
                  <c:v>3.4175655047561229</c:v>
                </c:pt>
                <c:pt idx="41">
                  <c:v>3.419214607418136</c:v>
                </c:pt>
                <c:pt idx="42">
                  <c:v>3.4359804974603581</c:v>
                </c:pt>
                <c:pt idx="43">
                  <c:v>3.4443911205447972</c:v>
                </c:pt>
                <c:pt idx="44">
                  <c:v>3.4226916148942768</c:v>
                </c:pt>
                <c:pt idx="45">
                  <c:v>3.4168940407037969</c:v>
                </c:pt>
                <c:pt idx="46">
                  <c:v>3.4398266610888335</c:v>
                </c:pt>
                <c:pt idx="47">
                  <c:v>3.443748960477222</c:v>
                </c:pt>
                <c:pt idx="48">
                  <c:v>3.298399226659678</c:v>
                </c:pt>
                <c:pt idx="49">
                  <c:v>3.3426440234080941</c:v>
                </c:pt>
                <c:pt idx="50">
                  <c:v>3.274452862470989</c:v>
                </c:pt>
                <c:pt idx="51">
                  <c:v>3.2345541661211241</c:v>
                </c:pt>
                <c:pt idx="52">
                  <c:v>3.2939185041450272</c:v>
                </c:pt>
                <c:pt idx="53">
                  <c:v>3.3353351703884178</c:v>
                </c:pt>
                <c:pt idx="54">
                  <c:v>3.3676059221922587</c:v>
                </c:pt>
              </c:numCache>
            </c:numRef>
          </c:val>
        </c:ser>
        <c:ser>
          <c:idx val="2"/>
          <c:order val="2"/>
          <c:tx>
            <c:v>Proteina Nacional</c:v>
          </c:tx>
          <c:marker>
            <c:symbol val="none"/>
          </c:marker>
          <c:cat>
            <c:numRef>
              <c:f>'Calidades Nacional y Regional'!$D$2:$BF$2</c:f>
              <c:numCache>
                <c:formatCode>mmm\-yy</c:formatCode>
                <c:ptCount val="55"/>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numCache>
            </c:numRef>
          </c:cat>
          <c:val>
            <c:numRef>
              <c:f>'Calidades Nacional y Regional'!$D$14:$BF$14</c:f>
              <c:numCache>
                <c:formatCode>0.00</c:formatCode>
                <c:ptCount val="55"/>
                <c:pt idx="0">
                  <c:v>3.0290608128290182</c:v>
                </c:pt>
                <c:pt idx="1">
                  <c:v>3.0167716016671102</c:v>
                </c:pt>
                <c:pt idx="2">
                  <c:v>3.0595265107751271</c:v>
                </c:pt>
                <c:pt idx="3">
                  <c:v>3.0177525198499007</c:v>
                </c:pt>
                <c:pt idx="4">
                  <c:v>3.0293756183000182</c:v>
                </c:pt>
                <c:pt idx="5">
                  <c:v>3.0377080314035028</c:v>
                </c:pt>
                <c:pt idx="6">
                  <c:v>3.0529840018729812</c:v>
                </c:pt>
                <c:pt idx="7">
                  <c:v>3.0590743330610275</c:v>
                </c:pt>
                <c:pt idx="8">
                  <c:v>3.0651398435973527</c:v>
                </c:pt>
                <c:pt idx="9">
                  <c:v>3.0630461959558577</c:v>
                </c:pt>
                <c:pt idx="10">
                  <c:v>3.0581915539118532</c:v>
                </c:pt>
                <c:pt idx="11">
                  <c:v>3.0541262059795802</c:v>
                </c:pt>
                <c:pt idx="12">
                  <c:v>3.0142698742362035</c:v>
                </c:pt>
                <c:pt idx="13">
                  <c:v>2.9938751667650627</c:v>
                </c:pt>
                <c:pt idx="14">
                  <c:v>2.9988870727887562</c:v>
                </c:pt>
                <c:pt idx="15">
                  <c:v>3.0138236187289142</c:v>
                </c:pt>
                <c:pt idx="16">
                  <c:v>3.0176999793098527</c:v>
                </c:pt>
                <c:pt idx="17">
                  <c:v>3.0220640565601751</c:v>
                </c:pt>
                <c:pt idx="18">
                  <c:v>3.0239347482942658</c:v>
                </c:pt>
                <c:pt idx="19">
                  <c:v>3.033492543800127</c:v>
                </c:pt>
                <c:pt idx="20">
                  <c:v>3.0250385645161511</c:v>
                </c:pt>
                <c:pt idx="21">
                  <c:v>3.0109427709792187</c:v>
                </c:pt>
                <c:pt idx="22">
                  <c:v>3.0347130623707042</c:v>
                </c:pt>
                <c:pt idx="23">
                  <c:v>3.0306620140981919</c:v>
                </c:pt>
                <c:pt idx="24">
                  <c:v>3.0186337078111802</c:v>
                </c:pt>
                <c:pt idx="25">
                  <c:v>3.0102720189195429</c:v>
                </c:pt>
                <c:pt idx="26">
                  <c:v>3.0225913749149242</c:v>
                </c:pt>
                <c:pt idx="27">
                  <c:v>3.0490559394244539</c:v>
                </c:pt>
                <c:pt idx="28">
                  <c:v>3.069765317495798</c:v>
                </c:pt>
                <c:pt idx="29">
                  <c:v>3.0947282533349432</c:v>
                </c:pt>
                <c:pt idx="30">
                  <c:v>3.1197230016065642</c:v>
                </c:pt>
                <c:pt idx="31">
                  <c:v>3.122533958200568</c:v>
                </c:pt>
                <c:pt idx="32">
                  <c:v>3.1234283050754001</c:v>
                </c:pt>
                <c:pt idx="33">
                  <c:v>3.1291296186024198</c:v>
                </c:pt>
                <c:pt idx="34">
                  <c:v>3.13406219022291</c:v>
                </c:pt>
                <c:pt idx="35">
                  <c:v>3.1228098402902322</c:v>
                </c:pt>
                <c:pt idx="36">
                  <c:v>3.0922159925142876</c:v>
                </c:pt>
                <c:pt idx="37">
                  <c:v>3.0918508722887004</c:v>
                </c:pt>
                <c:pt idx="38">
                  <c:v>3.0774001815268321</c:v>
                </c:pt>
                <c:pt idx="39">
                  <c:v>3.110610957836287</c:v>
                </c:pt>
                <c:pt idx="40">
                  <c:v>3.1218180460085931</c:v>
                </c:pt>
                <c:pt idx="41">
                  <c:v>3.120318030885199</c:v>
                </c:pt>
                <c:pt idx="42">
                  <c:v>3.1190739044250253</c:v>
                </c:pt>
                <c:pt idx="43">
                  <c:v>3.1202481985617627</c:v>
                </c:pt>
                <c:pt idx="44">
                  <c:v>3.12785258850298</c:v>
                </c:pt>
                <c:pt idx="45">
                  <c:v>3.142709830890082</c:v>
                </c:pt>
                <c:pt idx="46">
                  <c:v>3.1654259225434389</c:v>
                </c:pt>
                <c:pt idx="47">
                  <c:v>3.1489615724777078</c:v>
                </c:pt>
                <c:pt idx="48">
                  <c:v>3.1311592726083175</c:v>
                </c:pt>
                <c:pt idx="49">
                  <c:v>3.121024705283121</c:v>
                </c:pt>
                <c:pt idx="50">
                  <c:v>3.1014737006237549</c:v>
                </c:pt>
                <c:pt idx="51">
                  <c:v>3.0946725016637777</c:v>
                </c:pt>
                <c:pt idx="52">
                  <c:v>3.1043498411610799</c:v>
                </c:pt>
                <c:pt idx="53">
                  <c:v>3.1310257951355598</c:v>
                </c:pt>
                <c:pt idx="54">
                  <c:v>3.0946963272417909</c:v>
                </c:pt>
              </c:numCache>
            </c:numRef>
          </c:val>
        </c:ser>
        <c:marker val="1"/>
        <c:axId val="157813376"/>
        <c:axId val="157824896"/>
      </c:lineChart>
      <c:dateAx>
        <c:axId val="157813376"/>
        <c:scaling>
          <c:orientation val="minMax"/>
        </c:scaling>
        <c:axPos val="b"/>
        <c:numFmt formatCode="mmm\-yy" sourceLinked="1"/>
        <c:tickLblPos val="nextTo"/>
        <c:txPr>
          <a:bodyPr/>
          <a:lstStyle/>
          <a:p>
            <a:pPr>
              <a:defRPr lang="en-US" sz="500"/>
            </a:pPr>
            <a:endParaRPr lang="en-US"/>
          </a:p>
        </c:txPr>
        <c:crossAx val="157824896"/>
        <c:crosses val="autoZero"/>
        <c:auto val="1"/>
        <c:lblOffset val="100"/>
        <c:baseTimeUnit val="months"/>
      </c:dateAx>
      <c:valAx>
        <c:axId val="157824896"/>
        <c:scaling>
          <c:orientation val="minMax"/>
        </c:scaling>
        <c:axPos val="l"/>
        <c:majorGridlines/>
        <c:numFmt formatCode="0.00" sourceLinked="1"/>
        <c:tickLblPos val="nextTo"/>
        <c:txPr>
          <a:bodyPr/>
          <a:lstStyle/>
          <a:p>
            <a:pPr>
              <a:defRPr lang="en-US" sz="500"/>
            </a:pPr>
            <a:endParaRPr lang="en-US"/>
          </a:p>
        </c:txPr>
        <c:crossAx val="157813376"/>
        <c:crosses val="autoZero"/>
        <c:crossBetween val="between"/>
      </c:valAx>
    </c:plotArea>
    <c:legend>
      <c:legendPos val="b"/>
      <c:txPr>
        <a:bodyPr/>
        <a:lstStyle/>
        <a:p>
          <a:pPr>
            <a:defRPr lang="en-US" sz="500"/>
          </a:pPr>
          <a:endParaRPr lang="en-US"/>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lineChart>
        <c:grouping val="standard"/>
        <c:ser>
          <c:idx val="0"/>
          <c:order val="0"/>
          <c:tx>
            <c:v>MAIZ COLOMBIA</c:v>
          </c:tx>
          <c:marker>
            <c:symbol val="none"/>
          </c:marker>
          <c:cat>
            <c:numRef>
              <c:f>Sheet1!$A$3:$A$59</c:f>
              <c:numCache>
                <c:formatCode>mmm\-yy</c:formatCode>
                <c:ptCount val="57"/>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pt idx="55">
                  <c:v>41122</c:v>
                </c:pt>
                <c:pt idx="56">
                  <c:v>41153</c:v>
                </c:pt>
              </c:numCache>
            </c:numRef>
          </c:cat>
          <c:val>
            <c:numRef>
              <c:f>Sheet1!$E$3:$E$59</c:f>
              <c:numCache>
                <c:formatCode>#,##0.00</c:formatCode>
                <c:ptCount val="57"/>
                <c:pt idx="0">
                  <c:v>318.09412771095424</c:v>
                </c:pt>
                <c:pt idx="1">
                  <c:v>341.74688085122989</c:v>
                </c:pt>
                <c:pt idx="2">
                  <c:v>363.70087974736697</c:v>
                </c:pt>
                <c:pt idx="3">
                  <c:v>370.07007241600428</c:v>
                </c:pt>
                <c:pt idx="4">
                  <c:v>371.11959485305556</c:v>
                </c:pt>
                <c:pt idx="5">
                  <c:v>383.64044557742403</c:v>
                </c:pt>
                <c:pt idx="6">
                  <c:v>389.50313708313899</c:v>
                </c:pt>
                <c:pt idx="7">
                  <c:v>397.28214096505229</c:v>
                </c:pt>
                <c:pt idx="8">
                  <c:v>356.97249737325228</c:v>
                </c:pt>
                <c:pt idx="9">
                  <c:v>304.90884755648369</c:v>
                </c:pt>
                <c:pt idx="10">
                  <c:v>287.73849959072959</c:v>
                </c:pt>
                <c:pt idx="11">
                  <c:v>286.25558201974638</c:v>
                </c:pt>
                <c:pt idx="12">
                  <c:v>290.02475828010125</c:v>
                </c:pt>
                <c:pt idx="13">
                  <c:v>255.54311594016542</c:v>
                </c:pt>
                <c:pt idx="14">
                  <c:v>256.56766604765062</c:v>
                </c:pt>
                <c:pt idx="15">
                  <c:v>291.34633588826313</c:v>
                </c:pt>
                <c:pt idx="16">
                  <c:v>297.59552107738119</c:v>
                </c:pt>
                <c:pt idx="17">
                  <c:v>326.05666535162862</c:v>
                </c:pt>
                <c:pt idx="18">
                  <c:v>317.96309065947219</c:v>
                </c:pt>
                <c:pt idx="19">
                  <c:v>305.93961886723275</c:v>
                </c:pt>
                <c:pt idx="20">
                  <c:v>307.50217820925627</c:v>
                </c:pt>
                <c:pt idx="21">
                  <c:v>296.96916064403371</c:v>
                </c:pt>
                <c:pt idx="22">
                  <c:v>283.4198612061345</c:v>
                </c:pt>
                <c:pt idx="23">
                  <c:v>280.83778746728206</c:v>
                </c:pt>
                <c:pt idx="24">
                  <c:v>317.56417884846826</c:v>
                </c:pt>
                <c:pt idx="25">
                  <c:v>327.67628099218325</c:v>
                </c:pt>
                <c:pt idx="26">
                  <c:v>308.6919370917671</c:v>
                </c:pt>
                <c:pt idx="27">
                  <c:v>316.87935364016727</c:v>
                </c:pt>
                <c:pt idx="28">
                  <c:v>297.92708189293631</c:v>
                </c:pt>
                <c:pt idx="29">
                  <c:v>315.9790580157113</c:v>
                </c:pt>
                <c:pt idx="30">
                  <c:v>277.74059611618566</c:v>
                </c:pt>
                <c:pt idx="31">
                  <c:v>343.25730477715359</c:v>
                </c:pt>
                <c:pt idx="32">
                  <c:v>350.66010236063698</c:v>
                </c:pt>
                <c:pt idx="33">
                  <c:v>338.46120656583219</c:v>
                </c:pt>
                <c:pt idx="34">
                  <c:v>293.41070449014489</c:v>
                </c:pt>
                <c:pt idx="35">
                  <c:v>352.14912175524171</c:v>
                </c:pt>
                <c:pt idx="36">
                  <c:v>352.29711612058628</c:v>
                </c:pt>
                <c:pt idx="37">
                  <c:v>389.9225411077017</c:v>
                </c:pt>
                <c:pt idx="38">
                  <c:v>387.44927897096841</c:v>
                </c:pt>
                <c:pt idx="39">
                  <c:v>403.29153495916677</c:v>
                </c:pt>
                <c:pt idx="40">
                  <c:v>471.92100577696488</c:v>
                </c:pt>
                <c:pt idx="41">
                  <c:v>454.30918281493291</c:v>
                </c:pt>
                <c:pt idx="42">
                  <c:v>434.0839663467155</c:v>
                </c:pt>
                <c:pt idx="43">
                  <c:v>423.23675235217132</c:v>
                </c:pt>
                <c:pt idx="44">
                  <c:v>408.4791241971617</c:v>
                </c:pt>
                <c:pt idx="45">
                  <c:v>371.51226250855711</c:v>
                </c:pt>
                <c:pt idx="46">
                  <c:v>381.26684542922226</c:v>
                </c:pt>
                <c:pt idx="47">
                  <c:v>380.12820174841693</c:v>
                </c:pt>
                <c:pt idx="48">
                  <c:v>392.81951214175831</c:v>
                </c:pt>
                <c:pt idx="49">
                  <c:v>409.68387615932232</c:v>
                </c:pt>
                <c:pt idx="50">
                  <c:v>409.08918405934372</c:v>
                </c:pt>
                <c:pt idx="51">
                  <c:v>370.97172370114669</c:v>
                </c:pt>
                <c:pt idx="52">
                  <c:v>414.79011426542365</c:v>
                </c:pt>
                <c:pt idx="53">
                  <c:v>407.46894421882689</c:v>
                </c:pt>
                <c:pt idx="54">
                  <c:v>389.55870337798729</c:v>
                </c:pt>
                <c:pt idx="55">
                  <c:v>383.90604287251665</c:v>
                </c:pt>
                <c:pt idx="56">
                  <c:v>378.72394209094568</c:v>
                </c:pt>
              </c:numCache>
            </c:numRef>
          </c:val>
        </c:ser>
        <c:ser>
          <c:idx val="1"/>
          <c:order val="1"/>
          <c:tx>
            <c:v>MAIZ INTERNADO</c:v>
          </c:tx>
          <c:marker>
            <c:symbol val="none"/>
          </c:marker>
          <c:val>
            <c:numRef>
              <c:f>Sheet1!$F$3:$F$59</c:f>
              <c:numCache>
                <c:formatCode>#,##0.00</c:formatCode>
                <c:ptCount val="57"/>
                <c:pt idx="0">
                  <c:v>234.03685594999999</c:v>
                </c:pt>
                <c:pt idx="1">
                  <c:v>256.39280237272732</c:v>
                </c:pt>
                <c:pt idx="2">
                  <c:v>265.94005222727128</c:v>
                </c:pt>
                <c:pt idx="3">
                  <c:v>274.18483444999964</c:v>
                </c:pt>
                <c:pt idx="4">
                  <c:v>290.71024999999929</c:v>
                </c:pt>
                <c:pt idx="5">
                  <c:v>284.45224999999999</c:v>
                </c:pt>
                <c:pt idx="6">
                  <c:v>333.20838527272696</c:v>
                </c:pt>
                <c:pt idx="7">
                  <c:v>311.29616538499869</c:v>
                </c:pt>
                <c:pt idx="8">
                  <c:v>278.30015490908988</c:v>
                </c:pt>
                <c:pt idx="9">
                  <c:v>272.54406120909181</c:v>
                </c:pt>
                <c:pt idx="10">
                  <c:v>223.3755877386364</c:v>
                </c:pt>
                <c:pt idx="11">
                  <c:v>249.35608455555561</c:v>
                </c:pt>
                <c:pt idx="12">
                  <c:v>209.14797056818142</c:v>
                </c:pt>
                <c:pt idx="13">
                  <c:v>212.79223640000043</c:v>
                </c:pt>
                <c:pt idx="14">
                  <c:v>208.4579922222222</c:v>
                </c:pt>
                <c:pt idx="15">
                  <c:v>229.34949379559998</c:v>
                </c:pt>
                <c:pt idx="16">
                  <c:v>237.86645177608179</c:v>
                </c:pt>
                <c:pt idx="17">
                  <c:v>251.09911710341424</c:v>
                </c:pt>
                <c:pt idx="18">
                  <c:v>251.68406822145423</c:v>
                </c:pt>
                <c:pt idx="19">
                  <c:v>224.29396751201671</c:v>
                </c:pt>
                <c:pt idx="20">
                  <c:v>224.6309028869</c:v>
                </c:pt>
                <c:pt idx="21">
                  <c:v>222.91277081020948</c:v>
                </c:pt>
                <c:pt idx="22">
                  <c:v>243.59655995663641</c:v>
                </c:pt>
                <c:pt idx="23">
                  <c:v>247.39880107210001</c:v>
                </c:pt>
                <c:pt idx="24">
                  <c:v>245.45557462654477</c:v>
                </c:pt>
                <c:pt idx="25">
                  <c:v>246.0944306967111</c:v>
                </c:pt>
                <c:pt idx="26">
                  <c:v>231.82468352297778</c:v>
                </c:pt>
                <c:pt idx="27">
                  <c:v>226.73743309025758</c:v>
                </c:pt>
                <c:pt idx="28">
                  <c:v>226.97146061603488</c:v>
                </c:pt>
                <c:pt idx="29">
                  <c:v>231.7211106892002</c:v>
                </c:pt>
                <c:pt idx="30">
                  <c:v>220.1253080729642</c:v>
                </c:pt>
                <c:pt idx="31">
                  <c:v>242.90877749215099</c:v>
                </c:pt>
                <c:pt idx="32">
                  <c:v>266.94086827169389</c:v>
                </c:pt>
                <c:pt idx="33">
                  <c:v>277.23143929087621</c:v>
                </c:pt>
                <c:pt idx="34">
                  <c:v>291.1350908696183</c:v>
                </c:pt>
                <c:pt idx="35">
                  <c:v>283.12018381525752</c:v>
                </c:pt>
                <c:pt idx="36">
                  <c:v>292.92877935399821</c:v>
                </c:pt>
                <c:pt idx="37">
                  <c:v>308.98899796353828</c:v>
                </c:pt>
                <c:pt idx="38">
                  <c:v>339.40941721111778</c:v>
                </c:pt>
                <c:pt idx="39">
                  <c:v>335.81849418466732</c:v>
                </c:pt>
                <c:pt idx="40">
                  <c:v>365.17882399749499</c:v>
                </c:pt>
                <c:pt idx="41">
                  <c:v>352.39030099507193</c:v>
                </c:pt>
                <c:pt idx="42">
                  <c:v>354.17936418681887</c:v>
                </c:pt>
                <c:pt idx="43">
                  <c:v>349.85749074739999</c:v>
                </c:pt>
                <c:pt idx="44">
                  <c:v>351.49919123223378</c:v>
                </c:pt>
                <c:pt idx="45">
                  <c:v>338.62913034336401</c:v>
                </c:pt>
                <c:pt idx="46">
                  <c:v>326.74675356054519</c:v>
                </c:pt>
                <c:pt idx="47">
                  <c:v>316.04305905821627</c:v>
                </c:pt>
                <c:pt idx="48">
                  <c:v>298.69605674227711</c:v>
                </c:pt>
                <c:pt idx="49">
                  <c:v>314.93355767935924</c:v>
                </c:pt>
                <c:pt idx="50">
                  <c:v>323.09678096476966</c:v>
                </c:pt>
                <c:pt idx="51">
                  <c:v>345.43423086948394</c:v>
                </c:pt>
                <c:pt idx="52">
                  <c:v>345.18046142417722</c:v>
                </c:pt>
                <c:pt idx="53">
                  <c:v>345.08744846428829</c:v>
                </c:pt>
                <c:pt idx="54">
                  <c:v>345.24538437410405</c:v>
                </c:pt>
              </c:numCache>
            </c:numRef>
          </c:val>
        </c:ser>
        <c:ser>
          <c:idx val="2"/>
          <c:order val="2"/>
          <c:tx>
            <c:v>PRECIO LECHE</c:v>
          </c:tx>
          <c:marker>
            <c:symbol val="none"/>
          </c:marker>
          <c:val>
            <c:numRef>
              <c:f>Sheet1!$M$3:$M$59</c:f>
              <c:numCache>
                <c:formatCode>#,##0.00</c:formatCode>
                <c:ptCount val="57"/>
                <c:pt idx="0">
                  <c:v>422.2150048717117</c:v>
                </c:pt>
                <c:pt idx="1">
                  <c:v>459.03629475874789</c:v>
                </c:pt>
                <c:pt idx="2">
                  <c:v>457.89009024719627</c:v>
                </c:pt>
                <c:pt idx="3">
                  <c:v>480.96782042359132</c:v>
                </c:pt>
                <c:pt idx="4">
                  <c:v>485.66235285348142</c:v>
                </c:pt>
                <c:pt idx="5">
                  <c:v>436.81292966271832</c:v>
                </c:pt>
                <c:pt idx="6">
                  <c:v>455.97431881546652</c:v>
                </c:pt>
                <c:pt idx="7">
                  <c:v>427.49197805609862</c:v>
                </c:pt>
                <c:pt idx="8">
                  <c:v>376.24269942693928</c:v>
                </c:pt>
                <c:pt idx="9">
                  <c:v>344.8592974066583</c:v>
                </c:pt>
                <c:pt idx="10">
                  <c:v>355.04745470232962</c:v>
                </c:pt>
                <c:pt idx="11">
                  <c:v>367.71424368980155</c:v>
                </c:pt>
                <c:pt idx="12">
                  <c:v>339.56601803705064</c:v>
                </c:pt>
                <c:pt idx="13">
                  <c:v>321.96467151259026</c:v>
                </c:pt>
                <c:pt idx="14">
                  <c:v>321.52859072720628</c:v>
                </c:pt>
                <c:pt idx="15">
                  <c:v>349.22664727318369</c:v>
                </c:pt>
                <c:pt idx="16">
                  <c:v>372.05129416507634</c:v>
                </c:pt>
                <c:pt idx="17">
                  <c:v>370.01218959871449</c:v>
                </c:pt>
                <c:pt idx="18">
                  <c:v>389.77385651650889</c:v>
                </c:pt>
                <c:pt idx="19">
                  <c:v>387.05904857551081</c:v>
                </c:pt>
                <c:pt idx="20">
                  <c:v>412.81140195113829</c:v>
                </c:pt>
                <c:pt idx="21">
                  <c:v>400.13055263189671</c:v>
                </c:pt>
                <c:pt idx="22">
                  <c:v>399.8662941141173</c:v>
                </c:pt>
                <c:pt idx="23">
                  <c:v>388.61576241420966</c:v>
                </c:pt>
                <c:pt idx="24">
                  <c:v>406.26854647907129</c:v>
                </c:pt>
                <c:pt idx="25">
                  <c:v>420.11988843536454</c:v>
                </c:pt>
                <c:pt idx="26">
                  <c:v>422.83168134206039</c:v>
                </c:pt>
                <c:pt idx="27">
                  <c:v>418.70943358844335</c:v>
                </c:pt>
                <c:pt idx="28">
                  <c:v>410.23152800759084</c:v>
                </c:pt>
                <c:pt idx="29">
                  <c:v>419.20393069022259</c:v>
                </c:pt>
                <c:pt idx="30">
                  <c:v>438.16712701935734</c:v>
                </c:pt>
                <c:pt idx="31">
                  <c:v>439.81890792173766</c:v>
                </c:pt>
                <c:pt idx="32">
                  <c:v>448.57460109040414</c:v>
                </c:pt>
                <c:pt idx="33">
                  <c:v>439.41392262664812</c:v>
                </c:pt>
                <c:pt idx="34">
                  <c:v>420.14555416540372</c:v>
                </c:pt>
                <c:pt idx="35">
                  <c:v>424.09255731610779</c:v>
                </c:pt>
                <c:pt idx="36">
                  <c:v>434.15481680438847</c:v>
                </c:pt>
                <c:pt idx="37">
                  <c:v>428.80241687692171</c:v>
                </c:pt>
                <c:pt idx="38">
                  <c:v>445.99542346787626</c:v>
                </c:pt>
                <c:pt idx="39">
                  <c:v>475.15058653889656</c:v>
                </c:pt>
                <c:pt idx="40">
                  <c:v>469.91142472290164</c:v>
                </c:pt>
                <c:pt idx="41">
                  <c:v>480.12223875956425</c:v>
                </c:pt>
                <c:pt idx="42">
                  <c:v>477.73103243753121</c:v>
                </c:pt>
                <c:pt idx="43">
                  <c:v>483.84059459841302</c:v>
                </c:pt>
                <c:pt idx="44">
                  <c:v>454.41525764252378</c:v>
                </c:pt>
                <c:pt idx="45">
                  <c:v>471.90929882537</c:v>
                </c:pt>
                <c:pt idx="46">
                  <c:v>458.66550459038922</c:v>
                </c:pt>
                <c:pt idx="47">
                  <c:v>465.02505658722629</c:v>
                </c:pt>
                <c:pt idx="48">
                  <c:v>507.40443570771765</c:v>
                </c:pt>
                <c:pt idx="49">
                  <c:v>524.34267320614254</c:v>
                </c:pt>
                <c:pt idx="50">
                  <c:v>519.5109566032578</c:v>
                </c:pt>
                <c:pt idx="51">
                  <c:v>529.02647256403304</c:v>
                </c:pt>
              </c:numCache>
            </c:numRef>
          </c:val>
        </c:ser>
        <c:marker val="1"/>
        <c:axId val="159849472"/>
        <c:axId val="129716992"/>
      </c:lineChart>
      <c:dateAx>
        <c:axId val="159849472"/>
        <c:scaling>
          <c:orientation val="minMax"/>
        </c:scaling>
        <c:axPos val="b"/>
        <c:numFmt formatCode="mmm\-yy" sourceLinked="1"/>
        <c:tickLblPos val="nextTo"/>
        <c:txPr>
          <a:bodyPr/>
          <a:lstStyle/>
          <a:p>
            <a:pPr>
              <a:defRPr lang="en-US" sz="600"/>
            </a:pPr>
            <a:endParaRPr lang="en-US"/>
          </a:p>
        </c:txPr>
        <c:crossAx val="129716992"/>
        <c:crosses val="autoZero"/>
        <c:auto val="1"/>
        <c:lblOffset val="100"/>
        <c:baseTimeUnit val="months"/>
      </c:dateAx>
      <c:valAx>
        <c:axId val="129716992"/>
        <c:scaling>
          <c:orientation val="minMax"/>
        </c:scaling>
        <c:axPos val="l"/>
        <c:majorGridlines/>
        <c:title>
          <c:tx>
            <c:rich>
              <a:bodyPr rot="-5400000" vert="horz"/>
              <a:lstStyle/>
              <a:p>
                <a:pPr>
                  <a:defRPr lang="en-US" sz="600"/>
                </a:pPr>
                <a:r>
                  <a:rPr lang="en-US" sz="600"/>
                  <a:t>$US/TON</a:t>
                </a:r>
              </a:p>
            </c:rich>
          </c:tx>
        </c:title>
        <c:numFmt formatCode="#,##0.00" sourceLinked="1"/>
        <c:tickLblPos val="nextTo"/>
        <c:txPr>
          <a:bodyPr/>
          <a:lstStyle/>
          <a:p>
            <a:pPr>
              <a:defRPr lang="en-US" sz="600"/>
            </a:pPr>
            <a:endParaRPr lang="en-US"/>
          </a:p>
        </c:txPr>
        <c:crossAx val="159849472"/>
        <c:crosses val="autoZero"/>
        <c:crossBetween val="between"/>
      </c:valAx>
    </c:plotArea>
    <c:legend>
      <c:legendPos val="b"/>
      <c:txPr>
        <a:bodyPr/>
        <a:lstStyle/>
        <a:p>
          <a:pPr>
            <a:defRPr lang="en-US" sz="500"/>
          </a:pPr>
          <a:endParaRPr lang="en-US"/>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lineChart>
        <c:grouping val="standard"/>
        <c:ser>
          <c:idx val="0"/>
          <c:order val="0"/>
          <c:tx>
            <c:v>Precio Soya Colombia</c:v>
          </c:tx>
          <c:marker>
            <c:symbol val="none"/>
          </c:marker>
          <c:cat>
            <c:numRef>
              <c:f>Sheet1!$A$3:$A$59</c:f>
              <c:numCache>
                <c:formatCode>mmm\-yy</c:formatCode>
                <c:ptCount val="57"/>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pt idx="55">
                  <c:v>41122</c:v>
                </c:pt>
                <c:pt idx="56">
                  <c:v>41153</c:v>
                </c:pt>
              </c:numCache>
            </c:numRef>
          </c:cat>
          <c:val>
            <c:numRef>
              <c:f>Sheet1!$I$3:$I$57</c:f>
              <c:numCache>
                <c:formatCode>#,##0.00</c:formatCode>
                <c:ptCount val="55"/>
                <c:pt idx="0">
                  <c:v>627.72008821613497</c:v>
                </c:pt>
                <c:pt idx="1">
                  <c:v>627.91921303938557</c:v>
                </c:pt>
                <c:pt idx="2">
                  <c:v>626.91752811413062</c:v>
                </c:pt>
                <c:pt idx="3">
                  <c:v>645.77931348582842</c:v>
                </c:pt>
                <c:pt idx="4">
                  <c:v>643.92958016675254</c:v>
                </c:pt>
                <c:pt idx="5">
                  <c:v>731.00076513861552</c:v>
                </c:pt>
                <c:pt idx="6">
                  <c:v>675.99300495386296</c:v>
                </c:pt>
                <c:pt idx="7">
                  <c:v>694.18867285513716</c:v>
                </c:pt>
                <c:pt idx="8">
                  <c:v>560.35416482390747</c:v>
                </c:pt>
                <c:pt idx="9">
                  <c:v>516.15924789660289</c:v>
                </c:pt>
                <c:pt idx="10">
                  <c:v>499.32240794229455</c:v>
                </c:pt>
                <c:pt idx="11">
                  <c:v>482.29409420248476</c:v>
                </c:pt>
                <c:pt idx="12">
                  <c:v>466.73605439190629</c:v>
                </c:pt>
                <c:pt idx="13">
                  <c:v>436.38044056855182</c:v>
                </c:pt>
                <c:pt idx="14">
                  <c:v>440.29508050549964</c:v>
                </c:pt>
                <c:pt idx="15">
                  <c:v>456.96022984531999</c:v>
                </c:pt>
                <c:pt idx="16">
                  <c:v>497.3122212090243</c:v>
                </c:pt>
                <c:pt idx="17">
                  <c:v>540.30620915514237</c:v>
                </c:pt>
                <c:pt idx="18">
                  <c:v>562.29699287952781</c:v>
                </c:pt>
                <c:pt idx="19">
                  <c:v>531.82408015296039</c:v>
                </c:pt>
                <c:pt idx="20">
                  <c:v>545.17499639605796</c:v>
                </c:pt>
                <c:pt idx="21">
                  <c:v>541.38185231220837</c:v>
                </c:pt>
                <c:pt idx="22">
                  <c:v>497.89264613444954</c:v>
                </c:pt>
                <c:pt idx="23">
                  <c:v>524.67029838925293</c:v>
                </c:pt>
                <c:pt idx="24">
                  <c:v>543.88459799379541</c:v>
                </c:pt>
                <c:pt idx="25">
                  <c:v>535.53552499857199</c:v>
                </c:pt>
                <c:pt idx="26">
                  <c:v>529.91721023235289</c:v>
                </c:pt>
                <c:pt idx="27">
                  <c:v>518.60707304879804</c:v>
                </c:pt>
                <c:pt idx="28">
                  <c:v>493.15007201097052</c:v>
                </c:pt>
                <c:pt idx="29">
                  <c:v>537.75734103219884</c:v>
                </c:pt>
                <c:pt idx="30">
                  <c:v>525.8253131737074</c:v>
                </c:pt>
                <c:pt idx="31">
                  <c:v>547.67479240126352</c:v>
                </c:pt>
                <c:pt idx="32">
                  <c:v>544.63613729327187</c:v>
                </c:pt>
                <c:pt idx="33">
                  <c:v>538.16385732256151</c:v>
                </c:pt>
                <c:pt idx="34">
                  <c:v>519.29821555822195</c:v>
                </c:pt>
                <c:pt idx="35">
                  <c:v>570.68173631705736</c:v>
                </c:pt>
                <c:pt idx="36">
                  <c:v>641.11811290323681</c:v>
                </c:pt>
                <c:pt idx="37">
                  <c:v>628.66425655744331</c:v>
                </c:pt>
                <c:pt idx="38">
                  <c:v>623.61886010920944</c:v>
                </c:pt>
                <c:pt idx="39">
                  <c:v>653.33069412485236</c:v>
                </c:pt>
                <c:pt idx="40">
                  <c:v>698.97559650625305</c:v>
                </c:pt>
                <c:pt idx="41">
                  <c:v>741.30798069726734</c:v>
                </c:pt>
                <c:pt idx="42">
                  <c:v>674.70687299706321</c:v>
                </c:pt>
                <c:pt idx="43">
                  <c:v>671.41481277182413</c:v>
                </c:pt>
                <c:pt idx="44">
                  <c:v>604.24971703525262</c:v>
                </c:pt>
                <c:pt idx="45">
                  <c:v>572.43311991878181</c:v>
                </c:pt>
                <c:pt idx="46">
                  <c:v>541.53437226694825</c:v>
                </c:pt>
                <c:pt idx="47">
                  <c:v>544.69632198509157</c:v>
                </c:pt>
                <c:pt idx="48">
                  <c:v>593.79240264276154</c:v>
                </c:pt>
                <c:pt idx="49">
                  <c:v>599.02943813955869</c:v>
                </c:pt>
                <c:pt idx="50">
                  <c:v>613.41642126171041</c:v>
                </c:pt>
                <c:pt idx="51">
                  <c:v>644.28378636901675</c:v>
                </c:pt>
                <c:pt idx="52">
                  <c:v>620.54305138172242</c:v>
                </c:pt>
                <c:pt idx="53">
                  <c:v>664.415612718072</c:v>
                </c:pt>
                <c:pt idx="54">
                  <c:v>717.09147389168652</c:v>
                </c:pt>
              </c:numCache>
            </c:numRef>
          </c:val>
        </c:ser>
        <c:ser>
          <c:idx val="1"/>
          <c:order val="1"/>
          <c:tx>
            <c:v>Precio Soya Internado</c:v>
          </c:tx>
          <c:marker>
            <c:symbol val="none"/>
          </c:marker>
          <c:cat>
            <c:numRef>
              <c:f>Sheet1!$A$3:$A$59</c:f>
              <c:numCache>
                <c:formatCode>mmm\-yy</c:formatCode>
                <c:ptCount val="57"/>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pt idx="55">
                  <c:v>41122</c:v>
                </c:pt>
                <c:pt idx="56">
                  <c:v>41153</c:v>
                </c:pt>
              </c:numCache>
            </c:numRef>
          </c:cat>
          <c:val>
            <c:numRef>
              <c:f>Sheet1!$J$3:$J$59</c:f>
              <c:numCache>
                <c:formatCode>#,##0.00</c:formatCode>
                <c:ptCount val="57"/>
                <c:pt idx="0">
                  <c:v>494.23323574999677</c:v>
                </c:pt>
                <c:pt idx="1">
                  <c:v>528.82435050909214</c:v>
                </c:pt>
                <c:pt idx="2">
                  <c:v>582.68288900000005</c:v>
                </c:pt>
                <c:pt idx="3">
                  <c:v>561.41623519999621</c:v>
                </c:pt>
                <c:pt idx="4">
                  <c:v>554.86924999999678</c:v>
                </c:pt>
                <c:pt idx="5">
                  <c:v>555.221</c:v>
                </c:pt>
                <c:pt idx="6">
                  <c:v>632.0046411363636</c:v>
                </c:pt>
                <c:pt idx="7">
                  <c:v>641.37898730000052</c:v>
                </c:pt>
                <c:pt idx="8">
                  <c:v>548.52660701818183</c:v>
                </c:pt>
                <c:pt idx="9">
                  <c:v>514.29239079090837</c:v>
                </c:pt>
                <c:pt idx="10">
                  <c:v>410.62602165909101</c:v>
                </c:pt>
                <c:pt idx="11">
                  <c:v>405.97881399999869</c:v>
                </c:pt>
                <c:pt idx="12">
                  <c:v>407.01158796363626</c:v>
                </c:pt>
                <c:pt idx="13">
                  <c:v>442.45190509999929</c:v>
                </c:pt>
                <c:pt idx="14">
                  <c:v>417.77389333333417</c:v>
                </c:pt>
                <c:pt idx="15">
                  <c:v>459.50983060000038</c:v>
                </c:pt>
                <c:pt idx="16">
                  <c:v>491.83428981524042</c:v>
                </c:pt>
                <c:pt idx="17">
                  <c:v>499.11634156709169</c:v>
                </c:pt>
                <c:pt idx="18">
                  <c:v>524.11884630418353</c:v>
                </c:pt>
                <c:pt idx="19">
                  <c:v>501.72603955206165</c:v>
                </c:pt>
                <c:pt idx="20">
                  <c:v>520.31456685507248</c:v>
                </c:pt>
                <c:pt idx="21">
                  <c:v>489.75945357728529</c:v>
                </c:pt>
                <c:pt idx="22">
                  <c:v>490.74249733851468</c:v>
                </c:pt>
                <c:pt idx="23">
                  <c:v>491.0544999710105</c:v>
                </c:pt>
                <c:pt idx="24">
                  <c:v>491.02853915270828</c:v>
                </c:pt>
                <c:pt idx="25">
                  <c:v>482.16292149361612</c:v>
                </c:pt>
                <c:pt idx="26">
                  <c:v>471.49163616969821</c:v>
                </c:pt>
                <c:pt idx="27">
                  <c:v>472.42089806065889</c:v>
                </c:pt>
                <c:pt idx="28">
                  <c:v>479.83629095858731</c:v>
                </c:pt>
                <c:pt idx="29">
                  <c:v>475.64237773070056</c:v>
                </c:pt>
                <c:pt idx="30">
                  <c:v>481.05335038318196</c:v>
                </c:pt>
                <c:pt idx="31">
                  <c:v>502.70518776580894</c:v>
                </c:pt>
                <c:pt idx="32">
                  <c:v>503.22110190482789</c:v>
                </c:pt>
                <c:pt idx="33">
                  <c:v>503.53612070579288</c:v>
                </c:pt>
                <c:pt idx="34">
                  <c:v>514.21988478011485</c:v>
                </c:pt>
                <c:pt idx="35">
                  <c:v>539.72219788802727</c:v>
                </c:pt>
                <c:pt idx="36">
                  <c:v>564.46337065527302</c:v>
                </c:pt>
                <c:pt idx="37">
                  <c:v>587.35902487319936</c:v>
                </c:pt>
                <c:pt idx="38">
                  <c:v>587.81943318497338</c:v>
                </c:pt>
                <c:pt idx="39">
                  <c:v>575.36164335177239</c:v>
                </c:pt>
                <c:pt idx="40">
                  <c:v>577.5678714395151</c:v>
                </c:pt>
                <c:pt idx="41">
                  <c:v>574.0004924778558</c:v>
                </c:pt>
                <c:pt idx="42">
                  <c:v>581.42919030163659</c:v>
                </c:pt>
                <c:pt idx="43">
                  <c:v>586.86515979239516</c:v>
                </c:pt>
                <c:pt idx="44">
                  <c:v>578.71269888381391</c:v>
                </c:pt>
                <c:pt idx="45">
                  <c:v>559.7795936236738</c:v>
                </c:pt>
                <c:pt idx="46">
                  <c:v>523.93973687784853</c:v>
                </c:pt>
                <c:pt idx="47">
                  <c:v>536.33393578832658</c:v>
                </c:pt>
                <c:pt idx="48">
                  <c:v>536.17864254752635</c:v>
                </c:pt>
                <c:pt idx="49">
                  <c:v>536.77929112365473</c:v>
                </c:pt>
                <c:pt idx="50">
                  <c:v>543.573286685575</c:v>
                </c:pt>
                <c:pt idx="51">
                  <c:v>609.92996227979961</c:v>
                </c:pt>
                <c:pt idx="52">
                  <c:v>611.05088770459838</c:v>
                </c:pt>
                <c:pt idx="53">
                  <c:v>610.97216753986902</c:v>
                </c:pt>
                <c:pt idx="54">
                  <c:v>612.12576236518805</c:v>
                </c:pt>
                <c:pt idx="55">
                  <c:v>783.16459794038803</c:v>
                </c:pt>
                <c:pt idx="56">
                  <c:v>722.1656288210412</c:v>
                </c:pt>
              </c:numCache>
            </c:numRef>
          </c:val>
        </c:ser>
        <c:ser>
          <c:idx val="2"/>
          <c:order val="2"/>
          <c:tx>
            <c:v>Precio de la Leche</c:v>
          </c:tx>
          <c:marker>
            <c:symbol val="none"/>
          </c:marker>
          <c:cat>
            <c:numRef>
              <c:f>Sheet1!$A$3:$A$59</c:f>
              <c:numCache>
                <c:formatCode>mmm\-yy</c:formatCode>
                <c:ptCount val="57"/>
                <c:pt idx="0">
                  <c:v>39448</c:v>
                </c:pt>
                <c:pt idx="1">
                  <c:v>39479</c:v>
                </c:pt>
                <c:pt idx="2">
                  <c:v>39508</c:v>
                </c:pt>
                <c:pt idx="3">
                  <c:v>39539</c:v>
                </c:pt>
                <c:pt idx="4">
                  <c:v>39569</c:v>
                </c:pt>
                <c:pt idx="5">
                  <c:v>39600</c:v>
                </c:pt>
                <c:pt idx="6">
                  <c:v>39630</c:v>
                </c:pt>
                <c:pt idx="7">
                  <c:v>39661</c:v>
                </c:pt>
                <c:pt idx="8">
                  <c:v>39692</c:v>
                </c:pt>
                <c:pt idx="9">
                  <c:v>39722</c:v>
                </c:pt>
                <c:pt idx="10">
                  <c:v>39753</c:v>
                </c:pt>
                <c:pt idx="11">
                  <c:v>39783</c:v>
                </c:pt>
                <c:pt idx="12">
                  <c:v>39814</c:v>
                </c:pt>
                <c:pt idx="13">
                  <c:v>39845</c:v>
                </c:pt>
                <c:pt idx="14">
                  <c:v>39873</c:v>
                </c:pt>
                <c:pt idx="15">
                  <c:v>39904</c:v>
                </c:pt>
                <c:pt idx="16">
                  <c:v>39934</c:v>
                </c:pt>
                <c:pt idx="17">
                  <c:v>39965</c:v>
                </c:pt>
                <c:pt idx="18">
                  <c:v>39995</c:v>
                </c:pt>
                <c:pt idx="19">
                  <c:v>40026</c:v>
                </c:pt>
                <c:pt idx="20">
                  <c:v>40057</c:v>
                </c:pt>
                <c:pt idx="21">
                  <c:v>40087</c:v>
                </c:pt>
                <c:pt idx="22">
                  <c:v>40118</c:v>
                </c:pt>
                <c:pt idx="23">
                  <c:v>40148</c:v>
                </c:pt>
                <c:pt idx="24">
                  <c:v>40179</c:v>
                </c:pt>
                <c:pt idx="25">
                  <c:v>40210</c:v>
                </c:pt>
                <c:pt idx="26">
                  <c:v>40238</c:v>
                </c:pt>
                <c:pt idx="27">
                  <c:v>40269</c:v>
                </c:pt>
                <c:pt idx="28">
                  <c:v>40299</c:v>
                </c:pt>
                <c:pt idx="29">
                  <c:v>40330</c:v>
                </c:pt>
                <c:pt idx="30">
                  <c:v>40360</c:v>
                </c:pt>
                <c:pt idx="31">
                  <c:v>40391</c:v>
                </c:pt>
                <c:pt idx="32">
                  <c:v>40422</c:v>
                </c:pt>
                <c:pt idx="33">
                  <c:v>40452</c:v>
                </c:pt>
                <c:pt idx="34">
                  <c:v>40483</c:v>
                </c:pt>
                <c:pt idx="35">
                  <c:v>40513</c:v>
                </c:pt>
                <c:pt idx="36">
                  <c:v>40544</c:v>
                </c:pt>
                <c:pt idx="37">
                  <c:v>40575</c:v>
                </c:pt>
                <c:pt idx="38">
                  <c:v>40603</c:v>
                </c:pt>
                <c:pt idx="39">
                  <c:v>40634</c:v>
                </c:pt>
                <c:pt idx="40">
                  <c:v>40664</c:v>
                </c:pt>
                <c:pt idx="41">
                  <c:v>40695</c:v>
                </c:pt>
                <c:pt idx="42">
                  <c:v>40725</c:v>
                </c:pt>
                <c:pt idx="43">
                  <c:v>40756</c:v>
                </c:pt>
                <c:pt idx="44">
                  <c:v>40787</c:v>
                </c:pt>
                <c:pt idx="45">
                  <c:v>40817</c:v>
                </c:pt>
                <c:pt idx="46">
                  <c:v>40848</c:v>
                </c:pt>
                <c:pt idx="47">
                  <c:v>40878</c:v>
                </c:pt>
                <c:pt idx="48">
                  <c:v>40909</c:v>
                </c:pt>
                <c:pt idx="49">
                  <c:v>40940</c:v>
                </c:pt>
                <c:pt idx="50">
                  <c:v>40969</c:v>
                </c:pt>
                <c:pt idx="51">
                  <c:v>41000</c:v>
                </c:pt>
                <c:pt idx="52">
                  <c:v>41030</c:v>
                </c:pt>
                <c:pt idx="53">
                  <c:v>41061</c:v>
                </c:pt>
                <c:pt idx="54">
                  <c:v>41091</c:v>
                </c:pt>
                <c:pt idx="55">
                  <c:v>41122</c:v>
                </c:pt>
                <c:pt idx="56">
                  <c:v>41153</c:v>
                </c:pt>
              </c:numCache>
            </c:numRef>
          </c:cat>
          <c:val>
            <c:numRef>
              <c:f>Sheet1!$M$3:$M$54</c:f>
              <c:numCache>
                <c:formatCode>#,##0.00</c:formatCode>
                <c:ptCount val="52"/>
                <c:pt idx="0">
                  <c:v>422.2150048717117</c:v>
                </c:pt>
                <c:pt idx="1">
                  <c:v>459.03629475874789</c:v>
                </c:pt>
                <c:pt idx="2">
                  <c:v>457.89009024719627</c:v>
                </c:pt>
                <c:pt idx="3">
                  <c:v>480.96782042359132</c:v>
                </c:pt>
                <c:pt idx="4">
                  <c:v>485.66235285348142</c:v>
                </c:pt>
                <c:pt idx="5">
                  <c:v>436.81292966271832</c:v>
                </c:pt>
                <c:pt idx="6">
                  <c:v>455.97431881546652</c:v>
                </c:pt>
                <c:pt idx="7">
                  <c:v>427.49197805609862</c:v>
                </c:pt>
                <c:pt idx="8">
                  <c:v>376.24269942693928</c:v>
                </c:pt>
                <c:pt idx="9">
                  <c:v>344.8592974066583</c:v>
                </c:pt>
                <c:pt idx="10">
                  <c:v>355.04745470232962</c:v>
                </c:pt>
                <c:pt idx="11">
                  <c:v>367.71424368980155</c:v>
                </c:pt>
                <c:pt idx="12">
                  <c:v>339.56601803705064</c:v>
                </c:pt>
                <c:pt idx="13">
                  <c:v>321.96467151259026</c:v>
                </c:pt>
                <c:pt idx="14">
                  <c:v>321.52859072720628</c:v>
                </c:pt>
                <c:pt idx="15">
                  <c:v>349.22664727318369</c:v>
                </c:pt>
                <c:pt idx="16">
                  <c:v>372.05129416507634</c:v>
                </c:pt>
                <c:pt idx="17">
                  <c:v>370.01218959871449</c:v>
                </c:pt>
                <c:pt idx="18">
                  <c:v>389.77385651650889</c:v>
                </c:pt>
                <c:pt idx="19">
                  <c:v>387.05904857551081</c:v>
                </c:pt>
                <c:pt idx="20">
                  <c:v>412.81140195113829</c:v>
                </c:pt>
                <c:pt idx="21">
                  <c:v>400.13055263189671</c:v>
                </c:pt>
                <c:pt idx="22">
                  <c:v>399.8662941141173</c:v>
                </c:pt>
                <c:pt idx="23">
                  <c:v>388.61576241420966</c:v>
                </c:pt>
                <c:pt idx="24">
                  <c:v>406.26854647907129</c:v>
                </c:pt>
                <c:pt idx="25">
                  <c:v>420.11988843536454</c:v>
                </c:pt>
                <c:pt idx="26">
                  <c:v>422.83168134206039</c:v>
                </c:pt>
                <c:pt idx="27">
                  <c:v>418.70943358844335</c:v>
                </c:pt>
                <c:pt idx="28">
                  <c:v>410.23152800759084</c:v>
                </c:pt>
                <c:pt idx="29">
                  <c:v>419.20393069022259</c:v>
                </c:pt>
                <c:pt idx="30">
                  <c:v>438.16712701935734</c:v>
                </c:pt>
                <c:pt idx="31">
                  <c:v>439.81890792173766</c:v>
                </c:pt>
                <c:pt idx="32">
                  <c:v>448.57460109040414</c:v>
                </c:pt>
                <c:pt idx="33">
                  <c:v>439.41392262664812</c:v>
                </c:pt>
                <c:pt idx="34">
                  <c:v>420.14555416540372</c:v>
                </c:pt>
                <c:pt idx="35">
                  <c:v>424.09255731610779</c:v>
                </c:pt>
                <c:pt idx="36">
                  <c:v>434.15481680438847</c:v>
                </c:pt>
                <c:pt idx="37">
                  <c:v>428.80241687692171</c:v>
                </c:pt>
                <c:pt idx="38">
                  <c:v>445.99542346787626</c:v>
                </c:pt>
                <c:pt idx="39">
                  <c:v>475.15058653889656</c:v>
                </c:pt>
                <c:pt idx="40">
                  <c:v>469.91142472290164</c:v>
                </c:pt>
                <c:pt idx="41">
                  <c:v>480.12223875956425</c:v>
                </c:pt>
                <c:pt idx="42">
                  <c:v>477.73103243753121</c:v>
                </c:pt>
                <c:pt idx="43">
                  <c:v>483.84059459841302</c:v>
                </c:pt>
                <c:pt idx="44">
                  <c:v>454.41525764252378</c:v>
                </c:pt>
                <c:pt idx="45">
                  <c:v>471.90929882537</c:v>
                </c:pt>
                <c:pt idx="46">
                  <c:v>458.66550459038922</c:v>
                </c:pt>
                <c:pt idx="47">
                  <c:v>465.02505658722629</c:v>
                </c:pt>
                <c:pt idx="48">
                  <c:v>507.40443570771765</c:v>
                </c:pt>
                <c:pt idx="49">
                  <c:v>524.34267320614254</c:v>
                </c:pt>
                <c:pt idx="50">
                  <c:v>519.5109566032578</c:v>
                </c:pt>
                <c:pt idx="51">
                  <c:v>529.02647256403304</c:v>
                </c:pt>
              </c:numCache>
            </c:numRef>
          </c:val>
        </c:ser>
        <c:marker val="1"/>
        <c:axId val="129755008"/>
        <c:axId val="129756544"/>
      </c:lineChart>
      <c:dateAx>
        <c:axId val="129755008"/>
        <c:scaling>
          <c:orientation val="minMax"/>
        </c:scaling>
        <c:axPos val="b"/>
        <c:numFmt formatCode="mmm\-yy" sourceLinked="1"/>
        <c:tickLblPos val="nextTo"/>
        <c:txPr>
          <a:bodyPr/>
          <a:lstStyle/>
          <a:p>
            <a:pPr>
              <a:defRPr lang="en-US" sz="500"/>
            </a:pPr>
            <a:endParaRPr lang="en-US"/>
          </a:p>
        </c:txPr>
        <c:crossAx val="129756544"/>
        <c:crosses val="autoZero"/>
        <c:auto val="1"/>
        <c:lblOffset val="100"/>
        <c:baseTimeUnit val="months"/>
      </c:dateAx>
      <c:valAx>
        <c:axId val="129756544"/>
        <c:scaling>
          <c:orientation val="minMax"/>
        </c:scaling>
        <c:axPos val="l"/>
        <c:majorGridlines/>
        <c:title>
          <c:tx>
            <c:rich>
              <a:bodyPr rot="-5400000" vert="horz"/>
              <a:lstStyle/>
              <a:p>
                <a:pPr>
                  <a:defRPr lang="en-US" sz="600"/>
                </a:pPr>
                <a:r>
                  <a:rPr lang="en-US" sz="600"/>
                  <a:t>US/TON</a:t>
                </a:r>
              </a:p>
            </c:rich>
          </c:tx>
        </c:title>
        <c:numFmt formatCode="#,##0" sourceLinked="0"/>
        <c:tickLblPos val="nextTo"/>
        <c:txPr>
          <a:bodyPr/>
          <a:lstStyle/>
          <a:p>
            <a:pPr>
              <a:defRPr lang="en-US" sz="500"/>
            </a:pPr>
            <a:endParaRPr lang="en-US"/>
          </a:p>
        </c:txPr>
        <c:crossAx val="129755008"/>
        <c:crosses val="autoZero"/>
        <c:crossBetween val="between"/>
      </c:valAx>
    </c:plotArea>
    <c:legend>
      <c:legendPos val="b"/>
      <c:txPr>
        <a:bodyPr/>
        <a:lstStyle/>
        <a:p>
          <a:pPr>
            <a:defRPr lang="en-US" sz="500"/>
          </a:pPr>
          <a:endParaRPr lang="en-US"/>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lang="es-CO" sz="1000"/>
            </a:pPr>
            <a:r>
              <a:rPr lang="en-US" sz="1000"/>
              <a:t>Valor agregado por trabajador a la actividad agrícola </a:t>
            </a:r>
          </a:p>
          <a:p>
            <a:pPr>
              <a:defRPr lang="es-CO" sz="1000"/>
            </a:pPr>
            <a:r>
              <a:rPr lang="en-US" sz="1000"/>
              <a:t>(US$ a precios constantes de 2000)</a:t>
            </a:r>
          </a:p>
        </c:rich>
      </c:tx>
    </c:title>
    <c:plotArea>
      <c:layout/>
      <c:barChart>
        <c:barDir val="col"/>
        <c:grouping val="clustered"/>
        <c:ser>
          <c:idx val="0"/>
          <c:order val="0"/>
          <c:tx>
            <c:v>Valor agregado por trabajador a la actividad agrícola (US$ a precios constantes de 2000)</c:v>
          </c:tx>
          <c:cat>
            <c:strRef>
              <c:f>Sheet2!$A$2:$A$14</c:f>
              <c:strCache>
                <c:ptCount val="13"/>
                <c:pt idx="0">
                  <c:v>Francia</c:v>
                </c:pt>
                <c:pt idx="1">
                  <c:v>Estados Unidos</c:v>
                </c:pt>
                <c:pt idx="2">
                  <c:v>Suecia</c:v>
                </c:pt>
                <c:pt idx="3">
                  <c:v>Canadá</c:v>
                </c:pt>
                <c:pt idx="4">
                  <c:v>Suiza</c:v>
                </c:pt>
                <c:pt idx="5">
                  <c:v>Nueva Zelandia</c:v>
                </c:pt>
                <c:pt idx="6">
                  <c:v>Reino Unido</c:v>
                </c:pt>
                <c:pt idx="7">
                  <c:v>Argentina</c:v>
                </c:pt>
                <c:pt idx="8">
                  <c:v>Uruguay</c:v>
                </c:pt>
                <c:pt idx="9">
                  <c:v>Chile</c:v>
                </c:pt>
                <c:pt idx="10">
                  <c:v>Brasil</c:v>
                </c:pt>
                <c:pt idx="11">
                  <c:v>México</c:v>
                </c:pt>
                <c:pt idx="12">
                  <c:v>Colombia</c:v>
                </c:pt>
              </c:strCache>
            </c:strRef>
          </c:cat>
          <c:val>
            <c:numRef>
              <c:f>Sheet2!$B$2:$B$14</c:f>
              <c:numCache>
                <c:formatCode>#,##0</c:formatCode>
                <c:ptCount val="13"/>
                <c:pt idx="0">
                  <c:v>57973</c:v>
                </c:pt>
                <c:pt idx="1">
                  <c:v>52177</c:v>
                </c:pt>
                <c:pt idx="2">
                  <c:v>50656</c:v>
                </c:pt>
                <c:pt idx="3">
                  <c:v>48909</c:v>
                </c:pt>
                <c:pt idx="4">
                  <c:v>26954</c:v>
                </c:pt>
                <c:pt idx="5">
                  <c:v>26556</c:v>
                </c:pt>
                <c:pt idx="6">
                  <c:v>26330</c:v>
                </c:pt>
                <c:pt idx="7">
                  <c:v>10064</c:v>
                </c:pt>
                <c:pt idx="8">
                  <c:v>8528</c:v>
                </c:pt>
                <c:pt idx="9">
                  <c:v>6214</c:v>
                </c:pt>
                <c:pt idx="10">
                  <c:v>3834</c:v>
                </c:pt>
                <c:pt idx="11">
                  <c:v>3157</c:v>
                </c:pt>
                <c:pt idx="12">
                  <c:v>2862</c:v>
                </c:pt>
              </c:numCache>
            </c:numRef>
          </c:val>
        </c:ser>
        <c:axId val="129784832"/>
        <c:axId val="129798912"/>
      </c:barChart>
      <c:catAx>
        <c:axId val="129784832"/>
        <c:scaling>
          <c:orientation val="minMax"/>
        </c:scaling>
        <c:axPos val="b"/>
        <c:tickLblPos val="nextTo"/>
        <c:txPr>
          <a:bodyPr/>
          <a:lstStyle/>
          <a:p>
            <a:pPr>
              <a:defRPr lang="es-CO" sz="700"/>
            </a:pPr>
            <a:endParaRPr lang="en-US"/>
          </a:p>
        </c:txPr>
        <c:crossAx val="129798912"/>
        <c:crosses val="autoZero"/>
        <c:auto val="1"/>
        <c:lblAlgn val="ctr"/>
        <c:lblOffset val="100"/>
      </c:catAx>
      <c:valAx>
        <c:axId val="129798912"/>
        <c:scaling>
          <c:orientation val="minMax"/>
        </c:scaling>
        <c:axPos val="l"/>
        <c:majorGridlines/>
        <c:numFmt formatCode="#,##0" sourceLinked="1"/>
        <c:tickLblPos val="nextTo"/>
        <c:txPr>
          <a:bodyPr/>
          <a:lstStyle/>
          <a:p>
            <a:pPr>
              <a:defRPr lang="es-CO" sz="800"/>
            </a:pPr>
            <a:endParaRPr lang="en-US"/>
          </a:p>
        </c:txPr>
        <c:crossAx val="129784832"/>
        <c:crosses val="autoZero"/>
        <c:crossBetween val="between"/>
      </c:valAx>
    </c:plotArea>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cdr:x>
      <cdr:y>0.9445</cdr:y>
    </cdr:from>
    <cdr:to>
      <cdr:x>0</cdr:x>
      <cdr:y>0.94666</cdr:y>
    </cdr:to>
    <cdr:sp macro="" textlink="">
      <cdr:nvSpPr>
        <cdr:cNvPr id="2" name="1 CuadroTexto"/>
        <cdr:cNvSpPr txBox="1"/>
      </cdr:nvSpPr>
      <cdr:spPr>
        <a:xfrm xmlns:a="http://schemas.openxmlformats.org/drawingml/2006/main">
          <a:off x="0" y="2628900"/>
          <a:ext cx="914400" cy="1809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800"/>
            <a:t>Fuente:</a:t>
          </a:r>
          <a:r>
            <a:rPr lang="es-ES" sz="800" baseline="0"/>
            <a:t> USP</a:t>
          </a:r>
          <a:endParaRPr lang="es-ES" sz="80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2160</Words>
  <Characters>12312</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14444</CharactersWithSpaces>
  <SharedDoc>false</SharedDoc>
  <HLinks>
    <vt:vector size="6" baseType="variant">
      <vt:variant>
        <vt:i4>3604580</vt:i4>
      </vt:variant>
      <vt:variant>
        <vt:i4>0</vt:i4>
      </vt:variant>
      <vt:variant>
        <vt:i4>0</vt:i4>
      </vt:variant>
      <vt:variant>
        <vt:i4>5</vt:i4>
      </vt:variant>
      <vt:variant>
        <vt:lpwstr>http://www.ifcnnetwork.org/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JAV0000</dc:creator>
  <cp:keywords/>
  <dc:description/>
  <cp:lastModifiedBy>Your User Name</cp:lastModifiedBy>
  <cp:revision>25</cp:revision>
  <dcterms:created xsi:type="dcterms:W3CDTF">2012-12-02T01:35:00Z</dcterms:created>
  <dcterms:modified xsi:type="dcterms:W3CDTF">2012-12-02T02:16:00Z</dcterms:modified>
</cp:coreProperties>
</file>