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ED" w:rsidRPr="00141B3B" w:rsidRDefault="002951ED" w:rsidP="002951ED">
      <w:pPr>
        <w:spacing w:before="100" w:beforeAutospacing="1" w:after="100" w:afterAutospacing="1" w:line="360" w:lineRule="auto"/>
        <w:jc w:val="center"/>
        <w:rPr>
          <w:rFonts w:ascii="Arial" w:eastAsia="Times New Roman" w:hAnsi="Arial" w:cs="Arial"/>
          <w:b/>
          <w:bCs/>
          <w:color w:val="000000"/>
          <w:sz w:val="27"/>
          <w:szCs w:val="27"/>
        </w:rPr>
      </w:pPr>
    </w:p>
    <w:p w:rsidR="002951ED" w:rsidRPr="00141B3B" w:rsidRDefault="002951ED" w:rsidP="002951ED">
      <w:pPr>
        <w:spacing w:before="100" w:beforeAutospacing="1" w:after="100" w:afterAutospacing="1" w:line="360" w:lineRule="auto"/>
        <w:jc w:val="center"/>
        <w:rPr>
          <w:rFonts w:ascii="Arial" w:eastAsia="Times New Roman" w:hAnsi="Arial" w:cs="Arial"/>
          <w:color w:val="000000"/>
          <w:sz w:val="27"/>
          <w:szCs w:val="27"/>
        </w:rPr>
      </w:pPr>
      <w:r w:rsidRPr="00141B3B">
        <w:rPr>
          <w:rFonts w:ascii="Arial" w:eastAsia="Times New Roman" w:hAnsi="Arial" w:cs="Arial"/>
          <w:b/>
          <w:bCs/>
          <w:color w:val="000000"/>
          <w:sz w:val="27"/>
          <w:szCs w:val="27"/>
        </w:rPr>
        <w:t>Proyecto de Ley N° ____ DE 2017</w:t>
      </w:r>
    </w:p>
    <w:p w:rsidR="002951ED" w:rsidRPr="00141B3B" w:rsidRDefault="002951ED" w:rsidP="002951ED">
      <w:pPr>
        <w:spacing w:before="100" w:beforeAutospacing="1" w:after="100" w:afterAutospacing="1" w:line="240" w:lineRule="auto"/>
        <w:jc w:val="center"/>
        <w:rPr>
          <w:rFonts w:ascii="Arial" w:eastAsia="Times New Roman" w:hAnsi="Arial" w:cs="Arial"/>
          <w:color w:val="000000"/>
          <w:sz w:val="27"/>
          <w:szCs w:val="27"/>
        </w:rPr>
      </w:pPr>
      <w:r w:rsidRPr="00141B3B">
        <w:rPr>
          <w:rFonts w:ascii="Arial" w:eastAsia="Times New Roman" w:hAnsi="Arial" w:cs="Arial"/>
          <w:color w:val="000000"/>
          <w:sz w:val="27"/>
          <w:szCs w:val="27"/>
        </w:rPr>
        <w:t>“Por el cual se establece el procedimiento de pérdida de la investidura de los congresistas, se consagra la doble instancia, el término de caducidad, entre otras disposiciones”</w:t>
      </w:r>
    </w:p>
    <w:p w:rsidR="002951ED" w:rsidRPr="00141B3B" w:rsidRDefault="002951ED" w:rsidP="002951ED">
      <w:pPr>
        <w:spacing w:before="100" w:beforeAutospacing="1" w:after="100" w:afterAutospacing="1" w:line="240" w:lineRule="auto"/>
        <w:jc w:val="center"/>
        <w:rPr>
          <w:rFonts w:ascii="Arial" w:eastAsia="Times New Roman" w:hAnsi="Arial" w:cs="Arial"/>
          <w:color w:val="000000"/>
          <w:sz w:val="27"/>
          <w:szCs w:val="27"/>
        </w:rPr>
      </w:pPr>
      <w:r w:rsidRPr="00141B3B">
        <w:rPr>
          <w:rFonts w:ascii="Arial" w:eastAsia="Times New Roman" w:hAnsi="Arial" w:cs="Arial"/>
          <w:color w:val="000000"/>
          <w:sz w:val="27"/>
          <w:szCs w:val="27"/>
        </w:rPr>
        <w:t> El Congreso de Colombia,</w:t>
      </w:r>
    </w:p>
    <w:p w:rsidR="002951ED" w:rsidRPr="00141B3B" w:rsidRDefault="002951ED" w:rsidP="002951ED">
      <w:pPr>
        <w:spacing w:before="100" w:beforeAutospacing="1" w:after="100" w:afterAutospacing="1" w:line="360" w:lineRule="auto"/>
        <w:jc w:val="center"/>
        <w:rPr>
          <w:rFonts w:ascii="Arial" w:eastAsia="Times New Roman" w:hAnsi="Arial" w:cs="Arial"/>
          <w:color w:val="000000"/>
          <w:sz w:val="27"/>
          <w:szCs w:val="27"/>
        </w:rPr>
      </w:pPr>
      <w:r w:rsidRPr="00141B3B">
        <w:rPr>
          <w:rFonts w:ascii="Arial" w:eastAsia="Times New Roman" w:hAnsi="Arial" w:cs="Arial"/>
          <w:color w:val="000000"/>
          <w:sz w:val="27"/>
          <w:szCs w:val="27"/>
        </w:rPr>
        <w:t>DECRETA:</w:t>
      </w:r>
    </w:p>
    <w:p w:rsidR="002951ED" w:rsidRPr="00141B3B" w:rsidRDefault="002951ED" w:rsidP="002951ED">
      <w:pPr>
        <w:spacing w:before="100" w:beforeAutospacing="1" w:after="100" w:afterAutospacing="1" w:line="360" w:lineRule="auto"/>
        <w:jc w:val="center"/>
        <w:rPr>
          <w:rFonts w:ascii="Arial" w:eastAsia="Times New Roman" w:hAnsi="Arial" w:cs="Arial"/>
          <w:color w:val="000000"/>
          <w:sz w:val="27"/>
          <w:szCs w:val="27"/>
        </w:rPr>
      </w:pPr>
      <w:r w:rsidRPr="00141B3B">
        <w:rPr>
          <w:rFonts w:ascii="Arial" w:eastAsia="Times New Roman" w:hAnsi="Arial" w:cs="Arial"/>
          <w:color w:val="000000"/>
          <w:sz w:val="27"/>
          <w:szCs w:val="27"/>
        </w:rPr>
        <w:t> </w:t>
      </w:r>
    </w:p>
    <w:p w:rsidR="00F51754"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primero</w:t>
      </w:r>
      <w:r w:rsidRPr="00141B3B">
        <w:rPr>
          <w:rFonts w:ascii="Arial" w:eastAsia="Times New Roman" w:hAnsi="Arial" w:cs="Arial"/>
          <w:color w:val="000000"/>
          <w:sz w:val="27"/>
          <w:szCs w:val="27"/>
        </w:rPr>
        <w:t xml:space="preserve">. </w:t>
      </w:r>
      <w:r w:rsidR="00A25825" w:rsidRPr="00141B3B">
        <w:rPr>
          <w:rFonts w:ascii="Arial" w:eastAsia="Times New Roman" w:hAnsi="Arial" w:cs="Arial"/>
          <w:color w:val="000000"/>
          <w:sz w:val="27"/>
          <w:szCs w:val="27"/>
        </w:rPr>
        <w:t xml:space="preserve">El proceso de pérdida de investidura </w:t>
      </w:r>
      <w:r w:rsidR="00F51754" w:rsidRPr="00141B3B">
        <w:rPr>
          <w:rFonts w:ascii="Arial" w:eastAsia="Times New Roman" w:hAnsi="Arial" w:cs="Arial"/>
          <w:color w:val="000000"/>
          <w:sz w:val="27"/>
          <w:szCs w:val="27"/>
        </w:rPr>
        <w:t>se ejercerá en contra de los congresistas que</w:t>
      </w:r>
      <w:r w:rsidR="00141B3B" w:rsidRPr="00141B3B">
        <w:rPr>
          <w:rFonts w:ascii="Arial" w:eastAsia="Times New Roman" w:hAnsi="Arial" w:cs="Arial"/>
          <w:color w:val="000000"/>
          <w:sz w:val="27"/>
          <w:szCs w:val="27"/>
        </w:rPr>
        <w:t xml:space="preserve"> </w:t>
      </w:r>
      <w:r w:rsidR="00F51754" w:rsidRPr="00141B3B">
        <w:rPr>
          <w:rFonts w:ascii="Arial" w:eastAsia="Times New Roman" w:hAnsi="Arial" w:cs="Arial"/>
          <w:color w:val="000000"/>
          <w:sz w:val="27"/>
          <w:szCs w:val="27"/>
        </w:rPr>
        <w:t xml:space="preserve">hubieren incurrido en una de las causales de pérdida de investidura establecidas en la Constitución. </w:t>
      </w:r>
    </w:p>
    <w:p w:rsidR="00A25825" w:rsidRPr="00141B3B" w:rsidRDefault="00F51754"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 xml:space="preserve">Se </w:t>
      </w:r>
      <w:r w:rsidR="00A25825" w:rsidRPr="00141B3B">
        <w:rPr>
          <w:rFonts w:ascii="Arial" w:eastAsia="Times New Roman" w:hAnsi="Arial" w:cs="Arial"/>
          <w:color w:val="000000"/>
          <w:sz w:val="27"/>
          <w:szCs w:val="27"/>
        </w:rPr>
        <w:t>observar</w:t>
      </w:r>
      <w:r w:rsidRPr="00141B3B">
        <w:rPr>
          <w:rFonts w:ascii="Arial" w:eastAsia="Times New Roman" w:hAnsi="Arial" w:cs="Arial"/>
          <w:color w:val="000000"/>
          <w:sz w:val="27"/>
          <w:szCs w:val="27"/>
        </w:rPr>
        <w:t>á</w:t>
      </w:r>
      <w:r w:rsidR="00A25825" w:rsidRPr="00141B3B">
        <w:rPr>
          <w:rFonts w:ascii="Arial" w:eastAsia="Times New Roman" w:hAnsi="Arial" w:cs="Arial"/>
          <w:color w:val="000000"/>
          <w:sz w:val="27"/>
          <w:szCs w:val="27"/>
        </w:rPr>
        <w:t xml:space="preserve"> </w:t>
      </w:r>
      <w:r w:rsidR="00BB51DA" w:rsidRPr="00141B3B">
        <w:rPr>
          <w:rFonts w:ascii="Arial" w:eastAsia="Times New Roman" w:hAnsi="Arial" w:cs="Arial"/>
          <w:color w:val="000000"/>
          <w:sz w:val="27"/>
          <w:szCs w:val="27"/>
        </w:rPr>
        <w:t>el</w:t>
      </w:r>
      <w:r w:rsidR="00A25825" w:rsidRPr="00141B3B">
        <w:rPr>
          <w:rFonts w:ascii="Arial" w:eastAsia="Times New Roman" w:hAnsi="Arial" w:cs="Arial"/>
          <w:color w:val="000000"/>
          <w:sz w:val="27"/>
          <w:szCs w:val="27"/>
        </w:rPr>
        <w:t xml:space="preserve"> principio del debido proceso, </w:t>
      </w:r>
      <w:r w:rsidR="00BB51DA" w:rsidRPr="00141B3B">
        <w:rPr>
          <w:rFonts w:ascii="Arial" w:eastAsia="Times New Roman" w:hAnsi="Arial" w:cs="Arial"/>
          <w:color w:val="000000"/>
          <w:sz w:val="27"/>
          <w:szCs w:val="27"/>
        </w:rPr>
        <w:t>conforme al artículo 29 de la Constitución Política</w:t>
      </w:r>
      <w:r w:rsidR="00A25825" w:rsidRPr="00141B3B">
        <w:rPr>
          <w:rFonts w:ascii="Arial" w:eastAsia="Times New Roman" w:hAnsi="Arial" w:cs="Arial"/>
          <w:color w:val="000000"/>
          <w:sz w:val="27"/>
          <w:szCs w:val="27"/>
        </w:rPr>
        <w:t xml:space="preserve">. </w:t>
      </w:r>
    </w:p>
    <w:p w:rsidR="00A25825" w:rsidRPr="00141B3B" w:rsidRDefault="002951ED" w:rsidP="00A25825">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segundo</w:t>
      </w:r>
      <w:r w:rsidRPr="00141B3B">
        <w:rPr>
          <w:rFonts w:ascii="Arial" w:eastAsia="Times New Roman" w:hAnsi="Arial" w:cs="Arial"/>
          <w:color w:val="000000"/>
          <w:sz w:val="27"/>
          <w:szCs w:val="27"/>
        </w:rPr>
        <w:t xml:space="preserve">. </w:t>
      </w:r>
      <w:r w:rsidR="00A25825" w:rsidRPr="00141B3B">
        <w:rPr>
          <w:rFonts w:ascii="Arial" w:eastAsia="Times New Roman" w:hAnsi="Arial" w:cs="Arial"/>
          <w:color w:val="000000"/>
          <w:sz w:val="27"/>
          <w:szCs w:val="27"/>
        </w:rPr>
        <w:t xml:space="preserve">La Sección Quinta del Consejo de Estado conocerá en primera instancia </w:t>
      </w:r>
      <w:r w:rsidR="0083279F" w:rsidRPr="00141B3B">
        <w:rPr>
          <w:rFonts w:ascii="Arial" w:eastAsia="Times New Roman" w:hAnsi="Arial" w:cs="Arial"/>
          <w:color w:val="000000"/>
          <w:sz w:val="27"/>
          <w:szCs w:val="27"/>
        </w:rPr>
        <w:t>de la</w:t>
      </w:r>
      <w:r w:rsidR="00A25825" w:rsidRPr="00141B3B">
        <w:rPr>
          <w:rFonts w:ascii="Arial" w:eastAsia="Times New Roman" w:hAnsi="Arial" w:cs="Arial"/>
          <w:color w:val="000000"/>
          <w:sz w:val="27"/>
          <w:szCs w:val="27"/>
        </w:rPr>
        <w:t xml:space="preserve"> pérdida de investidura de los congresistas a solicitud de la Mesa Directiva de la Cámara correspondiente o de cualquier ciudadano y por las causas establecidas en la Constitución. La Sala Plena de lo Contencioso Administrativo será competente para decidir el recurso de apelación frente a la sentencia de primera instancia, sin la participación de los magistrados que decidieron el fallo recurrido. </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sz w:val="27"/>
          <w:szCs w:val="27"/>
        </w:rPr>
        <w:lastRenderedPageBreak/>
        <w:t>Artículo tercero</w:t>
      </w:r>
      <w:r w:rsidR="00BB51DA" w:rsidRPr="00141B3B">
        <w:rPr>
          <w:rFonts w:ascii="Arial" w:eastAsia="Times New Roman" w:hAnsi="Arial" w:cs="Arial"/>
          <w:b/>
          <w:sz w:val="27"/>
          <w:szCs w:val="27"/>
        </w:rPr>
        <w:t>.</w:t>
      </w:r>
      <w:r w:rsidRPr="00141B3B">
        <w:rPr>
          <w:rFonts w:ascii="Arial" w:eastAsia="Times New Roman" w:hAnsi="Arial" w:cs="Arial"/>
          <w:color w:val="000000"/>
          <w:sz w:val="27"/>
          <w:szCs w:val="27"/>
        </w:rPr>
        <w:t xml:space="preserve"> </w:t>
      </w:r>
      <w:r w:rsidR="002951ED" w:rsidRPr="00141B3B">
        <w:rPr>
          <w:rFonts w:ascii="Arial" w:eastAsia="Times New Roman" w:hAnsi="Arial" w:cs="Arial"/>
          <w:color w:val="000000"/>
          <w:sz w:val="27"/>
          <w:szCs w:val="27"/>
        </w:rPr>
        <w:t>La Sección Quinta dispondrá de un plazo no mayor de veinte (20) días hábiles contados a partir de la fecha de la presentación de la solicitud en la Secretaría General de la Corporación, para dictar la sentencia de primera instancia. La Sala Plena de lo Contenci</w:t>
      </w:r>
      <w:r w:rsidR="00BB51DA" w:rsidRPr="00141B3B">
        <w:rPr>
          <w:rFonts w:ascii="Arial" w:eastAsia="Times New Roman" w:hAnsi="Arial" w:cs="Arial"/>
          <w:color w:val="000000"/>
          <w:sz w:val="27"/>
          <w:szCs w:val="27"/>
        </w:rPr>
        <w:t>oso Administrativo dispondrá de un</w:t>
      </w:r>
      <w:r w:rsidR="002951ED" w:rsidRPr="00141B3B">
        <w:rPr>
          <w:rFonts w:ascii="Arial" w:eastAsia="Times New Roman" w:hAnsi="Arial" w:cs="Arial"/>
          <w:color w:val="000000"/>
          <w:sz w:val="27"/>
          <w:szCs w:val="27"/>
        </w:rPr>
        <w:t xml:space="preserve"> plazo </w:t>
      </w:r>
      <w:r w:rsidR="00BB51DA" w:rsidRPr="00141B3B">
        <w:rPr>
          <w:rFonts w:ascii="Arial" w:eastAsia="Times New Roman" w:hAnsi="Arial" w:cs="Arial"/>
          <w:color w:val="000000"/>
          <w:sz w:val="27"/>
          <w:szCs w:val="27"/>
        </w:rPr>
        <w:t xml:space="preserve">igual </w:t>
      </w:r>
      <w:r w:rsidR="002951ED" w:rsidRPr="00141B3B">
        <w:rPr>
          <w:rFonts w:ascii="Arial" w:eastAsia="Times New Roman" w:hAnsi="Arial" w:cs="Arial"/>
          <w:color w:val="000000"/>
          <w:sz w:val="27"/>
          <w:szCs w:val="27"/>
        </w:rPr>
        <w:t xml:space="preserve">para decidir el recurso de apelación. </w:t>
      </w:r>
    </w:p>
    <w:p w:rsidR="002951ED" w:rsidRPr="00141B3B" w:rsidRDefault="00C86F61" w:rsidP="002951ED">
      <w:pPr>
        <w:spacing w:before="100" w:beforeAutospacing="1" w:after="100" w:afterAutospacing="1" w:line="360" w:lineRule="auto"/>
        <w:jc w:val="both"/>
        <w:rPr>
          <w:rFonts w:ascii="Arial" w:eastAsia="Times New Roman" w:hAnsi="Arial" w:cs="Arial"/>
          <w:sz w:val="27"/>
          <w:szCs w:val="27"/>
        </w:rPr>
      </w:pPr>
      <w:r w:rsidRPr="00141B3B">
        <w:rPr>
          <w:rFonts w:ascii="Arial" w:eastAsia="Times New Roman" w:hAnsi="Arial" w:cs="Arial"/>
          <w:b/>
          <w:color w:val="000000"/>
          <w:sz w:val="27"/>
          <w:szCs w:val="27"/>
        </w:rPr>
        <w:t>Artículo cuarto</w:t>
      </w:r>
      <w:r w:rsidR="002951ED" w:rsidRPr="00141B3B">
        <w:rPr>
          <w:rFonts w:ascii="Arial" w:eastAsia="Times New Roman" w:hAnsi="Arial" w:cs="Arial"/>
          <w:sz w:val="27"/>
          <w:szCs w:val="27"/>
        </w:rPr>
        <w:t>. Cuando la solicitud sea formulada por la Mesa Directiva de la Cámara a la cual pertenezca el Congresista, ésta deberá ser enviada a la Secretaría de la Sección Quinta del Consejo de Estado</w:t>
      </w:r>
      <w:r w:rsidR="002951ED" w:rsidRPr="00141B3B">
        <w:rPr>
          <w:rFonts w:ascii="Arial" w:eastAsia="Times New Roman" w:hAnsi="Arial" w:cs="Arial"/>
          <w:bCs/>
          <w:iCs/>
          <w:sz w:val="27"/>
          <w:szCs w:val="27"/>
        </w:rPr>
        <w:t>,</w:t>
      </w:r>
      <w:r w:rsidR="002951ED" w:rsidRPr="00141B3B">
        <w:rPr>
          <w:rFonts w:ascii="Arial" w:eastAsia="Times New Roman" w:hAnsi="Arial" w:cs="Arial"/>
          <w:sz w:val="27"/>
          <w:szCs w:val="27"/>
        </w:rPr>
        <w:t> junto con toda la documentación correspondiente.</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quinto</w:t>
      </w:r>
      <w:r w:rsidR="002951ED" w:rsidRPr="00141B3B">
        <w:rPr>
          <w:rFonts w:ascii="Arial" w:eastAsia="Times New Roman" w:hAnsi="Arial" w:cs="Arial"/>
          <w:color w:val="000000"/>
          <w:sz w:val="27"/>
          <w:szCs w:val="27"/>
        </w:rPr>
        <w:t>. Cuando la solicitud sea presentada ante el Consejo de Estado por un ciudadano, ésta deberá formularse por escrito y contener, al menos:</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a) Nombres y apellidos, identificación y domicilio de quien la formula;</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b) </w:t>
      </w:r>
      <w:r w:rsidRPr="00141B3B">
        <w:rPr>
          <w:rFonts w:ascii="Arial" w:eastAsia="Times New Roman" w:hAnsi="Arial" w:cs="Arial"/>
          <w:bCs/>
          <w:color w:val="000000"/>
          <w:sz w:val="27"/>
          <w:szCs w:val="27"/>
        </w:rPr>
        <w:t>Nombre del Congresista y su acreditación expedida por la Organización Electoral Nacional</w:t>
      </w:r>
      <w:r w:rsidRPr="00141B3B">
        <w:rPr>
          <w:rFonts w:ascii="Arial" w:eastAsia="Times New Roman" w:hAnsi="Arial" w:cs="Arial"/>
          <w:color w:val="000000"/>
          <w:sz w:val="27"/>
          <w:szCs w:val="27"/>
        </w:rPr>
        <w:t>;</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c) Invocación de la causal por la cual se solicita la pérdida de la investidura </w:t>
      </w:r>
      <w:r w:rsidRPr="00141B3B">
        <w:rPr>
          <w:rFonts w:ascii="Arial" w:eastAsia="Times New Roman" w:hAnsi="Arial" w:cs="Arial"/>
          <w:bCs/>
          <w:color w:val="000000"/>
          <w:sz w:val="27"/>
          <w:szCs w:val="27"/>
        </w:rPr>
        <w:t>y su debida explicación</w:t>
      </w:r>
      <w:r w:rsidRPr="00141B3B">
        <w:rPr>
          <w:rFonts w:ascii="Arial" w:eastAsia="Times New Roman" w:hAnsi="Arial" w:cs="Arial"/>
          <w:color w:val="000000"/>
          <w:sz w:val="27"/>
          <w:szCs w:val="27"/>
        </w:rPr>
        <w:t>; </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d) La solicitud de práctica de pruebas, si fuere el caso;</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lastRenderedPageBreak/>
        <w:t>e) Dirección del lugar en donde el solicitante recibirá las notificaciones a que haya lugar.</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Parágrafo. No será necesario formular la solicitud a través de apoderados.</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sexto</w:t>
      </w:r>
      <w:r w:rsidR="002951ED" w:rsidRPr="00141B3B">
        <w:rPr>
          <w:rFonts w:ascii="Arial" w:eastAsia="Times New Roman" w:hAnsi="Arial" w:cs="Arial"/>
          <w:color w:val="000000"/>
          <w:sz w:val="27"/>
          <w:szCs w:val="27"/>
        </w:rPr>
        <w:t xml:space="preserve">. La demanda deberá presentarse dentro del término de </w:t>
      </w:r>
      <w:r w:rsidR="00580567" w:rsidRPr="00141B3B">
        <w:rPr>
          <w:rFonts w:ascii="Arial" w:eastAsia="Times New Roman" w:hAnsi="Arial" w:cs="Arial"/>
          <w:color w:val="000000"/>
          <w:sz w:val="27"/>
          <w:szCs w:val="27"/>
        </w:rPr>
        <w:t>cinco</w:t>
      </w:r>
      <w:r w:rsidR="002951ED" w:rsidRPr="00141B3B">
        <w:rPr>
          <w:rFonts w:ascii="Arial" w:eastAsia="Times New Roman" w:hAnsi="Arial" w:cs="Arial"/>
          <w:color w:val="000000"/>
          <w:sz w:val="27"/>
          <w:szCs w:val="27"/>
        </w:rPr>
        <w:t xml:space="preserve"> (</w:t>
      </w:r>
      <w:r w:rsidR="00580567" w:rsidRPr="00141B3B">
        <w:rPr>
          <w:rFonts w:ascii="Arial" w:eastAsia="Times New Roman" w:hAnsi="Arial" w:cs="Arial"/>
          <w:color w:val="000000"/>
          <w:sz w:val="27"/>
          <w:szCs w:val="27"/>
        </w:rPr>
        <w:t>5</w:t>
      </w:r>
      <w:r w:rsidR="002951ED" w:rsidRPr="00141B3B">
        <w:rPr>
          <w:rFonts w:ascii="Arial" w:eastAsia="Times New Roman" w:hAnsi="Arial" w:cs="Arial"/>
          <w:color w:val="000000"/>
          <w:sz w:val="27"/>
          <w:szCs w:val="27"/>
        </w:rPr>
        <w:t xml:space="preserve">) años contados a partir del día siguiente al de la ocurrencia del hecho generador de la causal de pérdida de investidura, so pena de que opere la caducidad. </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séptimo</w:t>
      </w:r>
      <w:r w:rsidR="002951ED" w:rsidRPr="00141B3B">
        <w:rPr>
          <w:rFonts w:ascii="Arial" w:eastAsia="Times New Roman" w:hAnsi="Arial" w:cs="Arial"/>
          <w:color w:val="000000"/>
          <w:sz w:val="27"/>
          <w:szCs w:val="27"/>
        </w:rPr>
        <w:t xml:space="preserve">. La solicitud deberá ser presentada personalmente por su signatario, ante la Secretaría de la Sección Quinta del Consejo de Estado. El solicitante que se halle en </w:t>
      </w:r>
      <w:r w:rsidR="00BB51DA" w:rsidRPr="00141B3B">
        <w:rPr>
          <w:rFonts w:ascii="Arial" w:eastAsia="Times New Roman" w:hAnsi="Arial" w:cs="Arial"/>
          <w:color w:val="000000"/>
          <w:sz w:val="27"/>
          <w:szCs w:val="27"/>
        </w:rPr>
        <w:t xml:space="preserve">lugar distinto podrá remitirla, </w:t>
      </w:r>
      <w:r w:rsidR="002951ED" w:rsidRPr="00141B3B">
        <w:rPr>
          <w:rFonts w:ascii="Arial" w:eastAsia="Times New Roman" w:hAnsi="Arial" w:cs="Arial"/>
          <w:color w:val="000000"/>
          <w:sz w:val="27"/>
          <w:szCs w:val="27"/>
        </w:rPr>
        <w:t xml:space="preserve">previa presentación personal ante </w:t>
      </w:r>
      <w:r w:rsidR="00692372" w:rsidRPr="00141B3B">
        <w:rPr>
          <w:rFonts w:ascii="Arial" w:eastAsia="Times New Roman" w:hAnsi="Arial" w:cs="Arial"/>
          <w:color w:val="000000"/>
          <w:sz w:val="27"/>
          <w:szCs w:val="27"/>
        </w:rPr>
        <w:t>j</w:t>
      </w:r>
      <w:r w:rsidR="002951ED" w:rsidRPr="00141B3B">
        <w:rPr>
          <w:rFonts w:ascii="Arial" w:eastAsia="Times New Roman" w:hAnsi="Arial" w:cs="Arial"/>
          <w:color w:val="000000"/>
          <w:sz w:val="27"/>
          <w:szCs w:val="27"/>
        </w:rPr>
        <w:t xml:space="preserve">uez </w:t>
      </w:r>
      <w:r w:rsidR="00E20231" w:rsidRPr="00141B3B">
        <w:rPr>
          <w:rFonts w:ascii="Arial" w:eastAsia="Times New Roman" w:hAnsi="Arial" w:cs="Arial"/>
          <w:color w:val="000000"/>
          <w:sz w:val="27"/>
          <w:szCs w:val="27"/>
        </w:rPr>
        <w:t>o</w:t>
      </w:r>
      <w:r w:rsidR="002951ED" w:rsidRPr="00141B3B">
        <w:rPr>
          <w:rFonts w:ascii="Arial" w:eastAsia="Times New Roman" w:hAnsi="Arial" w:cs="Arial"/>
          <w:color w:val="000000"/>
          <w:sz w:val="27"/>
          <w:szCs w:val="27"/>
        </w:rPr>
        <w:t xml:space="preserve"> </w:t>
      </w:r>
      <w:r w:rsidR="00692372" w:rsidRPr="00141B3B">
        <w:rPr>
          <w:rFonts w:ascii="Arial" w:eastAsia="Times New Roman" w:hAnsi="Arial" w:cs="Arial"/>
          <w:color w:val="000000"/>
          <w:sz w:val="27"/>
          <w:szCs w:val="27"/>
        </w:rPr>
        <w:t>n</w:t>
      </w:r>
      <w:r w:rsidR="002951ED" w:rsidRPr="00141B3B">
        <w:rPr>
          <w:rFonts w:ascii="Arial" w:eastAsia="Times New Roman" w:hAnsi="Arial" w:cs="Arial"/>
          <w:color w:val="000000"/>
          <w:sz w:val="27"/>
          <w:szCs w:val="27"/>
        </w:rPr>
        <w:t>otario, caso en el cual se considerará presentado cuando se reciba en el Despacho Judicial de destino.</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octavo</w:t>
      </w:r>
      <w:r w:rsidR="002951ED" w:rsidRPr="00141B3B">
        <w:rPr>
          <w:rFonts w:ascii="Arial" w:eastAsia="Times New Roman" w:hAnsi="Arial" w:cs="Arial"/>
          <w:color w:val="000000"/>
          <w:sz w:val="27"/>
          <w:szCs w:val="27"/>
        </w:rPr>
        <w:t xml:space="preserve">. Recibida la solicitud en la Secretaría de la Sección Quinta, será repartida el día hábil siguiente al de su recibo, y se designará el Magistrado ponente, quien procederá a admitirla o no, según el caso, dentro de los dos (2) días hábiles siguientes a su reparto. En el mismo término notificará al </w:t>
      </w:r>
      <w:r w:rsidR="00904C2E" w:rsidRPr="00141B3B">
        <w:rPr>
          <w:rFonts w:ascii="Arial" w:eastAsia="Times New Roman" w:hAnsi="Arial" w:cs="Arial"/>
          <w:color w:val="000000"/>
          <w:sz w:val="27"/>
          <w:szCs w:val="27"/>
        </w:rPr>
        <w:t>c</w:t>
      </w:r>
      <w:r w:rsidR="002951ED" w:rsidRPr="00141B3B">
        <w:rPr>
          <w:rFonts w:ascii="Arial" w:eastAsia="Times New Roman" w:hAnsi="Arial" w:cs="Arial"/>
          <w:color w:val="000000"/>
          <w:sz w:val="27"/>
          <w:szCs w:val="27"/>
        </w:rPr>
        <w:t>ongresista la decisión respectiva.</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 xml:space="preserve">El </w:t>
      </w:r>
      <w:r w:rsidR="00692372" w:rsidRPr="00141B3B">
        <w:rPr>
          <w:rFonts w:ascii="Arial" w:eastAsia="Times New Roman" w:hAnsi="Arial" w:cs="Arial"/>
          <w:color w:val="000000"/>
          <w:sz w:val="27"/>
          <w:szCs w:val="27"/>
        </w:rPr>
        <w:t>m</w:t>
      </w:r>
      <w:r w:rsidRPr="00141B3B">
        <w:rPr>
          <w:rFonts w:ascii="Arial" w:eastAsia="Times New Roman" w:hAnsi="Arial" w:cs="Arial"/>
          <w:color w:val="000000"/>
          <w:sz w:val="27"/>
          <w:szCs w:val="27"/>
        </w:rPr>
        <w:t>agistrado ponente devolverá la solicitud cuando no cumpla con los requisitos </w:t>
      </w:r>
      <w:r w:rsidRPr="00141B3B">
        <w:rPr>
          <w:rFonts w:ascii="Arial" w:eastAsia="Times New Roman" w:hAnsi="Arial" w:cs="Arial"/>
          <w:bCs/>
          <w:color w:val="000000"/>
          <w:sz w:val="27"/>
          <w:szCs w:val="27"/>
        </w:rPr>
        <w:t>o no se alleguen los anexos exigidos en la ley</w:t>
      </w:r>
      <w:r w:rsidRPr="00141B3B">
        <w:rPr>
          <w:rFonts w:ascii="Arial" w:eastAsia="Times New Roman" w:hAnsi="Arial" w:cs="Arial"/>
          <w:color w:val="000000"/>
          <w:sz w:val="27"/>
          <w:szCs w:val="27"/>
        </w:rPr>
        <w:t xml:space="preserve"> y </w:t>
      </w:r>
      <w:r w:rsidRPr="00141B3B">
        <w:rPr>
          <w:rFonts w:ascii="Arial" w:eastAsia="Times New Roman" w:hAnsi="Arial" w:cs="Arial"/>
          <w:color w:val="000000"/>
          <w:sz w:val="27"/>
          <w:szCs w:val="27"/>
        </w:rPr>
        <w:lastRenderedPageBreak/>
        <w:t>ordenará a quien corresponda, completar o aclarar dentro de los diez (10) días siguientes a su notificación, los requisitos o documentos exigidos. </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noveno</w:t>
      </w:r>
      <w:r w:rsidR="002951ED" w:rsidRPr="00141B3B">
        <w:rPr>
          <w:rFonts w:ascii="Arial" w:eastAsia="Times New Roman" w:hAnsi="Arial" w:cs="Arial"/>
          <w:color w:val="000000"/>
          <w:sz w:val="27"/>
          <w:szCs w:val="27"/>
        </w:rPr>
        <w:t xml:space="preserve">. Admitida la solicitud, en la misma providencia se ordenará la notificación personal al </w:t>
      </w:r>
      <w:r w:rsidR="00692372" w:rsidRPr="00141B3B">
        <w:rPr>
          <w:rFonts w:ascii="Arial" w:eastAsia="Times New Roman" w:hAnsi="Arial" w:cs="Arial"/>
          <w:color w:val="000000"/>
          <w:sz w:val="27"/>
          <w:szCs w:val="27"/>
        </w:rPr>
        <w:t>c</w:t>
      </w:r>
      <w:r w:rsidR="002951ED" w:rsidRPr="00141B3B">
        <w:rPr>
          <w:rFonts w:ascii="Arial" w:eastAsia="Times New Roman" w:hAnsi="Arial" w:cs="Arial"/>
          <w:color w:val="000000"/>
          <w:sz w:val="27"/>
          <w:szCs w:val="27"/>
        </w:rPr>
        <w:t>ongresista, con la cual se dará iniciación al proceso judicial respectivo. También se notificará al agente del Ministerio Público a fin de que intervenga en el proceso. Las notificaciones se surtirán al día siguiente al de la expedición del auto que las decrete.</w:t>
      </w:r>
    </w:p>
    <w:p w:rsidR="00D260B2" w:rsidRPr="00141B3B" w:rsidRDefault="00D260B2"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 xml:space="preserve">Parágrafo: El congresista podrá actuar en el proceso sin necesidad de apoderado judicial. </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décimo</w:t>
      </w:r>
      <w:r w:rsidR="002951ED" w:rsidRPr="00141B3B">
        <w:rPr>
          <w:rFonts w:ascii="Arial" w:eastAsia="Times New Roman" w:hAnsi="Arial" w:cs="Arial"/>
          <w:color w:val="000000"/>
          <w:sz w:val="27"/>
          <w:szCs w:val="27"/>
        </w:rPr>
        <w:t xml:space="preserve">. El </w:t>
      </w:r>
      <w:r w:rsidR="00692372" w:rsidRPr="00141B3B">
        <w:rPr>
          <w:rFonts w:ascii="Arial" w:eastAsia="Times New Roman" w:hAnsi="Arial" w:cs="Arial"/>
          <w:color w:val="000000"/>
          <w:sz w:val="27"/>
          <w:szCs w:val="27"/>
        </w:rPr>
        <w:t>c</w:t>
      </w:r>
      <w:r w:rsidR="002951ED" w:rsidRPr="00141B3B">
        <w:rPr>
          <w:rFonts w:ascii="Arial" w:eastAsia="Times New Roman" w:hAnsi="Arial" w:cs="Arial"/>
          <w:color w:val="000000"/>
          <w:sz w:val="27"/>
          <w:szCs w:val="27"/>
        </w:rPr>
        <w:t>ongresista dispondrá de los tres (3) días siguientes, contados a partir de la fecha de la notificación, para referirse por escrito a lo expuesto en la solicitud. Podrá aportar pruebas o pedir las que considere conducentes, en los términos del artículo siguiente.</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once</w:t>
      </w:r>
      <w:r w:rsidR="002951ED" w:rsidRPr="00141B3B">
        <w:rPr>
          <w:rFonts w:ascii="Arial" w:eastAsia="Times New Roman" w:hAnsi="Arial" w:cs="Arial"/>
          <w:color w:val="000000"/>
          <w:sz w:val="27"/>
          <w:szCs w:val="27"/>
        </w:rPr>
        <w:t xml:space="preserve">. Al día hábil siguiente, el </w:t>
      </w:r>
      <w:r w:rsidR="00692372" w:rsidRPr="00141B3B">
        <w:rPr>
          <w:rFonts w:ascii="Arial" w:eastAsia="Times New Roman" w:hAnsi="Arial" w:cs="Arial"/>
          <w:color w:val="000000"/>
          <w:sz w:val="27"/>
          <w:szCs w:val="27"/>
        </w:rPr>
        <w:t>m</w:t>
      </w:r>
      <w:r w:rsidR="002951ED" w:rsidRPr="00141B3B">
        <w:rPr>
          <w:rFonts w:ascii="Arial" w:eastAsia="Times New Roman" w:hAnsi="Arial" w:cs="Arial"/>
          <w:color w:val="000000"/>
          <w:sz w:val="27"/>
          <w:szCs w:val="27"/>
        </w:rPr>
        <w:t>agistrado ponente decretará las pruebas pertinentes y señalará un término hasta de tres (3) días hábiles para su práctica. En la misma providencia indicará fecha y hora para la audiencia pública, que se cumplirá dentro de los dos (2) días siguientes.</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lastRenderedPageBreak/>
        <w:t>Artículo doce</w:t>
      </w:r>
      <w:r w:rsidR="002951ED" w:rsidRPr="00141B3B">
        <w:rPr>
          <w:rFonts w:ascii="Arial" w:eastAsia="Times New Roman" w:hAnsi="Arial" w:cs="Arial"/>
          <w:color w:val="000000"/>
          <w:sz w:val="27"/>
          <w:szCs w:val="27"/>
        </w:rPr>
        <w:t xml:space="preserve">. A la audiencia pública asistirá la Sección Quinta y será presidida por el </w:t>
      </w:r>
      <w:r w:rsidR="00692372" w:rsidRPr="00141B3B">
        <w:rPr>
          <w:rFonts w:ascii="Arial" w:eastAsia="Times New Roman" w:hAnsi="Arial" w:cs="Arial"/>
          <w:color w:val="000000"/>
          <w:sz w:val="27"/>
          <w:szCs w:val="27"/>
        </w:rPr>
        <w:t>m</w:t>
      </w:r>
      <w:r w:rsidR="002951ED" w:rsidRPr="00141B3B">
        <w:rPr>
          <w:rFonts w:ascii="Arial" w:eastAsia="Times New Roman" w:hAnsi="Arial" w:cs="Arial"/>
          <w:color w:val="000000"/>
          <w:sz w:val="27"/>
          <w:szCs w:val="27"/>
        </w:rPr>
        <w:t xml:space="preserve">agistrado ponente. Esta diligencia quedará registrada en medio magnético para que obre dentro del expediente. </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 xml:space="preserve">Las partes podrán intervenir, por una sola vez, en el siguiente orden: El solicitante o su apoderado, el agente del Ministerio Público y el </w:t>
      </w:r>
      <w:r w:rsidR="00692372" w:rsidRPr="00141B3B">
        <w:rPr>
          <w:rFonts w:ascii="Arial" w:eastAsia="Times New Roman" w:hAnsi="Arial" w:cs="Arial"/>
          <w:color w:val="000000"/>
          <w:sz w:val="27"/>
          <w:szCs w:val="27"/>
        </w:rPr>
        <w:t>c</w:t>
      </w:r>
      <w:r w:rsidRPr="00141B3B">
        <w:rPr>
          <w:rFonts w:ascii="Arial" w:eastAsia="Times New Roman" w:hAnsi="Arial" w:cs="Arial"/>
          <w:color w:val="000000"/>
          <w:sz w:val="27"/>
          <w:szCs w:val="27"/>
        </w:rPr>
        <w:t>ongresista y su apoderado. Quien presida la audiencia podrá fijar el tiempo para las intervenciones.</w:t>
      </w:r>
    </w:p>
    <w:p w:rsidR="002951ED"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Las partes podrán presentar al final de su intervención un resumen escrito.</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trece</w:t>
      </w:r>
      <w:r w:rsidR="002951ED" w:rsidRPr="00141B3B">
        <w:rPr>
          <w:rFonts w:ascii="Arial" w:eastAsia="Times New Roman" w:hAnsi="Arial" w:cs="Arial"/>
          <w:color w:val="000000"/>
          <w:sz w:val="27"/>
          <w:szCs w:val="27"/>
        </w:rPr>
        <w:t xml:space="preserve">. Realizada la audiencia, el magistrado ponente, deberá registrar el proyecto de sentencia, dentro de los dos (2) días hábiles siguientes y citará a la Sección </w:t>
      </w:r>
      <w:proofErr w:type="gramStart"/>
      <w:r w:rsidR="002951ED" w:rsidRPr="00141B3B">
        <w:rPr>
          <w:rFonts w:ascii="Arial" w:eastAsia="Times New Roman" w:hAnsi="Arial" w:cs="Arial"/>
          <w:color w:val="000000"/>
          <w:sz w:val="27"/>
          <w:szCs w:val="27"/>
        </w:rPr>
        <w:t>Quinta  para</w:t>
      </w:r>
      <w:proofErr w:type="gramEnd"/>
      <w:r w:rsidR="002951ED" w:rsidRPr="00141B3B">
        <w:rPr>
          <w:rFonts w:ascii="Arial" w:eastAsia="Times New Roman" w:hAnsi="Arial" w:cs="Arial"/>
          <w:color w:val="000000"/>
          <w:sz w:val="27"/>
          <w:szCs w:val="27"/>
        </w:rPr>
        <w:t xml:space="preserve"> estudiar y discutir la ponencia presentada.</w:t>
      </w:r>
      <w:r w:rsidR="002951ED" w:rsidRPr="00141B3B">
        <w:rPr>
          <w:rFonts w:ascii="Arial" w:eastAsia="Times New Roman" w:hAnsi="Arial" w:cs="Arial"/>
          <w:b/>
          <w:bCs/>
          <w:color w:val="000000"/>
          <w:sz w:val="27"/>
          <w:szCs w:val="27"/>
        </w:rPr>
        <w:t> </w:t>
      </w:r>
      <w:r w:rsidR="00D260B2" w:rsidRPr="00141B3B">
        <w:rPr>
          <w:rFonts w:ascii="Arial" w:eastAsia="Times New Roman" w:hAnsi="Arial" w:cs="Arial"/>
          <w:bCs/>
          <w:color w:val="000000"/>
          <w:sz w:val="27"/>
          <w:szCs w:val="27"/>
        </w:rPr>
        <w:t xml:space="preserve">La decisión se tomará por mayoría de votos de los miembros que la integran. </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Articulo catorce</w:t>
      </w:r>
      <w:r w:rsidR="002951ED" w:rsidRPr="00141B3B">
        <w:rPr>
          <w:rFonts w:ascii="Arial" w:eastAsia="Times New Roman" w:hAnsi="Arial" w:cs="Arial"/>
          <w:color w:val="000000"/>
          <w:sz w:val="27"/>
          <w:szCs w:val="27"/>
        </w:rPr>
        <w:t xml:space="preserve">. El recurso de apelación contra la sentencia de primera instancia se sujetará a las siguientes reglas: </w:t>
      </w:r>
    </w:p>
    <w:p w:rsidR="002951ED" w:rsidRPr="00141B3B" w:rsidRDefault="00DC1C13" w:rsidP="002951ED">
      <w:pPr>
        <w:pStyle w:val="Prrafodelista"/>
        <w:numPr>
          <w:ilvl w:val="0"/>
          <w:numId w:val="3"/>
        </w:num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color w:val="000000"/>
          <w:sz w:val="27"/>
          <w:szCs w:val="27"/>
        </w:rPr>
        <w:t>D</w:t>
      </w:r>
      <w:r w:rsidR="002951ED" w:rsidRPr="00141B3B">
        <w:rPr>
          <w:rFonts w:ascii="Arial" w:eastAsia="Times New Roman" w:hAnsi="Arial" w:cs="Arial"/>
          <w:color w:val="000000"/>
          <w:sz w:val="27"/>
          <w:szCs w:val="27"/>
        </w:rPr>
        <w:t>eberá interponerse y sustentarse ante la Sección Quinta, dentro de los diez (10) días siguientes a su notificación. El recurso de apelación será la oportunidad para solicitar pruebas en segunda instancia.</w:t>
      </w:r>
    </w:p>
    <w:p w:rsidR="002951ED" w:rsidRPr="00141B3B" w:rsidRDefault="002951ED" w:rsidP="002951ED">
      <w:pPr>
        <w:pStyle w:val="Prrafodelista"/>
        <w:numPr>
          <w:ilvl w:val="0"/>
          <w:numId w:val="3"/>
        </w:numPr>
        <w:spacing w:before="100" w:beforeAutospacing="1" w:after="100" w:afterAutospacing="1" w:line="360" w:lineRule="auto"/>
        <w:jc w:val="both"/>
        <w:rPr>
          <w:rFonts w:ascii="Arial" w:eastAsia="Times New Roman" w:hAnsi="Arial" w:cs="Arial"/>
          <w:color w:val="000000"/>
          <w:sz w:val="27"/>
          <w:szCs w:val="27"/>
        </w:rPr>
      </w:pPr>
      <w:r w:rsidRPr="00141B3B">
        <w:rPr>
          <w:rFonts w:ascii="Arial" w:hAnsi="Arial" w:cs="Arial"/>
          <w:color w:val="000000"/>
          <w:sz w:val="27"/>
          <w:szCs w:val="27"/>
          <w:shd w:val="clear" w:color="auto" w:fill="FFFFFF"/>
        </w:rPr>
        <w:t xml:space="preserve">Si el recurso fue sustentado oportunamente y reúne los demás requisitos legales, se concederá mediante auto en el </w:t>
      </w:r>
      <w:r w:rsidRPr="00141B3B">
        <w:rPr>
          <w:rFonts w:ascii="Arial" w:hAnsi="Arial" w:cs="Arial"/>
          <w:color w:val="000000"/>
          <w:sz w:val="27"/>
          <w:szCs w:val="27"/>
          <w:shd w:val="clear" w:color="auto" w:fill="FFFFFF"/>
        </w:rPr>
        <w:lastRenderedPageBreak/>
        <w:t xml:space="preserve">que se dispondrá remitir el expediente al Secretario General del Consejo de Estado, quien lo </w:t>
      </w:r>
      <w:r w:rsidR="00DC1C13" w:rsidRPr="00141B3B">
        <w:rPr>
          <w:rFonts w:ascii="Arial" w:hAnsi="Arial" w:cs="Arial"/>
          <w:color w:val="000000"/>
          <w:sz w:val="27"/>
          <w:szCs w:val="27"/>
          <w:shd w:val="clear" w:color="auto" w:fill="FFFFFF"/>
        </w:rPr>
        <w:t xml:space="preserve">repartirá entre los </w:t>
      </w:r>
      <w:r w:rsidRPr="00141B3B">
        <w:rPr>
          <w:rFonts w:ascii="Arial" w:hAnsi="Arial" w:cs="Arial"/>
          <w:color w:val="000000"/>
          <w:sz w:val="27"/>
          <w:szCs w:val="27"/>
          <w:shd w:val="clear" w:color="auto" w:fill="FFFFFF"/>
        </w:rPr>
        <w:t>magistrado</w:t>
      </w:r>
      <w:r w:rsidR="00DC1C13" w:rsidRPr="00141B3B">
        <w:rPr>
          <w:rFonts w:ascii="Arial" w:hAnsi="Arial" w:cs="Arial"/>
          <w:color w:val="000000"/>
          <w:sz w:val="27"/>
          <w:szCs w:val="27"/>
          <w:shd w:val="clear" w:color="auto" w:fill="FFFFFF"/>
        </w:rPr>
        <w:t>s</w:t>
      </w:r>
      <w:r w:rsidRPr="00141B3B">
        <w:rPr>
          <w:rFonts w:ascii="Arial" w:hAnsi="Arial" w:cs="Arial"/>
          <w:color w:val="000000"/>
          <w:sz w:val="27"/>
          <w:szCs w:val="27"/>
          <w:shd w:val="clear" w:color="auto" w:fill="FFFFFF"/>
        </w:rPr>
        <w:t xml:space="preserve"> de la Sala de lo Contencioso Administrativo</w:t>
      </w:r>
      <w:r w:rsidR="00DC1C13" w:rsidRPr="00141B3B">
        <w:rPr>
          <w:rFonts w:ascii="Arial" w:hAnsi="Arial" w:cs="Arial"/>
          <w:color w:val="000000"/>
          <w:sz w:val="27"/>
          <w:szCs w:val="27"/>
          <w:shd w:val="clear" w:color="auto" w:fill="FFFFFF"/>
        </w:rPr>
        <w:t>,</w:t>
      </w:r>
      <w:r w:rsidRPr="00141B3B">
        <w:rPr>
          <w:rFonts w:ascii="Arial" w:hAnsi="Arial" w:cs="Arial"/>
          <w:color w:val="000000"/>
          <w:sz w:val="27"/>
          <w:szCs w:val="27"/>
          <w:shd w:val="clear" w:color="auto" w:fill="FFFFFF"/>
        </w:rPr>
        <w:t xml:space="preserve"> que decidirá de plano sobre su admisión si no se hubiese pedido la práctica de pruebas. Si </w:t>
      </w:r>
      <w:r w:rsidR="00DC1C13" w:rsidRPr="00141B3B">
        <w:rPr>
          <w:rFonts w:ascii="Arial" w:hAnsi="Arial" w:cs="Arial"/>
          <w:color w:val="000000"/>
          <w:sz w:val="27"/>
          <w:szCs w:val="27"/>
          <w:shd w:val="clear" w:color="auto" w:fill="FFFFFF"/>
        </w:rPr>
        <w:t>el apelante pidió</w:t>
      </w:r>
      <w:r w:rsidRPr="00141B3B">
        <w:rPr>
          <w:rFonts w:ascii="Arial" w:hAnsi="Arial" w:cs="Arial"/>
          <w:color w:val="000000"/>
          <w:sz w:val="27"/>
          <w:szCs w:val="27"/>
          <w:shd w:val="clear" w:color="auto" w:fill="FFFFFF"/>
        </w:rPr>
        <w:t xml:space="preserve"> pruebas, el magistrado ponente decidirá si se decretan, de conformidad con lo previsto en el artículo 212 del Código de Procedimiento Administrativo y de lo Contencioso Administrativo, sobre pruebas en segunda instancia. </w:t>
      </w:r>
    </w:p>
    <w:p w:rsidR="002951ED" w:rsidRPr="00141B3B" w:rsidRDefault="002951ED" w:rsidP="002951ED">
      <w:pPr>
        <w:pStyle w:val="Prrafodelista"/>
        <w:numPr>
          <w:ilvl w:val="0"/>
          <w:numId w:val="3"/>
        </w:numPr>
        <w:spacing w:before="100" w:beforeAutospacing="1" w:after="100" w:afterAutospacing="1" w:line="360" w:lineRule="auto"/>
        <w:jc w:val="both"/>
        <w:rPr>
          <w:rFonts w:ascii="Arial" w:eastAsia="Times New Roman" w:hAnsi="Arial" w:cs="Arial"/>
          <w:color w:val="000000"/>
          <w:sz w:val="27"/>
          <w:szCs w:val="27"/>
        </w:rPr>
      </w:pPr>
      <w:r w:rsidRPr="00141B3B">
        <w:rPr>
          <w:rFonts w:ascii="Arial" w:hAnsi="Arial" w:cs="Arial"/>
          <w:color w:val="000000"/>
          <w:sz w:val="27"/>
          <w:szCs w:val="27"/>
          <w:shd w:val="clear" w:color="auto" w:fill="FFFFFF"/>
        </w:rPr>
        <w:t xml:space="preserve">Del auto </w:t>
      </w:r>
      <w:proofErr w:type="spellStart"/>
      <w:r w:rsidRPr="00141B3B">
        <w:rPr>
          <w:rFonts w:ascii="Arial" w:hAnsi="Arial" w:cs="Arial"/>
          <w:color w:val="000000"/>
          <w:sz w:val="27"/>
          <w:szCs w:val="27"/>
          <w:shd w:val="clear" w:color="auto" w:fill="FFFFFF"/>
        </w:rPr>
        <w:t>admisorio</w:t>
      </w:r>
      <w:proofErr w:type="spellEnd"/>
      <w:r w:rsidRPr="00141B3B">
        <w:rPr>
          <w:rFonts w:ascii="Arial" w:hAnsi="Arial" w:cs="Arial"/>
          <w:color w:val="000000"/>
          <w:sz w:val="27"/>
          <w:szCs w:val="27"/>
          <w:shd w:val="clear" w:color="auto" w:fill="FFFFFF"/>
        </w:rPr>
        <w:t xml:space="preserve"> del recurso de apelación se dará traslado</w:t>
      </w:r>
      <w:r w:rsidR="00415DFC" w:rsidRPr="00141B3B">
        <w:rPr>
          <w:rFonts w:ascii="Arial" w:hAnsi="Arial" w:cs="Arial"/>
          <w:color w:val="000000"/>
          <w:sz w:val="27"/>
          <w:szCs w:val="27"/>
          <w:shd w:val="clear" w:color="auto" w:fill="FFFFFF"/>
        </w:rPr>
        <w:t>, por tres (3) días hábiles,</w:t>
      </w:r>
      <w:r w:rsidRPr="00141B3B">
        <w:rPr>
          <w:rFonts w:ascii="Arial" w:hAnsi="Arial" w:cs="Arial"/>
          <w:color w:val="000000"/>
          <w:sz w:val="27"/>
          <w:szCs w:val="27"/>
          <w:shd w:val="clear" w:color="auto" w:fill="FFFFFF"/>
        </w:rPr>
        <w:t xml:space="preserve"> a la otra parte y al Ministerio Público para que ejerza su derecho de contradicción</w:t>
      </w:r>
      <w:r w:rsidR="00DC1C13" w:rsidRPr="00141B3B">
        <w:rPr>
          <w:rFonts w:ascii="Arial" w:hAnsi="Arial" w:cs="Arial"/>
          <w:color w:val="000000"/>
          <w:sz w:val="27"/>
          <w:szCs w:val="27"/>
          <w:shd w:val="clear" w:color="auto" w:fill="FFFFFF"/>
        </w:rPr>
        <w:t>, solicite la práctica de pruebas</w:t>
      </w:r>
      <w:r w:rsidR="00415DFC" w:rsidRPr="00141B3B">
        <w:rPr>
          <w:rFonts w:ascii="Arial" w:hAnsi="Arial" w:cs="Arial"/>
          <w:color w:val="000000"/>
          <w:sz w:val="27"/>
          <w:szCs w:val="27"/>
          <w:shd w:val="clear" w:color="auto" w:fill="FFFFFF"/>
        </w:rPr>
        <w:t>, en los términos del artículo 212 del Código de Procedimiento Administrativo y de lo Contencioso Administrativo</w:t>
      </w:r>
      <w:r w:rsidRPr="00141B3B">
        <w:rPr>
          <w:rFonts w:ascii="Arial" w:hAnsi="Arial" w:cs="Arial"/>
          <w:color w:val="000000"/>
          <w:sz w:val="27"/>
          <w:szCs w:val="27"/>
          <w:shd w:val="clear" w:color="auto" w:fill="FFFFFF"/>
        </w:rPr>
        <w:t xml:space="preserve"> y presente concepto, respectivamente.</w:t>
      </w:r>
    </w:p>
    <w:p w:rsidR="002951ED" w:rsidRPr="00141B3B" w:rsidRDefault="002951ED" w:rsidP="002951ED">
      <w:pPr>
        <w:pStyle w:val="Prrafodelista"/>
        <w:numPr>
          <w:ilvl w:val="0"/>
          <w:numId w:val="3"/>
        </w:numPr>
        <w:spacing w:before="100" w:beforeAutospacing="1" w:after="100" w:afterAutospacing="1" w:line="360" w:lineRule="auto"/>
        <w:jc w:val="both"/>
        <w:rPr>
          <w:rFonts w:ascii="Arial" w:eastAsia="Times New Roman" w:hAnsi="Arial" w:cs="Arial"/>
          <w:color w:val="000000"/>
          <w:sz w:val="27"/>
          <w:szCs w:val="27"/>
        </w:rPr>
      </w:pPr>
      <w:r w:rsidRPr="00141B3B">
        <w:rPr>
          <w:rFonts w:ascii="Arial" w:hAnsi="Arial" w:cs="Arial"/>
          <w:color w:val="000000"/>
          <w:sz w:val="27"/>
          <w:szCs w:val="27"/>
          <w:shd w:val="clear" w:color="auto" w:fill="FFFFFF"/>
        </w:rPr>
        <w:t>Admitido el recurso o vencido el término probatorio</w:t>
      </w:r>
      <w:r w:rsidR="001E28A3" w:rsidRPr="00141B3B">
        <w:rPr>
          <w:rFonts w:ascii="Arial" w:hAnsi="Arial" w:cs="Arial"/>
          <w:color w:val="000000"/>
          <w:sz w:val="27"/>
          <w:szCs w:val="27"/>
          <w:shd w:val="clear" w:color="auto" w:fill="FFFFFF"/>
        </w:rPr>
        <w:t>,</w:t>
      </w:r>
      <w:r w:rsidRPr="00141B3B">
        <w:rPr>
          <w:rFonts w:ascii="Arial" w:hAnsi="Arial" w:cs="Arial"/>
          <w:color w:val="000000"/>
          <w:sz w:val="27"/>
          <w:szCs w:val="27"/>
          <w:shd w:val="clear" w:color="auto" w:fill="FFFFFF"/>
        </w:rPr>
        <w:t xml:space="preserve"> si a él hubiere lugar, el magistrado ponente deberá registrar el proyecto de sentencia, dentro de los tres (3) días hábiles siguientes y citará a la Sala Plena de lo Contencioso Administrativo para estudiar, discutir y decidir la ponencia presentada. </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 xml:space="preserve">Artículo </w:t>
      </w:r>
      <w:r w:rsidR="001E28A3" w:rsidRPr="00141B3B">
        <w:rPr>
          <w:rFonts w:ascii="Arial" w:eastAsia="Times New Roman" w:hAnsi="Arial" w:cs="Arial"/>
          <w:b/>
          <w:color w:val="000000"/>
          <w:sz w:val="27"/>
          <w:szCs w:val="27"/>
        </w:rPr>
        <w:t>q</w:t>
      </w:r>
      <w:r w:rsidRPr="00141B3B">
        <w:rPr>
          <w:rFonts w:ascii="Arial" w:eastAsia="Times New Roman" w:hAnsi="Arial" w:cs="Arial"/>
          <w:b/>
          <w:color w:val="000000"/>
          <w:sz w:val="27"/>
          <w:szCs w:val="27"/>
        </w:rPr>
        <w:t>uince</w:t>
      </w:r>
      <w:r w:rsidR="002951ED" w:rsidRPr="00141B3B">
        <w:rPr>
          <w:rFonts w:ascii="Arial" w:eastAsia="Times New Roman" w:hAnsi="Arial" w:cs="Arial"/>
          <w:color w:val="000000"/>
          <w:sz w:val="27"/>
          <w:szCs w:val="27"/>
        </w:rPr>
        <w:t xml:space="preserve">. Ejecutoriada la sentencia se comunicará a la Mesa Directiva de la Cámara correspondiente, al Consejo Nacional Electoral y al Ministerio del Interior para lo de su cargo. Cuando el </w:t>
      </w:r>
      <w:r w:rsidR="002951ED" w:rsidRPr="00141B3B">
        <w:rPr>
          <w:rFonts w:ascii="Arial" w:eastAsia="Times New Roman" w:hAnsi="Arial" w:cs="Arial"/>
          <w:color w:val="000000"/>
          <w:sz w:val="27"/>
          <w:szCs w:val="27"/>
        </w:rPr>
        <w:lastRenderedPageBreak/>
        <w:t xml:space="preserve">Consejo de Estado advierta la posible comisión de hechos punibles por parte del </w:t>
      </w:r>
      <w:r w:rsidR="00692372" w:rsidRPr="00141B3B">
        <w:rPr>
          <w:rFonts w:ascii="Arial" w:eastAsia="Times New Roman" w:hAnsi="Arial" w:cs="Arial"/>
          <w:color w:val="000000"/>
          <w:sz w:val="27"/>
          <w:szCs w:val="27"/>
        </w:rPr>
        <w:t>c</w:t>
      </w:r>
      <w:r w:rsidR="002951ED" w:rsidRPr="00141B3B">
        <w:rPr>
          <w:rFonts w:ascii="Arial" w:eastAsia="Times New Roman" w:hAnsi="Arial" w:cs="Arial"/>
          <w:color w:val="000000"/>
          <w:sz w:val="27"/>
          <w:szCs w:val="27"/>
        </w:rPr>
        <w:t>ongresista, o temeridad o mala fe en la acusación, la sentencia ordenará que se compulsen copias de toda la actuación a las autoridades competentes para las investigaciones y sanciones correspondientes.</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dieciséis</w:t>
      </w:r>
      <w:r w:rsidR="002951ED" w:rsidRPr="00141B3B">
        <w:rPr>
          <w:rFonts w:ascii="Arial" w:eastAsia="Times New Roman" w:hAnsi="Arial" w:cs="Arial"/>
          <w:color w:val="000000"/>
          <w:sz w:val="27"/>
          <w:szCs w:val="27"/>
        </w:rPr>
        <w:t>. Cuando se formulen acusaciones por varios ciudadanos éstas se acumularán a la admitida primero, siempre que no se haya decretado la práctica de pruebas.</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diecisiete</w:t>
      </w:r>
      <w:r w:rsidR="002951ED" w:rsidRPr="00141B3B">
        <w:rPr>
          <w:rFonts w:ascii="Arial" w:eastAsia="Times New Roman" w:hAnsi="Arial" w:cs="Arial"/>
          <w:color w:val="000000"/>
          <w:sz w:val="27"/>
          <w:szCs w:val="27"/>
        </w:rPr>
        <w:t xml:space="preserve">. No se podrá admitir solicitud de pérdida de la investidura de un </w:t>
      </w:r>
      <w:r w:rsidR="00415DFC" w:rsidRPr="00141B3B">
        <w:rPr>
          <w:rFonts w:ascii="Arial" w:eastAsia="Times New Roman" w:hAnsi="Arial" w:cs="Arial"/>
          <w:color w:val="000000"/>
          <w:sz w:val="27"/>
          <w:szCs w:val="27"/>
        </w:rPr>
        <w:t>c</w:t>
      </w:r>
      <w:r w:rsidR="002951ED" w:rsidRPr="00141B3B">
        <w:rPr>
          <w:rFonts w:ascii="Arial" w:eastAsia="Times New Roman" w:hAnsi="Arial" w:cs="Arial"/>
          <w:color w:val="000000"/>
          <w:sz w:val="27"/>
          <w:szCs w:val="27"/>
        </w:rPr>
        <w:t>ongresista en el evento de alegarse los mismos hechos que sirvieron de fundamento a las causales sobre las cuales ya se haya pronunciado el Consejo de Estado. Todas las sentencias en estos procesos producen efectos de cosa juzgada.</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dieciocho</w:t>
      </w:r>
      <w:r w:rsidR="002951ED" w:rsidRPr="00141B3B">
        <w:rPr>
          <w:rFonts w:ascii="Arial" w:eastAsia="Times New Roman" w:hAnsi="Arial" w:cs="Arial"/>
          <w:color w:val="000000"/>
          <w:sz w:val="27"/>
          <w:szCs w:val="27"/>
        </w:rPr>
        <w:t xml:space="preserve">. Conflicto de intereses: Los </w:t>
      </w:r>
      <w:r w:rsidR="00692372" w:rsidRPr="00141B3B">
        <w:rPr>
          <w:rFonts w:ascii="Arial" w:eastAsia="Times New Roman" w:hAnsi="Arial" w:cs="Arial"/>
          <w:color w:val="000000"/>
          <w:sz w:val="27"/>
          <w:szCs w:val="27"/>
        </w:rPr>
        <w:t>c</w:t>
      </w:r>
      <w:r w:rsidR="002951ED" w:rsidRPr="00141B3B">
        <w:rPr>
          <w:rFonts w:ascii="Arial" w:eastAsia="Times New Roman" w:hAnsi="Arial" w:cs="Arial"/>
          <w:color w:val="000000"/>
          <w:sz w:val="27"/>
          <w:szCs w:val="27"/>
        </w:rPr>
        <w:t>ongresistas que dentro del año inmediatamente anterior a su elección hayan prestado servicios remunerados a gremios o personas de derecho privado sobre cuyos intereses o negocios incidan directamente actos que se encuentren al estudio del Congreso, deberán comunicarlo por escrito a la Mesa Directiva de la respectiva Corporación para que, decida si los Congresistas aludidos deben abstenerse de participar en el trámite y votación de dichos actos.</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lastRenderedPageBreak/>
        <w:t>Artículo diecinueve</w:t>
      </w:r>
      <w:r w:rsidR="002951ED" w:rsidRPr="00141B3B">
        <w:rPr>
          <w:rFonts w:ascii="Arial" w:eastAsia="Times New Roman" w:hAnsi="Arial" w:cs="Arial"/>
          <w:color w:val="000000"/>
          <w:sz w:val="27"/>
          <w:szCs w:val="27"/>
        </w:rPr>
        <w:t>. Son susceptibles del recurso extraordinario</w:t>
      </w:r>
      <w:r w:rsidR="001E28A3" w:rsidRPr="00141B3B">
        <w:rPr>
          <w:rFonts w:ascii="Arial" w:eastAsia="Times New Roman" w:hAnsi="Arial" w:cs="Arial"/>
          <w:color w:val="000000"/>
          <w:sz w:val="27"/>
          <w:szCs w:val="27"/>
        </w:rPr>
        <w:t xml:space="preserve"> especial</w:t>
      </w:r>
      <w:r w:rsidR="002951ED" w:rsidRPr="00141B3B">
        <w:rPr>
          <w:rFonts w:ascii="Arial" w:eastAsia="Times New Roman" w:hAnsi="Arial" w:cs="Arial"/>
          <w:color w:val="000000"/>
          <w:sz w:val="27"/>
          <w:szCs w:val="27"/>
        </w:rPr>
        <w:t xml:space="preserve"> de revisión, interpuesto dentro de los dos (2) años siguientes a su ejecutoria</w:t>
      </w:r>
      <w:r w:rsidR="00415DFC" w:rsidRPr="00141B3B">
        <w:rPr>
          <w:rFonts w:ascii="Arial" w:eastAsia="Times New Roman" w:hAnsi="Arial" w:cs="Arial"/>
          <w:color w:val="000000"/>
          <w:sz w:val="27"/>
          <w:szCs w:val="27"/>
        </w:rPr>
        <w:t>,</w:t>
      </w:r>
      <w:r w:rsidR="002951ED" w:rsidRPr="00141B3B">
        <w:rPr>
          <w:rFonts w:ascii="Arial" w:eastAsia="Times New Roman" w:hAnsi="Arial" w:cs="Arial"/>
          <w:color w:val="000000"/>
          <w:sz w:val="27"/>
          <w:szCs w:val="27"/>
        </w:rPr>
        <w:t xml:space="preserve"> las sentencias </w:t>
      </w:r>
      <w:r w:rsidR="002951ED" w:rsidRPr="00141B3B">
        <w:rPr>
          <w:rFonts w:ascii="Arial" w:eastAsia="Times New Roman" w:hAnsi="Arial" w:cs="Arial"/>
          <w:bCs/>
          <w:color w:val="000000"/>
          <w:sz w:val="27"/>
          <w:szCs w:val="27"/>
        </w:rPr>
        <w:t xml:space="preserve">mediante las cuales haya sido levantada la investidura de un </w:t>
      </w:r>
      <w:r w:rsidR="001E28A3" w:rsidRPr="00141B3B">
        <w:rPr>
          <w:rFonts w:ascii="Arial" w:eastAsia="Times New Roman" w:hAnsi="Arial" w:cs="Arial"/>
          <w:bCs/>
          <w:color w:val="000000"/>
          <w:sz w:val="27"/>
          <w:szCs w:val="27"/>
        </w:rPr>
        <w:t>p</w:t>
      </w:r>
      <w:r w:rsidR="002951ED" w:rsidRPr="00141B3B">
        <w:rPr>
          <w:rFonts w:ascii="Arial" w:eastAsia="Times New Roman" w:hAnsi="Arial" w:cs="Arial"/>
          <w:bCs/>
          <w:color w:val="000000"/>
          <w:sz w:val="27"/>
          <w:szCs w:val="27"/>
        </w:rPr>
        <w:t>arlamentario</w:t>
      </w:r>
      <w:r w:rsidR="002951ED" w:rsidRPr="00141B3B">
        <w:rPr>
          <w:rFonts w:ascii="Arial" w:eastAsia="Times New Roman" w:hAnsi="Arial" w:cs="Arial"/>
          <w:color w:val="000000"/>
          <w:sz w:val="27"/>
          <w:szCs w:val="27"/>
        </w:rPr>
        <w:t xml:space="preserve">, por las causales establecidas en el artículo 250 del Código de Procedimiento Administrativo y de lo Contencioso Administrativo. </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veinte</w:t>
      </w:r>
      <w:r w:rsidR="002951ED" w:rsidRPr="00141B3B">
        <w:rPr>
          <w:rFonts w:ascii="Arial" w:eastAsia="Times New Roman" w:hAnsi="Arial" w:cs="Arial"/>
          <w:color w:val="000000"/>
          <w:sz w:val="27"/>
          <w:szCs w:val="27"/>
        </w:rPr>
        <w:t xml:space="preserve">. Para los efectos del numeral 1 del artículo 180 Constitución </w:t>
      </w:r>
      <w:r w:rsidR="001E28A3" w:rsidRPr="00141B3B">
        <w:rPr>
          <w:rFonts w:ascii="Arial" w:eastAsia="Times New Roman" w:hAnsi="Arial" w:cs="Arial"/>
          <w:color w:val="000000"/>
          <w:sz w:val="27"/>
          <w:szCs w:val="27"/>
        </w:rPr>
        <w:t>Política</w:t>
      </w:r>
      <w:r w:rsidR="002951ED" w:rsidRPr="00141B3B">
        <w:rPr>
          <w:rFonts w:ascii="Arial" w:eastAsia="Times New Roman" w:hAnsi="Arial" w:cs="Arial"/>
          <w:color w:val="000000"/>
          <w:sz w:val="27"/>
          <w:szCs w:val="27"/>
        </w:rPr>
        <w:t xml:space="preserve">, se entenderá que el Congresista debe estar realizando, simultáneamente con las de </w:t>
      </w:r>
      <w:r w:rsidR="001E28A3" w:rsidRPr="00141B3B">
        <w:rPr>
          <w:rFonts w:ascii="Arial" w:eastAsia="Times New Roman" w:hAnsi="Arial" w:cs="Arial"/>
          <w:color w:val="000000"/>
          <w:sz w:val="27"/>
          <w:szCs w:val="27"/>
        </w:rPr>
        <w:t>p</w:t>
      </w:r>
      <w:r w:rsidR="002951ED" w:rsidRPr="00141B3B">
        <w:rPr>
          <w:rFonts w:ascii="Arial" w:eastAsia="Times New Roman" w:hAnsi="Arial" w:cs="Arial"/>
          <w:color w:val="000000"/>
          <w:sz w:val="27"/>
          <w:szCs w:val="27"/>
        </w:rPr>
        <w:t>arlamentario, funciones inherentes a las del cargo o empleo público o privado.</w:t>
      </w:r>
    </w:p>
    <w:p w:rsidR="002951ED" w:rsidRPr="00141B3B" w:rsidRDefault="00C86F61"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Artículo veintiuno</w:t>
      </w:r>
      <w:r w:rsidR="002951ED" w:rsidRPr="00141B3B">
        <w:rPr>
          <w:rFonts w:ascii="Arial" w:eastAsia="Times New Roman" w:hAnsi="Arial" w:cs="Arial"/>
          <w:color w:val="000000"/>
          <w:sz w:val="27"/>
          <w:szCs w:val="27"/>
        </w:rPr>
        <w:t xml:space="preserve">. </w:t>
      </w:r>
      <w:r w:rsidR="00415DFC" w:rsidRPr="00141B3B">
        <w:rPr>
          <w:rFonts w:ascii="Arial" w:eastAsia="Times New Roman" w:hAnsi="Arial" w:cs="Arial"/>
          <w:color w:val="000000"/>
          <w:sz w:val="27"/>
          <w:szCs w:val="27"/>
        </w:rPr>
        <w:t>Para la impugnación de autos y e</w:t>
      </w:r>
      <w:r w:rsidR="002951ED" w:rsidRPr="00141B3B">
        <w:rPr>
          <w:rFonts w:ascii="Arial" w:hAnsi="Arial" w:cs="Arial"/>
          <w:color w:val="000000"/>
          <w:sz w:val="27"/>
          <w:szCs w:val="27"/>
          <w:shd w:val="clear" w:color="auto" w:fill="FFFFFF"/>
        </w:rPr>
        <w:t xml:space="preserve">n los </w:t>
      </w:r>
      <w:r w:rsidR="00415DFC" w:rsidRPr="00141B3B">
        <w:rPr>
          <w:rFonts w:ascii="Arial" w:hAnsi="Arial" w:cs="Arial"/>
          <w:color w:val="000000"/>
          <w:sz w:val="27"/>
          <w:szCs w:val="27"/>
          <w:shd w:val="clear" w:color="auto" w:fill="FFFFFF"/>
        </w:rPr>
        <w:t xml:space="preserve">demás </w:t>
      </w:r>
      <w:r w:rsidR="002951ED" w:rsidRPr="00141B3B">
        <w:rPr>
          <w:rFonts w:ascii="Arial" w:hAnsi="Arial" w:cs="Arial"/>
          <w:color w:val="000000"/>
          <w:sz w:val="27"/>
          <w:szCs w:val="27"/>
          <w:shd w:val="clear" w:color="auto" w:fill="FFFFFF"/>
        </w:rPr>
        <w:t>aspectos no contemplados en esta ley se seguirá el Código de Procedimiento Administrativo y de lo Contencioso Administrativo y de forma subsidiaria el Código General del Proceso en lo que sea compatible con la naturaleza de los procesos y actuaciones que correspondan a la Jurisdicción de lo Contencioso Administrativo.</w:t>
      </w:r>
    </w:p>
    <w:p w:rsidR="00BB51DA" w:rsidRPr="00141B3B" w:rsidRDefault="002951ED" w:rsidP="002951ED">
      <w:pPr>
        <w:spacing w:before="100" w:beforeAutospacing="1" w:after="100" w:afterAutospacing="1" w:line="360" w:lineRule="auto"/>
        <w:jc w:val="both"/>
        <w:rPr>
          <w:rFonts w:ascii="Arial" w:eastAsia="Times New Roman" w:hAnsi="Arial" w:cs="Arial"/>
          <w:color w:val="000000"/>
          <w:sz w:val="27"/>
          <w:szCs w:val="27"/>
        </w:rPr>
      </w:pPr>
      <w:r w:rsidRPr="00141B3B">
        <w:rPr>
          <w:rFonts w:ascii="Arial" w:eastAsia="Times New Roman" w:hAnsi="Arial" w:cs="Arial"/>
          <w:b/>
          <w:color w:val="000000"/>
          <w:sz w:val="27"/>
          <w:szCs w:val="27"/>
        </w:rPr>
        <w:t xml:space="preserve">Artículo </w:t>
      </w:r>
      <w:r w:rsidR="00C86F61" w:rsidRPr="00141B3B">
        <w:rPr>
          <w:rFonts w:ascii="Arial" w:eastAsia="Times New Roman" w:hAnsi="Arial" w:cs="Arial"/>
          <w:b/>
          <w:color w:val="000000"/>
          <w:sz w:val="27"/>
          <w:szCs w:val="27"/>
        </w:rPr>
        <w:t>veintidós</w:t>
      </w:r>
      <w:r w:rsidRPr="00141B3B">
        <w:rPr>
          <w:rFonts w:ascii="Arial" w:eastAsia="Times New Roman" w:hAnsi="Arial" w:cs="Arial"/>
          <w:color w:val="000000"/>
          <w:sz w:val="27"/>
          <w:szCs w:val="27"/>
        </w:rPr>
        <w:t xml:space="preserve">. </w:t>
      </w:r>
      <w:r w:rsidR="00BB51DA" w:rsidRPr="00141B3B">
        <w:rPr>
          <w:rFonts w:ascii="Arial" w:eastAsia="Times New Roman" w:hAnsi="Arial" w:cs="Arial"/>
          <w:color w:val="000000"/>
          <w:sz w:val="27"/>
          <w:szCs w:val="27"/>
        </w:rPr>
        <w:t>Los procesos que se encuentren en curso al momento de la entrada en vigencia de esta ley, deberán ser enviados a la Secretaría de la Sección Quinta, en el estado en que se encuentren, siempre que no se haya practicado la audiencia</w:t>
      </w:r>
      <w:r w:rsidR="00904C2E" w:rsidRPr="00141B3B">
        <w:rPr>
          <w:rFonts w:ascii="Arial" w:eastAsia="Times New Roman" w:hAnsi="Arial" w:cs="Arial"/>
          <w:color w:val="000000"/>
          <w:sz w:val="27"/>
          <w:szCs w:val="27"/>
        </w:rPr>
        <w:t xml:space="preserve"> pública. </w:t>
      </w:r>
      <w:r w:rsidR="004E25D1" w:rsidRPr="00141B3B">
        <w:rPr>
          <w:rFonts w:ascii="Arial" w:eastAsia="Times New Roman" w:hAnsi="Arial" w:cs="Arial"/>
          <w:color w:val="000000"/>
          <w:sz w:val="27"/>
          <w:szCs w:val="27"/>
        </w:rPr>
        <w:t xml:space="preserve">Los procesos en los que se hubiere practicado dicha audiencia quedarán de única instancia. </w:t>
      </w:r>
    </w:p>
    <w:p w:rsidR="00C725D0" w:rsidRPr="00C725D0" w:rsidRDefault="00C725D0" w:rsidP="00C725D0">
      <w:pPr>
        <w:spacing w:after="0" w:line="240" w:lineRule="auto"/>
        <w:rPr>
          <w:rFonts w:ascii="Arial" w:hAnsi="Arial" w:cs="Arial"/>
          <w:b/>
          <w:sz w:val="26"/>
          <w:szCs w:val="26"/>
        </w:rPr>
      </w:pPr>
      <w:r w:rsidRPr="00C725D0">
        <w:rPr>
          <w:rFonts w:ascii="Arial" w:hAnsi="Arial" w:cs="Arial"/>
          <w:b/>
          <w:sz w:val="26"/>
          <w:szCs w:val="26"/>
        </w:rPr>
        <w:lastRenderedPageBreak/>
        <w:t xml:space="preserve">ENRIQUE GIL BOTERO                     </w:t>
      </w:r>
    </w:p>
    <w:p w:rsidR="00C725D0" w:rsidRPr="00C725D0" w:rsidRDefault="00C725D0" w:rsidP="00C725D0">
      <w:pPr>
        <w:spacing w:after="0" w:line="240" w:lineRule="auto"/>
        <w:rPr>
          <w:rFonts w:ascii="Arial" w:hAnsi="Arial" w:cs="Arial"/>
          <w:sz w:val="26"/>
          <w:szCs w:val="26"/>
        </w:rPr>
      </w:pPr>
      <w:r w:rsidRPr="00C725D0">
        <w:rPr>
          <w:rFonts w:ascii="Arial" w:hAnsi="Arial" w:cs="Arial"/>
          <w:sz w:val="26"/>
          <w:szCs w:val="26"/>
        </w:rPr>
        <w:t>Ministro de Justicia y del Derecho</w:t>
      </w:r>
    </w:p>
    <w:p w:rsidR="00C725D0" w:rsidRPr="00C725D0" w:rsidRDefault="00C725D0" w:rsidP="00C725D0">
      <w:pPr>
        <w:spacing w:after="0" w:line="240" w:lineRule="auto"/>
        <w:rPr>
          <w:rFonts w:ascii="Arial" w:hAnsi="Arial" w:cs="Arial"/>
          <w:b/>
          <w:sz w:val="26"/>
          <w:szCs w:val="26"/>
        </w:rPr>
      </w:pPr>
    </w:p>
    <w:p w:rsidR="00C725D0" w:rsidRPr="00C725D0" w:rsidRDefault="00C725D0" w:rsidP="00C725D0">
      <w:pPr>
        <w:spacing w:after="0" w:line="240" w:lineRule="auto"/>
        <w:rPr>
          <w:rFonts w:ascii="Arial" w:hAnsi="Arial" w:cs="Arial"/>
          <w:b/>
          <w:sz w:val="26"/>
          <w:szCs w:val="26"/>
        </w:rPr>
      </w:pPr>
    </w:p>
    <w:p w:rsidR="00C725D0" w:rsidRPr="00C725D0" w:rsidRDefault="00C725D0" w:rsidP="00C725D0">
      <w:pPr>
        <w:spacing w:after="0" w:line="240" w:lineRule="auto"/>
        <w:rPr>
          <w:rFonts w:ascii="Arial" w:hAnsi="Arial" w:cs="Arial"/>
          <w:b/>
          <w:sz w:val="26"/>
          <w:szCs w:val="26"/>
        </w:rPr>
      </w:pPr>
      <w:r w:rsidRPr="00C725D0">
        <w:rPr>
          <w:rFonts w:ascii="Arial" w:hAnsi="Arial" w:cs="Arial"/>
          <w:b/>
          <w:sz w:val="26"/>
          <w:szCs w:val="26"/>
        </w:rPr>
        <w:t>TELÉSFORO PEDRAZA ORTEGA</w:t>
      </w:r>
    </w:p>
    <w:p w:rsidR="00C725D0" w:rsidRPr="00C725D0" w:rsidRDefault="00C725D0" w:rsidP="00C725D0">
      <w:pPr>
        <w:spacing w:after="0" w:line="240" w:lineRule="auto"/>
        <w:rPr>
          <w:rFonts w:ascii="Arial" w:hAnsi="Arial" w:cs="Arial"/>
          <w:sz w:val="26"/>
          <w:szCs w:val="26"/>
        </w:rPr>
      </w:pPr>
      <w:r w:rsidRPr="00C725D0">
        <w:rPr>
          <w:rFonts w:ascii="Arial" w:hAnsi="Arial" w:cs="Arial"/>
          <w:sz w:val="26"/>
          <w:szCs w:val="26"/>
        </w:rPr>
        <w:t>Honorable Representante</w:t>
      </w:r>
    </w:p>
    <w:p w:rsidR="008315CF" w:rsidRPr="00141B3B" w:rsidRDefault="008315CF" w:rsidP="00D155EA">
      <w:pPr>
        <w:pStyle w:val="Sinespaciado"/>
        <w:rPr>
          <w:sz w:val="27"/>
          <w:szCs w:val="27"/>
        </w:rPr>
      </w:pPr>
      <w:r w:rsidRPr="00141B3B">
        <w:rPr>
          <w:sz w:val="27"/>
          <w:szCs w:val="27"/>
        </w:rPr>
        <w:br w:type="page"/>
      </w:r>
    </w:p>
    <w:p w:rsidR="00DE2491" w:rsidRDefault="00DE2491" w:rsidP="00341266">
      <w:pPr>
        <w:ind w:left="360"/>
        <w:jc w:val="center"/>
        <w:rPr>
          <w:rFonts w:ascii="Arial" w:hAnsi="Arial" w:cs="Arial"/>
          <w:b/>
          <w:sz w:val="27"/>
          <w:szCs w:val="27"/>
        </w:rPr>
      </w:pPr>
    </w:p>
    <w:p w:rsidR="00DE2491" w:rsidRDefault="00DE2491" w:rsidP="00341266">
      <w:pPr>
        <w:ind w:left="360"/>
        <w:jc w:val="center"/>
        <w:rPr>
          <w:rFonts w:ascii="Arial" w:hAnsi="Arial" w:cs="Arial"/>
          <w:b/>
          <w:sz w:val="27"/>
          <w:szCs w:val="27"/>
        </w:rPr>
      </w:pPr>
    </w:p>
    <w:p w:rsidR="00DE2491" w:rsidRDefault="00DE2491" w:rsidP="00341266">
      <w:pPr>
        <w:ind w:left="360"/>
        <w:jc w:val="center"/>
        <w:rPr>
          <w:rFonts w:ascii="Arial" w:hAnsi="Arial" w:cs="Arial"/>
          <w:b/>
          <w:sz w:val="27"/>
          <w:szCs w:val="27"/>
        </w:rPr>
      </w:pPr>
    </w:p>
    <w:p w:rsidR="00341266" w:rsidRPr="00141B3B" w:rsidRDefault="00341266" w:rsidP="00341266">
      <w:pPr>
        <w:ind w:left="360"/>
        <w:jc w:val="center"/>
        <w:rPr>
          <w:rFonts w:ascii="Arial" w:hAnsi="Arial" w:cs="Arial"/>
          <w:b/>
          <w:sz w:val="27"/>
          <w:szCs w:val="27"/>
        </w:rPr>
      </w:pPr>
      <w:r w:rsidRPr="00141B3B">
        <w:rPr>
          <w:rFonts w:ascii="Arial" w:hAnsi="Arial" w:cs="Arial"/>
          <w:b/>
          <w:sz w:val="27"/>
          <w:szCs w:val="27"/>
        </w:rPr>
        <w:t>Exposición de motivos</w:t>
      </w:r>
    </w:p>
    <w:p w:rsidR="00341266" w:rsidRDefault="00341266" w:rsidP="00341266">
      <w:pPr>
        <w:ind w:left="360"/>
        <w:rPr>
          <w:rFonts w:ascii="Arial" w:hAnsi="Arial" w:cs="Arial"/>
          <w:b/>
          <w:sz w:val="27"/>
          <w:szCs w:val="27"/>
        </w:rPr>
      </w:pPr>
    </w:p>
    <w:p w:rsidR="00DE2491" w:rsidRPr="00141B3B" w:rsidRDefault="00DE2491" w:rsidP="00341266">
      <w:pPr>
        <w:ind w:left="360"/>
        <w:rPr>
          <w:rFonts w:ascii="Arial" w:hAnsi="Arial" w:cs="Arial"/>
          <w:b/>
          <w:sz w:val="27"/>
          <w:szCs w:val="27"/>
        </w:rPr>
      </w:pPr>
    </w:p>
    <w:p w:rsidR="00926C20" w:rsidRPr="00E97E5A" w:rsidRDefault="00926C20" w:rsidP="00926C20">
      <w:pPr>
        <w:pStyle w:val="Prrafodelista"/>
        <w:numPr>
          <w:ilvl w:val="0"/>
          <w:numId w:val="2"/>
        </w:numPr>
        <w:jc w:val="both"/>
        <w:rPr>
          <w:rFonts w:ascii="Arial" w:hAnsi="Arial" w:cs="Arial"/>
          <w:b/>
          <w:i/>
          <w:sz w:val="27"/>
          <w:szCs w:val="27"/>
        </w:rPr>
      </w:pPr>
      <w:r w:rsidRPr="00E97E5A">
        <w:rPr>
          <w:rFonts w:ascii="Arial" w:hAnsi="Arial" w:cs="Arial"/>
          <w:b/>
          <w:i/>
          <w:sz w:val="27"/>
          <w:szCs w:val="27"/>
        </w:rPr>
        <w:t>La pérdida de investidura</w:t>
      </w:r>
      <w:r w:rsidR="00B710F1" w:rsidRPr="00E97E5A">
        <w:rPr>
          <w:rFonts w:ascii="Arial" w:hAnsi="Arial" w:cs="Arial"/>
          <w:b/>
          <w:i/>
          <w:sz w:val="27"/>
          <w:szCs w:val="27"/>
        </w:rPr>
        <w:t xml:space="preserve"> de congresistas</w:t>
      </w:r>
    </w:p>
    <w:p w:rsidR="00262A88" w:rsidRDefault="00262A88" w:rsidP="00262A88">
      <w:pPr>
        <w:pStyle w:val="Prrafodelista"/>
        <w:jc w:val="both"/>
        <w:rPr>
          <w:rFonts w:ascii="Arial" w:hAnsi="Arial" w:cs="Arial"/>
          <w:i/>
          <w:sz w:val="27"/>
          <w:szCs w:val="27"/>
        </w:rPr>
      </w:pPr>
    </w:p>
    <w:p w:rsidR="00DE2491" w:rsidRPr="00141B3B" w:rsidRDefault="00DE2491" w:rsidP="00262A88">
      <w:pPr>
        <w:pStyle w:val="Prrafodelista"/>
        <w:jc w:val="both"/>
        <w:rPr>
          <w:rFonts w:ascii="Arial" w:hAnsi="Arial" w:cs="Arial"/>
          <w:i/>
          <w:sz w:val="27"/>
          <w:szCs w:val="27"/>
        </w:rPr>
      </w:pPr>
    </w:p>
    <w:p w:rsidR="00341266" w:rsidRPr="00141B3B" w:rsidRDefault="00341266" w:rsidP="0099727F">
      <w:pPr>
        <w:spacing w:after="0" w:line="360" w:lineRule="auto"/>
        <w:ind w:left="357"/>
        <w:jc w:val="both"/>
        <w:rPr>
          <w:rFonts w:ascii="Arial" w:hAnsi="Arial" w:cs="Arial"/>
          <w:sz w:val="27"/>
          <w:szCs w:val="27"/>
        </w:rPr>
      </w:pPr>
      <w:r w:rsidRPr="00141B3B">
        <w:rPr>
          <w:rFonts w:ascii="Arial" w:hAnsi="Arial" w:cs="Arial"/>
          <w:sz w:val="27"/>
          <w:szCs w:val="27"/>
        </w:rPr>
        <w:t>El artículo 183 de la Constitución Política consagra la pérdida de investidura de los congresistas en cinco eventos: (i) violación al régimen de inhabilidades e incompatibilidades o de conflicto de intereses</w:t>
      </w:r>
      <w:r w:rsidR="00EE5347" w:rsidRPr="00141B3B">
        <w:rPr>
          <w:rFonts w:ascii="Arial" w:hAnsi="Arial" w:cs="Arial"/>
          <w:sz w:val="27"/>
          <w:szCs w:val="27"/>
        </w:rPr>
        <w:t>, (ii) inasistencia a sesiones plenarias, (iii) no tomar posesión dentro del término para ello, (iv) indebida destinación de dineros públicos y (v) tráfico de influencias. A su turno, el artículo 184 establece que la pérdida de investidura será decretada por el Consejo de Estado en un término no mayor a 20 dí</w:t>
      </w:r>
      <w:r w:rsidR="00945C9A" w:rsidRPr="00141B3B">
        <w:rPr>
          <w:rFonts w:ascii="Arial" w:hAnsi="Arial" w:cs="Arial"/>
          <w:sz w:val="27"/>
          <w:szCs w:val="27"/>
        </w:rPr>
        <w:t xml:space="preserve">as hábiles. </w:t>
      </w:r>
    </w:p>
    <w:p w:rsidR="0099727F" w:rsidRDefault="0099727F" w:rsidP="0099727F">
      <w:pPr>
        <w:spacing w:after="0" w:line="360" w:lineRule="auto"/>
        <w:ind w:left="357"/>
        <w:jc w:val="both"/>
        <w:rPr>
          <w:rFonts w:ascii="Arial" w:hAnsi="Arial" w:cs="Arial"/>
          <w:sz w:val="27"/>
          <w:szCs w:val="27"/>
        </w:rPr>
      </w:pPr>
    </w:p>
    <w:p w:rsidR="00DE2491" w:rsidRDefault="00555541" w:rsidP="0099727F">
      <w:pPr>
        <w:spacing w:after="0" w:line="360" w:lineRule="auto"/>
        <w:ind w:left="357"/>
        <w:jc w:val="both"/>
        <w:rPr>
          <w:rFonts w:ascii="Arial" w:hAnsi="Arial" w:cs="Arial"/>
          <w:sz w:val="27"/>
          <w:szCs w:val="27"/>
        </w:rPr>
      </w:pPr>
      <w:r w:rsidRPr="00141B3B">
        <w:rPr>
          <w:rFonts w:ascii="Arial" w:hAnsi="Arial" w:cs="Arial"/>
          <w:sz w:val="27"/>
          <w:szCs w:val="27"/>
        </w:rPr>
        <w:t>El Consejo de Estado</w:t>
      </w:r>
      <w:r w:rsidRPr="00141B3B">
        <w:rPr>
          <w:rStyle w:val="Refdenotaalpie"/>
          <w:rFonts w:ascii="Arial" w:hAnsi="Arial" w:cs="Arial"/>
          <w:sz w:val="27"/>
          <w:szCs w:val="27"/>
        </w:rPr>
        <w:footnoteReference w:id="1"/>
      </w:r>
      <w:r w:rsidRPr="00141B3B">
        <w:rPr>
          <w:rFonts w:ascii="Arial" w:hAnsi="Arial" w:cs="Arial"/>
          <w:sz w:val="27"/>
          <w:szCs w:val="27"/>
        </w:rPr>
        <w:t xml:space="preserve"> ha caracterizado la pérdida de investidura como </w:t>
      </w:r>
      <w:r w:rsidR="0033458C" w:rsidRPr="00141B3B">
        <w:rPr>
          <w:rFonts w:ascii="Arial" w:hAnsi="Arial" w:cs="Arial"/>
          <w:sz w:val="27"/>
          <w:szCs w:val="27"/>
        </w:rPr>
        <w:t xml:space="preserve">una acción pública que da luz a </w:t>
      </w:r>
      <w:r w:rsidRPr="00141B3B">
        <w:rPr>
          <w:rFonts w:ascii="Arial" w:hAnsi="Arial" w:cs="Arial"/>
          <w:sz w:val="27"/>
          <w:szCs w:val="27"/>
        </w:rPr>
        <w:t xml:space="preserve">un proceso de </w:t>
      </w:r>
      <w:r w:rsidRPr="00141B3B">
        <w:rPr>
          <w:rFonts w:ascii="Arial" w:hAnsi="Arial" w:cs="Arial"/>
          <w:sz w:val="27"/>
          <w:szCs w:val="27"/>
        </w:rPr>
        <w:lastRenderedPageBreak/>
        <w:t>respons</w:t>
      </w:r>
      <w:r w:rsidR="00914A3F" w:rsidRPr="00141B3B">
        <w:rPr>
          <w:rFonts w:ascii="Arial" w:hAnsi="Arial" w:cs="Arial"/>
          <w:sz w:val="27"/>
          <w:szCs w:val="27"/>
        </w:rPr>
        <w:t>abilidad política que conlleva</w:t>
      </w:r>
      <w:r w:rsidRPr="00141B3B">
        <w:rPr>
          <w:rFonts w:ascii="Arial" w:hAnsi="Arial" w:cs="Arial"/>
          <w:sz w:val="27"/>
          <w:szCs w:val="27"/>
        </w:rPr>
        <w:t xml:space="preserve"> la imposición de una sanción jurisdiccional de carácter disciplinario, que implica la cesación </w:t>
      </w:r>
      <w:r w:rsidR="001B501D" w:rsidRPr="00141B3B">
        <w:rPr>
          <w:rFonts w:ascii="Arial" w:hAnsi="Arial" w:cs="Arial"/>
          <w:sz w:val="27"/>
          <w:szCs w:val="27"/>
        </w:rPr>
        <w:t>en el ejercicio de sus funciones legislativas</w:t>
      </w:r>
      <w:r w:rsidRPr="00141B3B">
        <w:rPr>
          <w:rFonts w:ascii="Arial" w:hAnsi="Arial" w:cs="Arial"/>
          <w:sz w:val="27"/>
          <w:szCs w:val="27"/>
        </w:rPr>
        <w:t xml:space="preserve"> y la imposibilidad de volver a </w:t>
      </w:r>
      <w:r w:rsidR="001B501D" w:rsidRPr="00141B3B">
        <w:rPr>
          <w:rFonts w:ascii="Arial" w:hAnsi="Arial" w:cs="Arial"/>
          <w:sz w:val="27"/>
          <w:szCs w:val="27"/>
        </w:rPr>
        <w:t>ocupar</w:t>
      </w:r>
      <w:r w:rsidRPr="00141B3B">
        <w:rPr>
          <w:rFonts w:ascii="Arial" w:hAnsi="Arial" w:cs="Arial"/>
          <w:sz w:val="27"/>
          <w:szCs w:val="27"/>
        </w:rPr>
        <w:t xml:space="preserve"> </w:t>
      </w:r>
      <w:r w:rsidR="00120A1A" w:rsidRPr="00141B3B">
        <w:rPr>
          <w:rFonts w:ascii="Arial" w:hAnsi="Arial" w:cs="Arial"/>
          <w:sz w:val="27"/>
          <w:szCs w:val="27"/>
        </w:rPr>
        <w:t>un cargo de elección popular</w:t>
      </w:r>
      <w:r w:rsidRPr="00141B3B">
        <w:rPr>
          <w:rFonts w:ascii="Arial" w:hAnsi="Arial" w:cs="Arial"/>
          <w:sz w:val="27"/>
          <w:szCs w:val="27"/>
        </w:rPr>
        <w:t xml:space="preserve">, como lo dispone el numeral 4 del artículo 179 de la Constitución Política. </w:t>
      </w:r>
    </w:p>
    <w:p w:rsidR="00DE2491" w:rsidRDefault="00DE2491" w:rsidP="0099727F">
      <w:pPr>
        <w:spacing w:after="0" w:line="360" w:lineRule="auto"/>
        <w:ind w:left="357"/>
        <w:jc w:val="both"/>
        <w:rPr>
          <w:rFonts w:ascii="Arial" w:hAnsi="Arial" w:cs="Arial"/>
          <w:sz w:val="27"/>
          <w:szCs w:val="27"/>
        </w:rPr>
      </w:pPr>
    </w:p>
    <w:p w:rsidR="0099727F" w:rsidRDefault="00914A3F" w:rsidP="0099727F">
      <w:pPr>
        <w:spacing w:after="0" w:line="360" w:lineRule="auto"/>
        <w:ind w:left="357"/>
        <w:jc w:val="both"/>
        <w:rPr>
          <w:rFonts w:ascii="Arial" w:hAnsi="Arial" w:cs="Arial"/>
          <w:sz w:val="27"/>
          <w:szCs w:val="27"/>
        </w:rPr>
      </w:pPr>
      <w:r w:rsidRPr="00141B3B">
        <w:rPr>
          <w:rFonts w:ascii="Arial" w:hAnsi="Arial" w:cs="Arial"/>
          <w:sz w:val="27"/>
          <w:szCs w:val="27"/>
        </w:rPr>
        <w:t>Esta sanción, ha dicho la Corte Constitucional</w:t>
      </w:r>
      <w:r w:rsidRPr="00141B3B">
        <w:rPr>
          <w:rStyle w:val="Refdenotaalpie"/>
          <w:rFonts w:ascii="Arial" w:hAnsi="Arial" w:cs="Arial"/>
          <w:sz w:val="27"/>
          <w:szCs w:val="27"/>
        </w:rPr>
        <w:footnoteReference w:id="2"/>
      </w:r>
      <w:r w:rsidRPr="00141B3B">
        <w:rPr>
          <w:rFonts w:ascii="Arial" w:hAnsi="Arial" w:cs="Arial"/>
          <w:sz w:val="27"/>
          <w:szCs w:val="27"/>
        </w:rPr>
        <w:t>, es equiparable, por sus efectos y gravedad, a la destitución de</w:t>
      </w:r>
      <w:r w:rsidR="001B501D" w:rsidRPr="00141B3B">
        <w:rPr>
          <w:rFonts w:ascii="Arial" w:hAnsi="Arial" w:cs="Arial"/>
          <w:sz w:val="27"/>
          <w:szCs w:val="27"/>
        </w:rPr>
        <w:t xml:space="preserve"> </w:t>
      </w:r>
      <w:r w:rsidR="005D0C08" w:rsidRPr="00141B3B">
        <w:rPr>
          <w:rFonts w:ascii="Arial" w:hAnsi="Arial" w:cs="Arial"/>
          <w:sz w:val="27"/>
          <w:szCs w:val="27"/>
        </w:rPr>
        <w:t xml:space="preserve">los altos funcionarios públicos, pues su finalidad es garantizar el prestigio y respetabilidad de quienes desempeñan la función legislativa. </w:t>
      </w:r>
    </w:p>
    <w:p w:rsidR="00A961A4" w:rsidRDefault="00A961A4" w:rsidP="0099727F">
      <w:pPr>
        <w:spacing w:after="0" w:line="360" w:lineRule="auto"/>
        <w:ind w:left="357"/>
        <w:jc w:val="both"/>
        <w:rPr>
          <w:rFonts w:ascii="Arial" w:hAnsi="Arial" w:cs="Arial"/>
          <w:sz w:val="27"/>
          <w:szCs w:val="27"/>
        </w:rPr>
      </w:pPr>
    </w:p>
    <w:p w:rsidR="00A961A4" w:rsidRPr="00141B3B" w:rsidRDefault="00A961A4" w:rsidP="0099727F">
      <w:pPr>
        <w:spacing w:after="0" w:line="360" w:lineRule="auto"/>
        <w:ind w:left="357"/>
        <w:jc w:val="both"/>
        <w:rPr>
          <w:rFonts w:ascii="Arial" w:hAnsi="Arial" w:cs="Arial"/>
          <w:sz w:val="27"/>
          <w:szCs w:val="27"/>
        </w:rPr>
      </w:pPr>
      <w:r>
        <w:rPr>
          <w:rFonts w:ascii="Arial" w:hAnsi="Arial" w:cs="Arial"/>
          <w:sz w:val="27"/>
          <w:szCs w:val="27"/>
        </w:rPr>
        <w:t xml:space="preserve">El alto Tribunal Constitucional ha </w:t>
      </w:r>
      <w:r w:rsidR="00183B06">
        <w:rPr>
          <w:rFonts w:ascii="Arial" w:hAnsi="Arial" w:cs="Arial"/>
          <w:sz w:val="27"/>
          <w:szCs w:val="27"/>
        </w:rPr>
        <w:t xml:space="preserve">definido y delineado las principales características de esta acción de control político a los congresistas. Cita que se hace </w:t>
      </w:r>
      <w:r w:rsidR="00183B06" w:rsidRPr="00183B06">
        <w:rPr>
          <w:rFonts w:ascii="Arial" w:hAnsi="Arial" w:cs="Arial"/>
          <w:i/>
          <w:sz w:val="27"/>
          <w:szCs w:val="27"/>
        </w:rPr>
        <w:t>in extenso</w:t>
      </w:r>
      <w:r w:rsidR="00183B06">
        <w:rPr>
          <w:rFonts w:ascii="Arial" w:hAnsi="Arial" w:cs="Arial"/>
          <w:sz w:val="27"/>
          <w:szCs w:val="27"/>
        </w:rPr>
        <w:t xml:space="preserve">: </w:t>
      </w:r>
    </w:p>
    <w:p w:rsidR="0099727F" w:rsidRDefault="0099727F" w:rsidP="0099727F">
      <w:pPr>
        <w:spacing w:after="0" w:line="360" w:lineRule="auto"/>
        <w:ind w:left="357"/>
        <w:jc w:val="both"/>
        <w:rPr>
          <w:rFonts w:ascii="Arial" w:hAnsi="Arial" w:cs="Arial"/>
          <w:sz w:val="27"/>
          <w:szCs w:val="27"/>
        </w:rPr>
      </w:pPr>
    </w:p>
    <w:p w:rsidR="00183B06" w:rsidRPr="00183B06" w:rsidRDefault="00183B06" w:rsidP="00183B06">
      <w:pPr>
        <w:spacing w:before="100" w:beforeAutospacing="1" w:after="100" w:afterAutospacing="1" w:line="240" w:lineRule="auto"/>
        <w:ind w:left="1416" w:right="-7"/>
        <w:jc w:val="both"/>
        <w:rPr>
          <w:rFonts w:ascii="Arial" w:eastAsia="Times New Roman" w:hAnsi="Arial" w:cs="Arial"/>
          <w:sz w:val="26"/>
          <w:szCs w:val="26"/>
        </w:rPr>
      </w:pPr>
      <w:r w:rsidRPr="00183B06">
        <w:rPr>
          <w:rFonts w:ascii="Arial" w:eastAsia="Times New Roman" w:hAnsi="Arial" w:cs="Arial"/>
          <w:sz w:val="26"/>
          <w:szCs w:val="26"/>
        </w:rPr>
        <w:t xml:space="preserve">De manera reiterada esta Corporación ha sostenido que la pérdida de investidura regulada en el artículo 183 de la Constitución actúa como una sanción para los congresistas que incurran en vulneración del régimen aplicable de inhabilidades, incompatibilidades y conflictos de intereses (numeral 1º); que incumplan ciertos deberes inherentes al cargo (numerales 2º y 3º) o sean responsables por indebida destinación de dineros públicos o por tráfico de influencias debidamente comprobado (numerales 4º y 5º). Se concibe como una </w:t>
      </w:r>
      <w:r w:rsidRPr="00183B06">
        <w:rPr>
          <w:rFonts w:ascii="Arial" w:eastAsia="Times New Roman" w:hAnsi="Arial" w:cs="Arial"/>
          <w:sz w:val="26"/>
          <w:szCs w:val="26"/>
        </w:rPr>
        <w:lastRenderedPageBreak/>
        <w:t>garantía constitucional que busca preservar la intangibilidad del Congreso de la República en caso de que uno de sus miembros deba ser investigado con base en circunstancias que puedan conducir a la pérdida del cargo de elección popular.</w:t>
      </w:r>
    </w:p>
    <w:p w:rsidR="00183B06" w:rsidRPr="00183B06" w:rsidRDefault="00183B06" w:rsidP="00183B06">
      <w:pPr>
        <w:spacing w:before="100" w:beforeAutospacing="1" w:after="100" w:afterAutospacing="1" w:line="240" w:lineRule="auto"/>
        <w:ind w:left="1416" w:right="-7"/>
        <w:jc w:val="both"/>
        <w:rPr>
          <w:rFonts w:ascii="Arial" w:eastAsia="Times New Roman" w:hAnsi="Arial" w:cs="Arial"/>
          <w:sz w:val="26"/>
          <w:szCs w:val="26"/>
        </w:rPr>
      </w:pPr>
      <w:r w:rsidRPr="00183B06">
        <w:rPr>
          <w:rFonts w:ascii="Arial" w:eastAsia="Times New Roman" w:hAnsi="Arial" w:cs="Arial"/>
          <w:sz w:val="26"/>
          <w:szCs w:val="26"/>
        </w:rPr>
        <w:t xml:space="preserve">De esta forma, la pérdida de investidura constituye un verdadero juicio de responsabilidad política que se define con la imposición de una sanción de carácter jurisdiccional, de tipo disciplinario que castiga la violación al código de conducta que deben observar los congresistas en razón al valor social y político de la investidura detentada. Una vez aplicada la sanción, el congresista pierde su calidad de tal </w:t>
      </w:r>
      <w:proofErr w:type="gramStart"/>
      <w:r w:rsidRPr="00183B06">
        <w:rPr>
          <w:rFonts w:ascii="Arial" w:eastAsia="Times New Roman" w:hAnsi="Arial" w:cs="Arial"/>
          <w:sz w:val="26"/>
          <w:szCs w:val="26"/>
        </w:rPr>
        <w:t>y</w:t>
      </w:r>
      <w:proofErr w:type="gramEnd"/>
      <w:r w:rsidRPr="00183B06">
        <w:rPr>
          <w:rFonts w:ascii="Arial" w:eastAsia="Times New Roman" w:hAnsi="Arial" w:cs="Arial"/>
          <w:sz w:val="26"/>
          <w:szCs w:val="26"/>
        </w:rPr>
        <w:t xml:space="preserve"> además, queda inhabilitado de manera permanente para ser congresista. Esta sanción particularmente drástica se estableció en la Constitución, con fundamento en la altísima dignidad que supone ser Representante a la Cámara o Senador, a los intereses sociales que representa en virtud de la confianza depositada por los electores y a la significación del Congreso dentro del Estado Democrático. </w:t>
      </w:r>
    </w:p>
    <w:p w:rsidR="00183B06" w:rsidRPr="00183B06" w:rsidRDefault="00183B06" w:rsidP="00183B06">
      <w:pPr>
        <w:spacing w:before="100" w:beforeAutospacing="1" w:after="100" w:afterAutospacing="1" w:line="240" w:lineRule="auto"/>
        <w:ind w:left="1416" w:right="-7"/>
        <w:jc w:val="both"/>
        <w:rPr>
          <w:rFonts w:ascii="Arial" w:eastAsia="Times New Roman" w:hAnsi="Arial" w:cs="Arial"/>
          <w:sz w:val="26"/>
          <w:szCs w:val="26"/>
        </w:rPr>
      </w:pPr>
      <w:r w:rsidRPr="00183B06">
        <w:rPr>
          <w:rFonts w:ascii="Arial" w:eastAsia="Times New Roman" w:hAnsi="Arial" w:cs="Arial"/>
          <w:sz w:val="26"/>
          <w:szCs w:val="26"/>
        </w:rPr>
        <w:t>El proceso de pérdida de investidura, de acuerdo a lo indicado en la Constitución, se tramita en un término especialmente breve, en las condiciones que establezca la ley y es de competencia de la Sala Plena del Consejo de Estado. Tal proceso solamente puede iniciarse en los casos, bajo las condiciones y con las consecuencias que la Constitución establece. Los motivos que la originan son taxativos.</w:t>
      </w:r>
    </w:p>
    <w:p w:rsidR="00183B06" w:rsidRPr="00183B06" w:rsidRDefault="00183B06" w:rsidP="00183B06">
      <w:pPr>
        <w:spacing w:before="100" w:beforeAutospacing="1" w:after="100" w:afterAutospacing="1" w:line="240" w:lineRule="auto"/>
        <w:ind w:left="1416" w:right="-7"/>
        <w:jc w:val="both"/>
        <w:rPr>
          <w:rFonts w:ascii="Arial" w:eastAsia="Times New Roman" w:hAnsi="Arial" w:cs="Arial"/>
          <w:sz w:val="26"/>
          <w:szCs w:val="26"/>
        </w:rPr>
      </w:pPr>
      <w:r w:rsidRPr="00183B06">
        <w:rPr>
          <w:rFonts w:ascii="Arial" w:eastAsia="Times New Roman" w:hAnsi="Arial" w:cs="Arial"/>
          <w:sz w:val="26"/>
          <w:szCs w:val="26"/>
        </w:rPr>
        <w:t xml:space="preserve">La pérdida de investidura tiene carácter sancionatorio. En cuanto comporta el ejercicio del </w:t>
      </w:r>
      <w:proofErr w:type="spellStart"/>
      <w:r w:rsidRPr="00183B06">
        <w:rPr>
          <w:rFonts w:ascii="Arial" w:eastAsia="Times New Roman" w:hAnsi="Arial" w:cs="Arial"/>
          <w:i/>
          <w:iCs/>
          <w:sz w:val="26"/>
          <w:szCs w:val="26"/>
        </w:rPr>
        <w:t>ius</w:t>
      </w:r>
      <w:proofErr w:type="spellEnd"/>
      <w:r w:rsidRPr="00183B06">
        <w:rPr>
          <w:rFonts w:ascii="Arial" w:eastAsia="Times New Roman" w:hAnsi="Arial" w:cs="Arial"/>
          <w:i/>
          <w:iCs/>
          <w:sz w:val="26"/>
          <w:szCs w:val="26"/>
        </w:rPr>
        <w:t xml:space="preserve"> </w:t>
      </w:r>
      <w:proofErr w:type="spellStart"/>
      <w:r w:rsidRPr="00183B06">
        <w:rPr>
          <w:rFonts w:ascii="Arial" w:eastAsia="Times New Roman" w:hAnsi="Arial" w:cs="Arial"/>
          <w:i/>
          <w:iCs/>
          <w:sz w:val="26"/>
          <w:szCs w:val="26"/>
        </w:rPr>
        <w:t>puniendi</w:t>
      </w:r>
      <w:proofErr w:type="spellEnd"/>
      <w:r w:rsidRPr="00183B06">
        <w:rPr>
          <w:rFonts w:ascii="Arial" w:eastAsia="Times New Roman" w:hAnsi="Arial" w:cs="Arial"/>
          <w:sz w:val="26"/>
          <w:szCs w:val="26"/>
        </w:rPr>
        <w:t xml:space="preserve"> estatal, esta institución está sujeta, de forma general, a los principios que gobiernan el debido proceso en materia sancionatoria, con las especiales modulaciones necesarias para el cumplimiento de los fines constitucionales. Esas modulaciones encuentran fundamento en las características propias de la institución, </w:t>
      </w:r>
      <w:r w:rsidRPr="00183B06">
        <w:rPr>
          <w:rFonts w:ascii="Arial" w:eastAsia="Times New Roman" w:hAnsi="Arial" w:cs="Arial"/>
          <w:sz w:val="26"/>
          <w:szCs w:val="26"/>
        </w:rPr>
        <w:lastRenderedPageBreak/>
        <w:t>particularmente, en la gravedad de la sanción que se origina en la incursión en un conjunto muy variado de infracciones y la brevedad del término con el que cuenta el Consejo de Estado para emitir la decisión. Entonces, no se trata de un castigo cualquiera sino de uno excepcional, por esa razón, requiere de la plena observancia de las garantías y requisitos constitucionales del debido proceso dispuesto en el artículo 29 de la Constitución.</w:t>
      </w:r>
    </w:p>
    <w:p w:rsidR="00183B06" w:rsidRPr="00183B06" w:rsidRDefault="00183B06" w:rsidP="00183B06">
      <w:pPr>
        <w:spacing w:before="100" w:beforeAutospacing="1" w:after="100" w:afterAutospacing="1" w:line="240" w:lineRule="auto"/>
        <w:ind w:right="-7"/>
        <w:jc w:val="both"/>
        <w:rPr>
          <w:rFonts w:ascii="Arial" w:eastAsia="Times New Roman" w:hAnsi="Arial" w:cs="Arial"/>
          <w:sz w:val="26"/>
          <w:szCs w:val="26"/>
        </w:rPr>
      </w:pPr>
      <w:r w:rsidRPr="00183B06">
        <w:rPr>
          <w:rFonts w:ascii="Arial" w:eastAsia="Times New Roman" w:hAnsi="Arial" w:cs="Arial"/>
          <w:sz w:val="26"/>
          <w:szCs w:val="26"/>
        </w:rPr>
        <w:t> </w:t>
      </w:r>
    </w:p>
    <w:p w:rsidR="00183B06" w:rsidRPr="00183B06" w:rsidRDefault="00183B06" w:rsidP="00183B06">
      <w:pPr>
        <w:spacing w:before="100" w:beforeAutospacing="1" w:after="100" w:afterAutospacing="1" w:line="240" w:lineRule="auto"/>
        <w:ind w:left="1416" w:right="-7"/>
        <w:jc w:val="both"/>
        <w:rPr>
          <w:rFonts w:ascii="Arial" w:eastAsia="Times New Roman" w:hAnsi="Arial" w:cs="Arial"/>
          <w:sz w:val="26"/>
          <w:szCs w:val="26"/>
        </w:rPr>
      </w:pPr>
      <w:r w:rsidRPr="00183B06">
        <w:rPr>
          <w:rFonts w:ascii="Arial" w:eastAsia="Times New Roman" w:hAnsi="Arial" w:cs="Arial"/>
          <w:sz w:val="26"/>
          <w:szCs w:val="26"/>
        </w:rPr>
        <w:t xml:space="preserve">El proceso de pérdida de investidura, inicialmente se </w:t>
      </w:r>
      <w:bookmarkStart w:id="0" w:name="_GoBack"/>
      <w:bookmarkEnd w:id="0"/>
      <w:r w:rsidR="00323056" w:rsidRPr="00183B06">
        <w:rPr>
          <w:rFonts w:ascii="Arial" w:eastAsia="Times New Roman" w:hAnsi="Arial" w:cs="Arial"/>
          <w:sz w:val="26"/>
          <w:szCs w:val="26"/>
        </w:rPr>
        <w:t>adelantaba siguiendo</w:t>
      </w:r>
      <w:r w:rsidRPr="00183B06">
        <w:rPr>
          <w:rFonts w:ascii="Arial" w:eastAsia="Times New Roman" w:hAnsi="Arial" w:cs="Arial"/>
          <w:sz w:val="26"/>
          <w:szCs w:val="26"/>
        </w:rPr>
        <w:t xml:space="preserve"> el procedimiento regulado en el artículo 206 del C.C.A., aplicable a aquellos litigios para los cuales no existía proceso especial. Esta posición fue avalada por la Corte Constitucional en sede de tutela. La Sala Plena del Consejo de Estado seguía estos juicios valiéndose del proceso ordinario y contra su decisión no cabía recurso alguno. Sin embargo, con la expedición de la Ley 144 de 1994 se reguló el procedimiento a seguir según las particularidades de la nueva institución y el breve término de 20 días previsto en la Constitución. En el artículo 17 de la mencionada ley, se estableció el recurso extraordinario especial de revisión para las sentencias que levanten la investidura de un congresista, sin que se dispusiera el órgano competente para conocer del mismo. Solamente hasta 1998 con la puesta en vigencia de la Ley 446 de ese año, se asignó a la Sala Plena del Consejo de Estado la competencia para conocer de ese recurso extraordinario, sin que pudieran ser recusados los Consejeros que participaron en la decisión impugnada, ni podrían declararse impedidos por ese solo hecho</w:t>
      </w:r>
      <w:r>
        <w:rPr>
          <w:rStyle w:val="Refdenotaalpie"/>
          <w:rFonts w:ascii="Arial" w:eastAsia="Times New Roman" w:hAnsi="Arial" w:cs="Arial"/>
          <w:sz w:val="26"/>
          <w:szCs w:val="26"/>
        </w:rPr>
        <w:footnoteReference w:id="3"/>
      </w:r>
      <w:r w:rsidRPr="00183B06">
        <w:rPr>
          <w:rFonts w:ascii="Arial" w:eastAsia="Times New Roman" w:hAnsi="Arial" w:cs="Arial"/>
          <w:sz w:val="26"/>
          <w:szCs w:val="26"/>
        </w:rPr>
        <w:t>.</w:t>
      </w:r>
    </w:p>
    <w:p w:rsidR="00183B06" w:rsidRPr="00141B3B" w:rsidRDefault="00183B06" w:rsidP="0099727F">
      <w:pPr>
        <w:spacing w:after="0" w:line="360" w:lineRule="auto"/>
        <w:ind w:left="357"/>
        <w:jc w:val="both"/>
        <w:rPr>
          <w:rFonts w:ascii="Arial" w:hAnsi="Arial" w:cs="Arial"/>
          <w:sz w:val="27"/>
          <w:szCs w:val="27"/>
        </w:rPr>
      </w:pPr>
    </w:p>
    <w:p w:rsidR="00AD48D1" w:rsidRPr="00141B3B" w:rsidRDefault="00AD48D1" w:rsidP="0099727F">
      <w:pPr>
        <w:spacing w:after="0" w:line="360" w:lineRule="auto"/>
        <w:ind w:left="357"/>
        <w:jc w:val="both"/>
        <w:rPr>
          <w:rFonts w:ascii="Arial" w:hAnsi="Arial" w:cs="Arial"/>
          <w:sz w:val="27"/>
          <w:szCs w:val="27"/>
        </w:rPr>
      </w:pPr>
      <w:r w:rsidRPr="00141B3B">
        <w:rPr>
          <w:rFonts w:ascii="Arial" w:hAnsi="Arial" w:cs="Arial"/>
          <w:sz w:val="27"/>
          <w:szCs w:val="27"/>
        </w:rPr>
        <w:lastRenderedPageBreak/>
        <w:t xml:space="preserve">La pérdida de investidura es una acción pública, porque su legitimación está radicada en cualquier ciudadano, sin necesidad de actuar a través de abogado, según lo dispone el artículo 1° de la Ley 144 de 1994. Además de lo anterior, no tiene término de caducidad, por lo que se puede ejercer en cualquier tiempo. </w:t>
      </w:r>
    </w:p>
    <w:p w:rsidR="0099727F" w:rsidRPr="00141B3B" w:rsidRDefault="0099727F" w:rsidP="0099727F">
      <w:pPr>
        <w:spacing w:after="0" w:line="360" w:lineRule="auto"/>
        <w:ind w:left="357"/>
        <w:jc w:val="both"/>
        <w:rPr>
          <w:rFonts w:ascii="Arial" w:hAnsi="Arial" w:cs="Arial"/>
          <w:sz w:val="27"/>
          <w:szCs w:val="27"/>
        </w:rPr>
      </w:pPr>
    </w:p>
    <w:p w:rsidR="005D0C08" w:rsidRDefault="005D0C08" w:rsidP="0099727F">
      <w:pPr>
        <w:spacing w:after="0" w:line="360" w:lineRule="auto"/>
        <w:ind w:left="357"/>
        <w:jc w:val="both"/>
        <w:rPr>
          <w:rFonts w:ascii="Arial" w:hAnsi="Arial" w:cs="Arial"/>
          <w:sz w:val="27"/>
          <w:szCs w:val="27"/>
        </w:rPr>
      </w:pPr>
      <w:r w:rsidRPr="00141B3B">
        <w:rPr>
          <w:rFonts w:ascii="Arial" w:hAnsi="Arial" w:cs="Arial"/>
          <w:sz w:val="27"/>
          <w:szCs w:val="27"/>
        </w:rPr>
        <w:t>La pérdida de investidura es, entonces, una sanción independiente de aquellas que provienen de la declaratoria de responsabilidad</w:t>
      </w:r>
      <w:r w:rsidR="00AD48D1" w:rsidRPr="00141B3B">
        <w:rPr>
          <w:rFonts w:ascii="Arial" w:hAnsi="Arial" w:cs="Arial"/>
          <w:sz w:val="27"/>
          <w:szCs w:val="27"/>
        </w:rPr>
        <w:t xml:space="preserve"> penal,</w:t>
      </w:r>
      <w:r w:rsidRPr="00141B3B">
        <w:rPr>
          <w:rFonts w:ascii="Arial" w:hAnsi="Arial" w:cs="Arial"/>
          <w:sz w:val="27"/>
          <w:szCs w:val="27"/>
        </w:rPr>
        <w:t xml:space="preserve"> encuentra su base </w:t>
      </w:r>
      <w:r w:rsidR="00AD48D1" w:rsidRPr="00141B3B">
        <w:rPr>
          <w:rFonts w:ascii="Arial" w:hAnsi="Arial" w:cs="Arial"/>
          <w:sz w:val="27"/>
          <w:szCs w:val="27"/>
        </w:rPr>
        <w:t xml:space="preserve">en el régimen constitucional </w:t>
      </w:r>
      <w:r w:rsidRPr="00141B3B">
        <w:rPr>
          <w:rFonts w:ascii="Arial" w:hAnsi="Arial" w:cs="Arial"/>
          <w:sz w:val="27"/>
          <w:szCs w:val="27"/>
        </w:rPr>
        <w:t>de los congresistas y su procedencia viene dada por las causales del artículo 183 de la Constitución Política.</w:t>
      </w:r>
    </w:p>
    <w:p w:rsidR="007B5BC7" w:rsidRDefault="007B5BC7" w:rsidP="0099727F">
      <w:pPr>
        <w:spacing w:after="0" w:line="360" w:lineRule="auto"/>
        <w:ind w:left="357"/>
        <w:jc w:val="both"/>
        <w:rPr>
          <w:rFonts w:ascii="Arial" w:hAnsi="Arial" w:cs="Arial"/>
          <w:sz w:val="27"/>
          <w:szCs w:val="27"/>
        </w:rPr>
      </w:pPr>
    </w:p>
    <w:p w:rsidR="007B5BC7" w:rsidRDefault="007B5BC7" w:rsidP="0099727F">
      <w:pPr>
        <w:spacing w:after="0" w:line="360" w:lineRule="auto"/>
        <w:ind w:left="357"/>
        <w:jc w:val="both"/>
        <w:rPr>
          <w:rFonts w:ascii="Arial" w:hAnsi="Arial" w:cs="Arial"/>
          <w:sz w:val="27"/>
          <w:szCs w:val="27"/>
        </w:rPr>
      </w:pPr>
      <w:r>
        <w:rPr>
          <w:rFonts w:ascii="Arial" w:hAnsi="Arial" w:cs="Arial"/>
          <w:sz w:val="27"/>
          <w:szCs w:val="27"/>
        </w:rPr>
        <w:t xml:space="preserve">La Corte Constitucional ha resaltado la finalidad que persigue la pérdida de investidura, la cual está dirigida a darle respetabilidad a quienes ejercer la labor legislativa. Señaló que en el derecho comparado existen acciones de control de igual resorte: </w:t>
      </w:r>
    </w:p>
    <w:p w:rsidR="007B5BC7" w:rsidRDefault="007B5BC7" w:rsidP="0099727F">
      <w:pPr>
        <w:spacing w:after="0" w:line="360" w:lineRule="auto"/>
        <w:ind w:left="357"/>
        <w:jc w:val="both"/>
        <w:rPr>
          <w:rFonts w:ascii="Arial" w:hAnsi="Arial" w:cs="Arial"/>
          <w:sz w:val="27"/>
          <w:szCs w:val="27"/>
        </w:rPr>
      </w:pPr>
    </w:p>
    <w:p w:rsidR="007B5BC7" w:rsidRPr="007B5BC7" w:rsidRDefault="007B5BC7" w:rsidP="007B5BC7">
      <w:pPr>
        <w:pStyle w:val="Ttulo"/>
        <w:ind w:left="1416" w:right="-93"/>
        <w:jc w:val="both"/>
        <w:rPr>
          <w:rFonts w:ascii="Arial" w:hAnsi="Arial" w:cs="Arial"/>
          <w:sz w:val="26"/>
          <w:szCs w:val="26"/>
        </w:rPr>
      </w:pPr>
      <w:r w:rsidRPr="007B5BC7">
        <w:rPr>
          <w:rFonts w:ascii="Arial" w:hAnsi="Arial" w:cs="Arial"/>
          <w:sz w:val="26"/>
          <w:szCs w:val="26"/>
        </w:rPr>
        <w:t>La ética parlamentaria es un presupuesto fundamental de la democracia en un Estado social de Derecho, por ello está tutelada a través de múltiples mecanismos de naturaleza constitucional y legal:</w:t>
      </w:r>
    </w:p>
    <w:p w:rsidR="007B5BC7" w:rsidRPr="007B5BC7" w:rsidRDefault="007B5BC7" w:rsidP="007B5BC7">
      <w:pPr>
        <w:spacing w:before="100" w:beforeAutospacing="1" w:after="100" w:afterAutospacing="1"/>
        <w:ind w:left="1416" w:right="-93"/>
        <w:jc w:val="both"/>
        <w:rPr>
          <w:rFonts w:ascii="Arial" w:hAnsi="Arial" w:cs="Arial"/>
          <w:sz w:val="26"/>
          <w:szCs w:val="26"/>
        </w:rPr>
      </w:pPr>
      <w:r w:rsidRPr="007B5BC7">
        <w:rPr>
          <w:rFonts w:ascii="Arial" w:hAnsi="Arial" w:cs="Arial"/>
          <w:sz w:val="26"/>
          <w:szCs w:val="26"/>
        </w:rPr>
        <w:t>En España, el Reglamento del Congreso de los Diputados establece una serie de causales para la suspensión y la pérdida de la calidad de diputado, dentro de las cuales está la decisión judicial por violación de la disciplina parlamentaria.</w:t>
      </w:r>
    </w:p>
    <w:p w:rsidR="007B5BC7" w:rsidRPr="007B5BC7" w:rsidRDefault="007B5BC7" w:rsidP="007B5BC7">
      <w:pPr>
        <w:ind w:left="720" w:right="-93" w:hanging="720"/>
        <w:jc w:val="both"/>
        <w:rPr>
          <w:rFonts w:ascii="Arial" w:hAnsi="Arial" w:cs="Arial"/>
          <w:sz w:val="26"/>
          <w:szCs w:val="26"/>
        </w:rPr>
      </w:pPr>
      <w:r w:rsidRPr="007B5BC7">
        <w:rPr>
          <w:rFonts w:ascii="Arial" w:hAnsi="Arial" w:cs="Arial"/>
          <w:sz w:val="26"/>
          <w:szCs w:val="26"/>
        </w:rPr>
        <w:lastRenderedPageBreak/>
        <w:t> </w:t>
      </w:r>
    </w:p>
    <w:p w:rsidR="007B5BC7" w:rsidRPr="007B5BC7" w:rsidRDefault="007B5BC7" w:rsidP="007B5BC7">
      <w:pPr>
        <w:ind w:left="1416" w:right="-93"/>
        <w:jc w:val="both"/>
        <w:rPr>
          <w:rFonts w:ascii="Arial" w:hAnsi="Arial" w:cs="Arial"/>
          <w:sz w:val="26"/>
          <w:szCs w:val="26"/>
        </w:rPr>
      </w:pPr>
      <w:r w:rsidRPr="007B5BC7">
        <w:rPr>
          <w:rFonts w:ascii="Arial" w:hAnsi="Arial" w:cs="Arial"/>
          <w:sz w:val="26"/>
          <w:szCs w:val="26"/>
        </w:rPr>
        <w:t xml:space="preserve">En Alemania, el artículo 41 de la Ley Fundamental señala que el </w:t>
      </w:r>
      <w:proofErr w:type="spellStart"/>
      <w:r w:rsidRPr="007B5BC7">
        <w:rPr>
          <w:rFonts w:ascii="Arial" w:hAnsi="Arial" w:cs="Arial"/>
          <w:i/>
          <w:iCs/>
          <w:sz w:val="26"/>
          <w:szCs w:val="26"/>
        </w:rPr>
        <w:t>Bundestag</w:t>
      </w:r>
      <w:proofErr w:type="spellEnd"/>
      <w:r w:rsidRPr="007B5BC7">
        <w:rPr>
          <w:rFonts w:ascii="Arial" w:hAnsi="Arial" w:cs="Arial"/>
          <w:sz w:val="26"/>
          <w:szCs w:val="26"/>
        </w:rPr>
        <w:t xml:space="preserve"> </w:t>
      </w:r>
      <w:r w:rsidRPr="007B5BC7">
        <w:rPr>
          <w:rFonts w:ascii="Arial" w:hAnsi="Arial" w:cs="Arial"/>
          <w:i/>
          <w:iCs/>
          <w:sz w:val="26"/>
          <w:szCs w:val="26"/>
        </w:rPr>
        <w:t>“Decide también si uno de sus miembros ha perdido su calidad de tal”</w:t>
      </w:r>
      <w:r w:rsidRPr="007B5BC7">
        <w:rPr>
          <w:rFonts w:ascii="Arial" w:hAnsi="Arial" w:cs="Arial"/>
          <w:sz w:val="26"/>
          <w:szCs w:val="26"/>
        </w:rPr>
        <w:t xml:space="preserve"> y señala que la regulación de esta sanción se hará por Ley Federal.</w:t>
      </w:r>
    </w:p>
    <w:p w:rsidR="007B5BC7" w:rsidRPr="007B5BC7" w:rsidRDefault="007B5BC7" w:rsidP="007B5BC7">
      <w:pPr>
        <w:pStyle w:val="Prrafodelista"/>
        <w:ind w:hanging="720"/>
        <w:rPr>
          <w:rFonts w:ascii="Arial" w:hAnsi="Arial" w:cs="Arial"/>
          <w:sz w:val="26"/>
          <w:szCs w:val="26"/>
        </w:rPr>
      </w:pPr>
      <w:r w:rsidRPr="007B5BC7">
        <w:rPr>
          <w:rFonts w:ascii="Arial" w:hAnsi="Arial" w:cs="Arial"/>
          <w:sz w:val="26"/>
          <w:szCs w:val="26"/>
        </w:rPr>
        <w:t> </w:t>
      </w:r>
    </w:p>
    <w:p w:rsidR="007B5BC7" w:rsidRPr="007B5BC7" w:rsidRDefault="007B5BC7" w:rsidP="007B5BC7">
      <w:pPr>
        <w:ind w:left="1404" w:right="-93"/>
        <w:jc w:val="both"/>
        <w:rPr>
          <w:rFonts w:ascii="Arial" w:hAnsi="Arial" w:cs="Arial"/>
          <w:sz w:val="26"/>
          <w:szCs w:val="26"/>
        </w:rPr>
      </w:pPr>
      <w:r w:rsidRPr="007B5BC7">
        <w:rPr>
          <w:rFonts w:ascii="Arial" w:hAnsi="Arial" w:cs="Arial"/>
          <w:sz w:val="26"/>
          <w:szCs w:val="26"/>
        </w:rPr>
        <w:t xml:space="preserve">En Italia, la Constitución delega en la ley la determinación de los casos de </w:t>
      </w:r>
      <w:r w:rsidRPr="007B5BC7">
        <w:rPr>
          <w:rFonts w:ascii="Arial" w:hAnsi="Arial" w:cs="Arial"/>
          <w:i/>
          <w:iCs/>
          <w:sz w:val="26"/>
          <w:szCs w:val="26"/>
        </w:rPr>
        <w:t>“inelegibilidad y de incompatibilidad con el cargo de diputados o de senador”</w:t>
      </w:r>
      <w:r w:rsidRPr="007B5BC7">
        <w:rPr>
          <w:rFonts w:ascii="Arial" w:hAnsi="Arial" w:cs="Arial"/>
          <w:sz w:val="26"/>
          <w:szCs w:val="26"/>
        </w:rPr>
        <w:t>.</w:t>
      </w:r>
    </w:p>
    <w:p w:rsidR="007B5BC7" w:rsidRPr="007B5BC7" w:rsidRDefault="007B5BC7" w:rsidP="007B5BC7">
      <w:pPr>
        <w:pStyle w:val="Prrafodelista"/>
        <w:ind w:hanging="720"/>
        <w:rPr>
          <w:rFonts w:ascii="Arial" w:hAnsi="Arial" w:cs="Arial"/>
          <w:sz w:val="26"/>
          <w:szCs w:val="26"/>
        </w:rPr>
      </w:pPr>
      <w:r w:rsidRPr="007B5BC7">
        <w:rPr>
          <w:rFonts w:ascii="Arial" w:hAnsi="Arial" w:cs="Arial"/>
          <w:sz w:val="26"/>
          <w:szCs w:val="26"/>
        </w:rPr>
        <w:t> </w:t>
      </w:r>
    </w:p>
    <w:p w:rsidR="007B5BC7" w:rsidRPr="007B5BC7" w:rsidRDefault="007B5BC7" w:rsidP="007B5BC7">
      <w:pPr>
        <w:ind w:left="1404" w:right="-93"/>
        <w:jc w:val="both"/>
        <w:rPr>
          <w:rFonts w:ascii="Arial" w:hAnsi="Arial" w:cs="Arial"/>
          <w:sz w:val="26"/>
          <w:szCs w:val="26"/>
        </w:rPr>
      </w:pPr>
      <w:r w:rsidRPr="007B5BC7">
        <w:rPr>
          <w:rFonts w:ascii="Arial" w:hAnsi="Arial" w:cs="Arial"/>
          <w:sz w:val="26"/>
          <w:szCs w:val="26"/>
        </w:rPr>
        <w:t xml:space="preserve">En los Estados Unidos, los Parlamentarios están sujetos a diversas normas éticas, dentro de las cuales se encuentran la </w:t>
      </w:r>
      <w:r w:rsidRPr="007B5BC7">
        <w:rPr>
          <w:rFonts w:ascii="Arial" w:hAnsi="Arial" w:cs="Arial"/>
          <w:i/>
          <w:iCs/>
          <w:sz w:val="26"/>
          <w:szCs w:val="26"/>
        </w:rPr>
        <w:t>“</w:t>
      </w:r>
      <w:proofErr w:type="spellStart"/>
      <w:r w:rsidRPr="007B5BC7">
        <w:rPr>
          <w:rFonts w:ascii="Arial" w:hAnsi="Arial" w:cs="Arial"/>
          <w:i/>
          <w:iCs/>
          <w:sz w:val="26"/>
          <w:szCs w:val="26"/>
        </w:rPr>
        <w:t>Ethics</w:t>
      </w:r>
      <w:proofErr w:type="spellEnd"/>
      <w:r w:rsidRPr="007B5BC7">
        <w:rPr>
          <w:rFonts w:ascii="Arial" w:hAnsi="Arial" w:cs="Arial"/>
          <w:i/>
          <w:iCs/>
          <w:sz w:val="26"/>
          <w:szCs w:val="26"/>
        </w:rPr>
        <w:t xml:space="preserve"> In </w:t>
      </w:r>
      <w:proofErr w:type="spellStart"/>
      <w:r w:rsidRPr="007B5BC7">
        <w:rPr>
          <w:rFonts w:ascii="Arial" w:hAnsi="Arial" w:cs="Arial"/>
          <w:i/>
          <w:iCs/>
          <w:sz w:val="26"/>
          <w:szCs w:val="26"/>
        </w:rPr>
        <w:t>Government</w:t>
      </w:r>
      <w:proofErr w:type="spellEnd"/>
      <w:r w:rsidRPr="007B5BC7">
        <w:rPr>
          <w:rFonts w:ascii="Arial" w:hAnsi="Arial" w:cs="Arial"/>
          <w:i/>
          <w:iCs/>
          <w:sz w:val="26"/>
          <w:szCs w:val="26"/>
        </w:rPr>
        <w:t xml:space="preserve"> </w:t>
      </w:r>
      <w:proofErr w:type="spellStart"/>
      <w:r w:rsidRPr="007B5BC7">
        <w:rPr>
          <w:rFonts w:ascii="Arial" w:hAnsi="Arial" w:cs="Arial"/>
          <w:i/>
          <w:iCs/>
          <w:sz w:val="26"/>
          <w:szCs w:val="26"/>
        </w:rPr>
        <w:t>Act</w:t>
      </w:r>
      <w:proofErr w:type="spellEnd"/>
      <w:r w:rsidRPr="007B5BC7">
        <w:rPr>
          <w:rFonts w:ascii="Arial" w:hAnsi="Arial" w:cs="Arial"/>
          <w:i/>
          <w:iCs/>
          <w:sz w:val="26"/>
          <w:szCs w:val="26"/>
        </w:rPr>
        <w:t xml:space="preserve"> Of 1978</w:t>
      </w:r>
      <w:r w:rsidRPr="007B5BC7">
        <w:rPr>
          <w:rFonts w:ascii="Arial" w:hAnsi="Arial" w:cs="Arial"/>
          <w:i/>
          <w:iCs/>
          <w:caps/>
          <w:sz w:val="26"/>
          <w:szCs w:val="26"/>
        </w:rPr>
        <w:t>”</w:t>
      </w:r>
      <w:r w:rsidRPr="007B5BC7">
        <w:rPr>
          <w:rFonts w:ascii="Arial" w:hAnsi="Arial" w:cs="Arial"/>
          <w:caps/>
          <w:sz w:val="26"/>
          <w:szCs w:val="26"/>
        </w:rPr>
        <w:t xml:space="preserve"> </w:t>
      </w:r>
      <w:r w:rsidRPr="007B5BC7">
        <w:rPr>
          <w:rFonts w:ascii="Arial" w:hAnsi="Arial" w:cs="Arial"/>
          <w:sz w:val="26"/>
          <w:szCs w:val="26"/>
        </w:rPr>
        <w:t xml:space="preserve">aplicable también a los miembros del Congreso, estableciendo penas civiles a la infracción de la recepción de remuneraciones y a la realización de actividades incompatibles con la administración.  Así mismo, en este país cabe destacar la regulación del tráfico de influencias y el lobby en la </w:t>
      </w:r>
      <w:r w:rsidRPr="007B5BC7">
        <w:rPr>
          <w:rFonts w:ascii="Arial" w:hAnsi="Arial" w:cs="Arial"/>
          <w:i/>
          <w:iCs/>
          <w:sz w:val="26"/>
          <w:szCs w:val="26"/>
        </w:rPr>
        <w:t>“</w:t>
      </w:r>
      <w:proofErr w:type="spellStart"/>
      <w:r w:rsidRPr="007B5BC7">
        <w:rPr>
          <w:rFonts w:ascii="Arial" w:hAnsi="Arial" w:cs="Arial"/>
          <w:i/>
          <w:iCs/>
          <w:sz w:val="26"/>
          <w:szCs w:val="26"/>
        </w:rPr>
        <w:t>Act</w:t>
      </w:r>
      <w:proofErr w:type="spellEnd"/>
      <w:r w:rsidRPr="007B5BC7">
        <w:rPr>
          <w:rFonts w:ascii="Arial" w:hAnsi="Arial" w:cs="Arial"/>
          <w:i/>
          <w:iCs/>
          <w:sz w:val="26"/>
          <w:szCs w:val="26"/>
        </w:rPr>
        <w:t xml:space="preserve"> to </w:t>
      </w:r>
      <w:proofErr w:type="spellStart"/>
      <w:r w:rsidRPr="007B5BC7">
        <w:rPr>
          <w:rFonts w:ascii="Arial" w:hAnsi="Arial" w:cs="Arial"/>
          <w:i/>
          <w:iCs/>
          <w:sz w:val="26"/>
          <w:szCs w:val="26"/>
        </w:rPr>
        <w:t>provide</w:t>
      </w:r>
      <w:proofErr w:type="spellEnd"/>
      <w:r w:rsidRPr="007B5BC7">
        <w:rPr>
          <w:rFonts w:ascii="Arial" w:hAnsi="Arial" w:cs="Arial"/>
          <w:i/>
          <w:iCs/>
          <w:sz w:val="26"/>
          <w:szCs w:val="26"/>
        </w:rPr>
        <w:t xml:space="preserve"> </w:t>
      </w:r>
      <w:proofErr w:type="spellStart"/>
      <w:r w:rsidRPr="007B5BC7">
        <w:rPr>
          <w:rFonts w:ascii="Arial" w:hAnsi="Arial" w:cs="Arial"/>
          <w:i/>
          <w:iCs/>
          <w:sz w:val="26"/>
          <w:szCs w:val="26"/>
        </w:rPr>
        <w:t>for</w:t>
      </w:r>
      <w:proofErr w:type="spellEnd"/>
      <w:r w:rsidRPr="007B5BC7">
        <w:rPr>
          <w:rFonts w:ascii="Arial" w:hAnsi="Arial" w:cs="Arial"/>
          <w:i/>
          <w:iCs/>
          <w:sz w:val="26"/>
          <w:szCs w:val="26"/>
        </w:rPr>
        <w:t xml:space="preserve"> </w:t>
      </w:r>
      <w:proofErr w:type="spellStart"/>
      <w:r w:rsidRPr="007B5BC7">
        <w:rPr>
          <w:rFonts w:ascii="Arial" w:hAnsi="Arial" w:cs="Arial"/>
          <w:i/>
          <w:iCs/>
          <w:sz w:val="26"/>
          <w:szCs w:val="26"/>
        </w:rPr>
        <w:t>the</w:t>
      </w:r>
      <w:proofErr w:type="spellEnd"/>
      <w:r w:rsidRPr="007B5BC7">
        <w:rPr>
          <w:rFonts w:ascii="Arial" w:hAnsi="Arial" w:cs="Arial"/>
          <w:i/>
          <w:iCs/>
          <w:sz w:val="26"/>
          <w:szCs w:val="26"/>
        </w:rPr>
        <w:t xml:space="preserve"> </w:t>
      </w:r>
      <w:proofErr w:type="spellStart"/>
      <w:r w:rsidRPr="007B5BC7">
        <w:rPr>
          <w:rFonts w:ascii="Arial" w:hAnsi="Arial" w:cs="Arial"/>
          <w:i/>
          <w:iCs/>
          <w:sz w:val="26"/>
          <w:szCs w:val="26"/>
        </w:rPr>
        <w:t>disclosure</w:t>
      </w:r>
      <w:proofErr w:type="spellEnd"/>
      <w:r w:rsidRPr="007B5BC7">
        <w:rPr>
          <w:rFonts w:ascii="Arial" w:hAnsi="Arial" w:cs="Arial"/>
          <w:i/>
          <w:iCs/>
          <w:sz w:val="26"/>
          <w:szCs w:val="26"/>
        </w:rPr>
        <w:t xml:space="preserve"> of </w:t>
      </w:r>
      <w:proofErr w:type="spellStart"/>
      <w:r w:rsidRPr="007B5BC7">
        <w:rPr>
          <w:rFonts w:ascii="Arial" w:hAnsi="Arial" w:cs="Arial"/>
          <w:i/>
          <w:iCs/>
          <w:sz w:val="26"/>
          <w:szCs w:val="26"/>
        </w:rPr>
        <w:t>lobbying</w:t>
      </w:r>
      <w:proofErr w:type="spellEnd"/>
      <w:r w:rsidRPr="007B5BC7">
        <w:rPr>
          <w:rFonts w:ascii="Arial" w:hAnsi="Arial" w:cs="Arial"/>
          <w:i/>
          <w:iCs/>
          <w:sz w:val="26"/>
          <w:szCs w:val="26"/>
        </w:rPr>
        <w:t xml:space="preserve"> </w:t>
      </w:r>
      <w:proofErr w:type="spellStart"/>
      <w:r w:rsidRPr="007B5BC7">
        <w:rPr>
          <w:rFonts w:ascii="Arial" w:hAnsi="Arial" w:cs="Arial"/>
          <w:i/>
          <w:iCs/>
          <w:sz w:val="26"/>
          <w:szCs w:val="26"/>
        </w:rPr>
        <w:t>activities</w:t>
      </w:r>
      <w:proofErr w:type="spellEnd"/>
      <w:r w:rsidRPr="007B5BC7">
        <w:rPr>
          <w:rFonts w:ascii="Arial" w:hAnsi="Arial" w:cs="Arial"/>
          <w:i/>
          <w:iCs/>
          <w:sz w:val="26"/>
          <w:szCs w:val="26"/>
        </w:rPr>
        <w:t xml:space="preserve"> to </w:t>
      </w:r>
      <w:proofErr w:type="spellStart"/>
      <w:r w:rsidRPr="007B5BC7">
        <w:rPr>
          <w:rFonts w:ascii="Arial" w:hAnsi="Arial" w:cs="Arial"/>
          <w:i/>
          <w:iCs/>
          <w:sz w:val="26"/>
          <w:szCs w:val="26"/>
        </w:rPr>
        <w:t>influence</w:t>
      </w:r>
      <w:proofErr w:type="spellEnd"/>
      <w:r w:rsidRPr="007B5BC7">
        <w:rPr>
          <w:rFonts w:ascii="Arial" w:hAnsi="Arial" w:cs="Arial"/>
          <w:i/>
          <w:iCs/>
          <w:sz w:val="26"/>
          <w:szCs w:val="26"/>
        </w:rPr>
        <w:t xml:space="preserve"> </w:t>
      </w:r>
      <w:proofErr w:type="spellStart"/>
      <w:r w:rsidRPr="007B5BC7">
        <w:rPr>
          <w:rFonts w:ascii="Arial" w:hAnsi="Arial" w:cs="Arial"/>
          <w:i/>
          <w:iCs/>
          <w:sz w:val="26"/>
          <w:szCs w:val="26"/>
        </w:rPr>
        <w:t>the</w:t>
      </w:r>
      <w:proofErr w:type="spellEnd"/>
      <w:r w:rsidRPr="007B5BC7">
        <w:rPr>
          <w:rFonts w:ascii="Arial" w:hAnsi="Arial" w:cs="Arial"/>
          <w:i/>
          <w:iCs/>
          <w:sz w:val="26"/>
          <w:szCs w:val="26"/>
        </w:rPr>
        <w:t xml:space="preserve"> Federal </w:t>
      </w:r>
      <w:proofErr w:type="spellStart"/>
      <w:r w:rsidRPr="007B5BC7">
        <w:rPr>
          <w:rFonts w:ascii="Arial" w:hAnsi="Arial" w:cs="Arial"/>
          <w:i/>
          <w:iCs/>
          <w:sz w:val="26"/>
          <w:szCs w:val="26"/>
        </w:rPr>
        <w:t>Government</w:t>
      </w:r>
      <w:proofErr w:type="spellEnd"/>
      <w:r w:rsidRPr="007B5BC7">
        <w:rPr>
          <w:rFonts w:ascii="Arial" w:hAnsi="Arial" w:cs="Arial"/>
          <w:i/>
          <w:iCs/>
          <w:sz w:val="26"/>
          <w:szCs w:val="26"/>
        </w:rPr>
        <w:t xml:space="preserve">, and </w:t>
      </w:r>
      <w:proofErr w:type="spellStart"/>
      <w:r w:rsidRPr="007B5BC7">
        <w:rPr>
          <w:rFonts w:ascii="Arial" w:hAnsi="Arial" w:cs="Arial"/>
          <w:i/>
          <w:iCs/>
          <w:sz w:val="26"/>
          <w:szCs w:val="26"/>
        </w:rPr>
        <w:t>for</w:t>
      </w:r>
      <w:proofErr w:type="spellEnd"/>
      <w:r w:rsidRPr="007B5BC7">
        <w:rPr>
          <w:rFonts w:ascii="Arial" w:hAnsi="Arial" w:cs="Arial"/>
          <w:i/>
          <w:iCs/>
          <w:sz w:val="26"/>
          <w:szCs w:val="26"/>
        </w:rPr>
        <w:t xml:space="preserve"> </w:t>
      </w:r>
      <w:proofErr w:type="spellStart"/>
      <w:r w:rsidRPr="007B5BC7">
        <w:rPr>
          <w:rFonts w:ascii="Arial" w:hAnsi="Arial" w:cs="Arial"/>
          <w:i/>
          <w:iCs/>
          <w:sz w:val="26"/>
          <w:szCs w:val="26"/>
        </w:rPr>
        <w:t>other</w:t>
      </w:r>
      <w:proofErr w:type="spellEnd"/>
      <w:r w:rsidRPr="007B5BC7">
        <w:rPr>
          <w:rFonts w:ascii="Arial" w:hAnsi="Arial" w:cs="Arial"/>
          <w:i/>
          <w:iCs/>
          <w:sz w:val="26"/>
          <w:szCs w:val="26"/>
        </w:rPr>
        <w:t xml:space="preserve"> </w:t>
      </w:r>
      <w:proofErr w:type="spellStart"/>
      <w:r w:rsidRPr="007B5BC7">
        <w:rPr>
          <w:rFonts w:ascii="Arial" w:hAnsi="Arial" w:cs="Arial"/>
          <w:i/>
          <w:iCs/>
          <w:sz w:val="26"/>
          <w:szCs w:val="26"/>
        </w:rPr>
        <w:t>purposes</w:t>
      </w:r>
      <w:proofErr w:type="spellEnd"/>
      <w:r w:rsidRPr="007B5BC7">
        <w:rPr>
          <w:rFonts w:ascii="Arial" w:hAnsi="Arial" w:cs="Arial"/>
          <w:i/>
          <w:iCs/>
          <w:sz w:val="26"/>
          <w:szCs w:val="26"/>
        </w:rPr>
        <w:t>”</w:t>
      </w:r>
      <w:r w:rsidRPr="007B5BC7">
        <w:rPr>
          <w:rFonts w:ascii="Arial" w:hAnsi="Arial" w:cs="Arial"/>
          <w:sz w:val="26"/>
          <w:szCs w:val="26"/>
        </w:rPr>
        <w:t>.</w:t>
      </w:r>
    </w:p>
    <w:p w:rsidR="007B5BC7" w:rsidRPr="007B5BC7" w:rsidRDefault="007B5BC7" w:rsidP="007B5BC7">
      <w:pPr>
        <w:pStyle w:val="Prrafodelista"/>
        <w:ind w:left="1404"/>
        <w:jc w:val="both"/>
        <w:rPr>
          <w:rFonts w:ascii="Arial" w:hAnsi="Arial" w:cs="Arial"/>
          <w:sz w:val="26"/>
          <w:szCs w:val="26"/>
        </w:rPr>
      </w:pPr>
      <w:r w:rsidRPr="007B5BC7">
        <w:rPr>
          <w:rFonts w:ascii="Arial" w:hAnsi="Arial" w:cs="Arial"/>
          <w:sz w:val="26"/>
          <w:szCs w:val="26"/>
        </w:rPr>
        <w:t xml:space="preserve">En México, se consagra la Ley Federal de responsabilidades de los Servidores Públicos publicada el 31 de diciembre de 1982, que regula los juicios políticos en ese país. En esta ley se manifiesta que </w:t>
      </w:r>
      <w:r w:rsidRPr="007B5BC7">
        <w:rPr>
          <w:rFonts w:ascii="Arial" w:hAnsi="Arial" w:cs="Arial"/>
          <w:i/>
          <w:iCs/>
          <w:sz w:val="26"/>
          <w:szCs w:val="26"/>
        </w:rPr>
        <w:t>“Si la resolución que se dicte en el juicio político es condenatoria, se sancionará al servidor público con destitución. Podrá también imponerse inhabilitación para el ejercicio de empleos, cargos o comisiones en el servicio público desde un año hasta veinte años.”</w:t>
      </w:r>
      <w:r w:rsidRPr="007B5BC7">
        <w:rPr>
          <w:rFonts w:ascii="Arial" w:hAnsi="Arial" w:cs="Arial"/>
          <w:sz w:val="26"/>
          <w:szCs w:val="26"/>
        </w:rPr>
        <w:t xml:space="preserve"> </w:t>
      </w:r>
    </w:p>
    <w:p w:rsidR="007B5BC7" w:rsidRPr="007B5BC7" w:rsidRDefault="007B5BC7" w:rsidP="007B5BC7">
      <w:pPr>
        <w:pStyle w:val="Prrafodelista"/>
        <w:ind w:hanging="720"/>
        <w:rPr>
          <w:rFonts w:ascii="Arial" w:hAnsi="Arial" w:cs="Arial"/>
          <w:sz w:val="26"/>
          <w:szCs w:val="26"/>
        </w:rPr>
      </w:pPr>
      <w:r w:rsidRPr="007B5BC7">
        <w:rPr>
          <w:rFonts w:ascii="Arial" w:hAnsi="Arial" w:cs="Arial"/>
          <w:sz w:val="26"/>
          <w:szCs w:val="26"/>
        </w:rPr>
        <w:t> </w:t>
      </w:r>
    </w:p>
    <w:p w:rsidR="007B5BC7" w:rsidRPr="007B5BC7" w:rsidRDefault="007B5BC7" w:rsidP="007B5BC7">
      <w:pPr>
        <w:ind w:left="1404" w:right="-93" w:hanging="12"/>
        <w:jc w:val="both"/>
        <w:rPr>
          <w:rFonts w:ascii="Arial" w:hAnsi="Arial" w:cs="Arial"/>
          <w:sz w:val="26"/>
          <w:szCs w:val="26"/>
        </w:rPr>
      </w:pPr>
      <w:r w:rsidRPr="007B5BC7">
        <w:rPr>
          <w:rFonts w:ascii="Arial" w:hAnsi="Arial" w:cs="Arial"/>
          <w:sz w:val="26"/>
          <w:szCs w:val="26"/>
        </w:rPr>
        <w:lastRenderedPageBreak/>
        <w:t>En Chile, el 3 de diciembre de 1999 se expidió la ley 19.653, sobre Probidad Administrativa aplicable de los Órganos de la Administración del Estado, la cual reglamentó diversos temas frente a los parlamentarios. En este sentido, el artículo 68 de esta ley señala que la inclusión de datos relevantes inexactos y la omisión inexcusable de la información relevante requerida por la ley en la declaración de intereses se sancionarán administrativamente con la medida disciplinaria de destitución.</w:t>
      </w:r>
    </w:p>
    <w:p w:rsidR="007B5BC7" w:rsidRPr="007B5BC7" w:rsidRDefault="007B5BC7" w:rsidP="007B5BC7">
      <w:pPr>
        <w:pStyle w:val="Prrafodelista"/>
        <w:ind w:left="1392"/>
        <w:jc w:val="both"/>
        <w:rPr>
          <w:rFonts w:ascii="Arial" w:hAnsi="Arial" w:cs="Arial"/>
          <w:sz w:val="26"/>
          <w:szCs w:val="26"/>
        </w:rPr>
      </w:pPr>
      <w:r w:rsidRPr="007B5BC7">
        <w:rPr>
          <w:rFonts w:ascii="Arial" w:hAnsi="Arial" w:cs="Arial"/>
          <w:sz w:val="26"/>
          <w:szCs w:val="26"/>
        </w:rPr>
        <w:t>En Venezuela, la Constitución de 1999 señala expresamente la pérdida de investidura de los diputados o diputadas a la Asamblea Nacional que acepten o ejerzan cargos públicos, así como también regula los conflictos de intereses.</w:t>
      </w:r>
    </w:p>
    <w:p w:rsidR="007B5BC7" w:rsidRPr="007B5BC7" w:rsidRDefault="007B5BC7" w:rsidP="007B5BC7">
      <w:pPr>
        <w:pStyle w:val="Prrafodelista"/>
        <w:ind w:hanging="720"/>
        <w:rPr>
          <w:rFonts w:ascii="Arial" w:hAnsi="Arial" w:cs="Arial"/>
          <w:sz w:val="26"/>
          <w:szCs w:val="26"/>
        </w:rPr>
      </w:pPr>
      <w:r w:rsidRPr="007B5BC7">
        <w:rPr>
          <w:rFonts w:ascii="Arial" w:hAnsi="Arial" w:cs="Arial"/>
          <w:sz w:val="26"/>
          <w:szCs w:val="26"/>
        </w:rPr>
        <w:t> </w:t>
      </w:r>
    </w:p>
    <w:p w:rsidR="007B5BC7" w:rsidRPr="007B5BC7" w:rsidRDefault="007B5BC7" w:rsidP="007B5BC7">
      <w:pPr>
        <w:ind w:left="1392" w:right="-93"/>
        <w:jc w:val="both"/>
        <w:rPr>
          <w:rFonts w:ascii="Arial" w:hAnsi="Arial" w:cs="Arial"/>
          <w:sz w:val="26"/>
          <w:szCs w:val="26"/>
        </w:rPr>
      </w:pPr>
      <w:r w:rsidRPr="007B5BC7">
        <w:rPr>
          <w:rFonts w:ascii="Arial" w:hAnsi="Arial" w:cs="Arial"/>
          <w:sz w:val="26"/>
          <w:szCs w:val="26"/>
        </w:rPr>
        <w:t>En El Perú, el Reglamento del Congreso establece que los parlamentarios pueden ser reemplazados en caso de ser destituidos en juicio político por infracción constitucional, la cual es decidida por la Comisión Permanente del Congreso de los diputados que sanciona infracciones a la Constitución de ese país dentro de las cuales se incluye la violación del régimen de incompatibilidades.</w:t>
      </w:r>
    </w:p>
    <w:p w:rsidR="007B5BC7" w:rsidRPr="007B5BC7" w:rsidRDefault="007B5BC7" w:rsidP="007B5BC7">
      <w:pPr>
        <w:pStyle w:val="Prrafodelista"/>
        <w:ind w:hanging="720"/>
        <w:rPr>
          <w:rFonts w:ascii="Arial" w:hAnsi="Arial" w:cs="Arial"/>
          <w:sz w:val="26"/>
          <w:szCs w:val="26"/>
        </w:rPr>
      </w:pPr>
      <w:r w:rsidRPr="007B5BC7">
        <w:rPr>
          <w:rFonts w:ascii="Arial" w:hAnsi="Arial" w:cs="Arial"/>
          <w:sz w:val="26"/>
          <w:szCs w:val="26"/>
        </w:rPr>
        <w:t> </w:t>
      </w:r>
    </w:p>
    <w:p w:rsidR="007B5BC7" w:rsidRPr="007B5BC7" w:rsidRDefault="007B5BC7" w:rsidP="007B5BC7">
      <w:pPr>
        <w:ind w:left="1416" w:right="-93" w:hanging="24"/>
        <w:jc w:val="both"/>
        <w:rPr>
          <w:rFonts w:ascii="Arial" w:hAnsi="Arial" w:cs="Arial"/>
          <w:sz w:val="26"/>
          <w:szCs w:val="26"/>
        </w:rPr>
      </w:pPr>
      <w:r w:rsidRPr="007B5BC7">
        <w:rPr>
          <w:rFonts w:ascii="Arial" w:hAnsi="Arial" w:cs="Arial"/>
          <w:sz w:val="26"/>
          <w:szCs w:val="26"/>
        </w:rPr>
        <w:t xml:space="preserve">En Colombia, la pérdida de investidura constituye un verdadero juicio de responsabilidad política que acarrea la imposición de una sanción de carácter jurisdiccional, que castiga la trasgresión al código de conducta intachable que los congresistas deben observar por razón del inapreciable valor social y político de la investidura que ostentan, en </w:t>
      </w:r>
      <w:r w:rsidRPr="007B5BC7">
        <w:rPr>
          <w:rFonts w:ascii="Arial" w:hAnsi="Arial" w:cs="Arial"/>
          <w:sz w:val="26"/>
          <w:szCs w:val="26"/>
        </w:rPr>
        <w:lastRenderedPageBreak/>
        <w:t>aras del rescate del prestigio y de la respetabilidad del Congreso.</w:t>
      </w:r>
    </w:p>
    <w:p w:rsidR="007B5BC7" w:rsidRPr="007B5BC7" w:rsidRDefault="007B5BC7" w:rsidP="007B5BC7">
      <w:pPr>
        <w:spacing w:before="100" w:beforeAutospacing="1" w:after="100" w:afterAutospacing="1"/>
        <w:ind w:left="1392" w:right="-93"/>
        <w:jc w:val="both"/>
        <w:rPr>
          <w:rFonts w:ascii="Arial" w:hAnsi="Arial" w:cs="Arial"/>
          <w:sz w:val="26"/>
          <w:szCs w:val="26"/>
        </w:rPr>
      </w:pPr>
      <w:r w:rsidRPr="007B5BC7">
        <w:rPr>
          <w:rFonts w:ascii="Arial" w:hAnsi="Arial" w:cs="Arial"/>
          <w:sz w:val="26"/>
          <w:szCs w:val="26"/>
        </w:rPr>
        <w:t xml:space="preserve">En este sentido, la pérdida de investidura es un mecanismo de control político de los ciudadanos y un instrumento de depuración en manos de las corporaciones públicas contra sus propios integrantes, cuando éstos incurran en conductas contrarias al buen servicio, el interés general o la dignidad que ostentan. </w:t>
      </w:r>
    </w:p>
    <w:p w:rsidR="007B5BC7" w:rsidRPr="007B5BC7" w:rsidRDefault="007B5BC7" w:rsidP="007B5BC7">
      <w:pPr>
        <w:ind w:left="720" w:right="-93" w:hanging="720"/>
        <w:jc w:val="both"/>
        <w:rPr>
          <w:rFonts w:ascii="Arial" w:hAnsi="Arial" w:cs="Arial"/>
          <w:sz w:val="26"/>
          <w:szCs w:val="26"/>
        </w:rPr>
      </w:pPr>
      <w:r w:rsidRPr="007B5BC7">
        <w:rPr>
          <w:rFonts w:ascii="Arial" w:hAnsi="Arial" w:cs="Arial"/>
          <w:sz w:val="26"/>
          <w:szCs w:val="26"/>
        </w:rPr>
        <w:t> </w:t>
      </w:r>
    </w:p>
    <w:p w:rsidR="007B5BC7" w:rsidRPr="007B5BC7" w:rsidRDefault="007B5BC7" w:rsidP="007B5BC7">
      <w:pPr>
        <w:ind w:left="1392" w:right="-93"/>
        <w:jc w:val="both"/>
        <w:rPr>
          <w:rFonts w:ascii="Arial" w:hAnsi="Arial" w:cs="Arial"/>
          <w:sz w:val="26"/>
          <w:szCs w:val="26"/>
        </w:rPr>
      </w:pPr>
      <w:r w:rsidRPr="007B5BC7">
        <w:rPr>
          <w:rFonts w:ascii="Arial" w:hAnsi="Arial" w:cs="Arial"/>
          <w:sz w:val="26"/>
          <w:szCs w:val="26"/>
        </w:rPr>
        <w:t xml:space="preserve">La finalidad de la pérdida de investidura es entonces </w:t>
      </w:r>
      <w:r w:rsidRPr="007B5BC7">
        <w:rPr>
          <w:rFonts w:ascii="Arial" w:hAnsi="Arial" w:cs="Arial"/>
          <w:sz w:val="26"/>
          <w:szCs w:val="26"/>
          <w:lang w:val="es-ES_tradnl"/>
        </w:rPr>
        <w:t xml:space="preserve">rescatar el prestigio y la respetabilidad del Congreso y </w:t>
      </w:r>
      <w:r w:rsidRPr="007B5BC7">
        <w:rPr>
          <w:rFonts w:ascii="Arial" w:hAnsi="Arial" w:cs="Arial"/>
          <w:sz w:val="26"/>
          <w:szCs w:val="26"/>
        </w:rPr>
        <w:t>garantizar el ejercicio transparente, efectivo y probo de la actividad legislativa:</w:t>
      </w:r>
    </w:p>
    <w:p w:rsidR="007B5BC7" w:rsidRPr="007B5BC7" w:rsidRDefault="007B5BC7" w:rsidP="007B5BC7">
      <w:pPr>
        <w:ind w:left="720" w:right="-93" w:hanging="720"/>
        <w:jc w:val="both"/>
        <w:rPr>
          <w:rFonts w:ascii="Arial" w:hAnsi="Arial" w:cs="Arial"/>
          <w:sz w:val="26"/>
          <w:szCs w:val="26"/>
        </w:rPr>
      </w:pPr>
      <w:r w:rsidRPr="007B5BC7">
        <w:rPr>
          <w:rFonts w:ascii="Arial" w:hAnsi="Arial" w:cs="Arial"/>
          <w:sz w:val="26"/>
          <w:szCs w:val="26"/>
        </w:rPr>
        <w:t> </w:t>
      </w:r>
    </w:p>
    <w:p w:rsidR="007B5BC7" w:rsidRPr="007B5BC7" w:rsidRDefault="007B5BC7" w:rsidP="007B5BC7">
      <w:pPr>
        <w:ind w:left="1392" w:right="560"/>
        <w:jc w:val="both"/>
        <w:rPr>
          <w:rFonts w:ascii="Arial" w:hAnsi="Arial" w:cs="Arial"/>
          <w:sz w:val="26"/>
          <w:szCs w:val="26"/>
        </w:rPr>
      </w:pPr>
      <w:r w:rsidRPr="007B5BC7">
        <w:rPr>
          <w:rFonts w:ascii="Arial" w:hAnsi="Arial" w:cs="Arial"/>
          <w:i/>
          <w:iCs/>
          <w:sz w:val="26"/>
          <w:szCs w:val="26"/>
        </w:rPr>
        <w:t>“La Constitución Política consagró la acción de pérdida de investidura con el fin de rescatar el prestigio y la respetabilidad del Congreso y garantizar el ejercicio transparente, efectivo y probo de la actividad legislativa, por quienes representan la voluntad popular. Se trata de una acción constitucional autónoma que consagra un régimen estricto para los congresistas, dada la necesidad de salvaguardar la institución y hacer realidad los postulados de la Carta Política”.</w:t>
      </w:r>
    </w:p>
    <w:p w:rsidR="007B5BC7" w:rsidRPr="007B5BC7" w:rsidRDefault="007B5BC7" w:rsidP="007B5BC7">
      <w:pPr>
        <w:spacing w:before="100" w:beforeAutospacing="1" w:after="100" w:afterAutospacing="1"/>
        <w:ind w:left="1392" w:right="-93"/>
        <w:jc w:val="both"/>
        <w:rPr>
          <w:rFonts w:ascii="Arial" w:hAnsi="Arial" w:cs="Arial"/>
          <w:sz w:val="26"/>
          <w:szCs w:val="26"/>
        </w:rPr>
      </w:pPr>
      <w:r w:rsidRPr="007B5BC7">
        <w:rPr>
          <w:rFonts w:ascii="Arial" w:hAnsi="Arial" w:cs="Arial"/>
          <w:sz w:val="26"/>
          <w:szCs w:val="26"/>
        </w:rPr>
        <w:t xml:space="preserve">En consecuencia, a nivel internacional se ha consagrado la pérdida de la investidura a través de mecanismos de diversa naturaleza y configuración que tienen por finalidad preservar la ética en la actividad parlamentaria y que están </w:t>
      </w:r>
      <w:r w:rsidRPr="007B5BC7">
        <w:rPr>
          <w:rFonts w:ascii="Arial" w:hAnsi="Arial" w:cs="Arial"/>
          <w:sz w:val="26"/>
          <w:szCs w:val="26"/>
        </w:rPr>
        <w:lastRenderedPageBreak/>
        <w:t>contemplados de garantías para el respeto al derecho de defensa de los parlamentarios</w:t>
      </w:r>
      <w:r>
        <w:rPr>
          <w:rStyle w:val="Refdenotaalpie"/>
          <w:rFonts w:ascii="Arial" w:hAnsi="Arial" w:cs="Arial"/>
          <w:sz w:val="26"/>
          <w:szCs w:val="26"/>
        </w:rPr>
        <w:footnoteReference w:id="4"/>
      </w:r>
      <w:r w:rsidRPr="007B5BC7">
        <w:rPr>
          <w:rFonts w:ascii="Arial" w:hAnsi="Arial" w:cs="Arial"/>
          <w:sz w:val="26"/>
          <w:szCs w:val="26"/>
        </w:rPr>
        <w:t>.</w:t>
      </w:r>
    </w:p>
    <w:p w:rsidR="007B5BC7" w:rsidRPr="00141B3B" w:rsidRDefault="007B5BC7" w:rsidP="0099727F">
      <w:pPr>
        <w:spacing w:after="0" w:line="360" w:lineRule="auto"/>
        <w:ind w:left="357"/>
        <w:jc w:val="both"/>
        <w:rPr>
          <w:rFonts w:ascii="Arial" w:hAnsi="Arial" w:cs="Arial"/>
          <w:sz w:val="27"/>
          <w:szCs w:val="27"/>
        </w:rPr>
      </w:pPr>
    </w:p>
    <w:p w:rsidR="0099727F" w:rsidRPr="00141B3B" w:rsidRDefault="0099727F" w:rsidP="0099727F">
      <w:pPr>
        <w:spacing w:after="0" w:line="360" w:lineRule="auto"/>
        <w:ind w:left="357"/>
        <w:jc w:val="both"/>
        <w:rPr>
          <w:rFonts w:ascii="Arial" w:hAnsi="Arial" w:cs="Arial"/>
          <w:sz w:val="27"/>
          <w:szCs w:val="27"/>
        </w:rPr>
      </w:pPr>
    </w:p>
    <w:p w:rsidR="00E97E5A" w:rsidRDefault="001B501D" w:rsidP="0099727F">
      <w:pPr>
        <w:spacing w:after="0" w:line="360" w:lineRule="auto"/>
        <w:ind w:left="357"/>
        <w:jc w:val="both"/>
        <w:rPr>
          <w:rFonts w:ascii="Arial" w:hAnsi="Arial" w:cs="Arial"/>
          <w:sz w:val="27"/>
          <w:szCs w:val="27"/>
        </w:rPr>
      </w:pPr>
      <w:r w:rsidRPr="00141B3B">
        <w:rPr>
          <w:rFonts w:ascii="Arial" w:hAnsi="Arial" w:cs="Arial"/>
          <w:sz w:val="27"/>
          <w:szCs w:val="27"/>
        </w:rPr>
        <w:t>A partir del desarrollo legal introducido por la Ley 144 de 1994, los procesos de pérdida de investidura son conocidos en única instancia por el Consejo de Estado</w:t>
      </w:r>
      <w:r w:rsidR="00381718" w:rsidRPr="00141B3B">
        <w:rPr>
          <w:rFonts w:ascii="Arial" w:hAnsi="Arial" w:cs="Arial"/>
          <w:sz w:val="27"/>
          <w:szCs w:val="27"/>
        </w:rPr>
        <w:t>, pues la Constitución radicó la competencia en este tribunal</w:t>
      </w:r>
      <w:r w:rsidR="0059107B" w:rsidRPr="00141B3B">
        <w:rPr>
          <w:rFonts w:ascii="Arial" w:hAnsi="Arial" w:cs="Arial"/>
          <w:sz w:val="27"/>
          <w:szCs w:val="27"/>
        </w:rPr>
        <w:t>.</w:t>
      </w:r>
      <w:r w:rsidR="003970E9" w:rsidRPr="00141B3B">
        <w:rPr>
          <w:rFonts w:ascii="Arial" w:hAnsi="Arial" w:cs="Arial"/>
          <w:sz w:val="27"/>
          <w:szCs w:val="27"/>
        </w:rPr>
        <w:t xml:space="preserve"> </w:t>
      </w:r>
    </w:p>
    <w:p w:rsidR="00A961A4" w:rsidRDefault="00A961A4" w:rsidP="0099727F">
      <w:pPr>
        <w:spacing w:after="0" w:line="360" w:lineRule="auto"/>
        <w:ind w:left="357"/>
        <w:jc w:val="both"/>
        <w:rPr>
          <w:rFonts w:ascii="Arial" w:hAnsi="Arial" w:cs="Arial"/>
          <w:sz w:val="27"/>
          <w:szCs w:val="27"/>
        </w:rPr>
      </w:pPr>
    </w:p>
    <w:p w:rsidR="001B501D" w:rsidRPr="00141B3B" w:rsidRDefault="003970E9" w:rsidP="0099727F">
      <w:pPr>
        <w:spacing w:after="0" w:line="360" w:lineRule="auto"/>
        <w:ind w:left="357"/>
        <w:jc w:val="both"/>
        <w:rPr>
          <w:rFonts w:ascii="Arial" w:hAnsi="Arial" w:cs="Arial"/>
          <w:sz w:val="27"/>
          <w:szCs w:val="27"/>
        </w:rPr>
      </w:pPr>
      <w:r w:rsidRPr="00141B3B">
        <w:rPr>
          <w:rFonts w:ascii="Arial" w:hAnsi="Arial" w:cs="Arial"/>
          <w:sz w:val="27"/>
          <w:szCs w:val="27"/>
        </w:rPr>
        <w:t>Sin embargo, la Corte Constitucional ha reconocido que el establecimiento de una o dos instancias en estos procesos hace parte de la libertad de configuración legislati</w:t>
      </w:r>
      <w:r w:rsidR="00926C20" w:rsidRPr="00141B3B">
        <w:rPr>
          <w:rFonts w:ascii="Arial" w:hAnsi="Arial" w:cs="Arial"/>
          <w:sz w:val="27"/>
          <w:szCs w:val="27"/>
        </w:rPr>
        <w:t>va del Congreso de la República</w:t>
      </w:r>
      <w:r w:rsidR="005D0C08" w:rsidRPr="00141B3B">
        <w:rPr>
          <w:rStyle w:val="Refdenotaalpie"/>
          <w:rFonts w:ascii="Arial" w:hAnsi="Arial" w:cs="Arial"/>
          <w:sz w:val="27"/>
          <w:szCs w:val="27"/>
        </w:rPr>
        <w:footnoteReference w:id="5"/>
      </w:r>
      <w:r w:rsidR="00926C20" w:rsidRPr="00141B3B">
        <w:rPr>
          <w:rFonts w:ascii="Arial" w:hAnsi="Arial" w:cs="Arial"/>
          <w:sz w:val="27"/>
          <w:szCs w:val="27"/>
        </w:rPr>
        <w:t>, lo que significa que conceder una segunda instancia</w:t>
      </w:r>
      <w:r w:rsidR="00381718" w:rsidRPr="00141B3B">
        <w:rPr>
          <w:rFonts w:ascii="Arial" w:hAnsi="Arial" w:cs="Arial"/>
          <w:sz w:val="27"/>
          <w:szCs w:val="27"/>
        </w:rPr>
        <w:t xml:space="preserve"> </w:t>
      </w:r>
      <w:r w:rsidR="00926C20" w:rsidRPr="00141B3B">
        <w:rPr>
          <w:rFonts w:ascii="Arial" w:hAnsi="Arial" w:cs="Arial"/>
          <w:sz w:val="27"/>
          <w:szCs w:val="27"/>
        </w:rPr>
        <w:t>para el proceso de pérdida de investidura</w:t>
      </w:r>
      <w:r w:rsidR="00381718" w:rsidRPr="00141B3B">
        <w:rPr>
          <w:rFonts w:ascii="Arial" w:hAnsi="Arial" w:cs="Arial"/>
          <w:sz w:val="27"/>
          <w:szCs w:val="27"/>
        </w:rPr>
        <w:t xml:space="preserve"> dentro del mismo Consejo de Estado</w:t>
      </w:r>
      <w:r w:rsidR="00926C20" w:rsidRPr="00141B3B">
        <w:rPr>
          <w:rFonts w:ascii="Arial" w:hAnsi="Arial" w:cs="Arial"/>
          <w:sz w:val="27"/>
          <w:szCs w:val="27"/>
        </w:rPr>
        <w:t xml:space="preserve"> no requiere de una modificación constitucional, sino de aquellos preceptos legales que consagraron una sola instancia. </w:t>
      </w:r>
    </w:p>
    <w:p w:rsidR="00E20231" w:rsidRDefault="00E20231" w:rsidP="0099727F">
      <w:pPr>
        <w:spacing w:after="0" w:line="360" w:lineRule="auto"/>
        <w:ind w:left="357"/>
        <w:jc w:val="both"/>
        <w:rPr>
          <w:rFonts w:ascii="Arial" w:hAnsi="Arial" w:cs="Arial"/>
          <w:sz w:val="27"/>
          <w:szCs w:val="27"/>
        </w:rPr>
      </w:pPr>
    </w:p>
    <w:p w:rsidR="00E97E5A" w:rsidRPr="00141B3B" w:rsidRDefault="00E97E5A" w:rsidP="0099727F">
      <w:pPr>
        <w:spacing w:after="0" w:line="360" w:lineRule="auto"/>
        <w:ind w:left="357"/>
        <w:jc w:val="both"/>
        <w:rPr>
          <w:rFonts w:ascii="Arial" w:hAnsi="Arial" w:cs="Arial"/>
          <w:sz w:val="27"/>
          <w:szCs w:val="27"/>
        </w:rPr>
      </w:pPr>
    </w:p>
    <w:p w:rsidR="005D0C08" w:rsidRPr="00E97E5A" w:rsidRDefault="00065075" w:rsidP="00065075">
      <w:pPr>
        <w:pStyle w:val="Prrafodelista"/>
        <w:numPr>
          <w:ilvl w:val="0"/>
          <w:numId w:val="2"/>
        </w:numPr>
        <w:jc w:val="both"/>
        <w:rPr>
          <w:rFonts w:ascii="Arial" w:hAnsi="Arial" w:cs="Arial"/>
          <w:b/>
          <w:i/>
          <w:sz w:val="27"/>
          <w:szCs w:val="27"/>
        </w:rPr>
      </w:pPr>
      <w:r w:rsidRPr="00E97E5A">
        <w:rPr>
          <w:rFonts w:ascii="Arial" w:hAnsi="Arial" w:cs="Arial"/>
          <w:b/>
          <w:i/>
          <w:sz w:val="27"/>
          <w:szCs w:val="27"/>
        </w:rPr>
        <w:t xml:space="preserve">La </w:t>
      </w:r>
      <w:r w:rsidR="003C35C7" w:rsidRPr="00E97E5A">
        <w:rPr>
          <w:rFonts w:ascii="Arial" w:hAnsi="Arial" w:cs="Arial"/>
          <w:b/>
          <w:i/>
          <w:sz w:val="27"/>
          <w:szCs w:val="27"/>
        </w:rPr>
        <w:t>naturaleza jurídica de</w:t>
      </w:r>
      <w:r w:rsidRPr="00E97E5A">
        <w:rPr>
          <w:rFonts w:ascii="Arial" w:hAnsi="Arial" w:cs="Arial"/>
          <w:b/>
          <w:i/>
          <w:sz w:val="27"/>
          <w:szCs w:val="27"/>
        </w:rPr>
        <w:t xml:space="preserve"> la doble instancia</w:t>
      </w:r>
    </w:p>
    <w:p w:rsidR="00D831E3" w:rsidRDefault="00D831E3" w:rsidP="00065075">
      <w:pPr>
        <w:ind w:left="360"/>
        <w:jc w:val="both"/>
        <w:rPr>
          <w:rFonts w:ascii="Arial" w:hAnsi="Arial" w:cs="Arial"/>
          <w:sz w:val="27"/>
          <w:szCs w:val="27"/>
        </w:rPr>
      </w:pPr>
    </w:p>
    <w:p w:rsidR="00E97E5A" w:rsidRPr="00141B3B" w:rsidRDefault="00E97E5A" w:rsidP="00065075">
      <w:pPr>
        <w:ind w:left="360"/>
        <w:jc w:val="both"/>
        <w:rPr>
          <w:rFonts w:ascii="Arial" w:hAnsi="Arial" w:cs="Arial"/>
          <w:sz w:val="27"/>
          <w:szCs w:val="27"/>
        </w:rPr>
      </w:pPr>
    </w:p>
    <w:p w:rsidR="00065075" w:rsidRPr="00141B3B" w:rsidRDefault="00065075" w:rsidP="0099727F">
      <w:pPr>
        <w:spacing w:after="0" w:line="360" w:lineRule="auto"/>
        <w:ind w:left="357"/>
        <w:jc w:val="both"/>
        <w:rPr>
          <w:rFonts w:ascii="Arial" w:hAnsi="Arial" w:cs="Arial"/>
          <w:sz w:val="27"/>
          <w:szCs w:val="27"/>
        </w:rPr>
      </w:pPr>
      <w:r w:rsidRPr="00141B3B">
        <w:rPr>
          <w:rFonts w:ascii="Arial" w:hAnsi="Arial" w:cs="Arial"/>
          <w:sz w:val="27"/>
          <w:szCs w:val="27"/>
        </w:rPr>
        <w:lastRenderedPageBreak/>
        <w:t>El artículo 29 de la Constitución Política consagra la garantía del debido proceso, la cual es aplicable a toda clase de actuaciones judiciales y administrativas</w:t>
      </w:r>
      <w:r w:rsidR="00F23269" w:rsidRPr="00141B3B">
        <w:rPr>
          <w:rFonts w:ascii="Arial" w:hAnsi="Arial" w:cs="Arial"/>
          <w:sz w:val="27"/>
          <w:szCs w:val="27"/>
        </w:rPr>
        <w:t xml:space="preserve">. Dentro del contenido normativo de este derecho se encuentran otras garantías como el derecho de defensa, a ser asistido por un abogado, a presentar pruebas y controvertir las presentadas en contra y a impugnar la sentencia condenatoria. </w:t>
      </w:r>
    </w:p>
    <w:p w:rsidR="0099727F" w:rsidRPr="00141B3B" w:rsidRDefault="0099727F" w:rsidP="0099727F">
      <w:pPr>
        <w:spacing w:after="0" w:line="360" w:lineRule="auto"/>
        <w:ind w:left="357"/>
        <w:jc w:val="both"/>
        <w:rPr>
          <w:rFonts w:ascii="Arial" w:hAnsi="Arial" w:cs="Arial"/>
          <w:sz w:val="27"/>
          <w:szCs w:val="27"/>
        </w:rPr>
      </w:pPr>
    </w:p>
    <w:p w:rsidR="00F23269" w:rsidRPr="00141B3B" w:rsidRDefault="00D12816" w:rsidP="0099727F">
      <w:pPr>
        <w:spacing w:after="0" w:line="360" w:lineRule="auto"/>
        <w:ind w:left="357"/>
        <w:jc w:val="both"/>
        <w:rPr>
          <w:rFonts w:ascii="Arial" w:hAnsi="Arial" w:cs="Arial"/>
          <w:sz w:val="27"/>
          <w:szCs w:val="27"/>
        </w:rPr>
      </w:pPr>
      <w:r w:rsidRPr="00141B3B">
        <w:rPr>
          <w:rFonts w:ascii="Arial" w:hAnsi="Arial" w:cs="Arial"/>
          <w:sz w:val="27"/>
          <w:szCs w:val="27"/>
        </w:rPr>
        <w:t>Por su parte, el artículo 31 establece que toda sentencia judicial podrá ser apelada o consultada, salvo las excepciones que consagre la ley. Por ello, el principio de la doble instancia es la regla general y excepcionalmente, el legislador ha determinado la única instancia para algunos procesos judiciales, entre ellos,</w:t>
      </w:r>
      <w:r w:rsidR="00F95650" w:rsidRPr="00141B3B">
        <w:rPr>
          <w:rFonts w:ascii="Arial" w:hAnsi="Arial" w:cs="Arial"/>
          <w:sz w:val="27"/>
          <w:szCs w:val="27"/>
        </w:rPr>
        <w:t xml:space="preserve"> </w:t>
      </w:r>
      <w:r w:rsidRPr="00141B3B">
        <w:rPr>
          <w:rFonts w:ascii="Arial" w:hAnsi="Arial" w:cs="Arial"/>
          <w:sz w:val="27"/>
          <w:szCs w:val="27"/>
        </w:rPr>
        <w:t xml:space="preserve">el de pérdida de investidura de congresistas. </w:t>
      </w:r>
    </w:p>
    <w:p w:rsidR="00E20231" w:rsidRPr="00141B3B" w:rsidRDefault="00E20231" w:rsidP="0099727F">
      <w:pPr>
        <w:spacing w:after="0" w:line="360" w:lineRule="auto"/>
        <w:ind w:left="357"/>
        <w:jc w:val="both"/>
        <w:rPr>
          <w:rFonts w:ascii="Arial" w:hAnsi="Arial" w:cs="Arial"/>
          <w:sz w:val="27"/>
          <w:szCs w:val="27"/>
        </w:rPr>
      </w:pPr>
    </w:p>
    <w:p w:rsidR="00E97E5A" w:rsidRDefault="00935FC5" w:rsidP="0099727F">
      <w:pPr>
        <w:spacing w:after="0" w:line="360" w:lineRule="auto"/>
        <w:ind w:left="357"/>
        <w:jc w:val="both"/>
        <w:rPr>
          <w:rFonts w:ascii="Arial" w:hAnsi="Arial" w:cs="Arial"/>
          <w:sz w:val="27"/>
          <w:szCs w:val="27"/>
        </w:rPr>
      </w:pPr>
      <w:r w:rsidRPr="00141B3B">
        <w:rPr>
          <w:rFonts w:ascii="Arial" w:hAnsi="Arial" w:cs="Arial"/>
          <w:sz w:val="27"/>
          <w:szCs w:val="27"/>
        </w:rPr>
        <w:t>La Corte Constitucional ha señalado que la doble instancia reviste la calidad de principio, derecho y garantía</w:t>
      </w:r>
      <w:r w:rsidR="00D06302" w:rsidRPr="00141B3B">
        <w:rPr>
          <w:rStyle w:val="Refdenotaalpie"/>
          <w:rFonts w:ascii="Arial" w:hAnsi="Arial" w:cs="Arial"/>
          <w:sz w:val="27"/>
          <w:szCs w:val="27"/>
        </w:rPr>
        <w:footnoteReference w:id="6"/>
      </w:r>
      <w:r w:rsidR="000349A7" w:rsidRPr="00141B3B">
        <w:rPr>
          <w:rFonts w:ascii="Arial" w:hAnsi="Arial" w:cs="Arial"/>
          <w:sz w:val="27"/>
          <w:szCs w:val="27"/>
        </w:rPr>
        <w:t xml:space="preserve">. </w:t>
      </w:r>
      <w:r w:rsidR="00D17D89" w:rsidRPr="00141B3B">
        <w:rPr>
          <w:rFonts w:ascii="Arial" w:hAnsi="Arial" w:cs="Arial"/>
          <w:sz w:val="27"/>
          <w:szCs w:val="27"/>
        </w:rPr>
        <w:t>Como</w:t>
      </w:r>
      <w:r w:rsidR="000349A7" w:rsidRPr="00141B3B">
        <w:rPr>
          <w:rFonts w:ascii="Arial" w:hAnsi="Arial" w:cs="Arial"/>
          <w:sz w:val="27"/>
          <w:szCs w:val="27"/>
        </w:rPr>
        <w:t xml:space="preserve"> principio, la doble instancia representa un verdadero mandato de optimización, entendido este concepto como aquellos “</w:t>
      </w:r>
      <w:r w:rsidR="000349A7" w:rsidRPr="00141B3B">
        <w:rPr>
          <w:rFonts w:ascii="Arial" w:hAnsi="Arial" w:cs="Arial"/>
          <w:i/>
          <w:sz w:val="27"/>
          <w:szCs w:val="27"/>
        </w:rPr>
        <w:t>deberes que ordenan que algo sea realizado en la mayor medi</w:t>
      </w:r>
      <w:r w:rsidR="00D06302" w:rsidRPr="00141B3B">
        <w:rPr>
          <w:rFonts w:ascii="Arial" w:hAnsi="Arial" w:cs="Arial"/>
          <w:i/>
          <w:sz w:val="27"/>
          <w:szCs w:val="27"/>
        </w:rPr>
        <w:t>d</w:t>
      </w:r>
      <w:r w:rsidR="000349A7" w:rsidRPr="00141B3B">
        <w:rPr>
          <w:rFonts w:ascii="Arial" w:hAnsi="Arial" w:cs="Arial"/>
          <w:i/>
          <w:sz w:val="27"/>
          <w:szCs w:val="27"/>
        </w:rPr>
        <w:t>a posible, dentro de las posibilidades jurídicas reales existentes</w:t>
      </w:r>
      <w:r w:rsidR="00861A43" w:rsidRPr="00141B3B">
        <w:rPr>
          <w:rFonts w:ascii="Arial" w:hAnsi="Arial" w:cs="Arial"/>
          <w:sz w:val="27"/>
          <w:szCs w:val="27"/>
        </w:rPr>
        <w:t>”</w:t>
      </w:r>
      <w:r w:rsidR="00861A43" w:rsidRPr="00141B3B">
        <w:rPr>
          <w:rStyle w:val="Refdenotaalpie"/>
          <w:rFonts w:ascii="Arial" w:hAnsi="Arial" w:cs="Arial"/>
          <w:sz w:val="27"/>
          <w:szCs w:val="27"/>
        </w:rPr>
        <w:footnoteReference w:id="7"/>
      </w:r>
      <w:r w:rsidR="00861A43" w:rsidRPr="00141B3B">
        <w:rPr>
          <w:rFonts w:ascii="Arial" w:hAnsi="Arial" w:cs="Arial"/>
          <w:sz w:val="27"/>
          <w:szCs w:val="27"/>
        </w:rPr>
        <w:t xml:space="preserve">. </w:t>
      </w:r>
    </w:p>
    <w:p w:rsidR="00E97E5A" w:rsidRDefault="00E97E5A" w:rsidP="0099727F">
      <w:pPr>
        <w:spacing w:after="0" w:line="360" w:lineRule="auto"/>
        <w:ind w:left="357"/>
        <w:jc w:val="both"/>
        <w:rPr>
          <w:rFonts w:ascii="Arial" w:hAnsi="Arial" w:cs="Arial"/>
          <w:sz w:val="27"/>
          <w:szCs w:val="27"/>
        </w:rPr>
      </w:pPr>
    </w:p>
    <w:p w:rsidR="00F23269" w:rsidRPr="00141B3B" w:rsidRDefault="00861A43" w:rsidP="0099727F">
      <w:pPr>
        <w:spacing w:after="0" w:line="360" w:lineRule="auto"/>
        <w:ind w:left="357"/>
        <w:jc w:val="both"/>
        <w:rPr>
          <w:rFonts w:ascii="Arial" w:hAnsi="Arial" w:cs="Arial"/>
          <w:sz w:val="27"/>
          <w:szCs w:val="27"/>
        </w:rPr>
      </w:pPr>
      <w:r w:rsidRPr="00141B3B">
        <w:rPr>
          <w:rFonts w:ascii="Arial" w:hAnsi="Arial" w:cs="Arial"/>
          <w:sz w:val="27"/>
          <w:szCs w:val="27"/>
        </w:rPr>
        <w:lastRenderedPageBreak/>
        <w:t xml:space="preserve">En este sentido, </w:t>
      </w:r>
      <w:r w:rsidR="00D06302" w:rsidRPr="00141B3B">
        <w:rPr>
          <w:rFonts w:ascii="Arial" w:hAnsi="Arial" w:cs="Arial"/>
          <w:sz w:val="27"/>
          <w:szCs w:val="27"/>
        </w:rPr>
        <w:t xml:space="preserve">la doble instancia tiene la capacidad de irradiar el ordenamiento jurídico y servir de parámetro hermenéutico no sólo para los que aplican el Derecho, los jueces, sino también para el resto de las ramas del poder público.  </w:t>
      </w:r>
    </w:p>
    <w:p w:rsidR="0099727F" w:rsidRPr="00141B3B" w:rsidRDefault="0099727F" w:rsidP="0099727F">
      <w:pPr>
        <w:spacing w:after="0" w:line="360" w:lineRule="auto"/>
        <w:ind w:left="357"/>
        <w:jc w:val="both"/>
        <w:rPr>
          <w:rFonts w:ascii="Arial" w:hAnsi="Arial" w:cs="Arial"/>
          <w:sz w:val="27"/>
          <w:szCs w:val="27"/>
        </w:rPr>
      </w:pPr>
    </w:p>
    <w:p w:rsidR="00D06302" w:rsidRPr="00141B3B" w:rsidRDefault="00E445A3" w:rsidP="0099727F">
      <w:pPr>
        <w:spacing w:after="0" w:line="360" w:lineRule="auto"/>
        <w:ind w:left="357"/>
        <w:jc w:val="both"/>
        <w:rPr>
          <w:rFonts w:ascii="Arial" w:hAnsi="Arial" w:cs="Arial"/>
          <w:sz w:val="27"/>
          <w:szCs w:val="27"/>
        </w:rPr>
      </w:pPr>
      <w:r w:rsidRPr="00141B3B">
        <w:rPr>
          <w:rFonts w:ascii="Arial" w:hAnsi="Arial" w:cs="Arial"/>
          <w:sz w:val="27"/>
          <w:szCs w:val="27"/>
        </w:rPr>
        <w:t xml:space="preserve">En estos términos, la temprana jurisprudencia constitucional ha resaltado la doble instancia como un mecanismo o instrumento para el logro de fines contenidos en el artículo 2° de la Carta Política: </w:t>
      </w:r>
    </w:p>
    <w:p w:rsidR="0099727F" w:rsidRDefault="0099727F" w:rsidP="0099727F">
      <w:pPr>
        <w:spacing w:after="0" w:line="360" w:lineRule="auto"/>
        <w:ind w:left="357"/>
        <w:jc w:val="both"/>
        <w:rPr>
          <w:rFonts w:ascii="Arial" w:hAnsi="Arial" w:cs="Arial"/>
          <w:sz w:val="27"/>
          <w:szCs w:val="27"/>
        </w:rPr>
      </w:pPr>
    </w:p>
    <w:p w:rsidR="007B5BC7" w:rsidRPr="00141B3B" w:rsidRDefault="007B5BC7" w:rsidP="0099727F">
      <w:pPr>
        <w:spacing w:after="0" w:line="360" w:lineRule="auto"/>
        <w:ind w:left="357"/>
        <w:jc w:val="both"/>
        <w:rPr>
          <w:rFonts w:ascii="Arial" w:hAnsi="Arial" w:cs="Arial"/>
          <w:sz w:val="27"/>
          <w:szCs w:val="27"/>
        </w:rPr>
      </w:pPr>
    </w:p>
    <w:p w:rsidR="00183B06" w:rsidRPr="00183B06" w:rsidRDefault="00E445A3" w:rsidP="00E97E5A">
      <w:pPr>
        <w:shd w:val="clear" w:color="auto" w:fill="FFFFFF"/>
        <w:spacing w:after="0" w:line="240" w:lineRule="auto"/>
        <w:ind w:left="1416" w:right="333"/>
        <w:jc w:val="both"/>
        <w:textAlignment w:val="baseline"/>
        <w:rPr>
          <w:rFonts w:ascii="Arial" w:eastAsia="Times New Roman" w:hAnsi="Arial" w:cs="Arial"/>
          <w:iCs/>
          <w:sz w:val="26"/>
          <w:szCs w:val="26"/>
          <w:bdr w:val="none" w:sz="0" w:space="0" w:color="auto" w:frame="1"/>
        </w:rPr>
      </w:pPr>
      <w:r w:rsidRPr="00183B06">
        <w:rPr>
          <w:rFonts w:ascii="Arial" w:eastAsia="Times New Roman" w:hAnsi="Arial" w:cs="Arial"/>
          <w:iCs/>
          <w:sz w:val="26"/>
          <w:szCs w:val="26"/>
          <w:bdr w:val="none" w:sz="0" w:space="0" w:color="auto" w:frame="1"/>
        </w:rPr>
        <w:t>Así concebida, </w:t>
      </w:r>
      <w:r w:rsidRPr="00183B06">
        <w:rPr>
          <w:rFonts w:ascii="Arial" w:eastAsia="Times New Roman" w:hAnsi="Arial" w:cs="Arial"/>
          <w:bCs/>
          <w:iCs/>
          <w:sz w:val="26"/>
          <w:szCs w:val="26"/>
          <w:bdr w:val="none" w:sz="0" w:space="0" w:color="auto" w:frame="1"/>
        </w:rPr>
        <w:t>la doble instancia es apenas un mecanismo instrumental de irrigación de justicia y de incremento de la probabilidad de acierto en la función estatal de dispensar justicia al dirimir los conflictos (dada por la correlación entre verdad real y decisión judicial). Su implementación solo se impone en aquellos casos en que tal propósito no se logre con otros instrumentos.</w:t>
      </w:r>
      <w:r w:rsidRPr="00183B06">
        <w:rPr>
          <w:rFonts w:ascii="Arial" w:eastAsia="Times New Roman" w:hAnsi="Arial" w:cs="Arial"/>
          <w:iCs/>
          <w:sz w:val="26"/>
          <w:szCs w:val="26"/>
          <w:bdr w:val="none" w:sz="0" w:space="0" w:color="auto" w:frame="1"/>
        </w:rPr>
        <w:t xml:space="preserve">  Cuando ello ocurra, bien puede erigir el Legislador dichos </w:t>
      </w:r>
      <w:proofErr w:type="gramStart"/>
      <w:r w:rsidRPr="00183B06">
        <w:rPr>
          <w:rFonts w:ascii="Arial" w:eastAsia="Times New Roman" w:hAnsi="Arial" w:cs="Arial"/>
          <w:iCs/>
          <w:sz w:val="26"/>
          <w:szCs w:val="26"/>
          <w:bdr w:val="none" w:sz="0" w:space="0" w:color="auto" w:frame="1"/>
        </w:rPr>
        <w:t>eventos  en</w:t>
      </w:r>
      <w:proofErr w:type="gramEnd"/>
      <w:r w:rsidRPr="00183B06">
        <w:rPr>
          <w:rFonts w:ascii="Arial" w:eastAsia="Times New Roman" w:hAnsi="Arial" w:cs="Arial"/>
          <w:iCs/>
          <w:sz w:val="26"/>
          <w:szCs w:val="26"/>
          <w:bdr w:val="none" w:sz="0" w:space="0" w:color="auto" w:frame="1"/>
        </w:rPr>
        <w:t xml:space="preserve"> excepciones a su existencia</w:t>
      </w:r>
      <w:r w:rsidR="00183B06" w:rsidRPr="00183B06">
        <w:rPr>
          <w:rFonts w:ascii="Arial" w:eastAsia="Times New Roman" w:hAnsi="Arial" w:cs="Arial"/>
          <w:iCs/>
          <w:sz w:val="26"/>
          <w:szCs w:val="26"/>
          <w:bdr w:val="none" w:sz="0" w:space="0" w:color="auto" w:frame="1"/>
        </w:rPr>
        <w:t>.</w:t>
      </w:r>
    </w:p>
    <w:p w:rsidR="00183B06" w:rsidRPr="00183B06" w:rsidRDefault="00183B06" w:rsidP="00E97E5A">
      <w:pPr>
        <w:shd w:val="clear" w:color="auto" w:fill="FFFFFF"/>
        <w:spacing w:after="0" w:line="240" w:lineRule="auto"/>
        <w:ind w:left="1416" w:right="333"/>
        <w:jc w:val="both"/>
        <w:textAlignment w:val="baseline"/>
        <w:rPr>
          <w:rFonts w:ascii="Arial" w:eastAsia="Times New Roman" w:hAnsi="Arial" w:cs="Arial"/>
          <w:iCs/>
          <w:sz w:val="26"/>
          <w:szCs w:val="26"/>
          <w:bdr w:val="none" w:sz="0" w:space="0" w:color="auto" w:frame="1"/>
        </w:rPr>
      </w:pPr>
    </w:p>
    <w:p w:rsidR="00183B06" w:rsidRPr="00183B06" w:rsidRDefault="00183B06" w:rsidP="00183B06">
      <w:pPr>
        <w:spacing w:before="100" w:beforeAutospacing="1" w:after="100" w:afterAutospacing="1" w:line="240" w:lineRule="auto"/>
        <w:ind w:left="1416" w:right="51"/>
        <w:jc w:val="both"/>
        <w:rPr>
          <w:rFonts w:ascii="Arial" w:eastAsia="Times New Roman" w:hAnsi="Arial" w:cs="Arial"/>
          <w:sz w:val="26"/>
          <w:szCs w:val="26"/>
        </w:rPr>
      </w:pPr>
      <w:r w:rsidRPr="00183B06">
        <w:rPr>
          <w:rFonts w:ascii="Arial" w:eastAsia="Times New Roman" w:hAnsi="Arial" w:cs="Arial"/>
          <w:sz w:val="26"/>
          <w:szCs w:val="26"/>
        </w:rPr>
        <w:t>En cuanto hace a los antecedentes de esta norma constitucional, es importante señalar que el principio de las dos instancias fue objeto de amplios debates tanto en el seno de la Comisión Cuarta de la Asamblea Nacional Constituyente (sesiones del 11, 15 y 16 de abril de 1991), como en la Plenaria, en primer y segundo debate (sesiones del 1o., 3, 5, 15 y 28 de junio de 1991). De ellas, vale hacer mención a la ponencia que a continuación se cita:</w:t>
      </w:r>
    </w:p>
    <w:p w:rsidR="00183B06" w:rsidRPr="00183B06" w:rsidRDefault="00183B06" w:rsidP="00183B06">
      <w:pPr>
        <w:spacing w:after="0" w:line="240" w:lineRule="auto"/>
        <w:ind w:left="851" w:right="51"/>
        <w:jc w:val="both"/>
        <w:rPr>
          <w:rFonts w:ascii="Arial" w:eastAsia="Times New Roman" w:hAnsi="Arial" w:cs="Arial"/>
          <w:sz w:val="26"/>
          <w:szCs w:val="26"/>
        </w:rPr>
      </w:pPr>
      <w:r w:rsidRPr="00183B06">
        <w:rPr>
          <w:rFonts w:ascii="Arial" w:eastAsia="Times New Roman" w:hAnsi="Arial" w:cs="Arial"/>
          <w:i/>
          <w:iCs/>
          <w:sz w:val="26"/>
          <w:szCs w:val="26"/>
        </w:rPr>
        <w:lastRenderedPageBreak/>
        <w:t> </w:t>
      </w:r>
    </w:p>
    <w:p w:rsidR="00183B06" w:rsidRPr="00183B06" w:rsidRDefault="00183B06" w:rsidP="00183B06">
      <w:pPr>
        <w:spacing w:after="0" w:line="240" w:lineRule="auto"/>
        <w:ind w:left="1416" w:right="51"/>
        <w:jc w:val="both"/>
        <w:rPr>
          <w:rFonts w:ascii="Arial" w:eastAsia="Times New Roman" w:hAnsi="Arial" w:cs="Arial"/>
          <w:sz w:val="26"/>
          <w:szCs w:val="26"/>
        </w:rPr>
      </w:pPr>
      <w:r w:rsidRPr="00183B06">
        <w:rPr>
          <w:rFonts w:ascii="Arial" w:eastAsia="Times New Roman" w:hAnsi="Arial" w:cs="Arial"/>
          <w:i/>
          <w:iCs/>
          <w:sz w:val="26"/>
          <w:szCs w:val="26"/>
        </w:rPr>
        <w:t xml:space="preserve">El principio del debido proceso debe mantenerse como una garantía y no como un principio que debe estar establecido, y aquí se habla del principio de las dos instancias, el cual no puede operar en materia contencioso administrativa. Entonces, si se obliga de que la providencia debe ser o puede ser apelada o consultada, eso elimina las cuantías que deben existir como mecanismos para descongestionar la justicia en el país. En materia contenciosa no existen los jueces sino a nivel de Tribunal Administrativo y hay una segunda instancia ante el Consejo de Estado. Si se mantiene esta norma pues desde luego terminaríamos con la posibilidad de los juicios de única instancia que bien ha podido conservar la manera de descongestionar la justicia (Sesión Plenaria de la Asamblea Nacional Constituyente, </w:t>
      </w:r>
      <w:proofErr w:type="gramStart"/>
      <w:r w:rsidRPr="00183B06">
        <w:rPr>
          <w:rFonts w:ascii="Arial" w:eastAsia="Times New Roman" w:hAnsi="Arial" w:cs="Arial"/>
          <w:i/>
          <w:iCs/>
          <w:sz w:val="26"/>
          <w:szCs w:val="26"/>
        </w:rPr>
        <w:t>Junio</w:t>
      </w:r>
      <w:proofErr w:type="gramEnd"/>
      <w:r w:rsidRPr="00183B06">
        <w:rPr>
          <w:rFonts w:ascii="Arial" w:eastAsia="Times New Roman" w:hAnsi="Arial" w:cs="Arial"/>
          <w:i/>
          <w:iCs/>
          <w:sz w:val="26"/>
          <w:szCs w:val="26"/>
        </w:rPr>
        <w:t xml:space="preserve"> 3 de 1991).</w:t>
      </w:r>
    </w:p>
    <w:p w:rsidR="00183B06" w:rsidRPr="00183B06" w:rsidRDefault="00183B06" w:rsidP="00183B06">
      <w:pPr>
        <w:spacing w:after="0" w:line="240" w:lineRule="auto"/>
        <w:ind w:left="851" w:right="51"/>
        <w:jc w:val="both"/>
        <w:rPr>
          <w:rFonts w:ascii="Arial" w:eastAsia="Times New Roman" w:hAnsi="Arial" w:cs="Arial"/>
          <w:sz w:val="26"/>
          <w:szCs w:val="26"/>
        </w:rPr>
      </w:pPr>
      <w:r w:rsidRPr="00183B06">
        <w:rPr>
          <w:rFonts w:ascii="Arial" w:eastAsia="Times New Roman" w:hAnsi="Arial" w:cs="Arial"/>
          <w:sz w:val="26"/>
          <w:szCs w:val="26"/>
        </w:rPr>
        <w:t> </w:t>
      </w:r>
    </w:p>
    <w:p w:rsidR="00183B06" w:rsidRPr="00183B06" w:rsidRDefault="00183B06" w:rsidP="00183B06">
      <w:pPr>
        <w:spacing w:before="100" w:beforeAutospacing="1" w:after="100" w:afterAutospacing="1" w:line="240" w:lineRule="auto"/>
        <w:ind w:left="1416" w:right="51"/>
        <w:jc w:val="both"/>
        <w:rPr>
          <w:rFonts w:ascii="Arial" w:eastAsia="Times New Roman" w:hAnsi="Arial" w:cs="Arial"/>
          <w:sz w:val="26"/>
          <w:szCs w:val="26"/>
        </w:rPr>
      </w:pPr>
      <w:r w:rsidRPr="00183B06">
        <w:rPr>
          <w:rFonts w:ascii="Arial" w:eastAsia="Times New Roman" w:hAnsi="Arial" w:cs="Arial"/>
          <w:sz w:val="26"/>
          <w:szCs w:val="26"/>
        </w:rPr>
        <w:t xml:space="preserve">De lo anterior y de la lectura de las demás actas de la Asamblea, puede concluirse que el Constituyente de 1991 elevó a canon constitucional el principio de la doble instancia, aunque sin el carácter absoluto y </w:t>
      </w:r>
      <w:proofErr w:type="spellStart"/>
      <w:r w:rsidRPr="00183B06">
        <w:rPr>
          <w:rFonts w:ascii="Arial" w:eastAsia="Times New Roman" w:hAnsi="Arial" w:cs="Arial"/>
          <w:sz w:val="26"/>
          <w:szCs w:val="26"/>
        </w:rPr>
        <w:t>sacralizante</w:t>
      </w:r>
      <w:proofErr w:type="spellEnd"/>
      <w:r w:rsidRPr="00183B06">
        <w:rPr>
          <w:rFonts w:ascii="Arial" w:eastAsia="Times New Roman" w:hAnsi="Arial" w:cs="Arial"/>
          <w:sz w:val="26"/>
          <w:szCs w:val="26"/>
        </w:rPr>
        <w:t xml:space="preserve"> que algunos pretendieron darle. Prueba de este aserto es que el Constituyente haya reservado al Legislador la facultad de establecer excepciones al citado principio. </w:t>
      </w:r>
    </w:p>
    <w:p w:rsidR="00183B06" w:rsidRPr="00183B06" w:rsidRDefault="00183B06" w:rsidP="00183B06">
      <w:pPr>
        <w:spacing w:before="100" w:beforeAutospacing="1" w:after="100" w:afterAutospacing="1" w:line="240" w:lineRule="auto"/>
        <w:ind w:left="1416" w:right="51"/>
        <w:jc w:val="both"/>
        <w:rPr>
          <w:rFonts w:ascii="Arial" w:eastAsia="Times New Roman" w:hAnsi="Arial" w:cs="Arial"/>
          <w:sz w:val="26"/>
          <w:szCs w:val="26"/>
        </w:rPr>
      </w:pPr>
      <w:r w:rsidRPr="00183B06">
        <w:rPr>
          <w:rFonts w:ascii="Arial" w:eastAsia="Times New Roman" w:hAnsi="Arial" w:cs="Arial"/>
          <w:sz w:val="26"/>
          <w:szCs w:val="26"/>
        </w:rPr>
        <w:t>La Corte Constitucional ha sostenido que la nueva Carta Política relativizó la validez de la tesis jurisprudencial que la Corte Suprema de Justicia acuñó al afirmar que la doble instancia, a través de la apelación o la consulta, no era parte esencial del debido proceso como quiera que la Constitución de 1886 no la ordenaba como exigencia del juicio adecuado.</w:t>
      </w:r>
    </w:p>
    <w:p w:rsidR="00183B06" w:rsidRPr="00183B06" w:rsidRDefault="00183B06" w:rsidP="00183B06">
      <w:pPr>
        <w:spacing w:before="100" w:beforeAutospacing="1" w:after="100" w:afterAutospacing="1" w:line="240" w:lineRule="auto"/>
        <w:ind w:left="1416" w:right="51"/>
        <w:jc w:val="both"/>
        <w:rPr>
          <w:rFonts w:ascii="Arial" w:eastAsia="Times New Roman" w:hAnsi="Arial" w:cs="Arial"/>
          <w:sz w:val="26"/>
          <w:szCs w:val="26"/>
        </w:rPr>
      </w:pPr>
      <w:r w:rsidRPr="00183B06">
        <w:rPr>
          <w:rFonts w:ascii="Arial" w:eastAsia="Times New Roman" w:hAnsi="Arial" w:cs="Arial"/>
          <w:sz w:val="26"/>
          <w:szCs w:val="26"/>
        </w:rPr>
        <w:t>Ciertamente, a propósito de este tema, y a raíz de la consagración constitucional  del derecho de toda persona a impugnar la sentencia condenatoria (artículo 29 CP.),  esta Corte</w:t>
      </w:r>
      <w:bookmarkStart w:id="1" w:name="_ftnref9"/>
      <w:r w:rsidRPr="00183B06">
        <w:rPr>
          <w:rFonts w:ascii="Arial" w:eastAsia="Times New Roman" w:hAnsi="Arial" w:cs="Arial"/>
          <w:sz w:val="26"/>
          <w:szCs w:val="26"/>
        </w:rPr>
        <w:fldChar w:fldCharType="begin"/>
      </w:r>
      <w:r w:rsidRPr="00183B06">
        <w:rPr>
          <w:rFonts w:ascii="Arial" w:eastAsia="Times New Roman" w:hAnsi="Arial" w:cs="Arial"/>
          <w:sz w:val="26"/>
          <w:szCs w:val="26"/>
        </w:rPr>
        <w:instrText xml:space="preserve"> HYPERLINK "http://www.corteconstitucional.gov.co/relatoria/1993/C-345-93.htm" \l "_ftn9" \o "" </w:instrText>
      </w:r>
      <w:r w:rsidRPr="00183B06">
        <w:rPr>
          <w:rFonts w:ascii="Arial" w:eastAsia="Times New Roman" w:hAnsi="Arial" w:cs="Arial"/>
          <w:sz w:val="26"/>
          <w:szCs w:val="26"/>
        </w:rPr>
        <w:fldChar w:fldCharType="separate"/>
      </w:r>
      <w:r w:rsidRPr="00183B06">
        <w:rPr>
          <w:rFonts w:ascii="Arial" w:eastAsia="Times New Roman" w:hAnsi="Arial" w:cs="Arial"/>
          <w:color w:val="0000FF"/>
          <w:sz w:val="26"/>
          <w:szCs w:val="26"/>
          <w:u w:val="single"/>
        </w:rPr>
        <w:t>9</w:t>
      </w:r>
      <w:r w:rsidRPr="00183B06">
        <w:rPr>
          <w:rFonts w:ascii="Arial" w:eastAsia="Times New Roman" w:hAnsi="Arial" w:cs="Arial"/>
          <w:sz w:val="26"/>
          <w:szCs w:val="26"/>
        </w:rPr>
        <w:fldChar w:fldCharType="end"/>
      </w:r>
      <w:bookmarkEnd w:id="1"/>
      <w:r w:rsidRPr="00183B06">
        <w:rPr>
          <w:rFonts w:ascii="Arial" w:eastAsia="Times New Roman" w:hAnsi="Arial" w:cs="Arial"/>
          <w:sz w:val="26"/>
          <w:szCs w:val="26"/>
        </w:rPr>
        <w:t xml:space="preserve"> ha  expresado que dicha  garantía en </w:t>
      </w:r>
      <w:r w:rsidRPr="00183B06">
        <w:rPr>
          <w:rFonts w:ascii="Arial" w:eastAsia="Times New Roman" w:hAnsi="Arial" w:cs="Arial"/>
          <w:sz w:val="26"/>
          <w:szCs w:val="26"/>
        </w:rPr>
        <w:lastRenderedPageBreak/>
        <w:t xml:space="preserve">el ámbito penal sí forma parte del núcleo esencial del derecho fundamental al debido proceso. Así lo precisó, por ejemplo, al referirse a la doble instancia en </w:t>
      </w:r>
      <w:proofErr w:type="gramStart"/>
      <w:r w:rsidRPr="00183B06">
        <w:rPr>
          <w:rFonts w:ascii="Arial" w:eastAsia="Times New Roman" w:hAnsi="Arial" w:cs="Arial"/>
          <w:sz w:val="26"/>
          <w:szCs w:val="26"/>
        </w:rPr>
        <w:t>los  procesos</w:t>
      </w:r>
      <w:proofErr w:type="gramEnd"/>
      <w:r w:rsidRPr="00183B06">
        <w:rPr>
          <w:rFonts w:ascii="Arial" w:eastAsia="Times New Roman" w:hAnsi="Arial" w:cs="Arial"/>
          <w:sz w:val="26"/>
          <w:szCs w:val="26"/>
        </w:rPr>
        <w:t xml:space="preserve"> relativos al menor infractor. </w:t>
      </w:r>
    </w:p>
    <w:p w:rsidR="00183B06" w:rsidRPr="00183B06" w:rsidRDefault="00183B06" w:rsidP="00183B06">
      <w:pPr>
        <w:spacing w:after="0" w:line="240" w:lineRule="auto"/>
        <w:ind w:left="851" w:right="51"/>
        <w:jc w:val="both"/>
        <w:rPr>
          <w:rFonts w:ascii="Arial" w:eastAsia="Times New Roman" w:hAnsi="Arial" w:cs="Arial"/>
          <w:sz w:val="26"/>
          <w:szCs w:val="26"/>
        </w:rPr>
      </w:pPr>
      <w:r w:rsidRPr="00183B06">
        <w:rPr>
          <w:rFonts w:ascii="Arial" w:eastAsia="Times New Roman" w:hAnsi="Arial" w:cs="Arial"/>
          <w:b/>
          <w:bCs/>
          <w:i/>
          <w:iCs/>
          <w:sz w:val="26"/>
          <w:szCs w:val="26"/>
        </w:rPr>
        <w:t> </w:t>
      </w:r>
    </w:p>
    <w:p w:rsidR="00183B06" w:rsidRPr="00183B06" w:rsidRDefault="00183B06" w:rsidP="00183B06">
      <w:pPr>
        <w:spacing w:after="0" w:line="240" w:lineRule="auto"/>
        <w:ind w:left="1416" w:right="51"/>
        <w:jc w:val="both"/>
        <w:rPr>
          <w:rFonts w:ascii="Arial" w:eastAsia="Times New Roman" w:hAnsi="Arial" w:cs="Arial"/>
          <w:sz w:val="26"/>
          <w:szCs w:val="26"/>
        </w:rPr>
      </w:pPr>
      <w:r w:rsidRPr="00183B06">
        <w:rPr>
          <w:rFonts w:ascii="Arial" w:eastAsia="Times New Roman" w:hAnsi="Arial" w:cs="Arial"/>
          <w:i/>
          <w:iCs/>
          <w:sz w:val="26"/>
          <w:szCs w:val="26"/>
        </w:rPr>
        <w:t>La jurisprudencia ha sostenido reiteradamente que la doble instancia, a través de la apelación o la consulta, no es parte esencial del debido proceso, y la Constitución no la ordena como exigencia del juicio adecuado.</w:t>
      </w:r>
    </w:p>
    <w:p w:rsidR="00183B06" w:rsidRPr="00183B06" w:rsidRDefault="00183B06" w:rsidP="00183B06">
      <w:pPr>
        <w:spacing w:after="0" w:line="240" w:lineRule="auto"/>
        <w:ind w:left="851" w:right="51"/>
        <w:jc w:val="both"/>
        <w:rPr>
          <w:rFonts w:ascii="Arial" w:eastAsia="Times New Roman" w:hAnsi="Arial" w:cs="Arial"/>
          <w:sz w:val="26"/>
          <w:szCs w:val="26"/>
        </w:rPr>
      </w:pPr>
      <w:r w:rsidRPr="00183B06">
        <w:rPr>
          <w:rFonts w:ascii="Arial" w:eastAsia="Times New Roman" w:hAnsi="Arial" w:cs="Arial"/>
          <w:i/>
          <w:iCs/>
          <w:sz w:val="26"/>
          <w:szCs w:val="26"/>
        </w:rPr>
        <w:t> </w:t>
      </w:r>
    </w:p>
    <w:p w:rsidR="00183B06" w:rsidRDefault="00183B06" w:rsidP="00183B06">
      <w:pPr>
        <w:spacing w:after="0" w:line="240" w:lineRule="auto"/>
        <w:ind w:left="1416" w:right="51"/>
        <w:jc w:val="both"/>
        <w:rPr>
          <w:rFonts w:ascii="Arial" w:eastAsia="Times New Roman" w:hAnsi="Arial" w:cs="Arial"/>
          <w:i/>
          <w:iCs/>
          <w:sz w:val="26"/>
          <w:szCs w:val="26"/>
        </w:rPr>
      </w:pPr>
      <w:r w:rsidRPr="00183B06">
        <w:rPr>
          <w:rFonts w:ascii="Arial" w:eastAsia="Times New Roman" w:hAnsi="Arial" w:cs="Arial"/>
          <w:i/>
          <w:iCs/>
          <w:sz w:val="26"/>
          <w:szCs w:val="26"/>
        </w:rPr>
        <w:t xml:space="preserve">Empero, la tesis jurisprudencial que se menciona tiene hoy un carácter relativo pues si bien es cierto que la Constitución no establece la doble instancia como un principio del debido proceso, de manera abstracta y genérica, no lo es menos que la posibilidad de impugnar las sentencias condenatorias sí es un derecho que hace parte del núcleo esencial del debido proceso. En otros términos, una norma que impida impugnar las sentencias condenatorias será inconstitucional por violación del debido proceso. En todos los demás casos, la doble instancia es un principio </w:t>
      </w:r>
      <w:proofErr w:type="gramStart"/>
      <w:r w:rsidRPr="00183B06">
        <w:rPr>
          <w:rFonts w:ascii="Arial" w:eastAsia="Times New Roman" w:hAnsi="Arial" w:cs="Arial"/>
          <w:i/>
          <w:iCs/>
          <w:sz w:val="26"/>
          <w:szCs w:val="26"/>
        </w:rPr>
        <w:t>constitucional  cuyas</w:t>
      </w:r>
      <w:proofErr w:type="gramEnd"/>
      <w:r w:rsidRPr="00183B06">
        <w:rPr>
          <w:rFonts w:ascii="Arial" w:eastAsia="Times New Roman" w:hAnsi="Arial" w:cs="Arial"/>
          <w:i/>
          <w:iCs/>
          <w:sz w:val="26"/>
          <w:szCs w:val="26"/>
        </w:rPr>
        <w:t xml:space="preserve"> excepciones pueden estar contenidas en la ley (Art. 31 de la C. N.).</w:t>
      </w:r>
    </w:p>
    <w:p w:rsidR="00574D0A" w:rsidRPr="00183B06" w:rsidRDefault="00574D0A" w:rsidP="00183B06">
      <w:pPr>
        <w:spacing w:after="0" w:line="240" w:lineRule="auto"/>
        <w:ind w:left="1416" w:right="51"/>
        <w:jc w:val="both"/>
        <w:rPr>
          <w:rFonts w:ascii="Arial" w:eastAsia="Times New Roman" w:hAnsi="Arial" w:cs="Arial"/>
          <w:sz w:val="26"/>
          <w:szCs w:val="26"/>
        </w:rPr>
      </w:pPr>
    </w:p>
    <w:p w:rsidR="007B5BC7" w:rsidRDefault="00183B06" w:rsidP="00183B06">
      <w:pPr>
        <w:spacing w:before="100" w:beforeAutospacing="1" w:after="100" w:afterAutospacing="1" w:line="240" w:lineRule="auto"/>
        <w:ind w:left="1416" w:right="51"/>
        <w:jc w:val="both"/>
        <w:rPr>
          <w:rFonts w:ascii="Arial" w:eastAsia="Times New Roman" w:hAnsi="Arial" w:cs="Arial"/>
          <w:sz w:val="26"/>
          <w:szCs w:val="26"/>
        </w:rPr>
      </w:pPr>
      <w:r w:rsidRPr="00183B06">
        <w:rPr>
          <w:rFonts w:ascii="Arial" w:eastAsia="Times New Roman" w:hAnsi="Arial" w:cs="Arial"/>
          <w:sz w:val="26"/>
          <w:szCs w:val="26"/>
        </w:rPr>
        <w:t>Así pues, el artículo 31 Superior establece el principio de la doble instancia, de donde se deduce el de la apelación de toda sentencia, pero con las excepciones legales, como lo dispone la norma constitucional. Excepciones que se encuentran en cabeza del legislador para que sea él quien las determine, desde luego, con observancia de los derechos, valores y postulados axiológicos que consagra la Carta, particularmente con observancia del principio de igualdad, que no permite conferir un tratamiento desigual cuando no sea razonable o justo</w:t>
      </w:r>
    </w:p>
    <w:p w:rsidR="00E445A3" w:rsidRPr="00E97E5A" w:rsidRDefault="007B5BC7" w:rsidP="007B5BC7">
      <w:pPr>
        <w:shd w:val="clear" w:color="auto" w:fill="FFFFFF"/>
        <w:spacing w:line="240" w:lineRule="auto"/>
        <w:ind w:left="1416" w:right="-36"/>
        <w:jc w:val="both"/>
        <w:textAlignment w:val="baseline"/>
        <w:rPr>
          <w:rFonts w:ascii="Arial" w:eastAsia="Times New Roman" w:hAnsi="Arial" w:cs="Arial"/>
          <w:iCs/>
          <w:sz w:val="27"/>
          <w:szCs w:val="27"/>
          <w:bdr w:val="none" w:sz="0" w:space="0" w:color="auto" w:frame="1"/>
        </w:rPr>
      </w:pPr>
      <w:r w:rsidRPr="00183B06">
        <w:rPr>
          <w:rFonts w:ascii="Arial" w:eastAsia="Times New Roman" w:hAnsi="Arial" w:cs="Arial"/>
          <w:iCs/>
          <w:sz w:val="26"/>
          <w:szCs w:val="26"/>
          <w:bdr w:val="none" w:sz="0" w:space="0" w:color="auto" w:frame="1"/>
        </w:rPr>
        <w:t xml:space="preserve">(…) el verdadero sentido de la doble instancia no se puede reducir a la mera existencia -desde </w:t>
      </w:r>
      <w:proofErr w:type="gramStart"/>
      <w:r w:rsidRPr="00183B06">
        <w:rPr>
          <w:rFonts w:ascii="Arial" w:eastAsia="Times New Roman" w:hAnsi="Arial" w:cs="Arial"/>
          <w:iCs/>
          <w:sz w:val="26"/>
          <w:szCs w:val="26"/>
          <w:bdr w:val="none" w:sz="0" w:space="0" w:color="auto" w:frame="1"/>
        </w:rPr>
        <w:t>el  plano</w:t>
      </w:r>
      <w:proofErr w:type="gramEnd"/>
      <w:r w:rsidRPr="00183B06">
        <w:rPr>
          <w:rFonts w:ascii="Arial" w:eastAsia="Times New Roman" w:hAnsi="Arial" w:cs="Arial"/>
          <w:iCs/>
          <w:sz w:val="26"/>
          <w:szCs w:val="26"/>
          <w:bdr w:val="none" w:sz="0" w:space="0" w:color="auto" w:frame="1"/>
        </w:rPr>
        <w:t xml:space="preserve"> de lo </w:t>
      </w:r>
      <w:r w:rsidRPr="00183B06">
        <w:rPr>
          <w:rFonts w:ascii="Arial" w:eastAsia="Times New Roman" w:hAnsi="Arial" w:cs="Arial"/>
          <w:iCs/>
          <w:sz w:val="26"/>
          <w:szCs w:val="26"/>
          <w:bdr w:val="none" w:sz="0" w:space="0" w:color="auto" w:frame="1"/>
        </w:rPr>
        <w:lastRenderedPageBreak/>
        <w:t>formal/institucional- de una jerarquización vertical de revisión, ni a una simple gradación jerarquizada de instancias que permitan impugnar, recurrir o controvertir y, en últimas, obtener la revisión de la decisión judicial que se reputa injusta o equivocada, ni a una concepción de la doble instancia como un fin en sí mismo. No. Su verdadera razón de ser es la existencia de una justicia acertada, recta y justa, en condiciones de igualdad. Ella es pues un medio para garantizar los fines superiores del Estado, de que trata el artículo 2° de la Carta, particularmente en este caso la eficacia de los derechos.</w:t>
      </w:r>
      <w:r w:rsidR="00E445A3" w:rsidRPr="00E97E5A">
        <w:rPr>
          <w:rStyle w:val="Refdenotaalpie"/>
          <w:rFonts w:ascii="Arial" w:eastAsia="Times New Roman" w:hAnsi="Arial" w:cs="Arial"/>
          <w:iCs/>
          <w:sz w:val="27"/>
          <w:szCs w:val="27"/>
          <w:bdr w:val="none" w:sz="0" w:space="0" w:color="auto" w:frame="1"/>
        </w:rPr>
        <w:footnoteReference w:id="8"/>
      </w:r>
      <w:r w:rsidR="00E445A3" w:rsidRPr="00E97E5A">
        <w:rPr>
          <w:rFonts w:ascii="Arial" w:eastAsia="Times New Roman" w:hAnsi="Arial" w:cs="Arial"/>
          <w:iCs/>
          <w:sz w:val="27"/>
          <w:szCs w:val="27"/>
          <w:bdr w:val="none" w:sz="0" w:space="0" w:color="auto" w:frame="1"/>
        </w:rPr>
        <w:t>.</w:t>
      </w:r>
    </w:p>
    <w:p w:rsidR="00D831E3" w:rsidRPr="00141B3B" w:rsidRDefault="00D831E3" w:rsidP="00E445A3">
      <w:pPr>
        <w:shd w:val="clear" w:color="auto" w:fill="FFFFFF"/>
        <w:spacing w:after="0" w:line="240" w:lineRule="auto"/>
        <w:ind w:left="708" w:right="333"/>
        <w:jc w:val="both"/>
        <w:textAlignment w:val="baseline"/>
        <w:rPr>
          <w:rFonts w:ascii="Arial" w:eastAsia="Times New Roman" w:hAnsi="Arial" w:cs="Arial"/>
          <w:iCs/>
          <w:color w:val="2D2D2D"/>
          <w:sz w:val="27"/>
          <w:szCs w:val="27"/>
          <w:bdr w:val="none" w:sz="0" w:space="0" w:color="auto" w:frame="1"/>
        </w:rPr>
      </w:pPr>
    </w:p>
    <w:p w:rsidR="00E97E5A" w:rsidRDefault="00E97E5A" w:rsidP="0099727F">
      <w:pPr>
        <w:spacing w:after="0" w:line="360" w:lineRule="auto"/>
        <w:ind w:left="357"/>
        <w:jc w:val="both"/>
        <w:rPr>
          <w:rFonts w:ascii="Arial" w:hAnsi="Arial" w:cs="Arial"/>
          <w:sz w:val="27"/>
          <w:szCs w:val="27"/>
        </w:rPr>
      </w:pPr>
    </w:p>
    <w:p w:rsidR="00DD1993" w:rsidRPr="00141B3B" w:rsidRDefault="00D733D9" w:rsidP="0099727F">
      <w:pPr>
        <w:spacing w:after="0" w:line="360" w:lineRule="auto"/>
        <w:ind w:left="357"/>
        <w:jc w:val="both"/>
        <w:rPr>
          <w:rFonts w:ascii="Arial" w:hAnsi="Arial" w:cs="Arial"/>
          <w:sz w:val="27"/>
          <w:szCs w:val="27"/>
        </w:rPr>
      </w:pPr>
      <w:r w:rsidRPr="00141B3B">
        <w:rPr>
          <w:rFonts w:ascii="Arial" w:hAnsi="Arial" w:cs="Arial"/>
          <w:sz w:val="27"/>
          <w:szCs w:val="27"/>
        </w:rPr>
        <w:t>La doble instancia también ha sido entendida como una garantía inherente al debido proceso</w:t>
      </w:r>
      <w:r w:rsidR="00DD1993" w:rsidRPr="00141B3B">
        <w:rPr>
          <w:rStyle w:val="Refdenotaalpie"/>
          <w:rFonts w:ascii="Arial" w:hAnsi="Arial" w:cs="Arial"/>
          <w:sz w:val="27"/>
          <w:szCs w:val="27"/>
        </w:rPr>
        <w:footnoteReference w:id="9"/>
      </w:r>
      <w:r w:rsidR="00BB43D7" w:rsidRPr="00141B3B">
        <w:rPr>
          <w:rFonts w:ascii="Arial" w:hAnsi="Arial" w:cs="Arial"/>
          <w:sz w:val="27"/>
          <w:szCs w:val="27"/>
        </w:rPr>
        <w:t>,</w:t>
      </w:r>
      <w:r w:rsidR="002E6589" w:rsidRPr="00141B3B">
        <w:rPr>
          <w:rFonts w:ascii="Arial" w:hAnsi="Arial" w:cs="Arial"/>
          <w:sz w:val="27"/>
          <w:szCs w:val="27"/>
        </w:rPr>
        <w:t xml:space="preserve"> con relación estrecha con el derecho de </w:t>
      </w:r>
      <w:r w:rsidR="00D438C7" w:rsidRPr="00141B3B">
        <w:rPr>
          <w:rFonts w:ascii="Arial" w:hAnsi="Arial" w:cs="Arial"/>
          <w:sz w:val="27"/>
          <w:szCs w:val="27"/>
        </w:rPr>
        <w:t xml:space="preserve">contradicción y </w:t>
      </w:r>
      <w:r w:rsidR="002E6589" w:rsidRPr="00141B3B">
        <w:rPr>
          <w:rFonts w:ascii="Arial" w:hAnsi="Arial" w:cs="Arial"/>
          <w:sz w:val="27"/>
          <w:szCs w:val="27"/>
        </w:rPr>
        <w:t>defensa y acceso a la administración de justicia</w:t>
      </w:r>
      <w:r w:rsidR="00D438C7" w:rsidRPr="00141B3B">
        <w:rPr>
          <w:rFonts w:ascii="Arial" w:hAnsi="Arial" w:cs="Arial"/>
          <w:sz w:val="27"/>
          <w:szCs w:val="27"/>
        </w:rPr>
        <w:t>, inclusive bajo la concepción de que el legislador puede consagrar excepciones a su aplicación.</w:t>
      </w:r>
      <w:r w:rsidR="00DD1993" w:rsidRPr="00141B3B">
        <w:rPr>
          <w:rFonts w:ascii="Arial" w:hAnsi="Arial" w:cs="Arial"/>
          <w:sz w:val="27"/>
          <w:szCs w:val="27"/>
        </w:rPr>
        <w:t xml:space="preserve"> Es, pues, un mecanismo para hacer efectivo</w:t>
      </w:r>
      <w:r w:rsidR="003C35C7" w:rsidRPr="00141B3B">
        <w:rPr>
          <w:rFonts w:ascii="Arial" w:hAnsi="Arial" w:cs="Arial"/>
          <w:sz w:val="27"/>
          <w:szCs w:val="27"/>
        </w:rPr>
        <w:t>s</w:t>
      </w:r>
      <w:r w:rsidR="00DD1993" w:rsidRPr="00141B3B">
        <w:rPr>
          <w:rFonts w:ascii="Arial" w:hAnsi="Arial" w:cs="Arial"/>
          <w:sz w:val="27"/>
          <w:szCs w:val="27"/>
        </w:rPr>
        <w:t xml:space="preserve"> otros derechos. </w:t>
      </w:r>
    </w:p>
    <w:p w:rsidR="0099727F" w:rsidRPr="00141B3B" w:rsidRDefault="0099727F" w:rsidP="0099727F">
      <w:pPr>
        <w:spacing w:after="0" w:line="360" w:lineRule="auto"/>
        <w:ind w:left="357"/>
        <w:jc w:val="both"/>
        <w:rPr>
          <w:rFonts w:ascii="Arial" w:hAnsi="Arial" w:cs="Arial"/>
          <w:sz w:val="27"/>
          <w:szCs w:val="27"/>
        </w:rPr>
      </w:pPr>
    </w:p>
    <w:p w:rsidR="00D06302" w:rsidRPr="00141B3B" w:rsidRDefault="00DD1993" w:rsidP="0099727F">
      <w:pPr>
        <w:spacing w:after="0" w:line="360" w:lineRule="auto"/>
        <w:ind w:left="357"/>
        <w:jc w:val="both"/>
        <w:rPr>
          <w:rFonts w:ascii="Arial" w:eastAsia="Times New Roman" w:hAnsi="Arial" w:cs="Arial"/>
          <w:i/>
          <w:iCs/>
          <w:sz w:val="27"/>
          <w:szCs w:val="27"/>
          <w:bdr w:val="none" w:sz="0" w:space="0" w:color="auto" w:frame="1"/>
        </w:rPr>
      </w:pPr>
      <w:r w:rsidRPr="00141B3B">
        <w:rPr>
          <w:rFonts w:ascii="Arial" w:hAnsi="Arial" w:cs="Arial"/>
          <w:sz w:val="27"/>
          <w:szCs w:val="27"/>
        </w:rPr>
        <w:t xml:space="preserve">Esta caracterización de la doble instancia como una garantía judicial es el entendimiento que le dio la Convención Americana sobre Derechos Humanos, aprobada por el Estado Colombiano mediante Ley 16 de 1972, pues su artículo 8 </w:t>
      </w:r>
      <w:r w:rsidR="002E38D4" w:rsidRPr="00141B3B">
        <w:rPr>
          <w:rFonts w:ascii="Arial" w:hAnsi="Arial" w:cs="Arial"/>
          <w:sz w:val="27"/>
          <w:szCs w:val="27"/>
        </w:rPr>
        <w:t>consagra que toda persona tiene derecho, en plena igualdad, a unas garantías mínimas dentro de las que se encuentra la del numeral h: “</w:t>
      </w:r>
      <w:r w:rsidR="002E38D4" w:rsidRPr="00141B3B">
        <w:rPr>
          <w:rFonts w:ascii="Arial" w:eastAsia="Times New Roman" w:hAnsi="Arial" w:cs="Arial"/>
          <w:i/>
          <w:iCs/>
          <w:sz w:val="27"/>
          <w:szCs w:val="27"/>
          <w:bdr w:val="none" w:sz="0" w:space="0" w:color="auto" w:frame="1"/>
        </w:rPr>
        <w:t xml:space="preserve">Derecho de recurrir del fallo ante juez o tribunal superior”. </w:t>
      </w:r>
    </w:p>
    <w:p w:rsidR="0099727F" w:rsidRDefault="0099727F" w:rsidP="0099727F">
      <w:pPr>
        <w:spacing w:after="0" w:line="360" w:lineRule="auto"/>
        <w:ind w:left="357"/>
        <w:jc w:val="both"/>
        <w:rPr>
          <w:rFonts w:ascii="Arial" w:eastAsia="Times New Roman" w:hAnsi="Arial" w:cs="Arial"/>
          <w:i/>
          <w:iCs/>
          <w:sz w:val="27"/>
          <w:szCs w:val="27"/>
          <w:bdr w:val="none" w:sz="0" w:space="0" w:color="auto" w:frame="1"/>
        </w:rPr>
      </w:pPr>
    </w:p>
    <w:p w:rsidR="00E97E5A" w:rsidRDefault="002E38D4" w:rsidP="0099727F">
      <w:pPr>
        <w:spacing w:after="0" w:line="360" w:lineRule="auto"/>
        <w:ind w:left="357"/>
        <w:jc w:val="both"/>
        <w:rPr>
          <w:rFonts w:ascii="Arial" w:eastAsia="Times New Roman" w:hAnsi="Arial" w:cs="Arial"/>
          <w:iCs/>
          <w:sz w:val="27"/>
          <w:szCs w:val="27"/>
          <w:bdr w:val="none" w:sz="0" w:space="0" w:color="auto" w:frame="1"/>
        </w:rPr>
      </w:pPr>
      <w:r w:rsidRPr="00141B3B">
        <w:rPr>
          <w:rFonts w:ascii="Arial" w:eastAsia="Times New Roman" w:hAnsi="Arial" w:cs="Arial"/>
          <w:iCs/>
          <w:sz w:val="27"/>
          <w:szCs w:val="27"/>
          <w:bdr w:val="none" w:sz="0" w:space="0" w:color="auto" w:frame="1"/>
        </w:rPr>
        <w:t xml:space="preserve">Finalmente, la Corte Constitucional </w:t>
      </w:r>
      <w:r w:rsidR="00835C92" w:rsidRPr="00141B3B">
        <w:rPr>
          <w:rFonts w:ascii="Arial" w:eastAsia="Times New Roman" w:hAnsi="Arial" w:cs="Arial"/>
          <w:iCs/>
          <w:sz w:val="27"/>
          <w:szCs w:val="27"/>
          <w:bdr w:val="none" w:sz="0" w:space="0" w:color="auto" w:frame="1"/>
        </w:rPr>
        <w:t>ha abordado la doble instancia desde la perspectiva de un derecho, precisamente en la sentencia C-254A de 2012</w:t>
      </w:r>
      <w:r w:rsidR="00DE1EE3" w:rsidRPr="00141B3B">
        <w:rPr>
          <w:rFonts w:ascii="Arial" w:eastAsia="Times New Roman" w:hAnsi="Arial" w:cs="Arial"/>
          <w:iCs/>
          <w:sz w:val="27"/>
          <w:szCs w:val="27"/>
          <w:bdr w:val="none" w:sz="0" w:space="0" w:color="auto" w:frame="1"/>
        </w:rPr>
        <w:t>,</w:t>
      </w:r>
      <w:r w:rsidR="00835C92" w:rsidRPr="00141B3B">
        <w:rPr>
          <w:rFonts w:ascii="Arial" w:eastAsia="Times New Roman" w:hAnsi="Arial" w:cs="Arial"/>
          <w:iCs/>
          <w:sz w:val="27"/>
          <w:szCs w:val="27"/>
          <w:bdr w:val="none" w:sz="0" w:space="0" w:color="auto" w:frame="1"/>
        </w:rPr>
        <w:t xml:space="preserve"> que declaró la </w:t>
      </w:r>
      <w:proofErr w:type="spellStart"/>
      <w:r w:rsidR="00835C92" w:rsidRPr="00141B3B">
        <w:rPr>
          <w:rFonts w:ascii="Arial" w:eastAsia="Times New Roman" w:hAnsi="Arial" w:cs="Arial"/>
          <w:iCs/>
          <w:sz w:val="27"/>
          <w:szCs w:val="27"/>
          <w:bdr w:val="none" w:sz="0" w:space="0" w:color="auto" w:frame="1"/>
        </w:rPr>
        <w:t>exequibilidad</w:t>
      </w:r>
      <w:proofErr w:type="spellEnd"/>
      <w:r w:rsidR="00835C92" w:rsidRPr="00141B3B">
        <w:rPr>
          <w:rFonts w:ascii="Arial" w:eastAsia="Times New Roman" w:hAnsi="Arial" w:cs="Arial"/>
          <w:iCs/>
          <w:sz w:val="27"/>
          <w:szCs w:val="27"/>
          <w:bdr w:val="none" w:sz="0" w:space="0" w:color="auto" w:frame="1"/>
        </w:rPr>
        <w:t xml:space="preserve"> del artículo 1° de la Ley 144 de 1994, que estableció la única instancia para los procesos de pérdida de investidura de congresistas ante el Consejo de Estado. </w:t>
      </w:r>
    </w:p>
    <w:p w:rsidR="00E97E5A" w:rsidRDefault="00E97E5A" w:rsidP="0099727F">
      <w:pPr>
        <w:spacing w:after="0" w:line="360" w:lineRule="auto"/>
        <w:ind w:left="357"/>
        <w:jc w:val="both"/>
        <w:rPr>
          <w:rFonts w:ascii="Arial" w:eastAsia="Times New Roman" w:hAnsi="Arial" w:cs="Arial"/>
          <w:iCs/>
          <w:sz w:val="27"/>
          <w:szCs w:val="27"/>
          <w:bdr w:val="none" w:sz="0" w:space="0" w:color="auto" w:frame="1"/>
        </w:rPr>
      </w:pPr>
    </w:p>
    <w:p w:rsidR="003C35C7" w:rsidRPr="00141B3B" w:rsidRDefault="00D35EDE" w:rsidP="0099727F">
      <w:pPr>
        <w:spacing w:after="0" w:line="360" w:lineRule="auto"/>
        <w:ind w:left="357"/>
        <w:jc w:val="both"/>
        <w:rPr>
          <w:rFonts w:ascii="Arial" w:hAnsi="Arial" w:cs="Arial"/>
          <w:i/>
          <w:iCs/>
          <w:sz w:val="27"/>
          <w:szCs w:val="27"/>
          <w:bdr w:val="none" w:sz="0" w:space="0" w:color="auto" w:frame="1"/>
        </w:rPr>
      </w:pPr>
      <w:r w:rsidRPr="00141B3B">
        <w:rPr>
          <w:rFonts w:ascii="Arial" w:eastAsia="Times New Roman" w:hAnsi="Arial" w:cs="Arial"/>
          <w:iCs/>
          <w:sz w:val="27"/>
          <w:szCs w:val="27"/>
          <w:bdr w:val="none" w:sz="0" w:space="0" w:color="auto" w:frame="1"/>
        </w:rPr>
        <w:t xml:space="preserve">En esa oportunidad se consideró que el derecho a la doble instancia no tiene carácter absoluto, pero la facultad </w:t>
      </w:r>
      <w:r w:rsidR="00DE1EE3" w:rsidRPr="00141B3B">
        <w:rPr>
          <w:rFonts w:ascii="Arial" w:eastAsia="Times New Roman" w:hAnsi="Arial" w:cs="Arial"/>
          <w:iCs/>
          <w:sz w:val="27"/>
          <w:szCs w:val="27"/>
          <w:bdr w:val="none" w:sz="0" w:space="0" w:color="auto" w:frame="1"/>
        </w:rPr>
        <w:t xml:space="preserve">legislativa </w:t>
      </w:r>
      <w:r w:rsidRPr="00141B3B">
        <w:rPr>
          <w:rFonts w:ascii="Arial" w:eastAsia="Times New Roman" w:hAnsi="Arial" w:cs="Arial"/>
          <w:iCs/>
          <w:sz w:val="27"/>
          <w:szCs w:val="27"/>
          <w:bdr w:val="none" w:sz="0" w:space="0" w:color="auto" w:frame="1"/>
        </w:rPr>
        <w:t xml:space="preserve">para establecer excepciones debe propender por el respeto del debido proceso, derecho de defensa, justicia </w:t>
      </w:r>
      <w:r w:rsidR="00DE1EE3" w:rsidRPr="00141B3B">
        <w:rPr>
          <w:rFonts w:ascii="Arial" w:eastAsia="Times New Roman" w:hAnsi="Arial" w:cs="Arial"/>
          <w:iCs/>
          <w:sz w:val="27"/>
          <w:szCs w:val="27"/>
          <w:bdr w:val="none" w:sz="0" w:space="0" w:color="auto" w:frame="1"/>
        </w:rPr>
        <w:t xml:space="preserve">y </w:t>
      </w:r>
      <w:r w:rsidRPr="00141B3B">
        <w:rPr>
          <w:rFonts w:ascii="Arial" w:eastAsia="Times New Roman" w:hAnsi="Arial" w:cs="Arial"/>
          <w:iCs/>
          <w:sz w:val="27"/>
          <w:szCs w:val="27"/>
          <w:bdr w:val="none" w:sz="0" w:space="0" w:color="auto" w:frame="1"/>
        </w:rPr>
        <w:t>equidad y acceso a la administración de justicia.</w:t>
      </w:r>
      <w:r w:rsidR="003C35C7" w:rsidRPr="00141B3B">
        <w:rPr>
          <w:rFonts w:ascii="Arial" w:eastAsia="Times New Roman" w:hAnsi="Arial" w:cs="Arial"/>
          <w:iCs/>
          <w:sz w:val="27"/>
          <w:szCs w:val="27"/>
          <w:bdr w:val="none" w:sz="0" w:space="0" w:color="auto" w:frame="1"/>
        </w:rPr>
        <w:t xml:space="preserve"> En otra oportunidad, la Corte señaló que “</w:t>
      </w:r>
      <w:r w:rsidR="003C35C7" w:rsidRPr="00141B3B">
        <w:rPr>
          <w:rFonts w:ascii="Arial" w:eastAsia="Times New Roman" w:hAnsi="Arial" w:cs="Arial"/>
          <w:i/>
          <w:iCs/>
          <w:sz w:val="27"/>
          <w:szCs w:val="27"/>
          <w:bdr w:val="none" w:sz="0" w:space="0" w:color="auto" w:frame="1"/>
        </w:rPr>
        <w:t>l</w:t>
      </w:r>
      <w:r w:rsidR="00835C92" w:rsidRPr="00141B3B">
        <w:rPr>
          <w:rFonts w:ascii="Arial" w:hAnsi="Arial" w:cs="Arial"/>
          <w:i/>
          <w:iCs/>
          <w:sz w:val="27"/>
          <w:szCs w:val="27"/>
          <w:bdr w:val="none" w:sz="0" w:space="0" w:color="auto" w:frame="1"/>
        </w:rPr>
        <w:t>a exclusión de la doble instancia debe propender por el logro de una finalidad constitucionalmente legítima”</w:t>
      </w:r>
      <w:r w:rsidR="003C35C7" w:rsidRPr="00141B3B">
        <w:rPr>
          <w:rStyle w:val="Refdenotaalpie"/>
          <w:rFonts w:ascii="Arial" w:hAnsi="Arial" w:cs="Arial"/>
          <w:i/>
          <w:iCs/>
          <w:sz w:val="27"/>
          <w:szCs w:val="27"/>
          <w:bdr w:val="none" w:sz="0" w:space="0" w:color="auto" w:frame="1"/>
        </w:rPr>
        <w:footnoteReference w:id="10"/>
      </w:r>
      <w:r w:rsidR="003C35C7" w:rsidRPr="00141B3B">
        <w:rPr>
          <w:rFonts w:ascii="Arial" w:hAnsi="Arial" w:cs="Arial"/>
          <w:i/>
          <w:iCs/>
          <w:sz w:val="27"/>
          <w:szCs w:val="27"/>
          <w:bdr w:val="none" w:sz="0" w:space="0" w:color="auto" w:frame="1"/>
        </w:rPr>
        <w:t xml:space="preserve">. </w:t>
      </w:r>
    </w:p>
    <w:p w:rsidR="0099727F" w:rsidRPr="00574D0A" w:rsidRDefault="0099727F" w:rsidP="00574D0A">
      <w:pPr>
        <w:spacing w:after="0" w:line="360" w:lineRule="auto"/>
        <w:ind w:left="357"/>
        <w:jc w:val="both"/>
        <w:rPr>
          <w:rFonts w:ascii="Arial" w:hAnsi="Arial" w:cs="Arial"/>
          <w:i/>
          <w:iCs/>
          <w:sz w:val="27"/>
          <w:szCs w:val="27"/>
          <w:bdr w:val="none" w:sz="0" w:space="0" w:color="auto" w:frame="1"/>
        </w:rPr>
      </w:pPr>
    </w:p>
    <w:p w:rsidR="00574D0A" w:rsidRPr="00574D0A" w:rsidRDefault="00574D0A" w:rsidP="00574D0A">
      <w:pPr>
        <w:spacing w:line="360" w:lineRule="auto"/>
        <w:ind w:left="357" w:right="-93"/>
        <w:jc w:val="both"/>
        <w:rPr>
          <w:rFonts w:ascii="Arial" w:hAnsi="Arial" w:cs="Arial"/>
          <w:sz w:val="27"/>
          <w:szCs w:val="27"/>
        </w:rPr>
      </w:pPr>
      <w:r w:rsidRPr="00574D0A">
        <w:rPr>
          <w:rFonts w:ascii="Arial" w:hAnsi="Arial" w:cs="Arial"/>
          <w:sz w:val="27"/>
          <w:szCs w:val="27"/>
        </w:rPr>
        <w:t>La Corte Constitucional se ha referido en numerosas oportunidades a la doble instancia, señalando criterios especiales para analizar los eventos en los cuales puede limitarse:</w:t>
      </w:r>
    </w:p>
    <w:p w:rsidR="00574D0A" w:rsidRPr="00574D0A" w:rsidRDefault="00574D0A" w:rsidP="00574D0A">
      <w:pPr>
        <w:ind w:left="1416" w:right="-93"/>
        <w:jc w:val="both"/>
        <w:rPr>
          <w:rFonts w:ascii="Arial" w:hAnsi="Arial" w:cs="Arial"/>
          <w:sz w:val="26"/>
          <w:szCs w:val="26"/>
        </w:rPr>
      </w:pPr>
      <w:r w:rsidRPr="00574D0A">
        <w:rPr>
          <w:rFonts w:ascii="Arial" w:hAnsi="Arial" w:cs="Arial"/>
          <w:sz w:val="26"/>
          <w:szCs w:val="26"/>
          <w:shd w:val="clear" w:color="auto" w:fill="FFFFFF"/>
        </w:rPr>
        <w:t>La sentencia C-019 de 1993, declaró</w:t>
      </w:r>
      <w:r w:rsidRPr="00574D0A">
        <w:rPr>
          <w:rStyle w:val="apple-converted-space"/>
          <w:rFonts w:ascii="Arial" w:hAnsi="Arial" w:cs="Arial"/>
          <w:sz w:val="26"/>
          <w:szCs w:val="26"/>
          <w:shd w:val="clear" w:color="auto" w:fill="FFFFFF"/>
        </w:rPr>
        <w:t> </w:t>
      </w:r>
      <w:r w:rsidRPr="00574D0A">
        <w:rPr>
          <w:rFonts w:ascii="Arial" w:hAnsi="Arial" w:cs="Arial"/>
          <w:sz w:val="26"/>
          <w:szCs w:val="26"/>
          <w:shd w:val="clear" w:color="auto" w:fill="FFFFFF"/>
        </w:rPr>
        <w:t>exequible</w:t>
      </w:r>
      <w:r w:rsidRPr="00574D0A">
        <w:rPr>
          <w:rStyle w:val="apple-converted-space"/>
          <w:rFonts w:ascii="Arial" w:hAnsi="Arial" w:cs="Arial"/>
          <w:sz w:val="26"/>
          <w:szCs w:val="26"/>
          <w:shd w:val="clear" w:color="auto" w:fill="FFFFFF"/>
        </w:rPr>
        <w:t> </w:t>
      </w:r>
      <w:r w:rsidRPr="00574D0A">
        <w:rPr>
          <w:rFonts w:ascii="Arial" w:hAnsi="Arial" w:cs="Arial"/>
          <w:sz w:val="26"/>
          <w:szCs w:val="26"/>
          <w:shd w:val="clear" w:color="auto" w:fill="FFFFFF"/>
        </w:rPr>
        <w:t xml:space="preserve">el artículo 167 del Código del Menor (decreto 2737 de 1989), siempre que se interprete y aplique en el sentido que los procesos relativos a menores infractores de la ley penal son de única </w:t>
      </w:r>
      <w:r w:rsidRPr="00574D0A">
        <w:rPr>
          <w:rFonts w:ascii="Arial" w:hAnsi="Arial" w:cs="Arial"/>
          <w:sz w:val="26"/>
          <w:szCs w:val="26"/>
          <w:shd w:val="clear" w:color="auto" w:fill="FFFFFF"/>
        </w:rPr>
        <w:lastRenderedPageBreak/>
        <w:t>instancia cuando en ellos no se decrete o imponga una medida privativa de la libertad.</w:t>
      </w:r>
    </w:p>
    <w:p w:rsidR="00574D0A" w:rsidRPr="00574D0A" w:rsidRDefault="00574D0A" w:rsidP="00574D0A">
      <w:pPr>
        <w:ind w:left="1404" w:right="-93"/>
        <w:jc w:val="both"/>
        <w:rPr>
          <w:rFonts w:ascii="Arial" w:hAnsi="Arial" w:cs="Arial"/>
          <w:sz w:val="26"/>
          <w:szCs w:val="26"/>
        </w:rPr>
      </w:pPr>
      <w:r w:rsidRPr="00574D0A">
        <w:rPr>
          <w:rFonts w:ascii="Arial" w:hAnsi="Arial" w:cs="Arial"/>
          <w:sz w:val="26"/>
          <w:szCs w:val="26"/>
          <w:shd w:val="clear" w:color="auto" w:fill="FFFFFF"/>
        </w:rPr>
        <w:t xml:space="preserve">La sentencia C-150 de 1993 declaró exequibles las partes acusadas del artículo 16 del decreto 2700 de 1991, de acuerdo con el cual </w:t>
      </w:r>
      <w:r w:rsidRPr="00574D0A">
        <w:rPr>
          <w:rFonts w:ascii="Arial" w:hAnsi="Arial" w:cs="Arial"/>
          <w:i/>
          <w:iCs/>
          <w:sz w:val="26"/>
          <w:szCs w:val="26"/>
          <w:shd w:val="clear" w:color="auto" w:fill="FFFFFF"/>
        </w:rPr>
        <w:t>“Toda providencia interlocutoria, podrá ser apelada,</w:t>
      </w:r>
      <w:r w:rsidRPr="00574D0A">
        <w:rPr>
          <w:rStyle w:val="apple-converted-space"/>
          <w:rFonts w:ascii="Arial" w:hAnsi="Arial" w:cs="Arial"/>
          <w:i/>
          <w:iCs/>
          <w:sz w:val="26"/>
          <w:szCs w:val="26"/>
          <w:shd w:val="clear" w:color="auto" w:fill="FFFFFF"/>
        </w:rPr>
        <w:t> </w:t>
      </w:r>
      <w:r w:rsidRPr="00574D0A">
        <w:rPr>
          <w:rFonts w:ascii="Arial" w:hAnsi="Arial" w:cs="Arial"/>
          <w:i/>
          <w:iCs/>
          <w:sz w:val="26"/>
          <w:szCs w:val="26"/>
          <w:u w:val="single"/>
          <w:shd w:val="clear" w:color="auto" w:fill="FFFFFF"/>
        </w:rPr>
        <w:t>salvo las excepciones previstas</w:t>
      </w:r>
      <w:r w:rsidRPr="00574D0A">
        <w:rPr>
          <w:rFonts w:ascii="Arial" w:hAnsi="Arial" w:cs="Arial"/>
          <w:i/>
          <w:iCs/>
          <w:sz w:val="26"/>
          <w:szCs w:val="26"/>
          <w:shd w:val="clear" w:color="auto" w:fill="FFFFFF"/>
        </w:rPr>
        <w:t>”</w:t>
      </w:r>
      <w:r w:rsidRPr="00574D0A">
        <w:rPr>
          <w:rFonts w:ascii="Arial" w:hAnsi="Arial" w:cs="Arial"/>
          <w:sz w:val="26"/>
          <w:szCs w:val="26"/>
          <w:shd w:val="clear" w:color="auto" w:fill="FFFFFF"/>
        </w:rPr>
        <w:t xml:space="preserve">. En esta sentencia, se consideró que la norma acusada </w:t>
      </w:r>
      <w:r w:rsidRPr="00574D0A">
        <w:rPr>
          <w:rFonts w:ascii="Arial" w:hAnsi="Arial" w:cs="Arial"/>
          <w:i/>
          <w:iCs/>
          <w:sz w:val="26"/>
          <w:szCs w:val="26"/>
          <w:shd w:val="clear" w:color="auto" w:fill="FFFFFF"/>
        </w:rPr>
        <w:t>“no se trata de una disposición que regule el régimen de la controversia o impugnación de las sentencias sino sólo de los autos interlocutorios, lo cual es asunto bien diferente del planteado por el actor y que compete a la ley, pudiendo ésta señalar su régimen general y las excepciones que correspondan”</w:t>
      </w:r>
      <w:r w:rsidRPr="00574D0A">
        <w:rPr>
          <w:rFonts w:ascii="Arial" w:hAnsi="Arial" w:cs="Arial"/>
          <w:sz w:val="26"/>
          <w:szCs w:val="26"/>
          <w:shd w:val="clear" w:color="auto" w:fill="FFFFFF"/>
        </w:rPr>
        <w:t>.</w:t>
      </w:r>
    </w:p>
    <w:p w:rsidR="00574D0A" w:rsidRPr="00574D0A" w:rsidRDefault="00574D0A" w:rsidP="00574D0A">
      <w:pPr>
        <w:ind w:left="1416" w:right="-93" w:hanging="12"/>
        <w:jc w:val="both"/>
        <w:rPr>
          <w:rFonts w:ascii="Arial" w:hAnsi="Arial" w:cs="Arial"/>
          <w:sz w:val="26"/>
          <w:szCs w:val="26"/>
        </w:rPr>
      </w:pPr>
      <w:r w:rsidRPr="00574D0A">
        <w:rPr>
          <w:rFonts w:ascii="Arial" w:hAnsi="Arial" w:cs="Arial"/>
          <w:sz w:val="26"/>
          <w:szCs w:val="26"/>
          <w:shd w:val="clear" w:color="auto" w:fill="FFFFFF"/>
        </w:rPr>
        <w:t xml:space="preserve">La sentencia C-345 de 1993 declaró inexequible la expresión </w:t>
      </w:r>
      <w:r w:rsidRPr="00574D0A">
        <w:rPr>
          <w:rFonts w:ascii="Arial" w:hAnsi="Arial" w:cs="Arial"/>
          <w:i/>
          <w:iCs/>
          <w:sz w:val="26"/>
          <w:szCs w:val="26"/>
          <w:shd w:val="clear" w:color="auto" w:fill="FFFFFF"/>
        </w:rPr>
        <w:t>“Sin embargo, de los procesos sobre actos de destitución, declaración de insubsistencia, revocación de nombramiento o cualesquiera otros que impliquen retiro del servicio, conocerán en única instancia los Tribunales Administrativos cuando la asignación mensual correspondiente al cargo no exceda de ochenta mil pesos ($</w:t>
      </w:r>
      <w:proofErr w:type="gramStart"/>
      <w:r w:rsidRPr="00574D0A">
        <w:rPr>
          <w:rFonts w:ascii="Arial" w:hAnsi="Arial" w:cs="Arial"/>
          <w:i/>
          <w:iCs/>
          <w:sz w:val="26"/>
          <w:szCs w:val="26"/>
          <w:shd w:val="clear" w:color="auto" w:fill="FFFFFF"/>
        </w:rPr>
        <w:t>80.000.oo</w:t>
      </w:r>
      <w:proofErr w:type="gramEnd"/>
      <w:r w:rsidRPr="00574D0A">
        <w:rPr>
          <w:rFonts w:ascii="Arial" w:hAnsi="Arial" w:cs="Arial"/>
          <w:i/>
          <w:iCs/>
          <w:sz w:val="26"/>
          <w:szCs w:val="26"/>
          <w:shd w:val="clear" w:color="auto" w:fill="FFFFFF"/>
        </w:rPr>
        <w:t>)”</w:t>
      </w:r>
      <w:r w:rsidRPr="00574D0A">
        <w:rPr>
          <w:rFonts w:ascii="Arial" w:hAnsi="Arial" w:cs="Arial"/>
          <w:sz w:val="26"/>
          <w:szCs w:val="26"/>
          <w:shd w:val="clear" w:color="auto" w:fill="FFFFFF"/>
        </w:rPr>
        <w:t xml:space="preserve"> contemplada en el artículo 131 del decreto ley 01 de 1984. En esta sentencia, la Corte Constitucional manifestó que la norma vulneraba el principio de la doble instancia, pues consagraba un trato discriminatorio derivado únicamente de los ingresos laborales mensuales del accionante.</w:t>
      </w:r>
    </w:p>
    <w:p w:rsidR="00574D0A" w:rsidRPr="00574D0A" w:rsidRDefault="00574D0A" w:rsidP="00574D0A">
      <w:pPr>
        <w:ind w:left="1392" w:right="-93"/>
        <w:jc w:val="both"/>
        <w:rPr>
          <w:rFonts w:ascii="Arial" w:hAnsi="Arial" w:cs="Arial"/>
          <w:sz w:val="26"/>
          <w:szCs w:val="26"/>
        </w:rPr>
      </w:pPr>
      <w:r w:rsidRPr="00574D0A">
        <w:rPr>
          <w:rFonts w:ascii="Arial" w:hAnsi="Arial" w:cs="Arial"/>
          <w:sz w:val="26"/>
          <w:szCs w:val="26"/>
          <w:shd w:val="clear" w:color="auto" w:fill="FFFFFF"/>
        </w:rPr>
        <w:t>La sentencia C-179 de 1995, señaló la constitucionalidad de que los procesos verbal sumario y ejecutivo de mínima cuantía se tramiten en</w:t>
      </w:r>
      <w:r w:rsidRPr="00574D0A">
        <w:rPr>
          <w:rStyle w:val="apple-converted-space"/>
          <w:rFonts w:ascii="Arial" w:hAnsi="Arial" w:cs="Arial"/>
          <w:sz w:val="26"/>
          <w:szCs w:val="26"/>
          <w:shd w:val="clear" w:color="auto" w:fill="FFFFFF"/>
        </w:rPr>
        <w:t> </w:t>
      </w:r>
      <w:r w:rsidRPr="00574D0A">
        <w:rPr>
          <w:rStyle w:val="apple-converted-space"/>
          <w:rFonts w:ascii="Arial" w:hAnsi="Arial" w:cs="Arial"/>
          <w:i/>
          <w:iCs/>
          <w:sz w:val="26"/>
          <w:szCs w:val="26"/>
          <w:shd w:val="clear" w:color="auto" w:fill="FFFFFF"/>
        </w:rPr>
        <w:t>“</w:t>
      </w:r>
      <w:r w:rsidRPr="00574D0A">
        <w:rPr>
          <w:rFonts w:ascii="Arial" w:hAnsi="Arial" w:cs="Arial"/>
          <w:i/>
          <w:iCs/>
          <w:sz w:val="26"/>
          <w:szCs w:val="26"/>
          <w:shd w:val="clear" w:color="auto" w:fill="FFFFFF"/>
        </w:rPr>
        <w:t xml:space="preserve">única instancia, al considerar que la doble instancia, cuya especial trascendencia en el campo penal es evidente, no es sin </w:t>
      </w:r>
      <w:proofErr w:type="gramStart"/>
      <w:r w:rsidRPr="00574D0A">
        <w:rPr>
          <w:rFonts w:ascii="Arial" w:hAnsi="Arial" w:cs="Arial"/>
          <w:i/>
          <w:iCs/>
          <w:sz w:val="26"/>
          <w:szCs w:val="26"/>
          <w:shd w:val="clear" w:color="auto" w:fill="FFFFFF"/>
        </w:rPr>
        <w:t>embargo,  forzosa</w:t>
      </w:r>
      <w:proofErr w:type="gramEnd"/>
      <w:r w:rsidRPr="00574D0A">
        <w:rPr>
          <w:rFonts w:ascii="Arial" w:hAnsi="Arial" w:cs="Arial"/>
          <w:i/>
          <w:iCs/>
          <w:sz w:val="26"/>
          <w:szCs w:val="26"/>
          <w:shd w:val="clear" w:color="auto" w:fill="FFFFFF"/>
        </w:rPr>
        <w:t xml:space="preserve"> en todos los asuntos que son materia de decisión judicial”</w:t>
      </w:r>
      <w:r w:rsidRPr="00574D0A">
        <w:rPr>
          <w:rFonts w:ascii="Arial" w:hAnsi="Arial" w:cs="Arial"/>
          <w:sz w:val="26"/>
          <w:szCs w:val="26"/>
          <w:shd w:val="clear" w:color="auto" w:fill="FFFFFF"/>
        </w:rPr>
        <w:t>.</w:t>
      </w:r>
    </w:p>
    <w:p w:rsidR="00574D0A" w:rsidRPr="00574D0A" w:rsidRDefault="00574D0A" w:rsidP="00574D0A">
      <w:pPr>
        <w:ind w:left="1392" w:right="-93"/>
        <w:jc w:val="both"/>
        <w:rPr>
          <w:rFonts w:ascii="Arial" w:hAnsi="Arial" w:cs="Arial"/>
          <w:sz w:val="26"/>
          <w:szCs w:val="26"/>
        </w:rPr>
      </w:pPr>
      <w:r w:rsidRPr="00574D0A">
        <w:rPr>
          <w:rFonts w:ascii="Arial" w:hAnsi="Arial" w:cs="Arial"/>
          <w:spacing w:val="-3"/>
          <w:sz w:val="26"/>
          <w:szCs w:val="26"/>
          <w:shd w:val="clear" w:color="auto" w:fill="FFFFFF"/>
        </w:rPr>
        <w:lastRenderedPageBreak/>
        <w:t xml:space="preserve">La </w:t>
      </w:r>
      <w:r w:rsidRPr="00574D0A">
        <w:rPr>
          <w:rFonts w:ascii="Arial" w:hAnsi="Arial" w:cs="Arial"/>
          <w:sz w:val="26"/>
          <w:szCs w:val="26"/>
          <w:shd w:val="clear" w:color="auto" w:fill="FFFFFF"/>
        </w:rPr>
        <w:t xml:space="preserve">sentencia C-657 de 1996 </w:t>
      </w:r>
      <w:r w:rsidRPr="00574D0A">
        <w:rPr>
          <w:rFonts w:ascii="Arial" w:hAnsi="Arial" w:cs="Arial"/>
          <w:spacing w:val="-3"/>
          <w:sz w:val="26"/>
          <w:szCs w:val="26"/>
          <w:shd w:val="clear" w:color="auto" w:fill="FFFFFF"/>
        </w:rPr>
        <w:t xml:space="preserve">declaró exequibles: (i) la expresión </w:t>
      </w:r>
      <w:r w:rsidRPr="00574D0A">
        <w:rPr>
          <w:rFonts w:ascii="Arial" w:hAnsi="Arial" w:cs="Arial"/>
          <w:i/>
          <w:iCs/>
          <w:sz w:val="26"/>
          <w:szCs w:val="26"/>
          <w:shd w:val="clear" w:color="auto" w:fill="FFFFFF"/>
        </w:rPr>
        <w:t>"contra la cual sólo procede el recurso de reposición"</w:t>
      </w:r>
      <w:r w:rsidRPr="00574D0A">
        <w:rPr>
          <w:rFonts w:ascii="Arial" w:hAnsi="Arial" w:cs="Arial"/>
          <w:sz w:val="26"/>
          <w:szCs w:val="26"/>
          <w:shd w:val="clear" w:color="auto" w:fill="FFFFFF"/>
        </w:rPr>
        <w:t xml:space="preserve"> contemplada en el artículo 115  del decreto 2700 de 1991, que impide la presentación del recurso de apelación contra la sanción impuesta al funcionario que no se declara impedido y; </w:t>
      </w:r>
      <w:r w:rsidRPr="00574D0A">
        <w:rPr>
          <w:rStyle w:val="apple-converted-space"/>
          <w:rFonts w:ascii="Arial" w:hAnsi="Arial" w:cs="Arial"/>
          <w:sz w:val="26"/>
          <w:szCs w:val="26"/>
          <w:shd w:val="clear" w:color="auto" w:fill="FFFFFF"/>
        </w:rPr>
        <w:t xml:space="preserve"> (ii) </w:t>
      </w:r>
      <w:r w:rsidRPr="00574D0A">
        <w:rPr>
          <w:rFonts w:ascii="Arial" w:hAnsi="Arial" w:cs="Arial"/>
          <w:sz w:val="26"/>
          <w:szCs w:val="26"/>
          <w:shd w:val="clear" w:color="auto" w:fill="FFFFFF"/>
        </w:rPr>
        <w:t xml:space="preserve">la expresión </w:t>
      </w:r>
      <w:r w:rsidRPr="00574D0A">
        <w:rPr>
          <w:rFonts w:ascii="Arial" w:hAnsi="Arial" w:cs="Arial"/>
          <w:i/>
          <w:iCs/>
          <w:sz w:val="26"/>
          <w:szCs w:val="26"/>
          <w:shd w:val="clear" w:color="auto" w:fill="FFFFFF"/>
        </w:rPr>
        <w:t>"decisión contra la cual no procede   recurso alguno"</w:t>
      </w:r>
      <w:r w:rsidRPr="00574D0A">
        <w:rPr>
          <w:rFonts w:ascii="Arial" w:hAnsi="Arial" w:cs="Arial"/>
          <w:sz w:val="26"/>
          <w:szCs w:val="26"/>
          <w:shd w:val="clear" w:color="auto" w:fill="FFFFFF"/>
        </w:rPr>
        <w:t xml:space="preserve"> del artículo 453 del mismo decreto,  que no permite interponer recursos contra la decisión que ordena el retiro de los asistentes en una audiencia pública. En este fallo se consideró que </w:t>
      </w:r>
      <w:r w:rsidRPr="00574D0A">
        <w:rPr>
          <w:rFonts w:ascii="Arial" w:hAnsi="Arial" w:cs="Arial"/>
          <w:i/>
          <w:iCs/>
          <w:sz w:val="26"/>
          <w:szCs w:val="26"/>
          <w:shd w:val="clear" w:color="auto" w:fill="FFFFFF"/>
        </w:rPr>
        <w:t>“La Constitución Política faculta a la ley para establecer excepciones al principio general de las dos instancias y no se trata, en el presente evento, de sentencias condenatorias”</w:t>
      </w:r>
      <w:r w:rsidRPr="00574D0A">
        <w:rPr>
          <w:rFonts w:ascii="Arial" w:hAnsi="Arial" w:cs="Arial"/>
          <w:sz w:val="26"/>
          <w:szCs w:val="26"/>
          <w:shd w:val="clear" w:color="auto" w:fill="FFFFFF"/>
        </w:rPr>
        <w:t>.</w:t>
      </w:r>
    </w:p>
    <w:p w:rsidR="00574D0A" w:rsidRPr="00574D0A" w:rsidRDefault="00574D0A" w:rsidP="00574D0A">
      <w:pPr>
        <w:pStyle w:val="listparagraph1"/>
        <w:ind w:left="1392" w:right="-93"/>
        <w:jc w:val="both"/>
        <w:rPr>
          <w:rFonts w:ascii="Arial" w:hAnsi="Arial" w:cs="Arial"/>
          <w:sz w:val="26"/>
          <w:szCs w:val="26"/>
        </w:rPr>
      </w:pPr>
      <w:r w:rsidRPr="00574D0A">
        <w:rPr>
          <w:rFonts w:ascii="Arial" w:hAnsi="Arial" w:cs="Arial"/>
          <w:sz w:val="26"/>
          <w:szCs w:val="26"/>
          <w:shd w:val="clear" w:color="auto" w:fill="FFFFFF"/>
        </w:rPr>
        <w:t xml:space="preserve">La sentencia C-037 de 1996 declaró la constitucionalidad del artículo 27 de la Ley Estatutaria de la Administración de Justicia al considerar que </w:t>
      </w:r>
      <w:r w:rsidRPr="00574D0A">
        <w:rPr>
          <w:rFonts w:ascii="Arial" w:hAnsi="Arial" w:cs="Arial"/>
          <w:i/>
          <w:iCs/>
          <w:sz w:val="26"/>
          <w:szCs w:val="26"/>
          <w:shd w:val="clear" w:color="auto" w:fill="FFFFFF"/>
        </w:rPr>
        <w:t>“encuentra la Corte que el desarrollo del artículo que se examina se encuentra inescindiblemente ligado al principio de la doble instancia, razón por la cual se torna constitucional incluirlo dentro de una ley estatutaria sobre administración de justicia”</w:t>
      </w:r>
      <w:r w:rsidRPr="00574D0A">
        <w:rPr>
          <w:rFonts w:ascii="Arial" w:hAnsi="Arial" w:cs="Arial"/>
          <w:sz w:val="26"/>
          <w:szCs w:val="26"/>
          <w:shd w:val="clear" w:color="auto" w:fill="FFFFFF"/>
        </w:rPr>
        <w:t>.</w:t>
      </w:r>
    </w:p>
    <w:p w:rsidR="00574D0A" w:rsidRDefault="00574D0A" w:rsidP="00574D0A">
      <w:pPr>
        <w:pStyle w:val="listparagraph1"/>
        <w:ind w:right="-93" w:hanging="720"/>
      </w:pPr>
      <w:r>
        <w:rPr>
          <w:sz w:val="28"/>
          <w:szCs w:val="28"/>
          <w:shd w:val="clear" w:color="auto" w:fill="FFFFFF"/>
        </w:rPr>
        <w:t> </w:t>
      </w:r>
    </w:p>
    <w:p w:rsidR="00012E96" w:rsidRPr="00141B3B" w:rsidRDefault="00D95EAC" w:rsidP="0099727F">
      <w:pPr>
        <w:spacing w:after="0" w:line="360" w:lineRule="auto"/>
        <w:ind w:left="357"/>
        <w:jc w:val="both"/>
        <w:rPr>
          <w:rFonts w:ascii="Arial" w:hAnsi="Arial" w:cs="Arial"/>
          <w:iCs/>
          <w:sz w:val="27"/>
          <w:szCs w:val="27"/>
          <w:bdr w:val="none" w:sz="0" w:space="0" w:color="auto" w:frame="1"/>
        </w:rPr>
      </w:pPr>
      <w:r w:rsidRPr="00141B3B">
        <w:rPr>
          <w:rFonts w:ascii="Arial" w:hAnsi="Arial" w:cs="Arial"/>
          <w:iCs/>
          <w:sz w:val="27"/>
          <w:szCs w:val="27"/>
          <w:bdr w:val="none" w:sz="0" w:space="0" w:color="auto" w:frame="1"/>
        </w:rPr>
        <w:t>En esta línea de pensamiento, es claro que la doble instancia, entendida desde su naturaleza jurídica tripartita, se erige como un pilar fundamental en la estructura de administración de justicia del Estado, toda vez que permite un mayor contr</w:t>
      </w:r>
      <w:r w:rsidR="00012E96" w:rsidRPr="00141B3B">
        <w:rPr>
          <w:rFonts w:ascii="Arial" w:hAnsi="Arial" w:cs="Arial"/>
          <w:iCs/>
          <w:sz w:val="27"/>
          <w:szCs w:val="27"/>
          <w:bdr w:val="none" w:sz="0" w:space="0" w:color="auto" w:frame="1"/>
        </w:rPr>
        <w:t xml:space="preserve">ol de las decisiones judiciales, para efectos de su corrección y legitimidad, cuestiones que sin duda ayudan en el establecimiento de límites al ejercicio arbitrario de la función judicial y a los eventuales </w:t>
      </w:r>
      <w:r w:rsidR="00012E96" w:rsidRPr="00141B3B">
        <w:rPr>
          <w:rFonts w:ascii="Arial" w:hAnsi="Arial" w:cs="Arial"/>
          <w:iCs/>
          <w:sz w:val="27"/>
          <w:szCs w:val="27"/>
          <w:bdr w:val="none" w:sz="0" w:space="0" w:color="auto" w:frame="1"/>
        </w:rPr>
        <w:lastRenderedPageBreak/>
        <w:t xml:space="preserve">yerros de valoración, fáctica y jurídica, en que pueda incurrir el </w:t>
      </w:r>
      <w:r w:rsidR="00B55A63" w:rsidRPr="00141B3B">
        <w:rPr>
          <w:rFonts w:ascii="Arial" w:hAnsi="Arial" w:cs="Arial"/>
          <w:iCs/>
          <w:sz w:val="27"/>
          <w:szCs w:val="27"/>
          <w:bdr w:val="none" w:sz="0" w:space="0" w:color="auto" w:frame="1"/>
        </w:rPr>
        <w:t>juez</w:t>
      </w:r>
      <w:r w:rsidR="00012E96" w:rsidRPr="00141B3B">
        <w:rPr>
          <w:rFonts w:ascii="Arial" w:hAnsi="Arial" w:cs="Arial"/>
          <w:iCs/>
          <w:sz w:val="27"/>
          <w:szCs w:val="27"/>
          <w:bdr w:val="none" w:sz="0" w:space="0" w:color="auto" w:frame="1"/>
        </w:rPr>
        <w:t xml:space="preserve">.   </w:t>
      </w:r>
    </w:p>
    <w:p w:rsidR="00D95EAC" w:rsidRDefault="00012E96" w:rsidP="003C35C7">
      <w:pPr>
        <w:ind w:left="360"/>
        <w:jc w:val="both"/>
        <w:rPr>
          <w:rFonts w:ascii="Arial" w:hAnsi="Arial" w:cs="Arial"/>
          <w:iCs/>
          <w:sz w:val="27"/>
          <w:szCs w:val="27"/>
          <w:bdr w:val="none" w:sz="0" w:space="0" w:color="auto" w:frame="1"/>
        </w:rPr>
      </w:pPr>
      <w:r w:rsidRPr="00141B3B">
        <w:rPr>
          <w:rFonts w:ascii="Arial" w:hAnsi="Arial" w:cs="Arial"/>
          <w:iCs/>
          <w:sz w:val="27"/>
          <w:szCs w:val="27"/>
          <w:bdr w:val="none" w:sz="0" w:space="0" w:color="auto" w:frame="1"/>
        </w:rPr>
        <w:t xml:space="preserve"> </w:t>
      </w:r>
      <w:r w:rsidR="00D95EAC" w:rsidRPr="00141B3B">
        <w:rPr>
          <w:rFonts w:ascii="Arial" w:hAnsi="Arial" w:cs="Arial"/>
          <w:iCs/>
          <w:sz w:val="27"/>
          <w:szCs w:val="27"/>
          <w:bdr w:val="none" w:sz="0" w:space="0" w:color="auto" w:frame="1"/>
        </w:rPr>
        <w:t xml:space="preserve">  </w:t>
      </w:r>
    </w:p>
    <w:p w:rsidR="00012E96" w:rsidRPr="00E97E5A" w:rsidRDefault="006E4496" w:rsidP="00012E96">
      <w:pPr>
        <w:pStyle w:val="Prrafodelista"/>
        <w:numPr>
          <w:ilvl w:val="0"/>
          <w:numId w:val="2"/>
        </w:numPr>
        <w:jc w:val="both"/>
        <w:rPr>
          <w:rFonts w:ascii="Arial" w:hAnsi="Arial" w:cs="Arial"/>
          <w:b/>
          <w:i/>
          <w:iCs/>
          <w:sz w:val="27"/>
          <w:szCs w:val="27"/>
          <w:bdr w:val="none" w:sz="0" w:space="0" w:color="auto" w:frame="1"/>
        </w:rPr>
      </w:pPr>
      <w:r w:rsidRPr="00E97E5A">
        <w:rPr>
          <w:rFonts w:ascii="Arial" w:hAnsi="Arial" w:cs="Arial"/>
          <w:b/>
          <w:i/>
          <w:iCs/>
          <w:sz w:val="27"/>
          <w:szCs w:val="27"/>
          <w:bdr w:val="none" w:sz="0" w:space="0" w:color="auto" w:frame="1"/>
        </w:rPr>
        <w:t>La d</w:t>
      </w:r>
      <w:r w:rsidR="00012E96" w:rsidRPr="00E97E5A">
        <w:rPr>
          <w:rFonts w:ascii="Arial" w:hAnsi="Arial" w:cs="Arial"/>
          <w:b/>
          <w:i/>
          <w:iCs/>
          <w:sz w:val="27"/>
          <w:szCs w:val="27"/>
          <w:bdr w:val="none" w:sz="0" w:space="0" w:color="auto" w:frame="1"/>
        </w:rPr>
        <w:t xml:space="preserve">oble instancia en los procesos </w:t>
      </w:r>
      <w:r w:rsidRPr="00E97E5A">
        <w:rPr>
          <w:rFonts w:ascii="Arial" w:hAnsi="Arial" w:cs="Arial"/>
          <w:b/>
          <w:i/>
          <w:iCs/>
          <w:sz w:val="27"/>
          <w:szCs w:val="27"/>
          <w:bdr w:val="none" w:sz="0" w:space="0" w:color="auto" w:frame="1"/>
        </w:rPr>
        <w:t xml:space="preserve">de </w:t>
      </w:r>
      <w:r w:rsidR="00012E96" w:rsidRPr="00E97E5A">
        <w:rPr>
          <w:rFonts w:ascii="Arial" w:hAnsi="Arial" w:cs="Arial"/>
          <w:b/>
          <w:i/>
          <w:iCs/>
          <w:sz w:val="27"/>
          <w:szCs w:val="27"/>
          <w:bdr w:val="none" w:sz="0" w:space="0" w:color="auto" w:frame="1"/>
        </w:rPr>
        <w:t>pérdida de investidura</w:t>
      </w:r>
      <w:r w:rsidRPr="00E97E5A">
        <w:rPr>
          <w:rFonts w:ascii="Arial" w:hAnsi="Arial" w:cs="Arial"/>
          <w:b/>
          <w:i/>
          <w:iCs/>
          <w:sz w:val="27"/>
          <w:szCs w:val="27"/>
          <w:bdr w:val="none" w:sz="0" w:space="0" w:color="auto" w:frame="1"/>
        </w:rPr>
        <w:t xml:space="preserve"> de congresista</w:t>
      </w:r>
      <w:r w:rsidR="00B710F1" w:rsidRPr="00E97E5A">
        <w:rPr>
          <w:rFonts w:ascii="Arial" w:hAnsi="Arial" w:cs="Arial"/>
          <w:b/>
          <w:i/>
          <w:iCs/>
          <w:sz w:val="27"/>
          <w:szCs w:val="27"/>
          <w:bdr w:val="none" w:sz="0" w:space="0" w:color="auto" w:frame="1"/>
        </w:rPr>
        <w:t>s es un imperativo convencional</w:t>
      </w:r>
      <w:r w:rsidRPr="00E97E5A">
        <w:rPr>
          <w:rFonts w:ascii="Arial" w:hAnsi="Arial" w:cs="Arial"/>
          <w:b/>
          <w:i/>
          <w:iCs/>
          <w:sz w:val="27"/>
          <w:szCs w:val="27"/>
          <w:bdr w:val="none" w:sz="0" w:space="0" w:color="auto" w:frame="1"/>
        </w:rPr>
        <w:t xml:space="preserve"> </w:t>
      </w:r>
    </w:p>
    <w:p w:rsidR="00262A88" w:rsidRDefault="00262A88" w:rsidP="00262A88">
      <w:pPr>
        <w:ind w:left="360"/>
        <w:jc w:val="both"/>
        <w:rPr>
          <w:rFonts w:ascii="Arial" w:hAnsi="Arial" w:cs="Arial"/>
          <w:sz w:val="27"/>
          <w:szCs w:val="27"/>
          <w:shd w:val="clear" w:color="auto" w:fill="FFFFFF"/>
        </w:rPr>
      </w:pPr>
    </w:p>
    <w:p w:rsidR="00E97E5A" w:rsidRDefault="00262A88" w:rsidP="0099727F">
      <w:pPr>
        <w:spacing w:after="0" w:line="360" w:lineRule="auto"/>
        <w:ind w:left="357"/>
        <w:jc w:val="both"/>
        <w:rPr>
          <w:rFonts w:ascii="Arial" w:hAnsi="Arial" w:cs="Arial"/>
          <w:sz w:val="27"/>
          <w:szCs w:val="27"/>
          <w:shd w:val="clear" w:color="auto" w:fill="FFFFFF"/>
        </w:rPr>
      </w:pPr>
      <w:r w:rsidRPr="00141B3B">
        <w:rPr>
          <w:rFonts w:ascii="Arial" w:hAnsi="Arial" w:cs="Arial"/>
          <w:sz w:val="27"/>
          <w:szCs w:val="27"/>
          <w:shd w:val="clear" w:color="auto" w:fill="FFFFFF"/>
        </w:rPr>
        <w:t>El establecimiento de una segunda instancia para los congresistas en los procesos de pérdida de investidura</w:t>
      </w:r>
      <w:r w:rsidR="00B55A63" w:rsidRPr="00141B3B">
        <w:rPr>
          <w:rFonts w:ascii="Arial" w:hAnsi="Arial" w:cs="Arial"/>
          <w:sz w:val="27"/>
          <w:szCs w:val="27"/>
          <w:shd w:val="clear" w:color="auto" w:fill="FFFFFF"/>
        </w:rPr>
        <w:t xml:space="preserve"> que se ventilan ante el Consejo de Estado</w:t>
      </w:r>
      <w:r w:rsidRPr="00141B3B">
        <w:rPr>
          <w:rFonts w:ascii="Arial" w:hAnsi="Arial" w:cs="Arial"/>
          <w:sz w:val="27"/>
          <w:szCs w:val="27"/>
          <w:shd w:val="clear" w:color="auto" w:fill="FFFFFF"/>
        </w:rPr>
        <w:t xml:space="preserve"> es una medida que persigue un</w:t>
      </w:r>
      <w:r w:rsidR="00B55A63" w:rsidRPr="00141B3B">
        <w:rPr>
          <w:rFonts w:ascii="Arial" w:hAnsi="Arial" w:cs="Arial"/>
          <w:sz w:val="27"/>
          <w:szCs w:val="27"/>
          <w:shd w:val="clear" w:color="auto" w:fill="FFFFFF"/>
        </w:rPr>
        <w:t>os</w:t>
      </w:r>
      <w:r w:rsidRPr="00141B3B">
        <w:rPr>
          <w:rFonts w:ascii="Arial" w:hAnsi="Arial" w:cs="Arial"/>
          <w:sz w:val="27"/>
          <w:szCs w:val="27"/>
          <w:shd w:val="clear" w:color="auto" w:fill="FFFFFF"/>
        </w:rPr>
        <w:t xml:space="preserve"> fin</w:t>
      </w:r>
      <w:r w:rsidR="00B55A63" w:rsidRPr="00141B3B">
        <w:rPr>
          <w:rFonts w:ascii="Arial" w:hAnsi="Arial" w:cs="Arial"/>
          <w:sz w:val="27"/>
          <w:szCs w:val="27"/>
          <w:shd w:val="clear" w:color="auto" w:fill="FFFFFF"/>
        </w:rPr>
        <w:t>es</w:t>
      </w:r>
      <w:r w:rsidRPr="00141B3B">
        <w:rPr>
          <w:rFonts w:ascii="Arial" w:hAnsi="Arial" w:cs="Arial"/>
          <w:sz w:val="27"/>
          <w:szCs w:val="27"/>
          <w:shd w:val="clear" w:color="auto" w:fill="FFFFFF"/>
        </w:rPr>
        <w:t xml:space="preserve"> constitucional y </w:t>
      </w:r>
      <w:r w:rsidR="00B55A63" w:rsidRPr="00141B3B">
        <w:rPr>
          <w:rFonts w:ascii="Arial" w:hAnsi="Arial" w:cs="Arial"/>
          <w:sz w:val="27"/>
          <w:szCs w:val="27"/>
          <w:shd w:val="clear" w:color="auto" w:fill="FFFFFF"/>
        </w:rPr>
        <w:t xml:space="preserve">convencionalmente </w:t>
      </w:r>
      <w:r w:rsidRPr="00141B3B">
        <w:rPr>
          <w:rFonts w:ascii="Arial" w:hAnsi="Arial" w:cs="Arial"/>
          <w:sz w:val="27"/>
          <w:szCs w:val="27"/>
          <w:shd w:val="clear" w:color="auto" w:fill="FFFFFF"/>
        </w:rPr>
        <w:t>legítimo</w:t>
      </w:r>
      <w:r w:rsidR="00B55A63" w:rsidRPr="00141B3B">
        <w:rPr>
          <w:rFonts w:ascii="Arial" w:hAnsi="Arial" w:cs="Arial"/>
          <w:sz w:val="27"/>
          <w:szCs w:val="27"/>
          <w:shd w:val="clear" w:color="auto" w:fill="FFFFFF"/>
        </w:rPr>
        <w:t>s</w:t>
      </w:r>
      <w:r w:rsidRPr="00141B3B">
        <w:rPr>
          <w:rFonts w:ascii="Arial" w:hAnsi="Arial" w:cs="Arial"/>
          <w:sz w:val="27"/>
          <w:szCs w:val="27"/>
          <w:shd w:val="clear" w:color="auto" w:fill="FFFFFF"/>
        </w:rPr>
        <w:t xml:space="preserve">: </w:t>
      </w:r>
      <w:r w:rsidR="00E86F9B" w:rsidRPr="00141B3B">
        <w:rPr>
          <w:rFonts w:ascii="Arial" w:hAnsi="Arial" w:cs="Arial"/>
          <w:sz w:val="27"/>
          <w:szCs w:val="27"/>
          <w:shd w:val="clear" w:color="auto" w:fill="FFFFFF"/>
        </w:rPr>
        <w:t xml:space="preserve">(i) </w:t>
      </w:r>
      <w:r w:rsidR="00B55A63" w:rsidRPr="00141B3B">
        <w:rPr>
          <w:rFonts w:ascii="Arial" w:hAnsi="Arial" w:cs="Arial"/>
          <w:sz w:val="27"/>
          <w:szCs w:val="27"/>
          <w:shd w:val="clear" w:color="auto" w:fill="FFFFFF"/>
        </w:rPr>
        <w:t xml:space="preserve">ampliar la garantía del debido proceso </w:t>
      </w:r>
      <w:r w:rsidR="00902F4C" w:rsidRPr="00141B3B">
        <w:rPr>
          <w:rFonts w:ascii="Arial" w:hAnsi="Arial" w:cs="Arial"/>
          <w:sz w:val="27"/>
          <w:szCs w:val="27"/>
          <w:shd w:val="clear" w:color="auto" w:fill="FFFFFF"/>
        </w:rPr>
        <w:t xml:space="preserve">disciplinario </w:t>
      </w:r>
      <w:r w:rsidR="00B55A63" w:rsidRPr="00141B3B">
        <w:rPr>
          <w:rFonts w:ascii="Arial" w:hAnsi="Arial" w:cs="Arial"/>
          <w:sz w:val="27"/>
          <w:szCs w:val="27"/>
          <w:shd w:val="clear" w:color="auto" w:fill="FFFFFF"/>
        </w:rPr>
        <w:t xml:space="preserve">para los funcionarios que ejercen la función legislativa por mandato popular y </w:t>
      </w:r>
      <w:r w:rsidR="00E86F9B" w:rsidRPr="00141B3B">
        <w:rPr>
          <w:rFonts w:ascii="Arial" w:hAnsi="Arial" w:cs="Arial"/>
          <w:sz w:val="27"/>
          <w:szCs w:val="27"/>
          <w:shd w:val="clear" w:color="auto" w:fill="FFFFFF"/>
        </w:rPr>
        <w:t xml:space="preserve">(ii) </w:t>
      </w:r>
      <w:r w:rsidR="00B55A63" w:rsidRPr="00141B3B">
        <w:rPr>
          <w:rFonts w:ascii="Arial" w:hAnsi="Arial" w:cs="Arial"/>
          <w:sz w:val="27"/>
          <w:szCs w:val="27"/>
          <w:shd w:val="clear" w:color="auto" w:fill="FFFFFF"/>
        </w:rPr>
        <w:t xml:space="preserve">dotar a la administración de justicia de un procedimiento que ofrece mayor garantía de corrección en la aplicación del Derecho, en un proceso que tiene consecuencias de suma importancia para </w:t>
      </w:r>
      <w:r w:rsidR="00E86F9B" w:rsidRPr="00141B3B">
        <w:rPr>
          <w:rFonts w:ascii="Arial" w:hAnsi="Arial" w:cs="Arial"/>
          <w:sz w:val="27"/>
          <w:szCs w:val="27"/>
          <w:shd w:val="clear" w:color="auto" w:fill="FFFFFF"/>
        </w:rPr>
        <w:t xml:space="preserve">el sistema político. </w:t>
      </w:r>
    </w:p>
    <w:p w:rsidR="00E97E5A" w:rsidRDefault="00E97E5A" w:rsidP="0099727F">
      <w:pPr>
        <w:spacing w:after="0" w:line="360" w:lineRule="auto"/>
        <w:ind w:left="357"/>
        <w:jc w:val="both"/>
        <w:rPr>
          <w:rFonts w:ascii="Arial" w:hAnsi="Arial" w:cs="Arial"/>
          <w:sz w:val="27"/>
          <w:szCs w:val="27"/>
          <w:shd w:val="clear" w:color="auto" w:fill="FFFFFF"/>
        </w:rPr>
      </w:pPr>
    </w:p>
    <w:p w:rsidR="003C35C7" w:rsidRPr="00141B3B" w:rsidRDefault="00902F4C" w:rsidP="0099727F">
      <w:pPr>
        <w:spacing w:after="0" w:line="360" w:lineRule="auto"/>
        <w:ind w:left="357"/>
        <w:jc w:val="both"/>
        <w:rPr>
          <w:rFonts w:ascii="Arial" w:hAnsi="Arial" w:cs="Arial"/>
          <w:sz w:val="27"/>
          <w:szCs w:val="27"/>
          <w:shd w:val="clear" w:color="auto" w:fill="FFFFFF"/>
        </w:rPr>
      </w:pPr>
      <w:r w:rsidRPr="00141B3B">
        <w:rPr>
          <w:rFonts w:ascii="Arial" w:hAnsi="Arial" w:cs="Arial"/>
          <w:sz w:val="27"/>
          <w:szCs w:val="27"/>
          <w:shd w:val="clear" w:color="auto" w:fill="FFFFFF"/>
        </w:rPr>
        <w:t xml:space="preserve">Ambos fines, como se ha explicado, son coherentes con la Constitución Política y los instrumentos internacionales sobre derechos humanos suscritos por Colombia. </w:t>
      </w:r>
    </w:p>
    <w:p w:rsidR="00D831E3" w:rsidRPr="00141B3B" w:rsidRDefault="00D831E3" w:rsidP="0099727F">
      <w:pPr>
        <w:spacing w:after="0" w:line="360" w:lineRule="auto"/>
        <w:ind w:left="357"/>
        <w:jc w:val="both"/>
        <w:rPr>
          <w:rFonts w:ascii="Arial" w:hAnsi="Arial" w:cs="Arial"/>
          <w:sz w:val="27"/>
          <w:szCs w:val="27"/>
        </w:rPr>
      </w:pPr>
      <w:r w:rsidRPr="00141B3B">
        <w:rPr>
          <w:rFonts w:ascii="Arial" w:hAnsi="Arial" w:cs="Arial"/>
          <w:sz w:val="27"/>
          <w:szCs w:val="27"/>
          <w:shd w:val="clear" w:color="auto" w:fill="FFFFFF"/>
        </w:rPr>
        <w:t>En efecto, la Convención Americana sobre Derechos Humanos consagra en el artículo 8 las garantías judiciales y en su numeral 2 establece que t</w:t>
      </w:r>
      <w:r w:rsidRPr="00141B3B">
        <w:rPr>
          <w:rFonts w:ascii="Arial" w:hAnsi="Arial" w:cs="Arial"/>
          <w:sz w:val="27"/>
          <w:szCs w:val="27"/>
        </w:rPr>
        <w:t xml:space="preserve">oda persona inculpada de un delito tiene derecho a que se presuma su inocencia mientras no se </w:t>
      </w:r>
      <w:r w:rsidRPr="00141B3B">
        <w:rPr>
          <w:rFonts w:ascii="Arial" w:hAnsi="Arial" w:cs="Arial"/>
          <w:sz w:val="27"/>
          <w:szCs w:val="27"/>
        </w:rPr>
        <w:lastRenderedPageBreak/>
        <w:t xml:space="preserve">establezca legalmente su culpabilidad. Además de ello, </w:t>
      </w:r>
      <w:r w:rsidR="0013214B" w:rsidRPr="00141B3B">
        <w:rPr>
          <w:rFonts w:ascii="Arial" w:hAnsi="Arial" w:cs="Arial"/>
          <w:sz w:val="27"/>
          <w:szCs w:val="27"/>
        </w:rPr>
        <w:t xml:space="preserve">este instrumento internacional consagra unas garantías mínimas del procesado, entre otras, la de estar asistido por un abogado, no estar obligado a declarar contra sí mismo, ejercer la defensa a través de la interrogación de los testigos de cargo y </w:t>
      </w:r>
      <w:r w:rsidR="0013214B" w:rsidRPr="00141B3B">
        <w:rPr>
          <w:rFonts w:ascii="Arial" w:hAnsi="Arial" w:cs="Arial"/>
          <w:b/>
          <w:sz w:val="27"/>
          <w:szCs w:val="27"/>
        </w:rPr>
        <w:t>recurrir el fallo ante juez o tribunal superior</w:t>
      </w:r>
      <w:r w:rsidR="0013214B" w:rsidRPr="00141B3B">
        <w:rPr>
          <w:rFonts w:ascii="Arial" w:hAnsi="Arial" w:cs="Arial"/>
          <w:sz w:val="27"/>
          <w:szCs w:val="27"/>
        </w:rPr>
        <w:t xml:space="preserve">.   </w:t>
      </w:r>
    </w:p>
    <w:p w:rsidR="0099727F" w:rsidRPr="00141B3B" w:rsidRDefault="0099727F" w:rsidP="0099727F">
      <w:pPr>
        <w:spacing w:after="0" w:line="360" w:lineRule="auto"/>
        <w:ind w:left="357"/>
        <w:jc w:val="both"/>
        <w:rPr>
          <w:rFonts w:ascii="Arial" w:hAnsi="Arial" w:cs="Arial"/>
          <w:sz w:val="27"/>
          <w:szCs w:val="27"/>
        </w:rPr>
      </w:pPr>
    </w:p>
    <w:p w:rsidR="0082455C" w:rsidRPr="00141B3B" w:rsidRDefault="0013214B" w:rsidP="0099727F">
      <w:pPr>
        <w:spacing w:after="0" w:line="360" w:lineRule="auto"/>
        <w:ind w:left="360"/>
        <w:jc w:val="both"/>
        <w:rPr>
          <w:rFonts w:ascii="Arial" w:hAnsi="Arial" w:cs="Arial"/>
          <w:color w:val="000000"/>
          <w:sz w:val="27"/>
          <w:szCs w:val="27"/>
          <w:shd w:val="clear" w:color="auto" w:fill="FFFFFF"/>
        </w:rPr>
      </w:pPr>
      <w:r w:rsidRPr="00141B3B">
        <w:rPr>
          <w:rFonts w:ascii="Arial" w:hAnsi="Arial" w:cs="Arial"/>
          <w:sz w:val="27"/>
          <w:szCs w:val="27"/>
        </w:rPr>
        <w:t xml:space="preserve">A su turno, el Pacto </w:t>
      </w:r>
      <w:r w:rsidR="0082455C" w:rsidRPr="00141B3B">
        <w:rPr>
          <w:rFonts w:ascii="Arial" w:hAnsi="Arial" w:cs="Arial"/>
          <w:sz w:val="27"/>
          <w:szCs w:val="27"/>
        </w:rPr>
        <w:t>Internacional sobre Derechos Civiles y Políticos, aprobado por Colombia mediante la Ley 74 de 1968, en su artículo 14</w:t>
      </w:r>
      <w:r w:rsidR="006A1C0B" w:rsidRPr="00141B3B">
        <w:rPr>
          <w:rFonts w:ascii="Arial" w:hAnsi="Arial" w:cs="Arial"/>
          <w:sz w:val="27"/>
          <w:szCs w:val="27"/>
        </w:rPr>
        <w:t>.5</w:t>
      </w:r>
      <w:r w:rsidR="0082455C" w:rsidRPr="00141B3B">
        <w:rPr>
          <w:rFonts w:ascii="Arial" w:hAnsi="Arial" w:cs="Arial"/>
          <w:sz w:val="27"/>
          <w:szCs w:val="27"/>
        </w:rPr>
        <w:t>, sobre los derechos de las personas antes los tribunales y cortes de justicia, reitera la garantía de presentar impugnaciones contra el fallo condenatorio, en estos términos: “</w:t>
      </w:r>
      <w:r w:rsidR="0082455C" w:rsidRPr="00141B3B">
        <w:rPr>
          <w:rFonts w:ascii="Arial" w:hAnsi="Arial" w:cs="Arial"/>
          <w:i/>
          <w:color w:val="000000"/>
          <w:sz w:val="27"/>
          <w:szCs w:val="27"/>
          <w:shd w:val="clear" w:color="auto" w:fill="FFFFFF"/>
        </w:rPr>
        <w:t>Toda persona declarada culpable de un delito tendrá derecho a que el fallo condenatorio y la pena que se le haya impuesto sean sometidos a un tribunal superior, conforme a lo prescrito por la ley</w:t>
      </w:r>
      <w:r w:rsidR="0082455C" w:rsidRPr="00141B3B">
        <w:rPr>
          <w:rFonts w:ascii="Arial" w:hAnsi="Arial" w:cs="Arial"/>
          <w:color w:val="000000"/>
          <w:sz w:val="27"/>
          <w:szCs w:val="27"/>
          <w:shd w:val="clear" w:color="auto" w:fill="FFFFFF"/>
        </w:rPr>
        <w:t>”.</w:t>
      </w:r>
    </w:p>
    <w:p w:rsidR="0099727F" w:rsidRPr="00141B3B" w:rsidRDefault="0099727F" w:rsidP="0099727F">
      <w:pPr>
        <w:spacing w:after="0" w:line="360" w:lineRule="auto"/>
        <w:ind w:left="360"/>
        <w:jc w:val="both"/>
        <w:rPr>
          <w:rFonts w:ascii="Arial" w:hAnsi="Arial" w:cs="Arial"/>
          <w:color w:val="000000"/>
          <w:sz w:val="27"/>
          <w:szCs w:val="27"/>
          <w:shd w:val="clear" w:color="auto" w:fill="FFFFFF"/>
        </w:rPr>
      </w:pPr>
    </w:p>
    <w:p w:rsidR="004B3E3B" w:rsidRPr="00141B3B" w:rsidRDefault="004B3E3B" w:rsidP="0099727F">
      <w:pPr>
        <w:spacing w:after="0" w:line="360" w:lineRule="auto"/>
        <w:ind w:left="360"/>
        <w:jc w:val="both"/>
        <w:rPr>
          <w:rFonts w:ascii="Arial" w:hAnsi="Arial" w:cs="Arial"/>
          <w:sz w:val="27"/>
          <w:szCs w:val="27"/>
        </w:rPr>
      </w:pPr>
      <w:r w:rsidRPr="00141B3B">
        <w:rPr>
          <w:rFonts w:ascii="Arial" w:hAnsi="Arial" w:cs="Arial"/>
          <w:sz w:val="27"/>
          <w:szCs w:val="27"/>
        </w:rPr>
        <w:t xml:space="preserve">La Corte Interamericana de Derechos Humanos ha manifestado con particular sindéresis la necesidad de que esta garantía sea introducida </w:t>
      </w:r>
      <w:r w:rsidR="005153AB" w:rsidRPr="00141B3B">
        <w:rPr>
          <w:rFonts w:ascii="Arial" w:hAnsi="Arial" w:cs="Arial"/>
          <w:sz w:val="27"/>
          <w:szCs w:val="27"/>
        </w:rPr>
        <w:t>en el derecho interno de</w:t>
      </w:r>
      <w:r w:rsidRPr="00141B3B">
        <w:rPr>
          <w:rFonts w:ascii="Arial" w:hAnsi="Arial" w:cs="Arial"/>
          <w:sz w:val="27"/>
          <w:szCs w:val="27"/>
        </w:rPr>
        <w:t xml:space="preserve"> los Estados partes en la mayor medida de lo posible, </w:t>
      </w:r>
      <w:r w:rsidR="005153AB" w:rsidRPr="00141B3B">
        <w:rPr>
          <w:rFonts w:ascii="Arial" w:hAnsi="Arial" w:cs="Arial"/>
          <w:sz w:val="27"/>
          <w:szCs w:val="27"/>
        </w:rPr>
        <w:t xml:space="preserve">haciendo énfasis en la eficacia de los recursos contra las sentencias condenatorias: </w:t>
      </w:r>
    </w:p>
    <w:p w:rsidR="004B3E3B" w:rsidRPr="00141B3B" w:rsidRDefault="004B3E3B" w:rsidP="00E97E5A">
      <w:pPr>
        <w:spacing w:before="100" w:beforeAutospacing="1" w:after="100" w:afterAutospacing="1" w:line="240" w:lineRule="auto"/>
        <w:ind w:left="1416"/>
        <w:jc w:val="both"/>
        <w:rPr>
          <w:rFonts w:ascii="Arial" w:eastAsia="Batang" w:hAnsi="Arial" w:cs="Arial"/>
          <w:sz w:val="27"/>
          <w:szCs w:val="27"/>
          <w:u w:val="single"/>
        </w:rPr>
      </w:pPr>
      <w:r w:rsidRPr="00141B3B">
        <w:rPr>
          <w:rFonts w:ascii="Arial" w:eastAsia="Batang" w:hAnsi="Arial" w:cs="Arial"/>
          <w:sz w:val="27"/>
          <w:szCs w:val="27"/>
        </w:rPr>
        <w:t xml:space="preserve">El Tribunal ha señalado que el derecho de recurrir del fallo es una garantía primordial que se debe respetar en el marco del debido proceso legal, en aras de permitir </w:t>
      </w:r>
      <w:r w:rsidRPr="00141B3B">
        <w:rPr>
          <w:rFonts w:ascii="Arial" w:eastAsia="Batang" w:hAnsi="Arial" w:cs="Arial"/>
          <w:sz w:val="27"/>
          <w:szCs w:val="27"/>
        </w:rPr>
        <w:lastRenderedPageBreak/>
        <w:t>que una sentencia adversa pueda ser revisada por un juez o tribunal distinto y de superior jerarquía orgánica. La doble conformidad judicial, expresada mediante el acceso a un recurso que otorgue la posibilidad de una revisión íntegra del fallo condenatorio, confirma el fundamento y otorga mayor credibilidad al acto jurisdiccional del Estado, y al mismo tiempo brinda mayor seguridad y tutela a los derechos del condenado. Asimismo, la Corte ha indicado que, lo importante es que el recurso garantice la posibilidad de un examen in</w:t>
      </w:r>
      <w:r w:rsidR="005153AB" w:rsidRPr="00141B3B">
        <w:rPr>
          <w:rFonts w:ascii="Arial" w:eastAsia="Batang" w:hAnsi="Arial" w:cs="Arial"/>
          <w:sz w:val="27"/>
          <w:szCs w:val="27"/>
        </w:rPr>
        <w:t>tegral de la decisión recurrida.</w:t>
      </w:r>
      <w:r w:rsidRPr="00141B3B">
        <w:rPr>
          <w:rFonts w:ascii="Arial" w:eastAsia="Batang" w:hAnsi="Arial" w:cs="Arial"/>
          <w:sz w:val="27"/>
          <w:szCs w:val="27"/>
          <w:vertAlign w:val="superscript"/>
        </w:rPr>
        <w:footnoteReference w:id="11"/>
      </w:r>
    </w:p>
    <w:p w:rsidR="00E64E0B" w:rsidRPr="00141B3B" w:rsidRDefault="00E64E0B" w:rsidP="00262A88">
      <w:pPr>
        <w:ind w:left="360"/>
        <w:jc w:val="both"/>
        <w:rPr>
          <w:rFonts w:ascii="Arial" w:hAnsi="Arial" w:cs="Arial"/>
          <w:sz w:val="27"/>
          <w:szCs w:val="27"/>
        </w:rPr>
      </w:pPr>
    </w:p>
    <w:p w:rsidR="004B3E3B" w:rsidRPr="00141B3B" w:rsidRDefault="00E64E0B" w:rsidP="0099727F">
      <w:pPr>
        <w:spacing w:after="120" w:line="360" w:lineRule="auto"/>
        <w:ind w:left="357"/>
        <w:jc w:val="both"/>
        <w:rPr>
          <w:rFonts w:ascii="Arial" w:hAnsi="Arial" w:cs="Arial"/>
          <w:sz w:val="27"/>
          <w:szCs w:val="27"/>
        </w:rPr>
      </w:pPr>
      <w:r w:rsidRPr="00141B3B">
        <w:rPr>
          <w:rFonts w:ascii="Arial" w:hAnsi="Arial" w:cs="Arial"/>
          <w:sz w:val="27"/>
          <w:szCs w:val="27"/>
        </w:rPr>
        <w:t xml:space="preserve">Ahora bien, se podría afirmar, aunque sin razón, que la garantía de la doble instancia amparada por estos tratados internacionales se limita al ámbito del derecho penal, pues la literalidad de su texto así lo indica; sin embargo, la Corte Interamericana de Derechos Humanos, intérprete autorizado de la Convención, ha señalado que este derecho es extensible a las demás actuaciones judiciales, inclusive a los procedimientos administrativos: </w:t>
      </w:r>
    </w:p>
    <w:p w:rsidR="00BB43D7" w:rsidRPr="00141B3B" w:rsidRDefault="00BB43D7" w:rsidP="00E64E0B">
      <w:pPr>
        <w:spacing w:line="240" w:lineRule="auto"/>
        <w:ind w:left="705"/>
        <w:jc w:val="both"/>
        <w:rPr>
          <w:rFonts w:ascii="Arial" w:hAnsi="Arial" w:cs="Arial"/>
          <w:sz w:val="27"/>
          <w:szCs w:val="27"/>
        </w:rPr>
      </w:pPr>
    </w:p>
    <w:p w:rsidR="00E64E0B" w:rsidRPr="00141B3B" w:rsidRDefault="00E64E0B" w:rsidP="00E97E5A">
      <w:pPr>
        <w:spacing w:line="240" w:lineRule="auto"/>
        <w:ind w:left="1416"/>
        <w:jc w:val="both"/>
        <w:rPr>
          <w:rFonts w:ascii="Arial" w:hAnsi="Arial" w:cs="Arial"/>
          <w:sz w:val="27"/>
          <w:szCs w:val="27"/>
        </w:rPr>
      </w:pPr>
      <w:r w:rsidRPr="00141B3B">
        <w:rPr>
          <w:rFonts w:ascii="Arial" w:hAnsi="Arial" w:cs="Arial"/>
          <w:sz w:val="27"/>
          <w:szCs w:val="27"/>
        </w:rPr>
        <w:t xml:space="preserve">En materias que conciernen con la determinación de [los] derechos y obligaciones de orden civil, laboral, fiscal o de cualquier otro carácter el artículo 8 no especifica garantías mínimas, como lo hace en el numeral 2 al referirse a materias penales. Sin embargo, el concepto de debidas garantías se aplica también a esos órdenes y, por ende, en ese tipo de materias el </w:t>
      </w:r>
      <w:r w:rsidRPr="00141B3B">
        <w:rPr>
          <w:rFonts w:ascii="Arial" w:hAnsi="Arial" w:cs="Arial"/>
          <w:sz w:val="27"/>
          <w:szCs w:val="27"/>
        </w:rPr>
        <w:lastRenderedPageBreak/>
        <w:t>individuo tiene derecho también al debido proceso que se aplica en materia penal. Cabe señalar aquí que las circunstancias de un procedimiento particular, su significación, su carácter y su contexto en un sistema legal particular, son factores que fundamentan la determinación de si la representación legal es o no necesaria para el debido proceso</w:t>
      </w:r>
      <w:r w:rsidRPr="00141B3B">
        <w:rPr>
          <w:rStyle w:val="Refdenotaalpie"/>
          <w:rFonts w:ascii="Arial" w:hAnsi="Arial" w:cs="Arial"/>
          <w:sz w:val="27"/>
          <w:szCs w:val="27"/>
        </w:rPr>
        <w:footnoteReference w:id="12"/>
      </w:r>
      <w:r w:rsidRPr="00141B3B">
        <w:rPr>
          <w:rFonts w:ascii="Arial" w:hAnsi="Arial" w:cs="Arial"/>
          <w:sz w:val="27"/>
          <w:szCs w:val="27"/>
        </w:rPr>
        <w:t>.</w:t>
      </w:r>
    </w:p>
    <w:p w:rsidR="00E97E5A" w:rsidRDefault="00435890" w:rsidP="0099727F">
      <w:pPr>
        <w:spacing w:after="0" w:line="360" w:lineRule="auto"/>
        <w:ind w:left="357"/>
        <w:jc w:val="both"/>
        <w:rPr>
          <w:rFonts w:ascii="Arial" w:hAnsi="Arial" w:cs="Arial"/>
          <w:sz w:val="27"/>
          <w:szCs w:val="27"/>
        </w:rPr>
      </w:pPr>
      <w:r w:rsidRPr="00141B3B">
        <w:rPr>
          <w:rFonts w:ascii="Arial" w:hAnsi="Arial" w:cs="Arial"/>
          <w:sz w:val="27"/>
          <w:szCs w:val="27"/>
        </w:rPr>
        <w:t xml:space="preserve">Así las cosas, </w:t>
      </w:r>
      <w:r w:rsidR="001B6D42" w:rsidRPr="00141B3B">
        <w:rPr>
          <w:rFonts w:ascii="Arial" w:hAnsi="Arial" w:cs="Arial"/>
          <w:sz w:val="27"/>
          <w:szCs w:val="27"/>
        </w:rPr>
        <w:t>se hace necesario ajustar el ordenamiento jurídico colombiano a los mandatos de derecho internacional que representan compromisos adquiridos por el Estado</w:t>
      </w:r>
      <w:r w:rsidR="00180491" w:rsidRPr="00141B3B">
        <w:rPr>
          <w:rFonts w:ascii="Arial" w:hAnsi="Arial" w:cs="Arial"/>
          <w:sz w:val="27"/>
          <w:szCs w:val="27"/>
        </w:rPr>
        <w:t xml:space="preserve">, cuyos contenidos normativos se integran y prevalecen sobre el orden interno, en los términos del artículo 93 de la Constitución Política. </w:t>
      </w:r>
    </w:p>
    <w:p w:rsidR="00E97E5A" w:rsidRDefault="00E97E5A" w:rsidP="0099727F">
      <w:pPr>
        <w:spacing w:after="0" w:line="360" w:lineRule="auto"/>
        <w:ind w:left="357"/>
        <w:jc w:val="both"/>
        <w:rPr>
          <w:rFonts w:ascii="Arial" w:hAnsi="Arial" w:cs="Arial"/>
          <w:sz w:val="27"/>
          <w:szCs w:val="27"/>
        </w:rPr>
      </w:pPr>
    </w:p>
    <w:p w:rsidR="006E2962" w:rsidRPr="00141B3B" w:rsidRDefault="00627F21" w:rsidP="0099727F">
      <w:pPr>
        <w:spacing w:after="0" w:line="360" w:lineRule="auto"/>
        <w:ind w:left="357"/>
        <w:jc w:val="both"/>
        <w:rPr>
          <w:rFonts w:ascii="Arial" w:hAnsi="Arial" w:cs="Arial"/>
          <w:sz w:val="27"/>
          <w:szCs w:val="27"/>
        </w:rPr>
      </w:pPr>
      <w:r w:rsidRPr="00141B3B">
        <w:rPr>
          <w:rFonts w:ascii="Arial" w:hAnsi="Arial" w:cs="Arial"/>
          <w:sz w:val="27"/>
          <w:szCs w:val="27"/>
        </w:rPr>
        <w:t xml:space="preserve">Las nuevas corrientes de pensamiento jurídico se dirigen a la integración de los preceptos normativos del orden interno con los mecanismos de protección de derechos humanos que se han trazado a través de los compromisos internacionales, tarea asignada por antonomasia a los jueces a través del control de convencionalidad. </w:t>
      </w:r>
      <w:r w:rsidR="006E2962" w:rsidRPr="00141B3B">
        <w:rPr>
          <w:rFonts w:ascii="Arial" w:hAnsi="Arial" w:cs="Arial"/>
          <w:sz w:val="27"/>
          <w:szCs w:val="27"/>
        </w:rPr>
        <w:t xml:space="preserve">Sobre este mecanismo de control judicial, ha dicho la Corte Constitucional que:  </w:t>
      </w:r>
    </w:p>
    <w:p w:rsidR="00574D0A" w:rsidRDefault="00574D0A" w:rsidP="00E97E5A">
      <w:pPr>
        <w:spacing w:line="240" w:lineRule="auto"/>
        <w:ind w:left="1416"/>
        <w:jc w:val="both"/>
        <w:rPr>
          <w:rFonts w:ascii="Arial" w:hAnsi="Arial" w:cs="Arial"/>
          <w:sz w:val="27"/>
          <w:szCs w:val="27"/>
        </w:rPr>
      </w:pPr>
    </w:p>
    <w:p w:rsidR="00627F21" w:rsidRPr="00141B3B" w:rsidRDefault="006E2962" w:rsidP="00E97E5A">
      <w:pPr>
        <w:spacing w:line="240" w:lineRule="auto"/>
        <w:ind w:left="1416"/>
        <w:jc w:val="both"/>
        <w:rPr>
          <w:rFonts w:ascii="Arial" w:hAnsi="Arial" w:cs="Arial"/>
          <w:sz w:val="27"/>
          <w:szCs w:val="27"/>
        </w:rPr>
      </w:pPr>
      <w:r w:rsidRPr="00141B3B">
        <w:rPr>
          <w:rFonts w:ascii="Arial" w:hAnsi="Arial" w:cs="Arial"/>
          <w:sz w:val="27"/>
          <w:szCs w:val="27"/>
        </w:rPr>
        <w:t>[C]</w:t>
      </w:r>
      <w:proofErr w:type="spellStart"/>
      <w:r w:rsidRPr="00141B3B">
        <w:rPr>
          <w:rFonts w:ascii="Arial" w:hAnsi="Arial" w:cs="Arial"/>
          <w:sz w:val="27"/>
          <w:szCs w:val="27"/>
        </w:rPr>
        <w:t>onsiste</w:t>
      </w:r>
      <w:proofErr w:type="spellEnd"/>
      <w:r w:rsidRPr="00141B3B">
        <w:rPr>
          <w:rFonts w:ascii="Arial" w:hAnsi="Arial" w:cs="Arial"/>
          <w:sz w:val="27"/>
          <w:szCs w:val="27"/>
        </w:rPr>
        <w:t xml:space="preserve"> en verificar la adecuación del derecho interno conforme las obligaciones establecidas para el Estado en un tratado internacional</w:t>
      </w:r>
      <w:r w:rsidRPr="00141B3B">
        <w:rPr>
          <w:rFonts w:ascii="Arial" w:hAnsi="Arial" w:cs="Arial"/>
          <w:i/>
          <w:sz w:val="27"/>
          <w:szCs w:val="27"/>
        </w:rPr>
        <w:t xml:space="preserve">. </w:t>
      </w:r>
      <w:r w:rsidRPr="00141B3B">
        <w:rPr>
          <w:rFonts w:ascii="Arial" w:hAnsi="Arial" w:cs="Arial"/>
          <w:sz w:val="27"/>
          <w:szCs w:val="27"/>
        </w:rPr>
        <w:t>V</w:t>
      </w:r>
      <w:r w:rsidR="00627F21" w:rsidRPr="00141B3B">
        <w:rPr>
          <w:rFonts w:ascii="Arial" w:hAnsi="Arial" w:cs="Arial"/>
          <w:sz w:val="27"/>
          <w:szCs w:val="27"/>
        </w:rPr>
        <w:t xml:space="preserve">isto de este modo, el control de convencionalidad es una exigencia del principio consuetudinario de derecho internacional según el cual el derecho interno no es excusa para el </w:t>
      </w:r>
      <w:r w:rsidR="00627F21" w:rsidRPr="00141B3B">
        <w:rPr>
          <w:rFonts w:ascii="Arial" w:hAnsi="Arial" w:cs="Arial"/>
          <w:sz w:val="27"/>
          <w:szCs w:val="27"/>
        </w:rPr>
        <w:lastRenderedPageBreak/>
        <w:t xml:space="preserve">cumplimiento de los acuerdos internacionales. En tal sentido, la figura del control de convencionalidad es expresión de los principios de buena fe y </w:t>
      </w:r>
      <w:r w:rsidR="00627F21" w:rsidRPr="00141B3B">
        <w:rPr>
          <w:rFonts w:ascii="Arial" w:hAnsi="Arial" w:cs="Arial"/>
          <w:i/>
          <w:sz w:val="27"/>
          <w:szCs w:val="27"/>
        </w:rPr>
        <w:t xml:space="preserve">pacta </w:t>
      </w:r>
      <w:proofErr w:type="spellStart"/>
      <w:r w:rsidR="00627F21" w:rsidRPr="00141B3B">
        <w:rPr>
          <w:rFonts w:ascii="Arial" w:hAnsi="Arial" w:cs="Arial"/>
          <w:i/>
          <w:sz w:val="27"/>
          <w:szCs w:val="27"/>
        </w:rPr>
        <w:t>sunt</w:t>
      </w:r>
      <w:proofErr w:type="spellEnd"/>
      <w:r w:rsidR="00627F21" w:rsidRPr="00141B3B">
        <w:rPr>
          <w:rFonts w:ascii="Arial" w:hAnsi="Arial" w:cs="Arial"/>
          <w:i/>
          <w:sz w:val="27"/>
          <w:szCs w:val="27"/>
        </w:rPr>
        <w:t xml:space="preserve"> </w:t>
      </w:r>
      <w:proofErr w:type="spellStart"/>
      <w:r w:rsidR="00627F21" w:rsidRPr="00141B3B">
        <w:rPr>
          <w:rFonts w:ascii="Arial" w:hAnsi="Arial" w:cs="Arial"/>
          <w:i/>
          <w:sz w:val="27"/>
          <w:szCs w:val="27"/>
        </w:rPr>
        <w:t>servanda</w:t>
      </w:r>
      <w:proofErr w:type="spellEnd"/>
      <w:r w:rsidR="00627F21" w:rsidRPr="00141B3B">
        <w:rPr>
          <w:rFonts w:ascii="Arial" w:hAnsi="Arial" w:cs="Arial"/>
          <w:sz w:val="27"/>
          <w:szCs w:val="27"/>
        </w:rPr>
        <w:t>, particularmente desarrollada en el terreno de los derechos humanos, como puede desprenderse de la jurisprudencia de la Corte Interamericana de Derechos Humanos</w:t>
      </w:r>
      <w:r w:rsidRPr="00141B3B">
        <w:rPr>
          <w:rStyle w:val="Refdenotaalpie"/>
          <w:rFonts w:ascii="Arial" w:hAnsi="Arial" w:cs="Arial"/>
          <w:sz w:val="27"/>
          <w:szCs w:val="27"/>
        </w:rPr>
        <w:footnoteReference w:id="13"/>
      </w:r>
      <w:r w:rsidRPr="00141B3B">
        <w:rPr>
          <w:rFonts w:ascii="Arial" w:hAnsi="Arial" w:cs="Arial"/>
          <w:sz w:val="27"/>
          <w:szCs w:val="27"/>
        </w:rPr>
        <w:t xml:space="preserve">. </w:t>
      </w:r>
    </w:p>
    <w:p w:rsidR="00627F21" w:rsidRPr="00141B3B" w:rsidRDefault="00627F21" w:rsidP="001B6D42">
      <w:pPr>
        <w:ind w:left="360"/>
        <w:jc w:val="both"/>
        <w:rPr>
          <w:rFonts w:ascii="Arial" w:hAnsi="Arial" w:cs="Arial"/>
          <w:sz w:val="27"/>
          <w:szCs w:val="27"/>
        </w:rPr>
      </w:pPr>
    </w:p>
    <w:p w:rsidR="00180491" w:rsidRPr="00141B3B" w:rsidRDefault="00180491" w:rsidP="0099727F">
      <w:pPr>
        <w:spacing w:after="0" w:line="360" w:lineRule="auto"/>
        <w:ind w:left="357"/>
        <w:jc w:val="both"/>
        <w:rPr>
          <w:rFonts w:ascii="Arial" w:hAnsi="Arial" w:cs="Arial"/>
          <w:sz w:val="27"/>
          <w:szCs w:val="27"/>
        </w:rPr>
      </w:pPr>
      <w:r w:rsidRPr="00141B3B">
        <w:rPr>
          <w:rFonts w:ascii="Arial" w:hAnsi="Arial" w:cs="Arial"/>
          <w:sz w:val="27"/>
          <w:szCs w:val="27"/>
        </w:rPr>
        <w:t xml:space="preserve">En estos términos, </w:t>
      </w:r>
      <w:r w:rsidR="00D8003A" w:rsidRPr="00141B3B">
        <w:rPr>
          <w:rFonts w:ascii="Arial" w:hAnsi="Arial" w:cs="Arial"/>
          <w:sz w:val="27"/>
          <w:szCs w:val="27"/>
        </w:rPr>
        <w:t xml:space="preserve">a pesar de que el control de convencionalidad es un control judicial, se propone que el Congreso de la República ejerza también este tipo de control desde la producción del Derecho, al adaptar las instituciones jurídicas y los preceptos legales a los mandatos del derecho internacional de los derechos humanos. </w:t>
      </w:r>
      <w:r w:rsidRPr="00141B3B">
        <w:rPr>
          <w:rFonts w:ascii="Arial" w:hAnsi="Arial" w:cs="Arial"/>
          <w:sz w:val="27"/>
          <w:szCs w:val="27"/>
        </w:rPr>
        <w:t xml:space="preserve"> </w:t>
      </w:r>
    </w:p>
    <w:p w:rsidR="0099727F" w:rsidRPr="00141B3B" w:rsidRDefault="0099727F" w:rsidP="0099727F">
      <w:pPr>
        <w:spacing w:after="0" w:line="360" w:lineRule="auto"/>
        <w:ind w:left="357"/>
        <w:jc w:val="both"/>
        <w:rPr>
          <w:rFonts w:ascii="Arial" w:hAnsi="Arial" w:cs="Arial"/>
          <w:sz w:val="27"/>
          <w:szCs w:val="27"/>
        </w:rPr>
      </w:pPr>
    </w:p>
    <w:p w:rsidR="00D8003A" w:rsidRPr="00141B3B" w:rsidRDefault="00D8003A" w:rsidP="0099727F">
      <w:pPr>
        <w:spacing w:after="0" w:line="360" w:lineRule="auto"/>
        <w:ind w:left="357"/>
        <w:jc w:val="both"/>
        <w:rPr>
          <w:rFonts w:ascii="Arial" w:hAnsi="Arial" w:cs="Arial"/>
          <w:sz w:val="27"/>
          <w:szCs w:val="27"/>
        </w:rPr>
      </w:pPr>
      <w:r w:rsidRPr="00141B3B">
        <w:rPr>
          <w:rFonts w:ascii="Arial" w:hAnsi="Arial" w:cs="Arial"/>
          <w:sz w:val="27"/>
          <w:szCs w:val="27"/>
        </w:rPr>
        <w:t>Así pues, para el logro de</w:t>
      </w:r>
      <w:r w:rsidR="00685ED5" w:rsidRPr="00141B3B">
        <w:rPr>
          <w:rFonts w:ascii="Arial" w:hAnsi="Arial" w:cs="Arial"/>
          <w:sz w:val="27"/>
          <w:szCs w:val="27"/>
        </w:rPr>
        <w:t xml:space="preserve"> los</w:t>
      </w:r>
      <w:r w:rsidRPr="00141B3B">
        <w:rPr>
          <w:rFonts w:ascii="Arial" w:hAnsi="Arial" w:cs="Arial"/>
          <w:sz w:val="27"/>
          <w:szCs w:val="27"/>
        </w:rPr>
        <w:t xml:space="preserve"> fines constitucionalmente legítimos reseñados párrafos arriba, consagrar la segunda instancia para los congresistas en los procesos de pérdida de investidura juzgados por el máximo tribunal de lo contencioso administrativo</w:t>
      </w:r>
      <w:r w:rsidR="00251C5E" w:rsidRPr="00141B3B">
        <w:rPr>
          <w:rFonts w:ascii="Arial" w:hAnsi="Arial" w:cs="Arial"/>
          <w:sz w:val="27"/>
          <w:szCs w:val="27"/>
        </w:rPr>
        <w:t xml:space="preserve">, es una medida adecuada, porque tiene la capacidad de ser exitosa en la </w:t>
      </w:r>
      <w:r w:rsidR="006E4496" w:rsidRPr="00141B3B">
        <w:rPr>
          <w:rFonts w:ascii="Arial" w:hAnsi="Arial" w:cs="Arial"/>
          <w:sz w:val="27"/>
          <w:szCs w:val="27"/>
        </w:rPr>
        <w:t xml:space="preserve">radicalización de la garantía del debido proceso para los congresistas y establecer un sistema eficiente y eficaz de control de la decisión judicial en estos procesos. </w:t>
      </w:r>
    </w:p>
    <w:p w:rsidR="0099727F" w:rsidRPr="00141B3B" w:rsidRDefault="0099727F" w:rsidP="0099727F">
      <w:pPr>
        <w:spacing w:after="0" w:line="360" w:lineRule="auto"/>
        <w:ind w:left="357"/>
        <w:jc w:val="both"/>
        <w:rPr>
          <w:color w:val="2D2D2D"/>
          <w:sz w:val="27"/>
          <w:szCs w:val="27"/>
          <w:shd w:val="clear" w:color="auto" w:fill="FFFFFF"/>
        </w:rPr>
      </w:pPr>
    </w:p>
    <w:p w:rsidR="009462D0" w:rsidRPr="00141B3B" w:rsidRDefault="00015897" w:rsidP="0099727F">
      <w:pPr>
        <w:spacing w:after="0" w:line="360" w:lineRule="auto"/>
        <w:ind w:left="357"/>
        <w:jc w:val="both"/>
        <w:rPr>
          <w:rFonts w:ascii="Arial" w:hAnsi="Arial" w:cs="Arial"/>
          <w:sz w:val="27"/>
          <w:szCs w:val="27"/>
        </w:rPr>
      </w:pPr>
      <w:r w:rsidRPr="00141B3B">
        <w:rPr>
          <w:rFonts w:ascii="Arial" w:hAnsi="Arial" w:cs="Arial"/>
          <w:sz w:val="27"/>
          <w:szCs w:val="27"/>
        </w:rPr>
        <w:lastRenderedPageBreak/>
        <w:t>A su vez, e</w:t>
      </w:r>
      <w:r w:rsidR="006E4496" w:rsidRPr="00141B3B">
        <w:rPr>
          <w:rFonts w:ascii="Arial" w:hAnsi="Arial" w:cs="Arial"/>
          <w:sz w:val="27"/>
          <w:szCs w:val="27"/>
        </w:rPr>
        <w:t xml:space="preserve">s una medida necesaria, porque es la única forma de desarrollar el mandato contenido </w:t>
      </w:r>
      <w:r w:rsidR="006A1C0B" w:rsidRPr="00141B3B">
        <w:rPr>
          <w:rFonts w:ascii="Arial" w:hAnsi="Arial" w:cs="Arial"/>
          <w:sz w:val="27"/>
          <w:szCs w:val="27"/>
        </w:rPr>
        <w:t xml:space="preserve">en el literal h del numeral 2° del artículo 8 de la Convención Americana de Derechos Humanos y el numeral 5 del artículo 14 del Pacto Internacional de Derechos Civiles y Políticos, pues si bien el artículo 17 de la Ley 144 de 1994 consagró un recurso extraordinario especial de revisión de </w:t>
      </w:r>
      <w:r w:rsidR="00DF6C32" w:rsidRPr="00141B3B">
        <w:rPr>
          <w:rFonts w:ascii="Arial" w:hAnsi="Arial" w:cs="Arial"/>
          <w:sz w:val="27"/>
          <w:szCs w:val="27"/>
        </w:rPr>
        <w:t>la sentencia que levant</w:t>
      </w:r>
      <w:r w:rsidR="00E20231" w:rsidRPr="00141B3B">
        <w:rPr>
          <w:rFonts w:ascii="Arial" w:hAnsi="Arial" w:cs="Arial"/>
          <w:sz w:val="27"/>
          <w:szCs w:val="27"/>
        </w:rPr>
        <w:t>e</w:t>
      </w:r>
      <w:r w:rsidR="00DF6C32" w:rsidRPr="00141B3B">
        <w:rPr>
          <w:rFonts w:ascii="Arial" w:hAnsi="Arial" w:cs="Arial"/>
          <w:sz w:val="27"/>
          <w:szCs w:val="27"/>
        </w:rPr>
        <w:t xml:space="preserve"> la investidura </w:t>
      </w:r>
      <w:r w:rsidRPr="00141B3B">
        <w:rPr>
          <w:rFonts w:ascii="Arial" w:hAnsi="Arial" w:cs="Arial"/>
          <w:sz w:val="27"/>
          <w:szCs w:val="27"/>
        </w:rPr>
        <w:t>de</w:t>
      </w:r>
      <w:r w:rsidR="00DF6C32" w:rsidRPr="00141B3B">
        <w:rPr>
          <w:rFonts w:ascii="Arial" w:hAnsi="Arial" w:cs="Arial"/>
          <w:sz w:val="27"/>
          <w:szCs w:val="27"/>
        </w:rPr>
        <w:t xml:space="preserve"> un parlamentario, lo cierto es que ese mecanismo no desarrolla a cabalidad la garantía de la doble instancia, porque su procedencia está limitada a precisas causales contempladas por el artículo 188 del Código Contencioso Administrativo</w:t>
      </w:r>
      <w:r w:rsidR="00E20231" w:rsidRPr="00141B3B">
        <w:rPr>
          <w:rFonts w:ascii="Arial" w:hAnsi="Arial" w:cs="Arial"/>
          <w:sz w:val="27"/>
          <w:szCs w:val="27"/>
        </w:rPr>
        <w:t xml:space="preserve"> </w:t>
      </w:r>
      <w:r w:rsidR="00DF6C32" w:rsidRPr="00141B3B">
        <w:rPr>
          <w:rFonts w:ascii="Arial" w:hAnsi="Arial" w:cs="Arial"/>
          <w:sz w:val="27"/>
          <w:szCs w:val="27"/>
        </w:rPr>
        <w:t xml:space="preserve">y a la violación del debido proceso, aspectos que no se compadecen con todas las inconformidades que pueden ser planteadas frente a un fallo de primera instancia a través de un recurso de apelación. </w:t>
      </w:r>
    </w:p>
    <w:p w:rsidR="0099727F" w:rsidRPr="00141B3B" w:rsidRDefault="0099727F" w:rsidP="0099727F">
      <w:pPr>
        <w:spacing w:after="0" w:line="360" w:lineRule="auto"/>
        <w:ind w:left="357"/>
        <w:jc w:val="both"/>
        <w:rPr>
          <w:rFonts w:ascii="Arial" w:hAnsi="Arial" w:cs="Arial"/>
          <w:sz w:val="27"/>
          <w:szCs w:val="27"/>
        </w:rPr>
      </w:pPr>
    </w:p>
    <w:p w:rsidR="00F25B3F" w:rsidRPr="00141B3B" w:rsidRDefault="00F25B3F" w:rsidP="0099727F">
      <w:pPr>
        <w:spacing w:after="0" w:line="360" w:lineRule="auto"/>
        <w:ind w:left="357"/>
        <w:jc w:val="both"/>
        <w:rPr>
          <w:rFonts w:ascii="Arial" w:hAnsi="Arial" w:cs="Arial"/>
          <w:sz w:val="27"/>
          <w:szCs w:val="27"/>
        </w:rPr>
      </w:pPr>
      <w:r w:rsidRPr="00141B3B">
        <w:rPr>
          <w:rFonts w:ascii="Arial" w:hAnsi="Arial" w:cs="Arial"/>
          <w:sz w:val="27"/>
          <w:szCs w:val="27"/>
        </w:rPr>
        <w:t>En conclusión, lo que se propone es el establecimiento de una garantía de doble vía, de un lado, la corrección de la decisión judicial, valor de gran importancia para el Estado de Derecho, máxime si se tiene en cuenta la gravedad de la sanción que acarrea el proceso d</w:t>
      </w:r>
      <w:r w:rsidR="002F2626" w:rsidRPr="00141B3B">
        <w:rPr>
          <w:rFonts w:ascii="Arial" w:hAnsi="Arial" w:cs="Arial"/>
          <w:sz w:val="27"/>
          <w:szCs w:val="27"/>
        </w:rPr>
        <w:t>e</w:t>
      </w:r>
      <w:r w:rsidRPr="00141B3B">
        <w:rPr>
          <w:rFonts w:ascii="Arial" w:hAnsi="Arial" w:cs="Arial"/>
          <w:sz w:val="27"/>
          <w:szCs w:val="27"/>
        </w:rPr>
        <w:t xml:space="preserve"> pérdida de investidura, y de otro lado, el establecimiento de plenas garantías para quienes desempeñan la función legislativa y se ven enfrentados a un proceso de consecuencias </w:t>
      </w:r>
      <w:r w:rsidR="0099727F" w:rsidRPr="00141B3B">
        <w:rPr>
          <w:rFonts w:ascii="Arial" w:hAnsi="Arial" w:cs="Arial"/>
          <w:sz w:val="27"/>
          <w:szCs w:val="27"/>
        </w:rPr>
        <w:t>definitivas</w:t>
      </w:r>
      <w:r w:rsidRPr="00141B3B">
        <w:rPr>
          <w:rFonts w:ascii="Arial" w:hAnsi="Arial" w:cs="Arial"/>
          <w:sz w:val="27"/>
          <w:szCs w:val="27"/>
        </w:rPr>
        <w:t xml:space="preserve"> para el </w:t>
      </w:r>
      <w:r w:rsidR="0099727F" w:rsidRPr="00141B3B">
        <w:rPr>
          <w:rFonts w:ascii="Arial" w:hAnsi="Arial" w:cs="Arial"/>
          <w:sz w:val="27"/>
          <w:szCs w:val="27"/>
        </w:rPr>
        <w:t>ejercicio</w:t>
      </w:r>
      <w:r w:rsidRPr="00141B3B">
        <w:rPr>
          <w:rFonts w:ascii="Arial" w:hAnsi="Arial" w:cs="Arial"/>
          <w:sz w:val="27"/>
          <w:szCs w:val="27"/>
        </w:rPr>
        <w:t xml:space="preserve"> de sus derechos políticos, con alto impacto en la dinámica de funcionamiento de los partidos políticos y de la misma función legislativa.  </w:t>
      </w:r>
    </w:p>
    <w:p w:rsidR="00B710F1" w:rsidRDefault="00B710F1" w:rsidP="00B710F1">
      <w:pPr>
        <w:pStyle w:val="Prrafodelista"/>
        <w:jc w:val="both"/>
        <w:rPr>
          <w:rFonts w:ascii="Arial" w:hAnsi="Arial" w:cs="Arial"/>
          <w:i/>
          <w:sz w:val="27"/>
          <w:szCs w:val="27"/>
        </w:rPr>
      </w:pPr>
    </w:p>
    <w:p w:rsidR="00574D0A" w:rsidRPr="00141B3B" w:rsidRDefault="00574D0A" w:rsidP="00B710F1">
      <w:pPr>
        <w:pStyle w:val="Prrafodelista"/>
        <w:jc w:val="both"/>
        <w:rPr>
          <w:rFonts w:ascii="Arial" w:hAnsi="Arial" w:cs="Arial"/>
          <w:i/>
          <w:sz w:val="27"/>
          <w:szCs w:val="27"/>
        </w:rPr>
      </w:pPr>
    </w:p>
    <w:p w:rsidR="008F3E1D" w:rsidRPr="00E97E5A" w:rsidRDefault="008F3E1D" w:rsidP="008F3E1D">
      <w:pPr>
        <w:pStyle w:val="Prrafodelista"/>
        <w:numPr>
          <w:ilvl w:val="0"/>
          <w:numId w:val="2"/>
        </w:numPr>
        <w:jc w:val="both"/>
        <w:rPr>
          <w:rFonts w:ascii="Arial" w:hAnsi="Arial" w:cs="Arial"/>
          <w:b/>
          <w:i/>
          <w:sz w:val="27"/>
          <w:szCs w:val="27"/>
        </w:rPr>
      </w:pPr>
      <w:r w:rsidRPr="00E97E5A">
        <w:rPr>
          <w:rFonts w:ascii="Arial" w:hAnsi="Arial" w:cs="Arial"/>
          <w:b/>
          <w:i/>
          <w:sz w:val="27"/>
          <w:szCs w:val="27"/>
        </w:rPr>
        <w:t xml:space="preserve">Trámite de ley ordinaria </w:t>
      </w:r>
      <w:r w:rsidR="00FC4494" w:rsidRPr="00E97E5A">
        <w:rPr>
          <w:rFonts w:ascii="Arial" w:hAnsi="Arial" w:cs="Arial"/>
          <w:b/>
          <w:i/>
          <w:sz w:val="27"/>
          <w:szCs w:val="27"/>
        </w:rPr>
        <w:t>y otras modificaciones</w:t>
      </w:r>
    </w:p>
    <w:p w:rsidR="00381718" w:rsidRDefault="00381718" w:rsidP="00381718">
      <w:pPr>
        <w:pStyle w:val="Prrafodelista"/>
        <w:jc w:val="both"/>
        <w:rPr>
          <w:rFonts w:ascii="Arial" w:hAnsi="Arial" w:cs="Arial"/>
          <w:i/>
          <w:sz w:val="27"/>
          <w:szCs w:val="27"/>
        </w:rPr>
      </w:pPr>
    </w:p>
    <w:p w:rsidR="00E97E5A" w:rsidRPr="00141B3B" w:rsidRDefault="00E97E5A" w:rsidP="00381718">
      <w:pPr>
        <w:pStyle w:val="Prrafodelista"/>
        <w:jc w:val="both"/>
        <w:rPr>
          <w:rFonts w:ascii="Arial" w:hAnsi="Arial" w:cs="Arial"/>
          <w:i/>
          <w:sz w:val="27"/>
          <w:szCs w:val="27"/>
        </w:rPr>
      </w:pPr>
    </w:p>
    <w:p w:rsidR="00E97E5A" w:rsidRDefault="006A1C0B" w:rsidP="0099727F">
      <w:pPr>
        <w:spacing w:after="0" w:line="360" w:lineRule="auto"/>
        <w:ind w:left="357"/>
        <w:jc w:val="both"/>
        <w:rPr>
          <w:rFonts w:ascii="Arial" w:hAnsi="Arial" w:cs="Arial"/>
          <w:sz w:val="27"/>
          <w:szCs w:val="27"/>
        </w:rPr>
      </w:pPr>
      <w:r w:rsidRPr="00141B3B">
        <w:rPr>
          <w:rFonts w:ascii="Arial" w:hAnsi="Arial" w:cs="Arial"/>
          <w:sz w:val="27"/>
          <w:szCs w:val="27"/>
        </w:rPr>
        <w:t xml:space="preserve">La </w:t>
      </w:r>
      <w:r w:rsidR="00F25B3F" w:rsidRPr="00141B3B">
        <w:rPr>
          <w:rFonts w:ascii="Arial" w:hAnsi="Arial" w:cs="Arial"/>
          <w:sz w:val="27"/>
          <w:szCs w:val="27"/>
        </w:rPr>
        <w:t xml:space="preserve">reforma legislativa propuesta se trata de una modificación de algunos aspectos puntuales del proceso regulado por la Ley 144 de 1994, sin que se pretenda trastocar todo el andamiaje procesal que ya existe, pues se considera que hasta el momento su funcionamiento es óptimo. </w:t>
      </w:r>
    </w:p>
    <w:p w:rsidR="00E97E5A" w:rsidRDefault="00E97E5A" w:rsidP="0099727F">
      <w:pPr>
        <w:spacing w:after="0" w:line="360" w:lineRule="auto"/>
        <w:ind w:left="357"/>
        <w:jc w:val="both"/>
        <w:rPr>
          <w:rFonts w:ascii="Arial" w:hAnsi="Arial" w:cs="Arial"/>
          <w:sz w:val="27"/>
          <w:szCs w:val="27"/>
        </w:rPr>
      </w:pPr>
    </w:p>
    <w:p w:rsidR="0099727F" w:rsidRPr="00141B3B" w:rsidRDefault="00E201B4" w:rsidP="0099727F">
      <w:pPr>
        <w:spacing w:after="0" w:line="360" w:lineRule="auto"/>
        <w:ind w:left="357"/>
        <w:jc w:val="both"/>
        <w:rPr>
          <w:rFonts w:ascii="Arial" w:hAnsi="Arial" w:cs="Arial"/>
          <w:sz w:val="27"/>
          <w:szCs w:val="27"/>
        </w:rPr>
      </w:pPr>
      <w:r w:rsidRPr="00141B3B">
        <w:rPr>
          <w:rFonts w:ascii="Arial" w:hAnsi="Arial" w:cs="Arial"/>
          <w:sz w:val="27"/>
          <w:szCs w:val="27"/>
        </w:rPr>
        <w:t>Se estima necesario poner de presente las modificaciones que será introducidas por este proyecto de ley:</w:t>
      </w:r>
    </w:p>
    <w:p w:rsidR="00FC4494" w:rsidRPr="00141B3B" w:rsidRDefault="00FC4494" w:rsidP="0099727F">
      <w:pPr>
        <w:spacing w:after="0" w:line="360" w:lineRule="auto"/>
        <w:ind w:left="357"/>
        <w:jc w:val="both"/>
        <w:rPr>
          <w:rFonts w:ascii="Arial" w:hAnsi="Arial" w:cs="Arial"/>
          <w:sz w:val="27"/>
          <w:szCs w:val="27"/>
        </w:rPr>
      </w:pPr>
    </w:p>
    <w:p w:rsidR="00E97E5A" w:rsidRDefault="00DE2491" w:rsidP="00BA05AC">
      <w:pPr>
        <w:spacing w:after="0" w:line="360" w:lineRule="auto"/>
        <w:ind w:left="357"/>
        <w:jc w:val="both"/>
        <w:rPr>
          <w:rFonts w:ascii="Arial" w:hAnsi="Arial" w:cs="Arial"/>
          <w:sz w:val="27"/>
          <w:szCs w:val="27"/>
        </w:rPr>
      </w:pPr>
      <w:r>
        <w:rPr>
          <w:rFonts w:ascii="Arial" w:hAnsi="Arial" w:cs="Arial"/>
          <w:sz w:val="27"/>
          <w:szCs w:val="27"/>
        </w:rPr>
        <w:t>4</w:t>
      </w:r>
      <w:r w:rsidR="00E201B4" w:rsidRPr="00141B3B">
        <w:rPr>
          <w:rFonts w:ascii="Arial" w:hAnsi="Arial" w:cs="Arial"/>
          <w:sz w:val="27"/>
          <w:szCs w:val="27"/>
        </w:rPr>
        <w:t>.1. La</w:t>
      </w:r>
      <w:r w:rsidR="000778DE" w:rsidRPr="00141B3B">
        <w:rPr>
          <w:rFonts w:ascii="Arial" w:hAnsi="Arial" w:cs="Arial"/>
          <w:sz w:val="27"/>
          <w:szCs w:val="27"/>
        </w:rPr>
        <w:t xml:space="preserve"> pérdida de investidura seguirá siendo decretada por el Consejo de Estado y las dos instancias se tramitarán </w:t>
      </w:r>
      <w:r w:rsidR="00FC4494" w:rsidRPr="00141B3B">
        <w:rPr>
          <w:rFonts w:ascii="Arial" w:hAnsi="Arial" w:cs="Arial"/>
          <w:sz w:val="27"/>
          <w:szCs w:val="27"/>
        </w:rPr>
        <w:t>en el interior de esa</w:t>
      </w:r>
      <w:r w:rsidR="000778DE" w:rsidRPr="00141B3B">
        <w:rPr>
          <w:rFonts w:ascii="Arial" w:hAnsi="Arial" w:cs="Arial"/>
          <w:sz w:val="27"/>
          <w:szCs w:val="27"/>
        </w:rPr>
        <w:t xml:space="preserve"> Cor</w:t>
      </w:r>
      <w:r w:rsidR="00381718" w:rsidRPr="00141B3B">
        <w:rPr>
          <w:rFonts w:ascii="Arial" w:hAnsi="Arial" w:cs="Arial"/>
          <w:sz w:val="27"/>
          <w:szCs w:val="27"/>
        </w:rPr>
        <w:t xml:space="preserve">poración. </w:t>
      </w:r>
    </w:p>
    <w:p w:rsidR="00E97E5A" w:rsidRDefault="00E97E5A" w:rsidP="00BA05AC">
      <w:pPr>
        <w:spacing w:after="0" w:line="360" w:lineRule="auto"/>
        <w:ind w:left="357"/>
        <w:jc w:val="both"/>
        <w:rPr>
          <w:rFonts w:ascii="Arial" w:hAnsi="Arial" w:cs="Arial"/>
          <w:sz w:val="27"/>
          <w:szCs w:val="27"/>
        </w:rPr>
      </w:pPr>
    </w:p>
    <w:p w:rsidR="00E97E5A" w:rsidRDefault="00381718" w:rsidP="00BA05AC">
      <w:pPr>
        <w:spacing w:after="0" w:line="360" w:lineRule="auto"/>
        <w:ind w:left="357"/>
        <w:jc w:val="both"/>
        <w:rPr>
          <w:rFonts w:ascii="Arial" w:hAnsi="Arial" w:cs="Arial"/>
          <w:sz w:val="27"/>
          <w:szCs w:val="27"/>
        </w:rPr>
      </w:pPr>
      <w:r w:rsidRPr="00141B3B">
        <w:rPr>
          <w:rFonts w:ascii="Arial" w:hAnsi="Arial" w:cs="Arial"/>
          <w:sz w:val="27"/>
          <w:szCs w:val="27"/>
        </w:rPr>
        <w:t>Así, la primera instancia será radicada en la Sección Quinta del Consejo de Estado, como la sección esp</w:t>
      </w:r>
      <w:r w:rsidR="00E97E5A">
        <w:rPr>
          <w:rFonts w:ascii="Arial" w:hAnsi="Arial" w:cs="Arial"/>
          <w:sz w:val="27"/>
          <w:szCs w:val="27"/>
        </w:rPr>
        <w:t xml:space="preserve">ecializada en temas electorales. Esta Sección dictará la sentencia, que tendrá un término de 10 días para interponer y sustentar el recurso de apelación, y lo concederá si se reúnen los requisitos de la ley, para que la Sala Plena de lo Contencioso Administrativo </w:t>
      </w:r>
      <w:r w:rsidR="00A961A4">
        <w:rPr>
          <w:rFonts w:ascii="Arial" w:hAnsi="Arial" w:cs="Arial"/>
          <w:sz w:val="27"/>
          <w:szCs w:val="27"/>
        </w:rPr>
        <w:t xml:space="preserve">resuelva el recurso de alzada. </w:t>
      </w:r>
    </w:p>
    <w:p w:rsidR="00A961A4" w:rsidRDefault="00A961A4" w:rsidP="00BA05AC">
      <w:pPr>
        <w:spacing w:after="0" w:line="360" w:lineRule="auto"/>
        <w:ind w:left="357"/>
        <w:jc w:val="both"/>
        <w:rPr>
          <w:rFonts w:ascii="Arial" w:hAnsi="Arial" w:cs="Arial"/>
          <w:sz w:val="27"/>
          <w:szCs w:val="27"/>
        </w:rPr>
      </w:pPr>
    </w:p>
    <w:p w:rsidR="00574D0A" w:rsidRDefault="00574D0A" w:rsidP="00BA05AC">
      <w:pPr>
        <w:spacing w:after="0" w:line="360" w:lineRule="auto"/>
        <w:ind w:left="357"/>
        <w:jc w:val="both"/>
        <w:rPr>
          <w:rFonts w:ascii="Arial" w:hAnsi="Arial" w:cs="Arial"/>
          <w:sz w:val="27"/>
          <w:szCs w:val="27"/>
        </w:rPr>
      </w:pPr>
    </w:p>
    <w:p w:rsidR="00A961A4" w:rsidRDefault="00A961A4" w:rsidP="00BA05AC">
      <w:pPr>
        <w:spacing w:after="0" w:line="360" w:lineRule="auto"/>
        <w:ind w:left="357"/>
        <w:jc w:val="both"/>
        <w:rPr>
          <w:rFonts w:ascii="Arial" w:hAnsi="Arial" w:cs="Arial"/>
          <w:sz w:val="27"/>
          <w:szCs w:val="27"/>
        </w:rPr>
      </w:pPr>
      <w:r>
        <w:rPr>
          <w:rFonts w:ascii="Arial" w:hAnsi="Arial" w:cs="Arial"/>
          <w:sz w:val="27"/>
          <w:szCs w:val="27"/>
        </w:rPr>
        <w:t>En estos términos, no es necesario reformar el artículo 184 de la Constitución Política, porque el Consejo de Estado seguirá siendo el juez competente para conocer la pérdida de investidura de los congresistas.</w:t>
      </w:r>
    </w:p>
    <w:p w:rsidR="00E97E5A" w:rsidRDefault="00E97E5A" w:rsidP="00BA05AC">
      <w:pPr>
        <w:spacing w:after="0" w:line="360" w:lineRule="auto"/>
        <w:ind w:left="357"/>
        <w:jc w:val="both"/>
        <w:rPr>
          <w:rFonts w:ascii="Arial" w:hAnsi="Arial" w:cs="Arial"/>
          <w:sz w:val="27"/>
          <w:szCs w:val="27"/>
        </w:rPr>
      </w:pPr>
    </w:p>
    <w:p w:rsidR="009E4927" w:rsidRPr="00141B3B" w:rsidRDefault="00DE2491" w:rsidP="009E4927">
      <w:pPr>
        <w:spacing w:after="0" w:line="360" w:lineRule="auto"/>
        <w:ind w:left="357"/>
        <w:jc w:val="both"/>
        <w:rPr>
          <w:rFonts w:ascii="Arial" w:hAnsi="Arial" w:cs="Arial"/>
          <w:sz w:val="27"/>
          <w:szCs w:val="27"/>
        </w:rPr>
      </w:pPr>
      <w:r>
        <w:rPr>
          <w:rFonts w:ascii="Arial" w:hAnsi="Arial" w:cs="Arial"/>
          <w:sz w:val="27"/>
          <w:szCs w:val="27"/>
        </w:rPr>
        <w:t>4</w:t>
      </w:r>
      <w:r w:rsidR="00E201B4" w:rsidRPr="00141B3B">
        <w:rPr>
          <w:rFonts w:ascii="Arial" w:hAnsi="Arial" w:cs="Arial"/>
          <w:sz w:val="27"/>
          <w:szCs w:val="27"/>
        </w:rPr>
        <w:t>.</w:t>
      </w:r>
      <w:r w:rsidR="00E97E5A">
        <w:rPr>
          <w:rFonts w:ascii="Arial" w:hAnsi="Arial" w:cs="Arial"/>
          <w:sz w:val="27"/>
          <w:szCs w:val="27"/>
        </w:rPr>
        <w:t>2</w:t>
      </w:r>
      <w:r w:rsidR="00E201B4" w:rsidRPr="00141B3B">
        <w:rPr>
          <w:rFonts w:ascii="Arial" w:hAnsi="Arial" w:cs="Arial"/>
          <w:sz w:val="27"/>
          <w:szCs w:val="27"/>
        </w:rPr>
        <w:t xml:space="preserve">. </w:t>
      </w:r>
      <w:r w:rsidR="009E4927" w:rsidRPr="00141B3B">
        <w:rPr>
          <w:rFonts w:ascii="Arial" w:hAnsi="Arial" w:cs="Arial"/>
          <w:sz w:val="27"/>
          <w:szCs w:val="27"/>
        </w:rPr>
        <w:t xml:space="preserve">El artículo 6 de la Ley 144 de 1994 (7 en el proyecto), sobre la presentación de la solicitud, se reproducirá </w:t>
      </w:r>
      <w:proofErr w:type="gramStart"/>
      <w:r w:rsidR="009E4927" w:rsidRPr="00141B3B">
        <w:rPr>
          <w:rFonts w:ascii="Arial" w:hAnsi="Arial" w:cs="Arial"/>
          <w:sz w:val="27"/>
          <w:szCs w:val="27"/>
        </w:rPr>
        <w:t>íntegramente</w:t>
      </w:r>
      <w:proofErr w:type="gramEnd"/>
      <w:r w:rsidR="009E4927" w:rsidRPr="00141B3B">
        <w:rPr>
          <w:rFonts w:ascii="Arial" w:hAnsi="Arial" w:cs="Arial"/>
          <w:sz w:val="27"/>
          <w:szCs w:val="27"/>
        </w:rPr>
        <w:t xml:space="preserve"> pero con la modificación proveniente de la </w:t>
      </w:r>
      <w:proofErr w:type="spellStart"/>
      <w:r w:rsidR="009E4927" w:rsidRPr="00141B3B">
        <w:rPr>
          <w:rFonts w:ascii="Arial" w:hAnsi="Arial" w:cs="Arial"/>
          <w:sz w:val="27"/>
          <w:szCs w:val="27"/>
        </w:rPr>
        <w:t>exequibilidad</w:t>
      </w:r>
      <w:proofErr w:type="spellEnd"/>
      <w:r w:rsidR="009E4927" w:rsidRPr="00141B3B">
        <w:rPr>
          <w:rFonts w:ascii="Arial" w:hAnsi="Arial" w:cs="Arial"/>
          <w:sz w:val="27"/>
          <w:szCs w:val="27"/>
        </w:rPr>
        <w:t xml:space="preserve"> condicionada hecha por la Corte Constitucional en la sentencia C-237 de 2012, en el sentido de que la presentación personal puede hacerse ante juez o notario a elección del demandante. </w:t>
      </w:r>
    </w:p>
    <w:p w:rsidR="00F25B3F" w:rsidRPr="00141B3B" w:rsidRDefault="00F25B3F" w:rsidP="00BA05AC">
      <w:pPr>
        <w:spacing w:after="0" w:line="360" w:lineRule="auto"/>
        <w:ind w:left="357"/>
        <w:jc w:val="both"/>
        <w:rPr>
          <w:rFonts w:ascii="Arial" w:hAnsi="Arial" w:cs="Arial"/>
          <w:sz w:val="27"/>
          <w:szCs w:val="27"/>
        </w:rPr>
      </w:pPr>
    </w:p>
    <w:p w:rsidR="0093218B" w:rsidRPr="00141B3B" w:rsidRDefault="00DE2491" w:rsidP="004021E3">
      <w:pPr>
        <w:spacing w:after="0" w:line="360" w:lineRule="auto"/>
        <w:ind w:left="357"/>
        <w:jc w:val="both"/>
        <w:rPr>
          <w:rFonts w:ascii="Arial" w:hAnsi="Arial" w:cs="Arial"/>
          <w:sz w:val="27"/>
          <w:szCs w:val="27"/>
        </w:rPr>
      </w:pPr>
      <w:r>
        <w:rPr>
          <w:rFonts w:ascii="Arial" w:hAnsi="Arial" w:cs="Arial"/>
          <w:sz w:val="27"/>
          <w:szCs w:val="27"/>
        </w:rPr>
        <w:t>4</w:t>
      </w:r>
      <w:r w:rsidR="0093218B" w:rsidRPr="00141B3B">
        <w:rPr>
          <w:rFonts w:ascii="Arial" w:hAnsi="Arial" w:cs="Arial"/>
          <w:sz w:val="27"/>
          <w:szCs w:val="27"/>
        </w:rPr>
        <w:t>.</w:t>
      </w:r>
      <w:r w:rsidR="00E97E5A">
        <w:rPr>
          <w:rFonts w:ascii="Arial" w:hAnsi="Arial" w:cs="Arial"/>
          <w:sz w:val="27"/>
          <w:szCs w:val="27"/>
        </w:rPr>
        <w:t>3</w:t>
      </w:r>
      <w:r w:rsidR="009E4927" w:rsidRPr="00141B3B">
        <w:rPr>
          <w:rFonts w:ascii="Arial" w:hAnsi="Arial" w:cs="Arial"/>
          <w:sz w:val="27"/>
          <w:szCs w:val="27"/>
        </w:rPr>
        <w:t>.</w:t>
      </w:r>
      <w:r w:rsidR="0093218B" w:rsidRPr="00141B3B">
        <w:rPr>
          <w:rFonts w:ascii="Arial" w:hAnsi="Arial" w:cs="Arial"/>
          <w:sz w:val="27"/>
          <w:szCs w:val="27"/>
        </w:rPr>
        <w:t xml:space="preserve"> </w:t>
      </w:r>
      <w:r w:rsidR="009E4927" w:rsidRPr="00141B3B">
        <w:rPr>
          <w:rFonts w:ascii="Arial" w:hAnsi="Arial" w:cs="Arial"/>
          <w:sz w:val="27"/>
          <w:szCs w:val="27"/>
        </w:rPr>
        <w:t xml:space="preserve">Se establecerá un término de caducidad de la acción, con la finalidad de dar seguridad jurídica y no dejar situaciones políticas indeterminadas en el tiempo. El término de 5 años contados a partir del hecho generador de la causal de pérdida de investidura es un término razonable para que se pueda ejercer el control ciudadano. </w:t>
      </w:r>
    </w:p>
    <w:p w:rsidR="009E4927" w:rsidRPr="00141B3B" w:rsidRDefault="009E4927" w:rsidP="004021E3">
      <w:pPr>
        <w:spacing w:after="0" w:line="360" w:lineRule="auto"/>
        <w:ind w:left="357"/>
        <w:jc w:val="both"/>
        <w:rPr>
          <w:rFonts w:ascii="Arial" w:hAnsi="Arial" w:cs="Arial"/>
          <w:sz w:val="27"/>
          <w:szCs w:val="27"/>
        </w:rPr>
      </w:pPr>
    </w:p>
    <w:p w:rsidR="00574D0A" w:rsidRDefault="00574D0A" w:rsidP="004021E3">
      <w:pPr>
        <w:spacing w:after="0" w:line="360" w:lineRule="auto"/>
        <w:ind w:left="357"/>
        <w:jc w:val="both"/>
        <w:rPr>
          <w:rFonts w:ascii="Arial" w:hAnsi="Arial" w:cs="Arial"/>
          <w:sz w:val="27"/>
          <w:szCs w:val="27"/>
        </w:rPr>
      </w:pPr>
    </w:p>
    <w:p w:rsidR="009E4927" w:rsidRPr="00141B3B" w:rsidRDefault="00DE2491" w:rsidP="004021E3">
      <w:pPr>
        <w:spacing w:after="0" w:line="360" w:lineRule="auto"/>
        <w:ind w:left="357"/>
        <w:jc w:val="both"/>
        <w:rPr>
          <w:rFonts w:ascii="Arial" w:hAnsi="Arial" w:cs="Arial"/>
          <w:sz w:val="27"/>
          <w:szCs w:val="27"/>
        </w:rPr>
      </w:pPr>
      <w:r>
        <w:rPr>
          <w:rFonts w:ascii="Arial" w:hAnsi="Arial" w:cs="Arial"/>
          <w:sz w:val="27"/>
          <w:szCs w:val="27"/>
        </w:rPr>
        <w:t>4</w:t>
      </w:r>
      <w:r w:rsidR="0093218B" w:rsidRPr="00141B3B">
        <w:rPr>
          <w:rFonts w:ascii="Arial" w:hAnsi="Arial" w:cs="Arial"/>
          <w:sz w:val="27"/>
          <w:szCs w:val="27"/>
        </w:rPr>
        <w:t>.</w:t>
      </w:r>
      <w:r w:rsidR="00E97E5A">
        <w:rPr>
          <w:rFonts w:ascii="Arial" w:hAnsi="Arial" w:cs="Arial"/>
          <w:sz w:val="27"/>
          <w:szCs w:val="27"/>
        </w:rPr>
        <w:t>4</w:t>
      </w:r>
      <w:r w:rsidR="009E4927" w:rsidRPr="00141B3B">
        <w:rPr>
          <w:rFonts w:ascii="Arial" w:hAnsi="Arial" w:cs="Arial"/>
          <w:sz w:val="27"/>
          <w:szCs w:val="27"/>
        </w:rPr>
        <w:t>.</w:t>
      </w:r>
      <w:r w:rsidR="0093218B" w:rsidRPr="00141B3B">
        <w:rPr>
          <w:rFonts w:ascii="Arial" w:hAnsi="Arial" w:cs="Arial"/>
          <w:sz w:val="27"/>
          <w:szCs w:val="27"/>
        </w:rPr>
        <w:t xml:space="preserve"> </w:t>
      </w:r>
      <w:r w:rsidR="009E4927" w:rsidRPr="00141B3B">
        <w:rPr>
          <w:rFonts w:ascii="Arial" w:hAnsi="Arial" w:cs="Arial"/>
          <w:sz w:val="27"/>
          <w:szCs w:val="27"/>
        </w:rPr>
        <w:t xml:space="preserve">El artículo 9 del proyecto reproduce el artículo 8 de la Ley 144 de 1994, sin embargo, se adiciona un parágrafo para consagrar el carácter facultativo del congresista para actuar a través de apoderado judicial. </w:t>
      </w:r>
    </w:p>
    <w:p w:rsidR="009E4927" w:rsidRPr="00141B3B" w:rsidRDefault="009E4927" w:rsidP="004021E3">
      <w:pPr>
        <w:spacing w:after="0" w:line="360" w:lineRule="auto"/>
        <w:ind w:left="357"/>
        <w:jc w:val="both"/>
        <w:rPr>
          <w:rFonts w:ascii="Arial" w:hAnsi="Arial" w:cs="Arial"/>
          <w:sz w:val="27"/>
          <w:szCs w:val="27"/>
        </w:rPr>
      </w:pPr>
    </w:p>
    <w:p w:rsidR="009E4927" w:rsidRPr="00141B3B" w:rsidRDefault="00DE2491" w:rsidP="009E4927">
      <w:pPr>
        <w:spacing w:after="0" w:line="360" w:lineRule="auto"/>
        <w:ind w:left="357"/>
        <w:jc w:val="both"/>
        <w:rPr>
          <w:rFonts w:ascii="Arial" w:hAnsi="Arial" w:cs="Arial"/>
          <w:sz w:val="27"/>
          <w:szCs w:val="27"/>
        </w:rPr>
      </w:pPr>
      <w:r>
        <w:rPr>
          <w:rFonts w:ascii="Arial" w:hAnsi="Arial" w:cs="Arial"/>
          <w:sz w:val="27"/>
          <w:szCs w:val="27"/>
        </w:rPr>
        <w:t>4</w:t>
      </w:r>
      <w:r w:rsidR="009E4927" w:rsidRPr="00141B3B">
        <w:rPr>
          <w:rFonts w:ascii="Arial" w:hAnsi="Arial" w:cs="Arial"/>
          <w:sz w:val="27"/>
          <w:szCs w:val="27"/>
        </w:rPr>
        <w:t>.</w:t>
      </w:r>
      <w:r w:rsidR="00E97E5A">
        <w:rPr>
          <w:rFonts w:ascii="Arial" w:hAnsi="Arial" w:cs="Arial"/>
          <w:sz w:val="27"/>
          <w:szCs w:val="27"/>
        </w:rPr>
        <w:t>5</w:t>
      </w:r>
      <w:r w:rsidR="009E4927" w:rsidRPr="00141B3B">
        <w:rPr>
          <w:rFonts w:ascii="Arial" w:hAnsi="Arial" w:cs="Arial"/>
          <w:sz w:val="27"/>
          <w:szCs w:val="27"/>
        </w:rPr>
        <w:t xml:space="preserve"> El artículo 12 del proyecto conserva la audiencia pública en los mismos términos del artículo 11 la Ley 144 de 1994, pero esta será practicada por la Sección Quinta, solo en primera instancia.</w:t>
      </w:r>
    </w:p>
    <w:p w:rsidR="009E4927" w:rsidRPr="00141B3B" w:rsidRDefault="009E4927" w:rsidP="009E4927">
      <w:pPr>
        <w:spacing w:after="0" w:line="360" w:lineRule="auto"/>
        <w:ind w:left="357"/>
        <w:jc w:val="both"/>
        <w:rPr>
          <w:rFonts w:ascii="Arial" w:hAnsi="Arial" w:cs="Arial"/>
          <w:sz w:val="27"/>
          <w:szCs w:val="27"/>
        </w:rPr>
      </w:pPr>
    </w:p>
    <w:p w:rsidR="00CE2009" w:rsidRDefault="00DE2491" w:rsidP="000E7288">
      <w:pPr>
        <w:spacing w:after="0" w:line="360" w:lineRule="auto"/>
        <w:ind w:left="357"/>
        <w:jc w:val="both"/>
        <w:rPr>
          <w:rFonts w:ascii="Arial" w:hAnsi="Arial" w:cs="Arial"/>
          <w:sz w:val="27"/>
          <w:szCs w:val="27"/>
        </w:rPr>
      </w:pPr>
      <w:r>
        <w:rPr>
          <w:rFonts w:ascii="Arial" w:hAnsi="Arial" w:cs="Arial"/>
          <w:sz w:val="27"/>
          <w:szCs w:val="27"/>
        </w:rPr>
        <w:t>4</w:t>
      </w:r>
      <w:r w:rsidR="009E4927" w:rsidRPr="00141B3B">
        <w:rPr>
          <w:rFonts w:ascii="Arial" w:hAnsi="Arial" w:cs="Arial"/>
          <w:sz w:val="27"/>
          <w:szCs w:val="27"/>
        </w:rPr>
        <w:t>.</w:t>
      </w:r>
      <w:r w:rsidR="00E97E5A">
        <w:rPr>
          <w:rFonts w:ascii="Arial" w:hAnsi="Arial" w:cs="Arial"/>
          <w:sz w:val="27"/>
          <w:szCs w:val="27"/>
        </w:rPr>
        <w:t>6</w:t>
      </w:r>
      <w:r w:rsidR="009E4927" w:rsidRPr="00141B3B">
        <w:rPr>
          <w:rFonts w:ascii="Arial" w:hAnsi="Arial" w:cs="Arial"/>
          <w:sz w:val="27"/>
          <w:szCs w:val="27"/>
        </w:rPr>
        <w:t xml:space="preserve"> El artículo 14 del proyecto regula el trámite del recurso de apelación de la sentencia de primera instancia. Se conceden 10 d</w:t>
      </w:r>
      <w:r w:rsidR="000E7288" w:rsidRPr="00141B3B">
        <w:rPr>
          <w:rFonts w:ascii="Arial" w:hAnsi="Arial" w:cs="Arial"/>
          <w:sz w:val="27"/>
          <w:szCs w:val="27"/>
        </w:rPr>
        <w:t>ías para interponer el recurso y</w:t>
      </w:r>
      <w:r w:rsidR="009E4927" w:rsidRPr="00141B3B">
        <w:rPr>
          <w:rFonts w:ascii="Arial" w:hAnsi="Arial" w:cs="Arial"/>
          <w:sz w:val="27"/>
          <w:szCs w:val="27"/>
        </w:rPr>
        <w:t xml:space="preserve"> </w:t>
      </w:r>
      <w:r w:rsidR="000E7288" w:rsidRPr="00141B3B">
        <w:rPr>
          <w:rFonts w:ascii="Arial" w:hAnsi="Arial" w:cs="Arial"/>
          <w:sz w:val="27"/>
          <w:szCs w:val="27"/>
        </w:rPr>
        <w:t>la procedencia de las pruebas en segunda instancia se regularán por lo dispuesto en el artículo 212 de la Ley 1437 de 2011.</w:t>
      </w:r>
    </w:p>
    <w:p w:rsidR="00CE2009" w:rsidRDefault="00CE2009" w:rsidP="000E7288">
      <w:pPr>
        <w:spacing w:after="0" w:line="360" w:lineRule="auto"/>
        <w:ind w:left="357"/>
        <w:jc w:val="both"/>
        <w:rPr>
          <w:rFonts w:ascii="Arial" w:hAnsi="Arial" w:cs="Arial"/>
          <w:sz w:val="27"/>
          <w:szCs w:val="27"/>
        </w:rPr>
      </w:pPr>
    </w:p>
    <w:p w:rsidR="000E7288" w:rsidRPr="00141B3B" w:rsidRDefault="00DE2491" w:rsidP="000E7288">
      <w:pPr>
        <w:spacing w:after="0" w:line="360" w:lineRule="auto"/>
        <w:ind w:left="357"/>
        <w:jc w:val="both"/>
        <w:rPr>
          <w:rFonts w:ascii="Arial" w:hAnsi="Arial" w:cs="Arial"/>
          <w:sz w:val="27"/>
          <w:szCs w:val="27"/>
        </w:rPr>
      </w:pPr>
      <w:r>
        <w:rPr>
          <w:rFonts w:ascii="Arial" w:hAnsi="Arial" w:cs="Arial"/>
          <w:sz w:val="27"/>
          <w:szCs w:val="27"/>
        </w:rPr>
        <w:t>4</w:t>
      </w:r>
      <w:r w:rsidR="000E7288" w:rsidRPr="00141B3B">
        <w:rPr>
          <w:rFonts w:ascii="Arial" w:hAnsi="Arial" w:cs="Arial"/>
          <w:sz w:val="27"/>
          <w:szCs w:val="27"/>
        </w:rPr>
        <w:t>.</w:t>
      </w:r>
      <w:r w:rsidR="00E97E5A">
        <w:rPr>
          <w:rFonts w:ascii="Arial" w:hAnsi="Arial" w:cs="Arial"/>
          <w:sz w:val="27"/>
          <w:szCs w:val="27"/>
        </w:rPr>
        <w:t xml:space="preserve">7 </w:t>
      </w:r>
      <w:r w:rsidR="000E7288" w:rsidRPr="00141B3B">
        <w:rPr>
          <w:rFonts w:ascii="Arial" w:hAnsi="Arial" w:cs="Arial"/>
          <w:sz w:val="27"/>
          <w:szCs w:val="27"/>
        </w:rPr>
        <w:t xml:space="preserve">El artículo 19 del proyecto modifica el artículo 17 de la Ley 144 de 1994, para reducir el término de caducidad del recurso especial de revisión, el cual pasará de 5 años a 2 años. Es un término razonable para intentar este recurso, teniendo en cuenta que se busca establecer la segunda instancia. Asimismo, las causales por las que procede se limitan a las establecidas en el artículo 250 de la Ley 1437 de 2011. </w:t>
      </w:r>
    </w:p>
    <w:p w:rsidR="000E7288" w:rsidRPr="00141B3B" w:rsidRDefault="000E7288" w:rsidP="009E4927">
      <w:pPr>
        <w:spacing w:after="0" w:line="360" w:lineRule="auto"/>
        <w:ind w:left="357"/>
        <w:jc w:val="both"/>
        <w:rPr>
          <w:rFonts w:ascii="Arial" w:hAnsi="Arial" w:cs="Arial"/>
          <w:sz w:val="27"/>
          <w:szCs w:val="27"/>
        </w:rPr>
      </w:pPr>
    </w:p>
    <w:p w:rsidR="00DE2491" w:rsidRDefault="00DE2491" w:rsidP="00C725D0">
      <w:pPr>
        <w:spacing w:after="0" w:line="360" w:lineRule="auto"/>
        <w:ind w:left="357"/>
        <w:jc w:val="both"/>
        <w:rPr>
          <w:rFonts w:ascii="Arial" w:hAnsi="Arial" w:cs="Arial"/>
          <w:sz w:val="27"/>
          <w:szCs w:val="27"/>
        </w:rPr>
      </w:pPr>
      <w:r>
        <w:rPr>
          <w:rFonts w:ascii="Arial" w:hAnsi="Arial" w:cs="Arial"/>
          <w:sz w:val="27"/>
          <w:szCs w:val="27"/>
        </w:rPr>
        <w:t>4</w:t>
      </w:r>
      <w:r w:rsidR="000E7288" w:rsidRPr="00141B3B">
        <w:rPr>
          <w:rFonts w:ascii="Arial" w:hAnsi="Arial" w:cs="Arial"/>
          <w:sz w:val="27"/>
          <w:szCs w:val="27"/>
        </w:rPr>
        <w:t>.</w:t>
      </w:r>
      <w:r w:rsidR="00E97E5A">
        <w:rPr>
          <w:rFonts w:ascii="Arial" w:hAnsi="Arial" w:cs="Arial"/>
          <w:sz w:val="27"/>
          <w:szCs w:val="27"/>
        </w:rPr>
        <w:t>8</w:t>
      </w:r>
      <w:r w:rsidR="000E7288" w:rsidRPr="00141B3B">
        <w:rPr>
          <w:rFonts w:ascii="Arial" w:hAnsi="Arial" w:cs="Arial"/>
          <w:sz w:val="27"/>
          <w:szCs w:val="27"/>
        </w:rPr>
        <w:t>. El artículo 21 del proyecto</w:t>
      </w:r>
      <w:r w:rsidR="00B710F1" w:rsidRPr="00141B3B">
        <w:rPr>
          <w:rFonts w:ascii="Arial" w:hAnsi="Arial" w:cs="Arial"/>
          <w:sz w:val="27"/>
          <w:szCs w:val="27"/>
        </w:rPr>
        <w:t xml:space="preserve"> dispondrá que en</w:t>
      </w:r>
      <w:r w:rsidR="000E7288" w:rsidRPr="00141B3B">
        <w:rPr>
          <w:rFonts w:ascii="Arial" w:hAnsi="Arial" w:cs="Arial"/>
          <w:sz w:val="27"/>
          <w:szCs w:val="27"/>
        </w:rPr>
        <w:t xml:space="preserve"> impugnación de los recursos y en los demás</w:t>
      </w:r>
      <w:r w:rsidR="00B710F1" w:rsidRPr="00141B3B">
        <w:rPr>
          <w:rFonts w:ascii="Arial" w:hAnsi="Arial" w:cs="Arial"/>
          <w:sz w:val="27"/>
          <w:szCs w:val="27"/>
        </w:rPr>
        <w:t xml:space="preserve"> aspectos procesales no regulados se aplique por remisión las reglas procesales del Código de Procedimiento Administrativo y de lo Contencioso Administrativo (CPACA) y de forma subsidiaria se aplique el Código General del Proceso (CG</w:t>
      </w:r>
      <w:r w:rsidR="000E7288" w:rsidRPr="00141B3B">
        <w:rPr>
          <w:rFonts w:ascii="Arial" w:hAnsi="Arial" w:cs="Arial"/>
          <w:sz w:val="27"/>
          <w:szCs w:val="27"/>
        </w:rPr>
        <w:t xml:space="preserve">P), ello con </w:t>
      </w:r>
      <w:r w:rsidR="00C725D0" w:rsidRPr="00141B3B">
        <w:rPr>
          <w:rFonts w:ascii="Arial" w:hAnsi="Arial" w:cs="Arial"/>
          <w:sz w:val="27"/>
          <w:szCs w:val="27"/>
        </w:rPr>
        <w:t xml:space="preserve">el </w:t>
      </w:r>
      <w:r>
        <w:rPr>
          <w:rFonts w:ascii="Arial" w:hAnsi="Arial" w:cs="Arial"/>
          <w:sz w:val="27"/>
          <w:szCs w:val="27"/>
        </w:rPr>
        <w:br w:type="page"/>
      </w:r>
    </w:p>
    <w:p w:rsidR="00C725D0" w:rsidRPr="00C725D0" w:rsidRDefault="00C725D0" w:rsidP="00C725D0">
      <w:pPr>
        <w:spacing w:after="0" w:line="360" w:lineRule="auto"/>
        <w:ind w:left="357"/>
        <w:jc w:val="both"/>
        <w:rPr>
          <w:rFonts w:ascii="Arial" w:hAnsi="Arial" w:cs="Arial"/>
          <w:sz w:val="27"/>
          <w:szCs w:val="27"/>
        </w:rPr>
      </w:pPr>
      <w:r w:rsidRPr="00C725D0">
        <w:rPr>
          <w:rFonts w:ascii="Arial" w:hAnsi="Arial" w:cs="Arial"/>
          <w:sz w:val="26"/>
          <w:szCs w:val="26"/>
        </w:rPr>
        <w:lastRenderedPageBreak/>
        <w:t>fin</w:t>
      </w:r>
      <w:r w:rsidRPr="00C725D0">
        <w:rPr>
          <w:rFonts w:ascii="Arial" w:hAnsi="Arial" w:cs="Arial"/>
          <w:sz w:val="27"/>
          <w:szCs w:val="27"/>
        </w:rPr>
        <w:t xml:space="preserve"> de definir las reglas procesales aplicables en casos de vacíos en la ley que regula este procedimiento especial. </w:t>
      </w:r>
    </w:p>
    <w:p w:rsidR="00C725D0" w:rsidRPr="00C725D0" w:rsidRDefault="00C725D0" w:rsidP="00C725D0">
      <w:pPr>
        <w:spacing w:after="0" w:line="360" w:lineRule="auto"/>
        <w:ind w:left="357"/>
        <w:jc w:val="both"/>
        <w:rPr>
          <w:rFonts w:ascii="Arial" w:hAnsi="Arial" w:cs="Arial"/>
          <w:sz w:val="27"/>
          <w:szCs w:val="27"/>
        </w:rPr>
      </w:pPr>
    </w:p>
    <w:p w:rsidR="00C725D0" w:rsidRPr="00C725D0" w:rsidRDefault="00DE2491" w:rsidP="00C725D0">
      <w:pPr>
        <w:spacing w:after="0" w:line="360" w:lineRule="auto"/>
        <w:ind w:left="357"/>
        <w:jc w:val="both"/>
        <w:rPr>
          <w:rFonts w:ascii="Arial" w:hAnsi="Arial" w:cs="Arial"/>
          <w:sz w:val="27"/>
          <w:szCs w:val="27"/>
        </w:rPr>
      </w:pPr>
      <w:r>
        <w:rPr>
          <w:rFonts w:ascii="Arial" w:hAnsi="Arial" w:cs="Arial"/>
          <w:sz w:val="27"/>
          <w:szCs w:val="27"/>
        </w:rPr>
        <w:t>4</w:t>
      </w:r>
      <w:r w:rsidR="00C725D0" w:rsidRPr="00C725D0">
        <w:rPr>
          <w:rFonts w:ascii="Arial" w:hAnsi="Arial" w:cs="Arial"/>
          <w:sz w:val="27"/>
          <w:szCs w:val="27"/>
        </w:rPr>
        <w:t xml:space="preserve">.10. El artículo 22 es una norma de transición procesal, para que aquellos procesos que estén en curso al momento de entrada en vigencia de esta ley, sean remitidos a la Sección Quinta para lo de su competencia, siempre y cuando no se haya surtido la audiencia pública de que trata el artículo 11 de la Ley 144 de 1994. Los procesos que hubieran superado esta etapa procesal quedarán de única instancia, porque una vez cumplida la audiencia, los magistrados de la Sala Plena de lo Contencioso Administrativo han conocido del proceso, cuestión que los ubicaría en un impedimento para decidir el recurso de apelación, por haber conocido del caso en instancia anterior. </w:t>
      </w:r>
    </w:p>
    <w:p w:rsidR="00C725D0" w:rsidRPr="00C725D0" w:rsidRDefault="00C725D0" w:rsidP="00C725D0">
      <w:pPr>
        <w:ind w:left="360"/>
        <w:jc w:val="both"/>
        <w:rPr>
          <w:rFonts w:ascii="Arial" w:hAnsi="Arial" w:cs="Arial"/>
          <w:sz w:val="26"/>
          <w:szCs w:val="26"/>
        </w:rPr>
      </w:pPr>
    </w:p>
    <w:p w:rsidR="00C725D0" w:rsidRPr="00C725D0" w:rsidRDefault="00C725D0" w:rsidP="00C725D0">
      <w:pPr>
        <w:spacing w:after="0" w:line="240" w:lineRule="auto"/>
        <w:ind w:firstLine="357"/>
        <w:rPr>
          <w:rFonts w:ascii="Arial" w:hAnsi="Arial" w:cs="Arial"/>
          <w:b/>
          <w:sz w:val="26"/>
          <w:szCs w:val="26"/>
        </w:rPr>
      </w:pPr>
    </w:p>
    <w:p w:rsidR="00C725D0" w:rsidRPr="00C725D0" w:rsidRDefault="00C725D0" w:rsidP="00C725D0">
      <w:pPr>
        <w:spacing w:after="0" w:line="240" w:lineRule="auto"/>
        <w:ind w:firstLine="357"/>
        <w:rPr>
          <w:rFonts w:ascii="Arial" w:hAnsi="Arial" w:cs="Arial"/>
          <w:b/>
          <w:sz w:val="26"/>
          <w:szCs w:val="26"/>
        </w:rPr>
      </w:pPr>
      <w:r w:rsidRPr="00C725D0">
        <w:rPr>
          <w:rFonts w:ascii="Arial" w:hAnsi="Arial" w:cs="Arial"/>
          <w:b/>
          <w:sz w:val="26"/>
          <w:szCs w:val="26"/>
        </w:rPr>
        <w:t xml:space="preserve">ENRIQUE GIL BOTERO                     </w:t>
      </w:r>
    </w:p>
    <w:p w:rsidR="00C725D0" w:rsidRPr="00C725D0" w:rsidRDefault="00C725D0" w:rsidP="00C725D0">
      <w:pPr>
        <w:spacing w:after="0" w:line="240" w:lineRule="auto"/>
        <w:ind w:firstLine="357"/>
        <w:rPr>
          <w:rFonts w:ascii="Arial" w:hAnsi="Arial" w:cs="Arial"/>
          <w:sz w:val="26"/>
          <w:szCs w:val="26"/>
        </w:rPr>
      </w:pPr>
      <w:r w:rsidRPr="00C725D0">
        <w:rPr>
          <w:rFonts w:ascii="Arial" w:hAnsi="Arial" w:cs="Arial"/>
          <w:sz w:val="26"/>
          <w:szCs w:val="26"/>
        </w:rPr>
        <w:t>Ministro de Justicia y del Derecho</w:t>
      </w:r>
    </w:p>
    <w:p w:rsidR="00C725D0" w:rsidRPr="00C725D0" w:rsidRDefault="00C725D0" w:rsidP="00C725D0">
      <w:pPr>
        <w:spacing w:after="0" w:line="240" w:lineRule="auto"/>
        <w:rPr>
          <w:rFonts w:ascii="Arial" w:hAnsi="Arial" w:cs="Arial"/>
          <w:b/>
          <w:sz w:val="26"/>
          <w:szCs w:val="26"/>
        </w:rPr>
      </w:pPr>
    </w:p>
    <w:p w:rsidR="00C725D0" w:rsidRPr="00C725D0" w:rsidRDefault="00C725D0" w:rsidP="00C725D0">
      <w:pPr>
        <w:spacing w:after="0" w:line="240" w:lineRule="auto"/>
        <w:rPr>
          <w:rFonts w:ascii="Arial" w:hAnsi="Arial" w:cs="Arial"/>
          <w:b/>
          <w:sz w:val="26"/>
          <w:szCs w:val="26"/>
        </w:rPr>
      </w:pPr>
    </w:p>
    <w:p w:rsidR="00C725D0" w:rsidRPr="00C725D0" w:rsidRDefault="00C725D0" w:rsidP="00C725D0">
      <w:pPr>
        <w:spacing w:after="0" w:line="240" w:lineRule="auto"/>
        <w:ind w:firstLine="357"/>
        <w:rPr>
          <w:rFonts w:ascii="Arial" w:hAnsi="Arial" w:cs="Arial"/>
          <w:b/>
          <w:sz w:val="26"/>
          <w:szCs w:val="26"/>
        </w:rPr>
      </w:pPr>
      <w:r w:rsidRPr="00C725D0">
        <w:rPr>
          <w:rFonts w:ascii="Arial" w:hAnsi="Arial" w:cs="Arial"/>
          <w:b/>
          <w:sz w:val="26"/>
          <w:szCs w:val="26"/>
        </w:rPr>
        <w:t>TELÉSFORO PEDRAZA ORTEGA</w:t>
      </w:r>
    </w:p>
    <w:p w:rsidR="00C725D0" w:rsidRPr="00C725D0" w:rsidRDefault="00C725D0" w:rsidP="00C725D0">
      <w:pPr>
        <w:spacing w:after="0" w:line="240" w:lineRule="auto"/>
        <w:ind w:firstLine="357"/>
        <w:rPr>
          <w:rFonts w:ascii="Arial" w:hAnsi="Arial" w:cs="Arial"/>
          <w:sz w:val="26"/>
          <w:szCs w:val="26"/>
        </w:rPr>
      </w:pPr>
      <w:r w:rsidRPr="00C725D0">
        <w:rPr>
          <w:rFonts w:ascii="Arial" w:hAnsi="Arial" w:cs="Arial"/>
          <w:sz w:val="26"/>
          <w:szCs w:val="26"/>
        </w:rPr>
        <w:t>Honorable Representante</w:t>
      </w:r>
    </w:p>
    <w:p w:rsidR="00D155EA" w:rsidRPr="00141B3B" w:rsidRDefault="00D155EA" w:rsidP="00141B3B">
      <w:pPr>
        <w:spacing w:after="0" w:line="360" w:lineRule="auto"/>
        <w:ind w:left="357"/>
        <w:jc w:val="both"/>
        <w:rPr>
          <w:rFonts w:ascii="Arial" w:hAnsi="Arial" w:cs="Arial"/>
          <w:sz w:val="27"/>
          <w:szCs w:val="27"/>
        </w:rPr>
      </w:pPr>
    </w:p>
    <w:sectPr w:rsidR="00D155EA" w:rsidRPr="00141B3B" w:rsidSect="00A961A4">
      <w:headerReference w:type="default" r:id="rId8"/>
      <w:footerReference w:type="default" r:id="rId9"/>
      <w:pgSz w:w="12240" w:h="15840" w:code="1"/>
      <w:pgMar w:top="2098" w:right="2098" w:bottom="209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F00" w:rsidRDefault="007A0F00" w:rsidP="00555541">
      <w:pPr>
        <w:spacing w:after="0" w:line="240" w:lineRule="auto"/>
      </w:pPr>
      <w:r>
        <w:separator/>
      </w:r>
    </w:p>
  </w:endnote>
  <w:endnote w:type="continuationSeparator" w:id="0">
    <w:p w:rsidR="007A0F00" w:rsidRDefault="007A0F00" w:rsidP="0055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05209"/>
      <w:docPartObj>
        <w:docPartGallery w:val="Page Numbers (Bottom of Page)"/>
        <w:docPartUnique/>
      </w:docPartObj>
    </w:sdtPr>
    <w:sdtEndPr/>
    <w:sdtContent>
      <w:p w:rsidR="00FE1FF6" w:rsidRDefault="00FE1FF6">
        <w:pPr>
          <w:pStyle w:val="Piedepgina"/>
          <w:jc w:val="center"/>
        </w:pPr>
        <w:r>
          <w:fldChar w:fldCharType="begin"/>
        </w:r>
        <w:r>
          <w:instrText>PAGE   \* MERGEFORMAT</w:instrText>
        </w:r>
        <w:r>
          <w:fldChar w:fldCharType="separate"/>
        </w:r>
        <w:r w:rsidR="00323056" w:rsidRPr="00323056">
          <w:rPr>
            <w:noProof/>
            <w:lang w:val="es-ES"/>
          </w:rPr>
          <w:t>22</w:t>
        </w:r>
        <w:r>
          <w:fldChar w:fldCharType="end"/>
        </w:r>
      </w:p>
    </w:sdtContent>
  </w:sdt>
  <w:p w:rsidR="00FE1FF6" w:rsidRDefault="00FE1F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F00" w:rsidRDefault="007A0F00" w:rsidP="00555541">
      <w:pPr>
        <w:spacing w:after="0" w:line="240" w:lineRule="auto"/>
      </w:pPr>
      <w:r>
        <w:separator/>
      </w:r>
    </w:p>
  </w:footnote>
  <w:footnote w:type="continuationSeparator" w:id="0">
    <w:p w:rsidR="007A0F00" w:rsidRDefault="007A0F00" w:rsidP="00555541">
      <w:pPr>
        <w:spacing w:after="0" w:line="240" w:lineRule="auto"/>
      </w:pPr>
      <w:r>
        <w:continuationSeparator/>
      </w:r>
    </w:p>
  </w:footnote>
  <w:footnote w:id="1">
    <w:p w:rsidR="00FE1FF6" w:rsidRPr="00CA2027" w:rsidRDefault="00FE1FF6" w:rsidP="00902F4C">
      <w:pPr>
        <w:pStyle w:val="Textonotapie"/>
        <w:jc w:val="both"/>
        <w:rPr>
          <w:rFonts w:ascii="Arial Narrow" w:hAnsi="Arial Narrow" w:cs="Arial"/>
          <w:sz w:val="22"/>
          <w:szCs w:val="22"/>
        </w:rPr>
      </w:pPr>
      <w:r w:rsidRPr="00CA2027">
        <w:rPr>
          <w:rStyle w:val="Refdenotaalpie"/>
          <w:rFonts w:ascii="Arial Narrow" w:hAnsi="Arial Narrow" w:cs="Arial"/>
          <w:sz w:val="22"/>
          <w:szCs w:val="22"/>
        </w:rPr>
        <w:footnoteRef/>
      </w:r>
      <w:r w:rsidRPr="00CA2027">
        <w:rPr>
          <w:rFonts w:ascii="Arial Narrow" w:hAnsi="Arial Narrow" w:cs="Arial"/>
          <w:sz w:val="22"/>
          <w:szCs w:val="22"/>
        </w:rPr>
        <w:t xml:space="preserve"> Consejo de Estado, Sala Plena de lo Contencioso Administrativo. </w:t>
      </w:r>
      <w:r w:rsidRPr="00CA2027">
        <w:rPr>
          <w:rFonts w:ascii="Arial Narrow" w:eastAsia="Calibri" w:hAnsi="Arial Narrow" w:cs="Arial"/>
          <w:sz w:val="22"/>
          <w:szCs w:val="22"/>
        </w:rPr>
        <w:t>Sentencia de</w:t>
      </w:r>
      <w:r w:rsidRPr="00CA2027">
        <w:rPr>
          <w:rFonts w:ascii="Arial Narrow" w:hAnsi="Arial Narrow" w:cs="Arial"/>
          <w:sz w:val="22"/>
          <w:szCs w:val="22"/>
        </w:rPr>
        <w:t>l</w:t>
      </w:r>
      <w:r w:rsidRPr="00CA2027">
        <w:rPr>
          <w:rFonts w:ascii="Arial Narrow" w:eastAsia="Calibri" w:hAnsi="Arial Narrow" w:cs="Arial"/>
          <w:sz w:val="22"/>
          <w:szCs w:val="22"/>
        </w:rPr>
        <w:t xml:space="preserve"> 14 de junio de 2001. </w:t>
      </w:r>
      <w:r w:rsidRPr="00CA2027">
        <w:rPr>
          <w:rFonts w:ascii="Arial Narrow" w:hAnsi="Arial Narrow" w:cs="Arial"/>
          <w:sz w:val="22"/>
          <w:szCs w:val="22"/>
        </w:rPr>
        <w:t>Rad</w:t>
      </w:r>
      <w:r w:rsidRPr="00CA2027">
        <w:rPr>
          <w:rFonts w:ascii="Arial Narrow" w:eastAsia="Calibri" w:hAnsi="Arial Narrow" w:cs="Arial"/>
          <w:sz w:val="22"/>
          <w:szCs w:val="22"/>
        </w:rPr>
        <w:t>. AC 098</w:t>
      </w:r>
      <w:r w:rsidRPr="00CA2027">
        <w:rPr>
          <w:rFonts w:ascii="Arial Narrow" w:hAnsi="Arial Narrow" w:cs="Arial"/>
          <w:sz w:val="22"/>
          <w:szCs w:val="22"/>
        </w:rPr>
        <w:t xml:space="preserve"> y sentencias </w:t>
      </w:r>
      <w:proofErr w:type="gramStart"/>
      <w:r w:rsidRPr="00CA2027">
        <w:rPr>
          <w:rFonts w:ascii="Arial Narrow" w:hAnsi="Arial Narrow" w:cs="Arial"/>
          <w:sz w:val="22"/>
          <w:szCs w:val="22"/>
        </w:rPr>
        <w:t xml:space="preserve">del </w:t>
      </w:r>
      <w:r w:rsidRPr="00CA2027">
        <w:rPr>
          <w:rFonts w:ascii="Arial Narrow" w:eastAsia="Calibri" w:hAnsi="Arial Narrow" w:cs="Arial"/>
          <w:sz w:val="22"/>
          <w:szCs w:val="22"/>
        </w:rPr>
        <w:t> 3</w:t>
      </w:r>
      <w:proofErr w:type="gramEnd"/>
      <w:r w:rsidRPr="00CA2027">
        <w:rPr>
          <w:rFonts w:ascii="Arial Narrow" w:eastAsia="Calibri" w:hAnsi="Arial Narrow" w:cs="Arial"/>
          <w:sz w:val="22"/>
          <w:szCs w:val="22"/>
        </w:rPr>
        <w:t xml:space="preserve"> de agosto de </w:t>
      </w:r>
      <w:r w:rsidRPr="00CA2027">
        <w:rPr>
          <w:rFonts w:ascii="Arial Narrow" w:hAnsi="Arial Narrow" w:cs="Arial"/>
          <w:sz w:val="22"/>
          <w:szCs w:val="22"/>
        </w:rPr>
        <w:t xml:space="preserve">2004, Rad. PI </w:t>
      </w:r>
      <w:proofErr w:type="gramStart"/>
      <w:r w:rsidRPr="00CA2027">
        <w:rPr>
          <w:rFonts w:ascii="Arial Narrow" w:hAnsi="Arial Narrow" w:cs="Arial"/>
          <w:sz w:val="22"/>
          <w:szCs w:val="22"/>
        </w:rPr>
        <w:t xml:space="preserve">367, </w:t>
      </w:r>
      <w:r w:rsidRPr="00CA2027">
        <w:rPr>
          <w:rFonts w:ascii="Arial Narrow" w:eastAsia="Calibri" w:hAnsi="Arial Narrow" w:cs="Arial"/>
          <w:sz w:val="22"/>
          <w:szCs w:val="22"/>
        </w:rPr>
        <w:t> 5</w:t>
      </w:r>
      <w:proofErr w:type="gramEnd"/>
      <w:r w:rsidRPr="00CA2027">
        <w:rPr>
          <w:rFonts w:ascii="Arial Narrow" w:eastAsia="Calibri" w:hAnsi="Arial Narrow" w:cs="Arial"/>
          <w:sz w:val="22"/>
          <w:szCs w:val="22"/>
        </w:rPr>
        <w:t xml:space="preserve"> de mayo de 2005 y d</w:t>
      </w:r>
      <w:r w:rsidRPr="00CA2027">
        <w:rPr>
          <w:rFonts w:ascii="Arial Narrow" w:hAnsi="Arial Narrow" w:cs="Arial"/>
          <w:spacing w:val="-14"/>
          <w:sz w:val="22"/>
          <w:szCs w:val="22"/>
        </w:rPr>
        <w:t>e 5 de abril de 2005 Rad.</w:t>
      </w:r>
      <w:r w:rsidRPr="00CA2027">
        <w:rPr>
          <w:rFonts w:ascii="Arial Narrow" w:eastAsia="Calibri" w:hAnsi="Arial Narrow" w:cs="Arial"/>
          <w:spacing w:val="-14"/>
          <w:sz w:val="22"/>
          <w:szCs w:val="22"/>
        </w:rPr>
        <w:t xml:space="preserve">  PI  1215</w:t>
      </w:r>
      <w:r w:rsidRPr="00CA2027">
        <w:rPr>
          <w:rFonts w:ascii="Arial Narrow" w:hAnsi="Arial Narrow" w:cs="Arial"/>
          <w:spacing w:val="-14"/>
          <w:sz w:val="22"/>
          <w:szCs w:val="22"/>
        </w:rPr>
        <w:t xml:space="preserve">. </w:t>
      </w:r>
    </w:p>
  </w:footnote>
  <w:footnote w:id="2">
    <w:p w:rsidR="00FE1FF6" w:rsidRPr="00CA2027" w:rsidRDefault="00FE1FF6" w:rsidP="00902F4C">
      <w:pPr>
        <w:pStyle w:val="Textonotapie"/>
        <w:jc w:val="both"/>
        <w:rPr>
          <w:rFonts w:ascii="Arial Narrow" w:hAnsi="Arial Narrow" w:cs="Arial"/>
          <w:sz w:val="22"/>
          <w:szCs w:val="22"/>
        </w:rPr>
      </w:pPr>
      <w:r w:rsidRPr="00CA2027">
        <w:rPr>
          <w:rStyle w:val="Refdenotaalpie"/>
          <w:rFonts w:ascii="Arial Narrow" w:hAnsi="Arial Narrow" w:cs="Arial"/>
          <w:sz w:val="22"/>
          <w:szCs w:val="22"/>
        </w:rPr>
        <w:footnoteRef/>
      </w:r>
      <w:r w:rsidRPr="00CA2027">
        <w:rPr>
          <w:rFonts w:ascii="Arial Narrow" w:hAnsi="Arial Narrow" w:cs="Arial"/>
          <w:sz w:val="22"/>
          <w:szCs w:val="22"/>
        </w:rPr>
        <w:t xml:space="preserve"> </w:t>
      </w:r>
      <w:r w:rsidRPr="00CA2027">
        <w:rPr>
          <w:rFonts w:ascii="Arial Narrow" w:hAnsi="Arial Narrow" w:cs="Arial"/>
          <w:sz w:val="22"/>
          <w:szCs w:val="22"/>
          <w:shd w:val="clear" w:color="auto" w:fill="FFFFFF"/>
        </w:rPr>
        <w:t>Corte Constitucional, sentencia C-319 de 1994, M.P. Hernando Herrera Vergara;</w:t>
      </w:r>
      <w:r w:rsidRPr="00CA2027">
        <w:rPr>
          <w:rStyle w:val="apple-converted-space"/>
          <w:rFonts w:ascii="Arial Narrow" w:hAnsi="Arial Narrow" w:cs="Arial"/>
          <w:sz w:val="22"/>
          <w:szCs w:val="22"/>
          <w:shd w:val="clear" w:color="auto" w:fill="FFFFFF"/>
        </w:rPr>
        <w:t> </w:t>
      </w:r>
      <w:r w:rsidRPr="00CA2027">
        <w:rPr>
          <w:rFonts w:ascii="Arial Narrow" w:hAnsi="Arial Narrow" w:cs="Arial"/>
          <w:sz w:val="22"/>
          <w:szCs w:val="22"/>
          <w:bdr w:val="none" w:sz="0" w:space="0" w:color="auto" w:frame="1"/>
          <w:shd w:val="clear" w:color="auto" w:fill="FFFFFF"/>
        </w:rPr>
        <w:t>T-935 de 2009, M.P. Humberto Antonio Sierra Porto; T-544 de 2004, M.P. Jaime Córdoba Triviño.</w:t>
      </w:r>
    </w:p>
  </w:footnote>
  <w:footnote w:id="3">
    <w:p w:rsidR="00183B06" w:rsidRPr="00183B06" w:rsidRDefault="00183B06">
      <w:pPr>
        <w:pStyle w:val="Textonotapie"/>
        <w:rPr>
          <w:rFonts w:ascii="Arial" w:hAnsi="Arial" w:cs="Arial"/>
          <w:sz w:val="22"/>
          <w:szCs w:val="22"/>
        </w:rPr>
      </w:pPr>
      <w:r w:rsidRPr="00183B06">
        <w:rPr>
          <w:rStyle w:val="Refdenotaalpie"/>
          <w:rFonts w:ascii="Arial" w:hAnsi="Arial" w:cs="Arial"/>
          <w:sz w:val="22"/>
          <w:szCs w:val="22"/>
        </w:rPr>
        <w:footnoteRef/>
      </w:r>
      <w:r w:rsidRPr="00183B06">
        <w:rPr>
          <w:rFonts w:ascii="Arial" w:hAnsi="Arial" w:cs="Arial"/>
          <w:sz w:val="22"/>
          <w:szCs w:val="22"/>
        </w:rPr>
        <w:t xml:space="preserve"> Corte Constitucional, Sentencia SU400 de 2012. </w:t>
      </w:r>
    </w:p>
  </w:footnote>
  <w:footnote w:id="4">
    <w:p w:rsidR="007B5BC7" w:rsidRDefault="007B5BC7">
      <w:pPr>
        <w:pStyle w:val="Textonotapie"/>
      </w:pPr>
    </w:p>
  </w:footnote>
  <w:footnote w:id="5">
    <w:p w:rsidR="00FE1FF6" w:rsidRPr="00CA2027" w:rsidRDefault="00FE1FF6" w:rsidP="00902F4C">
      <w:pPr>
        <w:pStyle w:val="Textonotapie"/>
        <w:jc w:val="both"/>
        <w:rPr>
          <w:rFonts w:ascii="Arial Narrow" w:hAnsi="Arial Narrow"/>
          <w:sz w:val="22"/>
          <w:szCs w:val="22"/>
        </w:rPr>
      </w:pPr>
      <w:r w:rsidRPr="00CA2027">
        <w:rPr>
          <w:rStyle w:val="Refdenotaalpie"/>
          <w:rFonts w:ascii="Arial Narrow" w:hAnsi="Arial Narrow" w:cs="Arial"/>
          <w:sz w:val="22"/>
          <w:szCs w:val="22"/>
        </w:rPr>
        <w:footnoteRef/>
      </w:r>
      <w:r w:rsidRPr="00CA2027">
        <w:rPr>
          <w:rFonts w:ascii="Arial Narrow" w:hAnsi="Arial Narrow" w:cs="Arial"/>
          <w:sz w:val="22"/>
          <w:szCs w:val="22"/>
        </w:rPr>
        <w:t xml:space="preserve"> Corte Constitucional, sentencia C-254A de 2012. </w:t>
      </w:r>
    </w:p>
  </w:footnote>
  <w:footnote w:id="6">
    <w:p w:rsidR="00FE1FF6" w:rsidRPr="00CA2027" w:rsidRDefault="00FE1FF6" w:rsidP="00902F4C">
      <w:pPr>
        <w:pStyle w:val="Textonotapie"/>
        <w:jc w:val="both"/>
        <w:rPr>
          <w:rFonts w:ascii="Arial Narrow" w:hAnsi="Arial Narrow"/>
          <w:sz w:val="22"/>
          <w:szCs w:val="22"/>
        </w:rPr>
      </w:pPr>
      <w:r w:rsidRPr="00CA2027">
        <w:rPr>
          <w:rStyle w:val="Refdenotaalpie"/>
          <w:rFonts w:ascii="Arial Narrow" w:hAnsi="Arial Narrow"/>
          <w:sz w:val="22"/>
          <w:szCs w:val="22"/>
        </w:rPr>
        <w:footnoteRef/>
      </w:r>
      <w:r w:rsidRPr="00CA2027">
        <w:rPr>
          <w:rFonts w:ascii="Arial Narrow" w:hAnsi="Arial Narrow"/>
          <w:sz w:val="22"/>
          <w:szCs w:val="22"/>
        </w:rPr>
        <w:t xml:space="preserve"> Corte Constitucional, sentencia T-388 de 2015. </w:t>
      </w:r>
    </w:p>
  </w:footnote>
  <w:footnote w:id="7">
    <w:p w:rsidR="00FE1FF6" w:rsidRPr="00CA2027" w:rsidRDefault="00FE1FF6" w:rsidP="00902F4C">
      <w:pPr>
        <w:pStyle w:val="Textonotapie"/>
        <w:jc w:val="both"/>
        <w:rPr>
          <w:rFonts w:ascii="Arial Narrow" w:hAnsi="Arial Narrow"/>
          <w:sz w:val="22"/>
          <w:szCs w:val="22"/>
        </w:rPr>
      </w:pPr>
      <w:r w:rsidRPr="00CA2027">
        <w:rPr>
          <w:rStyle w:val="Refdenotaalpie"/>
          <w:rFonts w:ascii="Arial Narrow" w:hAnsi="Arial Narrow"/>
          <w:sz w:val="22"/>
          <w:szCs w:val="22"/>
        </w:rPr>
        <w:footnoteRef/>
      </w:r>
      <w:r w:rsidRPr="00CA2027">
        <w:rPr>
          <w:rFonts w:ascii="Arial Narrow" w:hAnsi="Arial Narrow"/>
          <w:sz w:val="22"/>
          <w:szCs w:val="22"/>
        </w:rPr>
        <w:t xml:space="preserve"> </w:t>
      </w:r>
      <w:proofErr w:type="spellStart"/>
      <w:r w:rsidRPr="00CA2027">
        <w:rPr>
          <w:rFonts w:ascii="Arial Narrow" w:hAnsi="Arial Narrow"/>
          <w:sz w:val="22"/>
          <w:szCs w:val="22"/>
        </w:rPr>
        <w:t>Alexy</w:t>
      </w:r>
      <w:proofErr w:type="spellEnd"/>
      <w:r w:rsidRPr="00CA2027">
        <w:rPr>
          <w:rFonts w:ascii="Arial Narrow" w:hAnsi="Arial Narrow"/>
          <w:sz w:val="22"/>
          <w:szCs w:val="22"/>
        </w:rPr>
        <w:t xml:space="preserve">, Robert. Epílogo a la Teoría De Los Derechos Fundamentales: </w:t>
      </w:r>
      <w:r w:rsidRPr="00CA2027">
        <w:rPr>
          <w:rFonts w:ascii="Arial Narrow" w:hAnsi="Arial Narrow"/>
          <w:sz w:val="22"/>
          <w:szCs w:val="22"/>
          <w:u w:val="single"/>
        </w:rPr>
        <w:t>En:</w:t>
      </w:r>
      <w:r w:rsidRPr="00CA2027">
        <w:rPr>
          <w:rFonts w:ascii="Arial Narrow" w:hAnsi="Arial Narrow"/>
          <w:sz w:val="22"/>
          <w:szCs w:val="22"/>
        </w:rPr>
        <w:t xml:space="preserve"> Revista Española De Derecho Constitucional. 66: p. 13-64.</w:t>
      </w:r>
    </w:p>
  </w:footnote>
  <w:footnote w:id="8">
    <w:p w:rsidR="00FE1FF6" w:rsidRPr="00CA2027" w:rsidRDefault="00FE1FF6" w:rsidP="00902F4C">
      <w:pPr>
        <w:pStyle w:val="Textonotapie"/>
        <w:jc w:val="both"/>
        <w:rPr>
          <w:rFonts w:ascii="Arial Narrow" w:hAnsi="Arial Narrow"/>
          <w:sz w:val="22"/>
          <w:szCs w:val="22"/>
        </w:rPr>
      </w:pPr>
      <w:r w:rsidRPr="00CA2027">
        <w:rPr>
          <w:rStyle w:val="Refdenotaalpie"/>
          <w:rFonts w:ascii="Arial Narrow" w:hAnsi="Arial Narrow"/>
          <w:sz w:val="22"/>
          <w:szCs w:val="22"/>
        </w:rPr>
        <w:footnoteRef/>
      </w:r>
      <w:r w:rsidRPr="00CA2027">
        <w:rPr>
          <w:rFonts w:ascii="Arial Narrow" w:hAnsi="Arial Narrow"/>
          <w:sz w:val="22"/>
          <w:szCs w:val="22"/>
        </w:rPr>
        <w:t xml:space="preserve"> Corte Constitucional, sentencia C-345 de 1993. </w:t>
      </w:r>
    </w:p>
  </w:footnote>
  <w:footnote w:id="9">
    <w:p w:rsidR="00FE1FF6" w:rsidRPr="00CA2027" w:rsidRDefault="00FE1FF6" w:rsidP="00902F4C">
      <w:pPr>
        <w:pStyle w:val="Textonotapie"/>
        <w:jc w:val="both"/>
        <w:rPr>
          <w:rFonts w:ascii="Arial Narrow" w:hAnsi="Arial Narrow"/>
          <w:sz w:val="22"/>
          <w:szCs w:val="22"/>
        </w:rPr>
      </w:pPr>
      <w:r w:rsidRPr="00CA2027">
        <w:rPr>
          <w:rStyle w:val="Refdenotaalpie"/>
          <w:rFonts w:ascii="Arial Narrow" w:hAnsi="Arial Narrow"/>
          <w:sz w:val="22"/>
          <w:szCs w:val="22"/>
        </w:rPr>
        <w:footnoteRef/>
      </w:r>
      <w:r w:rsidRPr="00CA2027">
        <w:rPr>
          <w:rFonts w:ascii="Arial Narrow" w:hAnsi="Arial Narrow"/>
          <w:sz w:val="22"/>
          <w:szCs w:val="22"/>
        </w:rPr>
        <w:t xml:space="preserve"> Corte Constitucional, sentencia C-792 de 2014. </w:t>
      </w:r>
    </w:p>
  </w:footnote>
  <w:footnote w:id="10">
    <w:p w:rsidR="00FE1FF6" w:rsidRPr="00CA2027" w:rsidRDefault="00FE1FF6" w:rsidP="00902F4C">
      <w:pPr>
        <w:pStyle w:val="Textonotapie"/>
        <w:jc w:val="both"/>
        <w:rPr>
          <w:rFonts w:ascii="Arial Narrow" w:hAnsi="Arial Narrow"/>
          <w:sz w:val="22"/>
          <w:szCs w:val="22"/>
        </w:rPr>
      </w:pPr>
      <w:r w:rsidRPr="00CA2027">
        <w:rPr>
          <w:rStyle w:val="Refdenotaalpie"/>
          <w:rFonts w:ascii="Arial Narrow" w:hAnsi="Arial Narrow"/>
          <w:sz w:val="22"/>
          <w:szCs w:val="22"/>
        </w:rPr>
        <w:footnoteRef/>
      </w:r>
      <w:r w:rsidRPr="00CA2027">
        <w:rPr>
          <w:rFonts w:ascii="Arial Narrow" w:hAnsi="Arial Narrow"/>
          <w:sz w:val="22"/>
          <w:szCs w:val="22"/>
        </w:rPr>
        <w:t xml:space="preserve"> Corte Constitucional, sentencia C-788 de 2002. </w:t>
      </w:r>
    </w:p>
  </w:footnote>
  <w:footnote w:id="11">
    <w:p w:rsidR="00FE1FF6" w:rsidRPr="00CA2027" w:rsidRDefault="00FE1FF6" w:rsidP="00E64E0B">
      <w:pPr>
        <w:pStyle w:val="Textonotapie"/>
        <w:jc w:val="both"/>
        <w:rPr>
          <w:rFonts w:ascii="Arial Narrow" w:eastAsia="Batang" w:hAnsi="Arial Narrow"/>
          <w:sz w:val="22"/>
          <w:szCs w:val="22"/>
        </w:rPr>
      </w:pPr>
      <w:r w:rsidRPr="00CA2027">
        <w:rPr>
          <w:rStyle w:val="Refdenotaalpie"/>
          <w:rFonts w:ascii="Arial Narrow" w:eastAsia="Batang" w:hAnsi="Arial Narrow"/>
          <w:sz w:val="22"/>
          <w:szCs w:val="22"/>
        </w:rPr>
        <w:footnoteRef/>
      </w:r>
      <w:r w:rsidRPr="00CA2027">
        <w:rPr>
          <w:rFonts w:ascii="Arial Narrow" w:eastAsia="Batang" w:hAnsi="Arial Narrow"/>
          <w:sz w:val="22"/>
          <w:szCs w:val="22"/>
        </w:rPr>
        <w:t xml:space="preserve"> Corte Interamericana de Derechos Humanos, caso Mohamed vs Argentina, sentencia del 23 de noviembre de 2012. Disponible en </w:t>
      </w:r>
      <w:hyperlink r:id="rId1" w:history="1">
        <w:r w:rsidRPr="00CA2027">
          <w:rPr>
            <w:rStyle w:val="Hipervnculo"/>
            <w:rFonts w:ascii="Arial Narrow" w:eastAsia="Batang" w:hAnsi="Arial Narrow"/>
            <w:color w:val="auto"/>
            <w:sz w:val="22"/>
            <w:szCs w:val="22"/>
          </w:rPr>
          <w:t>http://www.corteidh.or.cr/docs/casos/articulos/seriec_255_esp.pdf</w:t>
        </w:r>
      </w:hyperlink>
    </w:p>
  </w:footnote>
  <w:footnote w:id="12">
    <w:p w:rsidR="00FE1FF6" w:rsidRPr="00CA2027" w:rsidRDefault="00FE1FF6" w:rsidP="00E64E0B">
      <w:pPr>
        <w:pStyle w:val="Textonotapie"/>
        <w:jc w:val="both"/>
        <w:rPr>
          <w:rFonts w:ascii="Arial Narrow" w:hAnsi="Arial Narrow"/>
          <w:sz w:val="22"/>
          <w:szCs w:val="22"/>
        </w:rPr>
      </w:pPr>
      <w:r w:rsidRPr="00CA2027">
        <w:rPr>
          <w:rStyle w:val="Refdenotaalpie"/>
          <w:rFonts w:ascii="Arial Narrow" w:hAnsi="Arial Narrow"/>
          <w:sz w:val="22"/>
          <w:szCs w:val="22"/>
        </w:rPr>
        <w:footnoteRef/>
      </w:r>
      <w:r w:rsidRPr="00CA2027">
        <w:rPr>
          <w:rFonts w:ascii="Arial Narrow" w:hAnsi="Arial Narrow"/>
          <w:sz w:val="22"/>
          <w:szCs w:val="22"/>
        </w:rPr>
        <w:t xml:space="preserve"> Corte Interamericana de Derechos Humanos, opinión consultiva </w:t>
      </w:r>
      <w:r w:rsidRPr="00CA2027">
        <w:rPr>
          <w:rFonts w:ascii="Arial Narrow" w:eastAsia="Times New Roman" w:hAnsi="Arial Narrow" w:cs="Times New Roman"/>
          <w:sz w:val="22"/>
          <w:szCs w:val="22"/>
          <w:bdr w:val="none" w:sz="0" w:space="0" w:color="auto" w:frame="1"/>
        </w:rPr>
        <w:t>OC-11/90 del 10 de agosto de 1990.</w:t>
      </w:r>
    </w:p>
  </w:footnote>
  <w:footnote w:id="13">
    <w:p w:rsidR="00FE1FF6" w:rsidRPr="00CA2027" w:rsidRDefault="00FE1FF6">
      <w:pPr>
        <w:pStyle w:val="Textonotapie"/>
        <w:rPr>
          <w:rFonts w:ascii="Arial Narrow" w:hAnsi="Arial Narrow"/>
          <w:sz w:val="22"/>
          <w:szCs w:val="22"/>
        </w:rPr>
      </w:pPr>
      <w:r w:rsidRPr="00CA2027">
        <w:rPr>
          <w:rStyle w:val="Refdenotaalpie"/>
          <w:rFonts w:ascii="Arial Narrow" w:hAnsi="Arial Narrow"/>
          <w:sz w:val="22"/>
          <w:szCs w:val="22"/>
        </w:rPr>
        <w:footnoteRef/>
      </w:r>
      <w:r w:rsidRPr="00CA2027">
        <w:rPr>
          <w:rFonts w:ascii="Arial Narrow" w:hAnsi="Arial Narrow"/>
          <w:sz w:val="22"/>
          <w:szCs w:val="22"/>
        </w:rPr>
        <w:t xml:space="preserve"> Corte Constitucional, sentencia C-792 de 2014.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FF6" w:rsidRDefault="00FE1FF6">
    <w:pPr>
      <w:pStyle w:val="Encabezado"/>
    </w:pPr>
    <w:r>
      <w:rPr>
        <w:noProof/>
      </w:rPr>
      <w:drawing>
        <wp:anchor distT="0" distB="0" distL="114300" distR="114300" simplePos="0" relativeHeight="251659264" behindDoc="0" locked="0" layoutInCell="1" allowOverlap="1" wp14:anchorId="516E353D" wp14:editId="0BFD3736">
          <wp:simplePos x="0" y="0"/>
          <wp:positionH relativeFrom="column">
            <wp:posOffset>-228600</wp:posOffset>
          </wp:positionH>
          <wp:positionV relativeFrom="paragraph">
            <wp:posOffset>-274320</wp:posOffset>
          </wp:positionV>
          <wp:extent cx="2610485" cy="607695"/>
          <wp:effectExtent l="0" t="0" r="0" b="1905"/>
          <wp:wrapThrough wrapText="bothSides">
            <wp:wrapPolygon edited="0">
              <wp:start x="0" y="0"/>
              <wp:lineTo x="0" y="20991"/>
              <wp:lineTo x="21437" y="20991"/>
              <wp:lineTo x="2143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justicia+lema.jpg"/>
                  <pic:cNvPicPr/>
                </pic:nvPicPr>
                <pic:blipFill>
                  <a:blip r:embed="rId1">
                    <a:extLst>
                      <a:ext uri="{28A0092B-C50C-407E-A947-70E740481C1C}">
                        <a14:useLocalDpi xmlns:a14="http://schemas.microsoft.com/office/drawing/2010/main" val="0"/>
                      </a:ext>
                    </a:extLst>
                  </a:blip>
                  <a:stretch>
                    <a:fillRect/>
                  </a:stretch>
                </pic:blipFill>
                <pic:spPr>
                  <a:xfrm>
                    <a:off x="0" y="0"/>
                    <a:ext cx="2610485" cy="607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91F"/>
    <w:multiLevelType w:val="hybridMultilevel"/>
    <w:tmpl w:val="46D8347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983974"/>
    <w:multiLevelType w:val="multilevel"/>
    <w:tmpl w:val="E8C8F66A"/>
    <w:lvl w:ilvl="0">
      <w:start w:val="1"/>
      <w:numFmt w:val="decimal"/>
      <w:lvlText w:val="%1."/>
      <w:lvlJc w:val="left"/>
      <w:pPr>
        <w:ind w:left="360" w:hanging="360"/>
      </w:pPr>
      <w:rPr>
        <w:rFonts w:hint="default"/>
      </w:rPr>
    </w:lvl>
    <w:lvl w:ilvl="1">
      <w:start w:val="6"/>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868" w:hanging="144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2" w15:restartNumberingAfterBreak="0">
    <w:nsid w:val="427A146A"/>
    <w:multiLevelType w:val="hybridMultilevel"/>
    <w:tmpl w:val="AB4270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9B02BBD"/>
    <w:multiLevelType w:val="hybridMultilevel"/>
    <w:tmpl w:val="6C709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14"/>
    <w:rsid w:val="00010388"/>
    <w:rsid w:val="00012E96"/>
    <w:rsid w:val="00015897"/>
    <w:rsid w:val="00024686"/>
    <w:rsid w:val="000349A7"/>
    <w:rsid w:val="00065075"/>
    <w:rsid w:val="000778DE"/>
    <w:rsid w:val="000B4BD3"/>
    <w:rsid w:val="000C3575"/>
    <w:rsid w:val="000D27B5"/>
    <w:rsid w:val="000E61B0"/>
    <w:rsid w:val="000E7288"/>
    <w:rsid w:val="00120A1A"/>
    <w:rsid w:val="0013214B"/>
    <w:rsid w:val="00141B3B"/>
    <w:rsid w:val="00160B09"/>
    <w:rsid w:val="00180491"/>
    <w:rsid w:val="00183B06"/>
    <w:rsid w:val="00190F61"/>
    <w:rsid w:val="001B501D"/>
    <w:rsid w:val="001B6D42"/>
    <w:rsid w:val="001C49F5"/>
    <w:rsid w:val="001E28A3"/>
    <w:rsid w:val="001E7533"/>
    <w:rsid w:val="001F0553"/>
    <w:rsid w:val="002158C1"/>
    <w:rsid w:val="00251C5E"/>
    <w:rsid w:val="00262A88"/>
    <w:rsid w:val="002675AC"/>
    <w:rsid w:val="0027326F"/>
    <w:rsid w:val="002951ED"/>
    <w:rsid w:val="002D63A9"/>
    <w:rsid w:val="002E38D4"/>
    <w:rsid w:val="002E3C85"/>
    <w:rsid w:val="002E6589"/>
    <w:rsid w:val="002F2626"/>
    <w:rsid w:val="00311014"/>
    <w:rsid w:val="00323056"/>
    <w:rsid w:val="00333963"/>
    <w:rsid w:val="0033458C"/>
    <w:rsid w:val="00341266"/>
    <w:rsid w:val="0037025F"/>
    <w:rsid w:val="00381718"/>
    <w:rsid w:val="003970E9"/>
    <w:rsid w:val="003C35C7"/>
    <w:rsid w:val="003D75D3"/>
    <w:rsid w:val="004021E3"/>
    <w:rsid w:val="00415DFC"/>
    <w:rsid w:val="004165F2"/>
    <w:rsid w:val="00435890"/>
    <w:rsid w:val="004363CE"/>
    <w:rsid w:val="00463FAD"/>
    <w:rsid w:val="004710F5"/>
    <w:rsid w:val="004B3E3B"/>
    <w:rsid w:val="004E25D1"/>
    <w:rsid w:val="004F17FD"/>
    <w:rsid w:val="004F59B6"/>
    <w:rsid w:val="005153AB"/>
    <w:rsid w:val="00555541"/>
    <w:rsid w:val="00556C0B"/>
    <w:rsid w:val="00574D0A"/>
    <w:rsid w:val="00580567"/>
    <w:rsid w:val="00584E18"/>
    <w:rsid w:val="0059107B"/>
    <w:rsid w:val="0059261C"/>
    <w:rsid w:val="005D0C08"/>
    <w:rsid w:val="00627F21"/>
    <w:rsid w:val="00647BA1"/>
    <w:rsid w:val="00660701"/>
    <w:rsid w:val="00670ECB"/>
    <w:rsid w:val="006732D0"/>
    <w:rsid w:val="00677EB3"/>
    <w:rsid w:val="00685ED5"/>
    <w:rsid w:val="00692372"/>
    <w:rsid w:val="00693368"/>
    <w:rsid w:val="006945E1"/>
    <w:rsid w:val="006A1C0B"/>
    <w:rsid w:val="006B1FC3"/>
    <w:rsid w:val="006E2962"/>
    <w:rsid w:val="006E4496"/>
    <w:rsid w:val="00740AA6"/>
    <w:rsid w:val="00743E55"/>
    <w:rsid w:val="007A0F00"/>
    <w:rsid w:val="007B5BC7"/>
    <w:rsid w:val="0082455C"/>
    <w:rsid w:val="008315CF"/>
    <w:rsid w:val="0083279F"/>
    <w:rsid w:val="00835C92"/>
    <w:rsid w:val="0083725A"/>
    <w:rsid w:val="00861A43"/>
    <w:rsid w:val="008953A5"/>
    <w:rsid w:val="008E3646"/>
    <w:rsid w:val="008F3E1D"/>
    <w:rsid w:val="00901327"/>
    <w:rsid w:val="00902F4C"/>
    <w:rsid w:val="00904C2E"/>
    <w:rsid w:val="009133E5"/>
    <w:rsid w:val="00914A3F"/>
    <w:rsid w:val="00926C20"/>
    <w:rsid w:val="0093218B"/>
    <w:rsid w:val="00935FC5"/>
    <w:rsid w:val="00945C9A"/>
    <w:rsid w:val="009462D0"/>
    <w:rsid w:val="0098533D"/>
    <w:rsid w:val="0099727F"/>
    <w:rsid w:val="009E4927"/>
    <w:rsid w:val="009F540A"/>
    <w:rsid w:val="009F7BC1"/>
    <w:rsid w:val="00A00FC7"/>
    <w:rsid w:val="00A25825"/>
    <w:rsid w:val="00A3707A"/>
    <w:rsid w:val="00A637E6"/>
    <w:rsid w:val="00A961A4"/>
    <w:rsid w:val="00AA757D"/>
    <w:rsid w:val="00AB5F8B"/>
    <w:rsid w:val="00AD0CB0"/>
    <w:rsid w:val="00AD48D1"/>
    <w:rsid w:val="00B1267C"/>
    <w:rsid w:val="00B37E9F"/>
    <w:rsid w:val="00B55A63"/>
    <w:rsid w:val="00B710F1"/>
    <w:rsid w:val="00B8115D"/>
    <w:rsid w:val="00B820FA"/>
    <w:rsid w:val="00BA05AC"/>
    <w:rsid w:val="00BA335E"/>
    <w:rsid w:val="00BA7B1F"/>
    <w:rsid w:val="00BB43D7"/>
    <w:rsid w:val="00BB51DA"/>
    <w:rsid w:val="00BD3424"/>
    <w:rsid w:val="00C22BEC"/>
    <w:rsid w:val="00C725D0"/>
    <w:rsid w:val="00C80C61"/>
    <w:rsid w:val="00C86F61"/>
    <w:rsid w:val="00CA2027"/>
    <w:rsid w:val="00CC1CFB"/>
    <w:rsid w:val="00CE2009"/>
    <w:rsid w:val="00CF1D17"/>
    <w:rsid w:val="00D06302"/>
    <w:rsid w:val="00D12816"/>
    <w:rsid w:val="00D155EA"/>
    <w:rsid w:val="00D17D89"/>
    <w:rsid w:val="00D260B2"/>
    <w:rsid w:val="00D35EDE"/>
    <w:rsid w:val="00D436C3"/>
    <w:rsid w:val="00D438C7"/>
    <w:rsid w:val="00D54EEE"/>
    <w:rsid w:val="00D6379F"/>
    <w:rsid w:val="00D733D9"/>
    <w:rsid w:val="00D8003A"/>
    <w:rsid w:val="00D831E3"/>
    <w:rsid w:val="00D933C7"/>
    <w:rsid w:val="00D95EAC"/>
    <w:rsid w:val="00DC1C13"/>
    <w:rsid w:val="00DD1993"/>
    <w:rsid w:val="00DE1EE3"/>
    <w:rsid w:val="00DE2491"/>
    <w:rsid w:val="00DF6C32"/>
    <w:rsid w:val="00E13B8A"/>
    <w:rsid w:val="00E201B4"/>
    <w:rsid w:val="00E20231"/>
    <w:rsid w:val="00E445A3"/>
    <w:rsid w:val="00E60078"/>
    <w:rsid w:val="00E64E0B"/>
    <w:rsid w:val="00E82529"/>
    <w:rsid w:val="00E86F9B"/>
    <w:rsid w:val="00E97E5A"/>
    <w:rsid w:val="00EE5347"/>
    <w:rsid w:val="00F1074B"/>
    <w:rsid w:val="00F23269"/>
    <w:rsid w:val="00F25B3F"/>
    <w:rsid w:val="00F51754"/>
    <w:rsid w:val="00F76753"/>
    <w:rsid w:val="00F95650"/>
    <w:rsid w:val="00FA1A1D"/>
    <w:rsid w:val="00FA3426"/>
    <w:rsid w:val="00FC4494"/>
    <w:rsid w:val="00FE1FF6"/>
    <w:rsid w:val="00FE65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5A933-2859-438C-9F2C-81DE489B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1014"/>
    <w:pPr>
      <w:ind w:left="720"/>
      <w:contextualSpacing/>
    </w:pPr>
  </w:style>
  <w:style w:type="paragraph" w:styleId="Textonotapie">
    <w:name w:val="footnote text"/>
    <w:basedOn w:val="Normal"/>
    <w:link w:val="TextonotapieCar"/>
    <w:uiPriority w:val="99"/>
    <w:semiHidden/>
    <w:unhideWhenUsed/>
    <w:rsid w:val="0055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5541"/>
    <w:rPr>
      <w:sz w:val="20"/>
      <w:szCs w:val="20"/>
    </w:rPr>
  </w:style>
  <w:style w:type="character" w:styleId="Refdenotaalpie">
    <w:name w:val="footnote reference"/>
    <w:basedOn w:val="Fuentedeprrafopredeter"/>
    <w:uiPriority w:val="99"/>
    <w:semiHidden/>
    <w:unhideWhenUsed/>
    <w:rsid w:val="00555541"/>
    <w:rPr>
      <w:vertAlign w:val="superscript"/>
    </w:rPr>
  </w:style>
  <w:style w:type="character" w:customStyle="1" w:styleId="apple-converted-space">
    <w:name w:val="apple-converted-space"/>
    <w:basedOn w:val="Fuentedeprrafopredeter"/>
    <w:rsid w:val="00914A3F"/>
  </w:style>
  <w:style w:type="paragraph" w:customStyle="1" w:styleId="margender0punto5">
    <w:name w:val="margen_der_0punto5"/>
    <w:basedOn w:val="Normal"/>
    <w:rsid w:val="005D0C0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etra14pt">
    <w:name w:val="letra14pt"/>
    <w:basedOn w:val="Fuentedeprrafopredeter"/>
    <w:rsid w:val="005D0C08"/>
  </w:style>
  <w:style w:type="character" w:styleId="Hipervnculo">
    <w:name w:val="Hyperlink"/>
    <w:uiPriority w:val="99"/>
    <w:unhideWhenUsed/>
    <w:rsid w:val="004B3E3B"/>
    <w:rPr>
      <w:color w:val="0563C1"/>
      <w:u w:val="single"/>
    </w:rPr>
  </w:style>
  <w:style w:type="paragraph" w:customStyle="1" w:styleId="Sangra2detindependiente1">
    <w:name w:val="Sangría 2 de t. independiente1"/>
    <w:basedOn w:val="Normal"/>
    <w:rsid w:val="000778DE"/>
    <w:pPr>
      <w:overflowPunct w:val="0"/>
      <w:autoSpaceDE w:val="0"/>
      <w:autoSpaceDN w:val="0"/>
      <w:adjustRightInd w:val="0"/>
      <w:spacing w:after="0" w:line="360" w:lineRule="auto"/>
      <w:ind w:firstLine="1418"/>
      <w:jc w:val="both"/>
      <w:textAlignment w:val="baseline"/>
    </w:pPr>
    <w:rPr>
      <w:rFonts w:ascii="Arial" w:eastAsia="Times New Roman" w:hAnsi="Arial" w:cs="Times New Roman"/>
      <w:sz w:val="24"/>
      <w:szCs w:val="20"/>
      <w:lang w:val="es-ES" w:eastAsia="es-ES"/>
    </w:rPr>
  </w:style>
  <w:style w:type="paragraph" w:styleId="Sangra3detindependiente">
    <w:name w:val="Body Text Indent 3"/>
    <w:basedOn w:val="Normal"/>
    <w:link w:val="Sangra3detindependienteCar"/>
    <w:uiPriority w:val="99"/>
    <w:rsid w:val="000778DE"/>
    <w:pPr>
      <w:spacing w:after="120" w:line="240" w:lineRule="auto"/>
      <w:ind w:left="283"/>
    </w:pPr>
    <w:rPr>
      <w:rFonts w:ascii="Times New Roman" w:eastAsia="Times New Roman" w:hAnsi="Times New Roman" w:cs="Times New Roman"/>
      <w:sz w:val="16"/>
      <w:szCs w:val="16"/>
      <w:lang w:val="es-ES_tradnl" w:eastAsia="es-ES_tradnl"/>
    </w:rPr>
  </w:style>
  <w:style w:type="character" w:customStyle="1" w:styleId="Sangra3detindependienteCar">
    <w:name w:val="Sangría 3 de t. independiente Car"/>
    <w:basedOn w:val="Fuentedeprrafopredeter"/>
    <w:link w:val="Sangra3detindependiente"/>
    <w:uiPriority w:val="99"/>
    <w:rsid w:val="000778DE"/>
    <w:rPr>
      <w:rFonts w:ascii="Times New Roman" w:eastAsia="Times New Roman" w:hAnsi="Times New Roman" w:cs="Times New Roman"/>
      <w:sz w:val="16"/>
      <w:szCs w:val="16"/>
      <w:lang w:val="es-ES_tradnl" w:eastAsia="es-ES_tradnl"/>
    </w:rPr>
  </w:style>
  <w:style w:type="paragraph" w:styleId="Encabezado">
    <w:name w:val="header"/>
    <w:basedOn w:val="Normal"/>
    <w:link w:val="EncabezadoCar"/>
    <w:uiPriority w:val="99"/>
    <w:unhideWhenUsed/>
    <w:rsid w:val="002951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1ED"/>
  </w:style>
  <w:style w:type="paragraph" w:styleId="Piedepgina">
    <w:name w:val="footer"/>
    <w:basedOn w:val="Normal"/>
    <w:link w:val="PiedepginaCar"/>
    <w:uiPriority w:val="99"/>
    <w:unhideWhenUsed/>
    <w:rsid w:val="002951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1ED"/>
  </w:style>
  <w:style w:type="paragraph" w:styleId="Textodeglobo">
    <w:name w:val="Balloon Text"/>
    <w:basedOn w:val="Normal"/>
    <w:link w:val="TextodegloboCar"/>
    <w:uiPriority w:val="99"/>
    <w:semiHidden/>
    <w:unhideWhenUsed/>
    <w:rsid w:val="009F54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40A"/>
    <w:rPr>
      <w:rFonts w:ascii="Tahoma" w:hAnsi="Tahoma" w:cs="Tahoma"/>
      <w:sz w:val="16"/>
      <w:szCs w:val="16"/>
    </w:rPr>
  </w:style>
  <w:style w:type="paragraph" w:customStyle="1" w:styleId="cuadrculamedia1-nfasis22">
    <w:name w:val="cuadrculamedia1-nfasis22"/>
    <w:basedOn w:val="Normal"/>
    <w:rsid w:val="0098533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6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denotaalfinal1">
    <w:name w:val="refdenotaalfinal1"/>
    <w:basedOn w:val="Normal"/>
    <w:rsid w:val="00647BA1"/>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670ECB"/>
    <w:pPr>
      <w:spacing w:after="0" w:line="240" w:lineRule="auto"/>
    </w:pPr>
  </w:style>
  <w:style w:type="paragraph" w:styleId="Ttulo">
    <w:name w:val="Title"/>
    <w:basedOn w:val="Normal"/>
    <w:link w:val="TtuloCar"/>
    <w:uiPriority w:val="10"/>
    <w:qFormat/>
    <w:rsid w:val="007B5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Car">
    <w:name w:val="Título Car"/>
    <w:basedOn w:val="Fuentedeprrafopredeter"/>
    <w:link w:val="Ttulo"/>
    <w:uiPriority w:val="10"/>
    <w:rsid w:val="007B5BC7"/>
    <w:rPr>
      <w:rFonts w:ascii="Times New Roman" w:eastAsia="Times New Roman" w:hAnsi="Times New Roman" w:cs="Times New Roman"/>
      <w:sz w:val="24"/>
      <w:szCs w:val="24"/>
    </w:rPr>
  </w:style>
  <w:style w:type="paragraph" w:customStyle="1" w:styleId="listparagraph1">
    <w:name w:val="listparagraph1"/>
    <w:basedOn w:val="Normal"/>
    <w:rsid w:val="00574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879">
      <w:bodyDiv w:val="1"/>
      <w:marLeft w:val="0"/>
      <w:marRight w:val="0"/>
      <w:marTop w:val="0"/>
      <w:marBottom w:val="0"/>
      <w:divBdr>
        <w:top w:val="none" w:sz="0" w:space="0" w:color="auto"/>
        <w:left w:val="none" w:sz="0" w:space="0" w:color="auto"/>
        <w:bottom w:val="none" w:sz="0" w:space="0" w:color="auto"/>
        <w:right w:val="none" w:sz="0" w:space="0" w:color="auto"/>
      </w:divBdr>
    </w:div>
    <w:div w:id="196164705">
      <w:bodyDiv w:val="1"/>
      <w:marLeft w:val="0"/>
      <w:marRight w:val="0"/>
      <w:marTop w:val="0"/>
      <w:marBottom w:val="0"/>
      <w:divBdr>
        <w:top w:val="none" w:sz="0" w:space="0" w:color="auto"/>
        <w:left w:val="none" w:sz="0" w:space="0" w:color="auto"/>
        <w:bottom w:val="none" w:sz="0" w:space="0" w:color="auto"/>
        <w:right w:val="none" w:sz="0" w:space="0" w:color="auto"/>
      </w:divBdr>
    </w:div>
    <w:div w:id="201789672">
      <w:bodyDiv w:val="1"/>
      <w:marLeft w:val="0"/>
      <w:marRight w:val="0"/>
      <w:marTop w:val="0"/>
      <w:marBottom w:val="0"/>
      <w:divBdr>
        <w:top w:val="none" w:sz="0" w:space="0" w:color="auto"/>
        <w:left w:val="none" w:sz="0" w:space="0" w:color="auto"/>
        <w:bottom w:val="none" w:sz="0" w:space="0" w:color="auto"/>
        <w:right w:val="none" w:sz="0" w:space="0" w:color="auto"/>
      </w:divBdr>
    </w:div>
    <w:div w:id="255526215">
      <w:bodyDiv w:val="1"/>
      <w:marLeft w:val="0"/>
      <w:marRight w:val="0"/>
      <w:marTop w:val="0"/>
      <w:marBottom w:val="0"/>
      <w:divBdr>
        <w:top w:val="none" w:sz="0" w:space="0" w:color="auto"/>
        <w:left w:val="none" w:sz="0" w:space="0" w:color="auto"/>
        <w:bottom w:val="none" w:sz="0" w:space="0" w:color="auto"/>
        <w:right w:val="none" w:sz="0" w:space="0" w:color="auto"/>
      </w:divBdr>
    </w:div>
    <w:div w:id="320743577">
      <w:bodyDiv w:val="1"/>
      <w:marLeft w:val="0"/>
      <w:marRight w:val="0"/>
      <w:marTop w:val="0"/>
      <w:marBottom w:val="0"/>
      <w:divBdr>
        <w:top w:val="none" w:sz="0" w:space="0" w:color="auto"/>
        <w:left w:val="none" w:sz="0" w:space="0" w:color="auto"/>
        <w:bottom w:val="none" w:sz="0" w:space="0" w:color="auto"/>
        <w:right w:val="none" w:sz="0" w:space="0" w:color="auto"/>
      </w:divBdr>
    </w:div>
    <w:div w:id="382682643">
      <w:bodyDiv w:val="1"/>
      <w:marLeft w:val="0"/>
      <w:marRight w:val="0"/>
      <w:marTop w:val="0"/>
      <w:marBottom w:val="0"/>
      <w:divBdr>
        <w:top w:val="none" w:sz="0" w:space="0" w:color="auto"/>
        <w:left w:val="none" w:sz="0" w:space="0" w:color="auto"/>
        <w:bottom w:val="none" w:sz="0" w:space="0" w:color="auto"/>
        <w:right w:val="none" w:sz="0" w:space="0" w:color="auto"/>
      </w:divBdr>
    </w:div>
    <w:div w:id="547885243">
      <w:bodyDiv w:val="1"/>
      <w:marLeft w:val="0"/>
      <w:marRight w:val="0"/>
      <w:marTop w:val="0"/>
      <w:marBottom w:val="0"/>
      <w:divBdr>
        <w:top w:val="none" w:sz="0" w:space="0" w:color="auto"/>
        <w:left w:val="none" w:sz="0" w:space="0" w:color="auto"/>
        <w:bottom w:val="none" w:sz="0" w:space="0" w:color="auto"/>
        <w:right w:val="none" w:sz="0" w:space="0" w:color="auto"/>
      </w:divBdr>
    </w:div>
    <w:div w:id="894052092">
      <w:bodyDiv w:val="1"/>
      <w:marLeft w:val="0"/>
      <w:marRight w:val="0"/>
      <w:marTop w:val="0"/>
      <w:marBottom w:val="0"/>
      <w:divBdr>
        <w:top w:val="none" w:sz="0" w:space="0" w:color="auto"/>
        <w:left w:val="none" w:sz="0" w:space="0" w:color="auto"/>
        <w:bottom w:val="none" w:sz="0" w:space="0" w:color="auto"/>
        <w:right w:val="none" w:sz="0" w:space="0" w:color="auto"/>
      </w:divBdr>
    </w:div>
    <w:div w:id="903878284">
      <w:bodyDiv w:val="1"/>
      <w:marLeft w:val="0"/>
      <w:marRight w:val="0"/>
      <w:marTop w:val="0"/>
      <w:marBottom w:val="0"/>
      <w:divBdr>
        <w:top w:val="none" w:sz="0" w:space="0" w:color="auto"/>
        <w:left w:val="none" w:sz="0" w:space="0" w:color="auto"/>
        <w:bottom w:val="none" w:sz="0" w:space="0" w:color="auto"/>
        <w:right w:val="none" w:sz="0" w:space="0" w:color="auto"/>
      </w:divBdr>
    </w:div>
    <w:div w:id="976420907">
      <w:bodyDiv w:val="1"/>
      <w:marLeft w:val="0"/>
      <w:marRight w:val="0"/>
      <w:marTop w:val="0"/>
      <w:marBottom w:val="0"/>
      <w:divBdr>
        <w:top w:val="none" w:sz="0" w:space="0" w:color="auto"/>
        <w:left w:val="none" w:sz="0" w:space="0" w:color="auto"/>
        <w:bottom w:val="none" w:sz="0" w:space="0" w:color="auto"/>
        <w:right w:val="none" w:sz="0" w:space="0" w:color="auto"/>
      </w:divBdr>
    </w:div>
    <w:div w:id="995567399">
      <w:bodyDiv w:val="1"/>
      <w:marLeft w:val="0"/>
      <w:marRight w:val="0"/>
      <w:marTop w:val="0"/>
      <w:marBottom w:val="0"/>
      <w:divBdr>
        <w:top w:val="none" w:sz="0" w:space="0" w:color="auto"/>
        <w:left w:val="none" w:sz="0" w:space="0" w:color="auto"/>
        <w:bottom w:val="none" w:sz="0" w:space="0" w:color="auto"/>
        <w:right w:val="none" w:sz="0" w:space="0" w:color="auto"/>
      </w:divBdr>
    </w:div>
    <w:div w:id="1081827767">
      <w:bodyDiv w:val="1"/>
      <w:marLeft w:val="0"/>
      <w:marRight w:val="0"/>
      <w:marTop w:val="0"/>
      <w:marBottom w:val="0"/>
      <w:divBdr>
        <w:top w:val="none" w:sz="0" w:space="0" w:color="auto"/>
        <w:left w:val="none" w:sz="0" w:space="0" w:color="auto"/>
        <w:bottom w:val="none" w:sz="0" w:space="0" w:color="auto"/>
        <w:right w:val="none" w:sz="0" w:space="0" w:color="auto"/>
      </w:divBdr>
    </w:div>
    <w:div w:id="1269193481">
      <w:bodyDiv w:val="1"/>
      <w:marLeft w:val="0"/>
      <w:marRight w:val="0"/>
      <w:marTop w:val="0"/>
      <w:marBottom w:val="0"/>
      <w:divBdr>
        <w:top w:val="none" w:sz="0" w:space="0" w:color="auto"/>
        <w:left w:val="none" w:sz="0" w:space="0" w:color="auto"/>
        <w:bottom w:val="none" w:sz="0" w:space="0" w:color="auto"/>
        <w:right w:val="none" w:sz="0" w:space="0" w:color="auto"/>
      </w:divBdr>
    </w:div>
    <w:div w:id="1324821303">
      <w:bodyDiv w:val="1"/>
      <w:marLeft w:val="0"/>
      <w:marRight w:val="0"/>
      <w:marTop w:val="0"/>
      <w:marBottom w:val="0"/>
      <w:divBdr>
        <w:top w:val="none" w:sz="0" w:space="0" w:color="auto"/>
        <w:left w:val="none" w:sz="0" w:space="0" w:color="auto"/>
        <w:bottom w:val="none" w:sz="0" w:space="0" w:color="auto"/>
        <w:right w:val="none" w:sz="0" w:space="0" w:color="auto"/>
      </w:divBdr>
    </w:div>
    <w:div w:id="1883789493">
      <w:bodyDiv w:val="1"/>
      <w:marLeft w:val="0"/>
      <w:marRight w:val="0"/>
      <w:marTop w:val="0"/>
      <w:marBottom w:val="0"/>
      <w:divBdr>
        <w:top w:val="none" w:sz="0" w:space="0" w:color="auto"/>
        <w:left w:val="none" w:sz="0" w:space="0" w:color="auto"/>
        <w:bottom w:val="none" w:sz="0" w:space="0" w:color="auto"/>
        <w:right w:val="none" w:sz="0" w:space="0" w:color="auto"/>
      </w:divBdr>
    </w:div>
    <w:div w:id="1947227392">
      <w:bodyDiv w:val="1"/>
      <w:marLeft w:val="0"/>
      <w:marRight w:val="0"/>
      <w:marTop w:val="0"/>
      <w:marBottom w:val="0"/>
      <w:divBdr>
        <w:top w:val="none" w:sz="0" w:space="0" w:color="auto"/>
        <w:left w:val="none" w:sz="0" w:space="0" w:color="auto"/>
        <w:bottom w:val="none" w:sz="0" w:space="0" w:color="auto"/>
        <w:right w:val="none" w:sz="0" w:space="0" w:color="auto"/>
      </w:divBdr>
    </w:div>
    <w:div w:id="20529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docs/casos/articulos/seriec_255_e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99B3E-C61D-4510-AE24-65AAF8CD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7073</Words>
  <Characters>38902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LEIDER</dc:creator>
  <cp:lastModifiedBy>hasbleidy suarez</cp:lastModifiedBy>
  <cp:revision>3</cp:revision>
  <cp:lastPrinted>2017-05-02T21:59:00Z</cp:lastPrinted>
  <dcterms:created xsi:type="dcterms:W3CDTF">2017-05-03T16:34:00Z</dcterms:created>
  <dcterms:modified xsi:type="dcterms:W3CDTF">2017-05-03T17:04:00Z</dcterms:modified>
</cp:coreProperties>
</file>