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48E48" w14:textId="77777777" w:rsidR="007C0F74" w:rsidRDefault="00FE50F1" w:rsidP="00F76FF5">
      <w:pPr>
        <w:spacing w:line="240" w:lineRule="auto"/>
        <w:contextualSpacing/>
        <w:rPr>
          <w:sz w:val="24"/>
          <w:szCs w:val="24"/>
        </w:rPr>
      </w:pPr>
      <w:bookmarkStart w:id="0" w:name="_GoBack"/>
      <w:bookmarkEnd w:id="0"/>
      <w:r>
        <w:rPr>
          <w:sz w:val="24"/>
          <w:szCs w:val="24"/>
        </w:rPr>
        <w:t xml:space="preserve">Bogotá, D.C., </w:t>
      </w:r>
      <w:r>
        <w:rPr>
          <w:sz w:val="24"/>
          <w:szCs w:val="24"/>
          <w:lang w:val="es-ES"/>
        </w:rPr>
        <w:t>21</w:t>
      </w:r>
      <w:r w:rsidR="007C0F74">
        <w:rPr>
          <w:sz w:val="24"/>
          <w:szCs w:val="24"/>
        </w:rPr>
        <w:t xml:space="preserve"> de abril de 2015</w:t>
      </w:r>
    </w:p>
    <w:p w14:paraId="1AF34BD5" w14:textId="77777777" w:rsidR="007C0F74" w:rsidRDefault="007C0F74" w:rsidP="00F76FF5">
      <w:pPr>
        <w:spacing w:line="240" w:lineRule="auto"/>
        <w:contextualSpacing/>
        <w:rPr>
          <w:sz w:val="24"/>
          <w:szCs w:val="24"/>
        </w:rPr>
      </w:pPr>
    </w:p>
    <w:p w14:paraId="02B0DE88" w14:textId="77777777" w:rsidR="00171B44" w:rsidRDefault="00171B44" w:rsidP="00F76FF5">
      <w:pPr>
        <w:spacing w:line="240" w:lineRule="auto"/>
        <w:contextualSpacing/>
        <w:rPr>
          <w:sz w:val="24"/>
          <w:szCs w:val="24"/>
        </w:rPr>
      </w:pPr>
    </w:p>
    <w:p w14:paraId="5655CB11" w14:textId="77777777" w:rsidR="007C0F74" w:rsidRPr="007C0F74" w:rsidRDefault="007C0F74" w:rsidP="00F76FF5">
      <w:pPr>
        <w:spacing w:line="240" w:lineRule="auto"/>
        <w:contextualSpacing/>
        <w:rPr>
          <w:sz w:val="24"/>
          <w:szCs w:val="24"/>
          <w:lang w:val="es-ES_tradnl"/>
        </w:rPr>
      </w:pPr>
      <w:r>
        <w:rPr>
          <w:sz w:val="24"/>
          <w:szCs w:val="24"/>
        </w:rPr>
        <w:t xml:space="preserve">Honorable </w:t>
      </w:r>
      <w:r w:rsidRPr="007C0F74">
        <w:rPr>
          <w:sz w:val="24"/>
          <w:szCs w:val="24"/>
          <w:lang w:val="es-ES_tradnl"/>
        </w:rPr>
        <w:t>Presidente</w:t>
      </w:r>
    </w:p>
    <w:p w14:paraId="345C25D8" w14:textId="77777777" w:rsidR="007C0F74" w:rsidRPr="007C0F74" w:rsidRDefault="002027B6" w:rsidP="00F76FF5">
      <w:pPr>
        <w:spacing w:line="240" w:lineRule="auto"/>
        <w:contextualSpacing/>
        <w:rPr>
          <w:b/>
          <w:sz w:val="24"/>
          <w:szCs w:val="24"/>
          <w:lang w:val="es-ES_tradnl"/>
        </w:rPr>
      </w:pPr>
      <w:r>
        <w:rPr>
          <w:b/>
          <w:sz w:val="24"/>
          <w:szCs w:val="24"/>
          <w:lang w:val="es-ES_tradnl"/>
        </w:rPr>
        <w:t>FABIO RAÚL AMÍN SALEME</w:t>
      </w:r>
    </w:p>
    <w:p w14:paraId="4E2491B4" w14:textId="77777777" w:rsidR="007C0F74" w:rsidRPr="007C0F74" w:rsidRDefault="007C0F74" w:rsidP="00F76FF5">
      <w:pPr>
        <w:spacing w:line="240" w:lineRule="auto"/>
        <w:contextualSpacing/>
        <w:rPr>
          <w:sz w:val="24"/>
          <w:szCs w:val="24"/>
          <w:lang w:val="es-ES_tradnl"/>
        </w:rPr>
      </w:pPr>
      <w:r w:rsidRPr="007C0F74">
        <w:rPr>
          <w:sz w:val="24"/>
          <w:szCs w:val="24"/>
          <w:lang w:val="es-ES_tradnl"/>
        </w:rPr>
        <w:t>Mesa Directiva</w:t>
      </w:r>
    </w:p>
    <w:p w14:paraId="6BF6961B" w14:textId="77777777" w:rsidR="007C0F74" w:rsidRPr="007C0F74" w:rsidRDefault="002027B6" w:rsidP="00F76FF5">
      <w:pPr>
        <w:spacing w:line="240" w:lineRule="auto"/>
        <w:contextualSpacing/>
        <w:rPr>
          <w:sz w:val="24"/>
          <w:szCs w:val="24"/>
          <w:lang w:val="es-ES_tradnl"/>
        </w:rPr>
      </w:pPr>
      <w:r>
        <w:rPr>
          <w:sz w:val="24"/>
          <w:szCs w:val="24"/>
          <w:lang w:val="es-ES_tradnl"/>
        </w:rPr>
        <w:t>Cámara de Representantes</w:t>
      </w:r>
    </w:p>
    <w:p w14:paraId="6DE98357" w14:textId="77777777" w:rsidR="007C0F74" w:rsidRPr="007C0F74" w:rsidRDefault="007C0F74" w:rsidP="00F76FF5">
      <w:pPr>
        <w:spacing w:line="240" w:lineRule="auto"/>
        <w:contextualSpacing/>
        <w:rPr>
          <w:sz w:val="24"/>
          <w:szCs w:val="24"/>
          <w:lang w:val="es-ES_tradnl"/>
        </w:rPr>
      </w:pPr>
      <w:r w:rsidRPr="007C0F74">
        <w:rPr>
          <w:sz w:val="24"/>
          <w:szCs w:val="24"/>
          <w:lang w:val="es-ES_tradnl"/>
        </w:rPr>
        <w:t>E.</w:t>
      </w:r>
      <w:r w:rsidRPr="007C0F74">
        <w:rPr>
          <w:sz w:val="24"/>
          <w:szCs w:val="24"/>
          <w:lang w:val="es-ES_tradnl"/>
        </w:rPr>
        <w:tab/>
      </w:r>
      <w:r w:rsidRPr="007C0F74">
        <w:rPr>
          <w:sz w:val="24"/>
          <w:szCs w:val="24"/>
          <w:lang w:val="es-ES_tradnl"/>
        </w:rPr>
        <w:tab/>
        <w:t>S.</w:t>
      </w:r>
      <w:r w:rsidRPr="007C0F74">
        <w:rPr>
          <w:sz w:val="24"/>
          <w:szCs w:val="24"/>
          <w:lang w:val="es-ES_tradnl"/>
        </w:rPr>
        <w:tab/>
      </w:r>
      <w:r w:rsidRPr="007C0F74">
        <w:rPr>
          <w:sz w:val="24"/>
          <w:szCs w:val="24"/>
          <w:lang w:val="es-ES_tradnl"/>
        </w:rPr>
        <w:tab/>
        <w:t>D.</w:t>
      </w:r>
    </w:p>
    <w:p w14:paraId="3260926C" w14:textId="77777777" w:rsidR="007C0F74" w:rsidRDefault="007C0F74" w:rsidP="00F76FF5">
      <w:pPr>
        <w:spacing w:line="240" w:lineRule="auto"/>
        <w:contextualSpacing/>
        <w:rPr>
          <w:b/>
          <w:sz w:val="24"/>
          <w:szCs w:val="24"/>
          <w:lang w:val="es-ES_tradnl"/>
        </w:rPr>
      </w:pPr>
    </w:p>
    <w:p w14:paraId="3DDE0FC7" w14:textId="77777777" w:rsidR="008971E5" w:rsidRPr="007C0F74" w:rsidRDefault="008971E5" w:rsidP="00F76FF5">
      <w:pPr>
        <w:spacing w:line="240" w:lineRule="auto"/>
        <w:contextualSpacing/>
        <w:rPr>
          <w:b/>
          <w:sz w:val="24"/>
          <w:szCs w:val="24"/>
          <w:lang w:val="es-ES_tradnl"/>
        </w:rPr>
      </w:pPr>
    </w:p>
    <w:p w14:paraId="0B101745" w14:textId="77777777" w:rsidR="007C0F74" w:rsidRPr="007C0F74" w:rsidRDefault="007C0F74" w:rsidP="00F76FF5">
      <w:pPr>
        <w:spacing w:line="240" w:lineRule="auto"/>
        <w:ind w:left="2124" w:hanging="2124"/>
        <w:contextualSpacing/>
        <w:rPr>
          <w:b/>
          <w:i/>
          <w:sz w:val="24"/>
          <w:szCs w:val="24"/>
        </w:rPr>
      </w:pPr>
      <w:r w:rsidRPr="007C0F74">
        <w:rPr>
          <w:b/>
          <w:sz w:val="24"/>
          <w:szCs w:val="24"/>
          <w:lang w:val="es-ES_tradnl"/>
        </w:rPr>
        <w:t>Asunto:</w:t>
      </w:r>
      <w:r>
        <w:rPr>
          <w:b/>
          <w:sz w:val="24"/>
          <w:szCs w:val="24"/>
          <w:lang w:val="es-ES_tradnl"/>
        </w:rPr>
        <w:tab/>
      </w:r>
      <w:r>
        <w:rPr>
          <w:b/>
          <w:i/>
          <w:sz w:val="24"/>
          <w:szCs w:val="24"/>
          <w:lang w:val="es-ES_tradnl"/>
        </w:rPr>
        <w:t xml:space="preserve">Proyecto de ley </w:t>
      </w:r>
      <w:r w:rsidRPr="007C0F74">
        <w:rPr>
          <w:b/>
          <w:i/>
          <w:sz w:val="24"/>
          <w:szCs w:val="24"/>
        </w:rPr>
        <w:t xml:space="preserve">“Por medio del cual se establece un </w:t>
      </w:r>
      <w:r w:rsidR="00253380">
        <w:rPr>
          <w:b/>
          <w:i/>
          <w:sz w:val="24"/>
          <w:szCs w:val="24"/>
        </w:rPr>
        <w:t>límite al incremento anual del Impuesto Predial U</w:t>
      </w:r>
      <w:r w:rsidRPr="007C0F74">
        <w:rPr>
          <w:b/>
          <w:i/>
          <w:sz w:val="24"/>
          <w:szCs w:val="24"/>
        </w:rPr>
        <w:t>nificado”</w:t>
      </w:r>
      <w:r w:rsidR="00290EB9">
        <w:rPr>
          <w:b/>
          <w:i/>
          <w:sz w:val="24"/>
          <w:szCs w:val="24"/>
        </w:rPr>
        <w:t>.</w:t>
      </w:r>
    </w:p>
    <w:p w14:paraId="03595A9B" w14:textId="77777777" w:rsidR="007C0F74" w:rsidRDefault="007C0F74" w:rsidP="00F76FF5">
      <w:pPr>
        <w:spacing w:line="240" w:lineRule="auto"/>
        <w:contextualSpacing/>
        <w:rPr>
          <w:i/>
          <w:sz w:val="24"/>
          <w:szCs w:val="24"/>
        </w:rPr>
      </w:pPr>
    </w:p>
    <w:p w14:paraId="15F5AA0D" w14:textId="77777777" w:rsidR="00171B44" w:rsidRDefault="00171B44" w:rsidP="00F76FF5">
      <w:pPr>
        <w:spacing w:line="240" w:lineRule="auto"/>
        <w:contextualSpacing/>
        <w:rPr>
          <w:i/>
          <w:sz w:val="24"/>
          <w:szCs w:val="24"/>
        </w:rPr>
      </w:pPr>
    </w:p>
    <w:p w14:paraId="0C8981FA" w14:textId="77777777" w:rsidR="007C0F74" w:rsidRPr="007C0F74" w:rsidRDefault="007C0F74" w:rsidP="00F76FF5">
      <w:pPr>
        <w:spacing w:line="240" w:lineRule="auto"/>
        <w:contextualSpacing/>
        <w:jc w:val="both"/>
        <w:rPr>
          <w:sz w:val="24"/>
          <w:szCs w:val="24"/>
          <w:lang w:val="es-ES_tradnl"/>
        </w:rPr>
      </w:pPr>
      <w:r w:rsidRPr="007C0F74">
        <w:rPr>
          <w:sz w:val="24"/>
          <w:szCs w:val="24"/>
          <w:lang w:val="es-ES_tradnl"/>
        </w:rPr>
        <w:t>Respetado Presidente:</w:t>
      </w:r>
    </w:p>
    <w:p w14:paraId="124C11B7" w14:textId="77777777" w:rsidR="007C0F74" w:rsidRPr="007C0F74" w:rsidRDefault="007C0F74" w:rsidP="00F76FF5">
      <w:pPr>
        <w:spacing w:line="240" w:lineRule="auto"/>
        <w:contextualSpacing/>
        <w:jc w:val="both"/>
        <w:rPr>
          <w:sz w:val="24"/>
          <w:szCs w:val="24"/>
          <w:lang w:val="es-ES_tradnl"/>
        </w:rPr>
      </w:pPr>
    </w:p>
    <w:p w14:paraId="0B504E4F" w14:textId="77777777" w:rsidR="007C0F74" w:rsidRPr="007C0F74" w:rsidRDefault="007C0F74" w:rsidP="00F76FF5">
      <w:pPr>
        <w:spacing w:line="240" w:lineRule="auto"/>
        <w:contextualSpacing/>
        <w:jc w:val="both"/>
        <w:rPr>
          <w:b/>
          <w:i/>
          <w:sz w:val="24"/>
          <w:szCs w:val="24"/>
        </w:rPr>
      </w:pPr>
      <w:r w:rsidRPr="007C0F74">
        <w:rPr>
          <w:sz w:val="24"/>
          <w:szCs w:val="24"/>
          <w:lang w:val="es-ES_tradnl"/>
        </w:rPr>
        <w:t xml:space="preserve">En ejercicio de la facultad prevista en el artículo 150 de la Constitución Política y del artículo 140 numeral 1º de la Ley 5 de 1992, presento a consideración del Congreso de la República el presente proyecto de ley, </w:t>
      </w:r>
      <w:r w:rsidRPr="007C0F74">
        <w:rPr>
          <w:i/>
          <w:sz w:val="24"/>
          <w:szCs w:val="24"/>
        </w:rPr>
        <w:t>“Por medio del cual se establece un límite al incremento anual del impuesto predial unificado”</w:t>
      </w:r>
      <w:r w:rsidR="00472AB2">
        <w:rPr>
          <w:i/>
          <w:sz w:val="24"/>
          <w:szCs w:val="24"/>
        </w:rPr>
        <w:t>.</w:t>
      </w:r>
    </w:p>
    <w:p w14:paraId="22D8E25A" w14:textId="77777777" w:rsidR="007C0F74" w:rsidRPr="007C0F74" w:rsidRDefault="007C0F74" w:rsidP="00F76FF5">
      <w:pPr>
        <w:spacing w:line="240" w:lineRule="auto"/>
        <w:contextualSpacing/>
        <w:jc w:val="both"/>
        <w:rPr>
          <w:sz w:val="24"/>
          <w:szCs w:val="24"/>
          <w:lang w:val="es-ES_tradnl"/>
        </w:rPr>
      </w:pPr>
    </w:p>
    <w:p w14:paraId="75704C44" w14:textId="77777777" w:rsidR="007C0F74" w:rsidRPr="007C0F74" w:rsidRDefault="007C0F74" w:rsidP="00F76FF5">
      <w:pPr>
        <w:spacing w:line="240" w:lineRule="auto"/>
        <w:contextualSpacing/>
        <w:jc w:val="both"/>
        <w:rPr>
          <w:sz w:val="24"/>
          <w:szCs w:val="24"/>
          <w:lang w:val="es-ES_tradnl"/>
        </w:rPr>
      </w:pPr>
      <w:r w:rsidRPr="007C0F74">
        <w:rPr>
          <w:sz w:val="24"/>
          <w:szCs w:val="24"/>
          <w:lang w:val="es-ES_tradnl"/>
        </w:rPr>
        <w:t>La exposición de motivos que acompaña el proyecto</w:t>
      </w:r>
      <w:r w:rsidR="00472AB2">
        <w:rPr>
          <w:sz w:val="24"/>
          <w:szCs w:val="24"/>
          <w:lang w:val="es-ES_tradnl"/>
        </w:rPr>
        <w:t xml:space="preserve"> de ley</w:t>
      </w:r>
      <w:r w:rsidRPr="007C0F74">
        <w:rPr>
          <w:sz w:val="24"/>
          <w:szCs w:val="24"/>
          <w:lang w:val="es-ES_tradnl"/>
        </w:rPr>
        <w:t xml:space="preserve"> se estructura de la siguiente manera:</w:t>
      </w:r>
    </w:p>
    <w:p w14:paraId="702AC808" w14:textId="77777777" w:rsidR="007C0F74" w:rsidRPr="007C0F74" w:rsidRDefault="007C0F74" w:rsidP="00F76FF5">
      <w:pPr>
        <w:spacing w:line="240" w:lineRule="auto"/>
        <w:contextualSpacing/>
        <w:rPr>
          <w:i/>
          <w:sz w:val="24"/>
          <w:szCs w:val="24"/>
        </w:rPr>
      </w:pPr>
    </w:p>
    <w:p w14:paraId="3448DA83" w14:textId="77777777" w:rsidR="007C0F74" w:rsidRDefault="007C0F74" w:rsidP="00F76FF5">
      <w:pPr>
        <w:pStyle w:val="Prrafodelista"/>
        <w:numPr>
          <w:ilvl w:val="0"/>
          <w:numId w:val="19"/>
        </w:numPr>
        <w:spacing w:line="240" w:lineRule="auto"/>
        <w:rPr>
          <w:sz w:val="24"/>
          <w:szCs w:val="24"/>
        </w:rPr>
      </w:pPr>
      <w:r w:rsidRPr="007C0F74">
        <w:rPr>
          <w:sz w:val="24"/>
          <w:szCs w:val="24"/>
        </w:rPr>
        <w:t>Introducción</w:t>
      </w:r>
    </w:p>
    <w:p w14:paraId="69F393F3" w14:textId="77777777" w:rsidR="007D056D" w:rsidRPr="007C0F74" w:rsidRDefault="007D056D" w:rsidP="00F76FF5">
      <w:pPr>
        <w:pStyle w:val="Prrafodelista"/>
        <w:numPr>
          <w:ilvl w:val="0"/>
          <w:numId w:val="19"/>
        </w:numPr>
        <w:spacing w:line="240" w:lineRule="auto"/>
        <w:rPr>
          <w:sz w:val="24"/>
          <w:szCs w:val="24"/>
        </w:rPr>
      </w:pPr>
      <w:r>
        <w:rPr>
          <w:sz w:val="24"/>
          <w:szCs w:val="24"/>
        </w:rPr>
        <w:t>Marco jurídico</w:t>
      </w:r>
    </w:p>
    <w:p w14:paraId="407FD29B" w14:textId="77777777" w:rsidR="007C0F74" w:rsidRPr="007C0F74" w:rsidRDefault="00472AB2" w:rsidP="00F76FF5">
      <w:pPr>
        <w:pStyle w:val="Prrafodelista"/>
        <w:numPr>
          <w:ilvl w:val="0"/>
          <w:numId w:val="19"/>
        </w:numPr>
        <w:spacing w:line="240" w:lineRule="auto"/>
        <w:rPr>
          <w:sz w:val="24"/>
          <w:szCs w:val="24"/>
        </w:rPr>
      </w:pPr>
      <w:r>
        <w:rPr>
          <w:sz w:val="24"/>
          <w:szCs w:val="24"/>
        </w:rPr>
        <w:t>Descripc</w:t>
      </w:r>
      <w:r w:rsidR="007C0F74" w:rsidRPr="007C0F74">
        <w:rPr>
          <w:sz w:val="24"/>
          <w:szCs w:val="24"/>
        </w:rPr>
        <w:t>ión de la problemática</w:t>
      </w:r>
    </w:p>
    <w:p w14:paraId="02BF4B6B" w14:textId="77777777" w:rsidR="007C0F74" w:rsidRPr="007C0F74" w:rsidRDefault="007C0F74" w:rsidP="00F76FF5">
      <w:pPr>
        <w:pStyle w:val="Prrafodelista"/>
        <w:numPr>
          <w:ilvl w:val="1"/>
          <w:numId w:val="19"/>
        </w:numPr>
        <w:spacing w:line="240" w:lineRule="auto"/>
        <w:jc w:val="both"/>
        <w:rPr>
          <w:sz w:val="24"/>
          <w:szCs w:val="24"/>
        </w:rPr>
      </w:pPr>
      <w:r w:rsidRPr="007C0F74">
        <w:rPr>
          <w:sz w:val="24"/>
          <w:szCs w:val="24"/>
        </w:rPr>
        <w:t>Dinámica poblacional, económica y avalúos comerciales</w:t>
      </w:r>
    </w:p>
    <w:p w14:paraId="7FBD09CE" w14:textId="77777777" w:rsidR="007C0F74" w:rsidRPr="007C0F74" w:rsidRDefault="007C0F74" w:rsidP="00F76FF5">
      <w:pPr>
        <w:pStyle w:val="Prrafodelista"/>
        <w:numPr>
          <w:ilvl w:val="1"/>
          <w:numId w:val="19"/>
        </w:numPr>
        <w:spacing w:line="240" w:lineRule="auto"/>
        <w:jc w:val="both"/>
        <w:rPr>
          <w:sz w:val="24"/>
          <w:szCs w:val="24"/>
        </w:rPr>
      </w:pPr>
      <w:r w:rsidRPr="007C0F74">
        <w:rPr>
          <w:sz w:val="24"/>
          <w:szCs w:val="24"/>
        </w:rPr>
        <w:t>Impuesto predial, avalúos catastrales y su dinámica reciente</w:t>
      </w:r>
    </w:p>
    <w:p w14:paraId="122E1E0D" w14:textId="77777777" w:rsidR="007C0F74" w:rsidRDefault="007C0F74" w:rsidP="00F76FF5">
      <w:pPr>
        <w:pStyle w:val="Prrafodelista"/>
        <w:numPr>
          <w:ilvl w:val="1"/>
          <w:numId w:val="19"/>
        </w:numPr>
        <w:spacing w:line="240" w:lineRule="auto"/>
        <w:rPr>
          <w:sz w:val="24"/>
          <w:szCs w:val="24"/>
        </w:rPr>
      </w:pPr>
      <w:r w:rsidRPr="007C0F74">
        <w:rPr>
          <w:sz w:val="24"/>
          <w:szCs w:val="24"/>
        </w:rPr>
        <w:t>Capacidad de pago de los contribuyentes</w:t>
      </w:r>
    </w:p>
    <w:p w14:paraId="0E4386A8" w14:textId="77777777" w:rsidR="00F76FF5" w:rsidRPr="00F76FF5" w:rsidRDefault="00F76FF5" w:rsidP="00F76FF5">
      <w:pPr>
        <w:pStyle w:val="Prrafodelista"/>
        <w:numPr>
          <w:ilvl w:val="1"/>
          <w:numId w:val="19"/>
        </w:numPr>
        <w:spacing w:line="240" w:lineRule="auto"/>
        <w:jc w:val="both"/>
        <w:rPr>
          <w:sz w:val="24"/>
          <w:szCs w:val="24"/>
        </w:rPr>
      </w:pPr>
      <w:r w:rsidRPr="00F76FF5">
        <w:rPr>
          <w:sz w:val="24"/>
          <w:szCs w:val="24"/>
        </w:rPr>
        <w:t>Los efectos de los mayores avalúos sobre el impuesto a la riqueza</w:t>
      </w:r>
    </w:p>
    <w:p w14:paraId="4F919BC5" w14:textId="77777777" w:rsidR="007C0F74" w:rsidRDefault="007C0F74" w:rsidP="00F76FF5">
      <w:pPr>
        <w:pStyle w:val="Prrafodelista"/>
        <w:numPr>
          <w:ilvl w:val="0"/>
          <w:numId w:val="19"/>
        </w:numPr>
        <w:spacing w:line="240" w:lineRule="auto"/>
        <w:rPr>
          <w:sz w:val="24"/>
          <w:szCs w:val="24"/>
        </w:rPr>
      </w:pPr>
      <w:r>
        <w:rPr>
          <w:sz w:val="24"/>
          <w:szCs w:val="24"/>
        </w:rPr>
        <w:t>Explicación del articulado del proyecto</w:t>
      </w:r>
      <w:r w:rsidR="00472AB2">
        <w:rPr>
          <w:sz w:val="24"/>
          <w:szCs w:val="24"/>
        </w:rPr>
        <w:t xml:space="preserve"> de ley</w:t>
      </w:r>
    </w:p>
    <w:p w14:paraId="2011AC03" w14:textId="77777777" w:rsidR="007C0F74" w:rsidRDefault="004050B9" w:rsidP="00F76FF5">
      <w:pPr>
        <w:pStyle w:val="Prrafodelista"/>
        <w:numPr>
          <w:ilvl w:val="0"/>
          <w:numId w:val="19"/>
        </w:numPr>
        <w:spacing w:line="240" w:lineRule="auto"/>
        <w:rPr>
          <w:sz w:val="24"/>
          <w:szCs w:val="24"/>
        </w:rPr>
      </w:pPr>
      <w:r>
        <w:rPr>
          <w:sz w:val="24"/>
          <w:szCs w:val="24"/>
        </w:rPr>
        <w:t>Texto del proyecto de ley</w:t>
      </w:r>
    </w:p>
    <w:p w14:paraId="6100A197" w14:textId="77777777" w:rsidR="004050B9" w:rsidRPr="005A04CE" w:rsidRDefault="004050B9" w:rsidP="005A04CE">
      <w:pPr>
        <w:spacing w:line="240" w:lineRule="auto"/>
        <w:rPr>
          <w:sz w:val="24"/>
          <w:szCs w:val="24"/>
        </w:rPr>
      </w:pPr>
    </w:p>
    <w:p w14:paraId="70440807" w14:textId="77777777" w:rsidR="003025F9" w:rsidRPr="003025F9" w:rsidRDefault="007C0F74" w:rsidP="00F76FF5">
      <w:pPr>
        <w:pStyle w:val="Prrafodelista"/>
        <w:numPr>
          <w:ilvl w:val="0"/>
          <w:numId w:val="18"/>
        </w:numPr>
        <w:spacing w:line="240" w:lineRule="auto"/>
        <w:rPr>
          <w:b/>
          <w:sz w:val="24"/>
          <w:szCs w:val="24"/>
        </w:rPr>
      </w:pPr>
      <w:r w:rsidRPr="007C0F74">
        <w:rPr>
          <w:b/>
          <w:sz w:val="24"/>
          <w:szCs w:val="24"/>
        </w:rPr>
        <w:t>INTRODUCCIÓN</w:t>
      </w:r>
    </w:p>
    <w:p w14:paraId="7CF4DD24" w14:textId="77777777" w:rsidR="007C0F74" w:rsidRDefault="007C0F74" w:rsidP="00F76FF5">
      <w:pPr>
        <w:spacing w:line="240" w:lineRule="auto"/>
        <w:contextualSpacing/>
        <w:jc w:val="both"/>
        <w:rPr>
          <w:sz w:val="24"/>
          <w:szCs w:val="24"/>
        </w:rPr>
      </w:pPr>
      <w:r w:rsidRPr="007C0F74">
        <w:rPr>
          <w:sz w:val="24"/>
          <w:szCs w:val="24"/>
        </w:rPr>
        <w:t>Una cantidad creciente de contribuyentes de ciudades como Bogotá, Medellín y Pereira, entre otras, han manifestado en los últimos meses su inconformidad con los aumentos desmesurados en el impuesto predial. Muchos propietarios participan en manifestaciones exhibiendo carteles en los cuales anuncian que deberán vender sus casas para poder pagar el impuesto predial.</w:t>
      </w:r>
    </w:p>
    <w:p w14:paraId="58D49DCC" w14:textId="77777777" w:rsidR="007C0F74" w:rsidRPr="007C0F74" w:rsidRDefault="007C0F74" w:rsidP="00F76FF5">
      <w:pPr>
        <w:spacing w:line="240" w:lineRule="auto"/>
        <w:contextualSpacing/>
        <w:jc w:val="both"/>
        <w:rPr>
          <w:sz w:val="24"/>
          <w:szCs w:val="24"/>
        </w:rPr>
      </w:pPr>
    </w:p>
    <w:p w14:paraId="6FB66E5A" w14:textId="77777777" w:rsidR="007C0F74" w:rsidRDefault="007C0F74" w:rsidP="00F76FF5">
      <w:pPr>
        <w:spacing w:line="240" w:lineRule="auto"/>
        <w:contextualSpacing/>
        <w:jc w:val="both"/>
        <w:rPr>
          <w:sz w:val="24"/>
          <w:szCs w:val="24"/>
        </w:rPr>
      </w:pPr>
      <w:r w:rsidRPr="007C0F74">
        <w:rPr>
          <w:sz w:val="24"/>
          <w:szCs w:val="24"/>
        </w:rPr>
        <w:t>Si bien existen razones que explican el mayor valor de los predios, el efecto acumulado de varios años está generando una afectación importante a los pr</w:t>
      </w:r>
      <w:r w:rsidR="00253380">
        <w:rPr>
          <w:sz w:val="24"/>
          <w:szCs w:val="24"/>
        </w:rPr>
        <w:t>opietarios que no es sostenible</w:t>
      </w:r>
      <w:r w:rsidRPr="007C0F74">
        <w:rPr>
          <w:sz w:val="24"/>
          <w:szCs w:val="24"/>
        </w:rPr>
        <w:t xml:space="preserve"> y que se podría extender a otras ciudades del país</w:t>
      </w:r>
      <w:r w:rsidR="00253380">
        <w:rPr>
          <w:sz w:val="24"/>
          <w:szCs w:val="24"/>
        </w:rPr>
        <w:t>,</w:t>
      </w:r>
      <w:r w:rsidRPr="007C0F74">
        <w:rPr>
          <w:sz w:val="24"/>
          <w:szCs w:val="24"/>
        </w:rPr>
        <w:t xml:space="preserve"> convirtiéndose en un factor de perturbación</w:t>
      </w:r>
      <w:r w:rsidR="00D17F39">
        <w:rPr>
          <w:sz w:val="24"/>
          <w:szCs w:val="24"/>
        </w:rPr>
        <w:t xml:space="preserve"> social</w:t>
      </w:r>
      <w:r w:rsidRPr="007C0F74">
        <w:rPr>
          <w:sz w:val="24"/>
          <w:szCs w:val="24"/>
        </w:rPr>
        <w:t>. Por lo anterior, es urgente que el Congreso de la República establezca límites para que el va</w:t>
      </w:r>
      <w:r w:rsidR="00472AB2">
        <w:rPr>
          <w:sz w:val="24"/>
          <w:szCs w:val="24"/>
        </w:rPr>
        <w:t>lor del impuesto predial sea acorde a</w:t>
      </w:r>
      <w:r w:rsidRPr="007C0F74">
        <w:rPr>
          <w:sz w:val="24"/>
          <w:szCs w:val="24"/>
        </w:rPr>
        <w:t xml:space="preserve"> la capacidad de pago de los contribuyentes, de tal forma que se corrijan los excesos que actualmente se vienen presentando.</w:t>
      </w:r>
    </w:p>
    <w:p w14:paraId="44B46B54" w14:textId="77777777" w:rsidR="00D17F39" w:rsidRPr="007C0F74" w:rsidRDefault="00D17F39" w:rsidP="00F76FF5">
      <w:pPr>
        <w:spacing w:line="240" w:lineRule="auto"/>
        <w:contextualSpacing/>
        <w:jc w:val="both"/>
        <w:rPr>
          <w:sz w:val="24"/>
          <w:szCs w:val="24"/>
        </w:rPr>
      </w:pPr>
    </w:p>
    <w:p w14:paraId="58866070" w14:textId="77777777" w:rsidR="007C0F74" w:rsidRPr="007C0F74" w:rsidRDefault="007C0F74" w:rsidP="00F76FF5">
      <w:pPr>
        <w:spacing w:line="240" w:lineRule="auto"/>
        <w:contextualSpacing/>
        <w:jc w:val="both"/>
        <w:rPr>
          <w:sz w:val="24"/>
          <w:szCs w:val="24"/>
        </w:rPr>
      </w:pPr>
      <w:r w:rsidRPr="007C0F74">
        <w:rPr>
          <w:sz w:val="24"/>
          <w:szCs w:val="24"/>
        </w:rPr>
        <w:t xml:space="preserve">De acuerdo con la normatividad vigente, los elementos básicos que determinan el impuesto predial unificado son: </w:t>
      </w:r>
    </w:p>
    <w:p w14:paraId="362E8A3F" w14:textId="77777777" w:rsidR="007C0F74" w:rsidRPr="007C0F74" w:rsidRDefault="007C0F74" w:rsidP="00F76FF5">
      <w:pPr>
        <w:pStyle w:val="Prrafodelista"/>
        <w:numPr>
          <w:ilvl w:val="0"/>
          <w:numId w:val="15"/>
        </w:numPr>
        <w:spacing w:line="240" w:lineRule="auto"/>
        <w:jc w:val="both"/>
        <w:rPr>
          <w:sz w:val="24"/>
          <w:szCs w:val="24"/>
        </w:rPr>
      </w:pPr>
      <w:r w:rsidRPr="007C0F74">
        <w:rPr>
          <w:sz w:val="24"/>
          <w:szCs w:val="24"/>
        </w:rPr>
        <w:t>La base gravable que tiene como piso el avalúo catastral determinado por las autoridades, el cual no puede ser menor al 60% del valor comercial (</w:t>
      </w:r>
      <w:r w:rsidR="00D17F39">
        <w:rPr>
          <w:sz w:val="24"/>
          <w:szCs w:val="24"/>
        </w:rPr>
        <w:t xml:space="preserve">artículo 24, </w:t>
      </w:r>
      <w:r w:rsidRPr="007C0F74">
        <w:rPr>
          <w:sz w:val="24"/>
          <w:szCs w:val="24"/>
        </w:rPr>
        <w:t>Ley 1450 de 2011</w:t>
      </w:r>
      <w:r w:rsidR="00D17F39">
        <w:rPr>
          <w:sz w:val="24"/>
          <w:szCs w:val="24"/>
        </w:rPr>
        <w:t xml:space="preserve">); </w:t>
      </w:r>
      <w:r w:rsidRPr="007C0F74">
        <w:rPr>
          <w:sz w:val="24"/>
          <w:szCs w:val="24"/>
        </w:rPr>
        <w:t xml:space="preserve">y </w:t>
      </w:r>
    </w:p>
    <w:p w14:paraId="327A5965" w14:textId="77777777" w:rsidR="007C0F74" w:rsidRPr="007C0F74" w:rsidRDefault="007C0F74" w:rsidP="00F76FF5">
      <w:pPr>
        <w:pStyle w:val="Prrafodelista"/>
        <w:spacing w:line="240" w:lineRule="auto"/>
        <w:ind w:left="1428"/>
        <w:jc w:val="both"/>
        <w:rPr>
          <w:sz w:val="24"/>
          <w:szCs w:val="24"/>
        </w:rPr>
      </w:pPr>
    </w:p>
    <w:p w14:paraId="1AC44E9C" w14:textId="77777777" w:rsidR="007C0F74" w:rsidRPr="007C0F74" w:rsidRDefault="007C0F74" w:rsidP="00F76FF5">
      <w:pPr>
        <w:pStyle w:val="Prrafodelista"/>
        <w:numPr>
          <w:ilvl w:val="0"/>
          <w:numId w:val="15"/>
        </w:numPr>
        <w:spacing w:line="240" w:lineRule="auto"/>
        <w:jc w:val="both"/>
        <w:rPr>
          <w:sz w:val="24"/>
          <w:szCs w:val="24"/>
        </w:rPr>
      </w:pPr>
      <w:r w:rsidRPr="007C0F74">
        <w:rPr>
          <w:sz w:val="24"/>
          <w:szCs w:val="24"/>
        </w:rPr>
        <w:t>Las tarifas que con autonomía establecen las autoridades locales (Concejos) en un rango entre el 5 y el 16 por mil (</w:t>
      </w:r>
      <w:r w:rsidR="00C57577">
        <w:rPr>
          <w:sz w:val="24"/>
          <w:szCs w:val="24"/>
        </w:rPr>
        <w:t>a</w:t>
      </w:r>
      <w:r w:rsidR="00D17F39">
        <w:rPr>
          <w:sz w:val="24"/>
          <w:szCs w:val="24"/>
        </w:rPr>
        <w:t>rtíc</w:t>
      </w:r>
      <w:r w:rsidR="00C57577">
        <w:rPr>
          <w:sz w:val="24"/>
          <w:szCs w:val="24"/>
        </w:rPr>
        <w:t>ulo</w:t>
      </w:r>
      <w:r w:rsidR="00D17F39">
        <w:rPr>
          <w:sz w:val="24"/>
          <w:szCs w:val="24"/>
        </w:rPr>
        <w:t xml:space="preserve"> 23, </w:t>
      </w:r>
      <w:r w:rsidRPr="007C0F74">
        <w:rPr>
          <w:sz w:val="24"/>
          <w:szCs w:val="24"/>
        </w:rPr>
        <w:t>Ley 1450</w:t>
      </w:r>
      <w:r w:rsidR="00D17F39">
        <w:rPr>
          <w:sz w:val="24"/>
          <w:szCs w:val="24"/>
        </w:rPr>
        <w:t xml:space="preserve"> de 2011</w:t>
      </w:r>
      <w:r w:rsidRPr="007C0F74">
        <w:rPr>
          <w:sz w:val="24"/>
          <w:szCs w:val="24"/>
        </w:rPr>
        <w:t>)</w:t>
      </w:r>
      <w:r w:rsidR="00253380">
        <w:rPr>
          <w:sz w:val="24"/>
          <w:szCs w:val="24"/>
        </w:rPr>
        <w:t>.</w:t>
      </w:r>
    </w:p>
    <w:p w14:paraId="7808851E" w14:textId="77777777" w:rsidR="007C0F74" w:rsidRPr="007C0F74" w:rsidRDefault="007C0F74" w:rsidP="00F76FF5">
      <w:pPr>
        <w:spacing w:line="240" w:lineRule="auto"/>
        <w:contextualSpacing/>
        <w:jc w:val="both"/>
        <w:rPr>
          <w:sz w:val="24"/>
          <w:szCs w:val="24"/>
        </w:rPr>
      </w:pPr>
      <w:r w:rsidRPr="007C0F74">
        <w:rPr>
          <w:sz w:val="24"/>
          <w:szCs w:val="24"/>
        </w:rPr>
        <w:t xml:space="preserve">Estos elementos se analizan </w:t>
      </w:r>
      <w:r w:rsidRPr="004354F4">
        <w:rPr>
          <w:sz w:val="24"/>
          <w:szCs w:val="24"/>
        </w:rPr>
        <w:t>a continuación</w:t>
      </w:r>
      <w:r w:rsidRPr="007C0F74">
        <w:rPr>
          <w:sz w:val="24"/>
          <w:szCs w:val="24"/>
        </w:rPr>
        <w:t xml:space="preserve"> con el propósito de ilustrar la problemática que están sufriendo la mayoría de propietarios de predios residenciales</w:t>
      </w:r>
      <w:r w:rsidR="00253380">
        <w:rPr>
          <w:sz w:val="24"/>
          <w:szCs w:val="24"/>
        </w:rPr>
        <w:t xml:space="preserve"> y comerciales,</w:t>
      </w:r>
      <w:r w:rsidRPr="007C0F74">
        <w:rPr>
          <w:sz w:val="24"/>
          <w:szCs w:val="24"/>
        </w:rPr>
        <w:t xml:space="preserve"> en las principales ciudades del país</w:t>
      </w:r>
      <w:r w:rsidR="00253380">
        <w:rPr>
          <w:sz w:val="24"/>
          <w:szCs w:val="24"/>
        </w:rPr>
        <w:t>,</w:t>
      </w:r>
      <w:r w:rsidRPr="007C0F74">
        <w:rPr>
          <w:sz w:val="24"/>
          <w:szCs w:val="24"/>
        </w:rPr>
        <w:t xml:space="preserve"> y sustentar la necesidad de establecer controles a esta situación.</w:t>
      </w:r>
    </w:p>
    <w:p w14:paraId="79E7D6EB" w14:textId="77777777" w:rsidR="007C0F74" w:rsidRDefault="007C0F74" w:rsidP="00F76FF5">
      <w:pPr>
        <w:spacing w:line="240" w:lineRule="auto"/>
        <w:contextualSpacing/>
        <w:jc w:val="both"/>
        <w:rPr>
          <w:sz w:val="24"/>
          <w:szCs w:val="24"/>
        </w:rPr>
      </w:pPr>
    </w:p>
    <w:p w14:paraId="4E2CDB7F" w14:textId="77777777" w:rsidR="003025F9" w:rsidRPr="003025F9" w:rsidRDefault="008D60B8" w:rsidP="00F76FF5">
      <w:pPr>
        <w:pStyle w:val="Prrafodelista"/>
        <w:numPr>
          <w:ilvl w:val="0"/>
          <w:numId w:val="18"/>
        </w:numPr>
        <w:spacing w:line="240" w:lineRule="auto"/>
        <w:jc w:val="both"/>
        <w:rPr>
          <w:b/>
          <w:sz w:val="24"/>
          <w:szCs w:val="24"/>
        </w:rPr>
      </w:pPr>
      <w:r w:rsidRPr="008D60B8">
        <w:rPr>
          <w:b/>
          <w:sz w:val="24"/>
          <w:szCs w:val="24"/>
        </w:rPr>
        <w:t>MARCO JURÍDICO</w:t>
      </w:r>
    </w:p>
    <w:p w14:paraId="29ED8728" w14:textId="77777777" w:rsidR="003C593A" w:rsidRDefault="004354F4" w:rsidP="00F76FF5">
      <w:pPr>
        <w:spacing w:line="240" w:lineRule="auto"/>
        <w:contextualSpacing/>
        <w:jc w:val="both"/>
        <w:rPr>
          <w:sz w:val="24"/>
          <w:szCs w:val="24"/>
          <w:lang w:val="es-ES_tradnl"/>
        </w:rPr>
      </w:pPr>
      <w:r w:rsidRPr="004354F4">
        <w:rPr>
          <w:sz w:val="24"/>
          <w:szCs w:val="24"/>
          <w:lang w:val="es-ES_tradnl"/>
        </w:rPr>
        <w:t>La obligación ciudadana de contribuir al financiamiento de los gastos e inversiones del Estado dentro de conceptos de justicia y equidad (artículo 95.9 de la Constitución Política) se instrumentaliza, de acuerdo con el principio de legalidad del tributo, a través de mandatos generales determinados o autorizados por el Congreso de la República</w:t>
      </w:r>
      <w:r w:rsidR="00C57577">
        <w:rPr>
          <w:sz w:val="24"/>
          <w:szCs w:val="24"/>
          <w:lang w:val="es-ES_tradnl"/>
        </w:rPr>
        <w:t>,</w:t>
      </w:r>
      <w:r w:rsidRPr="004354F4">
        <w:rPr>
          <w:sz w:val="24"/>
          <w:szCs w:val="24"/>
          <w:lang w:val="es-ES_tradnl"/>
        </w:rPr>
        <w:t xml:space="preserve"> en su calidad de represent</w:t>
      </w:r>
      <w:r w:rsidR="003C593A">
        <w:rPr>
          <w:sz w:val="24"/>
          <w:szCs w:val="24"/>
          <w:lang w:val="es-ES_tradnl"/>
        </w:rPr>
        <w:t xml:space="preserve">ante de la voluntad del pueblo. Sobre el </w:t>
      </w:r>
      <w:r w:rsidR="00BA57C5">
        <w:rPr>
          <w:sz w:val="24"/>
          <w:szCs w:val="24"/>
          <w:lang w:val="es-ES_tradnl"/>
        </w:rPr>
        <w:t>alcance</w:t>
      </w:r>
      <w:r w:rsidR="003C593A">
        <w:rPr>
          <w:sz w:val="24"/>
          <w:szCs w:val="24"/>
          <w:lang w:val="es-ES_tradnl"/>
        </w:rPr>
        <w:t xml:space="preserve"> de esta obligación la Corte Constitucional ha señalado lo siguiente en sentencia C-261 de 2002:</w:t>
      </w:r>
    </w:p>
    <w:p w14:paraId="1866D237" w14:textId="77777777" w:rsidR="003C593A" w:rsidRDefault="003C593A" w:rsidP="00F76FF5">
      <w:pPr>
        <w:spacing w:line="240" w:lineRule="auto"/>
        <w:contextualSpacing/>
        <w:jc w:val="both"/>
        <w:rPr>
          <w:sz w:val="24"/>
          <w:szCs w:val="24"/>
          <w:lang w:val="es-ES_tradnl"/>
        </w:rPr>
      </w:pPr>
    </w:p>
    <w:p w14:paraId="3B9B42CD"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t>“En cuanto al deber de la persona y del ciudadano de contribuir al financiamiento de los gastos e inversiones del Estado, éste debe hacerse dentro de conceptos de justicia y equidad tal como lo dispone el numeral 9 del artículo 95 Superior, quedando claro  que dicha carga deber ser impuesta consultando las posibilidades económicas de los contribuyentes dado que esta exigencia constitucional tiene por objeto lograr un mayor grado de redistribución de la riqueza existente en nuestro país.</w:t>
      </w:r>
    </w:p>
    <w:p w14:paraId="4E5E7C80" w14:textId="77777777" w:rsidR="003C593A" w:rsidRPr="003C593A" w:rsidRDefault="003C593A" w:rsidP="003C593A">
      <w:pPr>
        <w:spacing w:line="240" w:lineRule="auto"/>
        <w:ind w:left="708"/>
        <w:contextualSpacing/>
        <w:jc w:val="both"/>
        <w:rPr>
          <w:i/>
          <w:sz w:val="20"/>
          <w:szCs w:val="20"/>
          <w:lang w:val="es-ES_tradnl"/>
        </w:rPr>
      </w:pPr>
    </w:p>
    <w:p w14:paraId="19DB2606"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t>En relación con el numeral 9° del artículo 95 de la Carta, esta Corporación en Sentencia C-741/99 M. P. Dr. Fabio Morón Díaz, sostuvo lo siguiente:</w:t>
      </w:r>
    </w:p>
    <w:p w14:paraId="074E80C3" w14:textId="77777777" w:rsidR="003C593A" w:rsidRPr="003C593A" w:rsidRDefault="003C593A" w:rsidP="003C593A">
      <w:pPr>
        <w:spacing w:line="240" w:lineRule="auto"/>
        <w:ind w:left="708"/>
        <w:contextualSpacing/>
        <w:jc w:val="both"/>
        <w:rPr>
          <w:i/>
          <w:sz w:val="20"/>
          <w:szCs w:val="20"/>
          <w:lang w:val="es-ES_tradnl"/>
        </w:rPr>
      </w:pPr>
    </w:p>
    <w:p w14:paraId="69AE5E60"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lastRenderedPageBreak/>
        <w:t>"... El artículo 95 de la Constitución Política, que contiene los deberes de la persona y el ciudadano, establece como uno de ellos el consagrado en su numeral 9, que les impone, a título de obligación, la de contribuir al financiamiento de los gastos e inversiones del Estado dentro de conceptos de justicia y equidad. Es decir, que esa norma superior consagra el principio de reciprocidad que en el Estado social de derecho rige las relaciones que surgen entre los individuos y el Estado y entre éstos y la sociedad, principio sobre el cual ha dicho esta Corporación:</w:t>
      </w:r>
    </w:p>
    <w:p w14:paraId="61678927" w14:textId="77777777" w:rsidR="003C593A" w:rsidRPr="003C593A" w:rsidRDefault="003C593A" w:rsidP="003C593A">
      <w:pPr>
        <w:spacing w:line="240" w:lineRule="auto"/>
        <w:ind w:left="708"/>
        <w:contextualSpacing/>
        <w:jc w:val="both"/>
        <w:rPr>
          <w:i/>
          <w:sz w:val="20"/>
          <w:szCs w:val="20"/>
          <w:lang w:val="es-ES_tradnl"/>
        </w:rPr>
      </w:pPr>
    </w:p>
    <w:p w14:paraId="5C0575CF"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t>"En la base de los deberes sociales se encuentra el principio de reciprocidad (C.N. art. 95). La Constitución reconoce a la persona y al ciudadano derechos y libertades, pero, al mismo tiempo, le impone obligaciones.</w:t>
      </w:r>
    </w:p>
    <w:p w14:paraId="58855B77" w14:textId="77777777" w:rsidR="003C593A" w:rsidRPr="003C593A" w:rsidRDefault="003C593A" w:rsidP="003C593A">
      <w:pPr>
        <w:spacing w:line="240" w:lineRule="auto"/>
        <w:ind w:left="708"/>
        <w:contextualSpacing/>
        <w:jc w:val="both"/>
        <w:rPr>
          <w:i/>
          <w:sz w:val="20"/>
          <w:szCs w:val="20"/>
          <w:lang w:val="es-ES_tradnl"/>
        </w:rPr>
      </w:pPr>
    </w:p>
    <w:p w14:paraId="0F12D932"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t>"Los beneficios que representa para el individuo las relaciones conmutativas de la vida en sociedad deben ser compensados por éste a fin de mejorar las condiciones materiales y espirituales de la convivencia social y ampliar permanentemente el número de miembros de la comunidad capaces de gozar de una existencia digna (C.N. Preámbulo, arts. 1, 95, 58, y 333). En una sociedad pobre, la justicia distributiva no puede ser solamente cometido del Estado, sino actitud y práxis de todos, mayormente de los mejor dotados.</w:t>
      </w:r>
    </w:p>
    <w:p w14:paraId="61231B65" w14:textId="77777777" w:rsidR="003C593A" w:rsidRPr="003C593A" w:rsidRDefault="003C593A" w:rsidP="003C593A">
      <w:pPr>
        <w:spacing w:line="240" w:lineRule="auto"/>
        <w:ind w:left="708"/>
        <w:contextualSpacing/>
        <w:jc w:val="both"/>
        <w:rPr>
          <w:i/>
          <w:sz w:val="20"/>
          <w:szCs w:val="20"/>
          <w:lang w:val="es-ES_tradnl"/>
        </w:rPr>
      </w:pPr>
    </w:p>
    <w:p w14:paraId="1ADECF6E" w14:textId="77777777" w:rsidR="003C593A" w:rsidRPr="003C593A" w:rsidRDefault="003C593A" w:rsidP="003C593A">
      <w:pPr>
        <w:spacing w:line="240" w:lineRule="auto"/>
        <w:ind w:left="708"/>
        <w:contextualSpacing/>
        <w:jc w:val="both"/>
        <w:rPr>
          <w:i/>
          <w:sz w:val="20"/>
          <w:szCs w:val="20"/>
          <w:lang w:val="es-ES_tradnl"/>
        </w:rPr>
      </w:pPr>
      <w:r w:rsidRPr="003C593A">
        <w:rPr>
          <w:i/>
          <w:sz w:val="20"/>
          <w:szCs w:val="20"/>
          <w:lang w:val="es-ES_tradnl"/>
        </w:rPr>
        <w:t>"La filosofía moral que subyace al ordenamiento jurídico emerge con fuerza normativa vinculante cuando la Constitución faculta a las autoridades para exigir del individuo la superación de su egoísmo, mediante el cumplimiento de sus deberes y obligaciones (Corte Constitucional, Sentencia T-532 de 1992, M.P. Dr. Eduardo Cifuentes Muñoz)."</w:t>
      </w:r>
    </w:p>
    <w:p w14:paraId="70C86B5A" w14:textId="77777777" w:rsidR="003C593A" w:rsidRPr="003C593A" w:rsidRDefault="003C593A" w:rsidP="003C593A">
      <w:pPr>
        <w:spacing w:line="240" w:lineRule="auto"/>
        <w:ind w:left="708"/>
        <w:contextualSpacing/>
        <w:jc w:val="both"/>
        <w:rPr>
          <w:i/>
          <w:sz w:val="20"/>
          <w:szCs w:val="20"/>
          <w:lang w:val="es-ES_tradnl"/>
        </w:rPr>
      </w:pPr>
    </w:p>
    <w:p w14:paraId="53CB44F8" w14:textId="77777777" w:rsidR="003C593A" w:rsidRPr="003C593A" w:rsidRDefault="003C593A" w:rsidP="003C593A">
      <w:pPr>
        <w:spacing w:line="240" w:lineRule="auto"/>
        <w:ind w:left="708"/>
        <w:contextualSpacing/>
        <w:jc w:val="both"/>
        <w:rPr>
          <w:sz w:val="20"/>
          <w:szCs w:val="20"/>
          <w:lang w:val="es-ES_tradnl"/>
        </w:rPr>
      </w:pPr>
      <w:r w:rsidRPr="003C593A">
        <w:rPr>
          <w:i/>
          <w:sz w:val="20"/>
          <w:szCs w:val="20"/>
          <w:lang w:val="es-ES_tradnl"/>
        </w:rPr>
        <w:t>Por tanto el deber constitucional impuesto a los ciudadanos en el artículo 95-9 de la Carta Política, tiene como fundamento el principio de reciprocidad que rige las relaciones de los ciudadanos con el Estado y entre estos y  la sociedad,  a</w:t>
      </w:r>
      <w:r>
        <w:rPr>
          <w:i/>
          <w:sz w:val="20"/>
          <w:szCs w:val="20"/>
          <w:lang w:val="es-ES_tradnl"/>
        </w:rPr>
        <w:t xml:space="preserve"> fin de equilibrar las cargas pú</w:t>
      </w:r>
      <w:r w:rsidRPr="003C593A">
        <w:rPr>
          <w:i/>
          <w:sz w:val="20"/>
          <w:szCs w:val="20"/>
          <w:lang w:val="es-ES_tradnl"/>
        </w:rPr>
        <w:t>blicas que estructuran y sostienen la organización jurídico-política de la cual hacen parte, para armonizar y darle efectividad al Estado Social de Derecho. Pero dicho deber estará siempre enmarcado dentro de los principios de justicia y equidad.”</w:t>
      </w:r>
      <w:r w:rsidRPr="003C593A">
        <w:rPr>
          <w:sz w:val="20"/>
          <w:szCs w:val="20"/>
          <w:lang w:val="es-ES_tradnl"/>
        </w:rPr>
        <w:tab/>
      </w:r>
    </w:p>
    <w:p w14:paraId="3821BFE0" w14:textId="77777777" w:rsidR="003C593A" w:rsidRDefault="003C593A" w:rsidP="00F76FF5">
      <w:pPr>
        <w:spacing w:line="240" w:lineRule="auto"/>
        <w:contextualSpacing/>
        <w:jc w:val="both"/>
        <w:rPr>
          <w:sz w:val="24"/>
          <w:szCs w:val="24"/>
          <w:lang w:val="es-ES_tradnl"/>
        </w:rPr>
      </w:pPr>
      <w:r>
        <w:rPr>
          <w:sz w:val="24"/>
          <w:szCs w:val="24"/>
          <w:lang w:val="es-ES_tradnl"/>
        </w:rPr>
        <w:tab/>
      </w:r>
    </w:p>
    <w:p w14:paraId="01CACFCB" w14:textId="77777777" w:rsidR="004354F4" w:rsidRDefault="004354F4" w:rsidP="00F76FF5">
      <w:pPr>
        <w:spacing w:line="240" w:lineRule="auto"/>
        <w:contextualSpacing/>
        <w:jc w:val="both"/>
        <w:rPr>
          <w:sz w:val="24"/>
          <w:szCs w:val="24"/>
          <w:lang w:val="es-ES_tradnl"/>
        </w:rPr>
      </w:pPr>
      <w:r w:rsidRPr="004354F4">
        <w:rPr>
          <w:sz w:val="24"/>
          <w:szCs w:val="24"/>
          <w:lang w:val="es-ES_tradnl"/>
        </w:rPr>
        <w:t xml:space="preserve">Para el caso del impuesto predial, la propia Constitución habilita el cobro de gravámenes sobre la propiedad inmueble sólo en cabeza de los Municipios (artículo 317 de la Constitución Política). </w:t>
      </w:r>
      <w:r w:rsidR="00F40FC2">
        <w:rPr>
          <w:sz w:val="24"/>
          <w:szCs w:val="24"/>
        </w:rPr>
        <w:t xml:space="preserve">Es decir, </w:t>
      </w:r>
      <w:r w:rsidR="00F40FC2" w:rsidRPr="001D57FC">
        <w:rPr>
          <w:sz w:val="24"/>
          <w:szCs w:val="24"/>
        </w:rPr>
        <w:t>el predial</w:t>
      </w:r>
      <w:r w:rsidR="00F40FC2">
        <w:rPr>
          <w:sz w:val="24"/>
          <w:szCs w:val="24"/>
        </w:rPr>
        <w:t xml:space="preserve"> es</w:t>
      </w:r>
      <w:r w:rsidR="00F40FC2" w:rsidRPr="001D57FC">
        <w:rPr>
          <w:sz w:val="24"/>
          <w:szCs w:val="24"/>
        </w:rPr>
        <w:t xml:space="preserve"> un impuesto real</w:t>
      </w:r>
      <w:r w:rsidR="00723D36">
        <w:rPr>
          <w:sz w:val="24"/>
          <w:szCs w:val="24"/>
        </w:rPr>
        <w:t xml:space="preserve"> que recae sobre los bienes inmuebles </w:t>
      </w:r>
      <w:r w:rsidR="00F40FC2" w:rsidRPr="001D57FC">
        <w:rPr>
          <w:sz w:val="24"/>
          <w:szCs w:val="24"/>
        </w:rPr>
        <w:t>del contribuyente.</w:t>
      </w:r>
    </w:p>
    <w:p w14:paraId="5C9242EF" w14:textId="77777777" w:rsidR="004354F4" w:rsidRPr="004354F4" w:rsidRDefault="004354F4" w:rsidP="00F76FF5">
      <w:pPr>
        <w:spacing w:line="240" w:lineRule="auto"/>
        <w:contextualSpacing/>
        <w:jc w:val="both"/>
        <w:rPr>
          <w:sz w:val="24"/>
          <w:szCs w:val="24"/>
          <w:lang w:val="es-ES_tradnl"/>
        </w:rPr>
      </w:pPr>
    </w:p>
    <w:p w14:paraId="721EC0C3" w14:textId="77777777" w:rsidR="004354F4" w:rsidRDefault="004354F4" w:rsidP="00F76FF5">
      <w:pPr>
        <w:spacing w:line="240" w:lineRule="auto"/>
        <w:contextualSpacing/>
        <w:jc w:val="both"/>
        <w:rPr>
          <w:sz w:val="24"/>
          <w:szCs w:val="24"/>
          <w:lang w:val="es-ES_tradnl"/>
        </w:rPr>
      </w:pPr>
      <w:r w:rsidRPr="004354F4">
        <w:rPr>
          <w:sz w:val="24"/>
          <w:szCs w:val="24"/>
          <w:lang w:val="es-ES_tradnl"/>
        </w:rPr>
        <w:t>Al respecto, la Corte Constitucional ha señalado que, si bien se consagra en los municipios la facultad de gravar la propiedad inmueble, ello no implica el vaciamiento de la competencia genérica del legislador para definir los elementos generales del tributo, a excepción de la tasa y el régimen de administración, recaudo y control. La Corporación sostuvo, en sentencia C-944 de 2003:</w:t>
      </w:r>
    </w:p>
    <w:p w14:paraId="20D5E5F0" w14:textId="77777777" w:rsidR="004354F4" w:rsidRPr="004354F4" w:rsidRDefault="004354F4" w:rsidP="00F76FF5">
      <w:pPr>
        <w:spacing w:line="240" w:lineRule="auto"/>
        <w:contextualSpacing/>
        <w:jc w:val="both"/>
        <w:rPr>
          <w:sz w:val="24"/>
          <w:szCs w:val="24"/>
          <w:lang w:val="es-ES_tradnl"/>
        </w:rPr>
      </w:pPr>
    </w:p>
    <w:p w14:paraId="48E2EDA5" w14:textId="77777777" w:rsidR="004354F4" w:rsidRPr="00C57577" w:rsidRDefault="004354F4" w:rsidP="00F76FF5">
      <w:pPr>
        <w:spacing w:line="240" w:lineRule="auto"/>
        <w:ind w:left="708"/>
        <w:contextualSpacing/>
        <w:jc w:val="both"/>
        <w:rPr>
          <w:i/>
          <w:sz w:val="20"/>
          <w:szCs w:val="20"/>
          <w:lang w:val="es-ES_tradnl"/>
        </w:rPr>
      </w:pPr>
      <w:r w:rsidRPr="00C57577">
        <w:rPr>
          <w:sz w:val="20"/>
          <w:szCs w:val="20"/>
          <w:lang w:val="es-ES_tradnl"/>
        </w:rPr>
        <w:t>“</w:t>
      </w:r>
      <w:r w:rsidRPr="00C57577">
        <w:rPr>
          <w:i/>
          <w:sz w:val="20"/>
          <w:szCs w:val="20"/>
          <w:lang w:val="es-ES"/>
        </w:rPr>
        <w:t xml:space="preserve">El legislador está facultado por la Constitución para fijar ciertas pautas, orientaciones y regulaciones o limitaciones generales en el ejercicio de la atribución impositiva del impuesto predial, con el fin de evitar, por ejemplo, eventos de doble tributación, o la incertidumbre tributaria de los contribuyentes frente a las cargas impositivas, según el municipio donde esté ubicado el predio objeto del gravamen, lo que resquebraja el concepto de República Unitaria, que es uno de los principios fundamentales en la Constitución, según el artículo 1º de la Carta. Lo que no le está permitido al legislador es fijar la tasa impositiva, la administración, el recaudo o el  control del mismo, pues, los impuestos de las entidades territoriales “gozan de protección </w:t>
      </w:r>
      <w:r w:rsidRPr="00C57577">
        <w:rPr>
          <w:i/>
          <w:sz w:val="20"/>
          <w:szCs w:val="20"/>
          <w:lang w:val="es-ES"/>
        </w:rPr>
        <w:lastRenderedPageBreak/>
        <w:t>constitucional y en consecuencia la ley no podrá trasladarlos a la nación, salvo temporalmente en caso de guerra exterior”, según el artículo 362 de la Carta, en armonía con el contenido del artículo 317 de la Constitución, en cuanto señala que “sólo los municipios podrán gravar la propiedad inmueble</w:t>
      </w:r>
      <w:r w:rsidRPr="00C57577">
        <w:rPr>
          <w:sz w:val="20"/>
          <w:szCs w:val="20"/>
          <w:lang w:val="es-ES_tradnl"/>
        </w:rPr>
        <w:t>”.</w:t>
      </w:r>
    </w:p>
    <w:p w14:paraId="44C3BB64" w14:textId="77777777" w:rsidR="004354F4" w:rsidRDefault="004354F4" w:rsidP="00F76FF5">
      <w:pPr>
        <w:spacing w:line="240" w:lineRule="auto"/>
        <w:contextualSpacing/>
        <w:jc w:val="both"/>
        <w:rPr>
          <w:sz w:val="24"/>
          <w:szCs w:val="24"/>
          <w:lang w:val="es-ES_tradnl"/>
        </w:rPr>
      </w:pPr>
    </w:p>
    <w:p w14:paraId="23F8CD1D" w14:textId="77777777" w:rsidR="004354F4" w:rsidRPr="004354F4" w:rsidRDefault="004354F4" w:rsidP="00F76FF5">
      <w:pPr>
        <w:spacing w:line="240" w:lineRule="auto"/>
        <w:contextualSpacing/>
        <w:jc w:val="both"/>
        <w:rPr>
          <w:sz w:val="24"/>
          <w:szCs w:val="24"/>
          <w:lang w:val="es-ES_tradnl"/>
        </w:rPr>
      </w:pPr>
      <w:r w:rsidRPr="004354F4">
        <w:rPr>
          <w:sz w:val="24"/>
          <w:szCs w:val="24"/>
          <w:lang w:val="es-ES_tradnl"/>
        </w:rPr>
        <w:t>En concordancia con lo anterior, el régimen jurídico del impuesto predial se ha estructurado a</w:t>
      </w:r>
      <w:r w:rsidR="00C57577">
        <w:rPr>
          <w:sz w:val="24"/>
          <w:szCs w:val="24"/>
          <w:lang w:val="es-ES_tradnl"/>
        </w:rPr>
        <w:t xml:space="preserve"> través de normas</w:t>
      </w:r>
      <w:r w:rsidRPr="004354F4">
        <w:rPr>
          <w:sz w:val="24"/>
          <w:szCs w:val="24"/>
          <w:lang w:val="es-ES_tradnl"/>
        </w:rPr>
        <w:t xml:space="preserve"> aplicables, de </w:t>
      </w:r>
      <w:r w:rsidR="00C57577">
        <w:rPr>
          <w:sz w:val="24"/>
          <w:szCs w:val="24"/>
          <w:lang w:val="es-ES_tradnl"/>
        </w:rPr>
        <w:t>manera general, para todos los m</w:t>
      </w:r>
      <w:r w:rsidRPr="004354F4">
        <w:rPr>
          <w:sz w:val="24"/>
          <w:szCs w:val="24"/>
          <w:lang w:val="es-ES_tradnl"/>
        </w:rPr>
        <w:t>unicipios del país. En efecto, la Ley 44 de 1990 “</w:t>
      </w:r>
      <w:r w:rsidRPr="004354F4">
        <w:rPr>
          <w:bCs/>
          <w:i/>
          <w:sz w:val="24"/>
          <w:szCs w:val="24"/>
          <w:lang w:val="es-ES"/>
        </w:rPr>
        <w:t>por la cual se dictan normas sobre catastro e impuestos sobre la propiedad raíz, se dictan otras disposiciones de carácter tributario, y se conceden unas facultades extraordinarias</w:t>
      </w:r>
      <w:r w:rsidR="00290EB9">
        <w:rPr>
          <w:sz w:val="24"/>
          <w:szCs w:val="24"/>
          <w:lang w:val="es-ES_tradnl"/>
        </w:rPr>
        <w:t xml:space="preserve">”, </w:t>
      </w:r>
      <w:r w:rsidRPr="004354F4">
        <w:rPr>
          <w:sz w:val="24"/>
          <w:szCs w:val="24"/>
          <w:lang w:val="es-ES_tradnl"/>
        </w:rPr>
        <w:t>aunque anterior a la Constitución del 91,</w:t>
      </w:r>
      <w:r w:rsidRPr="004354F4">
        <w:rPr>
          <w:i/>
          <w:sz w:val="24"/>
          <w:szCs w:val="24"/>
          <w:lang w:val="es-ES_tradnl"/>
        </w:rPr>
        <w:t xml:space="preserve"> </w:t>
      </w:r>
      <w:r w:rsidRPr="004354F4">
        <w:rPr>
          <w:sz w:val="24"/>
          <w:szCs w:val="24"/>
          <w:lang w:val="es-ES_tradnl"/>
        </w:rPr>
        <w:t>ha determinado hasta este momento los aspectos atinent</w:t>
      </w:r>
      <w:r w:rsidR="00C57577">
        <w:rPr>
          <w:sz w:val="24"/>
          <w:szCs w:val="24"/>
          <w:lang w:val="es-ES_tradnl"/>
        </w:rPr>
        <w:t>es al Impuesto Predial U</w:t>
      </w:r>
      <w:r w:rsidRPr="004354F4">
        <w:rPr>
          <w:sz w:val="24"/>
          <w:szCs w:val="24"/>
          <w:lang w:val="es-ES_tradnl"/>
        </w:rPr>
        <w:t xml:space="preserve">nificado (IPU). </w:t>
      </w:r>
    </w:p>
    <w:p w14:paraId="1AE18696" w14:textId="77777777" w:rsidR="004354F4" w:rsidRDefault="004354F4" w:rsidP="00F76FF5">
      <w:pPr>
        <w:spacing w:line="240" w:lineRule="auto"/>
        <w:contextualSpacing/>
        <w:jc w:val="both"/>
        <w:rPr>
          <w:sz w:val="24"/>
          <w:szCs w:val="24"/>
          <w:lang w:val="es-ES_tradnl"/>
        </w:rPr>
      </w:pPr>
    </w:p>
    <w:p w14:paraId="58F4F30B" w14:textId="77777777" w:rsidR="004354F4" w:rsidRPr="004354F4" w:rsidRDefault="00244D93" w:rsidP="00F76FF5">
      <w:pPr>
        <w:spacing w:line="240" w:lineRule="auto"/>
        <w:contextualSpacing/>
        <w:jc w:val="both"/>
        <w:rPr>
          <w:sz w:val="24"/>
          <w:szCs w:val="24"/>
          <w:lang w:val="es-ES_tradnl"/>
        </w:rPr>
      </w:pPr>
      <w:r>
        <w:rPr>
          <w:sz w:val="24"/>
          <w:szCs w:val="24"/>
          <w:lang w:val="es-ES_tradnl"/>
        </w:rPr>
        <w:t>En lo respectivo</w:t>
      </w:r>
      <w:r w:rsidR="00C57577">
        <w:rPr>
          <w:sz w:val="24"/>
          <w:szCs w:val="24"/>
          <w:lang w:val="es-ES_tradnl"/>
        </w:rPr>
        <w:t xml:space="preserve"> al presente proyecto de l</w:t>
      </w:r>
      <w:r w:rsidR="004354F4" w:rsidRPr="004354F4">
        <w:rPr>
          <w:sz w:val="24"/>
          <w:szCs w:val="24"/>
          <w:lang w:val="es-ES_tradnl"/>
        </w:rPr>
        <w:t>ey, la norma referida: (i) fusiona varios gravámenes de naturaleza real existentes en aquel momento en el IPU, que será el único que en adelante se cobraría sobre predios; (ii) señala que éste será administrado, recaudado y controlado por los municipios; (iii) dispone la tarifa entre el 1 y el 16 por mil del avalúo; (iv) establece límites al aumento anual del impuesto (</w:t>
      </w:r>
      <w:r w:rsidR="004354F4" w:rsidRPr="004354F4">
        <w:rPr>
          <w:sz w:val="24"/>
          <w:szCs w:val="24"/>
          <w:lang w:val="es-ES"/>
        </w:rPr>
        <w:t>no podrá exceder del doble del monto liquidado por el mismo concepto en el año inmediatamente anterior, o del impuesto predial, según el caso</w:t>
      </w:r>
      <w:r w:rsidR="004354F4" w:rsidRPr="004354F4">
        <w:rPr>
          <w:sz w:val="24"/>
          <w:szCs w:val="24"/>
          <w:lang w:val="es-ES_tradnl"/>
        </w:rPr>
        <w:t>); (v) establece el ajuste anual de la base (el avalúo catastral o el auto avalúo, según corresponda) entre el 70% y el 100% del incremento del Índice de Precios al Consumidor (IPC); entre otras disposiciones.</w:t>
      </w:r>
    </w:p>
    <w:p w14:paraId="481CE2EF" w14:textId="77777777" w:rsidR="004354F4" w:rsidRDefault="004354F4" w:rsidP="00F76FF5">
      <w:pPr>
        <w:spacing w:line="240" w:lineRule="auto"/>
        <w:contextualSpacing/>
        <w:jc w:val="both"/>
        <w:rPr>
          <w:sz w:val="24"/>
          <w:szCs w:val="24"/>
          <w:lang w:val="es-ES_tradnl"/>
        </w:rPr>
      </w:pPr>
    </w:p>
    <w:p w14:paraId="173AC0EB" w14:textId="77777777" w:rsidR="004354F4" w:rsidRPr="004354F4" w:rsidRDefault="004354F4" w:rsidP="00F76FF5">
      <w:pPr>
        <w:spacing w:line="240" w:lineRule="auto"/>
        <w:contextualSpacing/>
        <w:jc w:val="both"/>
        <w:rPr>
          <w:sz w:val="24"/>
          <w:szCs w:val="24"/>
          <w:lang w:val="es-ES_tradnl"/>
        </w:rPr>
      </w:pPr>
      <w:r w:rsidRPr="004354F4">
        <w:rPr>
          <w:sz w:val="24"/>
          <w:szCs w:val="24"/>
          <w:lang w:val="es-ES_tradnl"/>
        </w:rPr>
        <w:t>La Ley 242 de 1995, con su artículo 6º, modifica la Ley 44 de 1990</w:t>
      </w:r>
      <w:r w:rsidR="00C57577">
        <w:rPr>
          <w:sz w:val="24"/>
          <w:szCs w:val="24"/>
          <w:lang w:val="es-ES_tradnl"/>
        </w:rPr>
        <w:t>,</w:t>
      </w:r>
      <w:r w:rsidR="00472AB2">
        <w:rPr>
          <w:sz w:val="24"/>
          <w:szCs w:val="24"/>
          <w:lang w:val="es-ES_tradnl"/>
        </w:rPr>
        <w:t xml:space="preserve"> en relación con el</w:t>
      </w:r>
      <w:r w:rsidRPr="004354F4">
        <w:rPr>
          <w:sz w:val="24"/>
          <w:szCs w:val="24"/>
          <w:lang w:val="es-ES_tradnl"/>
        </w:rPr>
        <w:t xml:space="preserve"> ajuste anual de la base (art. 8º), </w:t>
      </w:r>
      <w:r w:rsidR="00290EB9">
        <w:rPr>
          <w:sz w:val="24"/>
          <w:szCs w:val="24"/>
          <w:lang w:val="es-ES_tradnl"/>
        </w:rPr>
        <w:t xml:space="preserve">al </w:t>
      </w:r>
      <w:r w:rsidRPr="004354F4">
        <w:rPr>
          <w:sz w:val="24"/>
          <w:szCs w:val="24"/>
          <w:lang w:val="es-ES_tradnl"/>
        </w:rPr>
        <w:t>eliminar el rango del 70% al 100% del condicionante y asumir como límite la meta de inflación del año en el que se define el incremento.</w:t>
      </w:r>
    </w:p>
    <w:p w14:paraId="4407C5E5" w14:textId="77777777" w:rsidR="004354F4" w:rsidRDefault="004354F4" w:rsidP="00F76FF5">
      <w:pPr>
        <w:spacing w:line="240" w:lineRule="auto"/>
        <w:contextualSpacing/>
        <w:jc w:val="both"/>
        <w:rPr>
          <w:sz w:val="24"/>
          <w:szCs w:val="24"/>
          <w:lang w:val="es-ES_tradnl"/>
        </w:rPr>
      </w:pPr>
    </w:p>
    <w:p w14:paraId="793FC9D0" w14:textId="77777777" w:rsidR="004354F4" w:rsidRPr="004354F4" w:rsidRDefault="004354F4" w:rsidP="00F76FF5">
      <w:pPr>
        <w:spacing w:line="240" w:lineRule="auto"/>
        <w:contextualSpacing/>
        <w:jc w:val="both"/>
        <w:rPr>
          <w:sz w:val="24"/>
          <w:szCs w:val="24"/>
          <w:lang w:val="es-ES_tradnl"/>
        </w:rPr>
      </w:pPr>
      <w:r w:rsidRPr="004354F4">
        <w:rPr>
          <w:sz w:val="24"/>
          <w:szCs w:val="24"/>
          <w:lang w:val="es-ES_tradnl"/>
        </w:rPr>
        <w:t>En lo que respecta al Distrito Capital, el Régimen Especial que consagra el Decreto Ley 1421 de 1993 (en desarrollo de los artículo</w:t>
      </w:r>
      <w:r w:rsidR="00C57577">
        <w:rPr>
          <w:sz w:val="24"/>
          <w:szCs w:val="24"/>
          <w:lang w:val="es-ES_tradnl"/>
        </w:rPr>
        <w:t>s</w:t>
      </w:r>
      <w:r w:rsidRPr="004354F4">
        <w:rPr>
          <w:sz w:val="24"/>
          <w:szCs w:val="24"/>
          <w:lang w:val="es-ES_tradnl"/>
        </w:rPr>
        <w:t xml:space="preserve"> 322 y 44 transitorio de la Constitución) establece la determinación de la base gravable a través del autoavalúo</w:t>
      </w:r>
      <w:r w:rsidR="00414A3A">
        <w:rPr>
          <w:sz w:val="24"/>
          <w:szCs w:val="24"/>
          <w:lang w:val="es-ES_tradnl"/>
        </w:rPr>
        <w:t xml:space="preserve"> </w:t>
      </w:r>
      <w:r w:rsidRPr="004354F4">
        <w:rPr>
          <w:sz w:val="24"/>
          <w:szCs w:val="24"/>
          <w:lang w:val="es-ES_tradnl"/>
        </w:rPr>
        <w:t>del contribuyente, sin que éste fuera inferior al avalúo catastral del año anterior.</w:t>
      </w:r>
    </w:p>
    <w:p w14:paraId="1F2E38C9" w14:textId="77777777" w:rsidR="004354F4" w:rsidRDefault="004354F4" w:rsidP="00F76FF5">
      <w:pPr>
        <w:spacing w:line="240" w:lineRule="auto"/>
        <w:contextualSpacing/>
        <w:jc w:val="both"/>
        <w:rPr>
          <w:sz w:val="24"/>
          <w:szCs w:val="24"/>
          <w:lang w:val="es-ES_tradnl"/>
        </w:rPr>
      </w:pPr>
    </w:p>
    <w:p w14:paraId="4B453330" w14:textId="77777777" w:rsidR="004354F4" w:rsidRPr="004354F4" w:rsidRDefault="004354F4" w:rsidP="00F76FF5">
      <w:pPr>
        <w:spacing w:line="240" w:lineRule="auto"/>
        <w:contextualSpacing/>
        <w:jc w:val="both"/>
        <w:rPr>
          <w:sz w:val="24"/>
          <w:szCs w:val="24"/>
          <w:lang w:val="es-ES_tradnl"/>
        </w:rPr>
      </w:pPr>
      <w:r w:rsidRPr="004354F4">
        <w:rPr>
          <w:sz w:val="24"/>
          <w:szCs w:val="24"/>
          <w:lang w:val="es-ES_tradnl"/>
        </w:rPr>
        <w:t xml:space="preserve">El artículo 23 de la Ley 1450 de 2011 </w:t>
      </w:r>
      <w:r w:rsidRPr="004354F4">
        <w:rPr>
          <w:i/>
          <w:sz w:val="24"/>
          <w:szCs w:val="24"/>
          <w:lang w:val="es-ES_tradnl"/>
        </w:rPr>
        <w:t>“Por la cual se expide el Plan Nacional de Desarrollo, 2010-2014</w:t>
      </w:r>
      <w:r w:rsidRPr="004354F4">
        <w:rPr>
          <w:sz w:val="24"/>
          <w:szCs w:val="24"/>
          <w:lang w:val="es-ES_tradnl"/>
        </w:rPr>
        <w:t>” modificó el artículo 4º de la referida Ley 44 de 1990 para (i) ajustar el rango tarifario (entre el 5 y el 16 por mil del avalúo); (ii) incluyó el rango del área y el avalúo catastral como factores para el establecimiento de la tarifa; (iii) determinó un incremento progresivo de la tarifa (0.3% del avalúo para 2012, 0.4% para 2013 y 0.5% para 2014) y (iv) un techo para este último (25% del monto liquidado por predial el año anterior).</w:t>
      </w:r>
    </w:p>
    <w:p w14:paraId="38C98CCF" w14:textId="77777777" w:rsidR="008D60B8" w:rsidRPr="008D60B8" w:rsidRDefault="008D60B8" w:rsidP="00F76FF5">
      <w:pPr>
        <w:spacing w:line="240" w:lineRule="auto"/>
        <w:contextualSpacing/>
        <w:jc w:val="both"/>
        <w:rPr>
          <w:b/>
          <w:sz w:val="24"/>
          <w:szCs w:val="24"/>
        </w:rPr>
      </w:pPr>
    </w:p>
    <w:p w14:paraId="272BA8E8" w14:textId="77777777" w:rsidR="008D60B8" w:rsidRDefault="008D60B8" w:rsidP="00F76FF5">
      <w:pPr>
        <w:pStyle w:val="Prrafodelista"/>
        <w:numPr>
          <w:ilvl w:val="0"/>
          <w:numId w:val="18"/>
        </w:numPr>
        <w:spacing w:line="240" w:lineRule="auto"/>
        <w:jc w:val="both"/>
        <w:rPr>
          <w:b/>
          <w:sz w:val="24"/>
          <w:szCs w:val="24"/>
        </w:rPr>
      </w:pPr>
      <w:r>
        <w:rPr>
          <w:b/>
          <w:sz w:val="24"/>
          <w:szCs w:val="24"/>
        </w:rPr>
        <w:lastRenderedPageBreak/>
        <w:t>DESCRIPCIÓN DE LA PROBLEMÁTICA</w:t>
      </w:r>
    </w:p>
    <w:p w14:paraId="50FB9F9A" w14:textId="77777777" w:rsidR="008D60B8" w:rsidRPr="008D60B8" w:rsidRDefault="008D60B8" w:rsidP="00F76FF5">
      <w:pPr>
        <w:pStyle w:val="Prrafodelista"/>
        <w:spacing w:line="240" w:lineRule="auto"/>
        <w:jc w:val="both"/>
        <w:rPr>
          <w:b/>
          <w:sz w:val="24"/>
          <w:szCs w:val="24"/>
        </w:rPr>
      </w:pPr>
    </w:p>
    <w:p w14:paraId="6026B02F" w14:textId="77777777" w:rsidR="007C0F74" w:rsidRPr="008D60B8" w:rsidRDefault="007C0F74" w:rsidP="00F76FF5">
      <w:pPr>
        <w:pStyle w:val="Prrafodelista"/>
        <w:numPr>
          <w:ilvl w:val="1"/>
          <w:numId w:val="19"/>
        </w:numPr>
        <w:spacing w:line="240" w:lineRule="auto"/>
        <w:jc w:val="both"/>
        <w:rPr>
          <w:b/>
          <w:sz w:val="24"/>
          <w:szCs w:val="24"/>
        </w:rPr>
      </w:pPr>
      <w:r w:rsidRPr="008D60B8">
        <w:rPr>
          <w:b/>
          <w:sz w:val="24"/>
          <w:szCs w:val="24"/>
        </w:rPr>
        <w:t>Dinámica poblacional, económica y avalúos comerciales</w:t>
      </w:r>
    </w:p>
    <w:p w14:paraId="4741E1BA" w14:textId="77777777" w:rsidR="007C0F74" w:rsidRDefault="007C0F74" w:rsidP="00F76FF5">
      <w:pPr>
        <w:spacing w:line="240" w:lineRule="auto"/>
        <w:contextualSpacing/>
        <w:jc w:val="both"/>
        <w:rPr>
          <w:sz w:val="24"/>
          <w:szCs w:val="24"/>
        </w:rPr>
      </w:pPr>
      <w:r w:rsidRPr="007C0F74">
        <w:rPr>
          <w:sz w:val="24"/>
          <w:szCs w:val="24"/>
        </w:rPr>
        <w:t xml:space="preserve">El precio de la tierra y de las construcciones viene creciendo </w:t>
      </w:r>
      <w:r w:rsidR="00C57577">
        <w:rPr>
          <w:sz w:val="24"/>
          <w:szCs w:val="24"/>
        </w:rPr>
        <w:t>de manera importante en  varias</w:t>
      </w:r>
      <w:r w:rsidRPr="007C0F74">
        <w:rPr>
          <w:sz w:val="24"/>
          <w:szCs w:val="24"/>
        </w:rPr>
        <w:t xml:space="preserve"> ciudades de Colombia.</w:t>
      </w:r>
      <w:r w:rsidR="00290EB9">
        <w:rPr>
          <w:sz w:val="24"/>
          <w:szCs w:val="24"/>
        </w:rPr>
        <w:t xml:space="preserve"> </w:t>
      </w:r>
      <w:r w:rsidRPr="007C0F74">
        <w:rPr>
          <w:sz w:val="24"/>
          <w:szCs w:val="24"/>
        </w:rPr>
        <w:t>Esto obedece a la conjunción de diferentes dinámicas poblacionales y de carácter económico. El principal hecho es el aumento de la población que se asienta en las áreas u</w:t>
      </w:r>
      <w:r w:rsidR="000B4E37">
        <w:rPr>
          <w:sz w:val="24"/>
          <w:szCs w:val="24"/>
        </w:rPr>
        <w:t xml:space="preserve">rbanas. Mientras que en 1938 el </w:t>
      </w:r>
      <w:r w:rsidRPr="007C0F74">
        <w:rPr>
          <w:sz w:val="24"/>
          <w:szCs w:val="24"/>
        </w:rPr>
        <w:t>70.1% de la población vivía en áreas rurales, de acuerdo con el D</w:t>
      </w:r>
      <w:r w:rsidR="000B4E37">
        <w:rPr>
          <w:sz w:val="24"/>
          <w:szCs w:val="24"/>
        </w:rPr>
        <w:t>epartamento Administra</w:t>
      </w:r>
      <w:r w:rsidR="00C57577">
        <w:rPr>
          <w:sz w:val="24"/>
          <w:szCs w:val="24"/>
        </w:rPr>
        <w:t>tivo Nacional de Estadísticas -</w:t>
      </w:r>
      <w:r w:rsidR="000B4E37">
        <w:rPr>
          <w:sz w:val="24"/>
          <w:szCs w:val="24"/>
        </w:rPr>
        <w:t>D</w:t>
      </w:r>
      <w:r w:rsidR="00C57577">
        <w:rPr>
          <w:sz w:val="24"/>
          <w:szCs w:val="24"/>
        </w:rPr>
        <w:t>ANE</w:t>
      </w:r>
      <w:r w:rsidR="000B4E37">
        <w:rPr>
          <w:sz w:val="24"/>
          <w:szCs w:val="24"/>
        </w:rPr>
        <w:t xml:space="preserve">-, </w:t>
      </w:r>
      <w:r w:rsidRPr="007C0F74">
        <w:rPr>
          <w:sz w:val="24"/>
          <w:szCs w:val="24"/>
        </w:rPr>
        <w:t>actualmente</w:t>
      </w:r>
      <w:r w:rsidR="00C57577">
        <w:rPr>
          <w:sz w:val="24"/>
          <w:szCs w:val="24"/>
        </w:rPr>
        <w:t>,</w:t>
      </w:r>
      <w:r w:rsidRPr="007C0F74">
        <w:rPr>
          <w:sz w:val="24"/>
          <w:szCs w:val="24"/>
        </w:rPr>
        <w:t xml:space="preserve"> </w:t>
      </w:r>
      <w:r w:rsidR="00414A3A">
        <w:rPr>
          <w:sz w:val="24"/>
          <w:szCs w:val="24"/>
        </w:rPr>
        <w:t xml:space="preserve">el </w:t>
      </w:r>
      <w:r w:rsidRPr="007C0F74">
        <w:rPr>
          <w:sz w:val="24"/>
          <w:szCs w:val="24"/>
        </w:rPr>
        <w:t>76.1% de los cerca de 48 millones de colombianos vive en áreas urbanas.</w:t>
      </w:r>
    </w:p>
    <w:p w14:paraId="457D7091" w14:textId="77777777" w:rsidR="004354F4" w:rsidRPr="007C0F74" w:rsidRDefault="004354F4" w:rsidP="00F76FF5">
      <w:pPr>
        <w:spacing w:line="240" w:lineRule="auto"/>
        <w:contextualSpacing/>
        <w:jc w:val="both"/>
        <w:rPr>
          <w:sz w:val="24"/>
          <w:szCs w:val="24"/>
        </w:rPr>
      </w:pPr>
    </w:p>
    <w:p w14:paraId="785435E7" w14:textId="77777777" w:rsidR="007C0F74" w:rsidRDefault="007C0F74" w:rsidP="00F76FF5">
      <w:pPr>
        <w:spacing w:line="240" w:lineRule="auto"/>
        <w:contextualSpacing/>
        <w:jc w:val="both"/>
        <w:rPr>
          <w:sz w:val="24"/>
          <w:szCs w:val="24"/>
        </w:rPr>
      </w:pPr>
      <w:r w:rsidRPr="007C0F74">
        <w:rPr>
          <w:sz w:val="24"/>
          <w:szCs w:val="24"/>
        </w:rPr>
        <w:t>De manera directa esa mayor población demanda tierra urbana para habitar y</w:t>
      </w:r>
      <w:r w:rsidR="000B4E37">
        <w:rPr>
          <w:sz w:val="24"/>
          <w:szCs w:val="24"/>
        </w:rPr>
        <w:t>,</w:t>
      </w:r>
      <w:r w:rsidRPr="007C0F74">
        <w:rPr>
          <w:sz w:val="24"/>
          <w:szCs w:val="24"/>
        </w:rPr>
        <w:t xml:space="preserve"> de manera indirecta</w:t>
      </w:r>
      <w:r w:rsidR="000B4E37">
        <w:rPr>
          <w:sz w:val="24"/>
          <w:szCs w:val="24"/>
        </w:rPr>
        <w:t>,</w:t>
      </w:r>
      <w:r w:rsidRPr="007C0F74">
        <w:rPr>
          <w:sz w:val="24"/>
          <w:szCs w:val="24"/>
        </w:rPr>
        <w:t xml:space="preserve"> para la provisión de servicios como educación, salud, parques y espacio público. Adicionalmente, los nuevos habitantes también requieren de bienes y servicios de carácter comercial</w:t>
      </w:r>
      <w:r w:rsidR="00414A3A">
        <w:rPr>
          <w:sz w:val="24"/>
          <w:szCs w:val="24"/>
        </w:rPr>
        <w:t>,</w:t>
      </w:r>
      <w:r w:rsidRPr="007C0F74">
        <w:rPr>
          <w:sz w:val="24"/>
          <w:szCs w:val="24"/>
        </w:rPr>
        <w:t xml:space="preserve"> los cuales</w:t>
      </w:r>
      <w:r w:rsidR="00E50470">
        <w:rPr>
          <w:sz w:val="24"/>
          <w:szCs w:val="24"/>
        </w:rPr>
        <w:t>,</w:t>
      </w:r>
      <w:r w:rsidRPr="007C0F74">
        <w:rPr>
          <w:sz w:val="24"/>
          <w:szCs w:val="24"/>
        </w:rPr>
        <w:t xml:space="preserve"> a su vez</w:t>
      </w:r>
      <w:r w:rsidR="00E50470">
        <w:rPr>
          <w:sz w:val="24"/>
          <w:szCs w:val="24"/>
        </w:rPr>
        <w:t>,</w:t>
      </w:r>
      <w:r w:rsidRPr="007C0F74">
        <w:rPr>
          <w:sz w:val="24"/>
          <w:szCs w:val="24"/>
        </w:rPr>
        <w:t xml:space="preserve"> incrementan la demanda por suelo urbano.</w:t>
      </w:r>
    </w:p>
    <w:p w14:paraId="51A4C6D8" w14:textId="77777777" w:rsidR="004354F4" w:rsidRPr="007C0F74" w:rsidRDefault="004354F4" w:rsidP="00F76FF5">
      <w:pPr>
        <w:spacing w:line="240" w:lineRule="auto"/>
        <w:contextualSpacing/>
        <w:jc w:val="both"/>
        <w:rPr>
          <w:sz w:val="24"/>
          <w:szCs w:val="24"/>
        </w:rPr>
      </w:pPr>
    </w:p>
    <w:p w14:paraId="396D23E9" w14:textId="77777777" w:rsidR="007C0F74" w:rsidRDefault="007C0F74" w:rsidP="00F76FF5">
      <w:pPr>
        <w:spacing w:line="240" w:lineRule="auto"/>
        <w:contextualSpacing/>
        <w:jc w:val="both"/>
        <w:rPr>
          <w:sz w:val="24"/>
          <w:szCs w:val="24"/>
        </w:rPr>
      </w:pPr>
      <w:r w:rsidRPr="007C0F74">
        <w:rPr>
          <w:sz w:val="24"/>
          <w:szCs w:val="24"/>
        </w:rPr>
        <w:t xml:space="preserve">Como la tierra es un recurso económico fijo, la mayor demanda de suelo para usos residenciales, comerciales e institucionales se refleja en un aumento de su valor (precio). Las cifras sobre el valor de las viviendas nuevas y usadas a nivel nacional confirman lo anterior. </w:t>
      </w:r>
    </w:p>
    <w:p w14:paraId="2B077A83" w14:textId="77777777" w:rsidR="004354F4" w:rsidRPr="007C0F74" w:rsidRDefault="004354F4" w:rsidP="00F76FF5">
      <w:pPr>
        <w:spacing w:line="240" w:lineRule="auto"/>
        <w:contextualSpacing/>
        <w:jc w:val="both"/>
        <w:rPr>
          <w:sz w:val="24"/>
          <w:szCs w:val="24"/>
        </w:rPr>
      </w:pPr>
    </w:p>
    <w:p w14:paraId="58F3B766" w14:textId="77777777" w:rsidR="007C0F74" w:rsidRDefault="007C0F74" w:rsidP="00F76FF5">
      <w:pPr>
        <w:spacing w:line="240" w:lineRule="auto"/>
        <w:contextualSpacing/>
        <w:jc w:val="both"/>
        <w:rPr>
          <w:sz w:val="24"/>
          <w:szCs w:val="24"/>
        </w:rPr>
      </w:pPr>
      <w:r w:rsidRPr="007C0F74">
        <w:rPr>
          <w:sz w:val="24"/>
          <w:szCs w:val="24"/>
        </w:rPr>
        <w:t>La gráfica 1 muestra la evolución</w:t>
      </w:r>
      <w:r w:rsidR="00C57577">
        <w:rPr>
          <w:sz w:val="24"/>
          <w:szCs w:val="24"/>
        </w:rPr>
        <w:t>,</w:t>
      </w:r>
      <w:r w:rsidRPr="007C0F74">
        <w:rPr>
          <w:sz w:val="24"/>
          <w:szCs w:val="24"/>
        </w:rPr>
        <w:t xml:space="preserve"> en términos reales</w:t>
      </w:r>
      <w:r w:rsidR="00C57577">
        <w:rPr>
          <w:sz w:val="24"/>
          <w:szCs w:val="24"/>
        </w:rPr>
        <w:t>,</w:t>
      </w:r>
      <w:r w:rsidRPr="007C0F74">
        <w:rPr>
          <w:sz w:val="24"/>
          <w:szCs w:val="24"/>
        </w:rPr>
        <w:t xml:space="preserve"> del índice de precios de viviendas nuevas en 23 ciudades del país</w:t>
      </w:r>
      <w:r w:rsidRPr="007C0F74">
        <w:rPr>
          <w:rStyle w:val="Refdenotaalpie"/>
          <w:sz w:val="24"/>
          <w:szCs w:val="24"/>
        </w:rPr>
        <w:footnoteReference w:id="1"/>
      </w:r>
      <w:r w:rsidRPr="007C0F74">
        <w:rPr>
          <w:sz w:val="24"/>
          <w:szCs w:val="24"/>
        </w:rPr>
        <w:t xml:space="preserve"> de acuerdo con el DANE</w:t>
      </w:r>
      <w:r w:rsidRPr="007C0F74">
        <w:rPr>
          <w:rStyle w:val="Refdenotaalpie"/>
          <w:sz w:val="24"/>
          <w:szCs w:val="24"/>
        </w:rPr>
        <w:footnoteReference w:id="2"/>
      </w:r>
      <w:r w:rsidRPr="007C0F74">
        <w:rPr>
          <w:sz w:val="24"/>
          <w:szCs w:val="24"/>
        </w:rPr>
        <w:t xml:space="preserve">. Tomado el año 2004 como base 100, se observa que el conjunto de 23 ciudades en </w:t>
      </w:r>
      <w:r w:rsidR="00C57577">
        <w:rPr>
          <w:sz w:val="24"/>
          <w:szCs w:val="24"/>
        </w:rPr>
        <w:t xml:space="preserve">el año </w:t>
      </w:r>
      <w:r w:rsidRPr="007C0F74">
        <w:rPr>
          <w:sz w:val="24"/>
          <w:szCs w:val="24"/>
        </w:rPr>
        <w:t>2014 llega en términos reales a 195, es decir</w:t>
      </w:r>
      <w:r w:rsidR="001C531A">
        <w:rPr>
          <w:sz w:val="24"/>
          <w:szCs w:val="24"/>
        </w:rPr>
        <w:t>,</w:t>
      </w:r>
      <w:r w:rsidRPr="007C0F74">
        <w:rPr>
          <w:sz w:val="24"/>
          <w:szCs w:val="24"/>
        </w:rPr>
        <w:t xml:space="preserve"> que los precios de la vivienda nueva se duplicaron descontando el efecto de la inflación. Como se mencionará más adelante, los ingresos de la población no han venido creciendo en igual proporción.</w:t>
      </w:r>
    </w:p>
    <w:p w14:paraId="18CFACA8" w14:textId="77777777" w:rsidR="00F76FF5" w:rsidRDefault="00F76FF5" w:rsidP="00F76FF5">
      <w:pPr>
        <w:spacing w:line="240" w:lineRule="auto"/>
        <w:contextualSpacing/>
        <w:jc w:val="both"/>
        <w:rPr>
          <w:sz w:val="24"/>
          <w:szCs w:val="24"/>
        </w:rPr>
      </w:pPr>
    </w:p>
    <w:p w14:paraId="721F7262" w14:textId="77777777" w:rsidR="003C593A" w:rsidRDefault="003C593A" w:rsidP="00F76FF5">
      <w:pPr>
        <w:spacing w:line="240" w:lineRule="auto"/>
        <w:contextualSpacing/>
        <w:jc w:val="both"/>
        <w:rPr>
          <w:sz w:val="24"/>
          <w:szCs w:val="24"/>
        </w:rPr>
      </w:pPr>
    </w:p>
    <w:p w14:paraId="3B741323" w14:textId="77777777" w:rsidR="003C593A" w:rsidRDefault="003C593A" w:rsidP="00F76FF5">
      <w:pPr>
        <w:spacing w:line="240" w:lineRule="auto"/>
        <w:contextualSpacing/>
        <w:jc w:val="both"/>
        <w:rPr>
          <w:sz w:val="24"/>
          <w:szCs w:val="24"/>
        </w:rPr>
      </w:pPr>
    </w:p>
    <w:p w14:paraId="6F0EF12A" w14:textId="77777777" w:rsidR="003C593A" w:rsidRDefault="003C593A" w:rsidP="00F76FF5">
      <w:pPr>
        <w:spacing w:line="240" w:lineRule="auto"/>
        <w:contextualSpacing/>
        <w:jc w:val="both"/>
        <w:rPr>
          <w:sz w:val="24"/>
          <w:szCs w:val="24"/>
        </w:rPr>
      </w:pPr>
    </w:p>
    <w:p w14:paraId="2B46D517" w14:textId="77777777" w:rsidR="003C593A" w:rsidRDefault="003C593A" w:rsidP="00F76FF5">
      <w:pPr>
        <w:spacing w:line="240" w:lineRule="auto"/>
        <w:contextualSpacing/>
        <w:jc w:val="both"/>
        <w:rPr>
          <w:sz w:val="24"/>
          <w:szCs w:val="24"/>
        </w:rPr>
      </w:pPr>
    </w:p>
    <w:p w14:paraId="57699E82" w14:textId="77777777" w:rsidR="003C593A" w:rsidRPr="007C0F74" w:rsidRDefault="003C593A" w:rsidP="00F76FF5">
      <w:pPr>
        <w:spacing w:line="240" w:lineRule="auto"/>
        <w:contextualSpacing/>
        <w:jc w:val="both"/>
        <w:rPr>
          <w:sz w:val="24"/>
          <w:szCs w:val="24"/>
        </w:rPr>
      </w:pPr>
    </w:p>
    <w:p w14:paraId="09F2C230" w14:textId="77777777" w:rsidR="007C0F74" w:rsidRDefault="007C0F74" w:rsidP="00F76FF5">
      <w:pPr>
        <w:spacing w:line="240" w:lineRule="auto"/>
        <w:contextualSpacing/>
        <w:jc w:val="both"/>
        <w:rPr>
          <w:b/>
          <w:sz w:val="24"/>
          <w:szCs w:val="24"/>
        </w:rPr>
      </w:pPr>
      <w:r w:rsidRPr="007C0F74">
        <w:rPr>
          <w:b/>
          <w:sz w:val="24"/>
          <w:szCs w:val="24"/>
        </w:rPr>
        <w:lastRenderedPageBreak/>
        <w:t>Gráfica 1. Índice Real del Valor de Vivienda Nueva. 2004-2014 23 Municipios</w:t>
      </w:r>
    </w:p>
    <w:p w14:paraId="41106090" w14:textId="77777777" w:rsidR="004354F4" w:rsidRPr="007C0F74" w:rsidRDefault="004354F4" w:rsidP="00F76FF5">
      <w:pPr>
        <w:spacing w:line="240" w:lineRule="auto"/>
        <w:contextualSpacing/>
        <w:jc w:val="both"/>
        <w:rPr>
          <w:b/>
          <w:sz w:val="24"/>
          <w:szCs w:val="24"/>
        </w:rPr>
      </w:pPr>
    </w:p>
    <w:p w14:paraId="2C5545D6" w14:textId="77777777" w:rsidR="007C0F74" w:rsidRPr="007C0F74" w:rsidRDefault="007C0F74" w:rsidP="00F76FF5">
      <w:pPr>
        <w:spacing w:line="240" w:lineRule="auto"/>
        <w:contextualSpacing/>
        <w:jc w:val="both"/>
        <w:rPr>
          <w:sz w:val="24"/>
          <w:szCs w:val="24"/>
        </w:rPr>
      </w:pPr>
      <w:r w:rsidRPr="007C0F74">
        <w:rPr>
          <w:noProof/>
          <w:sz w:val="24"/>
          <w:szCs w:val="24"/>
          <w:lang w:eastAsia="es-CO"/>
        </w:rPr>
        <w:drawing>
          <wp:inline distT="0" distB="0" distL="0" distR="0" wp14:anchorId="34DF5AAB" wp14:editId="77A62A3C">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64EE32" w14:textId="77777777" w:rsidR="007C0F74" w:rsidRPr="00C57577" w:rsidRDefault="007C0F74" w:rsidP="00F76FF5">
      <w:pPr>
        <w:spacing w:line="240" w:lineRule="auto"/>
        <w:contextualSpacing/>
        <w:jc w:val="both"/>
        <w:rPr>
          <w:sz w:val="20"/>
          <w:szCs w:val="20"/>
        </w:rPr>
      </w:pPr>
      <w:r w:rsidRPr="00C57577">
        <w:rPr>
          <w:sz w:val="20"/>
          <w:szCs w:val="20"/>
        </w:rPr>
        <w:t>Fuente: Cálculos propios con base en DANE (IPVN, 2014)</w:t>
      </w:r>
      <w:r w:rsidR="00C57577" w:rsidRPr="00C57577">
        <w:rPr>
          <w:sz w:val="20"/>
          <w:szCs w:val="20"/>
        </w:rPr>
        <w:t>.</w:t>
      </w:r>
    </w:p>
    <w:p w14:paraId="6112CAA1" w14:textId="77777777" w:rsidR="004354F4" w:rsidRDefault="004354F4" w:rsidP="00F76FF5">
      <w:pPr>
        <w:spacing w:line="240" w:lineRule="auto"/>
        <w:contextualSpacing/>
        <w:jc w:val="both"/>
        <w:rPr>
          <w:sz w:val="24"/>
          <w:szCs w:val="24"/>
        </w:rPr>
      </w:pPr>
    </w:p>
    <w:p w14:paraId="28F473DB" w14:textId="77777777" w:rsidR="007C0F74" w:rsidRDefault="007C0F74" w:rsidP="00F76FF5">
      <w:pPr>
        <w:spacing w:line="240" w:lineRule="auto"/>
        <w:contextualSpacing/>
        <w:jc w:val="both"/>
        <w:rPr>
          <w:sz w:val="24"/>
          <w:szCs w:val="24"/>
        </w:rPr>
      </w:pPr>
      <w:r w:rsidRPr="007C0F74">
        <w:rPr>
          <w:sz w:val="24"/>
          <w:szCs w:val="24"/>
        </w:rPr>
        <w:t>Los precios de la vivienda nueva han crecido en forma importante en los diferentes municipios y áreas metropolitanas. (Cuadro 1)</w:t>
      </w:r>
      <w:r w:rsidR="00C57577">
        <w:rPr>
          <w:sz w:val="24"/>
          <w:szCs w:val="24"/>
        </w:rPr>
        <w:t>.</w:t>
      </w:r>
    </w:p>
    <w:p w14:paraId="450D6B94" w14:textId="77777777" w:rsidR="004354F4" w:rsidRPr="007C0F74" w:rsidRDefault="004354F4" w:rsidP="00F76FF5">
      <w:pPr>
        <w:spacing w:line="240" w:lineRule="auto"/>
        <w:contextualSpacing/>
        <w:jc w:val="both"/>
        <w:rPr>
          <w:sz w:val="24"/>
          <w:szCs w:val="24"/>
        </w:rPr>
      </w:pPr>
    </w:p>
    <w:p w14:paraId="2EE4F07F" w14:textId="77777777" w:rsidR="007C0F74" w:rsidRDefault="007C0F74" w:rsidP="00F76FF5">
      <w:pPr>
        <w:spacing w:line="240" w:lineRule="auto"/>
        <w:ind w:left="1416" w:firstLine="708"/>
        <w:contextualSpacing/>
        <w:jc w:val="both"/>
        <w:rPr>
          <w:b/>
          <w:sz w:val="24"/>
          <w:szCs w:val="24"/>
        </w:rPr>
      </w:pPr>
      <w:r w:rsidRPr="007C0F74">
        <w:rPr>
          <w:b/>
          <w:sz w:val="24"/>
          <w:szCs w:val="24"/>
        </w:rPr>
        <w:t>Cuadro 1. Índice Valor Vivienda Nueva (Base 2006=100)</w:t>
      </w:r>
    </w:p>
    <w:p w14:paraId="1FEB08E9" w14:textId="77777777" w:rsidR="004354F4" w:rsidRPr="007C0F74" w:rsidRDefault="004354F4" w:rsidP="00F76FF5">
      <w:pPr>
        <w:spacing w:line="240" w:lineRule="auto"/>
        <w:ind w:left="1416" w:firstLine="708"/>
        <w:contextualSpacing/>
        <w:jc w:val="both"/>
        <w:rPr>
          <w:b/>
          <w:sz w:val="24"/>
          <w:szCs w:val="24"/>
        </w:rPr>
      </w:pPr>
    </w:p>
    <w:tbl>
      <w:tblPr>
        <w:tblStyle w:val="Tablaconcuadrcula"/>
        <w:tblW w:w="0" w:type="auto"/>
        <w:jc w:val="center"/>
        <w:tblLook w:val="04A0" w:firstRow="1" w:lastRow="0" w:firstColumn="1" w:lastColumn="0" w:noHBand="0" w:noVBand="1"/>
      </w:tblPr>
      <w:tblGrid>
        <w:gridCol w:w="2830"/>
        <w:gridCol w:w="1985"/>
      </w:tblGrid>
      <w:tr w:rsidR="007C0F74" w:rsidRPr="007C0F74" w14:paraId="15CBFCF3" w14:textId="77777777" w:rsidTr="007C0F74">
        <w:trPr>
          <w:jc w:val="center"/>
        </w:trPr>
        <w:tc>
          <w:tcPr>
            <w:tcW w:w="2830" w:type="dxa"/>
          </w:tcPr>
          <w:p w14:paraId="16C1A525" w14:textId="77777777" w:rsidR="007C0F74" w:rsidRPr="007C0F74" w:rsidRDefault="007C0F74" w:rsidP="00F76FF5">
            <w:pPr>
              <w:spacing w:line="240" w:lineRule="auto"/>
              <w:contextualSpacing/>
              <w:jc w:val="both"/>
              <w:rPr>
                <w:b/>
                <w:sz w:val="24"/>
                <w:szCs w:val="24"/>
              </w:rPr>
            </w:pPr>
            <w:r w:rsidRPr="007C0F74">
              <w:rPr>
                <w:b/>
                <w:sz w:val="24"/>
                <w:szCs w:val="24"/>
              </w:rPr>
              <w:t>Municipio</w:t>
            </w:r>
          </w:p>
        </w:tc>
        <w:tc>
          <w:tcPr>
            <w:tcW w:w="1985" w:type="dxa"/>
          </w:tcPr>
          <w:p w14:paraId="1DE92F65" w14:textId="77777777" w:rsidR="007C0F74" w:rsidRPr="007C0F74" w:rsidRDefault="007C0F74" w:rsidP="00F76FF5">
            <w:pPr>
              <w:spacing w:line="240" w:lineRule="auto"/>
              <w:contextualSpacing/>
              <w:jc w:val="both"/>
              <w:rPr>
                <w:b/>
                <w:sz w:val="24"/>
                <w:szCs w:val="24"/>
              </w:rPr>
            </w:pPr>
            <w:r w:rsidRPr="007C0F74">
              <w:rPr>
                <w:b/>
                <w:sz w:val="24"/>
                <w:szCs w:val="24"/>
              </w:rPr>
              <w:t>Índice</w:t>
            </w:r>
          </w:p>
        </w:tc>
      </w:tr>
      <w:tr w:rsidR="007C0F74" w:rsidRPr="007C0F74" w14:paraId="2A7616F9" w14:textId="77777777" w:rsidTr="007C0F74">
        <w:trPr>
          <w:jc w:val="center"/>
        </w:trPr>
        <w:tc>
          <w:tcPr>
            <w:tcW w:w="2830" w:type="dxa"/>
          </w:tcPr>
          <w:p w14:paraId="4DB3C627" w14:textId="77777777" w:rsidR="007C0F74" w:rsidRPr="007C0F74" w:rsidRDefault="007C0F74" w:rsidP="00F76FF5">
            <w:pPr>
              <w:spacing w:line="240" w:lineRule="auto"/>
              <w:contextualSpacing/>
              <w:jc w:val="both"/>
              <w:rPr>
                <w:sz w:val="24"/>
                <w:szCs w:val="24"/>
              </w:rPr>
            </w:pPr>
            <w:r w:rsidRPr="007C0F74">
              <w:rPr>
                <w:sz w:val="24"/>
                <w:szCs w:val="24"/>
              </w:rPr>
              <w:t>Total Nacional</w:t>
            </w:r>
          </w:p>
        </w:tc>
        <w:tc>
          <w:tcPr>
            <w:tcW w:w="1985" w:type="dxa"/>
          </w:tcPr>
          <w:p w14:paraId="04C591C6" w14:textId="77777777" w:rsidR="007C0F74" w:rsidRPr="007C0F74" w:rsidRDefault="007C0F74" w:rsidP="00F76FF5">
            <w:pPr>
              <w:spacing w:line="240" w:lineRule="auto"/>
              <w:contextualSpacing/>
              <w:jc w:val="both"/>
              <w:rPr>
                <w:sz w:val="24"/>
                <w:szCs w:val="24"/>
              </w:rPr>
            </w:pPr>
            <w:r w:rsidRPr="007C0F74">
              <w:rPr>
                <w:sz w:val="24"/>
                <w:szCs w:val="24"/>
              </w:rPr>
              <w:t>229,59</w:t>
            </w:r>
          </w:p>
        </w:tc>
      </w:tr>
      <w:tr w:rsidR="007C0F74" w:rsidRPr="007C0F74" w14:paraId="4EECE639" w14:textId="77777777" w:rsidTr="007C0F74">
        <w:trPr>
          <w:jc w:val="center"/>
        </w:trPr>
        <w:tc>
          <w:tcPr>
            <w:tcW w:w="2830" w:type="dxa"/>
          </w:tcPr>
          <w:p w14:paraId="0F5C1139" w14:textId="77777777" w:rsidR="007C0F74" w:rsidRPr="007C0F74" w:rsidRDefault="007C0F74" w:rsidP="00F76FF5">
            <w:pPr>
              <w:spacing w:line="240" w:lineRule="auto"/>
              <w:contextualSpacing/>
              <w:jc w:val="both"/>
              <w:rPr>
                <w:sz w:val="24"/>
                <w:szCs w:val="24"/>
              </w:rPr>
            </w:pPr>
            <w:r w:rsidRPr="007C0F74">
              <w:rPr>
                <w:sz w:val="24"/>
                <w:szCs w:val="24"/>
              </w:rPr>
              <w:t>Armenia AU</w:t>
            </w:r>
          </w:p>
        </w:tc>
        <w:tc>
          <w:tcPr>
            <w:tcW w:w="1985" w:type="dxa"/>
          </w:tcPr>
          <w:p w14:paraId="5A0D651D" w14:textId="77777777" w:rsidR="007C0F74" w:rsidRPr="007C0F74" w:rsidRDefault="007C0F74" w:rsidP="00F76FF5">
            <w:pPr>
              <w:spacing w:line="240" w:lineRule="auto"/>
              <w:contextualSpacing/>
              <w:jc w:val="both"/>
              <w:rPr>
                <w:sz w:val="24"/>
                <w:szCs w:val="24"/>
              </w:rPr>
            </w:pPr>
            <w:r w:rsidRPr="007C0F74">
              <w:rPr>
                <w:sz w:val="24"/>
                <w:szCs w:val="24"/>
              </w:rPr>
              <w:t>174,49</w:t>
            </w:r>
          </w:p>
        </w:tc>
      </w:tr>
      <w:tr w:rsidR="007C0F74" w:rsidRPr="007C0F74" w14:paraId="57E49441" w14:textId="77777777" w:rsidTr="007C0F74">
        <w:trPr>
          <w:jc w:val="center"/>
        </w:trPr>
        <w:tc>
          <w:tcPr>
            <w:tcW w:w="2830" w:type="dxa"/>
          </w:tcPr>
          <w:p w14:paraId="7148E6A1" w14:textId="77777777" w:rsidR="007C0F74" w:rsidRPr="007C0F74" w:rsidRDefault="007C0F74" w:rsidP="00F76FF5">
            <w:pPr>
              <w:spacing w:line="240" w:lineRule="auto"/>
              <w:contextualSpacing/>
              <w:jc w:val="both"/>
              <w:rPr>
                <w:sz w:val="24"/>
                <w:szCs w:val="24"/>
              </w:rPr>
            </w:pPr>
            <w:r w:rsidRPr="007C0F74">
              <w:rPr>
                <w:sz w:val="24"/>
                <w:szCs w:val="24"/>
              </w:rPr>
              <w:t>Barranquilla AU</w:t>
            </w:r>
          </w:p>
        </w:tc>
        <w:tc>
          <w:tcPr>
            <w:tcW w:w="1985" w:type="dxa"/>
          </w:tcPr>
          <w:p w14:paraId="14C4AB19" w14:textId="77777777" w:rsidR="007C0F74" w:rsidRPr="007C0F74" w:rsidRDefault="007C0F74" w:rsidP="00F76FF5">
            <w:pPr>
              <w:spacing w:line="240" w:lineRule="auto"/>
              <w:contextualSpacing/>
              <w:jc w:val="both"/>
              <w:rPr>
                <w:sz w:val="24"/>
                <w:szCs w:val="24"/>
              </w:rPr>
            </w:pPr>
            <w:r w:rsidRPr="007C0F74">
              <w:rPr>
                <w:sz w:val="24"/>
                <w:szCs w:val="24"/>
              </w:rPr>
              <w:t>234,71</w:t>
            </w:r>
          </w:p>
        </w:tc>
      </w:tr>
      <w:tr w:rsidR="007C0F74" w:rsidRPr="007C0F74" w14:paraId="42F412C5" w14:textId="77777777" w:rsidTr="007C0F74">
        <w:trPr>
          <w:jc w:val="center"/>
        </w:trPr>
        <w:tc>
          <w:tcPr>
            <w:tcW w:w="2830" w:type="dxa"/>
          </w:tcPr>
          <w:p w14:paraId="771867F6" w14:textId="77777777" w:rsidR="007C0F74" w:rsidRPr="007C0F74" w:rsidRDefault="007C0F74" w:rsidP="00F76FF5">
            <w:pPr>
              <w:spacing w:line="240" w:lineRule="auto"/>
              <w:contextualSpacing/>
              <w:jc w:val="both"/>
              <w:rPr>
                <w:sz w:val="24"/>
                <w:szCs w:val="24"/>
              </w:rPr>
            </w:pPr>
            <w:r w:rsidRPr="007C0F74">
              <w:rPr>
                <w:sz w:val="24"/>
                <w:szCs w:val="24"/>
              </w:rPr>
              <w:t>Bogotá AU</w:t>
            </w:r>
          </w:p>
        </w:tc>
        <w:tc>
          <w:tcPr>
            <w:tcW w:w="1985" w:type="dxa"/>
          </w:tcPr>
          <w:p w14:paraId="7E594D36" w14:textId="77777777" w:rsidR="007C0F74" w:rsidRPr="007C0F74" w:rsidRDefault="007C0F74" w:rsidP="00F76FF5">
            <w:pPr>
              <w:spacing w:line="240" w:lineRule="auto"/>
              <w:contextualSpacing/>
              <w:jc w:val="both"/>
              <w:rPr>
                <w:sz w:val="24"/>
                <w:szCs w:val="24"/>
              </w:rPr>
            </w:pPr>
            <w:r w:rsidRPr="007C0F74">
              <w:rPr>
                <w:sz w:val="24"/>
                <w:szCs w:val="24"/>
              </w:rPr>
              <w:t>244,24</w:t>
            </w:r>
          </w:p>
        </w:tc>
      </w:tr>
      <w:tr w:rsidR="007C0F74" w:rsidRPr="007C0F74" w14:paraId="4B322EDD" w14:textId="77777777" w:rsidTr="007C0F74">
        <w:trPr>
          <w:jc w:val="center"/>
        </w:trPr>
        <w:tc>
          <w:tcPr>
            <w:tcW w:w="2830" w:type="dxa"/>
          </w:tcPr>
          <w:p w14:paraId="2880D6AD" w14:textId="77777777" w:rsidR="007C0F74" w:rsidRPr="007C0F74" w:rsidRDefault="007C0F74" w:rsidP="00F76FF5">
            <w:pPr>
              <w:spacing w:line="240" w:lineRule="auto"/>
              <w:contextualSpacing/>
              <w:jc w:val="both"/>
              <w:rPr>
                <w:sz w:val="24"/>
                <w:szCs w:val="24"/>
              </w:rPr>
            </w:pPr>
            <w:r w:rsidRPr="007C0F74">
              <w:rPr>
                <w:sz w:val="24"/>
                <w:szCs w:val="24"/>
              </w:rPr>
              <w:t>Bucaramanga AM</w:t>
            </w:r>
          </w:p>
        </w:tc>
        <w:tc>
          <w:tcPr>
            <w:tcW w:w="1985" w:type="dxa"/>
          </w:tcPr>
          <w:p w14:paraId="71B86CC8" w14:textId="77777777" w:rsidR="007C0F74" w:rsidRPr="007C0F74" w:rsidRDefault="007C0F74" w:rsidP="00F76FF5">
            <w:pPr>
              <w:spacing w:line="240" w:lineRule="auto"/>
              <w:contextualSpacing/>
              <w:jc w:val="both"/>
              <w:rPr>
                <w:sz w:val="24"/>
                <w:szCs w:val="24"/>
              </w:rPr>
            </w:pPr>
            <w:r w:rsidRPr="007C0F74">
              <w:rPr>
                <w:sz w:val="24"/>
                <w:szCs w:val="24"/>
              </w:rPr>
              <w:t>291,96</w:t>
            </w:r>
          </w:p>
        </w:tc>
      </w:tr>
      <w:tr w:rsidR="007C0F74" w:rsidRPr="007C0F74" w14:paraId="4F357D91" w14:textId="77777777" w:rsidTr="007C0F74">
        <w:trPr>
          <w:jc w:val="center"/>
        </w:trPr>
        <w:tc>
          <w:tcPr>
            <w:tcW w:w="2830" w:type="dxa"/>
          </w:tcPr>
          <w:p w14:paraId="5F3CB803" w14:textId="77777777" w:rsidR="007C0F74" w:rsidRPr="007C0F74" w:rsidRDefault="007C0F74" w:rsidP="00F76FF5">
            <w:pPr>
              <w:spacing w:line="240" w:lineRule="auto"/>
              <w:contextualSpacing/>
              <w:jc w:val="both"/>
              <w:rPr>
                <w:sz w:val="24"/>
                <w:szCs w:val="24"/>
              </w:rPr>
            </w:pPr>
            <w:r w:rsidRPr="007C0F74">
              <w:rPr>
                <w:sz w:val="24"/>
                <w:szCs w:val="24"/>
              </w:rPr>
              <w:t>Cali AU</w:t>
            </w:r>
          </w:p>
        </w:tc>
        <w:tc>
          <w:tcPr>
            <w:tcW w:w="1985" w:type="dxa"/>
          </w:tcPr>
          <w:p w14:paraId="376C423A" w14:textId="77777777" w:rsidR="007C0F74" w:rsidRPr="007C0F74" w:rsidRDefault="007C0F74" w:rsidP="00F76FF5">
            <w:pPr>
              <w:spacing w:line="240" w:lineRule="auto"/>
              <w:contextualSpacing/>
              <w:jc w:val="both"/>
              <w:rPr>
                <w:sz w:val="24"/>
                <w:szCs w:val="24"/>
              </w:rPr>
            </w:pPr>
            <w:r w:rsidRPr="007C0F74">
              <w:rPr>
                <w:sz w:val="24"/>
                <w:szCs w:val="24"/>
              </w:rPr>
              <w:t>190,98</w:t>
            </w:r>
          </w:p>
        </w:tc>
      </w:tr>
      <w:tr w:rsidR="007C0F74" w:rsidRPr="007C0F74" w14:paraId="66E32847" w14:textId="77777777" w:rsidTr="007C0F74">
        <w:trPr>
          <w:jc w:val="center"/>
        </w:trPr>
        <w:tc>
          <w:tcPr>
            <w:tcW w:w="2830" w:type="dxa"/>
          </w:tcPr>
          <w:p w14:paraId="521EFCFD" w14:textId="77777777" w:rsidR="007C0F74" w:rsidRPr="007C0F74" w:rsidRDefault="007C0F74" w:rsidP="00F76FF5">
            <w:pPr>
              <w:spacing w:line="240" w:lineRule="auto"/>
              <w:contextualSpacing/>
              <w:jc w:val="both"/>
              <w:rPr>
                <w:sz w:val="24"/>
                <w:szCs w:val="24"/>
              </w:rPr>
            </w:pPr>
            <w:r w:rsidRPr="007C0F74">
              <w:rPr>
                <w:sz w:val="24"/>
                <w:szCs w:val="24"/>
              </w:rPr>
              <w:t>Medellín AM</w:t>
            </w:r>
          </w:p>
        </w:tc>
        <w:tc>
          <w:tcPr>
            <w:tcW w:w="1985" w:type="dxa"/>
          </w:tcPr>
          <w:p w14:paraId="09DC6389" w14:textId="77777777" w:rsidR="007C0F74" w:rsidRPr="007C0F74" w:rsidRDefault="007C0F74" w:rsidP="00F76FF5">
            <w:pPr>
              <w:spacing w:line="240" w:lineRule="auto"/>
              <w:contextualSpacing/>
              <w:jc w:val="both"/>
              <w:rPr>
                <w:sz w:val="24"/>
                <w:szCs w:val="24"/>
              </w:rPr>
            </w:pPr>
            <w:r w:rsidRPr="007C0F74">
              <w:rPr>
                <w:sz w:val="24"/>
                <w:szCs w:val="24"/>
              </w:rPr>
              <w:t>200,25</w:t>
            </w:r>
          </w:p>
        </w:tc>
      </w:tr>
      <w:tr w:rsidR="007C0F74" w:rsidRPr="007C0F74" w14:paraId="7F25C3DC" w14:textId="77777777" w:rsidTr="007C0F74">
        <w:trPr>
          <w:jc w:val="center"/>
        </w:trPr>
        <w:tc>
          <w:tcPr>
            <w:tcW w:w="2830" w:type="dxa"/>
          </w:tcPr>
          <w:p w14:paraId="338D1DC3" w14:textId="77777777" w:rsidR="007C0F74" w:rsidRPr="007C0F74" w:rsidRDefault="007C0F74" w:rsidP="00F76FF5">
            <w:pPr>
              <w:spacing w:line="240" w:lineRule="auto"/>
              <w:contextualSpacing/>
              <w:jc w:val="both"/>
              <w:rPr>
                <w:sz w:val="24"/>
                <w:szCs w:val="24"/>
              </w:rPr>
            </w:pPr>
            <w:r w:rsidRPr="007C0F74">
              <w:rPr>
                <w:sz w:val="24"/>
                <w:szCs w:val="24"/>
              </w:rPr>
              <w:t>Pereira AU</w:t>
            </w:r>
          </w:p>
        </w:tc>
        <w:tc>
          <w:tcPr>
            <w:tcW w:w="1985" w:type="dxa"/>
          </w:tcPr>
          <w:p w14:paraId="47BB7FE1" w14:textId="77777777" w:rsidR="007C0F74" w:rsidRPr="007C0F74" w:rsidRDefault="007C0F74" w:rsidP="00F76FF5">
            <w:pPr>
              <w:spacing w:line="240" w:lineRule="auto"/>
              <w:contextualSpacing/>
              <w:jc w:val="both"/>
              <w:rPr>
                <w:sz w:val="24"/>
                <w:szCs w:val="24"/>
              </w:rPr>
            </w:pPr>
            <w:r w:rsidRPr="007C0F74">
              <w:rPr>
                <w:sz w:val="24"/>
                <w:szCs w:val="24"/>
              </w:rPr>
              <w:t>145,97</w:t>
            </w:r>
          </w:p>
        </w:tc>
      </w:tr>
    </w:tbl>
    <w:p w14:paraId="66D7C90E" w14:textId="77777777" w:rsidR="007C0F74" w:rsidRPr="00C57577" w:rsidRDefault="007C0F74" w:rsidP="00F76FF5">
      <w:pPr>
        <w:spacing w:line="240" w:lineRule="auto"/>
        <w:contextualSpacing/>
        <w:jc w:val="both"/>
        <w:rPr>
          <w:sz w:val="20"/>
          <w:szCs w:val="20"/>
        </w:rPr>
      </w:pPr>
      <w:r w:rsidRPr="007C0F74">
        <w:rPr>
          <w:sz w:val="24"/>
          <w:szCs w:val="24"/>
        </w:rPr>
        <w:tab/>
      </w:r>
      <w:r w:rsidRPr="007C0F74">
        <w:rPr>
          <w:sz w:val="24"/>
          <w:szCs w:val="24"/>
        </w:rPr>
        <w:tab/>
      </w:r>
      <w:r w:rsidRPr="007C0F74">
        <w:rPr>
          <w:sz w:val="24"/>
          <w:szCs w:val="24"/>
        </w:rPr>
        <w:tab/>
      </w:r>
      <w:r w:rsidRPr="00C57577">
        <w:rPr>
          <w:sz w:val="20"/>
          <w:szCs w:val="20"/>
        </w:rPr>
        <w:t>Fuente: DANE.</w:t>
      </w:r>
    </w:p>
    <w:p w14:paraId="7F48FAEB" w14:textId="77777777" w:rsidR="004354F4" w:rsidRDefault="004354F4" w:rsidP="00F76FF5">
      <w:pPr>
        <w:spacing w:line="240" w:lineRule="auto"/>
        <w:contextualSpacing/>
        <w:jc w:val="both"/>
        <w:rPr>
          <w:sz w:val="24"/>
          <w:szCs w:val="24"/>
        </w:rPr>
      </w:pPr>
    </w:p>
    <w:p w14:paraId="2DCF0B99" w14:textId="77777777" w:rsidR="007C0F74" w:rsidRPr="007C0F74" w:rsidRDefault="007C0F74" w:rsidP="00F76FF5">
      <w:pPr>
        <w:spacing w:line="240" w:lineRule="auto"/>
        <w:contextualSpacing/>
        <w:jc w:val="both"/>
        <w:rPr>
          <w:sz w:val="24"/>
          <w:szCs w:val="24"/>
        </w:rPr>
      </w:pPr>
      <w:r w:rsidRPr="007C0F74">
        <w:rPr>
          <w:sz w:val="24"/>
          <w:szCs w:val="24"/>
        </w:rPr>
        <w:t>Se observa que en todas las ciudades mencionadas hay aumentos significativos en los precios de la vivienda nueva, en particular en Bucaramanga, Bogotá y Barranquilla.</w:t>
      </w:r>
    </w:p>
    <w:p w14:paraId="7AFCBABB" w14:textId="77777777" w:rsidR="007C0F74" w:rsidRPr="007C0F74" w:rsidRDefault="007C0F74" w:rsidP="00F76FF5">
      <w:pPr>
        <w:spacing w:line="240" w:lineRule="auto"/>
        <w:contextualSpacing/>
        <w:jc w:val="both"/>
        <w:rPr>
          <w:sz w:val="24"/>
          <w:szCs w:val="24"/>
        </w:rPr>
      </w:pPr>
      <w:r w:rsidRPr="007C0F74">
        <w:rPr>
          <w:sz w:val="24"/>
          <w:szCs w:val="24"/>
        </w:rPr>
        <w:lastRenderedPageBreak/>
        <w:t>En relación con la vivienda usada, el Banco de la República publica la evolución de los precios cuya dinámica</w:t>
      </w:r>
      <w:r w:rsidR="00DA6FDF">
        <w:rPr>
          <w:sz w:val="24"/>
          <w:szCs w:val="24"/>
        </w:rPr>
        <w:t>,</w:t>
      </w:r>
      <w:r w:rsidRPr="007C0F74">
        <w:rPr>
          <w:sz w:val="24"/>
          <w:szCs w:val="24"/>
        </w:rPr>
        <w:t xml:space="preserve"> a partir de</w:t>
      </w:r>
      <w:r w:rsidR="00D33928">
        <w:rPr>
          <w:sz w:val="24"/>
          <w:szCs w:val="24"/>
        </w:rPr>
        <w:t>l año</w:t>
      </w:r>
      <w:r w:rsidRPr="007C0F74">
        <w:rPr>
          <w:sz w:val="24"/>
          <w:szCs w:val="24"/>
        </w:rPr>
        <w:t xml:space="preserve"> 1999</w:t>
      </w:r>
      <w:r w:rsidR="00DA6FDF">
        <w:rPr>
          <w:sz w:val="24"/>
          <w:szCs w:val="24"/>
        </w:rPr>
        <w:t>,</w:t>
      </w:r>
      <w:r w:rsidRPr="007C0F74">
        <w:rPr>
          <w:sz w:val="24"/>
          <w:szCs w:val="24"/>
        </w:rPr>
        <w:t xml:space="preserve"> se presenta en la gráfica número 2</w:t>
      </w:r>
      <w:r w:rsidRPr="007C0F74">
        <w:rPr>
          <w:rStyle w:val="Refdenotaalpie"/>
          <w:sz w:val="24"/>
          <w:szCs w:val="24"/>
        </w:rPr>
        <w:footnoteReference w:id="3"/>
      </w:r>
      <w:r w:rsidR="00290EB9">
        <w:rPr>
          <w:sz w:val="24"/>
          <w:szCs w:val="24"/>
        </w:rPr>
        <w:t>.</w:t>
      </w:r>
      <w:r w:rsidRPr="007C0F74">
        <w:rPr>
          <w:sz w:val="24"/>
          <w:szCs w:val="24"/>
        </w:rPr>
        <w:t xml:space="preserve"> Tomando como base </w:t>
      </w:r>
      <w:r w:rsidR="00D33928">
        <w:rPr>
          <w:sz w:val="24"/>
          <w:szCs w:val="24"/>
        </w:rPr>
        <w:t xml:space="preserve">el año </w:t>
      </w:r>
      <w:r w:rsidRPr="007C0F74">
        <w:rPr>
          <w:sz w:val="24"/>
          <w:szCs w:val="24"/>
        </w:rPr>
        <w:t>1990, el índice muestra una caída importante hasta la crisis hipot</w:t>
      </w:r>
      <w:r w:rsidR="00C57577">
        <w:rPr>
          <w:sz w:val="24"/>
          <w:szCs w:val="24"/>
        </w:rPr>
        <w:t>ecaria de finales</w:t>
      </w:r>
      <w:r w:rsidRPr="007C0F74">
        <w:rPr>
          <w:sz w:val="24"/>
          <w:szCs w:val="24"/>
        </w:rPr>
        <w:t xml:space="preserve"> de </w:t>
      </w:r>
      <w:r w:rsidR="0030499D">
        <w:rPr>
          <w:sz w:val="24"/>
          <w:szCs w:val="24"/>
        </w:rPr>
        <w:t xml:space="preserve">la década de </w:t>
      </w:r>
      <w:r w:rsidRPr="007C0F74">
        <w:rPr>
          <w:sz w:val="24"/>
          <w:szCs w:val="24"/>
        </w:rPr>
        <w:t>1990. Sin embargo</w:t>
      </w:r>
      <w:r w:rsidR="00C57577">
        <w:rPr>
          <w:sz w:val="24"/>
          <w:szCs w:val="24"/>
        </w:rPr>
        <w:t>,</w:t>
      </w:r>
      <w:r w:rsidRPr="007C0F74">
        <w:rPr>
          <w:sz w:val="24"/>
          <w:szCs w:val="24"/>
        </w:rPr>
        <w:t xml:space="preserve"> a partir de </w:t>
      </w:r>
      <w:r w:rsidR="00C57577">
        <w:rPr>
          <w:sz w:val="24"/>
          <w:szCs w:val="24"/>
        </w:rPr>
        <w:t xml:space="preserve">los años </w:t>
      </w:r>
      <w:r w:rsidRPr="007C0F74">
        <w:rPr>
          <w:sz w:val="24"/>
          <w:szCs w:val="24"/>
        </w:rPr>
        <w:t>2007-2008 se observa un crecimiento significativo del valor de las viviendas usadas.</w:t>
      </w:r>
    </w:p>
    <w:p w14:paraId="4C948315" w14:textId="77777777" w:rsidR="004354F4" w:rsidRDefault="004354F4" w:rsidP="00F76FF5">
      <w:pPr>
        <w:spacing w:line="240" w:lineRule="auto"/>
        <w:contextualSpacing/>
        <w:jc w:val="both"/>
        <w:rPr>
          <w:b/>
          <w:sz w:val="24"/>
          <w:szCs w:val="24"/>
        </w:rPr>
      </w:pPr>
    </w:p>
    <w:p w14:paraId="78758CE0" w14:textId="77777777" w:rsidR="007C0F74" w:rsidRDefault="007C0F74" w:rsidP="00F76FF5">
      <w:pPr>
        <w:spacing w:line="240" w:lineRule="auto"/>
        <w:contextualSpacing/>
        <w:jc w:val="both"/>
        <w:rPr>
          <w:b/>
          <w:sz w:val="24"/>
          <w:szCs w:val="24"/>
        </w:rPr>
      </w:pPr>
      <w:r w:rsidRPr="007C0F74">
        <w:rPr>
          <w:b/>
          <w:sz w:val="24"/>
          <w:szCs w:val="24"/>
        </w:rPr>
        <w:t>Gráfica 2. Índice Real de Precios Vivienda Usada (1990=100)</w:t>
      </w:r>
    </w:p>
    <w:p w14:paraId="50AA5BD2" w14:textId="77777777" w:rsidR="004354F4" w:rsidRPr="007C0F74" w:rsidRDefault="004354F4" w:rsidP="00F76FF5">
      <w:pPr>
        <w:spacing w:line="240" w:lineRule="auto"/>
        <w:contextualSpacing/>
        <w:jc w:val="both"/>
        <w:rPr>
          <w:b/>
          <w:sz w:val="24"/>
          <w:szCs w:val="24"/>
        </w:rPr>
      </w:pPr>
    </w:p>
    <w:p w14:paraId="3291573D" w14:textId="77777777" w:rsidR="007C0F74" w:rsidRPr="007C0F74" w:rsidRDefault="007C0F74" w:rsidP="00F76FF5">
      <w:pPr>
        <w:spacing w:line="240" w:lineRule="auto"/>
        <w:contextualSpacing/>
        <w:jc w:val="both"/>
        <w:rPr>
          <w:sz w:val="24"/>
          <w:szCs w:val="24"/>
        </w:rPr>
      </w:pPr>
      <w:r w:rsidRPr="007C0F74">
        <w:rPr>
          <w:noProof/>
          <w:sz w:val="24"/>
          <w:szCs w:val="24"/>
          <w:lang w:eastAsia="es-CO"/>
        </w:rPr>
        <w:drawing>
          <wp:inline distT="0" distB="0" distL="0" distR="0" wp14:anchorId="3CAF3104" wp14:editId="27F82B9D">
            <wp:extent cx="4572000" cy="2584662"/>
            <wp:effectExtent l="0" t="0" r="25400" b="317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CC91BC" w14:textId="77777777" w:rsidR="007C0F74" w:rsidRPr="00C57577" w:rsidRDefault="007C0F74" w:rsidP="00F76FF5">
      <w:pPr>
        <w:spacing w:line="240" w:lineRule="auto"/>
        <w:contextualSpacing/>
        <w:jc w:val="both"/>
        <w:rPr>
          <w:sz w:val="20"/>
          <w:szCs w:val="20"/>
        </w:rPr>
      </w:pPr>
      <w:r w:rsidRPr="00C57577">
        <w:rPr>
          <w:sz w:val="20"/>
          <w:szCs w:val="20"/>
        </w:rPr>
        <w:t>Fuente: Banco de la República</w:t>
      </w:r>
      <w:r w:rsidR="00C57577">
        <w:rPr>
          <w:sz w:val="20"/>
          <w:szCs w:val="20"/>
        </w:rPr>
        <w:t>.</w:t>
      </w:r>
    </w:p>
    <w:p w14:paraId="1EFF9338" w14:textId="77777777" w:rsidR="004354F4" w:rsidRDefault="004354F4" w:rsidP="00F76FF5">
      <w:pPr>
        <w:spacing w:line="240" w:lineRule="auto"/>
        <w:contextualSpacing/>
        <w:jc w:val="both"/>
        <w:rPr>
          <w:sz w:val="24"/>
          <w:szCs w:val="24"/>
        </w:rPr>
      </w:pPr>
    </w:p>
    <w:p w14:paraId="4DBF8E7B" w14:textId="77777777" w:rsidR="007C0F74" w:rsidRPr="007C0F74" w:rsidRDefault="00414A3A" w:rsidP="00F76FF5">
      <w:pPr>
        <w:spacing w:line="240" w:lineRule="auto"/>
        <w:contextualSpacing/>
        <w:jc w:val="both"/>
        <w:rPr>
          <w:sz w:val="24"/>
          <w:szCs w:val="24"/>
        </w:rPr>
      </w:pPr>
      <w:r>
        <w:rPr>
          <w:sz w:val="24"/>
          <w:szCs w:val="24"/>
        </w:rPr>
        <w:t>Entre los años 2008 a 2013 se han presentado, principalmente en Bogotá, a</w:t>
      </w:r>
      <w:r w:rsidR="007C0F74" w:rsidRPr="007C0F74">
        <w:rPr>
          <w:sz w:val="24"/>
          <w:szCs w:val="24"/>
        </w:rPr>
        <w:t>umentos muy fuertes en el índice real (pasando de un índice de 93,18 a 137,16), Medellín (de 96,05 a 121,28) y en las demás ciudades (de 99,14 a 127,49).</w:t>
      </w:r>
    </w:p>
    <w:p w14:paraId="48C9D4EE" w14:textId="77777777" w:rsidR="004354F4" w:rsidRDefault="004354F4" w:rsidP="00F76FF5">
      <w:pPr>
        <w:spacing w:line="240" w:lineRule="auto"/>
        <w:contextualSpacing/>
        <w:jc w:val="both"/>
        <w:rPr>
          <w:sz w:val="24"/>
          <w:szCs w:val="24"/>
        </w:rPr>
      </w:pPr>
    </w:p>
    <w:p w14:paraId="01FA9CE9" w14:textId="77777777" w:rsidR="007C0F74" w:rsidRDefault="007C0F74" w:rsidP="00F76FF5">
      <w:pPr>
        <w:spacing w:line="240" w:lineRule="auto"/>
        <w:contextualSpacing/>
        <w:jc w:val="both"/>
        <w:rPr>
          <w:sz w:val="24"/>
          <w:szCs w:val="24"/>
        </w:rPr>
      </w:pPr>
      <w:r w:rsidRPr="007C0F74">
        <w:rPr>
          <w:sz w:val="24"/>
          <w:szCs w:val="24"/>
        </w:rPr>
        <w:t>Es importante considerar que la mayor concentración de la población en áreas urbanas es un fenómeno de carácter global que está sucediendo en todas las latitudes. De acuerdo con las Naciones Unidas</w:t>
      </w:r>
      <w:r w:rsidRPr="007C0F74">
        <w:rPr>
          <w:rStyle w:val="Refdenotaalpie"/>
          <w:sz w:val="24"/>
          <w:szCs w:val="24"/>
        </w:rPr>
        <w:footnoteReference w:id="4"/>
      </w:r>
      <w:r w:rsidR="00290EB9">
        <w:rPr>
          <w:sz w:val="24"/>
          <w:szCs w:val="24"/>
        </w:rPr>
        <w:t>,</w:t>
      </w:r>
      <w:r w:rsidRPr="007C0F74">
        <w:rPr>
          <w:sz w:val="24"/>
          <w:szCs w:val="24"/>
        </w:rPr>
        <w:t xml:space="preserve"> las economías con mayores niveles de ingreso muestran un índice creciente de urbanización, lo </w:t>
      </w:r>
      <w:r w:rsidR="00C57577">
        <w:rPr>
          <w:sz w:val="24"/>
          <w:szCs w:val="24"/>
        </w:rPr>
        <w:t>cual se observa tanto en</w:t>
      </w:r>
      <w:r w:rsidRPr="007C0F74">
        <w:rPr>
          <w:sz w:val="24"/>
          <w:szCs w:val="24"/>
        </w:rPr>
        <w:t xml:space="preserve"> países desarrollados (Japón, 92%; Australia, 89%; Canadá, 81%; Dinamarca, 87%; Francia, 86%; Suecia, 85%; Reino Unido, 80%; USA, 83%) como en desarrollo (Brasil, 85%; Argentina, 93%; Chile, 89%).</w:t>
      </w:r>
    </w:p>
    <w:p w14:paraId="06624015" w14:textId="77777777" w:rsidR="00171B44" w:rsidRPr="007C0F74" w:rsidRDefault="00171B44" w:rsidP="00F76FF5">
      <w:pPr>
        <w:spacing w:line="240" w:lineRule="auto"/>
        <w:contextualSpacing/>
        <w:jc w:val="both"/>
        <w:rPr>
          <w:sz w:val="24"/>
          <w:szCs w:val="24"/>
        </w:rPr>
      </w:pPr>
    </w:p>
    <w:p w14:paraId="02412A45" w14:textId="77777777" w:rsidR="007C0F74" w:rsidRDefault="00C57577" w:rsidP="00F76FF5">
      <w:pPr>
        <w:spacing w:line="240" w:lineRule="auto"/>
        <w:contextualSpacing/>
        <w:jc w:val="both"/>
        <w:rPr>
          <w:sz w:val="24"/>
          <w:szCs w:val="24"/>
        </w:rPr>
      </w:pPr>
      <w:r>
        <w:rPr>
          <w:sz w:val="24"/>
          <w:szCs w:val="24"/>
        </w:rPr>
        <w:lastRenderedPageBreak/>
        <w:t>Cuando Colombia llegue a grados</w:t>
      </w:r>
      <w:r w:rsidR="007C0F74" w:rsidRPr="007C0F74">
        <w:rPr>
          <w:sz w:val="24"/>
          <w:szCs w:val="24"/>
        </w:rPr>
        <w:t xml:space="preserve"> de urbanización como los que tiene Brasil actualmente, por ejemplo, cerca de 5 millones de colombianos pasarán d</w:t>
      </w:r>
      <w:r w:rsidR="00063D14">
        <w:rPr>
          <w:sz w:val="24"/>
          <w:szCs w:val="24"/>
        </w:rPr>
        <w:t>e poblaciones rurales a urbanas</w:t>
      </w:r>
      <w:r w:rsidR="007C0F74" w:rsidRPr="007C0F74">
        <w:rPr>
          <w:sz w:val="24"/>
          <w:szCs w:val="24"/>
        </w:rPr>
        <w:t xml:space="preserve"> y</w:t>
      </w:r>
      <w:r w:rsidR="00063D14">
        <w:rPr>
          <w:sz w:val="24"/>
          <w:szCs w:val="24"/>
        </w:rPr>
        <w:t>,</w:t>
      </w:r>
      <w:r w:rsidR="007C0F74" w:rsidRPr="007C0F74">
        <w:rPr>
          <w:sz w:val="24"/>
          <w:szCs w:val="24"/>
        </w:rPr>
        <w:t xml:space="preserve"> probablemente</w:t>
      </w:r>
      <w:r w:rsidR="00063D14">
        <w:rPr>
          <w:sz w:val="24"/>
          <w:szCs w:val="24"/>
        </w:rPr>
        <w:t>,</w:t>
      </w:r>
      <w:r w:rsidR="007C0F74" w:rsidRPr="007C0F74">
        <w:rPr>
          <w:sz w:val="24"/>
          <w:szCs w:val="24"/>
        </w:rPr>
        <w:t xml:space="preserve"> lo harán en las principales ciudades.</w:t>
      </w:r>
    </w:p>
    <w:p w14:paraId="18FF4BDC" w14:textId="77777777" w:rsidR="004354F4" w:rsidRPr="007C0F74" w:rsidRDefault="004354F4" w:rsidP="00F76FF5">
      <w:pPr>
        <w:spacing w:line="240" w:lineRule="auto"/>
        <w:contextualSpacing/>
        <w:jc w:val="both"/>
        <w:rPr>
          <w:sz w:val="24"/>
          <w:szCs w:val="24"/>
        </w:rPr>
      </w:pPr>
    </w:p>
    <w:p w14:paraId="150E075A" w14:textId="77777777" w:rsidR="007C0F74" w:rsidRPr="004354F4" w:rsidRDefault="007C0F74" w:rsidP="00F76FF5">
      <w:pPr>
        <w:pStyle w:val="Prrafodelista"/>
        <w:numPr>
          <w:ilvl w:val="1"/>
          <w:numId w:val="19"/>
        </w:numPr>
        <w:spacing w:line="240" w:lineRule="auto"/>
        <w:jc w:val="both"/>
        <w:rPr>
          <w:b/>
          <w:sz w:val="24"/>
          <w:szCs w:val="24"/>
        </w:rPr>
      </w:pPr>
      <w:r>
        <w:rPr>
          <w:b/>
          <w:sz w:val="24"/>
          <w:szCs w:val="24"/>
        </w:rPr>
        <w:t>Impuesto predial, a</w:t>
      </w:r>
      <w:r w:rsidRPr="007C0F74">
        <w:rPr>
          <w:b/>
          <w:sz w:val="24"/>
          <w:szCs w:val="24"/>
        </w:rPr>
        <w:t>valúos ca</w:t>
      </w:r>
      <w:r w:rsidR="004354F4">
        <w:rPr>
          <w:b/>
          <w:sz w:val="24"/>
          <w:szCs w:val="24"/>
        </w:rPr>
        <w:t>tastrales y su dinámica reciente</w:t>
      </w:r>
    </w:p>
    <w:p w14:paraId="563CD5C0" w14:textId="77777777" w:rsidR="007C0F74" w:rsidRPr="007C0F74" w:rsidRDefault="007C0F74" w:rsidP="00F76FF5">
      <w:pPr>
        <w:spacing w:line="240" w:lineRule="auto"/>
        <w:contextualSpacing/>
        <w:jc w:val="both"/>
        <w:rPr>
          <w:sz w:val="24"/>
          <w:szCs w:val="24"/>
        </w:rPr>
      </w:pPr>
      <w:r w:rsidRPr="007C0F74">
        <w:rPr>
          <w:sz w:val="24"/>
          <w:szCs w:val="24"/>
        </w:rPr>
        <w:t>La Ley</w:t>
      </w:r>
      <w:r w:rsidR="0030499D">
        <w:rPr>
          <w:sz w:val="24"/>
          <w:szCs w:val="24"/>
        </w:rPr>
        <w:t xml:space="preserve"> 44 de 1990, modificada por la L</w:t>
      </w:r>
      <w:r w:rsidRPr="007C0F74">
        <w:rPr>
          <w:sz w:val="24"/>
          <w:szCs w:val="24"/>
        </w:rPr>
        <w:t>ey 1450 de 2011</w:t>
      </w:r>
      <w:r w:rsidR="00414A3A">
        <w:rPr>
          <w:sz w:val="24"/>
          <w:szCs w:val="24"/>
        </w:rPr>
        <w:t>,</w:t>
      </w:r>
      <w:r w:rsidRPr="007C0F74">
        <w:rPr>
          <w:sz w:val="24"/>
          <w:szCs w:val="24"/>
        </w:rPr>
        <w:t xml:space="preserve"> establece las normas básicas en relación c</w:t>
      </w:r>
      <w:r w:rsidR="00063D14">
        <w:rPr>
          <w:sz w:val="24"/>
          <w:szCs w:val="24"/>
        </w:rPr>
        <w:t>on el IPU</w:t>
      </w:r>
      <w:r w:rsidRPr="007C0F74">
        <w:rPr>
          <w:sz w:val="24"/>
          <w:szCs w:val="24"/>
        </w:rPr>
        <w:t xml:space="preserve"> y los avalúos catastrales.</w:t>
      </w:r>
    </w:p>
    <w:p w14:paraId="76E112C6" w14:textId="77777777" w:rsidR="00171B44" w:rsidRDefault="00171B44" w:rsidP="00F76FF5">
      <w:pPr>
        <w:spacing w:line="240" w:lineRule="auto"/>
        <w:contextualSpacing/>
        <w:jc w:val="both"/>
        <w:rPr>
          <w:sz w:val="24"/>
          <w:szCs w:val="24"/>
        </w:rPr>
      </w:pPr>
    </w:p>
    <w:p w14:paraId="339A3B27" w14:textId="77777777" w:rsidR="007C0F74" w:rsidRDefault="007C0F74" w:rsidP="00F76FF5">
      <w:pPr>
        <w:spacing w:line="240" w:lineRule="auto"/>
        <w:contextualSpacing/>
        <w:jc w:val="both"/>
        <w:rPr>
          <w:sz w:val="24"/>
          <w:szCs w:val="24"/>
        </w:rPr>
      </w:pPr>
      <w:r w:rsidRPr="007C0F74">
        <w:rPr>
          <w:sz w:val="24"/>
          <w:szCs w:val="24"/>
        </w:rPr>
        <w:t>El esquema básico del impuesto es el siguiente:</w:t>
      </w:r>
    </w:p>
    <w:p w14:paraId="3EDC1F82" w14:textId="77777777" w:rsidR="004354F4" w:rsidRPr="007C0F74" w:rsidRDefault="004354F4" w:rsidP="00F76FF5">
      <w:pPr>
        <w:spacing w:line="240" w:lineRule="auto"/>
        <w:contextualSpacing/>
        <w:jc w:val="both"/>
        <w:rPr>
          <w:sz w:val="24"/>
          <w:szCs w:val="24"/>
        </w:rPr>
      </w:pPr>
    </w:p>
    <w:p w14:paraId="1DB19DFD" w14:textId="77777777" w:rsidR="007C0F74" w:rsidRPr="007C0F74" w:rsidRDefault="007C0F74" w:rsidP="00F76FF5">
      <w:pPr>
        <w:pStyle w:val="Prrafodelista"/>
        <w:numPr>
          <w:ilvl w:val="0"/>
          <w:numId w:val="17"/>
        </w:numPr>
        <w:spacing w:line="240" w:lineRule="auto"/>
        <w:ind w:left="720"/>
        <w:jc w:val="both"/>
        <w:rPr>
          <w:sz w:val="24"/>
          <w:szCs w:val="24"/>
        </w:rPr>
      </w:pPr>
      <w:r w:rsidRPr="007C0F74">
        <w:rPr>
          <w:sz w:val="24"/>
          <w:szCs w:val="24"/>
        </w:rPr>
        <w:t>La administración, recaudo y control del impuesto corresponde a los municipios</w:t>
      </w:r>
      <w:r w:rsidRPr="007C0F74">
        <w:rPr>
          <w:rStyle w:val="Refdenotaalpie"/>
          <w:sz w:val="24"/>
          <w:szCs w:val="24"/>
        </w:rPr>
        <w:footnoteReference w:id="5"/>
      </w:r>
      <w:r w:rsidRPr="007C0F74">
        <w:rPr>
          <w:sz w:val="24"/>
          <w:szCs w:val="24"/>
        </w:rPr>
        <w:t>;</w:t>
      </w:r>
    </w:p>
    <w:p w14:paraId="4206ABA2" w14:textId="77777777" w:rsidR="007C0F74" w:rsidRPr="007C0F74" w:rsidRDefault="007C0F74" w:rsidP="00F76FF5">
      <w:pPr>
        <w:pStyle w:val="Prrafodelista"/>
        <w:spacing w:line="240" w:lineRule="auto"/>
        <w:jc w:val="both"/>
        <w:rPr>
          <w:sz w:val="24"/>
          <w:szCs w:val="24"/>
        </w:rPr>
      </w:pPr>
    </w:p>
    <w:p w14:paraId="14F32C96" w14:textId="77777777" w:rsidR="007C0F74" w:rsidRPr="007C0F74" w:rsidRDefault="007C0F74" w:rsidP="00F76FF5">
      <w:pPr>
        <w:pStyle w:val="Prrafodelista"/>
        <w:numPr>
          <w:ilvl w:val="0"/>
          <w:numId w:val="17"/>
        </w:numPr>
        <w:spacing w:line="240" w:lineRule="auto"/>
        <w:ind w:left="720"/>
        <w:jc w:val="both"/>
        <w:rPr>
          <w:sz w:val="24"/>
          <w:szCs w:val="24"/>
        </w:rPr>
      </w:pPr>
      <w:r w:rsidRPr="007C0F74">
        <w:rPr>
          <w:sz w:val="24"/>
          <w:szCs w:val="24"/>
        </w:rPr>
        <w:t>La base gravable del impuesto es el avalúo catastral, o el autoavalúo cuando así se encuentre establecido para la declaración del impuesto</w:t>
      </w:r>
      <w:r w:rsidRPr="007C0F74">
        <w:rPr>
          <w:rStyle w:val="Refdenotaalpie"/>
          <w:sz w:val="24"/>
          <w:szCs w:val="24"/>
        </w:rPr>
        <w:footnoteReference w:id="6"/>
      </w:r>
      <w:r w:rsidR="00063D14">
        <w:rPr>
          <w:sz w:val="24"/>
          <w:szCs w:val="24"/>
        </w:rPr>
        <w:t>;</w:t>
      </w:r>
    </w:p>
    <w:p w14:paraId="50023BF3" w14:textId="77777777" w:rsidR="007C0F74" w:rsidRPr="007C0F74" w:rsidRDefault="007C0F74" w:rsidP="00F76FF5">
      <w:pPr>
        <w:pStyle w:val="Prrafodelista"/>
        <w:spacing w:line="240" w:lineRule="auto"/>
        <w:ind w:left="360"/>
        <w:rPr>
          <w:sz w:val="24"/>
          <w:szCs w:val="24"/>
        </w:rPr>
      </w:pPr>
    </w:p>
    <w:p w14:paraId="00C2C1BB" w14:textId="77777777" w:rsidR="007C0F74" w:rsidRPr="007C0F74" w:rsidRDefault="007C0F74" w:rsidP="00F76FF5">
      <w:pPr>
        <w:pStyle w:val="Prrafodelista"/>
        <w:numPr>
          <w:ilvl w:val="0"/>
          <w:numId w:val="17"/>
        </w:numPr>
        <w:spacing w:line="240" w:lineRule="auto"/>
        <w:ind w:left="720"/>
        <w:jc w:val="both"/>
        <w:rPr>
          <w:sz w:val="24"/>
          <w:szCs w:val="24"/>
        </w:rPr>
      </w:pPr>
      <w:r w:rsidRPr="007C0F74">
        <w:rPr>
          <w:sz w:val="24"/>
          <w:szCs w:val="24"/>
        </w:rPr>
        <w:t>La tarifa del impuesto es fijada por los concejos municipales en un rango entre 1 por mil y 16 por mil</w:t>
      </w:r>
      <w:r w:rsidRPr="007C0F74">
        <w:rPr>
          <w:rStyle w:val="Refdenotaalpie"/>
          <w:sz w:val="24"/>
          <w:szCs w:val="24"/>
        </w:rPr>
        <w:footnoteReference w:id="7"/>
      </w:r>
      <w:r w:rsidRPr="007C0F74">
        <w:rPr>
          <w:sz w:val="24"/>
          <w:szCs w:val="24"/>
        </w:rPr>
        <w:t>.</w:t>
      </w:r>
    </w:p>
    <w:p w14:paraId="4A8EDE5A" w14:textId="77777777" w:rsidR="004354F4" w:rsidRDefault="004354F4" w:rsidP="00F76FF5">
      <w:pPr>
        <w:spacing w:line="240" w:lineRule="auto"/>
        <w:contextualSpacing/>
        <w:jc w:val="both"/>
        <w:rPr>
          <w:sz w:val="24"/>
          <w:szCs w:val="24"/>
        </w:rPr>
      </w:pPr>
    </w:p>
    <w:p w14:paraId="65F4FE1B" w14:textId="77777777" w:rsidR="007C0F74" w:rsidRDefault="007C0F74" w:rsidP="00F76FF5">
      <w:pPr>
        <w:spacing w:line="240" w:lineRule="auto"/>
        <w:contextualSpacing/>
        <w:jc w:val="both"/>
        <w:rPr>
          <w:sz w:val="24"/>
          <w:szCs w:val="24"/>
        </w:rPr>
      </w:pPr>
      <w:r w:rsidRPr="007C0F74">
        <w:rPr>
          <w:sz w:val="24"/>
          <w:szCs w:val="24"/>
        </w:rPr>
        <w:t>De acuerdo con lo anterior, el “piso” de la base gravable es el avalúo catastral, si bien el contribuyente puede utilizar un avalúo propio que</w:t>
      </w:r>
      <w:r w:rsidR="00063D14">
        <w:rPr>
          <w:sz w:val="24"/>
          <w:szCs w:val="24"/>
        </w:rPr>
        <w:t>,</w:t>
      </w:r>
      <w:r w:rsidRPr="007C0F74">
        <w:rPr>
          <w:sz w:val="24"/>
          <w:szCs w:val="24"/>
        </w:rPr>
        <w:t xml:space="preserve"> en todo caso</w:t>
      </w:r>
      <w:r w:rsidR="00063D14">
        <w:rPr>
          <w:sz w:val="24"/>
          <w:szCs w:val="24"/>
        </w:rPr>
        <w:t>,</w:t>
      </w:r>
      <w:r w:rsidRPr="007C0F74">
        <w:rPr>
          <w:sz w:val="24"/>
          <w:szCs w:val="24"/>
        </w:rPr>
        <w:t xml:space="preserve"> no puede ser menor al catastral.</w:t>
      </w:r>
    </w:p>
    <w:p w14:paraId="02C54E32" w14:textId="77777777" w:rsidR="004354F4" w:rsidRPr="007C0F74" w:rsidRDefault="004354F4" w:rsidP="00F76FF5">
      <w:pPr>
        <w:spacing w:line="240" w:lineRule="auto"/>
        <w:contextualSpacing/>
        <w:jc w:val="both"/>
        <w:rPr>
          <w:sz w:val="24"/>
          <w:szCs w:val="24"/>
        </w:rPr>
      </w:pPr>
    </w:p>
    <w:p w14:paraId="6655755B" w14:textId="77777777" w:rsidR="007C0F74" w:rsidRDefault="007C0F74" w:rsidP="00F76FF5">
      <w:pPr>
        <w:spacing w:line="240" w:lineRule="auto"/>
        <w:contextualSpacing/>
        <w:jc w:val="both"/>
        <w:rPr>
          <w:sz w:val="24"/>
          <w:szCs w:val="24"/>
        </w:rPr>
      </w:pPr>
      <w:r w:rsidRPr="007C0F74">
        <w:rPr>
          <w:sz w:val="24"/>
          <w:szCs w:val="24"/>
        </w:rPr>
        <w:t>De otra parte, las autoridades catastrales tiene</w:t>
      </w:r>
      <w:r w:rsidR="00414A3A">
        <w:rPr>
          <w:sz w:val="24"/>
          <w:szCs w:val="24"/>
        </w:rPr>
        <w:t>n</w:t>
      </w:r>
      <w:r w:rsidRPr="007C0F74">
        <w:rPr>
          <w:sz w:val="24"/>
          <w:szCs w:val="24"/>
        </w:rPr>
        <w:t xml:space="preserve"> la obligación de formar o actualizar los catastros en períodos máximos de 5 años, a fin de revisar los elementos físicos, jurídicos (uso, destino) y económicos. Además, el avalúo catastral de un predio no puede ser inferior al 60% del valor comercia</w:t>
      </w:r>
      <w:r w:rsidR="000072DC">
        <w:rPr>
          <w:sz w:val="24"/>
          <w:szCs w:val="24"/>
        </w:rPr>
        <w:t>l (a</w:t>
      </w:r>
      <w:r w:rsidRPr="007C0F74">
        <w:rPr>
          <w:sz w:val="24"/>
          <w:szCs w:val="24"/>
        </w:rPr>
        <w:t xml:space="preserve">rtículo 24, Ley 1450 de 2011). </w:t>
      </w:r>
    </w:p>
    <w:p w14:paraId="77840FCE" w14:textId="77777777" w:rsidR="004354F4" w:rsidRPr="007C0F74" w:rsidRDefault="004354F4" w:rsidP="00F76FF5">
      <w:pPr>
        <w:spacing w:line="240" w:lineRule="auto"/>
        <w:contextualSpacing/>
        <w:jc w:val="both"/>
        <w:rPr>
          <w:sz w:val="24"/>
          <w:szCs w:val="24"/>
        </w:rPr>
      </w:pPr>
    </w:p>
    <w:p w14:paraId="205F4A53" w14:textId="77777777" w:rsidR="007C0F74" w:rsidRDefault="007C0F74" w:rsidP="00F76FF5">
      <w:pPr>
        <w:spacing w:line="240" w:lineRule="auto"/>
        <w:contextualSpacing/>
        <w:jc w:val="both"/>
        <w:rPr>
          <w:sz w:val="24"/>
          <w:szCs w:val="24"/>
        </w:rPr>
      </w:pPr>
      <w:r w:rsidRPr="007C0F74">
        <w:rPr>
          <w:sz w:val="24"/>
          <w:szCs w:val="24"/>
        </w:rPr>
        <w:t>En Colombia existen 4 catastros descentralizados que operan de manera independiente bajo la tutela de la autoridad nacional (Instituto Geográfico Agustín Codazzi</w:t>
      </w:r>
      <w:r w:rsidR="00063D14">
        <w:rPr>
          <w:sz w:val="24"/>
          <w:szCs w:val="24"/>
        </w:rPr>
        <w:t xml:space="preserve"> –IGAC-</w:t>
      </w:r>
      <w:r w:rsidRPr="007C0F74">
        <w:rPr>
          <w:sz w:val="24"/>
          <w:szCs w:val="24"/>
        </w:rPr>
        <w:t xml:space="preserve">). Estos son los catastros de Antioquia, Bogotá, Medellín y Cali, a quienes compete la formación y actualización del catastro de los predios de sus respectivas jurisdicciones. Para el resto del país esas tareas </w:t>
      </w:r>
      <w:r w:rsidR="00063D14">
        <w:rPr>
          <w:sz w:val="24"/>
          <w:szCs w:val="24"/>
        </w:rPr>
        <w:t>se encuentran en cabeza del IGAC</w:t>
      </w:r>
      <w:r w:rsidRPr="007C0F74">
        <w:rPr>
          <w:sz w:val="24"/>
          <w:szCs w:val="24"/>
        </w:rPr>
        <w:t>.</w:t>
      </w:r>
    </w:p>
    <w:p w14:paraId="02B308A1" w14:textId="77777777" w:rsidR="004354F4" w:rsidRPr="007C0F74" w:rsidRDefault="004354F4" w:rsidP="00F76FF5">
      <w:pPr>
        <w:spacing w:line="240" w:lineRule="auto"/>
        <w:contextualSpacing/>
        <w:jc w:val="both"/>
        <w:rPr>
          <w:sz w:val="24"/>
          <w:szCs w:val="24"/>
        </w:rPr>
      </w:pPr>
    </w:p>
    <w:p w14:paraId="295EBDFD" w14:textId="77777777" w:rsidR="007C0F74" w:rsidRDefault="007C0F74" w:rsidP="00F76FF5">
      <w:pPr>
        <w:spacing w:line="240" w:lineRule="auto"/>
        <w:contextualSpacing/>
        <w:jc w:val="both"/>
        <w:rPr>
          <w:sz w:val="24"/>
          <w:szCs w:val="24"/>
        </w:rPr>
      </w:pPr>
      <w:r w:rsidRPr="007C0F74">
        <w:rPr>
          <w:sz w:val="24"/>
          <w:szCs w:val="24"/>
        </w:rPr>
        <w:lastRenderedPageBreak/>
        <w:t>Debe reconocerse que ese cuerpo normativo ha sido positivo, en particular para las entidades territoriales con catastros descentralizados, en la medida en que con base en su gestión han logrado recaudos importantes del impuesto predial.</w:t>
      </w:r>
    </w:p>
    <w:p w14:paraId="32AB60EA" w14:textId="77777777" w:rsidR="004354F4" w:rsidRPr="007C0F74" w:rsidRDefault="004354F4" w:rsidP="00F76FF5">
      <w:pPr>
        <w:spacing w:line="240" w:lineRule="auto"/>
        <w:contextualSpacing/>
        <w:jc w:val="both"/>
        <w:rPr>
          <w:sz w:val="24"/>
          <w:szCs w:val="24"/>
        </w:rPr>
      </w:pPr>
    </w:p>
    <w:p w14:paraId="73B1BEDB" w14:textId="77777777" w:rsidR="007C0F74" w:rsidRDefault="007C0F74" w:rsidP="00F76FF5">
      <w:pPr>
        <w:spacing w:line="240" w:lineRule="auto"/>
        <w:contextualSpacing/>
        <w:jc w:val="both"/>
        <w:rPr>
          <w:sz w:val="24"/>
          <w:szCs w:val="24"/>
        </w:rPr>
      </w:pPr>
      <w:r w:rsidRPr="007C0F74">
        <w:rPr>
          <w:sz w:val="24"/>
          <w:szCs w:val="24"/>
        </w:rPr>
        <w:t>En el</w:t>
      </w:r>
      <w:r w:rsidR="00C775F8">
        <w:rPr>
          <w:sz w:val="24"/>
          <w:szCs w:val="24"/>
        </w:rPr>
        <w:t xml:space="preserve"> caso de Bogotá, por ejemplo, la Unidad Administrativa Especial de</w:t>
      </w:r>
      <w:r w:rsidR="00063D14">
        <w:rPr>
          <w:sz w:val="24"/>
          <w:szCs w:val="24"/>
        </w:rPr>
        <w:t xml:space="preserve"> Catastro</w:t>
      </w:r>
      <w:r w:rsidRPr="007C0F74">
        <w:rPr>
          <w:sz w:val="24"/>
          <w:szCs w:val="24"/>
        </w:rPr>
        <w:t xml:space="preserve"> actualiza todos los a</w:t>
      </w:r>
      <w:r w:rsidR="00063D14">
        <w:rPr>
          <w:sz w:val="24"/>
          <w:szCs w:val="24"/>
        </w:rPr>
        <w:t xml:space="preserve">ños el valor catastral de </w:t>
      </w:r>
      <w:r w:rsidRPr="007C0F74">
        <w:rPr>
          <w:sz w:val="24"/>
          <w:szCs w:val="24"/>
        </w:rPr>
        <w:t>los predios</w:t>
      </w:r>
      <w:r w:rsidR="00C775F8">
        <w:rPr>
          <w:sz w:val="24"/>
          <w:szCs w:val="24"/>
        </w:rPr>
        <w:t xml:space="preserve"> urbanos</w:t>
      </w:r>
      <w:r w:rsidRPr="007C0F74">
        <w:rPr>
          <w:sz w:val="24"/>
          <w:szCs w:val="24"/>
        </w:rPr>
        <w:t>. Además, utiliza una relación de avalúo catastral a valor comercial de 72% para predios res</w:t>
      </w:r>
      <w:r w:rsidR="00C775F8">
        <w:rPr>
          <w:sz w:val="24"/>
          <w:szCs w:val="24"/>
        </w:rPr>
        <w:t>idenciales en estratos</w:t>
      </w:r>
      <w:r w:rsidR="00117C25">
        <w:rPr>
          <w:sz w:val="24"/>
          <w:szCs w:val="24"/>
        </w:rPr>
        <w:t xml:space="preserve"> 1, 2 y 3, y</w:t>
      </w:r>
      <w:r w:rsidR="00C775F8">
        <w:rPr>
          <w:sz w:val="24"/>
          <w:szCs w:val="24"/>
        </w:rPr>
        <w:t xml:space="preserve"> </w:t>
      </w:r>
      <w:r w:rsidRPr="007C0F74">
        <w:rPr>
          <w:sz w:val="24"/>
          <w:szCs w:val="24"/>
        </w:rPr>
        <w:t xml:space="preserve">de 82% para predios </w:t>
      </w:r>
      <w:r w:rsidR="00117C25">
        <w:rPr>
          <w:sz w:val="24"/>
          <w:szCs w:val="24"/>
        </w:rPr>
        <w:t xml:space="preserve">comerciales y </w:t>
      </w:r>
      <w:r w:rsidRPr="007C0F74">
        <w:rPr>
          <w:sz w:val="24"/>
          <w:szCs w:val="24"/>
        </w:rPr>
        <w:t>residenciales en estratos 4,5 y 6.</w:t>
      </w:r>
    </w:p>
    <w:p w14:paraId="04F3CD33" w14:textId="77777777" w:rsidR="004354F4" w:rsidRPr="007C0F74" w:rsidRDefault="004354F4" w:rsidP="00F76FF5">
      <w:pPr>
        <w:spacing w:line="240" w:lineRule="auto"/>
        <w:contextualSpacing/>
        <w:jc w:val="both"/>
        <w:rPr>
          <w:sz w:val="24"/>
          <w:szCs w:val="24"/>
        </w:rPr>
      </w:pPr>
    </w:p>
    <w:p w14:paraId="1813D7E6" w14:textId="77777777" w:rsidR="007C0F74" w:rsidRDefault="007C0F74" w:rsidP="00F76FF5">
      <w:pPr>
        <w:spacing w:line="240" w:lineRule="auto"/>
        <w:contextualSpacing/>
        <w:jc w:val="both"/>
        <w:rPr>
          <w:sz w:val="24"/>
          <w:szCs w:val="24"/>
        </w:rPr>
      </w:pPr>
      <w:r w:rsidRPr="007C0F74">
        <w:rPr>
          <w:sz w:val="24"/>
          <w:szCs w:val="24"/>
        </w:rPr>
        <w:t xml:space="preserve">Estos hechos se reflejan en los importantes aumentos que ha tenido el valor catastral de Bogotá y en el mayor recaudo en el impuesto predial. El valor catastral de la ciudad creció de $121 billones en </w:t>
      </w:r>
      <w:r w:rsidR="001D57FC">
        <w:rPr>
          <w:sz w:val="24"/>
          <w:szCs w:val="24"/>
        </w:rPr>
        <w:t xml:space="preserve">el año </w:t>
      </w:r>
      <w:r w:rsidRPr="007C0F74">
        <w:rPr>
          <w:sz w:val="24"/>
          <w:szCs w:val="24"/>
        </w:rPr>
        <w:t>2008 a $447 billones en 2015, es decir</w:t>
      </w:r>
      <w:r w:rsidR="00063D14">
        <w:rPr>
          <w:sz w:val="24"/>
          <w:szCs w:val="24"/>
        </w:rPr>
        <w:t>,</w:t>
      </w:r>
      <w:r w:rsidRPr="007C0F74">
        <w:rPr>
          <w:sz w:val="24"/>
          <w:szCs w:val="24"/>
        </w:rPr>
        <w:t xml:space="preserve"> 269% en 8 años (Cuadro 2). Es importante resaltar que en ese mismo período el número de predios pasó de 1.958.238 a 2.429.238, </w:t>
      </w:r>
      <w:r w:rsidR="001D57FC">
        <w:rPr>
          <w:sz w:val="24"/>
          <w:szCs w:val="24"/>
        </w:rPr>
        <w:t xml:space="preserve">lo </w:t>
      </w:r>
      <w:r w:rsidRPr="007C0F74">
        <w:rPr>
          <w:sz w:val="24"/>
          <w:szCs w:val="24"/>
        </w:rPr>
        <w:t>que representa un crecimiento del 24%. De estas cifras se concluye que el factor determinante en el crecimiento del valor catastral no ha sido el número de predios sino el valor, que explica más del 90% de dicho aumento.</w:t>
      </w:r>
    </w:p>
    <w:p w14:paraId="4C4E5923" w14:textId="77777777" w:rsidR="001D57FC" w:rsidRDefault="001D57FC" w:rsidP="00F76FF5">
      <w:pPr>
        <w:spacing w:line="240" w:lineRule="auto"/>
        <w:contextualSpacing/>
        <w:jc w:val="both"/>
        <w:rPr>
          <w:sz w:val="24"/>
          <w:szCs w:val="24"/>
        </w:rPr>
      </w:pPr>
    </w:p>
    <w:p w14:paraId="74BE7199" w14:textId="77777777" w:rsidR="001D57FC" w:rsidRPr="001D57FC" w:rsidRDefault="001D57FC" w:rsidP="00F76FF5">
      <w:pPr>
        <w:spacing w:line="240" w:lineRule="auto"/>
        <w:contextualSpacing/>
        <w:jc w:val="both"/>
        <w:rPr>
          <w:sz w:val="24"/>
          <w:szCs w:val="24"/>
        </w:rPr>
      </w:pPr>
      <w:r w:rsidRPr="001D57FC">
        <w:rPr>
          <w:sz w:val="24"/>
          <w:szCs w:val="24"/>
        </w:rPr>
        <w:t>En este caso es de particular importancia apuntar la forma en que los predios comerciales han jalonado el aumento en el valor catastral de la ciudad, pues al ser bienes inmuebles dedicados al lucro y la ciudad tener una vocación de comercio y servicios, los mismos han sufrido variaciones importantes</w:t>
      </w:r>
      <w:r w:rsidR="00063D14">
        <w:rPr>
          <w:sz w:val="24"/>
          <w:szCs w:val="24"/>
        </w:rPr>
        <w:t>,</w:t>
      </w:r>
      <w:r w:rsidRPr="001D57FC">
        <w:rPr>
          <w:sz w:val="24"/>
          <w:szCs w:val="24"/>
        </w:rPr>
        <w:t xml:space="preserve"> tanto en sus avalúos como en las tarifas. En este sentido, según la Unidad Administrativa Especial de Catastro</w:t>
      </w:r>
      <w:r w:rsidR="00063D14">
        <w:rPr>
          <w:sz w:val="24"/>
          <w:szCs w:val="24"/>
        </w:rPr>
        <w:t>,</w:t>
      </w:r>
      <w:r w:rsidRPr="001D57FC">
        <w:rPr>
          <w:sz w:val="24"/>
          <w:szCs w:val="24"/>
        </w:rPr>
        <w:t xml:space="preserve"> los mismos representan, junto con los dotacionales, alrededor del 45.55% del número total de predios urbanos del Distrito Capital.</w:t>
      </w:r>
    </w:p>
    <w:p w14:paraId="4918EB46" w14:textId="77777777" w:rsidR="004354F4" w:rsidRPr="007C0F74" w:rsidRDefault="004354F4" w:rsidP="00F76FF5">
      <w:pPr>
        <w:spacing w:line="240" w:lineRule="auto"/>
        <w:contextualSpacing/>
        <w:jc w:val="both"/>
        <w:rPr>
          <w:sz w:val="24"/>
          <w:szCs w:val="24"/>
        </w:rPr>
      </w:pPr>
    </w:p>
    <w:p w14:paraId="5C06BD76" w14:textId="77777777" w:rsidR="007C0F74" w:rsidRDefault="007C0F74" w:rsidP="00F76FF5">
      <w:pPr>
        <w:spacing w:line="240" w:lineRule="auto"/>
        <w:contextualSpacing/>
        <w:jc w:val="both"/>
        <w:rPr>
          <w:b/>
          <w:sz w:val="24"/>
          <w:szCs w:val="24"/>
        </w:rPr>
      </w:pPr>
      <w:r w:rsidRPr="007C0F74">
        <w:rPr>
          <w:b/>
          <w:sz w:val="24"/>
          <w:szCs w:val="24"/>
        </w:rPr>
        <w:t>Cuadro 2. Valor Catastral de Bogotá ($billones)</w:t>
      </w:r>
    </w:p>
    <w:p w14:paraId="099F3A54" w14:textId="77777777" w:rsidR="004354F4" w:rsidRPr="007C0F74" w:rsidRDefault="004354F4" w:rsidP="00F76FF5">
      <w:pPr>
        <w:spacing w:line="240" w:lineRule="auto"/>
        <w:contextualSpacing/>
        <w:jc w:val="both"/>
        <w:rPr>
          <w:b/>
          <w:sz w:val="24"/>
          <w:szCs w:val="24"/>
        </w:rPr>
      </w:pPr>
    </w:p>
    <w:p w14:paraId="3C8D4F8E" w14:textId="77777777" w:rsidR="007C0F74" w:rsidRPr="007C0F74" w:rsidRDefault="007C0F74" w:rsidP="00F76FF5">
      <w:pPr>
        <w:spacing w:line="240" w:lineRule="auto"/>
        <w:contextualSpacing/>
        <w:jc w:val="both"/>
        <w:rPr>
          <w:sz w:val="24"/>
          <w:szCs w:val="24"/>
        </w:rPr>
      </w:pPr>
      <w:r w:rsidRPr="007C0F74">
        <w:rPr>
          <w:noProof/>
          <w:sz w:val="24"/>
          <w:szCs w:val="24"/>
          <w:lang w:eastAsia="es-CO"/>
        </w:rPr>
        <w:drawing>
          <wp:inline distT="0" distB="0" distL="0" distR="0" wp14:anchorId="76ADF29C" wp14:editId="0A413CF1">
            <wp:extent cx="4572000" cy="1793028"/>
            <wp:effectExtent l="0" t="0" r="25400" b="361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31C66B" w14:textId="77777777" w:rsidR="007C0F74" w:rsidRPr="00063D14" w:rsidRDefault="007C0F74" w:rsidP="00F76FF5">
      <w:pPr>
        <w:spacing w:line="240" w:lineRule="auto"/>
        <w:contextualSpacing/>
        <w:rPr>
          <w:sz w:val="20"/>
          <w:szCs w:val="20"/>
        </w:rPr>
      </w:pPr>
      <w:r w:rsidRPr="00063D14">
        <w:rPr>
          <w:sz w:val="20"/>
          <w:szCs w:val="20"/>
        </w:rPr>
        <w:t xml:space="preserve">Fuente: </w:t>
      </w:r>
      <w:r w:rsidR="00117C25">
        <w:rPr>
          <w:sz w:val="20"/>
          <w:szCs w:val="20"/>
        </w:rPr>
        <w:t xml:space="preserve">Unidad Administrativa de </w:t>
      </w:r>
      <w:r w:rsidRPr="00063D14">
        <w:rPr>
          <w:sz w:val="20"/>
          <w:szCs w:val="20"/>
        </w:rPr>
        <w:t>Catastro Distrital, Censos Inmobiliarios</w:t>
      </w:r>
      <w:r w:rsidR="00063D14">
        <w:rPr>
          <w:sz w:val="20"/>
          <w:szCs w:val="20"/>
        </w:rPr>
        <w:t>.</w:t>
      </w:r>
    </w:p>
    <w:p w14:paraId="5495A374" w14:textId="77777777" w:rsidR="00F77BB2" w:rsidRPr="007C0F74" w:rsidRDefault="00F77BB2" w:rsidP="00F76FF5">
      <w:pPr>
        <w:spacing w:line="240" w:lineRule="auto"/>
        <w:contextualSpacing/>
        <w:rPr>
          <w:sz w:val="24"/>
          <w:szCs w:val="24"/>
        </w:rPr>
      </w:pPr>
    </w:p>
    <w:p w14:paraId="0BAC75E8" w14:textId="77777777" w:rsidR="007C0F74" w:rsidRDefault="007C0F74" w:rsidP="00F76FF5">
      <w:pPr>
        <w:spacing w:line="240" w:lineRule="auto"/>
        <w:contextualSpacing/>
        <w:jc w:val="both"/>
        <w:rPr>
          <w:sz w:val="24"/>
          <w:szCs w:val="24"/>
        </w:rPr>
      </w:pPr>
      <w:r w:rsidRPr="007C0F74">
        <w:rPr>
          <w:sz w:val="24"/>
          <w:szCs w:val="24"/>
        </w:rPr>
        <w:t xml:space="preserve">Siendo el valor catastral la base gravable mínima del impuesto predial, el recaudo de dicho impuesto ha venido creciendo también de manera significativa. Mientras en </w:t>
      </w:r>
      <w:r w:rsidR="001D57FC">
        <w:rPr>
          <w:sz w:val="24"/>
          <w:szCs w:val="24"/>
        </w:rPr>
        <w:t xml:space="preserve">el </w:t>
      </w:r>
      <w:r w:rsidR="001D57FC">
        <w:rPr>
          <w:sz w:val="24"/>
          <w:szCs w:val="24"/>
        </w:rPr>
        <w:lastRenderedPageBreak/>
        <w:t xml:space="preserve">año </w:t>
      </w:r>
      <w:r w:rsidRPr="007C0F74">
        <w:rPr>
          <w:sz w:val="24"/>
          <w:szCs w:val="24"/>
        </w:rPr>
        <w:t>2008 el recaudo del predi</w:t>
      </w:r>
      <w:r w:rsidR="00117C25">
        <w:rPr>
          <w:sz w:val="24"/>
          <w:szCs w:val="24"/>
        </w:rPr>
        <w:t>al ascendió a $761.374 millones,</w:t>
      </w:r>
      <w:r w:rsidRPr="007C0F74">
        <w:rPr>
          <w:sz w:val="24"/>
          <w:szCs w:val="24"/>
        </w:rPr>
        <w:t xml:space="preserve"> en el Presupuesto del Distrito</w:t>
      </w:r>
      <w:r w:rsidR="00063D14">
        <w:rPr>
          <w:sz w:val="24"/>
          <w:szCs w:val="24"/>
        </w:rPr>
        <w:t>,</w:t>
      </w:r>
      <w:r w:rsidRPr="007C0F74">
        <w:rPr>
          <w:sz w:val="24"/>
          <w:szCs w:val="24"/>
        </w:rPr>
        <w:t xml:space="preserve"> para la presente vigencia</w:t>
      </w:r>
      <w:r w:rsidR="00063D14">
        <w:rPr>
          <w:sz w:val="24"/>
          <w:szCs w:val="24"/>
        </w:rPr>
        <w:t>,</w:t>
      </w:r>
      <w:r w:rsidRPr="007C0F74">
        <w:rPr>
          <w:sz w:val="24"/>
          <w:szCs w:val="24"/>
        </w:rPr>
        <w:t xml:space="preserve"> se tiene estimado un recaudo de $2.097.886 millones (Cuadro 3). De esta forma, en el período se observa un crecimiento del recaudo del 176%.</w:t>
      </w:r>
    </w:p>
    <w:p w14:paraId="7233F3CF" w14:textId="77777777" w:rsidR="004354F4" w:rsidRPr="007C0F74" w:rsidRDefault="004354F4" w:rsidP="00F76FF5">
      <w:pPr>
        <w:spacing w:line="240" w:lineRule="auto"/>
        <w:contextualSpacing/>
        <w:jc w:val="both"/>
        <w:rPr>
          <w:sz w:val="24"/>
          <w:szCs w:val="24"/>
        </w:rPr>
      </w:pPr>
    </w:p>
    <w:p w14:paraId="4E1D44AF" w14:textId="77777777" w:rsidR="007C0F74" w:rsidRPr="007C0F74" w:rsidRDefault="007C0F74" w:rsidP="00F76FF5">
      <w:pPr>
        <w:spacing w:line="240" w:lineRule="auto"/>
        <w:contextualSpacing/>
        <w:jc w:val="both"/>
        <w:rPr>
          <w:b/>
          <w:sz w:val="24"/>
          <w:szCs w:val="24"/>
        </w:rPr>
      </w:pPr>
      <w:r w:rsidRPr="007C0F74">
        <w:rPr>
          <w:b/>
          <w:sz w:val="24"/>
          <w:szCs w:val="24"/>
        </w:rPr>
        <w:t>Cuadro 3. Recaudo Impuesto Predial de Bogotá 2008-2015 ($millones)</w:t>
      </w:r>
    </w:p>
    <w:p w14:paraId="53E0CA69" w14:textId="77777777" w:rsidR="007C0F74" w:rsidRPr="007C0F74" w:rsidRDefault="007C0F74" w:rsidP="00F76FF5">
      <w:pPr>
        <w:spacing w:line="240" w:lineRule="auto"/>
        <w:contextualSpacing/>
        <w:jc w:val="both"/>
        <w:rPr>
          <w:sz w:val="24"/>
          <w:szCs w:val="24"/>
        </w:rPr>
      </w:pPr>
    </w:p>
    <w:p w14:paraId="71C1FA01" w14:textId="77777777" w:rsidR="007C0F74" w:rsidRPr="00063D14" w:rsidRDefault="00414A3A" w:rsidP="00F30054">
      <w:pPr>
        <w:spacing w:line="240" w:lineRule="auto"/>
        <w:ind w:left="708" w:hanging="708"/>
        <w:contextualSpacing/>
        <w:rPr>
          <w:sz w:val="20"/>
          <w:szCs w:val="20"/>
        </w:rPr>
      </w:pPr>
      <w:r w:rsidRPr="007C0F74">
        <w:rPr>
          <w:noProof/>
          <w:sz w:val="24"/>
          <w:szCs w:val="24"/>
          <w:lang w:eastAsia="es-CO"/>
        </w:rPr>
        <w:drawing>
          <wp:inline distT="0" distB="0" distL="0" distR="0" wp14:anchorId="03CB9D2E" wp14:editId="3559A6F5">
            <wp:extent cx="4448175" cy="2876551"/>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A0ECBA" w14:textId="77777777" w:rsidR="007C0F74" w:rsidRPr="007C0F74" w:rsidRDefault="00117C25" w:rsidP="00F76FF5">
      <w:pPr>
        <w:spacing w:line="240" w:lineRule="auto"/>
        <w:contextualSpacing/>
        <w:rPr>
          <w:sz w:val="24"/>
          <w:szCs w:val="24"/>
        </w:rPr>
      </w:pPr>
      <w:r w:rsidRPr="00063D14">
        <w:rPr>
          <w:sz w:val="20"/>
          <w:szCs w:val="20"/>
        </w:rPr>
        <w:t>Fuente: Secretaría de Hacienda Distrital</w:t>
      </w:r>
      <w:r>
        <w:rPr>
          <w:sz w:val="20"/>
          <w:szCs w:val="20"/>
        </w:rPr>
        <w:t>.</w:t>
      </w:r>
    </w:p>
    <w:p w14:paraId="6DA678DB" w14:textId="77777777" w:rsidR="007C0F74" w:rsidRPr="007C0F74" w:rsidRDefault="007C0F74" w:rsidP="00F76FF5">
      <w:pPr>
        <w:pStyle w:val="Prrafodelista"/>
        <w:numPr>
          <w:ilvl w:val="1"/>
          <w:numId w:val="19"/>
        </w:numPr>
        <w:spacing w:line="240" w:lineRule="auto"/>
        <w:rPr>
          <w:b/>
          <w:sz w:val="24"/>
          <w:szCs w:val="24"/>
        </w:rPr>
      </w:pPr>
      <w:r w:rsidRPr="007C0F74">
        <w:rPr>
          <w:b/>
          <w:sz w:val="24"/>
          <w:szCs w:val="24"/>
        </w:rPr>
        <w:t>Capacidad de pago de los contribuyentes</w:t>
      </w:r>
    </w:p>
    <w:p w14:paraId="267748DF" w14:textId="77777777" w:rsidR="007C0F74" w:rsidRDefault="007C0F74" w:rsidP="00F76FF5">
      <w:pPr>
        <w:spacing w:line="240" w:lineRule="auto"/>
        <w:contextualSpacing/>
        <w:jc w:val="both"/>
        <w:rPr>
          <w:sz w:val="24"/>
          <w:szCs w:val="24"/>
        </w:rPr>
      </w:pPr>
      <w:r w:rsidRPr="007C0F74">
        <w:rPr>
          <w:sz w:val="24"/>
          <w:szCs w:val="24"/>
        </w:rPr>
        <w:t xml:space="preserve">De acuerdo con </w:t>
      </w:r>
      <w:r w:rsidR="007C7BC1">
        <w:rPr>
          <w:sz w:val="24"/>
          <w:szCs w:val="24"/>
        </w:rPr>
        <w:t>el artículo 363 de la Constitución Política</w:t>
      </w:r>
      <w:r w:rsidR="00063D14">
        <w:rPr>
          <w:sz w:val="24"/>
          <w:szCs w:val="24"/>
        </w:rPr>
        <w:t>,</w:t>
      </w:r>
      <w:r w:rsidRPr="007C0F74">
        <w:rPr>
          <w:sz w:val="24"/>
          <w:szCs w:val="24"/>
        </w:rPr>
        <w:t xml:space="preserve"> los impuestos deben consultar la capacidad de pago que tienen los</w:t>
      </w:r>
      <w:r w:rsidR="00E667EB">
        <w:rPr>
          <w:sz w:val="24"/>
          <w:szCs w:val="24"/>
        </w:rPr>
        <w:t xml:space="preserve"> contribuyentes. Este</w:t>
      </w:r>
      <w:r w:rsidRPr="007C0F74">
        <w:rPr>
          <w:sz w:val="24"/>
          <w:szCs w:val="24"/>
        </w:rPr>
        <w:t xml:space="preserve"> no es el caso del impuesto predial en varias ciudades del país</w:t>
      </w:r>
      <w:r w:rsidR="001D57FC">
        <w:rPr>
          <w:sz w:val="24"/>
          <w:szCs w:val="24"/>
        </w:rPr>
        <w:t xml:space="preserve">. </w:t>
      </w:r>
    </w:p>
    <w:p w14:paraId="49334849" w14:textId="77777777" w:rsidR="004354F4" w:rsidRPr="007C0F74" w:rsidRDefault="004354F4" w:rsidP="00F76FF5">
      <w:pPr>
        <w:spacing w:line="240" w:lineRule="auto"/>
        <w:contextualSpacing/>
        <w:jc w:val="both"/>
        <w:rPr>
          <w:sz w:val="24"/>
          <w:szCs w:val="24"/>
        </w:rPr>
      </w:pPr>
    </w:p>
    <w:p w14:paraId="4F68F7FA" w14:textId="77777777" w:rsidR="001D57FC" w:rsidRDefault="00414A3A" w:rsidP="00F76FF5">
      <w:pPr>
        <w:spacing w:line="240" w:lineRule="auto"/>
        <w:contextualSpacing/>
        <w:jc w:val="both"/>
        <w:rPr>
          <w:sz w:val="24"/>
          <w:szCs w:val="24"/>
        </w:rPr>
      </w:pPr>
      <w:r>
        <w:rPr>
          <w:sz w:val="24"/>
          <w:szCs w:val="24"/>
        </w:rPr>
        <w:t>D</w:t>
      </w:r>
      <w:r w:rsidR="007C0F74" w:rsidRPr="007C0F74">
        <w:rPr>
          <w:sz w:val="24"/>
          <w:szCs w:val="24"/>
        </w:rPr>
        <w:t>ebe tenerse en cuenta que la Constitución Nacional establece que el sistema tributario se “funda en los principios de equidad, eficiencia y progresividad”</w:t>
      </w:r>
      <w:r w:rsidR="007C0F74" w:rsidRPr="007C0F74">
        <w:rPr>
          <w:rStyle w:val="Refdenotaalpie"/>
          <w:sz w:val="24"/>
          <w:szCs w:val="24"/>
        </w:rPr>
        <w:footnoteReference w:id="8"/>
      </w:r>
      <w:r w:rsidR="007C0F74" w:rsidRPr="007C0F74">
        <w:rPr>
          <w:sz w:val="24"/>
          <w:szCs w:val="24"/>
        </w:rPr>
        <w:t>. La Corte Constitucional ha se</w:t>
      </w:r>
      <w:r w:rsidR="001D57FC">
        <w:rPr>
          <w:sz w:val="24"/>
          <w:szCs w:val="24"/>
        </w:rPr>
        <w:t>ñalado en su jurisprudencia que:</w:t>
      </w:r>
    </w:p>
    <w:p w14:paraId="08FE1B66" w14:textId="77777777" w:rsidR="001D57FC" w:rsidRDefault="001D57FC" w:rsidP="00F76FF5">
      <w:pPr>
        <w:spacing w:line="240" w:lineRule="auto"/>
        <w:contextualSpacing/>
        <w:jc w:val="both"/>
        <w:rPr>
          <w:sz w:val="24"/>
          <w:szCs w:val="24"/>
        </w:rPr>
      </w:pPr>
    </w:p>
    <w:p w14:paraId="176DC8E9" w14:textId="77777777" w:rsidR="007C0F74" w:rsidRPr="00063D14" w:rsidRDefault="007C0F74" w:rsidP="00F76FF5">
      <w:pPr>
        <w:spacing w:line="240" w:lineRule="auto"/>
        <w:ind w:left="708"/>
        <w:contextualSpacing/>
        <w:jc w:val="both"/>
        <w:rPr>
          <w:i/>
          <w:sz w:val="20"/>
          <w:szCs w:val="20"/>
        </w:rPr>
      </w:pPr>
      <w:r w:rsidRPr="00063D14">
        <w:rPr>
          <w:i/>
          <w:sz w:val="20"/>
          <w:szCs w:val="20"/>
        </w:rPr>
        <w:t>“….la equidad tributaria es criterio con base en el cual se pondera la distribución de las cargas y de los beneficios o la imposición de gravámenes entre los contribuyentes para evitar que haya cargas excesivas o beneficios exagerados. Una carga es excesiva o un beneficio es exagerado cuando no consulta la capacidad económica de los sujetos pasivos en razón a la naturaleza y fines del impuesto en cuestión”</w:t>
      </w:r>
      <w:r w:rsidRPr="00063D14">
        <w:rPr>
          <w:rStyle w:val="Refdenotaalpie"/>
          <w:i/>
          <w:sz w:val="20"/>
          <w:szCs w:val="20"/>
        </w:rPr>
        <w:footnoteReference w:id="9"/>
      </w:r>
      <w:r w:rsidRPr="00063D14">
        <w:rPr>
          <w:i/>
          <w:sz w:val="20"/>
          <w:szCs w:val="20"/>
        </w:rPr>
        <w:t>.</w:t>
      </w:r>
    </w:p>
    <w:p w14:paraId="69C1569A" w14:textId="77777777" w:rsidR="004354F4" w:rsidRPr="007C0F74" w:rsidRDefault="004354F4" w:rsidP="00F76FF5">
      <w:pPr>
        <w:spacing w:line="240" w:lineRule="auto"/>
        <w:contextualSpacing/>
        <w:jc w:val="both"/>
        <w:rPr>
          <w:sz w:val="24"/>
          <w:szCs w:val="24"/>
        </w:rPr>
      </w:pPr>
    </w:p>
    <w:p w14:paraId="3924487C" w14:textId="77777777" w:rsidR="007C0F74" w:rsidRDefault="007C0F74" w:rsidP="00F76FF5">
      <w:pPr>
        <w:spacing w:line="240" w:lineRule="auto"/>
        <w:contextualSpacing/>
        <w:jc w:val="both"/>
        <w:rPr>
          <w:sz w:val="24"/>
          <w:szCs w:val="24"/>
        </w:rPr>
      </w:pPr>
      <w:r w:rsidRPr="007C0F74">
        <w:rPr>
          <w:sz w:val="24"/>
          <w:szCs w:val="24"/>
        </w:rPr>
        <w:t>Cuando por varios años, de manera persistente, el valor de un impuesto sobrepasa el ingreso de los contribuyentes se llega a una “carga excesiva” que llega a ser insostenible para la población en su conjunto.</w:t>
      </w:r>
    </w:p>
    <w:p w14:paraId="3FFD7E29" w14:textId="77777777" w:rsidR="004354F4" w:rsidRPr="007C0F74" w:rsidRDefault="004354F4" w:rsidP="00F76FF5">
      <w:pPr>
        <w:spacing w:line="240" w:lineRule="auto"/>
        <w:contextualSpacing/>
        <w:jc w:val="both"/>
        <w:rPr>
          <w:sz w:val="24"/>
          <w:szCs w:val="24"/>
        </w:rPr>
      </w:pPr>
    </w:p>
    <w:p w14:paraId="7ADDBED0" w14:textId="77777777" w:rsidR="007C0F74" w:rsidRPr="007C0F74" w:rsidRDefault="007C0F74" w:rsidP="00F76FF5">
      <w:pPr>
        <w:spacing w:line="240" w:lineRule="auto"/>
        <w:contextualSpacing/>
        <w:jc w:val="both"/>
        <w:rPr>
          <w:sz w:val="24"/>
          <w:szCs w:val="24"/>
        </w:rPr>
      </w:pPr>
      <w:r w:rsidRPr="007C0F74">
        <w:rPr>
          <w:sz w:val="24"/>
          <w:szCs w:val="24"/>
        </w:rPr>
        <w:t>El gráfico 3 presenta</w:t>
      </w:r>
      <w:r w:rsidR="001D57FC">
        <w:rPr>
          <w:sz w:val="24"/>
          <w:szCs w:val="24"/>
        </w:rPr>
        <w:t>,</w:t>
      </w:r>
      <w:r w:rsidRPr="007C0F74">
        <w:rPr>
          <w:sz w:val="24"/>
          <w:szCs w:val="24"/>
        </w:rPr>
        <w:t xml:space="preserve"> para el caso de Bogotá</w:t>
      </w:r>
      <w:r w:rsidR="001D57FC">
        <w:rPr>
          <w:sz w:val="24"/>
          <w:szCs w:val="24"/>
        </w:rPr>
        <w:t>,</w:t>
      </w:r>
      <w:r w:rsidRPr="007C0F74">
        <w:rPr>
          <w:sz w:val="24"/>
          <w:szCs w:val="24"/>
        </w:rPr>
        <w:t xml:space="preserve"> los crecimientos anuales del valor catastral, el recaudo del impuesto predial, la evolución del salario mínimo y el</w:t>
      </w:r>
      <w:r w:rsidR="00063D14">
        <w:rPr>
          <w:sz w:val="24"/>
          <w:szCs w:val="24"/>
        </w:rPr>
        <w:t xml:space="preserve"> ÍPC</w:t>
      </w:r>
      <w:r w:rsidRPr="007C0F74">
        <w:rPr>
          <w:sz w:val="24"/>
          <w:szCs w:val="24"/>
        </w:rPr>
        <w:t>. Se observa que en los últimos 7 años, de manera consistente, el valor catastral de la ciudad y el recaudo del impuesto predial han crecido varias veces más que el incremento en el salario mínimo (que es la referencia para el aumento de cualquier otro salario) y que el</w:t>
      </w:r>
      <w:r w:rsidR="00063D14">
        <w:rPr>
          <w:sz w:val="24"/>
          <w:szCs w:val="24"/>
        </w:rPr>
        <w:t xml:space="preserve"> ÍPC</w:t>
      </w:r>
      <w:r w:rsidRPr="007C0F74">
        <w:rPr>
          <w:sz w:val="24"/>
          <w:szCs w:val="24"/>
        </w:rPr>
        <w:t>.</w:t>
      </w:r>
    </w:p>
    <w:p w14:paraId="27EE1C30" w14:textId="77777777" w:rsidR="00F77BB2" w:rsidRDefault="00F77BB2" w:rsidP="00F76FF5">
      <w:pPr>
        <w:spacing w:line="240" w:lineRule="auto"/>
        <w:contextualSpacing/>
        <w:rPr>
          <w:b/>
          <w:sz w:val="24"/>
          <w:szCs w:val="24"/>
        </w:rPr>
      </w:pPr>
    </w:p>
    <w:p w14:paraId="74BC2331" w14:textId="77777777" w:rsidR="007C0F74" w:rsidRDefault="007C0F74" w:rsidP="00F76FF5">
      <w:pPr>
        <w:spacing w:line="240" w:lineRule="auto"/>
        <w:contextualSpacing/>
        <w:rPr>
          <w:b/>
          <w:sz w:val="24"/>
          <w:szCs w:val="24"/>
        </w:rPr>
      </w:pPr>
      <w:r w:rsidRPr="007C0F74">
        <w:rPr>
          <w:b/>
          <w:sz w:val="24"/>
          <w:szCs w:val="24"/>
        </w:rPr>
        <w:t>Gráfica 3. Crecimientos Anuales Varios Indicadores (%)</w:t>
      </w:r>
    </w:p>
    <w:p w14:paraId="709F131F" w14:textId="77777777" w:rsidR="004354F4" w:rsidRPr="007C0F74" w:rsidRDefault="004354F4" w:rsidP="00F76FF5">
      <w:pPr>
        <w:spacing w:line="240" w:lineRule="auto"/>
        <w:contextualSpacing/>
        <w:rPr>
          <w:b/>
          <w:sz w:val="24"/>
          <w:szCs w:val="24"/>
        </w:rPr>
      </w:pPr>
    </w:p>
    <w:p w14:paraId="21AD8413" w14:textId="77777777" w:rsidR="007C0F74" w:rsidRPr="007C0F74" w:rsidRDefault="007C0F74" w:rsidP="00F76FF5">
      <w:pPr>
        <w:spacing w:line="240" w:lineRule="auto"/>
        <w:contextualSpacing/>
        <w:rPr>
          <w:sz w:val="24"/>
          <w:szCs w:val="24"/>
        </w:rPr>
      </w:pPr>
      <w:r w:rsidRPr="007C0F74">
        <w:rPr>
          <w:noProof/>
          <w:sz w:val="24"/>
          <w:szCs w:val="24"/>
          <w:lang w:eastAsia="es-CO"/>
        </w:rPr>
        <w:drawing>
          <wp:inline distT="0" distB="0" distL="0" distR="0" wp14:anchorId="4B66D627" wp14:editId="43326524">
            <wp:extent cx="4408170" cy="2473960"/>
            <wp:effectExtent l="19050" t="0" r="11430" b="25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B09177" w14:textId="77777777" w:rsidR="007C0F74" w:rsidRPr="00063D14" w:rsidRDefault="007C0F74" w:rsidP="00F76FF5">
      <w:pPr>
        <w:spacing w:line="240" w:lineRule="auto"/>
        <w:contextualSpacing/>
        <w:rPr>
          <w:sz w:val="20"/>
          <w:szCs w:val="20"/>
        </w:rPr>
      </w:pPr>
      <w:r w:rsidRPr="00063D14">
        <w:rPr>
          <w:sz w:val="20"/>
          <w:szCs w:val="20"/>
        </w:rPr>
        <w:t>Fuente: Cálculos propios con base en DANE, Catastro y Secretaría Hacienda de Bogotá</w:t>
      </w:r>
      <w:r w:rsidR="00063D14">
        <w:rPr>
          <w:sz w:val="20"/>
          <w:szCs w:val="20"/>
        </w:rPr>
        <w:t>.</w:t>
      </w:r>
    </w:p>
    <w:p w14:paraId="48C93D6C" w14:textId="77777777" w:rsidR="004354F4" w:rsidRDefault="004354F4" w:rsidP="00F76FF5">
      <w:pPr>
        <w:spacing w:line="240" w:lineRule="auto"/>
        <w:contextualSpacing/>
        <w:jc w:val="both"/>
        <w:rPr>
          <w:szCs w:val="24"/>
        </w:rPr>
      </w:pPr>
    </w:p>
    <w:p w14:paraId="6B46451A" w14:textId="77777777" w:rsidR="007C0F74" w:rsidRPr="004354F4" w:rsidRDefault="007C0F74" w:rsidP="00F76FF5">
      <w:pPr>
        <w:spacing w:line="240" w:lineRule="auto"/>
        <w:contextualSpacing/>
        <w:jc w:val="both"/>
        <w:rPr>
          <w:sz w:val="24"/>
          <w:szCs w:val="24"/>
        </w:rPr>
      </w:pPr>
      <w:r w:rsidRPr="004354F4">
        <w:rPr>
          <w:sz w:val="24"/>
          <w:szCs w:val="24"/>
        </w:rPr>
        <w:t xml:space="preserve">La enorme diferencia entre el crecimiento anual de cada una de esas variables se presenta en el Cuadro 4, en donde se observa que en el período </w:t>
      </w:r>
      <w:r w:rsidR="001D57FC">
        <w:rPr>
          <w:sz w:val="24"/>
          <w:szCs w:val="24"/>
        </w:rPr>
        <w:t xml:space="preserve">de los años </w:t>
      </w:r>
      <w:r w:rsidRPr="004354F4">
        <w:rPr>
          <w:sz w:val="24"/>
          <w:szCs w:val="24"/>
        </w:rPr>
        <w:t>2008 a</w:t>
      </w:r>
      <w:r w:rsidR="001D57FC">
        <w:rPr>
          <w:sz w:val="24"/>
          <w:szCs w:val="24"/>
        </w:rPr>
        <w:t>l</w:t>
      </w:r>
      <w:r w:rsidRPr="004354F4">
        <w:rPr>
          <w:sz w:val="24"/>
          <w:szCs w:val="24"/>
        </w:rPr>
        <w:t xml:space="preserve"> 2015, el crecimiento promedio anual del valor catastral fue </w:t>
      </w:r>
      <w:r w:rsidR="00063D14">
        <w:rPr>
          <w:sz w:val="24"/>
          <w:szCs w:val="24"/>
        </w:rPr>
        <w:t>d</w:t>
      </w:r>
      <w:r w:rsidRPr="004354F4">
        <w:rPr>
          <w:sz w:val="24"/>
          <w:szCs w:val="24"/>
        </w:rPr>
        <w:t>el 20,6% y el recaudo del predial 15,8%, mientras que el salario mínimo apenas creció el 4,9% y el IPC 2,8%. Esto ilustra el enorme desfase que se viene presentando en detrimento de los contribuyentes y que hace impagable el mayor</w:t>
      </w:r>
      <w:r w:rsidR="00063D14">
        <w:rPr>
          <w:sz w:val="24"/>
          <w:szCs w:val="24"/>
        </w:rPr>
        <w:t xml:space="preserve"> valor del</w:t>
      </w:r>
      <w:r w:rsidRPr="004354F4">
        <w:rPr>
          <w:sz w:val="24"/>
          <w:szCs w:val="24"/>
        </w:rPr>
        <w:t xml:space="preserve"> impuesto.</w:t>
      </w:r>
    </w:p>
    <w:p w14:paraId="01D5F3BB" w14:textId="77777777" w:rsidR="00F77BB2" w:rsidRDefault="00F77BB2" w:rsidP="00F76FF5">
      <w:pPr>
        <w:spacing w:line="240" w:lineRule="auto"/>
        <w:contextualSpacing/>
        <w:rPr>
          <w:b/>
          <w:sz w:val="24"/>
          <w:szCs w:val="24"/>
        </w:rPr>
      </w:pPr>
    </w:p>
    <w:p w14:paraId="07F3F506" w14:textId="77777777" w:rsidR="004545CA" w:rsidRDefault="004545CA" w:rsidP="00F76FF5">
      <w:pPr>
        <w:spacing w:line="240" w:lineRule="auto"/>
        <w:contextualSpacing/>
        <w:rPr>
          <w:b/>
          <w:sz w:val="24"/>
          <w:szCs w:val="24"/>
        </w:rPr>
      </w:pPr>
    </w:p>
    <w:p w14:paraId="350BA17A" w14:textId="77777777" w:rsidR="003C593A" w:rsidRDefault="003C593A" w:rsidP="00F76FF5">
      <w:pPr>
        <w:spacing w:line="240" w:lineRule="auto"/>
        <w:contextualSpacing/>
        <w:rPr>
          <w:b/>
          <w:sz w:val="24"/>
          <w:szCs w:val="24"/>
        </w:rPr>
      </w:pPr>
    </w:p>
    <w:p w14:paraId="1A3E9BEE" w14:textId="77777777" w:rsidR="003C593A" w:rsidRDefault="003C593A" w:rsidP="00F76FF5">
      <w:pPr>
        <w:spacing w:line="240" w:lineRule="auto"/>
        <w:contextualSpacing/>
        <w:rPr>
          <w:b/>
          <w:sz w:val="24"/>
          <w:szCs w:val="24"/>
        </w:rPr>
      </w:pPr>
    </w:p>
    <w:p w14:paraId="6EF0C326" w14:textId="77777777" w:rsidR="003C593A" w:rsidRDefault="003C593A" w:rsidP="00F76FF5">
      <w:pPr>
        <w:spacing w:line="240" w:lineRule="auto"/>
        <w:contextualSpacing/>
        <w:rPr>
          <w:b/>
          <w:sz w:val="24"/>
          <w:szCs w:val="24"/>
        </w:rPr>
      </w:pPr>
    </w:p>
    <w:p w14:paraId="257B8E84" w14:textId="77777777" w:rsidR="003C593A" w:rsidRDefault="003C593A" w:rsidP="00F76FF5">
      <w:pPr>
        <w:spacing w:line="240" w:lineRule="auto"/>
        <w:contextualSpacing/>
        <w:rPr>
          <w:b/>
          <w:sz w:val="24"/>
          <w:szCs w:val="24"/>
        </w:rPr>
      </w:pPr>
    </w:p>
    <w:p w14:paraId="10172A02" w14:textId="77777777" w:rsidR="003C593A" w:rsidRDefault="003C593A" w:rsidP="00F76FF5">
      <w:pPr>
        <w:spacing w:line="240" w:lineRule="auto"/>
        <w:contextualSpacing/>
        <w:rPr>
          <w:b/>
          <w:sz w:val="24"/>
          <w:szCs w:val="24"/>
        </w:rPr>
      </w:pPr>
    </w:p>
    <w:p w14:paraId="63B35036" w14:textId="77777777" w:rsidR="007C0F74" w:rsidRDefault="007C0F74" w:rsidP="00F76FF5">
      <w:pPr>
        <w:spacing w:line="240" w:lineRule="auto"/>
        <w:contextualSpacing/>
        <w:rPr>
          <w:b/>
          <w:sz w:val="24"/>
          <w:szCs w:val="24"/>
        </w:rPr>
      </w:pPr>
      <w:r w:rsidRPr="007C0F74">
        <w:rPr>
          <w:b/>
          <w:sz w:val="24"/>
          <w:szCs w:val="24"/>
        </w:rPr>
        <w:lastRenderedPageBreak/>
        <w:t>Cuadro 4. Crecimientos Anuales Varios Indicadores (%)</w:t>
      </w:r>
    </w:p>
    <w:p w14:paraId="71191E60" w14:textId="77777777" w:rsidR="00766339" w:rsidRDefault="00766339" w:rsidP="00F76FF5">
      <w:pPr>
        <w:spacing w:line="240" w:lineRule="auto"/>
        <w:contextualSpacing/>
        <w:rPr>
          <w:sz w:val="24"/>
          <w:szCs w:val="24"/>
        </w:rPr>
      </w:pPr>
    </w:p>
    <w:tbl>
      <w:tblPr>
        <w:tblStyle w:val="Tablaconcuadrcula"/>
        <w:tblW w:w="6780" w:type="dxa"/>
        <w:jc w:val="center"/>
        <w:tblLook w:val="04A0" w:firstRow="1" w:lastRow="0" w:firstColumn="1" w:lastColumn="0" w:noHBand="0" w:noVBand="1"/>
      </w:tblPr>
      <w:tblGrid>
        <w:gridCol w:w="1217"/>
        <w:gridCol w:w="1420"/>
        <w:gridCol w:w="1660"/>
        <w:gridCol w:w="1300"/>
        <w:gridCol w:w="1200"/>
      </w:tblGrid>
      <w:tr w:rsidR="00D332E7" w:rsidRPr="00B31116" w14:paraId="1ED2487F" w14:textId="77777777" w:rsidTr="008971E5">
        <w:trPr>
          <w:trHeight w:val="300"/>
          <w:jc w:val="center"/>
        </w:trPr>
        <w:tc>
          <w:tcPr>
            <w:tcW w:w="1200" w:type="dxa"/>
            <w:noWrap/>
            <w:hideMark/>
          </w:tcPr>
          <w:p w14:paraId="6BAF4541" w14:textId="77777777" w:rsidR="00D332E7" w:rsidRPr="00B31116" w:rsidRDefault="00D332E7" w:rsidP="00F76FF5">
            <w:pPr>
              <w:contextualSpacing/>
              <w:jc w:val="center"/>
              <w:rPr>
                <w:b/>
              </w:rPr>
            </w:pPr>
            <w:r w:rsidRPr="00B31116">
              <w:rPr>
                <w:b/>
              </w:rPr>
              <w:t>Año</w:t>
            </w:r>
          </w:p>
        </w:tc>
        <w:tc>
          <w:tcPr>
            <w:tcW w:w="1420" w:type="dxa"/>
            <w:noWrap/>
            <w:hideMark/>
          </w:tcPr>
          <w:p w14:paraId="3E00BC89" w14:textId="77777777" w:rsidR="00D332E7" w:rsidRPr="00B31116" w:rsidRDefault="00D332E7" w:rsidP="00F76FF5">
            <w:pPr>
              <w:contextualSpacing/>
              <w:jc w:val="center"/>
              <w:rPr>
                <w:b/>
              </w:rPr>
            </w:pPr>
            <w:r w:rsidRPr="00B31116">
              <w:rPr>
                <w:b/>
              </w:rPr>
              <w:t>Valor Catastral</w:t>
            </w:r>
            <w:r>
              <w:rPr>
                <w:b/>
              </w:rPr>
              <w:t xml:space="preserve"> Bogotá</w:t>
            </w:r>
          </w:p>
        </w:tc>
        <w:tc>
          <w:tcPr>
            <w:tcW w:w="1660" w:type="dxa"/>
            <w:noWrap/>
            <w:hideMark/>
          </w:tcPr>
          <w:p w14:paraId="3D4D993B" w14:textId="77777777" w:rsidR="00D332E7" w:rsidRPr="00B31116" w:rsidRDefault="00D332E7" w:rsidP="00F76FF5">
            <w:pPr>
              <w:contextualSpacing/>
              <w:jc w:val="center"/>
              <w:rPr>
                <w:b/>
              </w:rPr>
            </w:pPr>
            <w:r w:rsidRPr="00B31116">
              <w:rPr>
                <w:b/>
              </w:rPr>
              <w:t>Recaudo Predial</w:t>
            </w:r>
            <w:r>
              <w:rPr>
                <w:b/>
              </w:rPr>
              <w:t xml:space="preserve"> Bogotá</w:t>
            </w:r>
          </w:p>
        </w:tc>
        <w:tc>
          <w:tcPr>
            <w:tcW w:w="1300" w:type="dxa"/>
            <w:noWrap/>
            <w:hideMark/>
          </w:tcPr>
          <w:p w14:paraId="64FC2E85" w14:textId="77777777" w:rsidR="00D332E7" w:rsidRPr="00B31116" w:rsidRDefault="00D332E7" w:rsidP="00F76FF5">
            <w:pPr>
              <w:contextualSpacing/>
              <w:jc w:val="center"/>
              <w:rPr>
                <w:b/>
              </w:rPr>
            </w:pPr>
            <w:r w:rsidRPr="00B31116">
              <w:rPr>
                <w:b/>
              </w:rPr>
              <w:t>IPC</w:t>
            </w:r>
            <w:r>
              <w:rPr>
                <w:b/>
              </w:rPr>
              <w:t xml:space="preserve"> </w:t>
            </w:r>
          </w:p>
        </w:tc>
        <w:tc>
          <w:tcPr>
            <w:tcW w:w="1200" w:type="dxa"/>
            <w:noWrap/>
            <w:hideMark/>
          </w:tcPr>
          <w:p w14:paraId="39918619" w14:textId="77777777" w:rsidR="00D332E7" w:rsidRPr="00B31116" w:rsidRDefault="00D332E7" w:rsidP="00F76FF5">
            <w:pPr>
              <w:contextualSpacing/>
              <w:jc w:val="center"/>
              <w:rPr>
                <w:b/>
              </w:rPr>
            </w:pPr>
            <w:r w:rsidRPr="00B31116">
              <w:rPr>
                <w:b/>
              </w:rPr>
              <w:t>Salario Mínimo</w:t>
            </w:r>
          </w:p>
        </w:tc>
      </w:tr>
      <w:tr w:rsidR="00D332E7" w:rsidRPr="00B31116" w14:paraId="094B8401" w14:textId="77777777" w:rsidTr="008971E5">
        <w:trPr>
          <w:trHeight w:val="300"/>
          <w:jc w:val="center"/>
        </w:trPr>
        <w:tc>
          <w:tcPr>
            <w:tcW w:w="1200" w:type="dxa"/>
            <w:noWrap/>
            <w:hideMark/>
          </w:tcPr>
          <w:p w14:paraId="0433FAB2" w14:textId="77777777" w:rsidR="00D332E7" w:rsidRPr="00B31116" w:rsidRDefault="00D332E7" w:rsidP="00F76FF5">
            <w:pPr>
              <w:contextualSpacing/>
              <w:jc w:val="center"/>
            </w:pPr>
            <w:r w:rsidRPr="00B31116">
              <w:t>2009</w:t>
            </w:r>
          </w:p>
        </w:tc>
        <w:tc>
          <w:tcPr>
            <w:tcW w:w="1420" w:type="dxa"/>
            <w:noWrap/>
            <w:hideMark/>
          </w:tcPr>
          <w:p w14:paraId="592527E0" w14:textId="77777777" w:rsidR="00D332E7" w:rsidRPr="00B31116" w:rsidRDefault="00D332E7" w:rsidP="00F76FF5">
            <w:pPr>
              <w:contextualSpacing/>
              <w:jc w:val="center"/>
            </w:pPr>
            <w:r w:rsidRPr="00B31116">
              <w:t>27,0%</w:t>
            </w:r>
          </w:p>
        </w:tc>
        <w:tc>
          <w:tcPr>
            <w:tcW w:w="1660" w:type="dxa"/>
            <w:noWrap/>
            <w:hideMark/>
          </w:tcPr>
          <w:p w14:paraId="01779279" w14:textId="77777777" w:rsidR="00D332E7" w:rsidRPr="00B31116" w:rsidRDefault="00D332E7" w:rsidP="00F76FF5">
            <w:pPr>
              <w:contextualSpacing/>
              <w:jc w:val="center"/>
            </w:pPr>
            <w:r w:rsidRPr="00B31116">
              <w:t>-0,5%</w:t>
            </w:r>
          </w:p>
        </w:tc>
        <w:tc>
          <w:tcPr>
            <w:tcW w:w="1300" w:type="dxa"/>
            <w:noWrap/>
            <w:hideMark/>
          </w:tcPr>
          <w:p w14:paraId="633AD41E" w14:textId="77777777" w:rsidR="00D332E7" w:rsidRPr="00B31116" w:rsidRDefault="00D332E7" w:rsidP="00F76FF5">
            <w:pPr>
              <w:contextualSpacing/>
              <w:jc w:val="center"/>
            </w:pPr>
            <w:r w:rsidRPr="00B31116">
              <w:t>2,00%</w:t>
            </w:r>
          </w:p>
        </w:tc>
        <w:tc>
          <w:tcPr>
            <w:tcW w:w="1200" w:type="dxa"/>
            <w:noWrap/>
            <w:hideMark/>
          </w:tcPr>
          <w:p w14:paraId="62E86A86" w14:textId="77777777" w:rsidR="00D332E7" w:rsidRPr="00B31116" w:rsidRDefault="00D332E7" w:rsidP="00F76FF5">
            <w:pPr>
              <w:contextualSpacing/>
              <w:jc w:val="center"/>
            </w:pPr>
            <w:r w:rsidRPr="00B31116">
              <w:t>7,48%</w:t>
            </w:r>
          </w:p>
        </w:tc>
      </w:tr>
      <w:tr w:rsidR="00D332E7" w:rsidRPr="00B31116" w14:paraId="51C93D64" w14:textId="77777777" w:rsidTr="008971E5">
        <w:trPr>
          <w:trHeight w:val="300"/>
          <w:jc w:val="center"/>
        </w:trPr>
        <w:tc>
          <w:tcPr>
            <w:tcW w:w="1200" w:type="dxa"/>
            <w:noWrap/>
            <w:hideMark/>
          </w:tcPr>
          <w:p w14:paraId="3113CE5D" w14:textId="77777777" w:rsidR="00D332E7" w:rsidRPr="00B31116" w:rsidRDefault="00D332E7" w:rsidP="00F76FF5">
            <w:pPr>
              <w:contextualSpacing/>
              <w:jc w:val="center"/>
            </w:pPr>
            <w:r w:rsidRPr="00B31116">
              <w:t>2010</w:t>
            </w:r>
          </w:p>
        </w:tc>
        <w:tc>
          <w:tcPr>
            <w:tcW w:w="1420" w:type="dxa"/>
            <w:noWrap/>
            <w:hideMark/>
          </w:tcPr>
          <w:p w14:paraId="5FE0A1DF" w14:textId="77777777" w:rsidR="00D332E7" w:rsidRPr="00B31116" w:rsidRDefault="00D332E7" w:rsidP="00F76FF5">
            <w:pPr>
              <w:contextualSpacing/>
              <w:jc w:val="center"/>
            </w:pPr>
            <w:r w:rsidRPr="00B31116">
              <w:t>27,7%</w:t>
            </w:r>
          </w:p>
        </w:tc>
        <w:tc>
          <w:tcPr>
            <w:tcW w:w="1660" w:type="dxa"/>
            <w:noWrap/>
            <w:hideMark/>
          </w:tcPr>
          <w:p w14:paraId="47AECAEB" w14:textId="77777777" w:rsidR="00D332E7" w:rsidRPr="00B31116" w:rsidRDefault="00D332E7" w:rsidP="00F76FF5">
            <w:pPr>
              <w:contextualSpacing/>
              <w:jc w:val="center"/>
            </w:pPr>
            <w:r w:rsidRPr="00B31116">
              <w:t>20,1%</w:t>
            </w:r>
          </w:p>
        </w:tc>
        <w:tc>
          <w:tcPr>
            <w:tcW w:w="1300" w:type="dxa"/>
            <w:noWrap/>
            <w:hideMark/>
          </w:tcPr>
          <w:p w14:paraId="17AB6A39" w14:textId="77777777" w:rsidR="00D332E7" w:rsidRPr="00B31116" w:rsidRDefault="00D332E7" w:rsidP="00F76FF5">
            <w:pPr>
              <w:contextualSpacing/>
              <w:jc w:val="center"/>
            </w:pPr>
            <w:r w:rsidRPr="00B31116">
              <w:t>3,17%</w:t>
            </w:r>
          </w:p>
        </w:tc>
        <w:tc>
          <w:tcPr>
            <w:tcW w:w="1200" w:type="dxa"/>
            <w:noWrap/>
            <w:hideMark/>
          </w:tcPr>
          <w:p w14:paraId="2616BFCF" w14:textId="77777777" w:rsidR="00D332E7" w:rsidRPr="00B31116" w:rsidRDefault="00D332E7" w:rsidP="00F76FF5">
            <w:pPr>
              <w:contextualSpacing/>
              <w:jc w:val="center"/>
            </w:pPr>
            <w:r w:rsidRPr="00B31116">
              <w:t>3,83%</w:t>
            </w:r>
          </w:p>
        </w:tc>
      </w:tr>
      <w:tr w:rsidR="00D332E7" w:rsidRPr="00B31116" w14:paraId="264E11A6" w14:textId="77777777" w:rsidTr="008971E5">
        <w:trPr>
          <w:trHeight w:val="300"/>
          <w:jc w:val="center"/>
        </w:trPr>
        <w:tc>
          <w:tcPr>
            <w:tcW w:w="1200" w:type="dxa"/>
            <w:noWrap/>
            <w:hideMark/>
          </w:tcPr>
          <w:p w14:paraId="30451353" w14:textId="77777777" w:rsidR="00D332E7" w:rsidRPr="00B31116" w:rsidRDefault="00D332E7" w:rsidP="00F76FF5">
            <w:pPr>
              <w:contextualSpacing/>
              <w:jc w:val="center"/>
            </w:pPr>
            <w:r w:rsidRPr="00B31116">
              <w:t>2011</w:t>
            </w:r>
          </w:p>
        </w:tc>
        <w:tc>
          <w:tcPr>
            <w:tcW w:w="1420" w:type="dxa"/>
            <w:noWrap/>
            <w:hideMark/>
          </w:tcPr>
          <w:p w14:paraId="65032381" w14:textId="77777777" w:rsidR="00D332E7" w:rsidRPr="00B31116" w:rsidRDefault="00D332E7" w:rsidP="00F76FF5">
            <w:pPr>
              <w:contextualSpacing/>
              <w:jc w:val="center"/>
            </w:pPr>
            <w:r w:rsidRPr="00B31116">
              <w:t>21,6%</w:t>
            </w:r>
          </w:p>
        </w:tc>
        <w:tc>
          <w:tcPr>
            <w:tcW w:w="1660" w:type="dxa"/>
            <w:noWrap/>
            <w:hideMark/>
          </w:tcPr>
          <w:p w14:paraId="4475E939" w14:textId="77777777" w:rsidR="00D332E7" w:rsidRPr="00B31116" w:rsidRDefault="00D332E7" w:rsidP="00F76FF5">
            <w:pPr>
              <w:contextualSpacing/>
              <w:jc w:val="center"/>
            </w:pPr>
            <w:r w:rsidRPr="00B31116">
              <w:t>18,1%</w:t>
            </w:r>
          </w:p>
        </w:tc>
        <w:tc>
          <w:tcPr>
            <w:tcW w:w="1300" w:type="dxa"/>
            <w:noWrap/>
            <w:hideMark/>
          </w:tcPr>
          <w:p w14:paraId="7A8115FB" w14:textId="77777777" w:rsidR="00D332E7" w:rsidRPr="00B31116" w:rsidRDefault="00D332E7" w:rsidP="00F76FF5">
            <w:pPr>
              <w:contextualSpacing/>
              <w:jc w:val="center"/>
            </w:pPr>
            <w:r w:rsidRPr="00B31116">
              <w:t>3,73%</w:t>
            </w:r>
          </w:p>
        </w:tc>
        <w:tc>
          <w:tcPr>
            <w:tcW w:w="1200" w:type="dxa"/>
            <w:noWrap/>
            <w:hideMark/>
          </w:tcPr>
          <w:p w14:paraId="45353C10" w14:textId="77777777" w:rsidR="00D332E7" w:rsidRPr="00B31116" w:rsidRDefault="00D332E7" w:rsidP="00F76FF5">
            <w:pPr>
              <w:contextualSpacing/>
              <w:jc w:val="center"/>
            </w:pPr>
            <w:r w:rsidRPr="00B31116">
              <w:t>4,00%</w:t>
            </w:r>
          </w:p>
        </w:tc>
      </w:tr>
      <w:tr w:rsidR="00D332E7" w:rsidRPr="00B31116" w14:paraId="6B28E7E9" w14:textId="77777777" w:rsidTr="008971E5">
        <w:trPr>
          <w:trHeight w:val="300"/>
          <w:jc w:val="center"/>
        </w:trPr>
        <w:tc>
          <w:tcPr>
            <w:tcW w:w="1200" w:type="dxa"/>
            <w:noWrap/>
            <w:hideMark/>
          </w:tcPr>
          <w:p w14:paraId="1C07CCFF" w14:textId="77777777" w:rsidR="00D332E7" w:rsidRPr="00B31116" w:rsidRDefault="00D332E7" w:rsidP="00F76FF5">
            <w:pPr>
              <w:contextualSpacing/>
              <w:jc w:val="center"/>
            </w:pPr>
            <w:r w:rsidRPr="00B31116">
              <w:t>2012</w:t>
            </w:r>
          </w:p>
        </w:tc>
        <w:tc>
          <w:tcPr>
            <w:tcW w:w="1420" w:type="dxa"/>
            <w:noWrap/>
            <w:hideMark/>
          </w:tcPr>
          <w:p w14:paraId="7250153F" w14:textId="77777777" w:rsidR="00D332E7" w:rsidRPr="00B31116" w:rsidRDefault="00D332E7" w:rsidP="00F76FF5">
            <w:pPr>
              <w:contextualSpacing/>
              <w:jc w:val="center"/>
            </w:pPr>
            <w:r w:rsidRPr="00B31116">
              <w:t>17,1%</w:t>
            </w:r>
          </w:p>
        </w:tc>
        <w:tc>
          <w:tcPr>
            <w:tcW w:w="1660" w:type="dxa"/>
            <w:noWrap/>
            <w:hideMark/>
          </w:tcPr>
          <w:p w14:paraId="054BFE16" w14:textId="77777777" w:rsidR="00D332E7" w:rsidRPr="00B31116" w:rsidRDefault="00D332E7" w:rsidP="00F76FF5">
            <w:pPr>
              <w:contextualSpacing/>
              <w:jc w:val="center"/>
            </w:pPr>
            <w:r w:rsidRPr="00B31116">
              <w:t>13,3%</w:t>
            </w:r>
          </w:p>
        </w:tc>
        <w:tc>
          <w:tcPr>
            <w:tcW w:w="1300" w:type="dxa"/>
            <w:noWrap/>
            <w:hideMark/>
          </w:tcPr>
          <w:p w14:paraId="4F5F508F" w14:textId="77777777" w:rsidR="00D332E7" w:rsidRPr="00B31116" w:rsidRDefault="00D332E7" w:rsidP="00F76FF5">
            <w:pPr>
              <w:contextualSpacing/>
              <w:jc w:val="center"/>
            </w:pPr>
            <w:r w:rsidRPr="00B31116">
              <w:t>2,44%</w:t>
            </w:r>
          </w:p>
        </w:tc>
        <w:tc>
          <w:tcPr>
            <w:tcW w:w="1200" w:type="dxa"/>
            <w:noWrap/>
            <w:hideMark/>
          </w:tcPr>
          <w:p w14:paraId="16A24B21" w14:textId="77777777" w:rsidR="00D332E7" w:rsidRPr="00B31116" w:rsidRDefault="00D332E7" w:rsidP="00F76FF5">
            <w:pPr>
              <w:contextualSpacing/>
              <w:jc w:val="center"/>
            </w:pPr>
            <w:r w:rsidRPr="00B31116">
              <w:t>5,81%</w:t>
            </w:r>
          </w:p>
        </w:tc>
      </w:tr>
      <w:tr w:rsidR="00D332E7" w:rsidRPr="00B31116" w14:paraId="7FFF8EF8" w14:textId="77777777" w:rsidTr="008971E5">
        <w:trPr>
          <w:trHeight w:val="300"/>
          <w:jc w:val="center"/>
        </w:trPr>
        <w:tc>
          <w:tcPr>
            <w:tcW w:w="1200" w:type="dxa"/>
            <w:noWrap/>
            <w:hideMark/>
          </w:tcPr>
          <w:p w14:paraId="1B55B4F5" w14:textId="77777777" w:rsidR="00D332E7" w:rsidRPr="00B31116" w:rsidRDefault="00D332E7" w:rsidP="00F76FF5">
            <w:pPr>
              <w:contextualSpacing/>
              <w:jc w:val="center"/>
            </w:pPr>
            <w:r w:rsidRPr="00B31116">
              <w:t>2013</w:t>
            </w:r>
          </w:p>
        </w:tc>
        <w:tc>
          <w:tcPr>
            <w:tcW w:w="1420" w:type="dxa"/>
            <w:noWrap/>
            <w:hideMark/>
          </w:tcPr>
          <w:p w14:paraId="420BD047" w14:textId="77777777" w:rsidR="00D332E7" w:rsidRPr="00B31116" w:rsidRDefault="00D332E7" w:rsidP="00F76FF5">
            <w:pPr>
              <w:contextualSpacing/>
              <w:jc w:val="center"/>
            </w:pPr>
            <w:r w:rsidRPr="00B31116">
              <w:t>19,1%</w:t>
            </w:r>
          </w:p>
        </w:tc>
        <w:tc>
          <w:tcPr>
            <w:tcW w:w="1660" w:type="dxa"/>
            <w:noWrap/>
            <w:hideMark/>
          </w:tcPr>
          <w:p w14:paraId="5A421340" w14:textId="77777777" w:rsidR="00D332E7" w:rsidRPr="00B31116" w:rsidRDefault="00D332E7" w:rsidP="00F76FF5">
            <w:pPr>
              <w:contextualSpacing/>
              <w:jc w:val="center"/>
            </w:pPr>
            <w:r w:rsidRPr="00B31116">
              <w:t>18,2%</w:t>
            </w:r>
          </w:p>
        </w:tc>
        <w:tc>
          <w:tcPr>
            <w:tcW w:w="1300" w:type="dxa"/>
            <w:noWrap/>
            <w:hideMark/>
          </w:tcPr>
          <w:p w14:paraId="33E967D3" w14:textId="77777777" w:rsidR="00D332E7" w:rsidRPr="00B31116" w:rsidRDefault="00D332E7" w:rsidP="00F76FF5">
            <w:pPr>
              <w:contextualSpacing/>
              <w:jc w:val="center"/>
            </w:pPr>
            <w:r w:rsidRPr="00B31116">
              <w:t>1,94%</w:t>
            </w:r>
          </w:p>
        </w:tc>
        <w:tc>
          <w:tcPr>
            <w:tcW w:w="1200" w:type="dxa"/>
            <w:noWrap/>
            <w:hideMark/>
          </w:tcPr>
          <w:p w14:paraId="1C40E0DF" w14:textId="77777777" w:rsidR="00D332E7" w:rsidRPr="00B31116" w:rsidRDefault="00D332E7" w:rsidP="00F76FF5">
            <w:pPr>
              <w:contextualSpacing/>
              <w:jc w:val="center"/>
            </w:pPr>
            <w:r w:rsidRPr="00B31116">
              <w:t>4,02%</w:t>
            </w:r>
          </w:p>
        </w:tc>
      </w:tr>
      <w:tr w:rsidR="00D332E7" w:rsidRPr="00B31116" w14:paraId="6893C32B" w14:textId="77777777" w:rsidTr="008971E5">
        <w:trPr>
          <w:trHeight w:val="300"/>
          <w:jc w:val="center"/>
        </w:trPr>
        <w:tc>
          <w:tcPr>
            <w:tcW w:w="1200" w:type="dxa"/>
            <w:noWrap/>
            <w:hideMark/>
          </w:tcPr>
          <w:p w14:paraId="0A1CB6A2" w14:textId="77777777" w:rsidR="00D332E7" w:rsidRPr="00B31116" w:rsidRDefault="00D332E7" w:rsidP="00F76FF5">
            <w:pPr>
              <w:contextualSpacing/>
              <w:jc w:val="center"/>
            </w:pPr>
            <w:r w:rsidRPr="00B31116">
              <w:t>2014</w:t>
            </w:r>
          </w:p>
        </w:tc>
        <w:tc>
          <w:tcPr>
            <w:tcW w:w="1420" w:type="dxa"/>
            <w:noWrap/>
            <w:hideMark/>
          </w:tcPr>
          <w:p w14:paraId="0A97261E" w14:textId="77777777" w:rsidR="00D332E7" w:rsidRPr="00B31116" w:rsidRDefault="00D332E7" w:rsidP="00F76FF5">
            <w:pPr>
              <w:contextualSpacing/>
              <w:jc w:val="center"/>
            </w:pPr>
            <w:r w:rsidRPr="00B31116">
              <w:t>16,3%</w:t>
            </w:r>
          </w:p>
        </w:tc>
        <w:tc>
          <w:tcPr>
            <w:tcW w:w="1660" w:type="dxa"/>
            <w:noWrap/>
            <w:hideMark/>
          </w:tcPr>
          <w:p w14:paraId="639E0864" w14:textId="77777777" w:rsidR="00D332E7" w:rsidRPr="00B31116" w:rsidRDefault="00D332E7" w:rsidP="00F76FF5">
            <w:pPr>
              <w:contextualSpacing/>
              <w:jc w:val="center"/>
            </w:pPr>
            <w:r w:rsidRPr="00B31116">
              <w:t>20,4%</w:t>
            </w:r>
          </w:p>
        </w:tc>
        <w:tc>
          <w:tcPr>
            <w:tcW w:w="1300" w:type="dxa"/>
            <w:noWrap/>
            <w:hideMark/>
          </w:tcPr>
          <w:p w14:paraId="40B4C6B6" w14:textId="77777777" w:rsidR="00D332E7" w:rsidRPr="00B31116" w:rsidRDefault="00D332E7" w:rsidP="00F76FF5">
            <w:pPr>
              <w:contextualSpacing/>
              <w:jc w:val="center"/>
            </w:pPr>
            <w:r w:rsidRPr="00B31116">
              <w:t>3,66%</w:t>
            </w:r>
          </w:p>
        </w:tc>
        <w:tc>
          <w:tcPr>
            <w:tcW w:w="1200" w:type="dxa"/>
            <w:noWrap/>
            <w:hideMark/>
          </w:tcPr>
          <w:p w14:paraId="7237FA8C" w14:textId="77777777" w:rsidR="00D332E7" w:rsidRPr="00B31116" w:rsidRDefault="00D332E7" w:rsidP="00F76FF5">
            <w:pPr>
              <w:contextualSpacing/>
              <w:jc w:val="center"/>
            </w:pPr>
            <w:r w:rsidRPr="00B31116">
              <w:t>4,50%</w:t>
            </w:r>
          </w:p>
        </w:tc>
      </w:tr>
      <w:tr w:rsidR="00D332E7" w:rsidRPr="00B31116" w14:paraId="1754B5A0" w14:textId="77777777" w:rsidTr="008971E5">
        <w:trPr>
          <w:trHeight w:val="300"/>
          <w:jc w:val="center"/>
        </w:trPr>
        <w:tc>
          <w:tcPr>
            <w:tcW w:w="1200" w:type="dxa"/>
            <w:noWrap/>
            <w:hideMark/>
          </w:tcPr>
          <w:p w14:paraId="07B341A2" w14:textId="77777777" w:rsidR="00D332E7" w:rsidRPr="00B31116" w:rsidRDefault="00D332E7" w:rsidP="00F76FF5">
            <w:pPr>
              <w:contextualSpacing/>
              <w:jc w:val="center"/>
            </w:pPr>
            <w:r w:rsidRPr="00B31116">
              <w:t>2015</w:t>
            </w:r>
          </w:p>
        </w:tc>
        <w:tc>
          <w:tcPr>
            <w:tcW w:w="1420" w:type="dxa"/>
            <w:noWrap/>
            <w:hideMark/>
          </w:tcPr>
          <w:p w14:paraId="02E9A4BE" w14:textId="77777777" w:rsidR="00D332E7" w:rsidRPr="00B31116" w:rsidRDefault="00D332E7" w:rsidP="00F76FF5">
            <w:pPr>
              <w:contextualSpacing/>
              <w:jc w:val="center"/>
            </w:pPr>
            <w:r w:rsidRPr="00B31116">
              <w:t>15,2%</w:t>
            </w:r>
          </w:p>
        </w:tc>
        <w:tc>
          <w:tcPr>
            <w:tcW w:w="1660" w:type="dxa"/>
            <w:noWrap/>
            <w:hideMark/>
          </w:tcPr>
          <w:p w14:paraId="5861CC09" w14:textId="77777777" w:rsidR="00D332E7" w:rsidRPr="00B31116" w:rsidRDefault="00D332E7" w:rsidP="00F76FF5">
            <w:pPr>
              <w:contextualSpacing/>
              <w:jc w:val="center"/>
            </w:pPr>
            <w:r w:rsidRPr="00B31116">
              <w:t>21,0%</w:t>
            </w:r>
          </w:p>
        </w:tc>
        <w:tc>
          <w:tcPr>
            <w:tcW w:w="1300" w:type="dxa"/>
            <w:noWrap/>
            <w:hideMark/>
          </w:tcPr>
          <w:p w14:paraId="3ADD6C42" w14:textId="77777777" w:rsidR="00D332E7" w:rsidRPr="00B31116" w:rsidRDefault="00D332E7" w:rsidP="00F76FF5">
            <w:pPr>
              <w:contextualSpacing/>
              <w:jc w:val="center"/>
            </w:pPr>
            <w:r w:rsidRPr="00B31116">
              <w:t>3,00%</w:t>
            </w:r>
          </w:p>
        </w:tc>
        <w:tc>
          <w:tcPr>
            <w:tcW w:w="1200" w:type="dxa"/>
            <w:noWrap/>
            <w:hideMark/>
          </w:tcPr>
          <w:p w14:paraId="5B8EFB8A" w14:textId="77777777" w:rsidR="00D332E7" w:rsidRPr="00B31116" w:rsidRDefault="00D332E7" w:rsidP="00F76FF5">
            <w:pPr>
              <w:contextualSpacing/>
              <w:jc w:val="center"/>
            </w:pPr>
            <w:r w:rsidRPr="00B31116">
              <w:t>4,60%</w:t>
            </w:r>
          </w:p>
        </w:tc>
      </w:tr>
      <w:tr w:rsidR="00D332E7" w:rsidRPr="00B31116" w14:paraId="1BAAB3C9" w14:textId="77777777" w:rsidTr="008971E5">
        <w:trPr>
          <w:trHeight w:val="300"/>
          <w:jc w:val="center"/>
        </w:trPr>
        <w:tc>
          <w:tcPr>
            <w:tcW w:w="1200" w:type="dxa"/>
            <w:noWrap/>
            <w:hideMark/>
          </w:tcPr>
          <w:p w14:paraId="27C88275" w14:textId="77777777" w:rsidR="00D332E7" w:rsidRPr="00B31116" w:rsidRDefault="00D332E7" w:rsidP="00F76FF5">
            <w:pPr>
              <w:contextualSpacing/>
              <w:jc w:val="center"/>
              <w:rPr>
                <w:b/>
              </w:rPr>
            </w:pPr>
            <w:r w:rsidRPr="00B31116">
              <w:rPr>
                <w:b/>
              </w:rPr>
              <w:t>Promedio</w:t>
            </w:r>
          </w:p>
        </w:tc>
        <w:tc>
          <w:tcPr>
            <w:tcW w:w="1420" w:type="dxa"/>
            <w:noWrap/>
            <w:hideMark/>
          </w:tcPr>
          <w:p w14:paraId="52419958" w14:textId="77777777" w:rsidR="00D332E7" w:rsidRPr="00B31116" w:rsidRDefault="00D332E7" w:rsidP="00F76FF5">
            <w:pPr>
              <w:contextualSpacing/>
              <w:jc w:val="center"/>
              <w:rPr>
                <w:b/>
              </w:rPr>
            </w:pPr>
            <w:r w:rsidRPr="00B31116">
              <w:rPr>
                <w:b/>
              </w:rPr>
              <w:t>20,6%</w:t>
            </w:r>
          </w:p>
        </w:tc>
        <w:tc>
          <w:tcPr>
            <w:tcW w:w="1660" w:type="dxa"/>
            <w:noWrap/>
            <w:hideMark/>
          </w:tcPr>
          <w:p w14:paraId="39A4B2D0" w14:textId="77777777" w:rsidR="00D332E7" w:rsidRPr="00B31116" w:rsidRDefault="00D332E7" w:rsidP="00F76FF5">
            <w:pPr>
              <w:contextualSpacing/>
              <w:jc w:val="center"/>
              <w:rPr>
                <w:b/>
              </w:rPr>
            </w:pPr>
            <w:r w:rsidRPr="00B31116">
              <w:rPr>
                <w:b/>
              </w:rPr>
              <w:t>15,8%</w:t>
            </w:r>
          </w:p>
        </w:tc>
        <w:tc>
          <w:tcPr>
            <w:tcW w:w="1300" w:type="dxa"/>
            <w:noWrap/>
            <w:hideMark/>
          </w:tcPr>
          <w:p w14:paraId="7E6CBA56" w14:textId="77777777" w:rsidR="00D332E7" w:rsidRPr="00B31116" w:rsidRDefault="00D332E7" w:rsidP="00F76FF5">
            <w:pPr>
              <w:contextualSpacing/>
              <w:jc w:val="center"/>
              <w:rPr>
                <w:b/>
              </w:rPr>
            </w:pPr>
            <w:r w:rsidRPr="00B31116">
              <w:rPr>
                <w:b/>
              </w:rPr>
              <w:t>2,8%</w:t>
            </w:r>
          </w:p>
        </w:tc>
        <w:tc>
          <w:tcPr>
            <w:tcW w:w="1200" w:type="dxa"/>
            <w:noWrap/>
            <w:hideMark/>
          </w:tcPr>
          <w:p w14:paraId="2C358136" w14:textId="77777777" w:rsidR="00D332E7" w:rsidRPr="00B31116" w:rsidRDefault="00D332E7" w:rsidP="00F76FF5">
            <w:pPr>
              <w:contextualSpacing/>
              <w:jc w:val="center"/>
              <w:rPr>
                <w:b/>
              </w:rPr>
            </w:pPr>
            <w:r w:rsidRPr="00B31116">
              <w:rPr>
                <w:b/>
              </w:rPr>
              <w:t>4,9%</w:t>
            </w:r>
          </w:p>
        </w:tc>
      </w:tr>
    </w:tbl>
    <w:p w14:paraId="7EBFDE36" w14:textId="77777777" w:rsidR="00D332E7" w:rsidRPr="00117C25" w:rsidRDefault="00117C25" w:rsidP="00117C25">
      <w:pPr>
        <w:spacing w:line="240" w:lineRule="auto"/>
        <w:contextualSpacing/>
        <w:rPr>
          <w:sz w:val="20"/>
          <w:szCs w:val="20"/>
        </w:rPr>
      </w:pPr>
      <w:r>
        <w:rPr>
          <w:sz w:val="20"/>
          <w:szCs w:val="20"/>
        </w:rPr>
        <w:t xml:space="preserve">                       </w:t>
      </w:r>
      <w:r w:rsidRPr="00117C25">
        <w:rPr>
          <w:sz w:val="20"/>
          <w:szCs w:val="20"/>
        </w:rPr>
        <w:t>Fuente: Elaboración propia.</w:t>
      </w:r>
    </w:p>
    <w:p w14:paraId="21BCC6AA" w14:textId="77777777" w:rsidR="00F77BB2" w:rsidRPr="007C0F74" w:rsidRDefault="00F77BB2" w:rsidP="00F76FF5">
      <w:pPr>
        <w:spacing w:line="240" w:lineRule="auto"/>
        <w:contextualSpacing/>
        <w:rPr>
          <w:sz w:val="24"/>
          <w:szCs w:val="24"/>
        </w:rPr>
      </w:pPr>
    </w:p>
    <w:p w14:paraId="621E23C6" w14:textId="77777777" w:rsidR="007C0F74" w:rsidRDefault="007C0F74" w:rsidP="00F76FF5">
      <w:pPr>
        <w:spacing w:line="240" w:lineRule="auto"/>
        <w:contextualSpacing/>
        <w:jc w:val="both"/>
        <w:rPr>
          <w:sz w:val="24"/>
          <w:szCs w:val="24"/>
        </w:rPr>
      </w:pPr>
      <w:r w:rsidRPr="007C0F74">
        <w:rPr>
          <w:sz w:val="24"/>
          <w:szCs w:val="24"/>
        </w:rPr>
        <w:t>Como se ha mencionado</w:t>
      </w:r>
      <w:r w:rsidR="00063D14">
        <w:rPr>
          <w:sz w:val="24"/>
          <w:szCs w:val="24"/>
        </w:rPr>
        <w:t>,</w:t>
      </w:r>
      <w:r w:rsidRPr="007C0F74">
        <w:rPr>
          <w:sz w:val="24"/>
          <w:szCs w:val="24"/>
        </w:rPr>
        <w:t xml:space="preserve"> es un hecho que el valor catastral de los predios </w:t>
      </w:r>
      <w:r w:rsidR="001F57D8">
        <w:rPr>
          <w:sz w:val="24"/>
          <w:szCs w:val="24"/>
        </w:rPr>
        <w:t>ha aumenta</w:t>
      </w:r>
      <w:r w:rsidRPr="007C0F74">
        <w:rPr>
          <w:sz w:val="24"/>
          <w:szCs w:val="24"/>
        </w:rPr>
        <w:t>do, reflejando la escasez del suelo que se viene observando en las principales ciudades del país desde hace varios años. Pero también es un hecho irrefutable que el mayor valor del predio de una vivienda no genera ningún ingreso a su propietario-residente. En otras palabras</w:t>
      </w:r>
      <w:r w:rsidR="00063D14">
        <w:rPr>
          <w:sz w:val="24"/>
          <w:szCs w:val="24"/>
        </w:rPr>
        <w:t>,</w:t>
      </w:r>
      <w:r w:rsidRPr="007C0F74">
        <w:rPr>
          <w:sz w:val="24"/>
          <w:szCs w:val="24"/>
        </w:rPr>
        <w:t xml:space="preserve"> los efectos acumulados en el valor del impuesto</w:t>
      </w:r>
      <w:r w:rsidR="001D71E9">
        <w:rPr>
          <w:sz w:val="24"/>
          <w:szCs w:val="24"/>
        </w:rPr>
        <w:t>,</w:t>
      </w:r>
      <w:r w:rsidRPr="007C0F74">
        <w:rPr>
          <w:sz w:val="24"/>
          <w:szCs w:val="24"/>
        </w:rPr>
        <w:t xml:space="preserve"> sin considerar la forma como evoluciona la capacidad de pago de los contribuyentes</w:t>
      </w:r>
      <w:r w:rsidR="001D71E9">
        <w:rPr>
          <w:sz w:val="24"/>
          <w:szCs w:val="24"/>
        </w:rPr>
        <w:t>,</w:t>
      </w:r>
      <w:r w:rsidRPr="007C0F74">
        <w:rPr>
          <w:sz w:val="24"/>
          <w:szCs w:val="24"/>
        </w:rPr>
        <w:t xml:space="preserve"> hace insostenible el diseño y pago actual del impuesto predial en el país, y se convierte en lo que la Corte Constitucional califica como una “carga excesiva”.</w:t>
      </w:r>
    </w:p>
    <w:p w14:paraId="394F4FBA" w14:textId="77777777" w:rsidR="004354F4" w:rsidRPr="007C0F74" w:rsidRDefault="004354F4" w:rsidP="00F76FF5">
      <w:pPr>
        <w:spacing w:line="240" w:lineRule="auto"/>
        <w:contextualSpacing/>
        <w:jc w:val="both"/>
        <w:rPr>
          <w:sz w:val="24"/>
          <w:szCs w:val="24"/>
        </w:rPr>
      </w:pPr>
    </w:p>
    <w:p w14:paraId="32B26285" w14:textId="77777777" w:rsidR="007C0F74" w:rsidRDefault="007C0F74" w:rsidP="00F76FF5">
      <w:pPr>
        <w:spacing w:line="240" w:lineRule="auto"/>
        <w:contextualSpacing/>
        <w:jc w:val="both"/>
        <w:rPr>
          <w:sz w:val="24"/>
          <w:szCs w:val="24"/>
        </w:rPr>
      </w:pPr>
      <w:r w:rsidRPr="007C0F74">
        <w:rPr>
          <w:sz w:val="24"/>
          <w:szCs w:val="24"/>
        </w:rPr>
        <w:t>Los ingresos de los trabajadores están relacionados básicamente con la evolución del salario mínimo que</w:t>
      </w:r>
      <w:r w:rsidR="00063D14">
        <w:rPr>
          <w:sz w:val="24"/>
          <w:szCs w:val="24"/>
        </w:rPr>
        <w:t>,</w:t>
      </w:r>
      <w:r w:rsidRPr="007C0F74">
        <w:rPr>
          <w:sz w:val="24"/>
          <w:szCs w:val="24"/>
        </w:rPr>
        <w:t xml:space="preserve"> como se mencionó</w:t>
      </w:r>
      <w:r w:rsidR="00063D14">
        <w:rPr>
          <w:sz w:val="24"/>
          <w:szCs w:val="24"/>
        </w:rPr>
        <w:t>,</w:t>
      </w:r>
      <w:r w:rsidRPr="007C0F74">
        <w:rPr>
          <w:sz w:val="24"/>
          <w:szCs w:val="24"/>
        </w:rPr>
        <w:t xml:space="preserve"> creció apenas cerca de 2 puntos porcentuales por encima de la inflación. Situación similar aplica</w:t>
      </w:r>
      <w:r w:rsidR="00063D14">
        <w:rPr>
          <w:sz w:val="24"/>
          <w:szCs w:val="24"/>
        </w:rPr>
        <w:t>,</w:t>
      </w:r>
      <w:r w:rsidRPr="007C0F74">
        <w:rPr>
          <w:sz w:val="24"/>
          <w:szCs w:val="24"/>
        </w:rPr>
        <w:t xml:space="preserve"> por ejemplo</w:t>
      </w:r>
      <w:r w:rsidR="00063D14">
        <w:rPr>
          <w:sz w:val="24"/>
          <w:szCs w:val="24"/>
        </w:rPr>
        <w:t>,</w:t>
      </w:r>
      <w:r w:rsidRPr="007C0F74">
        <w:rPr>
          <w:sz w:val="24"/>
          <w:szCs w:val="24"/>
        </w:rPr>
        <w:t xml:space="preserve"> a</w:t>
      </w:r>
      <w:r w:rsidR="00063D14">
        <w:rPr>
          <w:sz w:val="24"/>
          <w:szCs w:val="24"/>
        </w:rPr>
        <w:t xml:space="preserve"> </w:t>
      </w:r>
      <w:r w:rsidRPr="007C0F74">
        <w:rPr>
          <w:sz w:val="24"/>
          <w:szCs w:val="24"/>
        </w:rPr>
        <w:t>l</w:t>
      </w:r>
      <w:r w:rsidR="00063D14">
        <w:rPr>
          <w:sz w:val="24"/>
          <w:szCs w:val="24"/>
        </w:rPr>
        <w:t>os trabajadores  industriales</w:t>
      </w:r>
      <w:r w:rsidRPr="007C0F74">
        <w:rPr>
          <w:sz w:val="24"/>
          <w:szCs w:val="24"/>
        </w:rPr>
        <w:t xml:space="preserve"> que en el período </w:t>
      </w:r>
      <w:r w:rsidR="0051738E">
        <w:rPr>
          <w:sz w:val="24"/>
          <w:szCs w:val="24"/>
        </w:rPr>
        <w:t xml:space="preserve">de los años </w:t>
      </w:r>
      <w:r w:rsidR="00063D14">
        <w:rPr>
          <w:sz w:val="24"/>
          <w:szCs w:val="24"/>
        </w:rPr>
        <w:t>1998 a 2014,</w:t>
      </w:r>
      <w:r w:rsidRPr="007C0F74">
        <w:rPr>
          <w:sz w:val="24"/>
          <w:szCs w:val="24"/>
        </w:rPr>
        <w:t xml:space="preserve"> apenas vieron crecer sus salarios el 1,3% promedio real. En el caso de los pensionados</w:t>
      </w:r>
      <w:r w:rsidR="00063D14">
        <w:rPr>
          <w:sz w:val="24"/>
          <w:szCs w:val="24"/>
        </w:rPr>
        <w:t>,</w:t>
      </w:r>
      <w:r w:rsidRPr="007C0F74">
        <w:rPr>
          <w:sz w:val="24"/>
          <w:szCs w:val="24"/>
        </w:rPr>
        <w:t xml:space="preserve"> con mesadas superiores al salario mínimo, el reajuste anual que les corresponde es solamente el del </w:t>
      </w:r>
      <w:r w:rsidR="0051738E">
        <w:rPr>
          <w:sz w:val="24"/>
          <w:szCs w:val="24"/>
        </w:rPr>
        <w:t>IPC</w:t>
      </w:r>
      <w:r w:rsidRPr="007C0F74">
        <w:rPr>
          <w:sz w:val="24"/>
          <w:szCs w:val="24"/>
        </w:rPr>
        <w:t>.</w:t>
      </w:r>
    </w:p>
    <w:p w14:paraId="007A5AE4" w14:textId="77777777" w:rsidR="004354F4" w:rsidRPr="007C0F74" w:rsidRDefault="004354F4" w:rsidP="00F76FF5">
      <w:pPr>
        <w:spacing w:line="240" w:lineRule="auto"/>
        <w:contextualSpacing/>
        <w:jc w:val="both"/>
        <w:rPr>
          <w:sz w:val="24"/>
          <w:szCs w:val="24"/>
        </w:rPr>
      </w:pPr>
    </w:p>
    <w:p w14:paraId="70FD96BF" w14:textId="77777777" w:rsidR="00F76FF5" w:rsidRDefault="007C0F74" w:rsidP="00F76FF5">
      <w:pPr>
        <w:spacing w:line="240" w:lineRule="auto"/>
        <w:contextualSpacing/>
        <w:jc w:val="both"/>
        <w:rPr>
          <w:sz w:val="24"/>
          <w:szCs w:val="24"/>
        </w:rPr>
      </w:pPr>
      <w:r w:rsidRPr="007C0F74">
        <w:rPr>
          <w:sz w:val="24"/>
          <w:szCs w:val="24"/>
        </w:rPr>
        <w:t>Para ilustrar la forma como el incremento del impuesto viene afectando a los contribuyentes, considérese como ejemplo el caso del propietario de un predio que estaba avaluado en $100 millones en</w:t>
      </w:r>
      <w:r w:rsidR="0051738E">
        <w:rPr>
          <w:sz w:val="24"/>
          <w:szCs w:val="24"/>
        </w:rPr>
        <w:t xml:space="preserve"> el año</w:t>
      </w:r>
      <w:r w:rsidRPr="007C0F74">
        <w:rPr>
          <w:sz w:val="24"/>
          <w:szCs w:val="24"/>
        </w:rPr>
        <w:t xml:space="preserve"> 2008. En este caso</w:t>
      </w:r>
      <w:r w:rsidR="0017227B">
        <w:rPr>
          <w:sz w:val="24"/>
          <w:szCs w:val="24"/>
        </w:rPr>
        <w:t>,</w:t>
      </w:r>
      <w:r w:rsidRPr="007C0F74">
        <w:rPr>
          <w:sz w:val="24"/>
          <w:szCs w:val="24"/>
        </w:rPr>
        <w:t xml:space="preserve"> el propietario habría pagado por impuesto predial $600 mil pesos en ese año, monto que era equivalente a 1.3 salarios mínimos de esa época. Asumiendo</w:t>
      </w:r>
      <w:r w:rsidR="0017227B">
        <w:rPr>
          <w:sz w:val="24"/>
          <w:szCs w:val="24"/>
        </w:rPr>
        <w:t xml:space="preserve"> que ese predio se valorizó tal como la  suma</w:t>
      </w:r>
      <w:r w:rsidRPr="007C0F74">
        <w:rPr>
          <w:sz w:val="24"/>
          <w:szCs w:val="24"/>
        </w:rPr>
        <w:t xml:space="preserve"> ag</w:t>
      </w:r>
      <w:r w:rsidR="0017227B">
        <w:rPr>
          <w:sz w:val="24"/>
          <w:szCs w:val="24"/>
        </w:rPr>
        <w:t>regada</w:t>
      </w:r>
      <w:r w:rsidRPr="007C0F74">
        <w:rPr>
          <w:sz w:val="24"/>
          <w:szCs w:val="24"/>
        </w:rPr>
        <w:t xml:space="preserve"> de los avalúos catastrales, para </w:t>
      </w:r>
      <w:r w:rsidR="0017227B">
        <w:rPr>
          <w:sz w:val="24"/>
          <w:szCs w:val="24"/>
        </w:rPr>
        <w:t xml:space="preserve">el año </w:t>
      </w:r>
      <w:r w:rsidRPr="007C0F74">
        <w:rPr>
          <w:sz w:val="24"/>
          <w:szCs w:val="24"/>
        </w:rPr>
        <w:t>2015 el propietario de ese mismo predio debe pagar de impuesto $2 millones 214 mil pesos, monto equivalente a 3.4 salarios mínimos de hoy en día.</w:t>
      </w:r>
      <w:r w:rsidR="0051738E">
        <w:rPr>
          <w:sz w:val="24"/>
          <w:szCs w:val="24"/>
        </w:rPr>
        <w:t xml:space="preserve"> </w:t>
      </w:r>
      <w:r w:rsidRPr="007C0F74">
        <w:rPr>
          <w:sz w:val="24"/>
          <w:szCs w:val="24"/>
        </w:rPr>
        <w:t>En otras palabras</w:t>
      </w:r>
      <w:r w:rsidR="0017227B">
        <w:rPr>
          <w:sz w:val="24"/>
          <w:szCs w:val="24"/>
        </w:rPr>
        <w:t>,</w:t>
      </w:r>
      <w:r w:rsidRPr="007C0F74">
        <w:rPr>
          <w:sz w:val="24"/>
          <w:szCs w:val="24"/>
        </w:rPr>
        <w:t xml:space="preserve"> en el caso de una familia de clase media con un ingreso de 4 salarios mínimos al mes, en </w:t>
      </w:r>
      <w:r w:rsidR="0017227B">
        <w:rPr>
          <w:sz w:val="24"/>
          <w:szCs w:val="24"/>
        </w:rPr>
        <w:t xml:space="preserve">el año </w:t>
      </w:r>
      <w:r w:rsidRPr="007C0F74">
        <w:rPr>
          <w:sz w:val="24"/>
          <w:szCs w:val="24"/>
        </w:rPr>
        <w:t xml:space="preserve">2008 debía destinar 10 días de su trabajo para generar los ingresos que le permitirían pagar el </w:t>
      </w:r>
      <w:r w:rsidRPr="007C0F74">
        <w:rPr>
          <w:sz w:val="24"/>
          <w:szCs w:val="24"/>
        </w:rPr>
        <w:lastRenderedPageBreak/>
        <w:t>predial, mientras que ahora (2015) esa familia debe trabajar 26 días para pagar el impuesto de su misma vivienda.</w:t>
      </w:r>
    </w:p>
    <w:p w14:paraId="4B8D06E3" w14:textId="77777777" w:rsidR="00F76FF5" w:rsidRDefault="00F76FF5" w:rsidP="00F76FF5">
      <w:pPr>
        <w:spacing w:line="240" w:lineRule="auto"/>
        <w:contextualSpacing/>
        <w:jc w:val="both"/>
        <w:rPr>
          <w:sz w:val="24"/>
          <w:szCs w:val="24"/>
        </w:rPr>
      </w:pPr>
    </w:p>
    <w:p w14:paraId="7C4E0E40" w14:textId="77777777" w:rsidR="00F76FF5" w:rsidRPr="00AC290E" w:rsidRDefault="00F76FF5" w:rsidP="00F76FF5">
      <w:pPr>
        <w:pStyle w:val="Prrafodelista"/>
        <w:numPr>
          <w:ilvl w:val="1"/>
          <w:numId w:val="19"/>
        </w:numPr>
        <w:spacing w:line="240" w:lineRule="auto"/>
        <w:jc w:val="both"/>
        <w:rPr>
          <w:b/>
          <w:sz w:val="24"/>
          <w:szCs w:val="24"/>
        </w:rPr>
      </w:pPr>
      <w:r w:rsidRPr="00AC290E">
        <w:rPr>
          <w:b/>
          <w:sz w:val="24"/>
          <w:szCs w:val="24"/>
        </w:rPr>
        <w:t>Los efectos de los mayores avalúos sobre el impuesto a la riqueza</w:t>
      </w:r>
    </w:p>
    <w:p w14:paraId="59859AA5" w14:textId="77777777" w:rsidR="00F76FF5" w:rsidRDefault="00F76FF5" w:rsidP="00F76FF5">
      <w:pPr>
        <w:spacing w:line="240" w:lineRule="auto"/>
        <w:contextualSpacing/>
        <w:jc w:val="both"/>
        <w:rPr>
          <w:sz w:val="24"/>
          <w:szCs w:val="24"/>
        </w:rPr>
      </w:pPr>
      <w:r w:rsidRPr="00F76FF5">
        <w:rPr>
          <w:sz w:val="24"/>
          <w:szCs w:val="24"/>
        </w:rPr>
        <w:t xml:space="preserve">Una razón adicional para que actúe el Legislador es por la necesidad de proteger a los contribuyentes por el doble impacto que está generando el aumento en los avalúos catastrales. Esto porque además del mencionado efecto sobre el impuesto predial, se tiene que el mayor avalúo catastral supondrá que muchos ciudadanos serán sujetos </w:t>
      </w:r>
      <w:r w:rsidR="00117C25">
        <w:rPr>
          <w:sz w:val="24"/>
          <w:szCs w:val="24"/>
        </w:rPr>
        <w:t>pasivos de</w:t>
      </w:r>
      <w:r w:rsidRPr="00F76FF5">
        <w:rPr>
          <w:sz w:val="24"/>
          <w:szCs w:val="24"/>
        </w:rPr>
        <w:t>l nuevo Impuesto a la Riqueza</w:t>
      </w:r>
      <w:r w:rsidR="00117C25">
        <w:rPr>
          <w:sz w:val="24"/>
          <w:szCs w:val="24"/>
        </w:rPr>
        <w:t>,</w:t>
      </w:r>
      <w:r w:rsidRPr="00F76FF5">
        <w:rPr>
          <w:sz w:val="24"/>
          <w:szCs w:val="24"/>
        </w:rPr>
        <w:t xml:space="preserve"> decretado mediante la Ley 1439 de 2014. No debe olvidarse que esa Reforma Tributaria determina que los contribuyentes con patrimonios netos mayores a $1.000 millones son sujetos pasivos del impuesto, y que solamente podrán deducir el equivalente a 12.200 UVT (monto equivalente a cerca de $345 millones) por su vivienda de habitación. </w:t>
      </w:r>
    </w:p>
    <w:p w14:paraId="758A8D45" w14:textId="77777777" w:rsidR="00F76FF5" w:rsidRPr="00F76FF5" w:rsidRDefault="00F76FF5" w:rsidP="00F76FF5">
      <w:pPr>
        <w:spacing w:line="240" w:lineRule="auto"/>
        <w:contextualSpacing/>
        <w:jc w:val="both"/>
        <w:rPr>
          <w:sz w:val="24"/>
          <w:szCs w:val="24"/>
        </w:rPr>
      </w:pPr>
    </w:p>
    <w:p w14:paraId="5F5A8E65" w14:textId="77777777" w:rsidR="00F76FF5" w:rsidRPr="00F76FF5" w:rsidRDefault="00F76FF5" w:rsidP="00F76FF5">
      <w:pPr>
        <w:spacing w:line="240" w:lineRule="auto"/>
        <w:contextualSpacing/>
        <w:jc w:val="both"/>
        <w:rPr>
          <w:sz w:val="24"/>
          <w:szCs w:val="24"/>
        </w:rPr>
      </w:pPr>
      <w:r w:rsidRPr="00F76FF5">
        <w:rPr>
          <w:sz w:val="24"/>
          <w:szCs w:val="24"/>
        </w:rPr>
        <w:t xml:space="preserve">En la medida en que los valores catastrales aumentan, estaremos ante el escenario que muchos colombianos pagarán el Impuesto a la Riqueza solamente por efecto de los mayores </w:t>
      </w:r>
      <w:r w:rsidR="00117C25">
        <w:rPr>
          <w:sz w:val="24"/>
          <w:szCs w:val="24"/>
        </w:rPr>
        <w:t xml:space="preserve">valores </w:t>
      </w:r>
      <w:r w:rsidRPr="00F76FF5">
        <w:rPr>
          <w:sz w:val="24"/>
          <w:szCs w:val="24"/>
        </w:rPr>
        <w:t xml:space="preserve">catastrales, de tal manera que se genera un doble impuesto por la misma causa. </w:t>
      </w:r>
      <w:r w:rsidR="00590028">
        <w:rPr>
          <w:sz w:val="24"/>
          <w:szCs w:val="24"/>
          <w:lang w:val="es-ES"/>
        </w:rPr>
        <w:t xml:space="preserve"> </w:t>
      </w:r>
      <w:r w:rsidRPr="00F76FF5">
        <w:rPr>
          <w:sz w:val="24"/>
          <w:szCs w:val="24"/>
        </w:rPr>
        <w:t>Lo anterior resalta la importancia de que el Legislador actúe para moderar esos efectos hacia los contribuyentes.</w:t>
      </w:r>
    </w:p>
    <w:p w14:paraId="30159C1F" w14:textId="77777777" w:rsidR="004354F4" w:rsidRPr="007C0F74" w:rsidRDefault="004354F4" w:rsidP="00F76FF5">
      <w:pPr>
        <w:spacing w:line="240" w:lineRule="auto"/>
        <w:contextualSpacing/>
        <w:jc w:val="both"/>
        <w:rPr>
          <w:sz w:val="24"/>
          <w:szCs w:val="24"/>
        </w:rPr>
      </w:pPr>
    </w:p>
    <w:p w14:paraId="48132C86" w14:textId="77777777" w:rsidR="00F76FF5" w:rsidRPr="00F76FF5" w:rsidRDefault="007C0F74" w:rsidP="00F76FF5">
      <w:pPr>
        <w:pStyle w:val="Prrafodelista"/>
        <w:numPr>
          <w:ilvl w:val="0"/>
          <w:numId w:val="18"/>
        </w:numPr>
        <w:spacing w:line="240" w:lineRule="auto"/>
        <w:jc w:val="both"/>
        <w:rPr>
          <w:b/>
          <w:bCs/>
          <w:caps/>
          <w:sz w:val="24"/>
          <w:szCs w:val="24"/>
        </w:rPr>
      </w:pPr>
      <w:r w:rsidRPr="004354F4">
        <w:rPr>
          <w:b/>
          <w:bCs/>
          <w:caps/>
          <w:sz w:val="24"/>
          <w:szCs w:val="24"/>
        </w:rPr>
        <w:t>Explicación del Articulado del Proyecto</w:t>
      </w:r>
      <w:r w:rsidR="005D3AC4">
        <w:rPr>
          <w:b/>
          <w:bCs/>
          <w:caps/>
          <w:sz w:val="24"/>
          <w:szCs w:val="24"/>
        </w:rPr>
        <w:t xml:space="preserve"> de ley</w:t>
      </w:r>
    </w:p>
    <w:p w14:paraId="229FF3A9" w14:textId="77777777" w:rsidR="00F76FF5" w:rsidRPr="00F76FF5" w:rsidRDefault="00F76FF5" w:rsidP="00F76FF5">
      <w:pPr>
        <w:spacing w:line="240" w:lineRule="auto"/>
        <w:contextualSpacing/>
        <w:jc w:val="both"/>
        <w:rPr>
          <w:sz w:val="24"/>
          <w:szCs w:val="24"/>
        </w:rPr>
      </w:pPr>
      <w:r w:rsidRPr="00AC290E">
        <w:rPr>
          <w:sz w:val="24"/>
          <w:szCs w:val="24"/>
        </w:rPr>
        <w:t>Ante el creciente malestar e indignación de los contribuyentes, se han empezado a ventilar diferentes propuestas para moderar el efecto de las alzas en el impuesto predial. Se ha propuesto, por ejemplo, ampliar los plazos y otorgar condiciones de financiación para facilitar el pago. Esta opción, que se encuentra en manos de las autoridades locales porque ellas tienen la potestad de modificar los calendarios de pago, no obstante, no resuelve la problemática de fondo. Esto, porque como se ha anotado, se ha generado un desfase enorme entre el aumento del impuesto predial y el aumento del ingreso de los contribuyentes. Ampliar los plazos de pago u otorgar una financiación a los contribuyentes supone un paliativo temporal que no enfrenta ni resuelve la mencionada problemática.</w:t>
      </w:r>
      <w:r w:rsidRPr="00F76FF5">
        <w:rPr>
          <w:sz w:val="24"/>
          <w:szCs w:val="24"/>
        </w:rPr>
        <w:t xml:space="preserve"> </w:t>
      </w:r>
    </w:p>
    <w:p w14:paraId="6D537235" w14:textId="77777777" w:rsidR="00F76FF5" w:rsidRDefault="00F76FF5" w:rsidP="00F76FF5">
      <w:pPr>
        <w:spacing w:line="240" w:lineRule="auto"/>
        <w:contextualSpacing/>
        <w:jc w:val="both"/>
        <w:rPr>
          <w:sz w:val="24"/>
          <w:szCs w:val="24"/>
        </w:rPr>
      </w:pPr>
    </w:p>
    <w:p w14:paraId="355156F6" w14:textId="77777777" w:rsidR="007C0F74" w:rsidRDefault="007C0F74" w:rsidP="00F76FF5">
      <w:pPr>
        <w:spacing w:line="240" w:lineRule="auto"/>
        <w:contextualSpacing/>
        <w:jc w:val="both"/>
        <w:rPr>
          <w:sz w:val="24"/>
          <w:szCs w:val="24"/>
        </w:rPr>
      </w:pPr>
      <w:r w:rsidRPr="007C0F74">
        <w:rPr>
          <w:sz w:val="24"/>
          <w:szCs w:val="24"/>
        </w:rPr>
        <w:t>Con base en los elementos discutidos anteriormente, se hace evidente que el legislador debe entrar a proteger a los contribuyentes propietarios de los predios residenciales</w:t>
      </w:r>
      <w:r w:rsidR="003B1C96">
        <w:rPr>
          <w:sz w:val="24"/>
          <w:szCs w:val="24"/>
        </w:rPr>
        <w:t xml:space="preserve"> </w:t>
      </w:r>
      <w:r w:rsidR="003B1C96" w:rsidRPr="003B1C96">
        <w:rPr>
          <w:sz w:val="24"/>
          <w:szCs w:val="24"/>
        </w:rPr>
        <w:t>y comerciales, estos últimos en aras de profundizar el principio de equidad tributaria que rige la materia en el país</w:t>
      </w:r>
      <w:r w:rsidRPr="007C0F74">
        <w:rPr>
          <w:sz w:val="24"/>
          <w:szCs w:val="24"/>
        </w:rPr>
        <w:t>. Esto considerando que los valore</w:t>
      </w:r>
      <w:r w:rsidR="0017227B">
        <w:rPr>
          <w:sz w:val="24"/>
          <w:szCs w:val="24"/>
        </w:rPr>
        <w:t>s del IPU,</w:t>
      </w:r>
      <w:r w:rsidRPr="007C0F74">
        <w:rPr>
          <w:sz w:val="24"/>
          <w:szCs w:val="24"/>
        </w:rPr>
        <w:t xml:space="preserve"> en varias ciudades del país</w:t>
      </w:r>
      <w:r w:rsidR="00117C25">
        <w:rPr>
          <w:sz w:val="24"/>
          <w:szCs w:val="24"/>
        </w:rPr>
        <w:t>, excede</w:t>
      </w:r>
      <w:r w:rsidRPr="007C0F74">
        <w:rPr>
          <w:sz w:val="24"/>
          <w:szCs w:val="24"/>
        </w:rPr>
        <w:t xml:space="preserve"> la capacidad de pago de los contribuyentes y se ha convertido en una “carga excesiva”.</w:t>
      </w:r>
    </w:p>
    <w:p w14:paraId="0C81F104" w14:textId="77777777" w:rsidR="004354F4" w:rsidRPr="007C0F74" w:rsidRDefault="004354F4" w:rsidP="00F76FF5">
      <w:pPr>
        <w:spacing w:line="240" w:lineRule="auto"/>
        <w:contextualSpacing/>
        <w:jc w:val="both"/>
        <w:rPr>
          <w:sz w:val="24"/>
          <w:szCs w:val="24"/>
        </w:rPr>
      </w:pPr>
    </w:p>
    <w:p w14:paraId="7007CB2A" w14:textId="77777777" w:rsidR="007C0F74" w:rsidRDefault="007C0F74" w:rsidP="00F76FF5">
      <w:pPr>
        <w:spacing w:line="240" w:lineRule="auto"/>
        <w:contextualSpacing/>
        <w:jc w:val="both"/>
        <w:rPr>
          <w:sz w:val="24"/>
          <w:szCs w:val="24"/>
        </w:rPr>
      </w:pPr>
      <w:r w:rsidRPr="007C0F74">
        <w:rPr>
          <w:sz w:val="24"/>
          <w:szCs w:val="24"/>
        </w:rPr>
        <w:lastRenderedPageBreak/>
        <w:t>Las proyecciones demográficas del DANE muestran que la población de las áreas urbanas de los municipios del país crecerá a tasas más altas que las de las áreas rurales. Este hecho seguirá presionando la demanda de suelo urbano para distintos usos y</w:t>
      </w:r>
      <w:r w:rsidR="0017227B">
        <w:rPr>
          <w:sz w:val="24"/>
          <w:szCs w:val="24"/>
        </w:rPr>
        <w:t>, por</w:t>
      </w:r>
      <w:r w:rsidRPr="007C0F74">
        <w:rPr>
          <w:sz w:val="24"/>
          <w:szCs w:val="24"/>
        </w:rPr>
        <w:t xml:space="preserve"> tanto</w:t>
      </w:r>
      <w:r w:rsidR="0017227B">
        <w:rPr>
          <w:sz w:val="24"/>
          <w:szCs w:val="24"/>
        </w:rPr>
        <w:t>,</w:t>
      </w:r>
      <w:r w:rsidRPr="007C0F74">
        <w:rPr>
          <w:sz w:val="24"/>
          <w:szCs w:val="24"/>
        </w:rPr>
        <w:t xml:space="preserve"> la tendencia del valor de los predios seguramente seguirá al alza.</w:t>
      </w:r>
      <w:r w:rsidR="0017227B">
        <w:rPr>
          <w:sz w:val="24"/>
          <w:szCs w:val="24"/>
        </w:rPr>
        <w:t xml:space="preserve"> </w:t>
      </w:r>
      <w:r w:rsidRPr="007C0F74">
        <w:rPr>
          <w:sz w:val="24"/>
          <w:szCs w:val="24"/>
        </w:rPr>
        <w:t>De no adaptarse ninguna acción por parte del legislador, en</w:t>
      </w:r>
      <w:r w:rsidR="003B1C96">
        <w:rPr>
          <w:sz w:val="24"/>
          <w:szCs w:val="24"/>
        </w:rPr>
        <w:t xml:space="preserve"> el año</w:t>
      </w:r>
      <w:r w:rsidRPr="007C0F74">
        <w:rPr>
          <w:sz w:val="24"/>
          <w:szCs w:val="24"/>
        </w:rPr>
        <w:t xml:space="preserve"> 2016 la situación podría llegar a ser explosiva</w:t>
      </w:r>
      <w:r w:rsidR="0017227B">
        <w:rPr>
          <w:sz w:val="24"/>
          <w:szCs w:val="24"/>
        </w:rPr>
        <w:t>,</w:t>
      </w:r>
      <w:r w:rsidRPr="007C0F74">
        <w:rPr>
          <w:sz w:val="24"/>
          <w:szCs w:val="24"/>
        </w:rPr>
        <w:t xml:space="preserve"> en particular</w:t>
      </w:r>
      <w:r w:rsidR="0017227B">
        <w:rPr>
          <w:sz w:val="24"/>
          <w:szCs w:val="24"/>
        </w:rPr>
        <w:t>,</w:t>
      </w:r>
      <w:r w:rsidRPr="007C0F74">
        <w:rPr>
          <w:sz w:val="24"/>
          <w:szCs w:val="24"/>
        </w:rPr>
        <w:t xml:space="preserve"> en ciudades como Bogotá en donde la relación entre el avalúo catastral y los valores comerciales de los predios ha venido aumentando en los últimos años.</w:t>
      </w:r>
    </w:p>
    <w:p w14:paraId="760A0A9B" w14:textId="77777777" w:rsidR="004354F4" w:rsidRPr="007C0F74" w:rsidRDefault="004354F4" w:rsidP="00F76FF5">
      <w:pPr>
        <w:spacing w:line="240" w:lineRule="auto"/>
        <w:contextualSpacing/>
        <w:jc w:val="both"/>
        <w:rPr>
          <w:sz w:val="24"/>
          <w:szCs w:val="24"/>
        </w:rPr>
      </w:pPr>
    </w:p>
    <w:p w14:paraId="7A45E25A" w14:textId="77777777" w:rsidR="007C0F74" w:rsidRDefault="005D3AC4" w:rsidP="00F76FF5">
      <w:pPr>
        <w:spacing w:line="240" w:lineRule="auto"/>
        <w:contextualSpacing/>
        <w:jc w:val="both"/>
        <w:rPr>
          <w:sz w:val="24"/>
          <w:szCs w:val="24"/>
        </w:rPr>
      </w:pPr>
      <w:r>
        <w:rPr>
          <w:sz w:val="24"/>
          <w:szCs w:val="24"/>
        </w:rPr>
        <w:t>Este proyecto de l</w:t>
      </w:r>
      <w:r w:rsidR="007C0F74" w:rsidRPr="007C0F74">
        <w:rPr>
          <w:sz w:val="24"/>
          <w:szCs w:val="24"/>
        </w:rPr>
        <w:t xml:space="preserve">ey propone una formula sencilla para conciliar los entendibles intereses fiscales de los municipios con los de los contribuyentes. A fin de retomar el precepto jurisprudencial de la capacidad de pago como elemento de equidad de los tributos, se propone que el aumento del valor del impuesto para predios residenciales </w:t>
      </w:r>
      <w:r w:rsidR="00CA08C8">
        <w:rPr>
          <w:sz w:val="24"/>
          <w:szCs w:val="24"/>
        </w:rPr>
        <w:t>y comerciales, en cada vigencia,</w:t>
      </w:r>
      <w:r w:rsidR="007C0F74" w:rsidRPr="007C0F74">
        <w:rPr>
          <w:sz w:val="24"/>
          <w:szCs w:val="24"/>
        </w:rPr>
        <w:t xml:space="preserve"> no supere en dos veces </w:t>
      </w:r>
      <w:r>
        <w:rPr>
          <w:sz w:val="24"/>
          <w:szCs w:val="24"/>
        </w:rPr>
        <w:t>el incremento decretado por el Gobierno N</w:t>
      </w:r>
      <w:r w:rsidR="007C0F74" w:rsidRPr="007C0F74">
        <w:rPr>
          <w:sz w:val="24"/>
          <w:szCs w:val="24"/>
        </w:rPr>
        <w:t xml:space="preserve">acional para el salario mínimo. De existir la norma, en </w:t>
      </w:r>
      <w:r w:rsidR="003B1C96">
        <w:rPr>
          <w:sz w:val="24"/>
          <w:szCs w:val="24"/>
        </w:rPr>
        <w:t xml:space="preserve">el año </w:t>
      </w:r>
      <w:r w:rsidR="007C0F74" w:rsidRPr="007C0F74">
        <w:rPr>
          <w:sz w:val="24"/>
          <w:szCs w:val="24"/>
        </w:rPr>
        <w:t xml:space="preserve">2015, por ejemplo, el incremento máximo del impuesto predial en Bogotá habría sido del 9,2% (2 veces el aumento del salario mínimo que </w:t>
      </w:r>
      <w:r>
        <w:rPr>
          <w:sz w:val="24"/>
          <w:szCs w:val="24"/>
        </w:rPr>
        <w:t xml:space="preserve">a </w:t>
      </w:r>
      <w:r w:rsidR="007C0F74" w:rsidRPr="007C0F74">
        <w:rPr>
          <w:sz w:val="24"/>
          <w:szCs w:val="24"/>
        </w:rPr>
        <w:t>su vez se incrementó en 4,6%) en lugar de los aumentos del 30% o 40% que han debido asumir propietarios en barrios de clase media como Normandía o Cedritos.</w:t>
      </w:r>
    </w:p>
    <w:p w14:paraId="6609953F" w14:textId="77777777" w:rsidR="004354F4" w:rsidRPr="007C0F74" w:rsidRDefault="004354F4" w:rsidP="00F76FF5">
      <w:pPr>
        <w:spacing w:line="240" w:lineRule="auto"/>
        <w:contextualSpacing/>
        <w:jc w:val="both"/>
        <w:rPr>
          <w:sz w:val="24"/>
          <w:szCs w:val="24"/>
        </w:rPr>
      </w:pPr>
    </w:p>
    <w:p w14:paraId="6892DF63" w14:textId="0D00C12C" w:rsidR="00EF0F65" w:rsidRPr="00C44CEE" w:rsidRDefault="007C0F74" w:rsidP="00EF0F65">
      <w:pPr>
        <w:spacing w:line="240" w:lineRule="auto"/>
        <w:contextualSpacing/>
        <w:jc w:val="both"/>
        <w:rPr>
          <w:b/>
          <w:sz w:val="24"/>
          <w:szCs w:val="24"/>
          <w:lang w:val="es-ES"/>
        </w:rPr>
      </w:pPr>
      <w:r w:rsidRPr="007C0F74">
        <w:rPr>
          <w:sz w:val="24"/>
          <w:szCs w:val="24"/>
        </w:rPr>
        <w:t>Esta limitación solamente operaría para predios residenciales en los casos en que los avalúos catastrales sean superiores al 70% del</w:t>
      </w:r>
      <w:r w:rsidR="00624832">
        <w:rPr>
          <w:sz w:val="24"/>
          <w:szCs w:val="24"/>
        </w:rPr>
        <w:t xml:space="preserve"> valor comercial de los predios </w:t>
      </w:r>
      <w:r w:rsidR="00624832" w:rsidRPr="00624832">
        <w:rPr>
          <w:sz w:val="24"/>
          <w:szCs w:val="24"/>
        </w:rPr>
        <w:t xml:space="preserve">y para los </w:t>
      </w:r>
      <w:r w:rsidR="0017227B">
        <w:rPr>
          <w:sz w:val="24"/>
          <w:szCs w:val="24"/>
        </w:rPr>
        <w:t xml:space="preserve">predios </w:t>
      </w:r>
      <w:r w:rsidR="00624832" w:rsidRPr="00624832">
        <w:rPr>
          <w:sz w:val="24"/>
          <w:szCs w:val="24"/>
        </w:rPr>
        <w:t xml:space="preserve">comerciales en los casos que los avalúos comerciales sean </w:t>
      </w:r>
      <w:r w:rsidR="005D3AC4">
        <w:rPr>
          <w:sz w:val="24"/>
          <w:szCs w:val="24"/>
        </w:rPr>
        <w:t xml:space="preserve">superiores en un </w:t>
      </w:r>
      <w:r w:rsidR="00D24F32">
        <w:rPr>
          <w:sz w:val="24"/>
          <w:szCs w:val="24"/>
        </w:rPr>
        <w:t>80</w:t>
      </w:r>
      <w:r w:rsidR="0017227B">
        <w:rPr>
          <w:sz w:val="24"/>
          <w:szCs w:val="24"/>
        </w:rPr>
        <w:t xml:space="preserve">% de su valor comercial. </w:t>
      </w:r>
      <w:r w:rsidRPr="007C0F74">
        <w:rPr>
          <w:sz w:val="24"/>
          <w:szCs w:val="24"/>
        </w:rPr>
        <w:t>Esta propuesta está en consonancia con otras leyes que han fijado límit</w:t>
      </w:r>
      <w:r w:rsidR="00117C25">
        <w:rPr>
          <w:sz w:val="24"/>
          <w:szCs w:val="24"/>
        </w:rPr>
        <w:t>es al valor del IPU</w:t>
      </w:r>
      <w:r w:rsidRPr="007C0F74">
        <w:rPr>
          <w:sz w:val="24"/>
          <w:szCs w:val="24"/>
        </w:rPr>
        <w:t>, como por</w:t>
      </w:r>
      <w:r w:rsidR="00624832">
        <w:rPr>
          <w:sz w:val="24"/>
          <w:szCs w:val="24"/>
        </w:rPr>
        <w:t xml:space="preserve"> ejemplo la Ley 1450 de 2011 (a</w:t>
      </w:r>
      <w:r w:rsidR="0017227B">
        <w:rPr>
          <w:sz w:val="24"/>
          <w:szCs w:val="24"/>
        </w:rPr>
        <w:t>rtículo 23</w:t>
      </w:r>
      <w:r w:rsidRPr="007C0F74">
        <w:rPr>
          <w:sz w:val="24"/>
          <w:szCs w:val="24"/>
        </w:rPr>
        <w:t>) la cual establece que cuando hay aumentos en las tarifas del predial</w:t>
      </w:r>
      <w:r w:rsidR="0017227B">
        <w:rPr>
          <w:sz w:val="24"/>
          <w:szCs w:val="24"/>
        </w:rPr>
        <w:t>,</w:t>
      </w:r>
      <w:r w:rsidRPr="007C0F74">
        <w:rPr>
          <w:sz w:val="24"/>
          <w:szCs w:val="24"/>
        </w:rPr>
        <w:t xml:space="preserve"> el cobro no puede exceder el 25% del monto liquidado el año inmediatamente anterior por ese mismo concepto.</w:t>
      </w:r>
      <w:r w:rsidR="00EF0F65" w:rsidRPr="00EF0F65">
        <w:rPr>
          <w:b/>
          <w:sz w:val="24"/>
          <w:szCs w:val="24"/>
        </w:rPr>
        <w:t xml:space="preserve"> </w:t>
      </w:r>
      <w:r w:rsidR="001A7FA9">
        <w:rPr>
          <w:b/>
          <w:sz w:val="24"/>
          <w:szCs w:val="24"/>
          <w:lang w:val="es-ES"/>
        </w:rPr>
        <w:t xml:space="preserve"> </w:t>
      </w:r>
      <w:r w:rsidR="007C0E92" w:rsidRPr="00621F7E">
        <w:rPr>
          <w:sz w:val="24"/>
          <w:szCs w:val="24"/>
          <w:lang w:val="es-ES"/>
        </w:rPr>
        <w:t>Sobre este particular vale la p</w:t>
      </w:r>
      <w:r w:rsidR="001A7FA9" w:rsidRPr="00621F7E">
        <w:rPr>
          <w:sz w:val="24"/>
          <w:szCs w:val="24"/>
          <w:lang w:val="es-ES"/>
        </w:rPr>
        <w:t xml:space="preserve">ena mencionar que </w:t>
      </w:r>
      <w:r w:rsidR="007C0E92" w:rsidRPr="00621F7E">
        <w:rPr>
          <w:sz w:val="24"/>
          <w:szCs w:val="24"/>
          <w:lang w:val="es-ES"/>
        </w:rPr>
        <w:t>que pue</w:t>
      </w:r>
      <w:r w:rsidR="00D262A1" w:rsidRPr="00621F7E">
        <w:rPr>
          <w:sz w:val="24"/>
          <w:szCs w:val="24"/>
          <w:lang w:val="es-ES"/>
        </w:rPr>
        <w:t xml:space="preserve">de </w:t>
      </w:r>
      <w:r w:rsidR="001A7FA9" w:rsidRPr="00621F7E">
        <w:rPr>
          <w:sz w:val="24"/>
          <w:szCs w:val="24"/>
          <w:lang w:val="es-ES"/>
        </w:rPr>
        <w:t xml:space="preserve">bajarse </w:t>
      </w:r>
      <w:r w:rsidR="007C0E92" w:rsidRPr="00621F7E">
        <w:rPr>
          <w:sz w:val="24"/>
          <w:szCs w:val="24"/>
          <w:lang w:val="es-ES"/>
        </w:rPr>
        <w:t>el top</w:t>
      </w:r>
      <w:r w:rsidR="00D262A1" w:rsidRPr="00621F7E">
        <w:rPr>
          <w:sz w:val="24"/>
          <w:szCs w:val="24"/>
          <w:lang w:val="es-ES"/>
        </w:rPr>
        <w:t>e</w:t>
      </w:r>
      <w:r w:rsidR="001A7FA9">
        <w:rPr>
          <w:sz w:val="24"/>
          <w:szCs w:val="24"/>
          <w:lang w:val="es-ES"/>
        </w:rPr>
        <w:t xml:space="preserve"> al 20%</w:t>
      </w:r>
      <w:r w:rsidR="00621F7E">
        <w:rPr>
          <w:sz w:val="24"/>
          <w:szCs w:val="24"/>
          <w:lang w:val="es-ES"/>
        </w:rPr>
        <w:t>, una vez se tenga el valor total del IPU</w:t>
      </w:r>
      <w:r w:rsidR="00621F7E" w:rsidRPr="00C44CEE">
        <w:rPr>
          <w:sz w:val="24"/>
          <w:szCs w:val="24"/>
          <w:lang w:val="es-ES"/>
        </w:rPr>
        <w:t>,</w:t>
      </w:r>
      <w:r w:rsidR="00621F7E">
        <w:rPr>
          <w:b/>
          <w:sz w:val="24"/>
          <w:szCs w:val="24"/>
          <w:lang w:val="es-ES"/>
        </w:rPr>
        <w:t xml:space="preserve"> </w:t>
      </w:r>
      <w:r w:rsidR="00EF0F65" w:rsidRPr="00301705">
        <w:rPr>
          <w:sz w:val="24"/>
          <w:szCs w:val="24"/>
        </w:rPr>
        <w:t>excepto en los casos que corresponda a cambios de los elementos físicos o económicos que se identifique en los procesos de actualización del catastro.</w:t>
      </w:r>
    </w:p>
    <w:p w14:paraId="18AF8A26" w14:textId="77777777" w:rsidR="007C0F74" w:rsidRDefault="007C0F74" w:rsidP="00F76FF5">
      <w:pPr>
        <w:spacing w:line="240" w:lineRule="auto"/>
        <w:contextualSpacing/>
        <w:jc w:val="both"/>
        <w:rPr>
          <w:sz w:val="24"/>
          <w:szCs w:val="24"/>
        </w:rPr>
      </w:pPr>
    </w:p>
    <w:p w14:paraId="21539BBD" w14:textId="77777777" w:rsidR="004354F4" w:rsidRPr="007C0F74" w:rsidRDefault="004354F4" w:rsidP="00F76FF5">
      <w:pPr>
        <w:spacing w:line="240" w:lineRule="auto"/>
        <w:contextualSpacing/>
        <w:jc w:val="both"/>
        <w:rPr>
          <w:sz w:val="24"/>
          <w:szCs w:val="24"/>
        </w:rPr>
      </w:pPr>
    </w:p>
    <w:p w14:paraId="1F8A6386" w14:textId="77777777" w:rsidR="00301705" w:rsidRDefault="007C0F74" w:rsidP="00F76FF5">
      <w:pPr>
        <w:spacing w:line="240" w:lineRule="auto"/>
        <w:contextualSpacing/>
        <w:jc w:val="both"/>
        <w:rPr>
          <w:sz w:val="24"/>
          <w:szCs w:val="24"/>
        </w:rPr>
      </w:pPr>
      <w:r w:rsidRPr="007C0F74">
        <w:rPr>
          <w:sz w:val="24"/>
          <w:szCs w:val="24"/>
        </w:rPr>
        <w:t>No sobra indicar que este tipo de limitaciones impuestas por el legislador no vulneran la autonomía que la Constitución Nacional otorga a las entidades territoriales en materia fiscal. Al estudiar la demanda del artículo 23</w:t>
      </w:r>
      <w:r w:rsidR="00E44411">
        <w:rPr>
          <w:sz w:val="24"/>
          <w:szCs w:val="24"/>
        </w:rPr>
        <w:t xml:space="preserve"> de la Ley 1450 de 2011</w:t>
      </w:r>
      <w:r w:rsidR="0017227B">
        <w:rPr>
          <w:sz w:val="24"/>
          <w:szCs w:val="24"/>
        </w:rPr>
        <w:t>,</w:t>
      </w:r>
      <w:r w:rsidRPr="007C0F74">
        <w:rPr>
          <w:sz w:val="24"/>
          <w:szCs w:val="24"/>
        </w:rPr>
        <w:t xml:space="preserve"> anteriormente mencionado, la Corte Constitucional</w:t>
      </w:r>
      <w:r w:rsidR="0017227B">
        <w:rPr>
          <w:sz w:val="24"/>
          <w:szCs w:val="24"/>
        </w:rPr>
        <w:t>,</w:t>
      </w:r>
      <w:r w:rsidRPr="007C0F74">
        <w:rPr>
          <w:sz w:val="24"/>
          <w:szCs w:val="24"/>
        </w:rPr>
        <w:t xml:space="preserve"> mediante sentencia C-077 de 2012 señaló que </w:t>
      </w:r>
      <w:r w:rsidRPr="006A4E16">
        <w:rPr>
          <w:i/>
          <w:sz w:val="24"/>
          <w:szCs w:val="24"/>
        </w:rPr>
        <w:t xml:space="preserve">“…..la autonomía de las entidades territoriales en materia tributaria se circunscribe a las pautas, orientaciones y regulaciones o </w:t>
      </w:r>
      <w:r w:rsidRPr="006A4E16">
        <w:rPr>
          <w:i/>
          <w:sz w:val="24"/>
          <w:szCs w:val="24"/>
          <w:u w:val="single"/>
        </w:rPr>
        <w:t>limitaciones</w:t>
      </w:r>
      <w:r w:rsidRPr="006A4E16">
        <w:rPr>
          <w:i/>
          <w:sz w:val="24"/>
          <w:szCs w:val="24"/>
        </w:rPr>
        <w:t xml:space="preserve"> generales señaladas</w:t>
      </w:r>
      <w:r w:rsidR="00301705" w:rsidRPr="006A4E16">
        <w:rPr>
          <w:i/>
          <w:sz w:val="24"/>
          <w:szCs w:val="24"/>
        </w:rPr>
        <w:t xml:space="preserve"> válidamente por el Legislador</w:t>
      </w:r>
      <w:r w:rsidR="006A4E16" w:rsidRPr="006A4E16">
        <w:rPr>
          <w:i/>
          <w:sz w:val="24"/>
          <w:szCs w:val="24"/>
        </w:rPr>
        <w:t>”</w:t>
      </w:r>
      <w:r w:rsidR="00301705" w:rsidRPr="006A4E16">
        <w:rPr>
          <w:i/>
          <w:sz w:val="24"/>
          <w:szCs w:val="24"/>
        </w:rPr>
        <w:t>.</w:t>
      </w:r>
    </w:p>
    <w:p w14:paraId="1B18D88F" w14:textId="77777777" w:rsidR="00301705" w:rsidRDefault="00301705" w:rsidP="00F76FF5">
      <w:pPr>
        <w:spacing w:line="240" w:lineRule="auto"/>
        <w:contextualSpacing/>
        <w:jc w:val="both"/>
        <w:rPr>
          <w:sz w:val="24"/>
          <w:szCs w:val="24"/>
        </w:rPr>
      </w:pPr>
    </w:p>
    <w:p w14:paraId="2338A75D" w14:textId="77777777" w:rsidR="00301705" w:rsidRDefault="0017227B" w:rsidP="00F76FF5">
      <w:pPr>
        <w:spacing w:line="240" w:lineRule="auto"/>
        <w:contextualSpacing/>
        <w:jc w:val="both"/>
        <w:rPr>
          <w:sz w:val="24"/>
          <w:szCs w:val="24"/>
        </w:rPr>
      </w:pPr>
      <w:r>
        <w:rPr>
          <w:sz w:val="24"/>
          <w:szCs w:val="24"/>
        </w:rPr>
        <w:t>Adicionalmente,</w:t>
      </w:r>
      <w:r w:rsidR="007C0F74" w:rsidRPr="007C0F74">
        <w:rPr>
          <w:sz w:val="24"/>
          <w:szCs w:val="24"/>
        </w:rPr>
        <w:t xml:space="preserve"> señala la Corte e</w:t>
      </w:r>
      <w:r w:rsidR="00301705">
        <w:rPr>
          <w:sz w:val="24"/>
          <w:szCs w:val="24"/>
        </w:rPr>
        <w:t>n la misma sentencia que:</w:t>
      </w:r>
    </w:p>
    <w:p w14:paraId="4F796437" w14:textId="77777777" w:rsidR="00301705" w:rsidRDefault="00301705" w:rsidP="00F76FF5">
      <w:pPr>
        <w:spacing w:line="240" w:lineRule="auto"/>
        <w:contextualSpacing/>
        <w:jc w:val="both"/>
        <w:rPr>
          <w:sz w:val="24"/>
          <w:szCs w:val="24"/>
        </w:rPr>
      </w:pPr>
    </w:p>
    <w:p w14:paraId="7F066C1E" w14:textId="77777777" w:rsidR="007C0F74" w:rsidRPr="0017227B" w:rsidRDefault="007C0F74" w:rsidP="00F76FF5">
      <w:pPr>
        <w:spacing w:line="240" w:lineRule="auto"/>
        <w:ind w:left="708"/>
        <w:contextualSpacing/>
        <w:jc w:val="both"/>
        <w:rPr>
          <w:i/>
          <w:sz w:val="20"/>
          <w:szCs w:val="20"/>
        </w:rPr>
      </w:pPr>
      <w:r w:rsidRPr="0017227B">
        <w:rPr>
          <w:i/>
          <w:sz w:val="20"/>
          <w:szCs w:val="20"/>
        </w:rPr>
        <w:t>“…..el concepto de autonomía tributaria de las entidades territoriales no es absoluto, en el sentido de que la creación del impuesto, y la determinación de algunos de sus elementos esenciales, puede estar radicada en el legislador, a pesar de que se trate de una renta propia de los municipios y distritos, como es el impuesto predial”.</w:t>
      </w:r>
    </w:p>
    <w:p w14:paraId="346EA872" w14:textId="77777777" w:rsidR="004354F4" w:rsidRPr="007C0F74" w:rsidRDefault="004354F4" w:rsidP="00F76FF5">
      <w:pPr>
        <w:spacing w:line="240" w:lineRule="auto"/>
        <w:contextualSpacing/>
        <w:jc w:val="both"/>
        <w:rPr>
          <w:sz w:val="24"/>
          <w:szCs w:val="24"/>
        </w:rPr>
      </w:pPr>
    </w:p>
    <w:p w14:paraId="1440E679" w14:textId="77777777" w:rsidR="007C0F74" w:rsidRDefault="007C0F74" w:rsidP="00F76FF5">
      <w:pPr>
        <w:spacing w:line="240" w:lineRule="auto"/>
        <w:contextualSpacing/>
        <w:jc w:val="both"/>
        <w:rPr>
          <w:sz w:val="24"/>
          <w:szCs w:val="24"/>
        </w:rPr>
      </w:pPr>
      <w:r w:rsidRPr="007C0F74">
        <w:rPr>
          <w:sz w:val="24"/>
          <w:szCs w:val="24"/>
        </w:rPr>
        <w:t>A pesar de la utilidad de la norma en mención, ella solo procede en los casos de límites a los aumentos tarifarios, pero no considera la problemática actual de aumentos en la base gravable (avalúos catastrales).</w:t>
      </w:r>
    </w:p>
    <w:p w14:paraId="18D66742" w14:textId="77777777" w:rsidR="00F76FF5" w:rsidRDefault="00F76FF5" w:rsidP="00F76FF5">
      <w:pPr>
        <w:spacing w:line="240" w:lineRule="auto"/>
        <w:contextualSpacing/>
        <w:jc w:val="both"/>
        <w:rPr>
          <w:sz w:val="24"/>
          <w:szCs w:val="24"/>
        </w:rPr>
      </w:pPr>
    </w:p>
    <w:p w14:paraId="74440466" w14:textId="77777777" w:rsidR="007C0F74" w:rsidRDefault="00F76FF5" w:rsidP="00F76FF5">
      <w:pPr>
        <w:spacing w:line="240" w:lineRule="auto"/>
        <w:contextualSpacing/>
        <w:jc w:val="both"/>
        <w:rPr>
          <w:sz w:val="24"/>
          <w:szCs w:val="24"/>
        </w:rPr>
      </w:pPr>
      <w:r w:rsidRPr="00AC290E">
        <w:rPr>
          <w:sz w:val="24"/>
          <w:szCs w:val="24"/>
        </w:rPr>
        <w:t>De esta forma, se resalta la importancia de que el legislador entre a proteger a los contribuyentes generando un esquema que limite el efecto pleno de los avalúos catastrales que, empujados por los mayores valores comerciales, es la causa de la problemática observada en los últimos meses.</w:t>
      </w:r>
      <w:r w:rsidR="002312AF" w:rsidRPr="00472F6A">
        <w:rPr>
          <w:sz w:val="24"/>
          <w:szCs w:val="24"/>
        </w:rPr>
        <w:t xml:space="preserve"> </w:t>
      </w:r>
      <w:r w:rsidR="007C0F74" w:rsidRPr="00472F6A">
        <w:rPr>
          <w:sz w:val="24"/>
          <w:szCs w:val="24"/>
        </w:rPr>
        <w:t>Por</w:t>
      </w:r>
      <w:r w:rsidR="007C0F74" w:rsidRPr="007C0F74">
        <w:rPr>
          <w:sz w:val="24"/>
          <w:szCs w:val="24"/>
        </w:rPr>
        <w:t xml:space="preserve"> lo anterior</w:t>
      </w:r>
      <w:r w:rsidR="0017227B">
        <w:rPr>
          <w:sz w:val="24"/>
          <w:szCs w:val="24"/>
        </w:rPr>
        <w:t>,</w:t>
      </w:r>
      <w:r w:rsidR="007C0F74" w:rsidRPr="007C0F74">
        <w:rPr>
          <w:sz w:val="24"/>
          <w:szCs w:val="24"/>
        </w:rPr>
        <w:t xml:space="preserve"> es indispensable y urgente que el legislador se pronuncie en esta materia generando un límite que proteja a los contribuyentes, sin desmedro de los ingresos de las entidades territoriales o su autonomía.</w:t>
      </w:r>
    </w:p>
    <w:p w14:paraId="7069AA73" w14:textId="77777777" w:rsidR="000F444C" w:rsidRDefault="000F444C" w:rsidP="00F76FF5">
      <w:pPr>
        <w:spacing w:line="240" w:lineRule="auto"/>
        <w:contextualSpacing/>
        <w:jc w:val="both"/>
        <w:rPr>
          <w:sz w:val="24"/>
          <w:szCs w:val="24"/>
        </w:rPr>
      </w:pPr>
    </w:p>
    <w:p w14:paraId="20BCDF1D" w14:textId="77777777" w:rsidR="0017227B" w:rsidRDefault="0017227B" w:rsidP="00F76FF5">
      <w:pPr>
        <w:spacing w:line="240" w:lineRule="auto"/>
        <w:contextualSpacing/>
        <w:jc w:val="both"/>
        <w:rPr>
          <w:sz w:val="24"/>
          <w:szCs w:val="24"/>
          <w:lang w:val="es-ES_tradnl"/>
        </w:rPr>
      </w:pPr>
    </w:p>
    <w:p w14:paraId="08C80D37" w14:textId="77777777" w:rsidR="005D3AC4" w:rsidRDefault="005D3AC4" w:rsidP="00F76FF5">
      <w:pPr>
        <w:spacing w:line="240" w:lineRule="auto"/>
        <w:contextualSpacing/>
        <w:jc w:val="both"/>
        <w:rPr>
          <w:sz w:val="24"/>
          <w:szCs w:val="24"/>
          <w:lang w:val="es-ES_tradnl"/>
        </w:rPr>
      </w:pPr>
    </w:p>
    <w:p w14:paraId="7DAFBADD" w14:textId="77777777" w:rsidR="000F444C" w:rsidRPr="000F444C" w:rsidRDefault="000F444C" w:rsidP="00F76FF5">
      <w:pPr>
        <w:spacing w:line="240" w:lineRule="auto"/>
        <w:contextualSpacing/>
        <w:jc w:val="both"/>
        <w:rPr>
          <w:sz w:val="24"/>
          <w:szCs w:val="24"/>
          <w:lang w:val="es-ES_tradnl"/>
        </w:rPr>
      </w:pPr>
      <w:r w:rsidRPr="000F444C">
        <w:rPr>
          <w:sz w:val="24"/>
          <w:szCs w:val="24"/>
          <w:lang w:val="es-ES_tradnl"/>
        </w:rPr>
        <w:t>Con toda atención,</w:t>
      </w:r>
    </w:p>
    <w:p w14:paraId="59A09FDA" w14:textId="77777777" w:rsidR="000F444C" w:rsidRDefault="000F444C" w:rsidP="00F76FF5">
      <w:pPr>
        <w:spacing w:line="240" w:lineRule="auto"/>
        <w:contextualSpacing/>
        <w:jc w:val="both"/>
        <w:rPr>
          <w:sz w:val="24"/>
          <w:szCs w:val="24"/>
        </w:rPr>
      </w:pPr>
    </w:p>
    <w:p w14:paraId="022159DF" w14:textId="77777777" w:rsidR="000F444C" w:rsidRDefault="000F444C" w:rsidP="00F76FF5">
      <w:pPr>
        <w:spacing w:line="240" w:lineRule="auto"/>
        <w:contextualSpacing/>
        <w:jc w:val="both"/>
        <w:rPr>
          <w:sz w:val="24"/>
          <w:szCs w:val="24"/>
        </w:rPr>
      </w:pPr>
    </w:p>
    <w:p w14:paraId="54817429" w14:textId="77777777" w:rsidR="005D3AC4" w:rsidRDefault="005D3AC4" w:rsidP="00F76FF5">
      <w:pPr>
        <w:spacing w:line="240" w:lineRule="auto"/>
        <w:contextualSpacing/>
        <w:jc w:val="both"/>
        <w:rPr>
          <w:sz w:val="24"/>
          <w:szCs w:val="24"/>
        </w:rPr>
      </w:pPr>
    </w:p>
    <w:p w14:paraId="055232ED" w14:textId="77777777" w:rsidR="000F444C" w:rsidRDefault="000F444C" w:rsidP="00F76FF5">
      <w:pPr>
        <w:spacing w:line="240" w:lineRule="auto"/>
        <w:contextualSpacing/>
        <w:jc w:val="both"/>
        <w:rPr>
          <w:sz w:val="24"/>
          <w:szCs w:val="24"/>
        </w:rPr>
      </w:pPr>
    </w:p>
    <w:p w14:paraId="3D78530A" w14:textId="77777777" w:rsidR="000F444C" w:rsidRDefault="000F444C" w:rsidP="00F76FF5">
      <w:pPr>
        <w:spacing w:line="240" w:lineRule="auto"/>
        <w:contextualSpacing/>
        <w:jc w:val="both"/>
        <w:rPr>
          <w:sz w:val="24"/>
          <w:szCs w:val="24"/>
        </w:rPr>
      </w:pPr>
    </w:p>
    <w:p w14:paraId="4C166F2A" w14:textId="77777777" w:rsidR="000F444C" w:rsidRDefault="000F444C" w:rsidP="00F76FF5">
      <w:pPr>
        <w:spacing w:line="240" w:lineRule="auto"/>
        <w:contextualSpacing/>
        <w:jc w:val="both"/>
        <w:rPr>
          <w:sz w:val="24"/>
          <w:szCs w:val="24"/>
        </w:rPr>
      </w:pPr>
    </w:p>
    <w:p w14:paraId="13B37182" w14:textId="77777777" w:rsidR="000F444C" w:rsidRDefault="000F444C" w:rsidP="00F76FF5">
      <w:pPr>
        <w:spacing w:line="240" w:lineRule="auto"/>
        <w:contextualSpacing/>
        <w:jc w:val="both"/>
        <w:rPr>
          <w:b/>
          <w:sz w:val="24"/>
          <w:szCs w:val="24"/>
        </w:rPr>
      </w:pPr>
      <w:r>
        <w:rPr>
          <w:b/>
          <w:sz w:val="24"/>
          <w:szCs w:val="24"/>
        </w:rPr>
        <w:t>CARLOS FERNANDO GALÁN PACHÓN</w:t>
      </w:r>
      <w:r w:rsidR="00CA08C8">
        <w:rPr>
          <w:b/>
          <w:sz w:val="24"/>
          <w:szCs w:val="24"/>
        </w:rPr>
        <w:t xml:space="preserve">                  DAVID ALEJANDRO BARGUIL ASSIS</w:t>
      </w:r>
    </w:p>
    <w:p w14:paraId="66163422" w14:textId="77777777" w:rsidR="000F444C" w:rsidRDefault="000F444C" w:rsidP="00F76FF5">
      <w:pPr>
        <w:spacing w:line="240" w:lineRule="auto"/>
        <w:contextualSpacing/>
        <w:jc w:val="both"/>
        <w:rPr>
          <w:b/>
          <w:sz w:val="24"/>
          <w:szCs w:val="24"/>
        </w:rPr>
      </w:pPr>
      <w:r>
        <w:rPr>
          <w:b/>
          <w:sz w:val="24"/>
          <w:szCs w:val="24"/>
        </w:rPr>
        <w:t>Senador de la República</w:t>
      </w:r>
      <w:r w:rsidR="00CA08C8">
        <w:rPr>
          <w:b/>
          <w:sz w:val="24"/>
          <w:szCs w:val="24"/>
        </w:rPr>
        <w:t xml:space="preserve">                                           Representante a la Cámara</w:t>
      </w:r>
    </w:p>
    <w:p w14:paraId="7CDAE71F" w14:textId="77777777" w:rsidR="00CA08C8" w:rsidRDefault="00CA08C8" w:rsidP="00F76FF5">
      <w:pPr>
        <w:spacing w:line="240" w:lineRule="auto"/>
        <w:contextualSpacing/>
        <w:jc w:val="both"/>
        <w:rPr>
          <w:b/>
          <w:sz w:val="24"/>
          <w:szCs w:val="24"/>
        </w:rPr>
      </w:pPr>
    </w:p>
    <w:p w14:paraId="74E18A3E" w14:textId="77777777" w:rsidR="00CA08C8" w:rsidRDefault="00CA08C8" w:rsidP="00F76FF5">
      <w:pPr>
        <w:spacing w:line="240" w:lineRule="auto"/>
        <w:contextualSpacing/>
        <w:jc w:val="both"/>
        <w:rPr>
          <w:b/>
          <w:sz w:val="24"/>
          <w:szCs w:val="24"/>
        </w:rPr>
      </w:pPr>
    </w:p>
    <w:p w14:paraId="0B8161A4" w14:textId="77777777" w:rsidR="00CA08C8" w:rsidRDefault="00CA08C8" w:rsidP="00F76FF5">
      <w:pPr>
        <w:spacing w:line="240" w:lineRule="auto"/>
        <w:contextualSpacing/>
        <w:jc w:val="both"/>
        <w:rPr>
          <w:b/>
          <w:sz w:val="24"/>
          <w:szCs w:val="24"/>
        </w:rPr>
      </w:pPr>
    </w:p>
    <w:p w14:paraId="7D8B8074" w14:textId="77777777" w:rsidR="00301705" w:rsidRPr="005D3AC4" w:rsidRDefault="007C0F74" w:rsidP="005D3AC4">
      <w:pPr>
        <w:spacing w:line="240" w:lineRule="auto"/>
        <w:contextualSpacing/>
        <w:jc w:val="center"/>
        <w:rPr>
          <w:sz w:val="24"/>
          <w:szCs w:val="24"/>
        </w:rPr>
      </w:pPr>
      <w:r w:rsidRPr="007C0F74">
        <w:rPr>
          <w:sz w:val="24"/>
          <w:szCs w:val="24"/>
        </w:rPr>
        <w:br w:type="page"/>
      </w:r>
      <w:r w:rsidR="00D26F41">
        <w:rPr>
          <w:b/>
          <w:bCs/>
          <w:sz w:val="24"/>
          <w:szCs w:val="24"/>
        </w:rPr>
        <w:lastRenderedPageBreak/>
        <w:t>PROYECTO DE LEY</w:t>
      </w:r>
    </w:p>
    <w:p w14:paraId="6BCBE4F7" w14:textId="77777777" w:rsidR="00D26F41" w:rsidRPr="00301705" w:rsidRDefault="00D26F41" w:rsidP="00F76FF5">
      <w:pPr>
        <w:spacing w:line="240" w:lineRule="auto"/>
        <w:contextualSpacing/>
        <w:jc w:val="center"/>
        <w:rPr>
          <w:b/>
          <w:bCs/>
          <w:sz w:val="24"/>
          <w:szCs w:val="24"/>
        </w:rPr>
      </w:pPr>
    </w:p>
    <w:p w14:paraId="081BB745" w14:textId="77777777" w:rsidR="00301705" w:rsidRPr="00A720BB" w:rsidRDefault="00301705" w:rsidP="00F76FF5">
      <w:pPr>
        <w:spacing w:line="240" w:lineRule="auto"/>
        <w:contextualSpacing/>
        <w:jc w:val="center"/>
        <w:rPr>
          <w:b/>
          <w:i/>
          <w:sz w:val="24"/>
          <w:szCs w:val="24"/>
        </w:rPr>
      </w:pPr>
      <w:r w:rsidRPr="00A720BB">
        <w:rPr>
          <w:b/>
          <w:i/>
          <w:sz w:val="24"/>
          <w:szCs w:val="24"/>
        </w:rPr>
        <w:t xml:space="preserve">“Por medio de la cual se establece un </w:t>
      </w:r>
      <w:r w:rsidR="0017227B">
        <w:rPr>
          <w:b/>
          <w:i/>
          <w:sz w:val="24"/>
          <w:szCs w:val="24"/>
        </w:rPr>
        <w:t>límite al incremento anual del Impuesto Predial U</w:t>
      </w:r>
      <w:r w:rsidRPr="00A720BB">
        <w:rPr>
          <w:b/>
          <w:i/>
          <w:sz w:val="24"/>
          <w:szCs w:val="24"/>
        </w:rPr>
        <w:t>nificado”</w:t>
      </w:r>
    </w:p>
    <w:p w14:paraId="2A5275F5" w14:textId="77777777" w:rsidR="00301705" w:rsidRPr="00301705" w:rsidRDefault="00301705" w:rsidP="00F76FF5">
      <w:pPr>
        <w:spacing w:line="240" w:lineRule="auto"/>
        <w:contextualSpacing/>
        <w:jc w:val="center"/>
        <w:rPr>
          <w:b/>
          <w:sz w:val="24"/>
          <w:szCs w:val="24"/>
        </w:rPr>
      </w:pPr>
    </w:p>
    <w:p w14:paraId="38841212" w14:textId="77777777" w:rsidR="00301705" w:rsidRPr="00301705" w:rsidRDefault="00301705" w:rsidP="00F76FF5">
      <w:pPr>
        <w:spacing w:line="240" w:lineRule="auto"/>
        <w:contextualSpacing/>
        <w:jc w:val="center"/>
        <w:rPr>
          <w:b/>
          <w:sz w:val="24"/>
          <w:szCs w:val="24"/>
          <w:lang w:val="es-ES_tradnl"/>
        </w:rPr>
      </w:pPr>
      <w:r w:rsidRPr="00301705">
        <w:rPr>
          <w:b/>
          <w:sz w:val="24"/>
          <w:szCs w:val="24"/>
          <w:lang w:val="es-ES_tradnl"/>
        </w:rPr>
        <w:t>El Congreso de Colombia</w:t>
      </w:r>
    </w:p>
    <w:p w14:paraId="3DB5FCC1" w14:textId="77777777" w:rsidR="00301705" w:rsidRPr="00301705" w:rsidRDefault="00301705" w:rsidP="00F76FF5">
      <w:pPr>
        <w:spacing w:line="240" w:lineRule="auto"/>
        <w:contextualSpacing/>
        <w:jc w:val="center"/>
        <w:rPr>
          <w:b/>
          <w:sz w:val="24"/>
          <w:szCs w:val="24"/>
          <w:lang w:val="es-ES_tradnl"/>
        </w:rPr>
      </w:pPr>
    </w:p>
    <w:p w14:paraId="09AE4525" w14:textId="77777777" w:rsidR="00301705" w:rsidRPr="00301705" w:rsidRDefault="00301705" w:rsidP="00F76FF5">
      <w:pPr>
        <w:spacing w:line="240" w:lineRule="auto"/>
        <w:contextualSpacing/>
        <w:jc w:val="center"/>
        <w:rPr>
          <w:b/>
          <w:sz w:val="24"/>
          <w:szCs w:val="24"/>
          <w:lang w:val="es-ES_tradnl"/>
        </w:rPr>
      </w:pPr>
      <w:r w:rsidRPr="00301705">
        <w:rPr>
          <w:b/>
          <w:sz w:val="24"/>
          <w:szCs w:val="24"/>
          <w:lang w:val="es-ES_tradnl"/>
        </w:rPr>
        <w:t>DECRETA:</w:t>
      </w:r>
    </w:p>
    <w:p w14:paraId="7D9F456C" w14:textId="77777777" w:rsidR="00301705" w:rsidRPr="00301705" w:rsidRDefault="00301705" w:rsidP="00F76FF5">
      <w:pPr>
        <w:spacing w:line="240" w:lineRule="auto"/>
        <w:contextualSpacing/>
        <w:jc w:val="both"/>
        <w:rPr>
          <w:b/>
          <w:sz w:val="24"/>
          <w:szCs w:val="24"/>
        </w:rPr>
      </w:pPr>
    </w:p>
    <w:p w14:paraId="62374E26" w14:textId="77777777" w:rsidR="00301705" w:rsidRPr="00301705" w:rsidRDefault="002F4ED4" w:rsidP="00F76FF5">
      <w:pPr>
        <w:spacing w:line="240" w:lineRule="auto"/>
        <w:contextualSpacing/>
        <w:jc w:val="both"/>
        <w:rPr>
          <w:b/>
          <w:sz w:val="24"/>
          <w:szCs w:val="24"/>
        </w:rPr>
      </w:pPr>
      <w:r>
        <w:rPr>
          <w:b/>
          <w:sz w:val="24"/>
          <w:szCs w:val="24"/>
        </w:rPr>
        <w:t>Artículo 1</w:t>
      </w:r>
      <w:r w:rsidR="00301705" w:rsidRPr="00301705">
        <w:rPr>
          <w:b/>
          <w:sz w:val="24"/>
          <w:szCs w:val="24"/>
        </w:rPr>
        <w:t xml:space="preserve">º. </w:t>
      </w:r>
      <w:r w:rsidR="00301705" w:rsidRPr="00301705">
        <w:rPr>
          <w:b/>
          <w:i/>
          <w:sz w:val="24"/>
          <w:szCs w:val="24"/>
        </w:rPr>
        <w:t xml:space="preserve">Límite </w:t>
      </w:r>
      <w:r w:rsidR="00253380">
        <w:rPr>
          <w:b/>
          <w:i/>
          <w:sz w:val="24"/>
          <w:szCs w:val="24"/>
        </w:rPr>
        <w:t>al incremento anual del Impuesto Predial U</w:t>
      </w:r>
      <w:r w:rsidR="00301705" w:rsidRPr="00301705">
        <w:rPr>
          <w:b/>
          <w:i/>
          <w:sz w:val="24"/>
          <w:szCs w:val="24"/>
        </w:rPr>
        <w:t>nificado a cargo del contribuyente</w:t>
      </w:r>
      <w:r w:rsidR="00301705" w:rsidRPr="00301705">
        <w:rPr>
          <w:b/>
          <w:sz w:val="24"/>
          <w:szCs w:val="24"/>
        </w:rPr>
        <w:t xml:space="preserve">. </w:t>
      </w:r>
      <w:r w:rsidR="00301705" w:rsidRPr="00301705">
        <w:rPr>
          <w:sz w:val="24"/>
          <w:szCs w:val="24"/>
        </w:rPr>
        <w:t>Adiciónese el siguiente parágrafo al artículo 4º de la Ley 44 de 1990, modificado por el artículo 23 de la Ley 1450 de 2011:</w:t>
      </w:r>
    </w:p>
    <w:p w14:paraId="7EBDE2D7" w14:textId="77777777" w:rsidR="00301705" w:rsidRPr="00301705" w:rsidRDefault="00301705" w:rsidP="00F76FF5">
      <w:pPr>
        <w:spacing w:line="240" w:lineRule="auto"/>
        <w:contextualSpacing/>
        <w:jc w:val="both"/>
        <w:rPr>
          <w:b/>
          <w:sz w:val="24"/>
          <w:szCs w:val="24"/>
        </w:rPr>
      </w:pPr>
    </w:p>
    <w:p w14:paraId="55B4468B" w14:textId="77777777" w:rsidR="00301705" w:rsidRDefault="00301705" w:rsidP="00F76FF5">
      <w:pPr>
        <w:spacing w:line="240" w:lineRule="auto"/>
        <w:contextualSpacing/>
        <w:jc w:val="both"/>
        <w:rPr>
          <w:sz w:val="24"/>
          <w:szCs w:val="24"/>
        </w:rPr>
      </w:pPr>
      <w:r w:rsidRPr="00301705">
        <w:rPr>
          <w:b/>
          <w:sz w:val="24"/>
          <w:szCs w:val="24"/>
        </w:rPr>
        <w:t xml:space="preserve">“Parágrafo 3º. </w:t>
      </w:r>
      <w:r w:rsidRPr="00301705">
        <w:rPr>
          <w:sz w:val="24"/>
          <w:szCs w:val="24"/>
        </w:rPr>
        <w:t xml:space="preserve">Para el caso de los predios residenciales urbanos cuyo último avalúo catastral supere el setenta por ciento (70%) del valor comercial y de los predios comerciales en suelo urbano cuyo último avalúo catastral </w:t>
      </w:r>
      <w:r w:rsidR="005D3AC4">
        <w:rPr>
          <w:sz w:val="24"/>
          <w:szCs w:val="24"/>
        </w:rPr>
        <w:t>supere el ochenta por ciento (</w:t>
      </w:r>
      <w:r w:rsidR="00BC6C00">
        <w:rPr>
          <w:sz w:val="24"/>
          <w:szCs w:val="24"/>
        </w:rPr>
        <w:t>80</w:t>
      </w:r>
      <w:r w:rsidRPr="00301705">
        <w:rPr>
          <w:sz w:val="24"/>
          <w:szCs w:val="24"/>
        </w:rPr>
        <w:t>%) del valor come</w:t>
      </w:r>
      <w:r w:rsidR="0064620F">
        <w:rPr>
          <w:sz w:val="24"/>
          <w:szCs w:val="24"/>
        </w:rPr>
        <w:t>rcial</w:t>
      </w:r>
      <w:r w:rsidR="00472F6A">
        <w:rPr>
          <w:sz w:val="24"/>
          <w:szCs w:val="24"/>
          <w:lang w:val="es-ES"/>
        </w:rPr>
        <w:t>,</w:t>
      </w:r>
      <w:r w:rsidR="00253380">
        <w:rPr>
          <w:sz w:val="24"/>
          <w:szCs w:val="24"/>
        </w:rPr>
        <w:t xml:space="preserve"> el incremento anual del I</w:t>
      </w:r>
      <w:r w:rsidRPr="00301705">
        <w:rPr>
          <w:sz w:val="24"/>
          <w:szCs w:val="24"/>
        </w:rPr>
        <w:t>mpue</w:t>
      </w:r>
      <w:r w:rsidR="00253380">
        <w:rPr>
          <w:sz w:val="24"/>
          <w:szCs w:val="24"/>
        </w:rPr>
        <w:t>sto Predial U</w:t>
      </w:r>
      <w:r w:rsidRPr="00301705">
        <w:rPr>
          <w:sz w:val="24"/>
          <w:szCs w:val="24"/>
        </w:rPr>
        <w:t>nificado</w:t>
      </w:r>
      <w:r w:rsidR="00253380">
        <w:rPr>
          <w:sz w:val="24"/>
          <w:szCs w:val="24"/>
        </w:rPr>
        <w:t>,</w:t>
      </w:r>
      <w:r w:rsidRPr="00301705">
        <w:rPr>
          <w:sz w:val="24"/>
          <w:szCs w:val="24"/>
        </w:rPr>
        <w:t xml:space="preserve"> a cargo del contribuyente</w:t>
      </w:r>
      <w:r w:rsidR="00253380">
        <w:rPr>
          <w:sz w:val="24"/>
          <w:szCs w:val="24"/>
        </w:rPr>
        <w:t>,</w:t>
      </w:r>
      <w:r w:rsidRPr="00301705">
        <w:rPr>
          <w:sz w:val="24"/>
          <w:szCs w:val="24"/>
        </w:rPr>
        <w:t xml:space="preserve"> no podrá sobrepasar en dos veces el aumento porcentual del salario mínimo determinado por el Gobierno Nacional para esa vigencia. Se exceptúan de esta limitación aquellos predios en los que la actualización catastral determine que debido a cambios físicos o variaciones de uso se justifique un mayor val</w:t>
      </w:r>
      <w:r w:rsidR="00DA5CD7">
        <w:rPr>
          <w:sz w:val="24"/>
          <w:szCs w:val="24"/>
        </w:rPr>
        <w:t>or catastral en dichos predios.”</w:t>
      </w:r>
    </w:p>
    <w:p w14:paraId="000326D4" w14:textId="77777777" w:rsidR="00301705" w:rsidRPr="00301705" w:rsidRDefault="00301705" w:rsidP="00F76FF5">
      <w:pPr>
        <w:spacing w:line="240" w:lineRule="auto"/>
        <w:contextualSpacing/>
        <w:jc w:val="both"/>
        <w:rPr>
          <w:b/>
          <w:sz w:val="24"/>
          <w:szCs w:val="24"/>
        </w:rPr>
      </w:pPr>
    </w:p>
    <w:p w14:paraId="13F54ED0" w14:textId="77777777" w:rsidR="00301705" w:rsidRPr="00301705" w:rsidRDefault="002F4ED4" w:rsidP="00F76FF5">
      <w:pPr>
        <w:spacing w:line="240" w:lineRule="auto"/>
        <w:contextualSpacing/>
        <w:jc w:val="both"/>
        <w:rPr>
          <w:sz w:val="24"/>
          <w:szCs w:val="24"/>
        </w:rPr>
      </w:pPr>
      <w:r>
        <w:rPr>
          <w:b/>
          <w:sz w:val="24"/>
          <w:szCs w:val="24"/>
        </w:rPr>
        <w:t>Artículo 2</w:t>
      </w:r>
      <w:r w:rsidR="00301705" w:rsidRPr="00301705">
        <w:rPr>
          <w:b/>
          <w:sz w:val="24"/>
          <w:szCs w:val="24"/>
        </w:rPr>
        <w:t xml:space="preserve">º. </w:t>
      </w:r>
      <w:r w:rsidR="00301705" w:rsidRPr="00301705">
        <w:rPr>
          <w:b/>
          <w:i/>
          <w:sz w:val="24"/>
          <w:szCs w:val="24"/>
          <w:lang w:val="es-ES_tradnl"/>
        </w:rPr>
        <w:t>Vigencia y derogatoria.</w:t>
      </w:r>
      <w:r w:rsidR="00301705" w:rsidRPr="00301705">
        <w:rPr>
          <w:b/>
          <w:sz w:val="24"/>
          <w:szCs w:val="24"/>
          <w:lang w:val="es-ES_tradnl"/>
        </w:rPr>
        <w:t xml:space="preserve"> </w:t>
      </w:r>
      <w:r w:rsidR="00301705" w:rsidRPr="00301705">
        <w:rPr>
          <w:sz w:val="24"/>
          <w:szCs w:val="24"/>
          <w:lang w:val="es-ES_tradnl"/>
        </w:rPr>
        <w:t>La presente ley rige a partir de la fecha de su promulgación y deroga todas las disposiciones que le sean contrarias.</w:t>
      </w:r>
    </w:p>
    <w:p w14:paraId="44DD3317" w14:textId="77777777" w:rsidR="00301705" w:rsidRPr="00301705" w:rsidRDefault="00301705" w:rsidP="00F76FF5">
      <w:pPr>
        <w:spacing w:line="240" w:lineRule="auto"/>
        <w:contextualSpacing/>
        <w:jc w:val="both"/>
        <w:rPr>
          <w:sz w:val="24"/>
          <w:szCs w:val="24"/>
        </w:rPr>
      </w:pPr>
    </w:p>
    <w:p w14:paraId="74FDE37D" w14:textId="77777777" w:rsidR="00301705" w:rsidRPr="00301705" w:rsidRDefault="00301705" w:rsidP="00F76FF5">
      <w:pPr>
        <w:spacing w:line="240" w:lineRule="auto"/>
        <w:contextualSpacing/>
        <w:jc w:val="both"/>
        <w:rPr>
          <w:sz w:val="24"/>
          <w:szCs w:val="24"/>
        </w:rPr>
      </w:pPr>
    </w:p>
    <w:p w14:paraId="4B0D2ABF" w14:textId="77777777" w:rsidR="00301705" w:rsidRDefault="00301705" w:rsidP="00F76FF5">
      <w:pPr>
        <w:spacing w:line="240" w:lineRule="auto"/>
        <w:contextualSpacing/>
        <w:jc w:val="both"/>
        <w:rPr>
          <w:b/>
          <w:sz w:val="24"/>
          <w:szCs w:val="24"/>
          <w:lang w:val="es-ES"/>
        </w:rPr>
      </w:pPr>
    </w:p>
    <w:p w14:paraId="7DBB749C" w14:textId="7A9610B6" w:rsidR="002A00AF" w:rsidRDefault="002A00AF" w:rsidP="00F76FF5">
      <w:pPr>
        <w:spacing w:line="240" w:lineRule="auto"/>
        <w:contextualSpacing/>
        <w:jc w:val="both"/>
        <w:rPr>
          <w:b/>
          <w:sz w:val="24"/>
          <w:szCs w:val="24"/>
          <w:lang w:val="es-ES"/>
        </w:rPr>
      </w:pPr>
    </w:p>
    <w:p w14:paraId="3F31F523" w14:textId="77777777" w:rsidR="002A00AF" w:rsidRDefault="002A00AF" w:rsidP="00F76FF5">
      <w:pPr>
        <w:spacing w:line="240" w:lineRule="auto"/>
        <w:contextualSpacing/>
        <w:jc w:val="both"/>
        <w:rPr>
          <w:b/>
          <w:sz w:val="24"/>
          <w:szCs w:val="24"/>
          <w:lang w:val="es-ES"/>
        </w:rPr>
      </w:pPr>
    </w:p>
    <w:p w14:paraId="53C40816" w14:textId="77777777" w:rsidR="002A00AF" w:rsidRPr="002A00AF" w:rsidRDefault="002A00AF" w:rsidP="00F76FF5">
      <w:pPr>
        <w:spacing w:line="240" w:lineRule="auto"/>
        <w:contextualSpacing/>
        <w:jc w:val="both"/>
        <w:rPr>
          <w:b/>
          <w:sz w:val="24"/>
          <w:szCs w:val="24"/>
          <w:lang w:val="es-ES"/>
        </w:rPr>
      </w:pPr>
    </w:p>
    <w:p w14:paraId="532DB06F" w14:textId="77777777" w:rsidR="00301705" w:rsidRPr="00301705" w:rsidRDefault="00301705" w:rsidP="00F76FF5">
      <w:pPr>
        <w:spacing w:line="240" w:lineRule="auto"/>
        <w:contextualSpacing/>
        <w:jc w:val="both"/>
        <w:rPr>
          <w:b/>
          <w:sz w:val="24"/>
          <w:szCs w:val="24"/>
        </w:rPr>
      </w:pPr>
    </w:p>
    <w:p w14:paraId="04A8E110" w14:textId="77777777" w:rsidR="002A00AF" w:rsidRDefault="002A00AF" w:rsidP="002A00AF">
      <w:pPr>
        <w:spacing w:line="240" w:lineRule="auto"/>
        <w:contextualSpacing/>
        <w:jc w:val="both"/>
        <w:rPr>
          <w:b/>
          <w:sz w:val="24"/>
          <w:szCs w:val="24"/>
        </w:rPr>
      </w:pPr>
      <w:r>
        <w:rPr>
          <w:b/>
          <w:sz w:val="24"/>
          <w:szCs w:val="24"/>
        </w:rPr>
        <w:t>CARLOS FERNANDO GALÁN PACHÓN                  DAVID ALEJANDRO BARGUIL ASSIS</w:t>
      </w:r>
    </w:p>
    <w:p w14:paraId="1AD6845E" w14:textId="5DCEE5A6" w:rsidR="00301705" w:rsidRPr="00301705" w:rsidRDefault="002A00AF" w:rsidP="002A00AF">
      <w:pPr>
        <w:spacing w:line="240" w:lineRule="auto"/>
        <w:contextualSpacing/>
        <w:jc w:val="both"/>
        <w:rPr>
          <w:b/>
          <w:sz w:val="24"/>
          <w:szCs w:val="24"/>
        </w:rPr>
      </w:pPr>
      <w:r>
        <w:rPr>
          <w:b/>
          <w:sz w:val="24"/>
          <w:szCs w:val="24"/>
        </w:rPr>
        <w:t>Senador de la República                                           Representante a la Cámara</w:t>
      </w:r>
    </w:p>
    <w:p w14:paraId="32A0CF29" w14:textId="77777777" w:rsidR="005D3AC4" w:rsidRDefault="005D3AC4" w:rsidP="00F76FF5">
      <w:pPr>
        <w:spacing w:line="240" w:lineRule="auto"/>
        <w:contextualSpacing/>
        <w:jc w:val="both"/>
        <w:rPr>
          <w:b/>
          <w:sz w:val="24"/>
          <w:szCs w:val="24"/>
        </w:rPr>
        <w:sectPr w:rsidR="005D3AC4" w:rsidSect="00C7601A">
          <w:headerReference w:type="default" r:id="rId14"/>
          <w:footerReference w:type="even" r:id="rId15"/>
          <w:footerReference w:type="default" r:id="rId16"/>
          <w:pgSz w:w="12240" w:h="15840"/>
          <w:pgMar w:top="1417" w:right="1701" w:bottom="1417" w:left="1701" w:header="708" w:footer="708" w:gutter="0"/>
          <w:cols w:space="708"/>
          <w:docGrid w:linePitch="360"/>
        </w:sectPr>
      </w:pPr>
    </w:p>
    <w:p w14:paraId="36173F2C" w14:textId="286864B3" w:rsidR="005D3AC4" w:rsidRPr="00473445" w:rsidRDefault="00473445" w:rsidP="00C44CEE">
      <w:pPr>
        <w:spacing w:line="240" w:lineRule="auto"/>
        <w:contextualSpacing/>
        <w:jc w:val="both"/>
        <w:rPr>
          <w:b/>
          <w:sz w:val="24"/>
          <w:szCs w:val="24"/>
        </w:rPr>
      </w:pPr>
      <w:r>
        <w:rPr>
          <w:b/>
          <w:sz w:val="24"/>
          <w:szCs w:val="24"/>
          <w:lang w:val="es-ES"/>
        </w:rPr>
        <w:lastRenderedPageBreak/>
        <w:t xml:space="preserve">         </w:t>
      </w:r>
      <w:r>
        <w:rPr>
          <w:b/>
          <w:sz w:val="24"/>
          <w:szCs w:val="24"/>
        </w:rPr>
        <w:t xml:space="preserve">            </w:t>
      </w:r>
      <w:r>
        <w:rPr>
          <w:b/>
          <w:sz w:val="24"/>
          <w:szCs w:val="24"/>
          <w:lang w:val="es-ES"/>
        </w:rPr>
        <w:t xml:space="preserve">     </w:t>
      </w:r>
    </w:p>
    <w:sectPr w:rsidR="005D3AC4" w:rsidRPr="00473445" w:rsidSect="005D3AC4">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49072" w14:textId="77777777" w:rsidR="00DB44E2" w:rsidRDefault="00DB44E2" w:rsidP="006B5EBC">
      <w:r>
        <w:separator/>
      </w:r>
    </w:p>
  </w:endnote>
  <w:endnote w:type="continuationSeparator" w:id="0">
    <w:p w14:paraId="00E71916" w14:textId="77777777" w:rsidR="00DB44E2" w:rsidRDefault="00DB44E2" w:rsidP="006B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678F" w14:textId="77777777" w:rsidR="00171B44" w:rsidRDefault="006F43ED" w:rsidP="008971E5">
    <w:pPr>
      <w:pStyle w:val="Piedepgina"/>
      <w:framePr w:wrap="around" w:vAnchor="text" w:hAnchor="margin" w:xAlign="center" w:y="1"/>
      <w:rPr>
        <w:rStyle w:val="Nmerodepgina"/>
      </w:rPr>
    </w:pPr>
    <w:r>
      <w:rPr>
        <w:rStyle w:val="Nmerodepgina"/>
      </w:rPr>
      <w:fldChar w:fldCharType="begin"/>
    </w:r>
    <w:r w:rsidR="00171B44">
      <w:rPr>
        <w:rStyle w:val="Nmerodepgina"/>
      </w:rPr>
      <w:instrText xml:space="preserve">PAGE  </w:instrText>
    </w:r>
    <w:r>
      <w:rPr>
        <w:rStyle w:val="Nmerodepgina"/>
      </w:rPr>
      <w:fldChar w:fldCharType="end"/>
    </w:r>
  </w:p>
  <w:p w14:paraId="7FD6B615" w14:textId="77777777" w:rsidR="00171B44" w:rsidRDefault="00171B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BB0A" w14:textId="77777777" w:rsidR="00171B44" w:rsidRDefault="006F43ED" w:rsidP="008971E5">
    <w:pPr>
      <w:pStyle w:val="Piedepgina"/>
      <w:framePr w:wrap="around" w:vAnchor="text" w:hAnchor="margin" w:xAlign="center" w:y="1"/>
      <w:rPr>
        <w:rStyle w:val="Nmerodepgina"/>
      </w:rPr>
    </w:pPr>
    <w:r>
      <w:rPr>
        <w:rStyle w:val="Nmerodepgina"/>
      </w:rPr>
      <w:fldChar w:fldCharType="begin"/>
    </w:r>
    <w:r w:rsidR="00171B44">
      <w:rPr>
        <w:rStyle w:val="Nmerodepgina"/>
      </w:rPr>
      <w:instrText xml:space="preserve">PAGE  </w:instrText>
    </w:r>
    <w:r>
      <w:rPr>
        <w:rStyle w:val="Nmerodepgina"/>
      </w:rPr>
      <w:fldChar w:fldCharType="separate"/>
    </w:r>
    <w:r w:rsidR="00BE11E0">
      <w:rPr>
        <w:rStyle w:val="Nmerodepgina"/>
        <w:noProof/>
      </w:rPr>
      <w:t>1</w:t>
    </w:r>
    <w:r>
      <w:rPr>
        <w:rStyle w:val="Nmerodepgina"/>
      </w:rPr>
      <w:fldChar w:fldCharType="end"/>
    </w:r>
  </w:p>
  <w:p w14:paraId="351C2ED9" w14:textId="77777777" w:rsidR="00171B44" w:rsidRDefault="0017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CC5D2" w14:textId="77777777" w:rsidR="00DB44E2" w:rsidRDefault="00DB44E2" w:rsidP="006B5EBC">
      <w:r>
        <w:separator/>
      </w:r>
    </w:p>
  </w:footnote>
  <w:footnote w:type="continuationSeparator" w:id="0">
    <w:p w14:paraId="375D280A" w14:textId="77777777" w:rsidR="00DB44E2" w:rsidRDefault="00DB44E2" w:rsidP="006B5EBC">
      <w:r>
        <w:continuationSeparator/>
      </w:r>
    </w:p>
  </w:footnote>
  <w:footnote w:id="1">
    <w:p w14:paraId="10648719" w14:textId="77777777" w:rsidR="00171B44" w:rsidRDefault="00171B44" w:rsidP="007C0F74">
      <w:pPr>
        <w:pStyle w:val="Textonotapie"/>
        <w:jc w:val="both"/>
      </w:pPr>
      <w:r>
        <w:rPr>
          <w:rStyle w:val="Refdenotaalpie"/>
        </w:rPr>
        <w:footnoteRef/>
      </w:r>
      <w:r>
        <w:t xml:space="preserve"> Las ciudades de la muestra del DANE son: Armenia; Barranquilla y Soledad; Bogotá y Soacha; Bucaramanga (que incluye además de esa ciudad a Girón, Floridablanca y Piedecuesta); Cali y Yumbo; Medellín (que incluye</w:t>
      </w:r>
      <w:r w:rsidR="00613028">
        <w:t xml:space="preserve"> además de esa ciudad a</w:t>
      </w:r>
      <w:r>
        <w:t xml:space="preserve"> Bello, Envigado, Itagüí, Barbosa, Copacabana, Caldas, La Estrella, Girardota y Sabaneta); y Pereira y Dosquebradas.</w:t>
      </w:r>
    </w:p>
  </w:footnote>
  <w:footnote w:id="2">
    <w:p w14:paraId="7B9F971B" w14:textId="77777777" w:rsidR="00171B44" w:rsidRDefault="00171B44" w:rsidP="007C0F74">
      <w:pPr>
        <w:pStyle w:val="Textonotapie"/>
        <w:jc w:val="both"/>
      </w:pPr>
      <w:r>
        <w:rPr>
          <w:rStyle w:val="Refdenotaalpie"/>
        </w:rPr>
        <w:footnoteRef/>
      </w:r>
      <w:r>
        <w:t xml:space="preserve"> La información proviene del DANE, Índice de Precios de Vivienda Nueva (IPVN). Se toma la información de la serie histórica 2004 a 2014 de final del cuarto trimestre de cada año. Esos crecimientos nominales se deflactan de acuerdo con el Índice de Precios al Consumidor al final del período.</w:t>
      </w:r>
    </w:p>
  </w:footnote>
  <w:footnote w:id="3">
    <w:p w14:paraId="3474DC86" w14:textId="77777777" w:rsidR="00171B44" w:rsidRDefault="00171B44" w:rsidP="007C0F74">
      <w:pPr>
        <w:pStyle w:val="Textonotapie"/>
        <w:jc w:val="both"/>
      </w:pPr>
      <w:r>
        <w:rPr>
          <w:rStyle w:val="Refdenotaalpie"/>
        </w:rPr>
        <w:footnoteRef/>
      </w:r>
      <w:r>
        <w:t xml:space="preserve"> El Banco de la República para </w:t>
      </w:r>
      <w:r w:rsidR="00290EB9">
        <w:t>la construcción d</w:t>
      </w:r>
      <w:r>
        <w:t>el Índice toma una muestra de 12 ciudades: Bogotá y Soacha, Medellín (que incluye a Bello, Envigado e Itagüí); Cali, Barranquilla, Bucaramanga, Cúcuta, Manizales, Neiva y Villavicencio.</w:t>
      </w:r>
    </w:p>
  </w:footnote>
  <w:footnote w:id="4">
    <w:p w14:paraId="023CC1F2" w14:textId="77777777" w:rsidR="00171B44" w:rsidRPr="008D60B8" w:rsidRDefault="00171B44" w:rsidP="007C0F74">
      <w:pPr>
        <w:pStyle w:val="Textonotapie"/>
        <w:jc w:val="both"/>
        <w:rPr>
          <w:lang w:val="en-US"/>
        </w:rPr>
      </w:pPr>
      <w:r>
        <w:rPr>
          <w:rStyle w:val="Refdenotaalpie"/>
        </w:rPr>
        <w:footnoteRef/>
      </w:r>
      <w:r w:rsidRPr="008D60B8">
        <w:rPr>
          <w:lang w:val="en-US"/>
        </w:rPr>
        <w:t xml:space="preserve"> </w:t>
      </w:r>
      <w:r>
        <w:rPr>
          <w:lang w:val="en-US"/>
        </w:rPr>
        <w:t>“World Population Prospects, The 2012 Revision” United Nations, NY, 2013.</w:t>
      </w:r>
    </w:p>
    <w:p w14:paraId="6FE91C68" w14:textId="77777777" w:rsidR="00171B44" w:rsidRPr="008D60B8" w:rsidRDefault="00171B44" w:rsidP="007C0F74">
      <w:pPr>
        <w:pStyle w:val="Textonotapie"/>
        <w:rPr>
          <w:lang w:val="en-US"/>
        </w:rPr>
      </w:pPr>
    </w:p>
  </w:footnote>
  <w:footnote w:id="5">
    <w:p w14:paraId="5CF3A42A" w14:textId="77777777" w:rsidR="00171B44" w:rsidRDefault="00171B44" w:rsidP="007C0F74">
      <w:pPr>
        <w:pStyle w:val="Textonotapie"/>
      </w:pPr>
      <w:r>
        <w:rPr>
          <w:rStyle w:val="Refdenotaalpie"/>
        </w:rPr>
        <w:footnoteRef/>
      </w:r>
      <w:r>
        <w:t xml:space="preserve"> Artículo 2, Ley 44 de 1990.</w:t>
      </w:r>
    </w:p>
  </w:footnote>
  <w:footnote w:id="6">
    <w:p w14:paraId="09EDBCB2" w14:textId="77777777" w:rsidR="00171B44" w:rsidRDefault="00171B44" w:rsidP="007C0F74">
      <w:pPr>
        <w:pStyle w:val="Textonotapie"/>
      </w:pPr>
      <w:r>
        <w:rPr>
          <w:rStyle w:val="Refdenotaalpie"/>
        </w:rPr>
        <w:footnoteRef/>
      </w:r>
      <w:r>
        <w:t xml:space="preserve"> Artículo 3, Ley 44 de 1990.</w:t>
      </w:r>
    </w:p>
  </w:footnote>
  <w:footnote w:id="7">
    <w:p w14:paraId="006CBF8D" w14:textId="77777777" w:rsidR="00171B44" w:rsidRDefault="00171B44" w:rsidP="007C0F74">
      <w:pPr>
        <w:pStyle w:val="Textonotapie"/>
      </w:pPr>
      <w:r>
        <w:rPr>
          <w:rStyle w:val="Refdenotaalpie"/>
        </w:rPr>
        <w:footnoteRef/>
      </w:r>
      <w:r>
        <w:t xml:space="preserve"> Artículo 4, Ley 44 de 1990, modificado por el artículo 23 de la Ley 1450 de 2011.</w:t>
      </w:r>
    </w:p>
  </w:footnote>
  <w:footnote w:id="8">
    <w:p w14:paraId="66FD3141" w14:textId="77777777" w:rsidR="00171B44" w:rsidRDefault="00171B44" w:rsidP="007C0F74">
      <w:pPr>
        <w:pStyle w:val="Textonotapie"/>
      </w:pPr>
      <w:r>
        <w:rPr>
          <w:rStyle w:val="Refdenotaalpie"/>
        </w:rPr>
        <w:footnoteRef/>
      </w:r>
      <w:r>
        <w:t xml:space="preserve"> Artículo 363, Constitución Nacional.</w:t>
      </w:r>
    </w:p>
  </w:footnote>
  <w:footnote w:id="9">
    <w:p w14:paraId="1A576AD3" w14:textId="77777777" w:rsidR="00171B44" w:rsidRDefault="00171B44" w:rsidP="007C0F74">
      <w:pPr>
        <w:pStyle w:val="Textonotapie"/>
      </w:pPr>
      <w:r>
        <w:rPr>
          <w:rStyle w:val="Refdenotaalpie"/>
        </w:rPr>
        <w:footnoteRef/>
      </w:r>
      <w:r>
        <w:t xml:space="preserve"> Sentencia C-734 de 2002, Corte Constitucional de Colombia (3.3.5). Magistrado Ponente Manuel José Cepeda.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A7A0" w14:textId="77777777" w:rsidR="00171B44" w:rsidRDefault="00171B44" w:rsidP="00C37AD4">
    <w:pPr>
      <w:pStyle w:val="Encabezado"/>
      <w:jc w:val="center"/>
    </w:pPr>
    <w:r>
      <w:rPr>
        <w:rFonts w:ascii="Helvetica" w:hAnsi="Helvetica" w:cs="Helvetica"/>
        <w:noProof/>
        <w:lang w:eastAsia="es-CO"/>
      </w:rPr>
      <w:drawing>
        <wp:inline distT="0" distB="0" distL="0" distR="0" wp14:anchorId="7821089D" wp14:editId="2654704A">
          <wp:extent cx="2453640" cy="937260"/>
          <wp:effectExtent l="0" t="0" r="1016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C3D"/>
    <w:multiLevelType w:val="hybridMultilevel"/>
    <w:tmpl w:val="C156A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844601"/>
    <w:multiLevelType w:val="hybridMultilevel"/>
    <w:tmpl w:val="A9D248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0900D0"/>
    <w:multiLevelType w:val="hybridMultilevel"/>
    <w:tmpl w:val="C156A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1F2594"/>
    <w:multiLevelType w:val="hybridMultilevel"/>
    <w:tmpl w:val="E73EE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ADD6211"/>
    <w:multiLevelType w:val="hybridMultilevel"/>
    <w:tmpl w:val="75465EE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495F02"/>
    <w:multiLevelType w:val="hybridMultilevel"/>
    <w:tmpl w:val="9D1A8B0E"/>
    <w:lvl w:ilvl="0" w:tplc="EB5A6B2A">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0561FD"/>
    <w:multiLevelType w:val="hybridMultilevel"/>
    <w:tmpl w:val="0172EE9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6D393A"/>
    <w:multiLevelType w:val="hybridMultilevel"/>
    <w:tmpl w:val="53068F0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8B56FB8"/>
    <w:multiLevelType w:val="hybridMultilevel"/>
    <w:tmpl w:val="75AE0A5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E82E05"/>
    <w:multiLevelType w:val="hybridMultilevel"/>
    <w:tmpl w:val="C156A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2538C8"/>
    <w:multiLevelType w:val="multilevel"/>
    <w:tmpl w:val="75D879A6"/>
    <w:lvl w:ilvl="0">
      <w:start w:val="1"/>
      <w:numFmt w:val="upperRoman"/>
      <w:lvlText w:val="%1."/>
      <w:lvlJc w:val="left"/>
      <w:pPr>
        <w:ind w:left="720" w:hanging="720"/>
      </w:pPr>
      <w:rPr>
        <w:rFonts w:hint="default"/>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A435444"/>
    <w:multiLevelType w:val="hybridMultilevel"/>
    <w:tmpl w:val="EBF0F86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633633"/>
    <w:multiLevelType w:val="hybridMultilevel"/>
    <w:tmpl w:val="1332D4D2"/>
    <w:lvl w:ilvl="0" w:tplc="E4FE7A88">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DF1631"/>
    <w:multiLevelType w:val="hybridMultilevel"/>
    <w:tmpl w:val="9B5A498E"/>
    <w:lvl w:ilvl="0" w:tplc="62CE09BE">
      <w:start w:val="1"/>
      <w:numFmt w:val="upperRoman"/>
      <w:lvlText w:val="%1."/>
      <w:lvlJc w:val="left"/>
      <w:pPr>
        <w:ind w:left="720" w:hanging="720"/>
      </w:pPr>
      <w:rPr>
        <w:rFonts w:hint="default"/>
        <w:b w:val="0"/>
      </w:rPr>
    </w:lvl>
    <w:lvl w:ilvl="1" w:tplc="DC343B58">
      <w:start w:val="1"/>
      <w:numFmt w:val="lowerLetter"/>
      <w:lvlText w:val="%2."/>
      <w:lvlJc w:val="lef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718B3357"/>
    <w:multiLevelType w:val="hybridMultilevel"/>
    <w:tmpl w:val="C156A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40944A6"/>
    <w:multiLevelType w:val="hybridMultilevel"/>
    <w:tmpl w:val="A9824CD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66D12B7"/>
    <w:multiLevelType w:val="hybridMultilevel"/>
    <w:tmpl w:val="3DC0452C"/>
    <w:lvl w:ilvl="0" w:tplc="93FE0B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90742E4"/>
    <w:multiLevelType w:val="hybridMultilevel"/>
    <w:tmpl w:val="46E2BE5A"/>
    <w:lvl w:ilvl="0" w:tplc="7658A8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DE50681"/>
    <w:multiLevelType w:val="hybridMultilevel"/>
    <w:tmpl w:val="B5B09192"/>
    <w:lvl w:ilvl="0" w:tplc="BD1216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EC47FAC"/>
    <w:multiLevelType w:val="hybridMultilevel"/>
    <w:tmpl w:val="2D00AA18"/>
    <w:lvl w:ilvl="0" w:tplc="FEB871DA">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5"/>
  </w:num>
  <w:num w:numId="4">
    <w:abstractNumId w:val="15"/>
  </w:num>
  <w:num w:numId="5">
    <w:abstractNumId w:val="1"/>
  </w:num>
  <w:num w:numId="6">
    <w:abstractNumId w:val="11"/>
  </w:num>
  <w:num w:numId="7">
    <w:abstractNumId w:val="8"/>
  </w:num>
  <w:num w:numId="8">
    <w:abstractNumId w:val="6"/>
  </w:num>
  <w:num w:numId="9">
    <w:abstractNumId w:val="4"/>
  </w:num>
  <w:num w:numId="10">
    <w:abstractNumId w:val="7"/>
  </w:num>
  <w:num w:numId="11">
    <w:abstractNumId w:val="2"/>
  </w:num>
  <w:num w:numId="12">
    <w:abstractNumId w:val="14"/>
  </w:num>
  <w:num w:numId="13">
    <w:abstractNumId w:val="9"/>
  </w:num>
  <w:num w:numId="14">
    <w:abstractNumId w:val="0"/>
  </w:num>
  <w:num w:numId="15">
    <w:abstractNumId w:val="16"/>
  </w:num>
  <w:num w:numId="16">
    <w:abstractNumId w:val="3"/>
  </w:num>
  <w:num w:numId="17">
    <w:abstractNumId w:val="17"/>
  </w:num>
  <w:num w:numId="18">
    <w:abstractNumId w:val="1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74"/>
    <w:rsid w:val="0000316D"/>
    <w:rsid w:val="0000341F"/>
    <w:rsid w:val="000072DC"/>
    <w:rsid w:val="00014C3B"/>
    <w:rsid w:val="00061B5B"/>
    <w:rsid w:val="00063D14"/>
    <w:rsid w:val="000836AF"/>
    <w:rsid w:val="000B4E37"/>
    <w:rsid w:val="000E133C"/>
    <w:rsid w:val="000F444C"/>
    <w:rsid w:val="00117C25"/>
    <w:rsid w:val="001443EB"/>
    <w:rsid w:val="00171B44"/>
    <w:rsid w:val="0017227B"/>
    <w:rsid w:val="00176416"/>
    <w:rsid w:val="00180257"/>
    <w:rsid w:val="001943D4"/>
    <w:rsid w:val="001A7FA9"/>
    <w:rsid w:val="001B0278"/>
    <w:rsid w:val="001B6FE0"/>
    <w:rsid w:val="001C531A"/>
    <w:rsid w:val="001D57FC"/>
    <w:rsid w:val="001D71E9"/>
    <w:rsid w:val="001F57D8"/>
    <w:rsid w:val="00201F84"/>
    <w:rsid w:val="002027B6"/>
    <w:rsid w:val="00216386"/>
    <w:rsid w:val="002312AF"/>
    <w:rsid w:val="00244D93"/>
    <w:rsid w:val="00253380"/>
    <w:rsid w:val="00290EB9"/>
    <w:rsid w:val="00292CF6"/>
    <w:rsid w:val="002A00AF"/>
    <w:rsid w:val="002A3B82"/>
    <w:rsid w:val="002D4BEF"/>
    <w:rsid w:val="002E35D5"/>
    <w:rsid w:val="002F4ED4"/>
    <w:rsid w:val="00301705"/>
    <w:rsid w:val="003025F9"/>
    <w:rsid w:val="0030499D"/>
    <w:rsid w:val="003345D8"/>
    <w:rsid w:val="003B1C96"/>
    <w:rsid w:val="003C08D2"/>
    <w:rsid w:val="003C593A"/>
    <w:rsid w:val="003C7F56"/>
    <w:rsid w:val="00403917"/>
    <w:rsid w:val="004050B9"/>
    <w:rsid w:val="00414A3A"/>
    <w:rsid w:val="004354F4"/>
    <w:rsid w:val="00442D2A"/>
    <w:rsid w:val="00446CC9"/>
    <w:rsid w:val="004545CA"/>
    <w:rsid w:val="00472AB2"/>
    <w:rsid w:val="00472F6A"/>
    <w:rsid w:val="00473445"/>
    <w:rsid w:val="00491663"/>
    <w:rsid w:val="00496D2B"/>
    <w:rsid w:val="004E6376"/>
    <w:rsid w:val="0051738E"/>
    <w:rsid w:val="005339C9"/>
    <w:rsid w:val="0053454B"/>
    <w:rsid w:val="00537A45"/>
    <w:rsid w:val="00543406"/>
    <w:rsid w:val="005520EC"/>
    <w:rsid w:val="00562EE6"/>
    <w:rsid w:val="00590028"/>
    <w:rsid w:val="005A04CE"/>
    <w:rsid w:val="005B5353"/>
    <w:rsid w:val="005C3D4E"/>
    <w:rsid w:val="005D3AC4"/>
    <w:rsid w:val="005E0299"/>
    <w:rsid w:val="005E1556"/>
    <w:rsid w:val="005E286C"/>
    <w:rsid w:val="005E5C2E"/>
    <w:rsid w:val="00604B6E"/>
    <w:rsid w:val="00613028"/>
    <w:rsid w:val="0061700A"/>
    <w:rsid w:val="0062129F"/>
    <w:rsid w:val="00621F7E"/>
    <w:rsid w:val="00624832"/>
    <w:rsid w:val="006249C8"/>
    <w:rsid w:val="00630DB4"/>
    <w:rsid w:val="0064620F"/>
    <w:rsid w:val="006959C1"/>
    <w:rsid w:val="006A4E16"/>
    <w:rsid w:val="006B5EBC"/>
    <w:rsid w:val="006F43ED"/>
    <w:rsid w:val="006F5FE5"/>
    <w:rsid w:val="00723D36"/>
    <w:rsid w:val="0073341A"/>
    <w:rsid w:val="00766339"/>
    <w:rsid w:val="00793848"/>
    <w:rsid w:val="007A2E2E"/>
    <w:rsid w:val="007B026B"/>
    <w:rsid w:val="007C0E92"/>
    <w:rsid w:val="007C0F74"/>
    <w:rsid w:val="007C7BC1"/>
    <w:rsid w:val="007C7E88"/>
    <w:rsid w:val="007D056D"/>
    <w:rsid w:val="007D4B69"/>
    <w:rsid w:val="00805C69"/>
    <w:rsid w:val="008155DA"/>
    <w:rsid w:val="00835412"/>
    <w:rsid w:val="008519B8"/>
    <w:rsid w:val="0085327C"/>
    <w:rsid w:val="008676CD"/>
    <w:rsid w:val="008719AB"/>
    <w:rsid w:val="008971E5"/>
    <w:rsid w:val="008B5978"/>
    <w:rsid w:val="008B62EA"/>
    <w:rsid w:val="008D60B8"/>
    <w:rsid w:val="008E0F09"/>
    <w:rsid w:val="009166A3"/>
    <w:rsid w:val="0094233A"/>
    <w:rsid w:val="0094768F"/>
    <w:rsid w:val="00977757"/>
    <w:rsid w:val="009E5D05"/>
    <w:rsid w:val="00A26DD8"/>
    <w:rsid w:val="00A720BB"/>
    <w:rsid w:val="00A73E4C"/>
    <w:rsid w:val="00A85D72"/>
    <w:rsid w:val="00AC290E"/>
    <w:rsid w:val="00AC2B20"/>
    <w:rsid w:val="00AD0374"/>
    <w:rsid w:val="00B1449E"/>
    <w:rsid w:val="00B1503B"/>
    <w:rsid w:val="00B35D30"/>
    <w:rsid w:val="00B7465D"/>
    <w:rsid w:val="00B80B29"/>
    <w:rsid w:val="00B844EF"/>
    <w:rsid w:val="00BA5247"/>
    <w:rsid w:val="00BA57C5"/>
    <w:rsid w:val="00BB24D5"/>
    <w:rsid w:val="00BC6C00"/>
    <w:rsid w:val="00BE11E0"/>
    <w:rsid w:val="00BE235A"/>
    <w:rsid w:val="00BE6773"/>
    <w:rsid w:val="00C21814"/>
    <w:rsid w:val="00C2183D"/>
    <w:rsid w:val="00C37AD4"/>
    <w:rsid w:val="00C44CEE"/>
    <w:rsid w:val="00C47404"/>
    <w:rsid w:val="00C57577"/>
    <w:rsid w:val="00C7601A"/>
    <w:rsid w:val="00C775F8"/>
    <w:rsid w:val="00C90AA1"/>
    <w:rsid w:val="00CA08C8"/>
    <w:rsid w:val="00CA300E"/>
    <w:rsid w:val="00CC4C3C"/>
    <w:rsid w:val="00CD7CAA"/>
    <w:rsid w:val="00D01A94"/>
    <w:rsid w:val="00D17F39"/>
    <w:rsid w:val="00D24F32"/>
    <w:rsid w:val="00D25C8E"/>
    <w:rsid w:val="00D262A1"/>
    <w:rsid w:val="00D26F41"/>
    <w:rsid w:val="00D332E7"/>
    <w:rsid w:val="00D335B8"/>
    <w:rsid w:val="00D33928"/>
    <w:rsid w:val="00D43C7F"/>
    <w:rsid w:val="00D4799F"/>
    <w:rsid w:val="00D763F1"/>
    <w:rsid w:val="00DA5CD7"/>
    <w:rsid w:val="00DA6FDF"/>
    <w:rsid w:val="00DB44E2"/>
    <w:rsid w:val="00E16A2F"/>
    <w:rsid w:val="00E24598"/>
    <w:rsid w:val="00E40A6F"/>
    <w:rsid w:val="00E44411"/>
    <w:rsid w:val="00E50470"/>
    <w:rsid w:val="00E667EB"/>
    <w:rsid w:val="00E75AC4"/>
    <w:rsid w:val="00EB14F8"/>
    <w:rsid w:val="00ED2E67"/>
    <w:rsid w:val="00ED567E"/>
    <w:rsid w:val="00EF0F65"/>
    <w:rsid w:val="00F0348A"/>
    <w:rsid w:val="00F26BC6"/>
    <w:rsid w:val="00F30054"/>
    <w:rsid w:val="00F40FC2"/>
    <w:rsid w:val="00F659E5"/>
    <w:rsid w:val="00F7537A"/>
    <w:rsid w:val="00F76FF5"/>
    <w:rsid w:val="00F77BB2"/>
    <w:rsid w:val="00FE28E1"/>
    <w:rsid w:val="00FE50F1"/>
    <w:rsid w:val="00FF160C"/>
    <w:rsid w:val="00FF1A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4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AF"/>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5D5"/>
    <w:pPr>
      <w:ind w:left="720"/>
      <w:contextualSpacing/>
    </w:pPr>
  </w:style>
  <w:style w:type="paragraph" w:styleId="Encabezado">
    <w:name w:val="header"/>
    <w:basedOn w:val="Normal"/>
    <w:link w:val="EncabezadoCar"/>
    <w:uiPriority w:val="99"/>
    <w:unhideWhenUsed/>
    <w:rsid w:val="006B5EBC"/>
    <w:pPr>
      <w:tabs>
        <w:tab w:val="center" w:pos="4419"/>
        <w:tab w:val="right" w:pos="8838"/>
      </w:tabs>
    </w:pPr>
  </w:style>
  <w:style w:type="character" w:customStyle="1" w:styleId="EncabezadoCar">
    <w:name w:val="Encabezado Car"/>
    <w:basedOn w:val="Fuentedeprrafopredeter"/>
    <w:link w:val="Encabezado"/>
    <w:uiPriority w:val="99"/>
    <w:rsid w:val="006B5EBC"/>
  </w:style>
  <w:style w:type="paragraph" w:styleId="Piedepgina">
    <w:name w:val="footer"/>
    <w:basedOn w:val="Normal"/>
    <w:link w:val="PiedepginaCar"/>
    <w:uiPriority w:val="99"/>
    <w:unhideWhenUsed/>
    <w:rsid w:val="006B5EBC"/>
    <w:pPr>
      <w:tabs>
        <w:tab w:val="center" w:pos="4419"/>
        <w:tab w:val="right" w:pos="8838"/>
      </w:tabs>
    </w:pPr>
  </w:style>
  <w:style w:type="character" w:customStyle="1" w:styleId="PiedepginaCar">
    <w:name w:val="Pie de página Car"/>
    <w:basedOn w:val="Fuentedeprrafopredeter"/>
    <w:link w:val="Piedepgina"/>
    <w:uiPriority w:val="99"/>
    <w:rsid w:val="006B5EBC"/>
  </w:style>
  <w:style w:type="paragraph" w:styleId="Textodeglobo">
    <w:name w:val="Balloon Text"/>
    <w:basedOn w:val="Normal"/>
    <w:link w:val="TextodegloboCar"/>
    <w:uiPriority w:val="99"/>
    <w:semiHidden/>
    <w:unhideWhenUsed/>
    <w:rsid w:val="00C37AD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7AD4"/>
    <w:rPr>
      <w:rFonts w:ascii="Lucida Grande" w:hAnsi="Lucida Grande" w:cs="Lucida Grande"/>
      <w:sz w:val="18"/>
      <w:szCs w:val="18"/>
    </w:rPr>
  </w:style>
  <w:style w:type="character" w:styleId="Refdecomentario">
    <w:name w:val="annotation reference"/>
    <w:basedOn w:val="Fuentedeprrafopredeter"/>
    <w:uiPriority w:val="99"/>
    <w:semiHidden/>
    <w:unhideWhenUsed/>
    <w:rsid w:val="00180257"/>
    <w:rPr>
      <w:sz w:val="18"/>
      <w:szCs w:val="18"/>
    </w:rPr>
  </w:style>
  <w:style w:type="paragraph" w:styleId="Textocomentario">
    <w:name w:val="annotation text"/>
    <w:basedOn w:val="Normal"/>
    <w:link w:val="TextocomentarioCar"/>
    <w:uiPriority w:val="99"/>
    <w:semiHidden/>
    <w:unhideWhenUsed/>
    <w:rsid w:val="00180257"/>
    <w:rPr>
      <w:rFonts w:ascii="Arial" w:hAnsi="Arial"/>
    </w:rPr>
  </w:style>
  <w:style w:type="character" w:customStyle="1" w:styleId="TextocomentarioCar">
    <w:name w:val="Texto comentario Car"/>
    <w:basedOn w:val="Fuentedeprrafopredeter"/>
    <w:link w:val="Textocomentario"/>
    <w:uiPriority w:val="99"/>
    <w:semiHidden/>
    <w:rsid w:val="00180257"/>
    <w:rPr>
      <w:rFonts w:ascii="Arial" w:hAnsi="Arial"/>
    </w:rPr>
  </w:style>
  <w:style w:type="character" w:styleId="Hipervnculo">
    <w:name w:val="Hyperlink"/>
    <w:basedOn w:val="Fuentedeprrafopredeter"/>
    <w:uiPriority w:val="99"/>
    <w:unhideWhenUsed/>
    <w:rsid w:val="00EB14F8"/>
    <w:rPr>
      <w:color w:val="0000FF" w:themeColor="hyperlink"/>
      <w:u w:val="single"/>
    </w:rPr>
  </w:style>
  <w:style w:type="paragraph" w:styleId="NormalWeb">
    <w:name w:val="Normal (Web)"/>
    <w:basedOn w:val="Normal"/>
    <w:uiPriority w:val="99"/>
    <w:semiHidden/>
    <w:unhideWhenUsed/>
    <w:rsid w:val="00EB14F8"/>
    <w:rPr>
      <w:rFonts w:ascii="Times New Roman" w:hAnsi="Times New Roman" w:cs="Times New Roman"/>
    </w:rPr>
  </w:style>
  <w:style w:type="paragraph" w:styleId="Textonotapie">
    <w:name w:val="footnote text"/>
    <w:basedOn w:val="Normal"/>
    <w:link w:val="TextonotapieCar"/>
    <w:uiPriority w:val="99"/>
    <w:semiHidden/>
    <w:unhideWhenUsed/>
    <w:rsid w:val="007C0F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0F74"/>
    <w:rPr>
      <w:rFonts w:eastAsiaTheme="minorHAnsi"/>
      <w:sz w:val="20"/>
      <w:szCs w:val="20"/>
      <w:lang w:val="es-CO" w:eastAsia="en-US"/>
    </w:rPr>
  </w:style>
  <w:style w:type="character" w:styleId="Refdenotaalpie">
    <w:name w:val="footnote reference"/>
    <w:basedOn w:val="Fuentedeprrafopredeter"/>
    <w:uiPriority w:val="99"/>
    <w:semiHidden/>
    <w:unhideWhenUsed/>
    <w:rsid w:val="007C0F74"/>
    <w:rPr>
      <w:vertAlign w:val="superscript"/>
    </w:rPr>
  </w:style>
  <w:style w:type="table" w:styleId="Tablaconcuadrcula">
    <w:name w:val="Table Grid"/>
    <w:basedOn w:val="Tablanormal"/>
    <w:uiPriority w:val="39"/>
    <w:rsid w:val="007C0F74"/>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405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AF"/>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5D5"/>
    <w:pPr>
      <w:ind w:left="720"/>
      <w:contextualSpacing/>
    </w:pPr>
  </w:style>
  <w:style w:type="paragraph" w:styleId="Encabezado">
    <w:name w:val="header"/>
    <w:basedOn w:val="Normal"/>
    <w:link w:val="EncabezadoCar"/>
    <w:uiPriority w:val="99"/>
    <w:unhideWhenUsed/>
    <w:rsid w:val="006B5EBC"/>
    <w:pPr>
      <w:tabs>
        <w:tab w:val="center" w:pos="4419"/>
        <w:tab w:val="right" w:pos="8838"/>
      </w:tabs>
    </w:pPr>
  </w:style>
  <w:style w:type="character" w:customStyle="1" w:styleId="EncabezadoCar">
    <w:name w:val="Encabezado Car"/>
    <w:basedOn w:val="Fuentedeprrafopredeter"/>
    <w:link w:val="Encabezado"/>
    <w:uiPriority w:val="99"/>
    <w:rsid w:val="006B5EBC"/>
  </w:style>
  <w:style w:type="paragraph" w:styleId="Piedepgina">
    <w:name w:val="footer"/>
    <w:basedOn w:val="Normal"/>
    <w:link w:val="PiedepginaCar"/>
    <w:uiPriority w:val="99"/>
    <w:unhideWhenUsed/>
    <w:rsid w:val="006B5EBC"/>
    <w:pPr>
      <w:tabs>
        <w:tab w:val="center" w:pos="4419"/>
        <w:tab w:val="right" w:pos="8838"/>
      </w:tabs>
    </w:pPr>
  </w:style>
  <w:style w:type="character" w:customStyle="1" w:styleId="PiedepginaCar">
    <w:name w:val="Pie de página Car"/>
    <w:basedOn w:val="Fuentedeprrafopredeter"/>
    <w:link w:val="Piedepgina"/>
    <w:uiPriority w:val="99"/>
    <w:rsid w:val="006B5EBC"/>
  </w:style>
  <w:style w:type="paragraph" w:styleId="Textodeglobo">
    <w:name w:val="Balloon Text"/>
    <w:basedOn w:val="Normal"/>
    <w:link w:val="TextodegloboCar"/>
    <w:uiPriority w:val="99"/>
    <w:semiHidden/>
    <w:unhideWhenUsed/>
    <w:rsid w:val="00C37AD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7AD4"/>
    <w:rPr>
      <w:rFonts w:ascii="Lucida Grande" w:hAnsi="Lucida Grande" w:cs="Lucida Grande"/>
      <w:sz w:val="18"/>
      <w:szCs w:val="18"/>
    </w:rPr>
  </w:style>
  <w:style w:type="character" w:styleId="Refdecomentario">
    <w:name w:val="annotation reference"/>
    <w:basedOn w:val="Fuentedeprrafopredeter"/>
    <w:uiPriority w:val="99"/>
    <w:semiHidden/>
    <w:unhideWhenUsed/>
    <w:rsid w:val="00180257"/>
    <w:rPr>
      <w:sz w:val="18"/>
      <w:szCs w:val="18"/>
    </w:rPr>
  </w:style>
  <w:style w:type="paragraph" w:styleId="Textocomentario">
    <w:name w:val="annotation text"/>
    <w:basedOn w:val="Normal"/>
    <w:link w:val="TextocomentarioCar"/>
    <w:uiPriority w:val="99"/>
    <w:semiHidden/>
    <w:unhideWhenUsed/>
    <w:rsid w:val="00180257"/>
    <w:rPr>
      <w:rFonts w:ascii="Arial" w:hAnsi="Arial"/>
    </w:rPr>
  </w:style>
  <w:style w:type="character" w:customStyle="1" w:styleId="TextocomentarioCar">
    <w:name w:val="Texto comentario Car"/>
    <w:basedOn w:val="Fuentedeprrafopredeter"/>
    <w:link w:val="Textocomentario"/>
    <w:uiPriority w:val="99"/>
    <w:semiHidden/>
    <w:rsid w:val="00180257"/>
    <w:rPr>
      <w:rFonts w:ascii="Arial" w:hAnsi="Arial"/>
    </w:rPr>
  </w:style>
  <w:style w:type="character" w:styleId="Hipervnculo">
    <w:name w:val="Hyperlink"/>
    <w:basedOn w:val="Fuentedeprrafopredeter"/>
    <w:uiPriority w:val="99"/>
    <w:unhideWhenUsed/>
    <w:rsid w:val="00EB14F8"/>
    <w:rPr>
      <w:color w:val="0000FF" w:themeColor="hyperlink"/>
      <w:u w:val="single"/>
    </w:rPr>
  </w:style>
  <w:style w:type="paragraph" w:styleId="NormalWeb">
    <w:name w:val="Normal (Web)"/>
    <w:basedOn w:val="Normal"/>
    <w:uiPriority w:val="99"/>
    <w:semiHidden/>
    <w:unhideWhenUsed/>
    <w:rsid w:val="00EB14F8"/>
    <w:rPr>
      <w:rFonts w:ascii="Times New Roman" w:hAnsi="Times New Roman" w:cs="Times New Roman"/>
    </w:rPr>
  </w:style>
  <w:style w:type="paragraph" w:styleId="Textonotapie">
    <w:name w:val="footnote text"/>
    <w:basedOn w:val="Normal"/>
    <w:link w:val="TextonotapieCar"/>
    <w:uiPriority w:val="99"/>
    <w:semiHidden/>
    <w:unhideWhenUsed/>
    <w:rsid w:val="007C0F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0F74"/>
    <w:rPr>
      <w:rFonts w:eastAsiaTheme="minorHAnsi"/>
      <w:sz w:val="20"/>
      <w:szCs w:val="20"/>
      <w:lang w:val="es-CO" w:eastAsia="en-US"/>
    </w:rPr>
  </w:style>
  <w:style w:type="character" w:styleId="Refdenotaalpie">
    <w:name w:val="footnote reference"/>
    <w:basedOn w:val="Fuentedeprrafopredeter"/>
    <w:uiPriority w:val="99"/>
    <w:semiHidden/>
    <w:unhideWhenUsed/>
    <w:rsid w:val="007C0F74"/>
    <w:rPr>
      <w:vertAlign w:val="superscript"/>
    </w:rPr>
  </w:style>
  <w:style w:type="table" w:styleId="Tablaconcuadrcula">
    <w:name w:val="Table Grid"/>
    <w:basedOn w:val="Tablanormal"/>
    <w:uiPriority w:val="39"/>
    <w:rsid w:val="007C0F74"/>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40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7042">
      <w:bodyDiv w:val="1"/>
      <w:marLeft w:val="0"/>
      <w:marRight w:val="0"/>
      <w:marTop w:val="0"/>
      <w:marBottom w:val="0"/>
      <w:divBdr>
        <w:top w:val="none" w:sz="0" w:space="0" w:color="auto"/>
        <w:left w:val="none" w:sz="0" w:space="0" w:color="auto"/>
        <w:bottom w:val="none" w:sz="0" w:space="0" w:color="auto"/>
        <w:right w:val="none" w:sz="0" w:space="0" w:color="auto"/>
      </w:divBdr>
    </w:div>
    <w:div w:id="338317663">
      <w:bodyDiv w:val="1"/>
      <w:marLeft w:val="0"/>
      <w:marRight w:val="0"/>
      <w:marTop w:val="0"/>
      <w:marBottom w:val="0"/>
      <w:divBdr>
        <w:top w:val="none" w:sz="0" w:space="0" w:color="auto"/>
        <w:left w:val="none" w:sz="0" w:space="0" w:color="auto"/>
        <w:bottom w:val="none" w:sz="0" w:space="0" w:color="auto"/>
        <w:right w:val="none" w:sz="0" w:space="0" w:color="auto"/>
      </w:divBdr>
    </w:div>
    <w:div w:id="386027336">
      <w:bodyDiv w:val="1"/>
      <w:marLeft w:val="0"/>
      <w:marRight w:val="0"/>
      <w:marTop w:val="0"/>
      <w:marBottom w:val="0"/>
      <w:divBdr>
        <w:top w:val="none" w:sz="0" w:space="0" w:color="auto"/>
        <w:left w:val="none" w:sz="0" w:space="0" w:color="auto"/>
        <w:bottom w:val="none" w:sz="0" w:space="0" w:color="auto"/>
        <w:right w:val="none" w:sz="0" w:space="0" w:color="auto"/>
      </w:divBdr>
    </w:div>
    <w:div w:id="792407839">
      <w:bodyDiv w:val="1"/>
      <w:marLeft w:val="0"/>
      <w:marRight w:val="0"/>
      <w:marTop w:val="0"/>
      <w:marBottom w:val="0"/>
      <w:divBdr>
        <w:top w:val="none" w:sz="0" w:space="0" w:color="auto"/>
        <w:left w:val="none" w:sz="0" w:space="0" w:color="auto"/>
        <w:bottom w:val="none" w:sz="0" w:space="0" w:color="auto"/>
        <w:right w:val="none" w:sz="0" w:space="0" w:color="auto"/>
      </w:divBdr>
    </w:div>
    <w:div w:id="1137340454">
      <w:bodyDiv w:val="1"/>
      <w:marLeft w:val="0"/>
      <w:marRight w:val="0"/>
      <w:marTop w:val="0"/>
      <w:marBottom w:val="0"/>
      <w:divBdr>
        <w:top w:val="none" w:sz="0" w:space="0" w:color="auto"/>
        <w:left w:val="none" w:sz="0" w:space="0" w:color="auto"/>
        <w:bottom w:val="none" w:sz="0" w:space="0" w:color="auto"/>
        <w:right w:val="none" w:sz="0" w:space="0" w:color="auto"/>
      </w:divBdr>
    </w:div>
    <w:div w:id="1582375908">
      <w:bodyDiv w:val="1"/>
      <w:marLeft w:val="0"/>
      <w:marRight w:val="0"/>
      <w:marTop w:val="0"/>
      <w:marBottom w:val="0"/>
      <w:divBdr>
        <w:top w:val="none" w:sz="0" w:space="0" w:color="auto"/>
        <w:left w:val="none" w:sz="0" w:space="0" w:color="auto"/>
        <w:bottom w:val="none" w:sz="0" w:space="0" w:color="auto"/>
        <w:right w:val="none" w:sz="0" w:space="0" w:color="auto"/>
      </w:divBdr>
    </w:div>
    <w:div w:id="1909266731">
      <w:bodyDiv w:val="1"/>
      <w:marLeft w:val="0"/>
      <w:marRight w:val="0"/>
      <w:marTop w:val="0"/>
      <w:marBottom w:val="0"/>
      <w:divBdr>
        <w:top w:val="none" w:sz="0" w:space="0" w:color="auto"/>
        <w:left w:val="none" w:sz="0" w:space="0" w:color="auto"/>
        <w:bottom w:val="none" w:sz="0" w:space="0" w:color="auto"/>
        <w:right w:val="none" w:sz="0" w:space="0" w:color="auto"/>
      </w:divBdr>
    </w:div>
    <w:div w:id="2026442456">
      <w:bodyDiv w:val="1"/>
      <w:marLeft w:val="0"/>
      <w:marRight w:val="0"/>
      <w:marTop w:val="0"/>
      <w:marBottom w:val="0"/>
      <w:divBdr>
        <w:top w:val="none" w:sz="0" w:space="0" w:color="auto"/>
        <w:left w:val="none" w:sz="0" w:space="0" w:color="auto"/>
        <w:bottom w:val="none" w:sz="0" w:space="0" w:color="auto"/>
        <w:right w:val="none" w:sz="0" w:space="0" w:color="auto"/>
      </w:divBdr>
    </w:div>
    <w:div w:id="212252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CarlosAlberto\Documents\Campaign%202015\Indice%20precios%20vivienda%20nueva.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losAlberto\Documents\Campaign%202015\Indice%20Precios%20Vivienda%20Usa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losAlberto\Documents\VEEDURIA%202015\Datos%20Predial%20y%20Catastro%202008%20a%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losAlberto\Documents\VEEDURIA%202015\Datos%20Predial%20y%20Catastro%202008%20a%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losAlberto\Documents\VEEDURIA%202015\Datos%20Predial%20y%20Catastro%202008%20a%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Hoja1!$E$1</c:f>
              <c:strCache>
                <c:ptCount val="1"/>
                <c:pt idx="0">
                  <c:v>Real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Hoja1!$E$2:$E$13</c:f>
              <c:numCache>
                <c:formatCode>0</c:formatCode>
                <c:ptCount val="12"/>
                <c:pt idx="0">
                  <c:v>100</c:v>
                </c:pt>
                <c:pt idx="1">
                  <c:v>106.0853080568717</c:v>
                </c:pt>
                <c:pt idx="2">
                  <c:v>109.69736861732061</c:v>
                </c:pt>
                <c:pt idx="3">
                  <c:v>114.3380880783518</c:v>
                </c:pt>
                <c:pt idx="4">
                  <c:v>127.6120812728014</c:v>
                </c:pt>
                <c:pt idx="5">
                  <c:v>135.38709058969229</c:v>
                </c:pt>
                <c:pt idx="6">
                  <c:v>139.966359830226</c:v>
                </c:pt>
                <c:pt idx="7">
                  <c:v>148.21483775760541</c:v>
                </c:pt>
                <c:pt idx="8">
                  <c:v>156.80223942465659</c:v>
                </c:pt>
                <c:pt idx="9">
                  <c:v>170.4099308389986</c:v>
                </c:pt>
                <c:pt idx="10">
                  <c:v>184.86986709323961</c:v>
                </c:pt>
                <c:pt idx="11">
                  <c:v>195.23156811399701</c:v>
                </c:pt>
              </c:numCache>
            </c:numRef>
          </c:val>
          <c:smooth val="0"/>
        </c:ser>
        <c:dLbls>
          <c:showLegendKey val="0"/>
          <c:showVal val="0"/>
          <c:showCatName val="0"/>
          <c:showSerName val="0"/>
          <c:showPercent val="0"/>
          <c:showBubbleSize val="0"/>
        </c:dLbls>
        <c:marker val="1"/>
        <c:smooth val="0"/>
        <c:axId val="128028672"/>
        <c:axId val="128030208"/>
      </c:lineChart>
      <c:catAx>
        <c:axId val="12802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030208"/>
        <c:crosses val="autoZero"/>
        <c:auto val="1"/>
        <c:lblAlgn val="ctr"/>
        <c:lblOffset val="100"/>
        <c:noMultiLvlLbl val="0"/>
      </c:catAx>
      <c:valAx>
        <c:axId val="12803020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028672"/>
        <c:crosses val="autoZero"/>
        <c:crossBetween val="between"/>
        <c:majorUnit val="20"/>
        <c:min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Bogotá</c:v>
                </c:pt>
              </c:strCache>
            </c:strRef>
          </c:tx>
          <c:spPr>
            <a:ln w="28575" cap="rnd">
              <a:solidFill>
                <a:schemeClr val="accent1"/>
              </a:solidFill>
              <a:round/>
            </a:ln>
            <a:effectLst/>
          </c:spPr>
          <c:marker>
            <c:symbol val="none"/>
          </c:marker>
          <c:cat>
            <c:strRef>
              <c:f>Hoja1!$A$11:$A$25</c:f>
              <c:strCach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Hoja1!$B$11:$B$25</c:f>
              <c:numCache>
                <c:formatCode>General</c:formatCode>
                <c:ptCount val="15"/>
                <c:pt idx="0">
                  <c:v>76.88</c:v>
                </c:pt>
                <c:pt idx="1">
                  <c:v>67.86</c:v>
                </c:pt>
                <c:pt idx="2">
                  <c:v>68.400000000000006</c:v>
                </c:pt>
                <c:pt idx="3">
                  <c:v>66.8</c:v>
                </c:pt>
                <c:pt idx="4">
                  <c:v>65.37</c:v>
                </c:pt>
                <c:pt idx="5">
                  <c:v>67.14</c:v>
                </c:pt>
                <c:pt idx="6">
                  <c:v>69.34</c:v>
                </c:pt>
                <c:pt idx="7">
                  <c:v>76.09</c:v>
                </c:pt>
                <c:pt idx="8">
                  <c:v>83.03</c:v>
                </c:pt>
                <c:pt idx="9">
                  <c:v>93.179999999999978</c:v>
                </c:pt>
                <c:pt idx="10">
                  <c:v>102.07</c:v>
                </c:pt>
                <c:pt idx="11">
                  <c:v>104.8</c:v>
                </c:pt>
                <c:pt idx="12">
                  <c:v>108.64</c:v>
                </c:pt>
                <c:pt idx="13">
                  <c:v>120.89</c:v>
                </c:pt>
                <c:pt idx="14">
                  <c:v>137.16</c:v>
                </c:pt>
              </c:numCache>
            </c:numRef>
          </c:val>
          <c:smooth val="0"/>
        </c:ser>
        <c:ser>
          <c:idx val="1"/>
          <c:order val="1"/>
          <c:tx>
            <c:strRef>
              <c:f>Hoja1!$C$1</c:f>
              <c:strCache>
                <c:ptCount val="1"/>
                <c:pt idx="0">
                  <c:v>Medellín</c:v>
                </c:pt>
              </c:strCache>
            </c:strRef>
          </c:tx>
          <c:spPr>
            <a:ln w="28575" cap="rnd">
              <a:solidFill>
                <a:schemeClr val="accent2"/>
              </a:solidFill>
              <a:round/>
            </a:ln>
            <a:effectLst/>
          </c:spPr>
          <c:marker>
            <c:symbol val="none"/>
          </c:marker>
          <c:cat>
            <c:strRef>
              <c:f>Hoja1!$A$11:$A$25</c:f>
              <c:strCach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Hoja1!$C$11:$C$25</c:f>
              <c:numCache>
                <c:formatCode>General</c:formatCode>
                <c:ptCount val="15"/>
                <c:pt idx="0">
                  <c:v>84.23</c:v>
                </c:pt>
                <c:pt idx="1">
                  <c:v>82.65</c:v>
                </c:pt>
                <c:pt idx="2">
                  <c:v>79.650000000000006</c:v>
                </c:pt>
                <c:pt idx="3">
                  <c:v>73.14</c:v>
                </c:pt>
                <c:pt idx="4">
                  <c:v>66.05</c:v>
                </c:pt>
                <c:pt idx="5">
                  <c:v>69.12</c:v>
                </c:pt>
                <c:pt idx="6">
                  <c:v>69.010000000000005</c:v>
                </c:pt>
                <c:pt idx="7">
                  <c:v>76</c:v>
                </c:pt>
                <c:pt idx="8">
                  <c:v>86.82</c:v>
                </c:pt>
                <c:pt idx="9">
                  <c:v>96.05</c:v>
                </c:pt>
                <c:pt idx="10">
                  <c:v>98.56</c:v>
                </c:pt>
                <c:pt idx="11">
                  <c:v>105.03</c:v>
                </c:pt>
                <c:pt idx="12">
                  <c:v>108.24</c:v>
                </c:pt>
                <c:pt idx="13">
                  <c:v>114.11</c:v>
                </c:pt>
                <c:pt idx="14">
                  <c:v>121.28</c:v>
                </c:pt>
              </c:numCache>
            </c:numRef>
          </c:val>
          <c:smooth val="0"/>
        </c:ser>
        <c:ser>
          <c:idx val="2"/>
          <c:order val="2"/>
          <c:tx>
            <c:strRef>
              <c:f>Hoja1!$D$1</c:f>
              <c:strCache>
                <c:ptCount val="1"/>
                <c:pt idx="0">
                  <c:v>Cali</c:v>
                </c:pt>
              </c:strCache>
            </c:strRef>
          </c:tx>
          <c:spPr>
            <a:ln w="28575" cap="rnd">
              <a:solidFill>
                <a:schemeClr val="accent3"/>
              </a:solidFill>
              <a:round/>
            </a:ln>
            <a:effectLst/>
          </c:spPr>
          <c:marker>
            <c:symbol val="none"/>
          </c:marker>
          <c:cat>
            <c:strRef>
              <c:f>Hoja1!$A$11:$A$25</c:f>
              <c:strCach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Hoja1!$D$11:$D$25</c:f>
              <c:numCache>
                <c:formatCode>General</c:formatCode>
                <c:ptCount val="15"/>
                <c:pt idx="0">
                  <c:v>68.47</c:v>
                </c:pt>
                <c:pt idx="1">
                  <c:v>65.240000000000023</c:v>
                </c:pt>
                <c:pt idx="2">
                  <c:v>58.41</c:v>
                </c:pt>
                <c:pt idx="3">
                  <c:v>58.64</c:v>
                </c:pt>
                <c:pt idx="4">
                  <c:v>58.4</c:v>
                </c:pt>
                <c:pt idx="5">
                  <c:v>62.21</c:v>
                </c:pt>
                <c:pt idx="6">
                  <c:v>67.150000000000006</c:v>
                </c:pt>
                <c:pt idx="7">
                  <c:v>70.23</c:v>
                </c:pt>
                <c:pt idx="8">
                  <c:v>82.35</c:v>
                </c:pt>
                <c:pt idx="9">
                  <c:v>82.43</c:v>
                </c:pt>
                <c:pt idx="10">
                  <c:v>85.69</c:v>
                </c:pt>
                <c:pt idx="11">
                  <c:v>82.83</c:v>
                </c:pt>
                <c:pt idx="12">
                  <c:v>86.69</c:v>
                </c:pt>
                <c:pt idx="13">
                  <c:v>91.08</c:v>
                </c:pt>
                <c:pt idx="14">
                  <c:v>93.57</c:v>
                </c:pt>
              </c:numCache>
            </c:numRef>
          </c:val>
          <c:smooth val="0"/>
        </c:ser>
        <c:ser>
          <c:idx val="3"/>
          <c:order val="3"/>
          <c:tx>
            <c:strRef>
              <c:f>Hoja1!$E$1</c:f>
              <c:strCache>
                <c:ptCount val="1"/>
                <c:pt idx="0">
                  <c:v>Otras ciudades</c:v>
                </c:pt>
              </c:strCache>
            </c:strRef>
          </c:tx>
          <c:spPr>
            <a:ln w="28575" cap="rnd">
              <a:solidFill>
                <a:schemeClr val="accent4"/>
              </a:solidFill>
              <a:round/>
            </a:ln>
            <a:effectLst/>
          </c:spPr>
          <c:marker>
            <c:symbol val="none"/>
          </c:marker>
          <c:cat>
            <c:strRef>
              <c:f>Hoja1!$A$11:$A$25</c:f>
              <c:strCach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Hoja1!$E$11:$E$25</c:f>
              <c:numCache>
                <c:formatCode>General</c:formatCode>
                <c:ptCount val="15"/>
                <c:pt idx="0">
                  <c:v>80.179999999999978</c:v>
                </c:pt>
                <c:pt idx="1">
                  <c:v>75.2</c:v>
                </c:pt>
                <c:pt idx="2">
                  <c:v>72.710000000000022</c:v>
                </c:pt>
                <c:pt idx="3">
                  <c:v>69.819999999999993</c:v>
                </c:pt>
                <c:pt idx="4">
                  <c:v>67.430000000000007</c:v>
                </c:pt>
                <c:pt idx="5">
                  <c:v>69.08</c:v>
                </c:pt>
                <c:pt idx="6">
                  <c:v>71.05</c:v>
                </c:pt>
                <c:pt idx="7">
                  <c:v>77.710000000000022</c:v>
                </c:pt>
                <c:pt idx="8">
                  <c:v>86.28</c:v>
                </c:pt>
                <c:pt idx="9">
                  <c:v>95.27</c:v>
                </c:pt>
                <c:pt idx="10">
                  <c:v>99.14</c:v>
                </c:pt>
                <c:pt idx="11">
                  <c:v>104.95</c:v>
                </c:pt>
                <c:pt idx="12">
                  <c:v>108.95</c:v>
                </c:pt>
                <c:pt idx="13">
                  <c:v>117.86</c:v>
                </c:pt>
                <c:pt idx="14">
                  <c:v>127.49</c:v>
                </c:pt>
              </c:numCache>
            </c:numRef>
          </c:val>
          <c:smooth val="0"/>
        </c:ser>
        <c:dLbls>
          <c:showLegendKey val="0"/>
          <c:showVal val="0"/>
          <c:showCatName val="0"/>
          <c:showSerName val="0"/>
          <c:showPercent val="0"/>
          <c:showBubbleSize val="0"/>
        </c:dLbls>
        <c:marker val="1"/>
        <c:smooth val="0"/>
        <c:axId val="112574464"/>
        <c:axId val="112576000"/>
      </c:lineChart>
      <c:catAx>
        <c:axId val="11257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2576000"/>
        <c:crosses val="autoZero"/>
        <c:auto val="1"/>
        <c:lblAlgn val="ctr"/>
        <c:lblOffset val="100"/>
        <c:noMultiLvlLbl val="0"/>
      </c:catAx>
      <c:valAx>
        <c:axId val="112576000"/>
        <c:scaling>
          <c:orientation val="minMax"/>
          <c:max val="140"/>
          <c:min val="4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257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Resumen!$B$11</c:f>
              <c:strCache>
                <c:ptCount val="1"/>
                <c:pt idx="0">
                  <c:v>Valor Catastral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Resumen!$A$12:$A$19</c:f>
              <c:strCache>
                <c:ptCount val="8"/>
                <c:pt idx="0">
                  <c:v>2008</c:v>
                </c:pt>
                <c:pt idx="1">
                  <c:v>2009</c:v>
                </c:pt>
                <c:pt idx="2">
                  <c:v>2010</c:v>
                </c:pt>
                <c:pt idx="3">
                  <c:v>2011</c:v>
                </c:pt>
                <c:pt idx="4">
                  <c:v>2012</c:v>
                </c:pt>
                <c:pt idx="5">
                  <c:v>2013</c:v>
                </c:pt>
                <c:pt idx="6">
                  <c:v>2014</c:v>
                </c:pt>
                <c:pt idx="7">
                  <c:v>2015</c:v>
                </c:pt>
              </c:strCache>
            </c:strRef>
          </c:cat>
          <c:val>
            <c:numRef>
              <c:f>Resumen!$B$12:$B$19</c:f>
              <c:numCache>
                <c:formatCode>0</c:formatCode>
                <c:ptCount val="8"/>
                <c:pt idx="0">
                  <c:v>121.202549</c:v>
                </c:pt>
                <c:pt idx="1">
                  <c:v>153.97739100000001</c:v>
                </c:pt>
                <c:pt idx="2">
                  <c:v>196.61421899999999</c:v>
                </c:pt>
                <c:pt idx="3">
                  <c:v>239.17518699999999</c:v>
                </c:pt>
                <c:pt idx="4">
                  <c:v>280.08574599999957</c:v>
                </c:pt>
                <c:pt idx="5">
                  <c:v>333.68947000000031</c:v>
                </c:pt>
                <c:pt idx="6">
                  <c:v>387.93239799999822</c:v>
                </c:pt>
                <c:pt idx="7">
                  <c:v>446.90754099999958</c:v>
                </c:pt>
              </c:numCache>
            </c:numRef>
          </c:val>
        </c:ser>
        <c:dLbls>
          <c:showLegendKey val="0"/>
          <c:showVal val="0"/>
          <c:showCatName val="0"/>
          <c:showSerName val="0"/>
          <c:showPercent val="0"/>
          <c:showBubbleSize val="0"/>
        </c:dLbls>
        <c:gapWidth val="219"/>
        <c:overlap val="-27"/>
        <c:axId val="112584192"/>
        <c:axId val="112585728"/>
      </c:barChart>
      <c:catAx>
        <c:axId val="1125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2585728"/>
        <c:crosses val="autoZero"/>
        <c:auto val="1"/>
        <c:lblAlgn val="ctr"/>
        <c:lblOffset val="100"/>
        <c:noMultiLvlLbl val="0"/>
      </c:catAx>
      <c:valAx>
        <c:axId val="1125857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258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86046731305"/>
          <c:y val="4.8597305058537703E-2"/>
          <c:w val="0.84801384837601901"/>
          <c:h val="0.87303610227529505"/>
        </c:manualLayout>
      </c:layout>
      <c:barChart>
        <c:barDir val="col"/>
        <c:grouping val="clustered"/>
        <c:varyColors val="0"/>
        <c:ser>
          <c:idx val="0"/>
          <c:order val="0"/>
          <c:tx>
            <c:strRef>
              <c:f>Resumen!$C$11</c:f>
              <c:strCache>
                <c:ptCount val="1"/>
                <c:pt idx="0">
                  <c:v>Recaudo Predial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Resumen!$A$12:$A$19</c:f>
              <c:strCache>
                <c:ptCount val="8"/>
                <c:pt idx="0">
                  <c:v>2008</c:v>
                </c:pt>
                <c:pt idx="1">
                  <c:v>2009</c:v>
                </c:pt>
                <c:pt idx="2">
                  <c:v>2010</c:v>
                </c:pt>
                <c:pt idx="3">
                  <c:v>2011</c:v>
                </c:pt>
                <c:pt idx="4">
                  <c:v>2012</c:v>
                </c:pt>
                <c:pt idx="5">
                  <c:v>2013</c:v>
                </c:pt>
                <c:pt idx="6">
                  <c:v>2014</c:v>
                </c:pt>
                <c:pt idx="7">
                  <c:v>2015</c:v>
                </c:pt>
              </c:strCache>
            </c:strRef>
          </c:cat>
          <c:val>
            <c:numRef>
              <c:f>Resumen!$C$12:$C$19</c:f>
              <c:numCache>
                <c:formatCode>#,##0</c:formatCode>
                <c:ptCount val="8"/>
                <c:pt idx="0">
                  <c:v>761374</c:v>
                </c:pt>
                <c:pt idx="1">
                  <c:v>757858</c:v>
                </c:pt>
                <c:pt idx="2">
                  <c:v>909883</c:v>
                </c:pt>
                <c:pt idx="3">
                  <c:v>1074713</c:v>
                </c:pt>
                <c:pt idx="4">
                  <c:v>1217425</c:v>
                </c:pt>
                <c:pt idx="5">
                  <c:v>1439369</c:v>
                </c:pt>
                <c:pt idx="6">
                  <c:v>1733327</c:v>
                </c:pt>
                <c:pt idx="7">
                  <c:v>2097886</c:v>
                </c:pt>
              </c:numCache>
            </c:numRef>
          </c:val>
        </c:ser>
        <c:dLbls>
          <c:showLegendKey val="0"/>
          <c:showVal val="0"/>
          <c:showCatName val="0"/>
          <c:showSerName val="0"/>
          <c:showPercent val="0"/>
          <c:showBubbleSize val="0"/>
        </c:dLbls>
        <c:gapWidth val="219"/>
        <c:overlap val="-27"/>
        <c:axId val="113805952"/>
        <c:axId val="113815936"/>
      </c:barChart>
      <c:catAx>
        <c:axId val="11380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815936"/>
        <c:crosses val="autoZero"/>
        <c:auto val="1"/>
        <c:lblAlgn val="ctr"/>
        <c:lblOffset val="100"/>
        <c:noMultiLvlLbl val="0"/>
      </c:catAx>
      <c:valAx>
        <c:axId val="113815936"/>
        <c:scaling>
          <c:orientation val="minMax"/>
          <c:min val="50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80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Resumen!$B$41</c:f>
              <c:strCache>
                <c:ptCount val="1"/>
                <c:pt idx="0">
                  <c:v>Valor Catastral</c:v>
                </c:pt>
              </c:strCache>
            </c:strRef>
          </c:tx>
          <c:spPr>
            <a:ln w="28575" cap="rnd">
              <a:solidFill>
                <a:schemeClr val="accent1"/>
              </a:solidFill>
              <a:round/>
            </a:ln>
            <a:effectLst/>
          </c:spPr>
          <c:marker>
            <c:symbol val="none"/>
          </c:marker>
          <c:cat>
            <c:strRef>
              <c:f>Resumen!$A$42:$A$48</c:f>
              <c:strCache>
                <c:ptCount val="7"/>
                <c:pt idx="0">
                  <c:v>2009</c:v>
                </c:pt>
                <c:pt idx="1">
                  <c:v>2010</c:v>
                </c:pt>
                <c:pt idx="2">
                  <c:v>2011</c:v>
                </c:pt>
                <c:pt idx="3">
                  <c:v>2012</c:v>
                </c:pt>
                <c:pt idx="4">
                  <c:v>2013</c:v>
                </c:pt>
                <c:pt idx="5">
                  <c:v>2014</c:v>
                </c:pt>
                <c:pt idx="6">
                  <c:v>2015</c:v>
                </c:pt>
              </c:strCache>
            </c:strRef>
          </c:cat>
          <c:val>
            <c:numRef>
              <c:f>Resumen!$B$42:$B$48</c:f>
              <c:numCache>
                <c:formatCode>0.0%</c:formatCode>
                <c:ptCount val="7"/>
                <c:pt idx="0">
                  <c:v>0.27041380128069897</c:v>
                </c:pt>
                <c:pt idx="1">
                  <c:v>0.27690317210271498</c:v>
                </c:pt>
                <c:pt idx="2">
                  <c:v>0.21646943042303701</c:v>
                </c:pt>
                <c:pt idx="3">
                  <c:v>0.17104850847257799</c:v>
                </c:pt>
                <c:pt idx="4">
                  <c:v>0.19138326303831299</c:v>
                </c:pt>
                <c:pt idx="5">
                  <c:v>0.16255510849653099</c:v>
                </c:pt>
                <c:pt idx="6">
                  <c:v>0.15202427872497501</c:v>
                </c:pt>
              </c:numCache>
            </c:numRef>
          </c:val>
          <c:smooth val="0"/>
        </c:ser>
        <c:ser>
          <c:idx val="1"/>
          <c:order val="1"/>
          <c:tx>
            <c:strRef>
              <c:f>Resumen!$C$41</c:f>
              <c:strCache>
                <c:ptCount val="1"/>
                <c:pt idx="0">
                  <c:v>Recaudo Predial</c:v>
                </c:pt>
              </c:strCache>
            </c:strRef>
          </c:tx>
          <c:spPr>
            <a:ln w="28575" cap="rnd">
              <a:solidFill>
                <a:schemeClr val="accent2"/>
              </a:solidFill>
              <a:round/>
            </a:ln>
            <a:effectLst/>
          </c:spPr>
          <c:marker>
            <c:symbol val="none"/>
          </c:marker>
          <c:cat>
            <c:strRef>
              <c:f>Resumen!$A$42:$A$48</c:f>
              <c:strCache>
                <c:ptCount val="7"/>
                <c:pt idx="0">
                  <c:v>2009</c:v>
                </c:pt>
                <c:pt idx="1">
                  <c:v>2010</c:v>
                </c:pt>
                <c:pt idx="2">
                  <c:v>2011</c:v>
                </c:pt>
                <c:pt idx="3">
                  <c:v>2012</c:v>
                </c:pt>
                <c:pt idx="4">
                  <c:v>2013</c:v>
                </c:pt>
                <c:pt idx="5">
                  <c:v>2014</c:v>
                </c:pt>
                <c:pt idx="6">
                  <c:v>2015</c:v>
                </c:pt>
              </c:strCache>
            </c:strRef>
          </c:cat>
          <c:val>
            <c:numRef>
              <c:f>Resumen!$C$42:$C$48</c:f>
              <c:numCache>
                <c:formatCode>0.0%</c:formatCode>
                <c:ptCount val="7"/>
                <c:pt idx="0">
                  <c:v>-4.61796699125527E-3</c:v>
                </c:pt>
                <c:pt idx="1">
                  <c:v>0.20059826511035</c:v>
                </c:pt>
                <c:pt idx="2">
                  <c:v>0.18115515950951899</c:v>
                </c:pt>
                <c:pt idx="3">
                  <c:v>0.13279080089289</c:v>
                </c:pt>
                <c:pt idx="4">
                  <c:v>0.182306096884818</c:v>
                </c:pt>
                <c:pt idx="5">
                  <c:v>0.204226991132921</c:v>
                </c:pt>
                <c:pt idx="6">
                  <c:v>0.21032326848886601</c:v>
                </c:pt>
              </c:numCache>
            </c:numRef>
          </c:val>
          <c:smooth val="0"/>
        </c:ser>
        <c:ser>
          <c:idx val="2"/>
          <c:order val="2"/>
          <c:tx>
            <c:strRef>
              <c:f>Resumen!$D$41</c:f>
              <c:strCache>
                <c:ptCount val="1"/>
                <c:pt idx="0">
                  <c:v>IPC</c:v>
                </c:pt>
              </c:strCache>
            </c:strRef>
          </c:tx>
          <c:spPr>
            <a:ln w="28575" cap="rnd">
              <a:solidFill>
                <a:schemeClr val="accent3"/>
              </a:solidFill>
              <a:round/>
            </a:ln>
            <a:effectLst/>
          </c:spPr>
          <c:marker>
            <c:symbol val="none"/>
          </c:marker>
          <c:cat>
            <c:strRef>
              <c:f>Resumen!$A$42:$A$48</c:f>
              <c:strCache>
                <c:ptCount val="7"/>
                <c:pt idx="0">
                  <c:v>2009</c:v>
                </c:pt>
                <c:pt idx="1">
                  <c:v>2010</c:v>
                </c:pt>
                <c:pt idx="2">
                  <c:v>2011</c:v>
                </c:pt>
                <c:pt idx="3">
                  <c:v>2012</c:v>
                </c:pt>
                <c:pt idx="4">
                  <c:v>2013</c:v>
                </c:pt>
                <c:pt idx="5">
                  <c:v>2014</c:v>
                </c:pt>
                <c:pt idx="6">
                  <c:v>2015</c:v>
                </c:pt>
              </c:strCache>
            </c:strRef>
          </c:cat>
          <c:val>
            <c:numRef>
              <c:f>Resumen!$D$42:$D$48</c:f>
              <c:numCache>
                <c:formatCode>0.00%</c:formatCode>
                <c:ptCount val="7"/>
                <c:pt idx="0">
                  <c:v>0.02</c:v>
                </c:pt>
                <c:pt idx="1">
                  <c:v>3.1699999999999999E-2</c:v>
                </c:pt>
                <c:pt idx="2">
                  <c:v>3.73E-2</c:v>
                </c:pt>
                <c:pt idx="3">
                  <c:v>2.4400000000000002E-2</c:v>
                </c:pt>
                <c:pt idx="4">
                  <c:v>1.9400000000000001E-2</c:v>
                </c:pt>
                <c:pt idx="5">
                  <c:v>3.6600000000000001E-2</c:v>
                </c:pt>
                <c:pt idx="6">
                  <c:v>0.03</c:v>
                </c:pt>
              </c:numCache>
            </c:numRef>
          </c:val>
          <c:smooth val="0"/>
        </c:ser>
        <c:ser>
          <c:idx val="3"/>
          <c:order val="3"/>
          <c:tx>
            <c:strRef>
              <c:f>Resumen!$E$41</c:f>
              <c:strCache>
                <c:ptCount val="1"/>
                <c:pt idx="0">
                  <c:v>Salario Minimo</c:v>
                </c:pt>
              </c:strCache>
            </c:strRef>
          </c:tx>
          <c:spPr>
            <a:ln w="28575" cap="rnd">
              <a:solidFill>
                <a:schemeClr val="accent4"/>
              </a:solidFill>
              <a:round/>
            </a:ln>
            <a:effectLst/>
          </c:spPr>
          <c:marker>
            <c:symbol val="none"/>
          </c:marker>
          <c:cat>
            <c:strRef>
              <c:f>Resumen!$A$42:$A$48</c:f>
              <c:strCache>
                <c:ptCount val="7"/>
                <c:pt idx="0">
                  <c:v>2009</c:v>
                </c:pt>
                <c:pt idx="1">
                  <c:v>2010</c:v>
                </c:pt>
                <c:pt idx="2">
                  <c:v>2011</c:v>
                </c:pt>
                <c:pt idx="3">
                  <c:v>2012</c:v>
                </c:pt>
                <c:pt idx="4">
                  <c:v>2013</c:v>
                </c:pt>
                <c:pt idx="5">
                  <c:v>2014</c:v>
                </c:pt>
                <c:pt idx="6">
                  <c:v>2015</c:v>
                </c:pt>
              </c:strCache>
            </c:strRef>
          </c:cat>
          <c:val>
            <c:numRef>
              <c:f>Resumen!$E$42:$E$48</c:f>
              <c:numCache>
                <c:formatCode>0.00%</c:formatCode>
                <c:ptCount val="7"/>
                <c:pt idx="0">
                  <c:v>7.4756229685807196E-2</c:v>
                </c:pt>
                <c:pt idx="1">
                  <c:v>3.8306451612903199E-2</c:v>
                </c:pt>
                <c:pt idx="2">
                  <c:v>0.04</c:v>
                </c:pt>
                <c:pt idx="3">
                  <c:v>5.8065720687079797E-2</c:v>
                </c:pt>
                <c:pt idx="4">
                  <c:v>4.0232927474854498E-2</c:v>
                </c:pt>
                <c:pt idx="5">
                  <c:v>4.4953350296861802E-2</c:v>
                </c:pt>
                <c:pt idx="6">
                  <c:v>4.6022727272727403E-2</c:v>
                </c:pt>
              </c:numCache>
            </c:numRef>
          </c:val>
          <c:smooth val="0"/>
        </c:ser>
        <c:dLbls>
          <c:showLegendKey val="0"/>
          <c:showVal val="0"/>
          <c:showCatName val="0"/>
          <c:showSerName val="0"/>
          <c:showPercent val="0"/>
          <c:showBubbleSize val="0"/>
        </c:dLbls>
        <c:marker val="1"/>
        <c:smooth val="0"/>
        <c:axId val="113825664"/>
        <c:axId val="113827200"/>
      </c:lineChart>
      <c:catAx>
        <c:axId val="1138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827200"/>
        <c:crosses val="autoZero"/>
        <c:auto val="1"/>
        <c:lblAlgn val="ctr"/>
        <c:lblOffset val="100"/>
        <c:noMultiLvlLbl val="0"/>
      </c:catAx>
      <c:valAx>
        <c:axId val="113827200"/>
        <c:scaling>
          <c:orientation val="minMax"/>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82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019B-FB8A-4BAE-B243-5B0998AA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4730</Words>
  <Characters>26015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Urueta</dc:creator>
  <cp:lastModifiedBy>Luisa Maria Lozano Diaz</cp:lastModifiedBy>
  <cp:revision>2</cp:revision>
  <cp:lastPrinted>2015-04-21T14:53:00Z</cp:lastPrinted>
  <dcterms:created xsi:type="dcterms:W3CDTF">2015-04-21T14:57:00Z</dcterms:created>
  <dcterms:modified xsi:type="dcterms:W3CDTF">2015-04-21T14:57:00Z</dcterms:modified>
</cp:coreProperties>
</file>