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B32" w:rsidRPr="00B30577" w:rsidRDefault="005A4B32" w:rsidP="005A4B32">
      <w:pPr>
        <w:spacing w:after="0" w:line="240" w:lineRule="auto"/>
        <w:jc w:val="center"/>
        <w:rPr>
          <w:rFonts w:ascii="Arial" w:eastAsia="Calibri" w:hAnsi="Arial" w:cs="Arial"/>
          <w:b/>
          <w:sz w:val="24"/>
          <w:lang w:val="es-ES" w:eastAsia="es-CO"/>
        </w:rPr>
      </w:pPr>
      <w:r w:rsidRPr="00B30577">
        <w:rPr>
          <w:rFonts w:ascii="Arial" w:eastAsia="Calibri" w:hAnsi="Arial" w:cs="Arial"/>
          <w:b/>
          <w:sz w:val="24"/>
          <w:lang w:val="es-ES" w:eastAsia="es-CO"/>
        </w:rPr>
        <w:t>ACTO LEGISLATIVO _____ DE 2017</w:t>
      </w:r>
    </w:p>
    <w:p w:rsidR="005A4B32" w:rsidRDefault="005A4B32" w:rsidP="005A4B32">
      <w:pPr>
        <w:spacing w:after="0" w:line="240" w:lineRule="auto"/>
        <w:jc w:val="center"/>
        <w:rPr>
          <w:rFonts w:ascii="Arial" w:eastAsia="Times New Roman" w:hAnsi="Arial" w:cs="Arial"/>
          <w:color w:val="000000"/>
          <w:sz w:val="24"/>
          <w:lang w:eastAsia="es-CO"/>
        </w:rPr>
      </w:pPr>
    </w:p>
    <w:p w:rsidR="005A4B32" w:rsidRPr="00B30577" w:rsidRDefault="005A4B32" w:rsidP="005A4B32">
      <w:pPr>
        <w:spacing w:after="0" w:line="240" w:lineRule="auto"/>
        <w:jc w:val="center"/>
        <w:rPr>
          <w:rFonts w:ascii="Arial" w:eastAsia="Times New Roman" w:hAnsi="Arial" w:cs="Arial"/>
          <w:color w:val="000000"/>
          <w:sz w:val="24"/>
          <w:lang w:eastAsia="es-CO"/>
        </w:rPr>
      </w:pPr>
      <w:r w:rsidRPr="00B30577">
        <w:rPr>
          <w:rFonts w:ascii="Arial" w:eastAsia="Times New Roman" w:hAnsi="Arial" w:cs="Arial"/>
          <w:color w:val="000000"/>
          <w:sz w:val="24"/>
          <w:lang w:eastAsia="es-CO"/>
        </w:rPr>
        <w:t>Por el cual se adiciona el artículo 361 de la Constitución Política</w:t>
      </w:r>
    </w:p>
    <w:p w:rsidR="005A4B32" w:rsidRPr="00B30577" w:rsidRDefault="005A4B32" w:rsidP="005A4B32">
      <w:pPr>
        <w:spacing w:after="0" w:line="240" w:lineRule="auto"/>
        <w:jc w:val="center"/>
        <w:rPr>
          <w:rFonts w:ascii="Arial" w:eastAsia="Times New Roman" w:hAnsi="Arial" w:cs="Arial"/>
          <w:color w:val="000000"/>
          <w:sz w:val="24"/>
          <w:lang w:eastAsia="es-CO"/>
        </w:rPr>
      </w:pPr>
    </w:p>
    <w:p w:rsidR="005A4B32" w:rsidRPr="00D6701A" w:rsidRDefault="005A4B32" w:rsidP="005A4B32">
      <w:pPr>
        <w:spacing w:after="0" w:line="240" w:lineRule="auto"/>
        <w:jc w:val="center"/>
        <w:rPr>
          <w:rFonts w:ascii="Arial" w:eastAsia="Times New Roman" w:hAnsi="Arial" w:cs="Arial"/>
          <w:b/>
          <w:color w:val="000000"/>
          <w:sz w:val="24"/>
          <w:lang w:eastAsia="es-CO"/>
        </w:rPr>
      </w:pPr>
      <w:r w:rsidRPr="00D6701A">
        <w:rPr>
          <w:rFonts w:ascii="Arial" w:eastAsia="Times New Roman" w:hAnsi="Arial" w:cs="Arial"/>
          <w:b/>
          <w:color w:val="000000"/>
          <w:sz w:val="24"/>
          <w:lang w:eastAsia="es-CO"/>
        </w:rPr>
        <w:t>EL CONGRESO DE COLOMBIA</w:t>
      </w:r>
    </w:p>
    <w:p w:rsidR="005A4B32" w:rsidRPr="00D6701A" w:rsidRDefault="005A4B32" w:rsidP="005A4B32">
      <w:pPr>
        <w:spacing w:after="0" w:line="240" w:lineRule="auto"/>
        <w:jc w:val="center"/>
        <w:rPr>
          <w:rFonts w:ascii="Arial" w:eastAsia="Times New Roman" w:hAnsi="Arial" w:cs="Arial"/>
          <w:b/>
          <w:color w:val="000000"/>
          <w:sz w:val="24"/>
          <w:lang w:eastAsia="es-CO"/>
        </w:rPr>
      </w:pPr>
    </w:p>
    <w:p w:rsidR="005A4B32" w:rsidRPr="00D6701A" w:rsidRDefault="005A4B32" w:rsidP="005A4B32">
      <w:pPr>
        <w:spacing w:after="0" w:line="240" w:lineRule="auto"/>
        <w:jc w:val="center"/>
        <w:rPr>
          <w:rFonts w:ascii="Arial" w:eastAsia="Times New Roman" w:hAnsi="Arial" w:cs="Arial"/>
          <w:b/>
          <w:color w:val="000000"/>
          <w:sz w:val="24"/>
          <w:lang w:eastAsia="es-CO"/>
        </w:rPr>
      </w:pPr>
      <w:r w:rsidRPr="00D6701A">
        <w:rPr>
          <w:rFonts w:ascii="Arial" w:eastAsia="Times New Roman" w:hAnsi="Arial" w:cs="Arial"/>
          <w:b/>
          <w:color w:val="000000"/>
          <w:sz w:val="24"/>
          <w:lang w:eastAsia="es-CO"/>
        </w:rPr>
        <w:t>en virtud del</w:t>
      </w:r>
    </w:p>
    <w:p w:rsidR="005A4B32" w:rsidRPr="00D6701A" w:rsidRDefault="005A4B32" w:rsidP="005A4B32">
      <w:pPr>
        <w:spacing w:after="0" w:line="240" w:lineRule="auto"/>
        <w:jc w:val="center"/>
        <w:rPr>
          <w:rFonts w:ascii="Arial" w:eastAsia="Times New Roman" w:hAnsi="Arial" w:cs="Arial"/>
          <w:b/>
          <w:color w:val="000000"/>
          <w:sz w:val="24"/>
          <w:lang w:eastAsia="es-CO"/>
        </w:rPr>
      </w:pPr>
      <w:r w:rsidRPr="00D6701A">
        <w:rPr>
          <w:rFonts w:ascii="Arial" w:eastAsia="Times New Roman" w:hAnsi="Arial" w:cs="Arial"/>
          <w:b/>
          <w:color w:val="000000"/>
          <w:sz w:val="24"/>
          <w:lang w:eastAsia="es-CO"/>
        </w:rPr>
        <w:t>Procedimiento Legislativo Especial para la Paz</w:t>
      </w:r>
    </w:p>
    <w:p w:rsidR="005A4B32" w:rsidRPr="00D6701A" w:rsidRDefault="005A4B32" w:rsidP="005A4B32">
      <w:pPr>
        <w:spacing w:after="0" w:line="240" w:lineRule="auto"/>
        <w:jc w:val="center"/>
        <w:rPr>
          <w:rFonts w:ascii="Arial" w:eastAsia="Times New Roman" w:hAnsi="Arial" w:cs="Arial"/>
          <w:b/>
          <w:color w:val="000000"/>
          <w:sz w:val="24"/>
          <w:lang w:eastAsia="es-CO"/>
        </w:rPr>
      </w:pPr>
    </w:p>
    <w:p w:rsidR="005A4B32" w:rsidRPr="00D6701A" w:rsidRDefault="005A4B32" w:rsidP="005A4B32">
      <w:pPr>
        <w:spacing w:after="0" w:line="240" w:lineRule="auto"/>
        <w:jc w:val="center"/>
        <w:rPr>
          <w:rFonts w:ascii="Arial" w:eastAsia="Times New Roman" w:hAnsi="Arial" w:cs="Arial"/>
          <w:b/>
          <w:color w:val="000000"/>
          <w:sz w:val="24"/>
          <w:lang w:eastAsia="es-CO"/>
        </w:rPr>
      </w:pPr>
      <w:r w:rsidRPr="00D6701A">
        <w:rPr>
          <w:rFonts w:ascii="Arial" w:eastAsia="Times New Roman" w:hAnsi="Arial" w:cs="Arial"/>
          <w:b/>
          <w:color w:val="000000"/>
          <w:sz w:val="24"/>
          <w:lang w:eastAsia="es-CO"/>
        </w:rPr>
        <w:t>DECRETA</w:t>
      </w:r>
    </w:p>
    <w:p w:rsidR="005A4B32" w:rsidRPr="00B30577" w:rsidRDefault="005A4B32" w:rsidP="005A4B32">
      <w:pPr>
        <w:pStyle w:val="NormalWeb"/>
        <w:spacing w:before="0" w:beforeAutospacing="0" w:after="0" w:line="276" w:lineRule="auto"/>
        <w:jc w:val="both"/>
        <w:rPr>
          <w:rFonts w:ascii="Arial" w:eastAsia="Times New Roman" w:hAnsi="Arial" w:cs="Arial"/>
          <w:bCs/>
          <w:color w:val="000000"/>
          <w:sz w:val="22"/>
          <w:szCs w:val="22"/>
          <w:lang w:val="es-ES_tradnl" w:eastAsia="es-CO"/>
        </w:rPr>
      </w:pPr>
    </w:p>
    <w:p w:rsidR="005A4B32" w:rsidRPr="00B30577" w:rsidRDefault="005A4B32" w:rsidP="005A4B32">
      <w:pPr>
        <w:pStyle w:val="NormalWeb"/>
        <w:spacing w:before="0" w:beforeAutospacing="0" w:after="0" w:line="276" w:lineRule="auto"/>
        <w:jc w:val="both"/>
        <w:rPr>
          <w:rFonts w:ascii="Arial" w:hAnsi="Arial" w:cs="Arial"/>
          <w:sz w:val="22"/>
          <w:szCs w:val="22"/>
          <w:lang w:val="es-CO" w:eastAsia="es-CO"/>
        </w:rPr>
      </w:pPr>
      <w:r w:rsidRPr="00B30577">
        <w:rPr>
          <w:rFonts w:ascii="Arial" w:eastAsia="Times New Roman" w:hAnsi="Arial" w:cs="Arial"/>
          <w:b/>
          <w:bCs/>
          <w:color w:val="000000"/>
          <w:sz w:val="22"/>
          <w:szCs w:val="22"/>
          <w:lang w:val="es-ES_tradnl" w:eastAsia="es-CO"/>
        </w:rPr>
        <w:t>Artículo 1°.</w:t>
      </w:r>
      <w:r w:rsidRPr="00B30577">
        <w:rPr>
          <w:rFonts w:ascii="Arial" w:hAnsi="Arial" w:cs="Arial"/>
          <w:sz w:val="22"/>
          <w:szCs w:val="22"/>
          <w:lang w:eastAsia="es-CO"/>
        </w:rPr>
        <w:t xml:space="preserve"> </w:t>
      </w:r>
      <w:r w:rsidRPr="00B30577">
        <w:rPr>
          <w:rFonts w:ascii="Arial" w:hAnsi="Arial" w:cs="Arial"/>
          <w:sz w:val="22"/>
          <w:szCs w:val="22"/>
          <w:lang w:val="es-CO" w:eastAsia="es-CO"/>
        </w:rPr>
        <w:t>Adiciónese el siguiente parágrafo al artículo 361 de la Constitución Política:</w:t>
      </w:r>
    </w:p>
    <w:p w:rsidR="005A4B32" w:rsidRPr="00B30577" w:rsidRDefault="005A4B32" w:rsidP="005A4B32">
      <w:pPr>
        <w:spacing w:after="0"/>
        <w:jc w:val="both"/>
        <w:rPr>
          <w:rFonts w:ascii="Arial" w:hAnsi="Arial" w:cs="Arial"/>
          <w:color w:val="000000"/>
          <w:sz w:val="16"/>
          <w:lang w:val="es-ES" w:eastAsia="es-ES"/>
        </w:rPr>
      </w:pPr>
    </w:p>
    <w:p w:rsidR="005A4B32" w:rsidRPr="00B30577" w:rsidRDefault="005A4B32" w:rsidP="005A4B32">
      <w:pPr>
        <w:spacing w:after="0"/>
        <w:ind w:left="708"/>
        <w:jc w:val="both"/>
        <w:rPr>
          <w:rFonts w:ascii="Arial" w:hAnsi="Arial" w:cs="Arial"/>
          <w:color w:val="000000"/>
        </w:rPr>
      </w:pPr>
      <w:r w:rsidRPr="00B30577">
        <w:rPr>
          <w:rFonts w:ascii="Arial" w:hAnsi="Arial" w:cs="Arial"/>
          <w:color w:val="000000"/>
          <w:lang w:val="es-ES" w:eastAsia="es-ES"/>
        </w:rPr>
        <w:t>“</w:t>
      </w:r>
      <w:r w:rsidRPr="00B30577">
        <w:rPr>
          <w:rFonts w:ascii="Arial" w:hAnsi="Arial" w:cs="Arial"/>
          <w:b/>
          <w:color w:val="000000"/>
          <w:lang w:val="es-ES" w:eastAsia="es-ES"/>
        </w:rPr>
        <w:t>Parágrafo 4°.</w:t>
      </w:r>
      <w:r w:rsidRPr="00B30577">
        <w:rPr>
          <w:rFonts w:ascii="Arial" w:hAnsi="Arial" w:cs="Arial"/>
          <w:color w:val="000000"/>
          <w:lang w:val="es-ES" w:eastAsia="es-ES"/>
        </w:rPr>
        <w:t xml:space="preserve"> </w:t>
      </w:r>
      <w:r>
        <w:rPr>
          <w:rFonts w:ascii="Arial" w:hAnsi="Arial" w:cs="Arial"/>
          <w:color w:val="000000"/>
          <w:lang w:val="es-ES" w:eastAsia="es-ES"/>
        </w:rPr>
        <w:t xml:space="preserve">Cuando una </w:t>
      </w:r>
      <w:r w:rsidRPr="00B30577">
        <w:rPr>
          <w:rFonts w:ascii="Arial" w:hAnsi="Arial" w:cs="Arial"/>
          <w:color w:val="000000"/>
        </w:rPr>
        <w:t>entidad territorial que recibe recursos del Sistema General de Regalías para el ahorro pensional territorial</w:t>
      </w:r>
      <w:r>
        <w:rPr>
          <w:rFonts w:ascii="Arial" w:hAnsi="Arial" w:cs="Arial"/>
          <w:color w:val="000000"/>
        </w:rPr>
        <w:t xml:space="preserve"> cubra</w:t>
      </w:r>
      <w:r w:rsidRPr="00B30577">
        <w:rPr>
          <w:rFonts w:ascii="Arial" w:hAnsi="Arial" w:cs="Arial"/>
          <w:color w:val="000000"/>
        </w:rPr>
        <w:t xml:space="preserve"> su</w:t>
      </w:r>
      <w:r>
        <w:rPr>
          <w:rFonts w:ascii="Arial" w:hAnsi="Arial" w:cs="Arial"/>
          <w:color w:val="000000"/>
        </w:rPr>
        <w:t>s</w:t>
      </w:r>
      <w:r w:rsidRPr="00B30577">
        <w:rPr>
          <w:rFonts w:ascii="Arial" w:hAnsi="Arial" w:cs="Arial"/>
          <w:color w:val="000000"/>
        </w:rPr>
        <w:t xml:space="preserve"> pasivo</w:t>
      </w:r>
      <w:r>
        <w:rPr>
          <w:rFonts w:ascii="Arial" w:hAnsi="Arial" w:cs="Arial"/>
          <w:color w:val="000000"/>
        </w:rPr>
        <w:t>s</w:t>
      </w:r>
      <w:r w:rsidRPr="00B30577">
        <w:rPr>
          <w:rFonts w:ascii="Arial" w:hAnsi="Arial" w:cs="Arial"/>
          <w:color w:val="000000"/>
        </w:rPr>
        <w:t xml:space="preserve"> pensional</w:t>
      </w:r>
      <w:r>
        <w:rPr>
          <w:rFonts w:ascii="Arial" w:hAnsi="Arial" w:cs="Arial"/>
          <w:color w:val="000000"/>
        </w:rPr>
        <w:t>es</w:t>
      </w:r>
      <w:r w:rsidRPr="00B30577">
        <w:rPr>
          <w:rFonts w:ascii="Arial" w:hAnsi="Arial" w:cs="Arial"/>
          <w:color w:val="000000"/>
        </w:rPr>
        <w:t xml:space="preserve">, destinará los </w:t>
      </w:r>
      <w:r>
        <w:rPr>
          <w:rFonts w:ascii="Arial" w:hAnsi="Arial" w:cs="Arial"/>
          <w:color w:val="000000"/>
        </w:rPr>
        <w:t>recursos</w:t>
      </w:r>
      <w:r w:rsidRPr="00B30577">
        <w:rPr>
          <w:rFonts w:ascii="Arial" w:hAnsi="Arial" w:cs="Arial"/>
          <w:color w:val="000000"/>
        </w:rPr>
        <w:t xml:space="preserve"> provenientes de esta fuente </w:t>
      </w:r>
      <w:r>
        <w:rPr>
          <w:rFonts w:ascii="Arial" w:hAnsi="Arial" w:cs="Arial"/>
          <w:color w:val="000000"/>
        </w:rPr>
        <w:t xml:space="preserve">a la </w:t>
      </w:r>
      <w:r w:rsidRPr="00B30577">
        <w:rPr>
          <w:rFonts w:ascii="Arial" w:hAnsi="Arial" w:cs="Arial"/>
          <w:color w:val="000000"/>
        </w:rPr>
        <w:t>financia</w:t>
      </w:r>
      <w:r>
        <w:rPr>
          <w:rFonts w:ascii="Arial" w:hAnsi="Arial" w:cs="Arial"/>
          <w:color w:val="000000"/>
        </w:rPr>
        <w:t>ción de</w:t>
      </w:r>
      <w:r w:rsidRPr="00B30577">
        <w:rPr>
          <w:rFonts w:ascii="Arial" w:hAnsi="Arial" w:cs="Arial"/>
          <w:color w:val="000000"/>
        </w:rPr>
        <w:t xml:space="preserve"> proyectos de inversión</w:t>
      </w:r>
      <w:r>
        <w:rPr>
          <w:rFonts w:ascii="Arial" w:hAnsi="Arial" w:cs="Arial"/>
          <w:color w:val="000000"/>
        </w:rPr>
        <w:t>. D</w:t>
      </w:r>
      <w:r w:rsidRPr="00B30577">
        <w:rPr>
          <w:rFonts w:ascii="Arial" w:hAnsi="Arial" w:cs="Arial"/>
          <w:color w:val="000000"/>
        </w:rPr>
        <w:t xml:space="preserve">urante los veinte (20) años siguientes a la entrada en vigencia del presente Acto Legislativo, </w:t>
      </w:r>
      <w:r>
        <w:rPr>
          <w:rFonts w:ascii="Arial" w:hAnsi="Arial" w:cs="Arial"/>
          <w:color w:val="000000"/>
        </w:rPr>
        <w:t xml:space="preserve">estos proyectos </w:t>
      </w:r>
      <w:r w:rsidRPr="00B30577">
        <w:rPr>
          <w:rFonts w:ascii="Arial" w:hAnsi="Arial" w:cs="Arial"/>
          <w:color w:val="000000"/>
        </w:rPr>
        <w:t>deberán tener como objeto la implementación del Acuerdo Final para la Terminación del Conflicto Armado y la Construcción de una Paz Estable y Duradera.</w:t>
      </w:r>
    </w:p>
    <w:p w:rsidR="005A4B32" w:rsidRDefault="005A4B32" w:rsidP="005A4B32">
      <w:pPr>
        <w:spacing w:after="0"/>
        <w:ind w:left="708"/>
        <w:jc w:val="both"/>
        <w:rPr>
          <w:rFonts w:ascii="Arial" w:hAnsi="Arial" w:cs="Arial"/>
        </w:rPr>
      </w:pPr>
    </w:p>
    <w:p w:rsidR="005A4B32" w:rsidRPr="00B30577" w:rsidRDefault="005A4B32" w:rsidP="005A4B32">
      <w:pPr>
        <w:spacing w:after="0"/>
        <w:ind w:left="708"/>
        <w:jc w:val="both"/>
        <w:rPr>
          <w:rFonts w:ascii="Arial" w:hAnsi="Arial" w:cs="Arial"/>
        </w:rPr>
      </w:pPr>
      <w:r w:rsidRPr="00B30577">
        <w:rPr>
          <w:rFonts w:ascii="Arial" w:hAnsi="Arial" w:cs="Arial"/>
        </w:rPr>
        <w:t xml:space="preserve">Las entidades territoriales que a la fecha de entrada en vigencia del presente acto legislativo cuenten con </w:t>
      </w:r>
      <w:r>
        <w:rPr>
          <w:rFonts w:ascii="Arial" w:hAnsi="Arial" w:cs="Arial"/>
        </w:rPr>
        <w:t>recursos</w:t>
      </w:r>
      <w:r w:rsidRPr="00B30577">
        <w:rPr>
          <w:rFonts w:ascii="Arial" w:hAnsi="Arial" w:cs="Arial"/>
        </w:rPr>
        <w:t xml:space="preserve"> </w:t>
      </w:r>
      <w:r>
        <w:rPr>
          <w:rFonts w:ascii="Arial" w:hAnsi="Arial" w:cs="Arial"/>
        </w:rPr>
        <w:t xml:space="preserve">de ahorro pensional provenientes del Sistema General de Regalías, </w:t>
      </w:r>
      <w:r w:rsidRPr="00B30577">
        <w:rPr>
          <w:rFonts w:ascii="Arial" w:hAnsi="Arial" w:cs="Arial"/>
        </w:rPr>
        <w:t>que sobrepasen el cubrimiento requerido de su</w:t>
      </w:r>
      <w:r>
        <w:rPr>
          <w:rFonts w:ascii="Arial" w:hAnsi="Arial" w:cs="Arial"/>
        </w:rPr>
        <w:t>s</w:t>
      </w:r>
      <w:r w:rsidRPr="00B30577">
        <w:rPr>
          <w:rFonts w:ascii="Arial" w:hAnsi="Arial" w:cs="Arial"/>
        </w:rPr>
        <w:t xml:space="preserve"> pasivo</w:t>
      </w:r>
      <w:r>
        <w:rPr>
          <w:rFonts w:ascii="Arial" w:hAnsi="Arial" w:cs="Arial"/>
        </w:rPr>
        <w:t>s</w:t>
      </w:r>
      <w:r w:rsidRPr="00B30577">
        <w:rPr>
          <w:rFonts w:ascii="Arial" w:hAnsi="Arial" w:cs="Arial"/>
        </w:rPr>
        <w:t xml:space="preserve"> pensional</w:t>
      </w:r>
      <w:r>
        <w:rPr>
          <w:rFonts w:ascii="Arial" w:hAnsi="Arial" w:cs="Arial"/>
        </w:rPr>
        <w:t>es</w:t>
      </w:r>
      <w:r w:rsidRPr="00B30577">
        <w:rPr>
          <w:rFonts w:ascii="Arial" w:hAnsi="Arial" w:cs="Arial"/>
        </w:rPr>
        <w:t>, los destinará</w:t>
      </w:r>
      <w:r>
        <w:rPr>
          <w:rFonts w:ascii="Arial" w:hAnsi="Arial" w:cs="Arial"/>
        </w:rPr>
        <w:t>n</w:t>
      </w:r>
      <w:r w:rsidRPr="00B30577">
        <w:rPr>
          <w:rFonts w:ascii="Arial" w:hAnsi="Arial" w:cs="Arial"/>
        </w:rPr>
        <w:t xml:space="preserve"> igualmente a la financiación de proyectos de inversión en los términos señalados en el </w:t>
      </w:r>
      <w:r>
        <w:rPr>
          <w:rFonts w:ascii="Arial" w:hAnsi="Arial" w:cs="Arial"/>
        </w:rPr>
        <w:t>inciso anterior</w:t>
      </w:r>
      <w:r w:rsidRPr="00B30577">
        <w:rPr>
          <w:rFonts w:ascii="Arial" w:hAnsi="Arial" w:cs="Arial"/>
        </w:rPr>
        <w:t>.</w:t>
      </w:r>
    </w:p>
    <w:p w:rsidR="005A4B32" w:rsidRPr="00B30577" w:rsidRDefault="005A4B32" w:rsidP="005A4B32">
      <w:pPr>
        <w:spacing w:after="0"/>
        <w:rPr>
          <w:rFonts w:ascii="Arial" w:hAnsi="Arial" w:cs="Arial"/>
          <w:sz w:val="16"/>
          <w:lang w:eastAsia="es-CO"/>
        </w:rPr>
      </w:pPr>
    </w:p>
    <w:p w:rsidR="005A4B32" w:rsidRDefault="005A4B32" w:rsidP="005A4B32">
      <w:pPr>
        <w:spacing w:after="0"/>
        <w:jc w:val="both"/>
        <w:rPr>
          <w:rFonts w:ascii="Arial" w:eastAsia="Times New Roman" w:hAnsi="Arial" w:cs="Arial"/>
          <w:b/>
          <w:bCs/>
          <w:color w:val="000000"/>
          <w:lang w:val="es-ES_tradnl" w:eastAsia="es-CO"/>
        </w:rPr>
      </w:pPr>
    </w:p>
    <w:p w:rsidR="005A4B32" w:rsidRPr="00B30577" w:rsidRDefault="005A4B32" w:rsidP="005A4B32">
      <w:pPr>
        <w:spacing w:after="0"/>
        <w:jc w:val="both"/>
        <w:rPr>
          <w:rFonts w:ascii="Arial" w:hAnsi="Arial" w:cs="Arial"/>
        </w:rPr>
      </w:pPr>
      <w:r w:rsidRPr="00B30577">
        <w:rPr>
          <w:rFonts w:ascii="Arial" w:eastAsia="Times New Roman" w:hAnsi="Arial" w:cs="Arial"/>
          <w:b/>
          <w:bCs/>
          <w:color w:val="000000"/>
          <w:lang w:val="es-ES_tradnl" w:eastAsia="es-CO"/>
        </w:rPr>
        <w:t xml:space="preserve">Artículo 2°. </w:t>
      </w:r>
      <w:r w:rsidRPr="00B30577">
        <w:rPr>
          <w:rFonts w:ascii="Arial" w:hAnsi="Arial" w:cs="Arial"/>
          <w:lang w:eastAsia="es-CO"/>
        </w:rPr>
        <w:t>Adiciónense los siguientes parágrafos transitorios al artículo 361 de la Constitución Política:</w:t>
      </w:r>
    </w:p>
    <w:p w:rsidR="005A4B32" w:rsidRDefault="005A4B32" w:rsidP="005A4B32">
      <w:pPr>
        <w:pStyle w:val="NormalWeb"/>
        <w:spacing w:before="0" w:beforeAutospacing="0" w:after="0" w:line="276" w:lineRule="auto"/>
        <w:ind w:left="708"/>
        <w:jc w:val="both"/>
        <w:rPr>
          <w:rFonts w:ascii="Arial" w:hAnsi="Arial" w:cs="Arial"/>
          <w:sz w:val="22"/>
          <w:szCs w:val="22"/>
          <w:lang w:val="es-CO" w:eastAsia="es-CO"/>
        </w:rPr>
      </w:pPr>
    </w:p>
    <w:p w:rsidR="005A4B32" w:rsidRDefault="005A4B32" w:rsidP="005A4B32">
      <w:pPr>
        <w:pStyle w:val="NormalWeb"/>
        <w:spacing w:before="0" w:beforeAutospacing="0" w:after="0" w:line="276" w:lineRule="auto"/>
        <w:ind w:left="708"/>
        <w:jc w:val="both"/>
        <w:rPr>
          <w:rFonts w:ascii="Arial" w:hAnsi="Arial" w:cs="Arial"/>
          <w:iCs/>
          <w:sz w:val="22"/>
          <w:szCs w:val="22"/>
          <w:lang w:val="es-CO" w:eastAsia="es-CO"/>
        </w:rPr>
      </w:pPr>
      <w:r w:rsidRPr="00B30577">
        <w:rPr>
          <w:rFonts w:ascii="Arial" w:hAnsi="Arial" w:cs="Arial"/>
          <w:sz w:val="22"/>
          <w:szCs w:val="22"/>
          <w:lang w:val="es-CO" w:eastAsia="es-CO"/>
        </w:rPr>
        <w:t>“</w:t>
      </w:r>
      <w:r w:rsidRPr="00B30577">
        <w:rPr>
          <w:rFonts w:ascii="Arial" w:hAnsi="Arial" w:cs="Arial"/>
          <w:b/>
          <w:sz w:val="22"/>
          <w:szCs w:val="22"/>
          <w:lang w:val="es-CO" w:eastAsia="es-CO"/>
        </w:rPr>
        <w:t>Parágrafo 7º Transitorio.</w:t>
      </w:r>
      <w:r w:rsidRPr="00B30577">
        <w:rPr>
          <w:rFonts w:ascii="Arial" w:hAnsi="Arial" w:cs="Arial"/>
          <w:sz w:val="22"/>
          <w:szCs w:val="22"/>
          <w:lang w:val="es-CO" w:eastAsia="es-CO"/>
        </w:rPr>
        <w:t xml:space="preserve"> </w:t>
      </w:r>
      <w:r w:rsidRPr="00B30577">
        <w:rPr>
          <w:rFonts w:ascii="Arial" w:hAnsi="Arial" w:cs="Arial"/>
          <w:iCs/>
          <w:sz w:val="22"/>
          <w:szCs w:val="22"/>
          <w:lang w:val="es-CO" w:eastAsia="es-CO"/>
        </w:rPr>
        <w:t>Durante los veinte (20) años siguientes a la entrada en vigencia del presente Acto Legislativo, un 7% de los ingresos del Sistema General de Regalías se destinará</w:t>
      </w:r>
      <w:r>
        <w:rPr>
          <w:rFonts w:ascii="Arial" w:hAnsi="Arial" w:cs="Arial"/>
          <w:iCs/>
          <w:sz w:val="22"/>
          <w:szCs w:val="22"/>
          <w:lang w:val="es-CO" w:eastAsia="es-CO"/>
        </w:rPr>
        <w:t>n</w:t>
      </w:r>
      <w:r w:rsidRPr="00B30577">
        <w:rPr>
          <w:rFonts w:ascii="Arial" w:hAnsi="Arial" w:cs="Arial"/>
          <w:iCs/>
          <w:sz w:val="22"/>
          <w:szCs w:val="22"/>
          <w:lang w:val="es-CO" w:eastAsia="es-CO"/>
        </w:rPr>
        <w:t xml:space="preserve"> a </w:t>
      </w:r>
      <w:r>
        <w:rPr>
          <w:rFonts w:ascii="Arial" w:hAnsi="Arial" w:cs="Arial"/>
          <w:iCs/>
          <w:sz w:val="22"/>
          <w:szCs w:val="22"/>
          <w:lang w:val="es-CO" w:eastAsia="es-CO"/>
        </w:rPr>
        <w:t xml:space="preserve">financiar proyectos de inversión </w:t>
      </w:r>
      <w:r w:rsidRPr="00B30577">
        <w:rPr>
          <w:rFonts w:ascii="Arial" w:hAnsi="Arial" w:cs="Arial"/>
          <w:color w:val="000000"/>
          <w:sz w:val="22"/>
          <w:szCs w:val="22"/>
          <w:lang w:val="es-CO"/>
        </w:rPr>
        <w:t xml:space="preserve">para la implementación del </w:t>
      </w:r>
      <w:r w:rsidRPr="00B30577">
        <w:rPr>
          <w:rFonts w:ascii="Arial" w:hAnsi="Arial" w:cs="Arial"/>
          <w:color w:val="000000"/>
          <w:sz w:val="22"/>
          <w:szCs w:val="22"/>
        </w:rPr>
        <w:t>Acuerdo Final para la Terminación del Conflicto y la Construcción de una Paz Estable y Duradera</w:t>
      </w:r>
      <w:r w:rsidRPr="00B30577">
        <w:rPr>
          <w:rFonts w:ascii="Arial" w:hAnsi="Arial" w:cs="Arial"/>
          <w:color w:val="000000"/>
          <w:sz w:val="22"/>
          <w:szCs w:val="22"/>
          <w:lang w:val="es-CO"/>
        </w:rPr>
        <w:t xml:space="preserve">, </w:t>
      </w:r>
      <w:r w:rsidRPr="00B30577">
        <w:rPr>
          <w:rFonts w:ascii="Arial" w:hAnsi="Arial" w:cs="Arial"/>
          <w:sz w:val="22"/>
          <w:szCs w:val="22"/>
          <w:lang w:val="es-CO"/>
        </w:rPr>
        <w:t xml:space="preserve">incluyendo la financiación de </w:t>
      </w:r>
      <w:r w:rsidRPr="00827AC4">
        <w:rPr>
          <w:rFonts w:ascii="Arial" w:hAnsi="Arial" w:cs="Arial"/>
          <w:sz w:val="22"/>
          <w:szCs w:val="22"/>
          <w:lang w:val="es-CO"/>
        </w:rPr>
        <w:t>proyectos de inversión destinados</w:t>
      </w:r>
      <w:r w:rsidRPr="00B30577">
        <w:rPr>
          <w:rFonts w:ascii="Arial" w:hAnsi="Arial" w:cs="Arial"/>
          <w:sz w:val="22"/>
          <w:szCs w:val="22"/>
          <w:lang w:val="es-CO"/>
        </w:rPr>
        <w:t xml:space="preserve"> a la reparación integral a las víctimas</w:t>
      </w:r>
      <w:r w:rsidRPr="00B30577">
        <w:rPr>
          <w:rFonts w:ascii="Arial" w:hAnsi="Arial" w:cs="Arial"/>
          <w:iCs/>
          <w:sz w:val="22"/>
          <w:szCs w:val="22"/>
          <w:lang w:val="es-CO" w:eastAsia="es-CO"/>
        </w:rPr>
        <w:t xml:space="preserve">.  </w:t>
      </w:r>
    </w:p>
    <w:p w:rsidR="005A4B32" w:rsidRPr="00483FFE" w:rsidRDefault="005A4B32" w:rsidP="005A4B32">
      <w:pPr>
        <w:pStyle w:val="NormalWeb"/>
        <w:spacing w:before="0" w:beforeAutospacing="0" w:after="0" w:line="276" w:lineRule="auto"/>
        <w:ind w:left="708"/>
        <w:jc w:val="both"/>
        <w:rPr>
          <w:rFonts w:ascii="Arial" w:hAnsi="Arial" w:cs="Arial"/>
          <w:iCs/>
          <w:sz w:val="16"/>
          <w:szCs w:val="22"/>
          <w:lang w:val="es-CO" w:eastAsia="es-CO"/>
        </w:rPr>
      </w:pPr>
    </w:p>
    <w:p w:rsidR="005A4B32" w:rsidRPr="00B30577" w:rsidRDefault="005A4B32" w:rsidP="005A4B32">
      <w:pPr>
        <w:pStyle w:val="NormalWeb"/>
        <w:spacing w:before="0" w:beforeAutospacing="0" w:after="0" w:line="276" w:lineRule="auto"/>
        <w:ind w:left="708"/>
        <w:jc w:val="both"/>
        <w:rPr>
          <w:rFonts w:ascii="Arial" w:hAnsi="Arial" w:cs="Arial"/>
          <w:sz w:val="22"/>
          <w:szCs w:val="22"/>
          <w:lang w:val="es-CO" w:eastAsia="es-CO"/>
        </w:rPr>
      </w:pPr>
      <w:proofErr w:type="gramStart"/>
      <w:r w:rsidRPr="00B30577">
        <w:rPr>
          <w:rFonts w:ascii="Arial" w:hAnsi="Arial" w:cs="Arial"/>
          <w:iCs/>
          <w:sz w:val="22"/>
          <w:szCs w:val="22"/>
          <w:lang w:val="es-CO" w:eastAsia="es-CO"/>
        </w:rPr>
        <w:t>Igual destinación tendrán</w:t>
      </w:r>
      <w:proofErr w:type="gramEnd"/>
      <w:r w:rsidRPr="00B30577">
        <w:rPr>
          <w:rFonts w:ascii="Arial" w:hAnsi="Arial" w:cs="Arial"/>
          <w:iCs/>
          <w:sz w:val="22"/>
          <w:szCs w:val="22"/>
          <w:lang w:val="es-CO" w:eastAsia="es-CO"/>
        </w:rPr>
        <w:t xml:space="preserve"> los ingresos que por rendimientos financieros genere el Sistema General de Regalías en estos años</w:t>
      </w:r>
      <w:r>
        <w:rPr>
          <w:rFonts w:ascii="Arial" w:hAnsi="Arial" w:cs="Arial"/>
          <w:iCs/>
          <w:sz w:val="22"/>
          <w:szCs w:val="22"/>
          <w:lang w:val="es-CO" w:eastAsia="es-CO"/>
        </w:rPr>
        <w:t>, con excepción de los generados por las asignaciones directas de que trata el inciso segundo del presente artículo</w:t>
      </w:r>
      <w:r w:rsidRPr="00B30577">
        <w:rPr>
          <w:rFonts w:ascii="Arial" w:hAnsi="Arial" w:cs="Arial"/>
          <w:iCs/>
          <w:sz w:val="22"/>
          <w:szCs w:val="22"/>
          <w:lang w:val="es-CO" w:eastAsia="es-CO"/>
        </w:rPr>
        <w:t xml:space="preserve">. </w:t>
      </w:r>
    </w:p>
    <w:p w:rsidR="005A4B32" w:rsidRPr="00483FFE" w:rsidRDefault="005A4B32" w:rsidP="005A4B32">
      <w:pPr>
        <w:pStyle w:val="NormalWeb"/>
        <w:spacing w:before="0" w:beforeAutospacing="0" w:after="0" w:line="276" w:lineRule="auto"/>
        <w:ind w:left="708"/>
        <w:jc w:val="both"/>
        <w:rPr>
          <w:rFonts w:ascii="Arial" w:hAnsi="Arial" w:cs="Arial"/>
          <w:iCs/>
          <w:sz w:val="16"/>
          <w:szCs w:val="22"/>
          <w:lang w:eastAsia="es-CO"/>
        </w:rPr>
      </w:pPr>
    </w:p>
    <w:p w:rsidR="005A4B32" w:rsidRPr="00B30577" w:rsidRDefault="005A4B32" w:rsidP="005A4B32">
      <w:pPr>
        <w:pStyle w:val="NormalWeb"/>
        <w:spacing w:before="0" w:beforeAutospacing="0" w:after="0" w:line="276" w:lineRule="auto"/>
        <w:ind w:left="708"/>
        <w:jc w:val="both"/>
        <w:rPr>
          <w:rFonts w:ascii="Arial" w:hAnsi="Arial" w:cs="Arial"/>
          <w:iCs/>
          <w:sz w:val="22"/>
          <w:szCs w:val="22"/>
          <w:lang w:eastAsia="es-CO"/>
        </w:rPr>
      </w:pPr>
      <w:r w:rsidRPr="00B30577">
        <w:rPr>
          <w:rFonts w:ascii="Arial" w:hAnsi="Arial" w:cs="Arial"/>
          <w:iCs/>
          <w:sz w:val="22"/>
          <w:szCs w:val="22"/>
          <w:lang w:eastAsia="es-CO"/>
        </w:rPr>
        <w:t>Durante este periodo, la asignación para ahorro pensional territorial será del 7% de los ingresos del Sistema General de Regalías</w:t>
      </w:r>
      <w:r>
        <w:rPr>
          <w:rFonts w:ascii="Arial" w:hAnsi="Arial" w:cs="Arial"/>
          <w:iCs/>
          <w:sz w:val="22"/>
          <w:szCs w:val="22"/>
          <w:lang w:eastAsia="es-CO"/>
        </w:rPr>
        <w:t>. L</w:t>
      </w:r>
      <w:r w:rsidRPr="00B30577">
        <w:rPr>
          <w:rFonts w:ascii="Arial" w:hAnsi="Arial" w:cs="Arial"/>
          <w:iCs/>
          <w:sz w:val="22"/>
          <w:szCs w:val="22"/>
          <w:lang w:eastAsia="es-CO"/>
        </w:rPr>
        <w:t xml:space="preserve">a diferencia entre el total de los ingresos del Sistema General de Regalías y los recursos destinados al ahorro pensional territorial, al Fondo de Ciencia, Tecnología e Innovación, al Fondo de Desarrollo Regional, al Fondo de Compensación Regional, a las asignaciones </w:t>
      </w:r>
      <w:r w:rsidRPr="00B30577">
        <w:rPr>
          <w:rFonts w:ascii="Arial" w:hAnsi="Arial" w:cs="Arial"/>
          <w:iCs/>
          <w:sz w:val="22"/>
          <w:szCs w:val="22"/>
          <w:lang w:eastAsia="es-CO"/>
        </w:rPr>
        <w:lastRenderedPageBreak/>
        <w:t>directas a las que se refiere el inciso segundo del presente artículo y a la asignación del primer inciso del presente parágrafo, se destinará al Fondo de Ahorro y Estabilización.</w:t>
      </w:r>
    </w:p>
    <w:p w:rsidR="005A4B32" w:rsidRPr="00483FFE" w:rsidRDefault="005A4B32" w:rsidP="005A4B32">
      <w:pPr>
        <w:pStyle w:val="NormalWeb"/>
        <w:spacing w:before="0" w:beforeAutospacing="0" w:after="0" w:line="276" w:lineRule="auto"/>
        <w:ind w:left="708"/>
        <w:jc w:val="both"/>
        <w:rPr>
          <w:rFonts w:ascii="Arial" w:hAnsi="Arial" w:cs="Arial"/>
          <w:iCs/>
          <w:sz w:val="16"/>
          <w:szCs w:val="22"/>
          <w:lang w:val="es-CO" w:eastAsia="es-CO"/>
        </w:rPr>
      </w:pPr>
    </w:p>
    <w:p w:rsidR="005A4B32" w:rsidRPr="00B30577" w:rsidRDefault="005A4B32" w:rsidP="005A4B32">
      <w:pPr>
        <w:pStyle w:val="NormalWeb"/>
        <w:spacing w:before="0" w:beforeAutospacing="0" w:after="0" w:line="276" w:lineRule="auto"/>
        <w:ind w:left="708"/>
        <w:jc w:val="both"/>
        <w:rPr>
          <w:rFonts w:ascii="Arial" w:hAnsi="Arial" w:cs="Arial"/>
          <w:color w:val="000000"/>
          <w:sz w:val="22"/>
          <w:szCs w:val="22"/>
          <w:lang w:val="es-CO"/>
        </w:rPr>
      </w:pPr>
      <w:r w:rsidRPr="00B30577">
        <w:rPr>
          <w:rFonts w:ascii="Arial" w:hAnsi="Arial" w:cs="Arial"/>
          <w:iCs/>
          <w:sz w:val="22"/>
          <w:szCs w:val="22"/>
          <w:lang w:val="es-CO" w:eastAsia="es-CO"/>
        </w:rPr>
        <w:t xml:space="preserve">Los recursos a los que se refieren los incisos 1° y 2° de este parágrafo, se </w:t>
      </w:r>
      <w:r w:rsidRPr="00B30577">
        <w:rPr>
          <w:rFonts w:ascii="Arial" w:hAnsi="Arial" w:cs="Arial"/>
          <w:color w:val="000000"/>
          <w:sz w:val="22"/>
          <w:szCs w:val="22"/>
          <w:lang w:val="es-CO"/>
        </w:rPr>
        <w:t xml:space="preserve">distribuirán entre entidades territoriales con base en criterios </w:t>
      </w:r>
      <w:r w:rsidRPr="001251B6">
        <w:rPr>
          <w:rFonts w:ascii="Arial" w:hAnsi="Arial" w:cs="Arial"/>
          <w:color w:val="000000"/>
          <w:sz w:val="22"/>
          <w:szCs w:val="22"/>
          <w:lang w:val="es-CO"/>
        </w:rPr>
        <w:t>de nivel de pobreza</w:t>
      </w:r>
      <w:r>
        <w:rPr>
          <w:rFonts w:ascii="Arial" w:hAnsi="Arial" w:cs="Arial"/>
          <w:color w:val="000000"/>
          <w:sz w:val="22"/>
          <w:szCs w:val="22"/>
          <w:lang w:val="es-CO"/>
        </w:rPr>
        <w:t xml:space="preserve"> </w:t>
      </w:r>
      <w:r w:rsidRPr="00C8032B">
        <w:rPr>
          <w:rFonts w:ascii="Arial" w:hAnsi="Arial" w:cs="Arial"/>
          <w:color w:val="000000" w:themeColor="text1"/>
          <w:sz w:val="22"/>
          <w:szCs w:val="22"/>
          <w:lang w:val="es-CO"/>
        </w:rPr>
        <w:t>rural</w:t>
      </w:r>
      <w:r w:rsidRPr="001251B6">
        <w:rPr>
          <w:rFonts w:ascii="Arial" w:hAnsi="Arial" w:cs="Arial"/>
          <w:color w:val="000000"/>
          <w:sz w:val="22"/>
          <w:szCs w:val="22"/>
          <w:lang w:val="es-CO"/>
        </w:rPr>
        <w:t>, grado de afectación derivado del conflicto</w:t>
      </w:r>
      <w:r>
        <w:rPr>
          <w:rFonts w:ascii="Arial" w:hAnsi="Arial" w:cs="Arial"/>
          <w:color w:val="000000"/>
          <w:sz w:val="22"/>
          <w:szCs w:val="22"/>
          <w:lang w:val="es-CO"/>
        </w:rPr>
        <w:t xml:space="preserve"> </w:t>
      </w:r>
      <w:r w:rsidRPr="001251B6">
        <w:rPr>
          <w:rFonts w:ascii="Arial" w:hAnsi="Arial" w:cs="Arial"/>
          <w:color w:val="000000"/>
          <w:sz w:val="22"/>
          <w:szCs w:val="22"/>
          <w:lang w:val="es-CO"/>
        </w:rPr>
        <w:t xml:space="preserve">armado, </w:t>
      </w:r>
      <w:r w:rsidRPr="00E27EB1">
        <w:rPr>
          <w:rFonts w:ascii="Arial" w:hAnsi="Arial" w:cs="Arial"/>
          <w:color w:val="000000"/>
          <w:sz w:val="22"/>
          <w:szCs w:val="22"/>
          <w:lang w:val="es-CO"/>
        </w:rPr>
        <w:t>debilidad institucional</w:t>
      </w:r>
      <w:r w:rsidRPr="002550B4">
        <w:rPr>
          <w:rFonts w:ascii="Arial" w:hAnsi="Arial" w:cs="Arial"/>
          <w:color w:val="000000"/>
          <w:sz w:val="22"/>
          <w:szCs w:val="22"/>
          <w:lang w:val="es-CO"/>
        </w:rPr>
        <w:t>,</w:t>
      </w:r>
      <w:r w:rsidRPr="001251B6">
        <w:rPr>
          <w:rFonts w:ascii="Arial" w:hAnsi="Arial" w:cs="Arial"/>
          <w:color w:val="000000"/>
          <w:sz w:val="22"/>
          <w:szCs w:val="22"/>
          <w:lang w:val="es-CO"/>
        </w:rPr>
        <w:t xml:space="preserve"> </w:t>
      </w:r>
      <w:r>
        <w:rPr>
          <w:rFonts w:ascii="Arial" w:hAnsi="Arial" w:cs="Arial"/>
          <w:color w:val="000000"/>
          <w:sz w:val="22"/>
          <w:szCs w:val="22"/>
          <w:lang w:val="es-CO"/>
        </w:rPr>
        <w:t xml:space="preserve">y existencia de </w:t>
      </w:r>
      <w:r w:rsidRPr="001251B6">
        <w:rPr>
          <w:rFonts w:ascii="Arial" w:hAnsi="Arial" w:cs="Arial"/>
          <w:color w:val="000000"/>
          <w:sz w:val="22"/>
          <w:szCs w:val="22"/>
          <w:lang w:val="es-CO"/>
        </w:rPr>
        <w:t xml:space="preserve">economías </w:t>
      </w:r>
      <w:r>
        <w:rPr>
          <w:rFonts w:ascii="Arial" w:hAnsi="Arial" w:cs="Arial"/>
          <w:color w:val="000000"/>
          <w:sz w:val="22"/>
          <w:szCs w:val="22"/>
          <w:lang w:val="es-CO"/>
        </w:rPr>
        <w:t>ilegales</w:t>
      </w:r>
      <w:r w:rsidRPr="00B30577">
        <w:rPr>
          <w:rFonts w:ascii="Arial" w:hAnsi="Arial" w:cs="Arial"/>
          <w:color w:val="000000"/>
          <w:sz w:val="22"/>
          <w:szCs w:val="22"/>
          <w:lang w:val="es-CO"/>
        </w:rPr>
        <w:t>.</w:t>
      </w:r>
    </w:p>
    <w:p w:rsidR="005A4B32" w:rsidRPr="00483FFE" w:rsidRDefault="005A4B32" w:rsidP="005A4B32">
      <w:pPr>
        <w:pStyle w:val="NormalWeb"/>
        <w:spacing w:before="0" w:beforeAutospacing="0" w:after="0" w:line="276" w:lineRule="auto"/>
        <w:ind w:left="708"/>
        <w:jc w:val="both"/>
        <w:rPr>
          <w:rFonts w:ascii="Arial" w:hAnsi="Arial" w:cs="Arial"/>
          <w:iCs/>
          <w:sz w:val="16"/>
          <w:szCs w:val="22"/>
          <w:lang w:val="es-CO" w:eastAsia="es-CO"/>
        </w:rPr>
      </w:pPr>
    </w:p>
    <w:p w:rsidR="005A4B32" w:rsidRPr="00B30577" w:rsidRDefault="005A4B32" w:rsidP="005A4B32">
      <w:pPr>
        <w:pStyle w:val="NormalWeb"/>
        <w:spacing w:before="0" w:beforeAutospacing="0" w:after="0" w:line="276" w:lineRule="auto"/>
        <w:ind w:left="708"/>
        <w:jc w:val="both"/>
        <w:rPr>
          <w:rFonts w:ascii="Arial" w:hAnsi="Arial" w:cs="Arial"/>
          <w:iCs/>
          <w:sz w:val="22"/>
          <w:szCs w:val="22"/>
          <w:lang w:val="es-CO" w:eastAsia="es-CO"/>
        </w:rPr>
      </w:pPr>
      <w:r w:rsidRPr="00B30577">
        <w:rPr>
          <w:rFonts w:ascii="Arial" w:hAnsi="Arial" w:cs="Arial"/>
          <w:iCs/>
          <w:sz w:val="22"/>
          <w:szCs w:val="22"/>
          <w:lang w:val="es-CO" w:eastAsia="es-CO"/>
        </w:rPr>
        <w:t xml:space="preserve">Los proyectos de inversión a ser financiados con </w:t>
      </w:r>
      <w:r>
        <w:rPr>
          <w:rFonts w:ascii="Arial" w:hAnsi="Arial" w:cs="Arial"/>
          <w:iCs/>
          <w:sz w:val="22"/>
          <w:szCs w:val="22"/>
          <w:lang w:val="es-CO" w:eastAsia="es-CO"/>
        </w:rPr>
        <w:t>l</w:t>
      </w:r>
      <w:r w:rsidRPr="00B30577">
        <w:rPr>
          <w:rFonts w:ascii="Arial" w:hAnsi="Arial" w:cs="Arial"/>
          <w:iCs/>
          <w:sz w:val="22"/>
          <w:szCs w:val="22"/>
          <w:lang w:val="es-CO" w:eastAsia="es-CO"/>
        </w:rPr>
        <w:t xml:space="preserve">os recursos </w:t>
      </w:r>
      <w:r>
        <w:rPr>
          <w:rFonts w:ascii="Arial" w:hAnsi="Arial" w:cs="Arial"/>
          <w:iCs/>
          <w:sz w:val="22"/>
          <w:szCs w:val="22"/>
          <w:lang w:val="es-CO" w:eastAsia="es-CO"/>
        </w:rPr>
        <w:t xml:space="preserve">a los que se refieren los incisos 1º y 2º de este parágrafo, </w:t>
      </w:r>
      <w:r w:rsidRPr="00B30577">
        <w:rPr>
          <w:rFonts w:ascii="Arial" w:hAnsi="Arial" w:cs="Arial"/>
          <w:iCs/>
          <w:sz w:val="22"/>
          <w:szCs w:val="22"/>
          <w:lang w:val="es-CO" w:eastAsia="es-CO"/>
        </w:rPr>
        <w:t xml:space="preserve">serán definidos por un </w:t>
      </w:r>
      <w:r>
        <w:rPr>
          <w:rFonts w:ascii="Arial" w:hAnsi="Arial" w:cs="Arial"/>
          <w:iCs/>
          <w:sz w:val="22"/>
          <w:szCs w:val="22"/>
          <w:lang w:val="es-CO" w:eastAsia="es-CO"/>
        </w:rPr>
        <w:t>Ó</w:t>
      </w:r>
      <w:r w:rsidRPr="00B30577">
        <w:rPr>
          <w:rFonts w:ascii="Arial" w:hAnsi="Arial" w:cs="Arial"/>
          <w:iCs/>
          <w:sz w:val="22"/>
          <w:szCs w:val="22"/>
          <w:lang w:val="es-CO" w:eastAsia="es-CO"/>
        </w:rPr>
        <w:t xml:space="preserve">rgano </w:t>
      </w:r>
      <w:r>
        <w:rPr>
          <w:rFonts w:ascii="Arial" w:hAnsi="Arial" w:cs="Arial"/>
          <w:iCs/>
          <w:sz w:val="22"/>
          <w:szCs w:val="22"/>
          <w:lang w:val="es-CO" w:eastAsia="es-CO"/>
        </w:rPr>
        <w:t>C</w:t>
      </w:r>
      <w:r w:rsidRPr="00B30577">
        <w:rPr>
          <w:rFonts w:ascii="Arial" w:hAnsi="Arial" w:cs="Arial"/>
          <w:iCs/>
          <w:sz w:val="22"/>
          <w:szCs w:val="22"/>
          <w:lang w:val="es-CO" w:eastAsia="es-CO"/>
        </w:rPr>
        <w:t xml:space="preserve">olegiado de </w:t>
      </w:r>
      <w:r>
        <w:rPr>
          <w:rFonts w:ascii="Arial" w:hAnsi="Arial" w:cs="Arial"/>
          <w:iCs/>
          <w:sz w:val="22"/>
          <w:szCs w:val="22"/>
          <w:lang w:val="es-CO" w:eastAsia="es-CO"/>
        </w:rPr>
        <w:t>A</w:t>
      </w:r>
      <w:r w:rsidRPr="00B30577">
        <w:rPr>
          <w:rFonts w:ascii="Arial" w:hAnsi="Arial" w:cs="Arial"/>
          <w:iCs/>
          <w:sz w:val="22"/>
          <w:szCs w:val="22"/>
          <w:lang w:val="es-CO" w:eastAsia="es-CO"/>
        </w:rPr>
        <w:t xml:space="preserve">dministración y </w:t>
      </w:r>
      <w:r>
        <w:rPr>
          <w:rFonts w:ascii="Arial" w:hAnsi="Arial" w:cs="Arial"/>
          <w:iCs/>
          <w:sz w:val="22"/>
          <w:szCs w:val="22"/>
          <w:lang w:val="es-CO" w:eastAsia="es-CO"/>
        </w:rPr>
        <w:t>D</w:t>
      </w:r>
      <w:r w:rsidRPr="00B30577">
        <w:rPr>
          <w:rFonts w:ascii="Arial" w:hAnsi="Arial" w:cs="Arial"/>
          <w:iCs/>
          <w:sz w:val="22"/>
          <w:szCs w:val="22"/>
          <w:lang w:val="es-CO" w:eastAsia="es-CO"/>
        </w:rPr>
        <w:t>ecisión,</w:t>
      </w:r>
      <w:r>
        <w:rPr>
          <w:rFonts w:ascii="Arial" w:hAnsi="Arial" w:cs="Arial"/>
          <w:iCs/>
          <w:sz w:val="22"/>
          <w:szCs w:val="22"/>
          <w:lang w:val="es-CO" w:eastAsia="es-CO"/>
        </w:rPr>
        <w:t xml:space="preserve"> </w:t>
      </w:r>
      <w:r w:rsidRPr="00B30577">
        <w:rPr>
          <w:rFonts w:ascii="Arial" w:hAnsi="Arial" w:cs="Arial"/>
          <w:iCs/>
          <w:sz w:val="22"/>
          <w:szCs w:val="22"/>
          <w:lang w:val="es-CO" w:eastAsia="es-CO"/>
        </w:rPr>
        <w:t xml:space="preserve">en el cual tendrán asiento el Gobierno nacional, representado por el Ministro de Hacienda y Crédito Público o su delegado, un (1) representante del </w:t>
      </w:r>
      <w:r>
        <w:rPr>
          <w:rFonts w:ascii="Arial" w:hAnsi="Arial" w:cs="Arial"/>
          <w:iCs/>
          <w:sz w:val="22"/>
          <w:szCs w:val="22"/>
          <w:lang w:val="es-CO" w:eastAsia="es-CO"/>
        </w:rPr>
        <w:t>o</w:t>
      </w:r>
      <w:r w:rsidRPr="00B30577">
        <w:rPr>
          <w:rFonts w:ascii="Arial" w:hAnsi="Arial" w:cs="Arial"/>
          <w:iCs/>
          <w:sz w:val="22"/>
          <w:szCs w:val="22"/>
          <w:lang w:val="es-CO" w:eastAsia="es-CO"/>
        </w:rPr>
        <w:t xml:space="preserve">rganismo </w:t>
      </w:r>
      <w:r>
        <w:rPr>
          <w:rFonts w:ascii="Arial" w:hAnsi="Arial" w:cs="Arial"/>
          <w:iCs/>
          <w:sz w:val="22"/>
          <w:szCs w:val="22"/>
          <w:lang w:val="es-CO" w:eastAsia="es-CO"/>
        </w:rPr>
        <w:t>n</w:t>
      </w:r>
      <w:r w:rsidRPr="00B30577">
        <w:rPr>
          <w:rFonts w:ascii="Arial" w:hAnsi="Arial" w:cs="Arial"/>
          <w:iCs/>
          <w:sz w:val="22"/>
          <w:szCs w:val="22"/>
          <w:lang w:val="es-CO" w:eastAsia="es-CO"/>
        </w:rPr>
        <w:t xml:space="preserve">acional de </w:t>
      </w:r>
      <w:r>
        <w:rPr>
          <w:rFonts w:ascii="Arial" w:hAnsi="Arial" w:cs="Arial"/>
          <w:iCs/>
          <w:sz w:val="22"/>
          <w:szCs w:val="22"/>
          <w:lang w:val="es-CO" w:eastAsia="es-CO"/>
        </w:rPr>
        <w:t>p</w:t>
      </w:r>
      <w:r w:rsidRPr="00B30577">
        <w:rPr>
          <w:rFonts w:ascii="Arial" w:hAnsi="Arial" w:cs="Arial"/>
          <w:iCs/>
          <w:sz w:val="22"/>
          <w:szCs w:val="22"/>
          <w:lang w:val="es-CO" w:eastAsia="es-CO"/>
        </w:rPr>
        <w:t>laneación, y un (1) representante del Presidente de la República, quien ejercerá la Secretaría Técnica; el Gobierno departamental representado por dos (2) Gobernadores y el Gobierno municipal, representado por dos (2) alcaldes.</w:t>
      </w:r>
    </w:p>
    <w:p w:rsidR="005A4B32" w:rsidRPr="00483FFE" w:rsidRDefault="005A4B32" w:rsidP="005A4B32">
      <w:pPr>
        <w:pStyle w:val="NormalWeb"/>
        <w:spacing w:before="0" w:beforeAutospacing="0" w:after="0" w:line="276" w:lineRule="auto"/>
        <w:ind w:left="708"/>
        <w:jc w:val="both"/>
        <w:rPr>
          <w:rFonts w:ascii="Arial" w:hAnsi="Arial" w:cs="Arial"/>
          <w:iCs/>
          <w:sz w:val="16"/>
          <w:szCs w:val="22"/>
          <w:lang w:eastAsia="es-CO"/>
        </w:rPr>
      </w:pPr>
    </w:p>
    <w:p w:rsidR="005A4B32" w:rsidRPr="00B30577" w:rsidRDefault="005A4B32" w:rsidP="005A4B32">
      <w:pPr>
        <w:pStyle w:val="NormalWeb"/>
        <w:spacing w:before="0" w:beforeAutospacing="0" w:after="0" w:line="276" w:lineRule="auto"/>
        <w:ind w:left="708"/>
        <w:jc w:val="both"/>
        <w:rPr>
          <w:rFonts w:ascii="Arial" w:hAnsi="Arial" w:cs="Arial"/>
          <w:iCs/>
          <w:sz w:val="22"/>
          <w:szCs w:val="22"/>
          <w:lang w:eastAsia="es-CO"/>
        </w:rPr>
      </w:pPr>
      <w:r w:rsidRPr="00B30577">
        <w:rPr>
          <w:rFonts w:ascii="Arial" w:hAnsi="Arial" w:cs="Arial"/>
          <w:iCs/>
          <w:sz w:val="22"/>
          <w:szCs w:val="22"/>
          <w:lang w:eastAsia="es-CO"/>
        </w:rPr>
        <w:t>Para cumplir con lo dispuesto en el presente parágrafo transitorio, el Gobierno nacional hará los ajustes necesarios en el presupuesto del bienio 2017-2018, mediante un decreto con fuerza de ley.</w:t>
      </w:r>
      <w:r w:rsidRPr="00B30577">
        <w:rPr>
          <w:rFonts w:ascii="Arial" w:hAnsi="Arial" w:cs="Arial"/>
          <w:sz w:val="22"/>
          <w:szCs w:val="22"/>
          <w:lang w:eastAsia="es-CO"/>
        </w:rPr>
        <w:t>”</w:t>
      </w:r>
    </w:p>
    <w:p w:rsidR="005A4B32" w:rsidRPr="00B30577" w:rsidRDefault="005A4B32" w:rsidP="005A4B32">
      <w:pPr>
        <w:pStyle w:val="NormalWeb"/>
        <w:spacing w:before="0" w:beforeAutospacing="0" w:after="0" w:line="276" w:lineRule="auto"/>
        <w:ind w:left="708"/>
        <w:jc w:val="both"/>
        <w:rPr>
          <w:rFonts w:ascii="Arial" w:hAnsi="Arial" w:cs="Arial"/>
          <w:sz w:val="16"/>
          <w:szCs w:val="22"/>
          <w:lang w:val="es-CO" w:eastAsia="es-CO"/>
        </w:rPr>
      </w:pPr>
    </w:p>
    <w:p w:rsidR="005A4B32" w:rsidRPr="00B30577" w:rsidRDefault="005A4B32" w:rsidP="005A4B32">
      <w:pPr>
        <w:pStyle w:val="NormalWeb"/>
        <w:spacing w:before="0" w:beforeAutospacing="0" w:after="0" w:line="276" w:lineRule="auto"/>
        <w:ind w:left="708"/>
        <w:jc w:val="both"/>
        <w:rPr>
          <w:rFonts w:ascii="Arial" w:hAnsi="Arial" w:cs="Arial"/>
          <w:sz w:val="22"/>
          <w:szCs w:val="22"/>
          <w:lang w:val="es-CO" w:eastAsia="es-CO"/>
        </w:rPr>
      </w:pPr>
      <w:r w:rsidRPr="00B30577">
        <w:rPr>
          <w:rFonts w:ascii="Arial" w:hAnsi="Arial" w:cs="Arial"/>
          <w:b/>
          <w:sz w:val="22"/>
          <w:szCs w:val="22"/>
          <w:lang w:val="es-CO" w:eastAsia="es-CO"/>
        </w:rPr>
        <w:t xml:space="preserve">“Parágrafo 8º Transitorio. </w:t>
      </w:r>
      <w:r w:rsidRPr="00B30577">
        <w:rPr>
          <w:rFonts w:ascii="Arial" w:hAnsi="Arial" w:cs="Arial"/>
          <w:sz w:val="22"/>
          <w:szCs w:val="22"/>
          <w:lang w:val="es-CO" w:eastAsia="es-CO"/>
        </w:rPr>
        <w:t xml:space="preserve">El Gobierno nacional, mediante decreto con fuerza de ley, </w:t>
      </w:r>
      <w:r>
        <w:rPr>
          <w:rFonts w:ascii="Arial" w:hAnsi="Arial" w:cs="Arial"/>
          <w:sz w:val="22"/>
          <w:szCs w:val="22"/>
          <w:lang w:val="es-CO" w:eastAsia="es-CO"/>
        </w:rPr>
        <w:t xml:space="preserve">por una sola vez, </w:t>
      </w:r>
      <w:r w:rsidRPr="00B30577">
        <w:rPr>
          <w:rFonts w:ascii="Arial" w:hAnsi="Arial" w:cs="Arial"/>
          <w:sz w:val="22"/>
          <w:szCs w:val="22"/>
          <w:lang w:val="es-CO" w:eastAsia="es-CO"/>
        </w:rPr>
        <w:t xml:space="preserve">dará </w:t>
      </w:r>
      <w:r w:rsidRPr="00827AC4">
        <w:rPr>
          <w:rFonts w:ascii="Arial" w:hAnsi="Arial" w:cs="Arial"/>
          <w:sz w:val="22"/>
          <w:szCs w:val="22"/>
          <w:lang w:val="es-CO" w:eastAsia="es-CO"/>
        </w:rPr>
        <w:t>traslado de una parte de los recursos del Fondo</w:t>
      </w:r>
      <w:r w:rsidRPr="00B30577">
        <w:rPr>
          <w:rFonts w:ascii="Arial" w:hAnsi="Arial" w:cs="Arial"/>
          <w:sz w:val="22"/>
          <w:szCs w:val="22"/>
          <w:lang w:val="es-CO" w:eastAsia="es-CO"/>
        </w:rPr>
        <w:t xml:space="preserve"> de Ciencia, Tecnología e Innovación que </w:t>
      </w:r>
      <w:r>
        <w:rPr>
          <w:rFonts w:ascii="Arial" w:hAnsi="Arial" w:cs="Arial"/>
          <w:sz w:val="22"/>
          <w:szCs w:val="22"/>
          <w:lang w:val="es-CO" w:eastAsia="es-CO"/>
        </w:rPr>
        <w:t xml:space="preserve">al 31 de diciembre de 2016 </w:t>
      </w:r>
      <w:r w:rsidRPr="00B30577">
        <w:rPr>
          <w:rFonts w:ascii="Arial" w:hAnsi="Arial" w:cs="Arial"/>
          <w:sz w:val="22"/>
          <w:szCs w:val="22"/>
          <w:lang w:val="es-CO" w:eastAsia="es-CO"/>
        </w:rPr>
        <w:t>no haya sido destinad</w:t>
      </w:r>
      <w:r>
        <w:rPr>
          <w:rFonts w:ascii="Arial" w:hAnsi="Arial" w:cs="Arial"/>
          <w:sz w:val="22"/>
          <w:szCs w:val="22"/>
          <w:lang w:val="es-CO" w:eastAsia="es-CO"/>
        </w:rPr>
        <w:t xml:space="preserve">a </w:t>
      </w:r>
      <w:r w:rsidRPr="00B30577">
        <w:rPr>
          <w:rFonts w:ascii="Arial" w:hAnsi="Arial" w:cs="Arial"/>
          <w:sz w:val="22"/>
          <w:szCs w:val="22"/>
          <w:lang w:val="es-CO" w:eastAsia="es-CO"/>
        </w:rPr>
        <w:t xml:space="preserve">a la financiación de proyectos de inversión por el Órgano Colegiado de Administración y Decisión del Fondo, a la asignación para la implementación del </w:t>
      </w:r>
      <w:r w:rsidRPr="00B30577">
        <w:rPr>
          <w:rFonts w:ascii="Arial" w:hAnsi="Arial" w:cs="Arial"/>
          <w:color w:val="000000"/>
          <w:sz w:val="22"/>
          <w:szCs w:val="22"/>
        </w:rPr>
        <w:t xml:space="preserve">Acuerdo Final para la Terminación del Conflicto y la Construcción de una Paz Estable y Duradera de que trata el </w:t>
      </w:r>
      <w:r>
        <w:rPr>
          <w:rFonts w:ascii="Arial" w:hAnsi="Arial" w:cs="Arial"/>
          <w:color w:val="000000"/>
          <w:sz w:val="22"/>
          <w:szCs w:val="22"/>
        </w:rPr>
        <w:t xml:space="preserve">inciso primero del </w:t>
      </w:r>
      <w:r w:rsidRPr="00B30577">
        <w:rPr>
          <w:rFonts w:ascii="Arial" w:hAnsi="Arial" w:cs="Arial"/>
          <w:color w:val="000000"/>
          <w:sz w:val="22"/>
          <w:szCs w:val="22"/>
        </w:rPr>
        <w:t>parágrafo 7º transitorio del presente artículo</w:t>
      </w:r>
      <w:r w:rsidRPr="00B30577">
        <w:rPr>
          <w:rFonts w:ascii="Arial" w:hAnsi="Arial" w:cs="Arial"/>
          <w:sz w:val="22"/>
          <w:szCs w:val="22"/>
          <w:lang w:val="es-CO" w:eastAsia="es-CO"/>
        </w:rPr>
        <w:t>.</w:t>
      </w:r>
    </w:p>
    <w:p w:rsidR="005A4B32" w:rsidRPr="00483FFE" w:rsidRDefault="005A4B32" w:rsidP="005A4B32">
      <w:pPr>
        <w:pStyle w:val="NormalWeb"/>
        <w:spacing w:before="0" w:beforeAutospacing="0" w:after="0" w:line="276" w:lineRule="auto"/>
        <w:ind w:left="708"/>
        <w:jc w:val="both"/>
        <w:rPr>
          <w:rFonts w:ascii="Arial" w:hAnsi="Arial" w:cs="Arial"/>
          <w:color w:val="FF0000"/>
          <w:sz w:val="10"/>
          <w:szCs w:val="22"/>
          <w:lang w:val="es-CO" w:eastAsia="es-CO"/>
        </w:rPr>
      </w:pPr>
    </w:p>
    <w:p w:rsidR="005A4B32" w:rsidRDefault="005A4B32" w:rsidP="005A4B32">
      <w:pPr>
        <w:pStyle w:val="NormalWeb"/>
        <w:spacing w:before="0" w:beforeAutospacing="0" w:after="0" w:line="276" w:lineRule="auto"/>
        <w:ind w:left="708"/>
        <w:jc w:val="both"/>
        <w:rPr>
          <w:rFonts w:ascii="Arial" w:hAnsi="Arial" w:cs="Arial"/>
          <w:sz w:val="22"/>
          <w:szCs w:val="22"/>
          <w:lang w:val="es-CO" w:eastAsia="es-CO"/>
        </w:rPr>
      </w:pPr>
      <w:r w:rsidRPr="00B30577">
        <w:rPr>
          <w:rFonts w:ascii="Arial" w:hAnsi="Arial" w:cs="Arial"/>
          <w:sz w:val="22"/>
          <w:szCs w:val="22"/>
          <w:lang w:val="es-CO" w:eastAsia="es-CO"/>
        </w:rPr>
        <w:t>Los recursos objeto del traslado mantendrán la misma distribución entre departamentos y el Distrito Capital, que tenían en el Fondo de Ciencia, Tecnología e Innovación</w:t>
      </w:r>
      <w:r>
        <w:rPr>
          <w:rFonts w:ascii="Arial" w:hAnsi="Arial" w:cs="Arial"/>
          <w:sz w:val="22"/>
          <w:szCs w:val="22"/>
          <w:lang w:val="es-CO" w:eastAsia="es-CO"/>
        </w:rPr>
        <w:t>.</w:t>
      </w:r>
    </w:p>
    <w:p w:rsidR="005A4B32" w:rsidRPr="00483FFE" w:rsidRDefault="005A4B32" w:rsidP="005A4B32">
      <w:pPr>
        <w:pStyle w:val="NormalWeb"/>
        <w:spacing w:before="0" w:beforeAutospacing="0" w:after="0" w:line="276" w:lineRule="auto"/>
        <w:ind w:left="708"/>
        <w:jc w:val="both"/>
        <w:rPr>
          <w:rFonts w:ascii="Arial" w:hAnsi="Arial" w:cs="Arial"/>
          <w:sz w:val="10"/>
          <w:szCs w:val="22"/>
          <w:lang w:val="es-CO" w:eastAsia="es-CO"/>
        </w:rPr>
      </w:pPr>
    </w:p>
    <w:p w:rsidR="005A4B32" w:rsidRDefault="005A4B32" w:rsidP="005A4B32">
      <w:pPr>
        <w:pStyle w:val="NormalWeb"/>
        <w:spacing w:before="0" w:beforeAutospacing="0" w:after="0" w:line="276" w:lineRule="auto"/>
        <w:ind w:left="708"/>
        <w:jc w:val="both"/>
        <w:rPr>
          <w:rFonts w:ascii="Arial" w:hAnsi="Arial" w:cs="Arial"/>
          <w:sz w:val="22"/>
          <w:szCs w:val="22"/>
          <w:lang w:val="es-CO" w:eastAsia="es-CO"/>
        </w:rPr>
      </w:pPr>
      <w:r>
        <w:rPr>
          <w:rFonts w:ascii="Arial" w:hAnsi="Arial" w:cs="Arial"/>
          <w:sz w:val="22"/>
          <w:szCs w:val="22"/>
          <w:lang w:val="es-CO" w:eastAsia="es-CO"/>
        </w:rPr>
        <w:t>L</w:t>
      </w:r>
      <w:r w:rsidRPr="00483FFE">
        <w:rPr>
          <w:rFonts w:ascii="Arial" w:hAnsi="Arial" w:cs="Arial"/>
          <w:sz w:val="22"/>
          <w:szCs w:val="22"/>
          <w:lang w:val="es-CO" w:eastAsia="es-CO"/>
        </w:rPr>
        <w:t>os proyectos de inversión a ser financiados con estos recursos serán definidos por el Órgano Colegiado de Administración y Decisión de que trata el Parágrafo 7º transitorio del presente artículo”</w:t>
      </w:r>
    </w:p>
    <w:p w:rsidR="005A4B32" w:rsidRDefault="005A4B32" w:rsidP="005A4B32">
      <w:pPr>
        <w:pStyle w:val="NormalWeb"/>
        <w:spacing w:before="0" w:beforeAutospacing="0" w:after="0" w:line="276" w:lineRule="auto"/>
        <w:ind w:left="708"/>
        <w:jc w:val="both"/>
        <w:rPr>
          <w:rFonts w:ascii="Arial" w:hAnsi="Arial" w:cs="Arial"/>
          <w:sz w:val="22"/>
          <w:szCs w:val="22"/>
          <w:lang w:val="es-CO" w:eastAsia="es-CO"/>
        </w:rPr>
      </w:pPr>
    </w:p>
    <w:p w:rsidR="005A4B32" w:rsidRPr="006D5EDE" w:rsidRDefault="005A4B32" w:rsidP="005A4B32">
      <w:pPr>
        <w:pStyle w:val="NormalWeb"/>
        <w:spacing w:before="0" w:beforeAutospacing="0" w:after="0" w:line="276" w:lineRule="auto"/>
        <w:ind w:left="708"/>
        <w:jc w:val="both"/>
        <w:rPr>
          <w:rFonts w:ascii="Arial" w:hAnsi="Arial" w:cs="Arial"/>
          <w:sz w:val="22"/>
          <w:szCs w:val="22"/>
          <w:lang w:val="es-CO" w:eastAsia="es-CO"/>
        </w:rPr>
      </w:pPr>
      <w:r>
        <w:rPr>
          <w:rFonts w:ascii="Arial" w:hAnsi="Arial" w:cs="Arial"/>
          <w:sz w:val="22"/>
          <w:szCs w:val="22"/>
          <w:lang w:val="es-CO" w:eastAsia="es-CO"/>
        </w:rPr>
        <w:t>“</w:t>
      </w:r>
      <w:r w:rsidRPr="006D5EDE">
        <w:rPr>
          <w:rFonts w:ascii="Arial" w:hAnsi="Arial" w:cs="Arial"/>
          <w:b/>
          <w:sz w:val="22"/>
          <w:szCs w:val="22"/>
          <w:lang w:val="es-CO" w:eastAsia="es-CO"/>
        </w:rPr>
        <w:t>Parágrafo 9º Transitorio.</w:t>
      </w:r>
      <w:r w:rsidRPr="006D5EDE">
        <w:rPr>
          <w:rFonts w:ascii="Arial" w:hAnsi="Arial" w:cs="Arial"/>
          <w:sz w:val="22"/>
          <w:szCs w:val="22"/>
          <w:lang w:val="es-CO" w:eastAsia="es-CO"/>
        </w:rPr>
        <w:t xml:space="preserve"> Los proyectos de inversión a financiarse con los recursos del Sistema General de Regalías destinados a la implementación del Acuerdo Final para la Terminación del Conflicto y la Construcción de una Paz Estable y Duradera, deberán guardar concordancia con </w:t>
      </w:r>
      <w:r>
        <w:rPr>
          <w:rFonts w:ascii="Arial" w:hAnsi="Arial" w:cs="Arial"/>
          <w:sz w:val="22"/>
          <w:szCs w:val="22"/>
          <w:lang w:val="es-CO" w:eastAsia="es-CO"/>
        </w:rPr>
        <w:t xml:space="preserve">el régimen de planeación vigente, </w:t>
      </w:r>
      <w:r w:rsidRPr="006D5EDE">
        <w:rPr>
          <w:rFonts w:ascii="Arial" w:hAnsi="Arial" w:cs="Arial"/>
          <w:sz w:val="22"/>
          <w:szCs w:val="22"/>
          <w:lang w:val="es-CO" w:eastAsia="es-CO"/>
        </w:rPr>
        <w:t xml:space="preserve">el componente específico para la Paz </w:t>
      </w:r>
      <w:r>
        <w:rPr>
          <w:rFonts w:ascii="Arial" w:hAnsi="Arial" w:cs="Arial"/>
          <w:sz w:val="22"/>
          <w:szCs w:val="22"/>
          <w:lang w:val="es-CO" w:eastAsia="es-CO"/>
        </w:rPr>
        <w:t xml:space="preserve">y la implementación </w:t>
      </w:r>
      <w:r w:rsidRPr="006D5EDE">
        <w:rPr>
          <w:rFonts w:ascii="Arial" w:hAnsi="Arial" w:cs="Arial"/>
          <w:sz w:val="22"/>
          <w:szCs w:val="22"/>
          <w:lang w:val="es-CO" w:eastAsia="es-CO"/>
        </w:rPr>
        <w:t>del Plan Plurianual de Inversiones del Plan Nacional de Desarrollo y de los planes de desarrollo de las entidades territoriales.</w:t>
      </w:r>
      <w:r>
        <w:rPr>
          <w:rFonts w:ascii="Arial" w:hAnsi="Arial" w:cs="Arial"/>
          <w:sz w:val="22"/>
          <w:szCs w:val="22"/>
          <w:lang w:val="es-CO" w:eastAsia="es-CO"/>
        </w:rPr>
        <w:t>”</w:t>
      </w:r>
    </w:p>
    <w:p w:rsidR="005A4B32" w:rsidRPr="00483FFE" w:rsidRDefault="005A4B32" w:rsidP="005A4B32">
      <w:pPr>
        <w:pStyle w:val="NormalWeb"/>
        <w:spacing w:before="0" w:beforeAutospacing="0" w:after="0" w:line="276" w:lineRule="auto"/>
        <w:jc w:val="both"/>
        <w:rPr>
          <w:rFonts w:ascii="Arial" w:hAnsi="Arial" w:cs="Arial"/>
          <w:sz w:val="22"/>
          <w:szCs w:val="22"/>
          <w:lang w:val="es-CO" w:eastAsia="es-CO"/>
        </w:rPr>
      </w:pPr>
    </w:p>
    <w:p w:rsidR="005A4B32" w:rsidRPr="00B30577" w:rsidRDefault="005A4B32" w:rsidP="005A4B32">
      <w:pPr>
        <w:spacing w:after="0" w:line="288" w:lineRule="atLeast"/>
        <w:jc w:val="both"/>
        <w:textAlignment w:val="center"/>
        <w:rPr>
          <w:rFonts w:ascii="Arial" w:eastAsia="Times New Roman" w:hAnsi="Arial" w:cs="Arial"/>
          <w:bCs/>
          <w:color w:val="000000"/>
          <w:lang w:val="es-ES_tradnl" w:eastAsia="es-CO"/>
        </w:rPr>
      </w:pPr>
    </w:p>
    <w:p w:rsidR="005A4B32" w:rsidRPr="00B30577" w:rsidRDefault="005A4B32" w:rsidP="005A4B32">
      <w:pPr>
        <w:spacing w:after="0" w:line="288" w:lineRule="atLeast"/>
        <w:jc w:val="both"/>
        <w:textAlignment w:val="center"/>
        <w:rPr>
          <w:rFonts w:ascii="Arial" w:eastAsia="Times New Roman" w:hAnsi="Arial" w:cs="Arial"/>
          <w:color w:val="000000"/>
          <w:lang w:val="es-ES_tradnl" w:eastAsia="es-CO"/>
        </w:rPr>
      </w:pPr>
      <w:r w:rsidRPr="00B30577">
        <w:rPr>
          <w:rFonts w:ascii="Arial" w:eastAsia="Times New Roman" w:hAnsi="Arial" w:cs="Arial"/>
          <w:b/>
          <w:bCs/>
          <w:color w:val="000000"/>
          <w:lang w:val="es-ES_tradnl" w:eastAsia="es-CO"/>
        </w:rPr>
        <w:t>Artículo 3°. </w:t>
      </w:r>
      <w:r w:rsidRPr="00B30577">
        <w:rPr>
          <w:rFonts w:ascii="Arial" w:eastAsia="Times New Roman" w:hAnsi="Arial" w:cs="Arial"/>
          <w:b/>
          <w:bCs/>
          <w:i/>
          <w:iCs/>
          <w:color w:val="000000"/>
          <w:lang w:val="es-ES_tradnl" w:eastAsia="es-CO"/>
        </w:rPr>
        <w:t>Vigencia y derogatorias.</w:t>
      </w:r>
      <w:r w:rsidRPr="00B30577">
        <w:rPr>
          <w:rFonts w:ascii="Arial" w:eastAsia="Times New Roman" w:hAnsi="Arial" w:cs="Arial"/>
          <w:b/>
          <w:bCs/>
          <w:color w:val="000000"/>
          <w:lang w:val="es-ES_tradnl" w:eastAsia="es-CO"/>
        </w:rPr>
        <w:t> </w:t>
      </w:r>
      <w:r w:rsidRPr="00B30577">
        <w:rPr>
          <w:rFonts w:ascii="Arial" w:eastAsia="Times New Roman" w:hAnsi="Arial" w:cs="Arial"/>
          <w:color w:val="000000"/>
          <w:lang w:val="es-ES_tradnl" w:eastAsia="es-CO"/>
        </w:rPr>
        <w:t>El presente acto legislativo rige a partir de la fecha de su promulgación y deroga las nomas que le sean contrarias.</w:t>
      </w:r>
    </w:p>
    <w:p w:rsidR="005A4B32" w:rsidRPr="00B30577" w:rsidRDefault="005A4B32" w:rsidP="005A4B32">
      <w:pPr>
        <w:spacing w:after="0" w:line="288" w:lineRule="atLeast"/>
        <w:ind w:firstLine="283"/>
        <w:jc w:val="both"/>
        <w:textAlignment w:val="center"/>
        <w:rPr>
          <w:rFonts w:ascii="Arial" w:eastAsia="Times New Roman" w:hAnsi="Arial" w:cs="Arial"/>
          <w:color w:val="000000"/>
          <w:lang w:eastAsia="es-CO"/>
        </w:rPr>
      </w:pPr>
    </w:p>
    <w:p w:rsidR="005A4B32" w:rsidRDefault="005A4B32" w:rsidP="005A4B32">
      <w:pPr>
        <w:spacing w:after="0" w:line="288" w:lineRule="atLeast"/>
        <w:jc w:val="both"/>
        <w:textAlignment w:val="center"/>
        <w:rPr>
          <w:rFonts w:ascii="Arial" w:eastAsia="Times New Roman" w:hAnsi="Arial" w:cs="Arial"/>
          <w:color w:val="000000"/>
          <w:lang w:val="es-ES_tradnl" w:eastAsia="es-CO"/>
        </w:rPr>
      </w:pPr>
      <w:r w:rsidRPr="00B30577">
        <w:rPr>
          <w:rFonts w:ascii="Arial" w:eastAsia="Times New Roman" w:hAnsi="Arial" w:cs="Arial"/>
          <w:color w:val="000000"/>
          <w:lang w:val="es-ES_tradnl" w:eastAsia="es-CO"/>
        </w:rPr>
        <w:t xml:space="preserve">De los honorables Congresistas, </w:t>
      </w:r>
    </w:p>
    <w:p w:rsidR="005A4B32" w:rsidRDefault="005A4B32" w:rsidP="005A4B32">
      <w:pPr>
        <w:spacing w:after="0" w:line="288" w:lineRule="atLeast"/>
        <w:jc w:val="both"/>
        <w:textAlignment w:val="center"/>
        <w:rPr>
          <w:rFonts w:ascii="Arial" w:eastAsia="Times New Roman" w:hAnsi="Arial" w:cs="Arial"/>
          <w:color w:val="000000"/>
          <w:lang w:val="es-ES_tradnl" w:eastAsia="es-CO"/>
        </w:rPr>
      </w:pPr>
    </w:p>
    <w:p w:rsidR="005A4B32" w:rsidRPr="00B30577" w:rsidRDefault="005A4B32" w:rsidP="005A4B32">
      <w:pPr>
        <w:spacing w:after="0" w:line="288" w:lineRule="atLeast"/>
        <w:jc w:val="both"/>
        <w:textAlignment w:val="center"/>
        <w:rPr>
          <w:rFonts w:ascii="Arial" w:eastAsia="Times New Roman" w:hAnsi="Arial" w:cs="Arial"/>
          <w:color w:val="000000"/>
          <w:lang w:eastAsia="es-CO"/>
        </w:rPr>
      </w:pPr>
      <w:r w:rsidRPr="00B30577">
        <w:rPr>
          <w:rFonts w:ascii="Arial" w:eastAsia="Times New Roman" w:hAnsi="Arial" w:cs="Arial"/>
          <w:color w:val="000000"/>
          <w:lang w:val="es-ES_tradnl" w:eastAsia="es-CO"/>
        </w:rPr>
        <w:t>Atentamente,</w:t>
      </w:r>
    </w:p>
    <w:p w:rsidR="005A4B32" w:rsidRPr="00B30577" w:rsidRDefault="005A4B32" w:rsidP="005A4B32">
      <w:pPr>
        <w:spacing w:after="0" w:line="288" w:lineRule="atLeast"/>
        <w:jc w:val="both"/>
        <w:textAlignment w:val="center"/>
        <w:rPr>
          <w:rFonts w:ascii="Arial" w:eastAsia="Times New Roman" w:hAnsi="Arial" w:cs="Arial"/>
          <w:i/>
          <w:iCs/>
          <w:color w:val="000000"/>
          <w:lang w:val="es-ES_tradnl" w:eastAsia="es-CO"/>
        </w:rPr>
      </w:pPr>
    </w:p>
    <w:p w:rsidR="005A4B32" w:rsidRDefault="005A4B32" w:rsidP="005A4B32">
      <w:pPr>
        <w:spacing w:after="0" w:line="288" w:lineRule="atLeast"/>
        <w:jc w:val="both"/>
        <w:textAlignment w:val="center"/>
        <w:rPr>
          <w:rFonts w:ascii="Arial" w:eastAsia="Times New Roman" w:hAnsi="Arial" w:cs="Arial"/>
          <w:i/>
          <w:iCs/>
          <w:color w:val="000000"/>
          <w:lang w:val="es-ES_tradnl" w:eastAsia="es-CO"/>
        </w:rPr>
      </w:pPr>
    </w:p>
    <w:p w:rsidR="005A4B32" w:rsidRDefault="005A4B32" w:rsidP="005A4B32">
      <w:pPr>
        <w:spacing w:after="0" w:line="288" w:lineRule="atLeast"/>
        <w:jc w:val="both"/>
        <w:textAlignment w:val="center"/>
        <w:rPr>
          <w:rFonts w:ascii="Arial" w:eastAsia="Times New Roman" w:hAnsi="Arial" w:cs="Arial"/>
          <w:i/>
          <w:iCs/>
          <w:color w:val="000000"/>
          <w:lang w:val="es-ES_tradnl" w:eastAsia="es-CO"/>
        </w:rPr>
      </w:pPr>
    </w:p>
    <w:p w:rsidR="005A4B32" w:rsidRDefault="005A4B32" w:rsidP="005A4B32">
      <w:pPr>
        <w:spacing w:after="0" w:line="288" w:lineRule="atLeast"/>
        <w:jc w:val="both"/>
        <w:textAlignment w:val="center"/>
        <w:rPr>
          <w:rFonts w:ascii="Arial" w:eastAsia="Times New Roman" w:hAnsi="Arial" w:cs="Arial"/>
          <w:i/>
          <w:iCs/>
          <w:color w:val="000000"/>
          <w:lang w:val="es-ES_tradnl" w:eastAsia="es-CO"/>
        </w:rPr>
      </w:pPr>
    </w:p>
    <w:p w:rsidR="005A4B32" w:rsidRDefault="005A4B32" w:rsidP="005A4B32">
      <w:pPr>
        <w:spacing w:after="0" w:line="288" w:lineRule="atLeast"/>
        <w:jc w:val="both"/>
        <w:textAlignment w:val="center"/>
        <w:rPr>
          <w:rFonts w:ascii="Arial" w:eastAsia="Times New Roman" w:hAnsi="Arial" w:cs="Arial"/>
          <w:i/>
          <w:iCs/>
          <w:color w:val="000000"/>
          <w:lang w:val="es-ES_tradnl" w:eastAsia="es-CO"/>
        </w:rPr>
      </w:pPr>
    </w:p>
    <w:p w:rsidR="005A4B32" w:rsidRDefault="005A4B32" w:rsidP="005A4B32">
      <w:pPr>
        <w:spacing w:after="0" w:line="288" w:lineRule="atLeast"/>
        <w:jc w:val="both"/>
        <w:textAlignment w:val="center"/>
        <w:rPr>
          <w:rFonts w:ascii="Arial" w:eastAsia="Times New Roman" w:hAnsi="Arial" w:cs="Arial"/>
          <w:i/>
          <w:iCs/>
          <w:color w:val="000000"/>
          <w:lang w:val="es-ES_tradnl" w:eastAsia="es-CO"/>
        </w:rPr>
      </w:pPr>
    </w:p>
    <w:p w:rsidR="005A4B32" w:rsidRDefault="005A4B32" w:rsidP="005A4B32">
      <w:pPr>
        <w:spacing w:after="0" w:line="288" w:lineRule="atLeast"/>
        <w:jc w:val="both"/>
        <w:textAlignment w:val="center"/>
        <w:rPr>
          <w:rFonts w:ascii="Arial" w:eastAsia="Times New Roman" w:hAnsi="Arial" w:cs="Arial"/>
          <w:i/>
          <w:iCs/>
          <w:color w:val="000000"/>
          <w:lang w:val="es-ES_tradnl" w:eastAsia="es-CO"/>
        </w:rPr>
      </w:pPr>
    </w:p>
    <w:p w:rsidR="005A4B32" w:rsidRDefault="005A4B32" w:rsidP="005A4B32">
      <w:pPr>
        <w:spacing w:after="0" w:line="288" w:lineRule="atLeast"/>
        <w:jc w:val="both"/>
        <w:textAlignment w:val="center"/>
        <w:rPr>
          <w:rFonts w:ascii="Arial" w:eastAsia="Times New Roman" w:hAnsi="Arial" w:cs="Arial"/>
          <w:color w:val="000000"/>
          <w:lang w:val="es-ES_tradnl" w:eastAsia="es-CO"/>
        </w:rPr>
      </w:pPr>
      <w:r w:rsidRPr="00AC4828">
        <w:rPr>
          <w:rFonts w:ascii="Arial" w:eastAsia="Times New Roman" w:hAnsi="Arial" w:cs="Arial"/>
          <w:b/>
          <w:i/>
          <w:iCs/>
          <w:color w:val="000000"/>
          <w:lang w:val="es-ES_tradnl" w:eastAsia="es-CO"/>
        </w:rPr>
        <w:t>MAURICIO CÁRDENAS SANTAMARÍA</w:t>
      </w:r>
      <w:r w:rsidRPr="00B30577">
        <w:rPr>
          <w:rFonts w:ascii="Arial" w:eastAsia="Times New Roman" w:hAnsi="Arial" w:cs="Arial"/>
          <w:color w:val="000000"/>
          <w:lang w:val="es-ES_tradnl" w:eastAsia="es-CO"/>
        </w:rPr>
        <w:t> </w:t>
      </w:r>
    </w:p>
    <w:p w:rsidR="005A4B32" w:rsidRPr="00B30577" w:rsidRDefault="005A4B32" w:rsidP="005A4B32">
      <w:pPr>
        <w:spacing w:after="0" w:line="288" w:lineRule="atLeast"/>
        <w:jc w:val="both"/>
        <w:textAlignment w:val="center"/>
        <w:rPr>
          <w:rFonts w:ascii="Arial" w:eastAsia="Times New Roman" w:hAnsi="Arial" w:cs="Arial"/>
          <w:color w:val="000000"/>
          <w:lang w:val="es-ES_tradnl" w:eastAsia="es-CO"/>
        </w:rPr>
      </w:pPr>
      <w:r w:rsidRPr="00B30577">
        <w:rPr>
          <w:rFonts w:ascii="Arial" w:eastAsia="Times New Roman" w:hAnsi="Arial" w:cs="Arial"/>
          <w:color w:val="000000"/>
          <w:lang w:val="es-ES_tradnl" w:eastAsia="es-CO"/>
        </w:rPr>
        <w:t>Ministro de H</w:t>
      </w:r>
      <w:r>
        <w:rPr>
          <w:rFonts w:ascii="Arial" w:eastAsia="Times New Roman" w:hAnsi="Arial" w:cs="Arial"/>
          <w:color w:val="000000"/>
          <w:lang w:val="es-ES_tradnl" w:eastAsia="es-CO"/>
        </w:rPr>
        <w:t>acienda y Crédito Público</w:t>
      </w:r>
    </w:p>
    <w:p w:rsidR="005A4B32" w:rsidRDefault="005A4B32" w:rsidP="005A4B32">
      <w:pPr>
        <w:spacing w:after="0" w:line="288" w:lineRule="atLeast"/>
        <w:jc w:val="both"/>
        <w:textAlignment w:val="center"/>
        <w:rPr>
          <w:rFonts w:ascii="Arial" w:eastAsia="Times New Roman" w:hAnsi="Arial" w:cs="Arial"/>
          <w:i/>
          <w:color w:val="000000"/>
          <w:lang w:val="es-ES_tradnl" w:eastAsia="es-CO"/>
        </w:rPr>
      </w:pPr>
    </w:p>
    <w:p w:rsidR="005A4B32" w:rsidRDefault="005A4B32" w:rsidP="005A4B32">
      <w:pPr>
        <w:spacing w:after="0" w:line="288" w:lineRule="atLeast"/>
        <w:jc w:val="both"/>
        <w:textAlignment w:val="center"/>
        <w:rPr>
          <w:rFonts w:ascii="Arial" w:eastAsia="Times New Roman" w:hAnsi="Arial" w:cs="Arial"/>
          <w:i/>
          <w:color w:val="000000"/>
          <w:lang w:val="es-ES_tradnl" w:eastAsia="es-CO"/>
        </w:rPr>
      </w:pPr>
    </w:p>
    <w:p w:rsidR="005A4B32" w:rsidRDefault="005A4B32" w:rsidP="005A4B32">
      <w:pPr>
        <w:spacing w:after="0" w:line="288" w:lineRule="atLeast"/>
        <w:jc w:val="both"/>
        <w:textAlignment w:val="center"/>
        <w:rPr>
          <w:rFonts w:ascii="Arial" w:eastAsia="Times New Roman" w:hAnsi="Arial" w:cs="Arial"/>
          <w:i/>
          <w:color w:val="000000"/>
          <w:lang w:val="es-ES_tradnl" w:eastAsia="es-CO"/>
        </w:rPr>
      </w:pPr>
    </w:p>
    <w:p w:rsidR="005A4B32" w:rsidRDefault="005A4B32" w:rsidP="005A4B32">
      <w:pPr>
        <w:spacing w:after="0" w:line="288" w:lineRule="atLeast"/>
        <w:jc w:val="both"/>
        <w:textAlignment w:val="center"/>
        <w:rPr>
          <w:rFonts w:ascii="Arial" w:eastAsia="Times New Roman" w:hAnsi="Arial" w:cs="Arial"/>
          <w:i/>
          <w:color w:val="000000"/>
          <w:lang w:val="es-ES_tradnl" w:eastAsia="es-CO"/>
        </w:rPr>
      </w:pPr>
    </w:p>
    <w:p w:rsidR="005A4B32" w:rsidRDefault="005A4B32" w:rsidP="005A4B32">
      <w:pPr>
        <w:spacing w:after="0" w:line="288" w:lineRule="atLeast"/>
        <w:jc w:val="both"/>
        <w:textAlignment w:val="center"/>
        <w:rPr>
          <w:rFonts w:ascii="Arial" w:eastAsia="Times New Roman" w:hAnsi="Arial" w:cs="Arial"/>
          <w:i/>
          <w:color w:val="000000"/>
          <w:lang w:val="es-ES_tradnl" w:eastAsia="es-CO"/>
        </w:rPr>
      </w:pPr>
    </w:p>
    <w:p w:rsidR="005A4B32" w:rsidRDefault="005A4B32" w:rsidP="005A4B32">
      <w:pPr>
        <w:spacing w:after="0" w:line="288" w:lineRule="atLeast"/>
        <w:jc w:val="both"/>
        <w:textAlignment w:val="center"/>
        <w:rPr>
          <w:rFonts w:ascii="Arial" w:eastAsia="Times New Roman" w:hAnsi="Arial" w:cs="Arial"/>
          <w:i/>
          <w:color w:val="000000"/>
          <w:lang w:val="es-ES_tradnl" w:eastAsia="es-CO"/>
        </w:rPr>
      </w:pPr>
    </w:p>
    <w:p w:rsidR="005A4B32" w:rsidRDefault="005A4B32" w:rsidP="005A4B32">
      <w:pPr>
        <w:spacing w:after="0" w:line="288" w:lineRule="atLeast"/>
        <w:jc w:val="both"/>
        <w:textAlignment w:val="center"/>
        <w:rPr>
          <w:rFonts w:ascii="Arial" w:eastAsia="Times New Roman" w:hAnsi="Arial" w:cs="Arial"/>
          <w:i/>
          <w:color w:val="000000"/>
          <w:lang w:val="es-ES_tradnl" w:eastAsia="es-CO"/>
        </w:rPr>
      </w:pPr>
    </w:p>
    <w:p w:rsidR="005A4B32" w:rsidRDefault="005A4B32" w:rsidP="005A4B32">
      <w:pPr>
        <w:spacing w:after="0" w:line="288" w:lineRule="atLeast"/>
        <w:jc w:val="both"/>
        <w:textAlignment w:val="center"/>
        <w:rPr>
          <w:rFonts w:ascii="Arial" w:eastAsia="Times New Roman" w:hAnsi="Arial" w:cs="Arial"/>
          <w:color w:val="000000"/>
          <w:lang w:val="es-ES_tradnl" w:eastAsia="es-CO"/>
        </w:rPr>
      </w:pPr>
      <w:r w:rsidRPr="00AC4828">
        <w:rPr>
          <w:rFonts w:ascii="Arial" w:eastAsia="Times New Roman" w:hAnsi="Arial" w:cs="Arial"/>
          <w:b/>
          <w:i/>
          <w:color w:val="000000"/>
          <w:lang w:val="es-ES_tradnl" w:eastAsia="es-CO"/>
        </w:rPr>
        <w:t>GERMÁN ARCE ZAPATA</w:t>
      </w:r>
      <w:r w:rsidRPr="00B30577">
        <w:rPr>
          <w:rFonts w:ascii="Arial" w:eastAsia="Times New Roman" w:hAnsi="Arial" w:cs="Arial"/>
          <w:color w:val="000000"/>
          <w:lang w:val="es-ES_tradnl" w:eastAsia="es-CO"/>
        </w:rPr>
        <w:t> </w:t>
      </w:r>
    </w:p>
    <w:p w:rsidR="005A4B32" w:rsidRDefault="005A4B32" w:rsidP="005A4B32">
      <w:pPr>
        <w:spacing w:after="0" w:line="288" w:lineRule="atLeast"/>
        <w:jc w:val="both"/>
        <w:textAlignment w:val="center"/>
        <w:rPr>
          <w:rFonts w:ascii="Arial" w:eastAsia="Times New Roman" w:hAnsi="Arial" w:cs="Arial"/>
          <w:color w:val="000000"/>
          <w:lang w:val="es-ES_tradnl" w:eastAsia="es-CO"/>
        </w:rPr>
      </w:pPr>
      <w:r>
        <w:rPr>
          <w:rFonts w:ascii="Arial" w:eastAsia="Times New Roman" w:hAnsi="Arial" w:cs="Arial"/>
          <w:color w:val="000000"/>
          <w:lang w:val="es-ES_tradnl" w:eastAsia="es-CO"/>
        </w:rPr>
        <w:t>Ministro de Minas y Energía</w:t>
      </w:r>
    </w:p>
    <w:p w:rsidR="005A4B32" w:rsidRDefault="005A4B32" w:rsidP="005A4B32">
      <w:pPr>
        <w:spacing w:after="0" w:line="288" w:lineRule="atLeast"/>
        <w:jc w:val="both"/>
        <w:textAlignment w:val="center"/>
        <w:rPr>
          <w:rFonts w:ascii="Arial" w:eastAsia="Times New Roman" w:hAnsi="Arial" w:cs="Arial"/>
          <w:i/>
          <w:color w:val="000000"/>
          <w:lang w:val="es-ES_tradnl" w:eastAsia="es-CO"/>
        </w:rPr>
      </w:pPr>
    </w:p>
    <w:p w:rsidR="005A4B32" w:rsidRDefault="005A4B32" w:rsidP="005A4B32">
      <w:pPr>
        <w:spacing w:after="0" w:line="288" w:lineRule="atLeast"/>
        <w:jc w:val="both"/>
        <w:textAlignment w:val="center"/>
        <w:rPr>
          <w:rFonts w:ascii="Arial" w:eastAsia="Times New Roman" w:hAnsi="Arial" w:cs="Arial"/>
          <w:i/>
          <w:color w:val="000000"/>
          <w:lang w:val="es-ES_tradnl" w:eastAsia="es-CO"/>
        </w:rPr>
      </w:pPr>
    </w:p>
    <w:p w:rsidR="005A4B32" w:rsidRDefault="005A4B32" w:rsidP="005A4B32">
      <w:pPr>
        <w:spacing w:after="0" w:line="288" w:lineRule="atLeast"/>
        <w:jc w:val="both"/>
        <w:textAlignment w:val="center"/>
        <w:rPr>
          <w:rFonts w:ascii="Arial" w:eastAsia="Times New Roman" w:hAnsi="Arial" w:cs="Arial"/>
          <w:i/>
          <w:color w:val="000000"/>
          <w:lang w:val="es-ES_tradnl" w:eastAsia="es-CO"/>
        </w:rPr>
      </w:pPr>
    </w:p>
    <w:p w:rsidR="005A4B32" w:rsidRDefault="005A4B32" w:rsidP="005A4B32">
      <w:pPr>
        <w:spacing w:after="0" w:line="288" w:lineRule="atLeast"/>
        <w:jc w:val="both"/>
        <w:textAlignment w:val="center"/>
        <w:rPr>
          <w:rFonts w:ascii="Arial" w:eastAsia="Times New Roman" w:hAnsi="Arial" w:cs="Arial"/>
          <w:i/>
          <w:color w:val="000000"/>
          <w:lang w:val="es-ES_tradnl" w:eastAsia="es-CO"/>
        </w:rPr>
      </w:pPr>
    </w:p>
    <w:p w:rsidR="005A4B32" w:rsidRDefault="005A4B32" w:rsidP="005A4B32">
      <w:pPr>
        <w:spacing w:after="0" w:line="288" w:lineRule="atLeast"/>
        <w:jc w:val="both"/>
        <w:textAlignment w:val="center"/>
        <w:rPr>
          <w:rFonts w:ascii="Arial" w:eastAsia="Times New Roman" w:hAnsi="Arial" w:cs="Arial"/>
          <w:i/>
          <w:color w:val="000000"/>
          <w:lang w:val="es-ES_tradnl" w:eastAsia="es-CO"/>
        </w:rPr>
      </w:pPr>
    </w:p>
    <w:p w:rsidR="005A4B32" w:rsidRDefault="005A4B32" w:rsidP="005A4B32">
      <w:pPr>
        <w:spacing w:after="0" w:line="288" w:lineRule="atLeast"/>
        <w:jc w:val="both"/>
        <w:textAlignment w:val="center"/>
        <w:rPr>
          <w:rFonts w:ascii="Arial" w:eastAsia="Times New Roman" w:hAnsi="Arial" w:cs="Arial"/>
          <w:i/>
          <w:color w:val="000000"/>
          <w:lang w:val="es-ES_tradnl" w:eastAsia="es-CO"/>
        </w:rPr>
      </w:pPr>
    </w:p>
    <w:p w:rsidR="005A4B32" w:rsidRPr="00AC4828" w:rsidRDefault="005A4B32" w:rsidP="005A4B32">
      <w:pPr>
        <w:spacing w:after="0" w:line="288" w:lineRule="atLeast"/>
        <w:jc w:val="both"/>
        <w:textAlignment w:val="center"/>
        <w:rPr>
          <w:rFonts w:ascii="Arial" w:eastAsia="Times New Roman" w:hAnsi="Arial" w:cs="Arial"/>
          <w:b/>
          <w:color w:val="000000"/>
          <w:lang w:val="es-ES_tradnl" w:eastAsia="es-CO"/>
        </w:rPr>
      </w:pPr>
      <w:r w:rsidRPr="00AC4828">
        <w:rPr>
          <w:rFonts w:ascii="Arial" w:eastAsia="Times New Roman" w:hAnsi="Arial" w:cs="Arial"/>
          <w:b/>
          <w:i/>
          <w:color w:val="000000"/>
          <w:lang w:val="es-ES_tradnl" w:eastAsia="es-CO"/>
        </w:rPr>
        <w:t>SIMÓN GAVIRIA MUÑOZ</w:t>
      </w:r>
    </w:p>
    <w:p w:rsidR="005A4B32" w:rsidRPr="00B30577" w:rsidRDefault="005A4B32" w:rsidP="005A4B32">
      <w:pPr>
        <w:spacing w:after="0" w:line="288" w:lineRule="atLeast"/>
        <w:jc w:val="both"/>
        <w:textAlignment w:val="center"/>
        <w:rPr>
          <w:rFonts w:ascii="Arial" w:eastAsia="Times New Roman" w:hAnsi="Arial" w:cs="Arial"/>
          <w:color w:val="000000"/>
          <w:lang w:val="es-ES_tradnl" w:eastAsia="es-CO"/>
        </w:rPr>
      </w:pPr>
      <w:r>
        <w:rPr>
          <w:rFonts w:ascii="Arial" w:eastAsia="Times New Roman" w:hAnsi="Arial" w:cs="Arial"/>
          <w:color w:val="000000"/>
          <w:lang w:val="es-ES_tradnl" w:eastAsia="es-CO"/>
        </w:rPr>
        <w:t>Director Departamento Nacional de Planeación</w:t>
      </w:r>
    </w:p>
    <w:p w:rsidR="005A4B32" w:rsidRDefault="005A4B32" w:rsidP="00AE001B">
      <w:pPr>
        <w:spacing w:before="28" w:after="28" w:line="288" w:lineRule="atLeast"/>
        <w:jc w:val="center"/>
        <w:textAlignment w:val="center"/>
        <w:rPr>
          <w:rFonts w:ascii="Arial" w:eastAsia="Times New Roman" w:hAnsi="Arial" w:cs="Arial"/>
          <w:b/>
          <w:color w:val="000000"/>
          <w:lang w:val="es-ES_tradnl" w:eastAsia="es-CO"/>
        </w:rPr>
      </w:pPr>
    </w:p>
    <w:p w:rsidR="005A4B32" w:rsidRDefault="005A4B32" w:rsidP="00AE001B">
      <w:pPr>
        <w:spacing w:before="28" w:after="28" w:line="288" w:lineRule="atLeast"/>
        <w:jc w:val="center"/>
        <w:textAlignment w:val="center"/>
        <w:rPr>
          <w:rFonts w:ascii="Arial" w:eastAsia="Times New Roman" w:hAnsi="Arial" w:cs="Arial"/>
          <w:b/>
          <w:color w:val="000000"/>
          <w:lang w:val="es-ES_tradnl" w:eastAsia="es-CO"/>
        </w:rPr>
      </w:pPr>
    </w:p>
    <w:p w:rsidR="005A4B32" w:rsidRDefault="005A4B32" w:rsidP="00AE001B">
      <w:pPr>
        <w:spacing w:before="28" w:after="28" w:line="288" w:lineRule="atLeast"/>
        <w:jc w:val="center"/>
        <w:textAlignment w:val="center"/>
        <w:rPr>
          <w:rFonts w:ascii="Arial" w:eastAsia="Times New Roman" w:hAnsi="Arial" w:cs="Arial"/>
          <w:b/>
          <w:color w:val="000000"/>
          <w:lang w:val="es-ES_tradnl" w:eastAsia="es-CO"/>
        </w:rPr>
      </w:pPr>
    </w:p>
    <w:p w:rsidR="005A4B32" w:rsidRDefault="005A4B32" w:rsidP="00AE001B">
      <w:pPr>
        <w:spacing w:before="28" w:after="28" w:line="288" w:lineRule="atLeast"/>
        <w:jc w:val="center"/>
        <w:textAlignment w:val="center"/>
        <w:rPr>
          <w:rFonts w:ascii="Arial" w:eastAsia="Times New Roman" w:hAnsi="Arial" w:cs="Arial"/>
          <w:b/>
          <w:color w:val="000000"/>
          <w:lang w:val="es-ES_tradnl" w:eastAsia="es-CO"/>
        </w:rPr>
      </w:pPr>
    </w:p>
    <w:p w:rsidR="005A4B32" w:rsidRDefault="005A4B32" w:rsidP="00AE001B">
      <w:pPr>
        <w:spacing w:before="28" w:after="28" w:line="288" w:lineRule="atLeast"/>
        <w:jc w:val="center"/>
        <w:textAlignment w:val="center"/>
        <w:rPr>
          <w:rFonts w:ascii="Arial" w:eastAsia="Times New Roman" w:hAnsi="Arial" w:cs="Arial"/>
          <w:b/>
          <w:color w:val="000000"/>
          <w:lang w:val="es-ES_tradnl" w:eastAsia="es-CO"/>
        </w:rPr>
      </w:pPr>
    </w:p>
    <w:p w:rsidR="005A4B32" w:rsidRDefault="005A4B32" w:rsidP="00AE001B">
      <w:pPr>
        <w:spacing w:before="28" w:after="28" w:line="288" w:lineRule="atLeast"/>
        <w:jc w:val="center"/>
        <w:textAlignment w:val="center"/>
        <w:rPr>
          <w:rFonts w:ascii="Arial" w:eastAsia="Times New Roman" w:hAnsi="Arial" w:cs="Arial"/>
          <w:b/>
          <w:color w:val="000000"/>
          <w:lang w:val="es-ES_tradnl" w:eastAsia="es-CO"/>
        </w:rPr>
      </w:pPr>
    </w:p>
    <w:p w:rsidR="005A4B32" w:rsidRDefault="005A4B32" w:rsidP="00AE001B">
      <w:pPr>
        <w:spacing w:before="28" w:after="28" w:line="288" w:lineRule="atLeast"/>
        <w:jc w:val="center"/>
        <w:textAlignment w:val="center"/>
        <w:rPr>
          <w:rFonts w:ascii="Arial" w:eastAsia="Times New Roman" w:hAnsi="Arial" w:cs="Arial"/>
          <w:b/>
          <w:color w:val="000000"/>
          <w:lang w:val="es-ES_tradnl" w:eastAsia="es-CO"/>
        </w:rPr>
      </w:pPr>
    </w:p>
    <w:p w:rsidR="005A4B32" w:rsidRDefault="005A4B32" w:rsidP="00AE001B">
      <w:pPr>
        <w:spacing w:before="28" w:after="28" w:line="288" w:lineRule="atLeast"/>
        <w:jc w:val="center"/>
        <w:textAlignment w:val="center"/>
        <w:rPr>
          <w:rFonts w:ascii="Arial" w:eastAsia="Times New Roman" w:hAnsi="Arial" w:cs="Arial"/>
          <w:b/>
          <w:color w:val="000000"/>
          <w:lang w:val="es-ES_tradnl" w:eastAsia="es-CO"/>
        </w:rPr>
      </w:pPr>
    </w:p>
    <w:p w:rsidR="005A4B32" w:rsidRDefault="005A4B32" w:rsidP="00AE001B">
      <w:pPr>
        <w:spacing w:before="28" w:after="28" w:line="288" w:lineRule="atLeast"/>
        <w:jc w:val="center"/>
        <w:textAlignment w:val="center"/>
        <w:rPr>
          <w:rFonts w:ascii="Arial" w:eastAsia="Times New Roman" w:hAnsi="Arial" w:cs="Arial"/>
          <w:b/>
          <w:color w:val="000000"/>
          <w:lang w:val="es-ES_tradnl" w:eastAsia="es-CO"/>
        </w:rPr>
      </w:pPr>
      <w:bookmarkStart w:id="0" w:name="_GoBack"/>
      <w:bookmarkEnd w:id="0"/>
    </w:p>
    <w:p w:rsidR="005A4B32" w:rsidRDefault="005A4B32" w:rsidP="00AE001B">
      <w:pPr>
        <w:spacing w:before="28" w:after="28" w:line="288" w:lineRule="atLeast"/>
        <w:jc w:val="center"/>
        <w:textAlignment w:val="center"/>
        <w:rPr>
          <w:rFonts w:ascii="Arial" w:eastAsia="Times New Roman" w:hAnsi="Arial" w:cs="Arial"/>
          <w:b/>
          <w:color w:val="000000"/>
          <w:lang w:val="es-ES_tradnl" w:eastAsia="es-CO"/>
        </w:rPr>
      </w:pPr>
    </w:p>
    <w:p w:rsidR="005A4B32" w:rsidRDefault="005A4B32" w:rsidP="00AE001B">
      <w:pPr>
        <w:spacing w:before="28" w:after="28" w:line="288" w:lineRule="atLeast"/>
        <w:jc w:val="center"/>
        <w:textAlignment w:val="center"/>
        <w:rPr>
          <w:rFonts w:ascii="Arial" w:eastAsia="Times New Roman" w:hAnsi="Arial" w:cs="Arial"/>
          <w:b/>
          <w:color w:val="000000"/>
          <w:lang w:val="es-ES_tradnl" w:eastAsia="es-CO"/>
        </w:rPr>
      </w:pPr>
    </w:p>
    <w:p w:rsidR="00AE001B" w:rsidRPr="00052CAD" w:rsidRDefault="00AE001B" w:rsidP="00AE001B">
      <w:pPr>
        <w:spacing w:before="28" w:after="28" w:line="288" w:lineRule="atLeast"/>
        <w:jc w:val="center"/>
        <w:textAlignment w:val="center"/>
        <w:rPr>
          <w:rFonts w:ascii="Arial" w:eastAsia="Times New Roman" w:hAnsi="Arial" w:cs="Arial"/>
          <w:b/>
          <w:color w:val="000000"/>
          <w:lang w:val="es-ES_tradnl" w:eastAsia="es-CO"/>
        </w:rPr>
      </w:pPr>
      <w:r w:rsidRPr="00052CAD">
        <w:rPr>
          <w:rFonts w:ascii="Arial" w:eastAsia="Times New Roman" w:hAnsi="Arial" w:cs="Arial"/>
          <w:b/>
          <w:color w:val="000000"/>
          <w:lang w:val="es-ES_tradnl" w:eastAsia="es-CO"/>
        </w:rPr>
        <w:lastRenderedPageBreak/>
        <w:t>EXPOSICIÓN DE MOTIVOS</w:t>
      </w:r>
    </w:p>
    <w:p w:rsidR="00AE001B" w:rsidRPr="00052CAD" w:rsidRDefault="00AE001B" w:rsidP="00AE001B">
      <w:pPr>
        <w:spacing w:before="28" w:after="28" w:line="288" w:lineRule="atLeast"/>
        <w:textAlignment w:val="center"/>
        <w:rPr>
          <w:rFonts w:ascii="Arial" w:hAnsi="Arial" w:cs="Arial"/>
          <w:b/>
          <w:lang w:eastAsia="es-CO"/>
        </w:rPr>
      </w:pPr>
      <w:r w:rsidRPr="00052CAD">
        <w:rPr>
          <w:rFonts w:ascii="Arial" w:hAnsi="Arial" w:cs="Arial"/>
          <w:b/>
          <w:lang w:eastAsia="es-CO"/>
        </w:rPr>
        <w:t>INTRODUCCIÓN</w:t>
      </w:r>
    </w:p>
    <w:p w:rsidR="00AE001B" w:rsidRPr="00052CAD" w:rsidRDefault="00AE001B" w:rsidP="00AE001B">
      <w:pPr>
        <w:spacing w:before="28" w:after="28" w:line="288" w:lineRule="atLeast"/>
        <w:textAlignment w:val="center"/>
        <w:rPr>
          <w:rFonts w:ascii="Arial" w:hAnsi="Arial" w:cs="Arial"/>
          <w:lang w:eastAsia="es-CO"/>
        </w:rPr>
      </w:pPr>
    </w:p>
    <w:p w:rsidR="00AE001B" w:rsidRPr="00640E2F" w:rsidRDefault="00AE001B" w:rsidP="00AE001B">
      <w:pPr>
        <w:spacing w:before="28" w:after="28" w:line="288" w:lineRule="atLeast"/>
        <w:jc w:val="both"/>
        <w:textAlignment w:val="center"/>
        <w:rPr>
          <w:rFonts w:ascii="Arial" w:eastAsia="Times New Roman" w:hAnsi="Arial" w:cs="Arial"/>
        </w:rPr>
      </w:pPr>
      <w:r w:rsidRPr="00640E2F">
        <w:rPr>
          <w:rFonts w:ascii="Arial" w:eastAsia="Times New Roman" w:hAnsi="Arial" w:cs="Arial"/>
        </w:rPr>
        <w:t>Con la firma del Acuerdo Final para la Terminación del Conflicto y la Construcción de una Paz Estable y Duradera</w:t>
      </w:r>
      <w:r>
        <w:rPr>
          <w:rFonts w:ascii="Arial" w:eastAsia="Times New Roman" w:hAnsi="Arial" w:cs="Arial"/>
        </w:rPr>
        <w:t xml:space="preserve"> (en adelante Acuerdo Final)</w:t>
      </w:r>
      <w:r w:rsidRPr="00640E2F">
        <w:rPr>
          <w:rFonts w:ascii="Arial" w:eastAsia="Times New Roman" w:hAnsi="Arial" w:cs="Arial"/>
        </w:rPr>
        <w:t xml:space="preserve"> entre el Gobierno nacional y el grupo armado Fuerzas Armadas Revolucionarias de Colombia, </w:t>
      </w:r>
      <w:r>
        <w:rPr>
          <w:rFonts w:ascii="Arial" w:eastAsia="Times New Roman" w:hAnsi="Arial" w:cs="Arial"/>
        </w:rPr>
        <w:t>Ejé</w:t>
      </w:r>
      <w:r w:rsidRPr="00640E2F">
        <w:rPr>
          <w:rFonts w:ascii="Arial" w:eastAsia="Times New Roman" w:hAnsi="Arial" w:cs="Arial"/>
        </w:rPr>
        <w:t>rcito del Pueblo (FARC-EP) y su refrendación por el Honorable Congreso de la República el 30 de noviembre</w:t>
      </w:r>
      <w:r>
        <w:rPr>
          <w:rFonts w:ascii="Arial" w:eastAsia="Times New Roman" w:hAnsi="Arial" w:cs="Arial"/>
        </w:rPr>
        <w:t xml:space="preserve"> del 2016</w:t>
      </w:r>
      <w:r w:rsidRPr="00640E2F">
        <w:rPr>
          <w:rFonts w:ascii="Arial" w:eastAsia="Times New Roman" w:hAnsi="Arial" w:cs="Arial"/>
        </w:rPr>
        <w:t xml:space="preserve">, </w:t>
      </w:r>
      <w:r>
        <w:rPr>
          <w:rFonts w:ascii="Arial" w:eastAsia="Times New Roman" w:hAnsi="Arial" w:cs="Arial"/>
        </w:rPr>
        <w:t>Colombia inició</w:t>
      </w:r>
      <w:r w:rsidRPr="00640E2F">
        <w:rPr>
          <w:rFonts w:ascii="Arial" w:eastAsia="Times New Roman" w:hAnsi="Arial" w:cs="Arial"/>
        </w:rPr>
        <w:t xml:space="preserve"> un nuevo capítulo en </w:t>
      </w:r>
      <w:r>
        <w:rPr>
          <w:rFonts w:ascii="Arial" w:eastAsia="Times New Roman" w:hAnsi="Arial" w:cs="Arial"/>
        </w:rPr>
        <w:t>su</w:t>
      </w:r>
      <w:r w:rsidRPr="00640E2F">
        <w:rPr>
          <w:rFonts w:ascii="Arial" w:eastAsia="Times New Roman" w:hAnsi="Arial" w:cs="Arial"/>
        </w:rPr>
        <w:t xml:space="preserve"> historia.</w:t>
      </w:r>
    </w:p>
    <w:p w:rsidR="00AE001B" w:rsidRPr="00640E2F" w:rsidRDefault="00AE001B" w:rsidP="00AE001B">
      <w:pPr>
        <w:spacing w:before="28" w:after="28" w:line="288" w:lineRule="atLeast"/>
        <w:jc w:val="both"/>
        <w:textAlignment w:val="center"/>
        <w:rPr>
          <w:rFonts w:ascii="Arial" w:eastAsia="Times New Roman" w:hAnsi="Arial" w:cs="Arial"/>
        </w:rPr>
      </w:pPr>
    </w:p>
    <w:p w:rsidR="00AE001B" w:rsidRPr="00640E2F" w:rsidRDefault="00AE001B" w:rsidP="00AE001B">
      <w:pPr>
        <w:spacing w:before="28" w:after="28" w:line="288" w:lineRule="atLeast"/>
        <w:jc w:val="both"/>
        <w:textAlignment w:val="center"/>
        <w:rPr>
          <w:rFonts w:ascii="Arial" w:hAnsi="Arial" w:cs="Arial"/>
          <w:lang w:eastAsia="es-CO"/>
        </w:rPr>
      </w:pPr>
      <w:r w:rsidRPr="00640E2F">
        <w:rPr>
          <w:rFonts w:ascii="Arial" w:hAnsi="Arial" w:cs="Arial"/>
          <w:lang w:eastAsia="es-CO"/>
        </w:rPr>
        <w:t>El CONPES 3867</w:t>
      </w:r>
      <w:r>
        <w:rPr>
          <w:rFonts w:ascii="Arial" w:hAnsi="Arial" w:cs="Arial"/>
          <w:lang w:eastAsia="es-CO"/>
        </w:rPr>
        <w:t xml:space="preserve"> de 2016 “Estrategia de Preparación Institucional para la Paz y el Postconflicto”, </w:t>
      </w:r>
      <w:r w:rsidRPr="00640E2F">
        <w:rPr>
          <w:rFonts w:ascii="Arial" w:hAnsi="Arial" w:cs="Arial"/>
          <w:lang w:eastAsia="es-CO"/>
        </w:rPr>
        <w:t xml:space="preserve">define el postconflicto como “un escenario transitorio de intervenciones estatales en un horizonte de veinte años, que se inicia una vez protocolizados los acuerdos y termina con el cumplimiento satisfactorio de los temas acordados”.  En este periodo de tiempo, </w:t>
      </w:r>
      <w:r>
        <w:rPr>
          <w:rFonts w:ascii="Arial" w:hAnsi="Arial" w:cs="Arial"/>
          <w:lang w:eastAsia="es-CO"/>
        </w:rPr>
        <w:t xml:space="preserve">en cumplimiento de lo acordado, </w:t>
      </w:r>
      <w:r w:rsidRPr="00640E2F">
        <w:rPr>
          <w:rFonts w:ascii="Arial" w:hAnsi="Arial" w:cs="Arial"/>
          <w:lang w:eastAsia="es-CO"/>
        </w:rPr>
        <w:t>es preciso enfo</w:t>
      </w:r>
      <w:r>
        <w:rPr>
          <w:rFonts w:ascii="Arial" w:hAnsi="Arial" w:cs="Arial"/>
          <w:lang w:eastAsia="es-CO"/>
        </w:rPr>
        <w:t>car</w:t>
      </w:r>
      <w:r w:rsidRPr="00640E2F">
        <w:rPr>
          <w:rFonts w:ascii="Arial" w:hAnsi="Arial" w:cs="Arial"/>
          <w:lang w:eastAsia="es-CO"/>
        </w:rPr>
        <w:t xml:space="preserve"> los esfuerzos y dispon</w:t>
      </w:r>
      <w:r>
        <w:rPr>
          <w:rFonts w:ascii="Arial" w:hAnsi="Arial" w:cs="Arial"/>
          <w:lang w:eastAsia="es-CO"/>
        </w:rPr>
        <w:t>er</w:t>
      </w:r>
      <w:r w:rsidRPr="00640E2F">
        <w:rPr>
          <w:rFonts w:ascii="Arial" w:hAnsi="Arial" w:cs="Arial"/>
          <w:lang w:eastAsia="es-CO"/>
        </w:rPr>
        <w:t xml:space="preserve"> de los recursos necesarios para lograr la transformación estructural del campo; la apertura democrática para la construcción de paz; la reparación integral a las víctimas para el goce efectivo de sus derechos y la solución al problema de las drogas ilícitas.</w:t>
      </w:r>
    </w:p>
    <w:p w:rsidR="00AE001B" w:rsidRPr="00640E2F" w:rsidRDefault="00AE001B" w:rsidP="00AE001B">
      <w:pPr>
        <w:spacing w:before="28" w:after="28" w:line="288" w:lineRule="atLeast"/>
        <w:jc w:val="both"/>
        <w:textAlignment w:val="center"/>
        <w:rPr>
          <w:rFonts w:ascii="Arial" w:hAnsi="Arial" w:cs="Arial"/>
          <w:lang w:eastAsia="es-CO"/>
        </w:rPr>
      </w:pPr>
    </w:p>
    <w:p w:rsidR="00AE001B" w:rsidRPr="00A042F4" w:rsidRDefault="00AE001B" w:rsidP="00AE001B">
      <w:pPr>
        <w:spacing w:before="28" w:after="28" w:line="288" w:lineRule="atLeast"/>
        <w:jc w:val="both"/>
        <w:textAlignment w:val="center"/>
        <w:rPr>
          <w:rFonts w:ascii="Arial" w:hAnsi="Arial" w:cs="Arial"/>
          <w:lang w:eastAsia="es-CO"/>
        </w:rPr>
      </w:pPr>
      <w:r>
        <w:rPr>
          <w:rFonts w:ascii="Arial" w:hAnsi="Arial" w:cs="Arial"/>
          <w:lang w:eastAsia="es-CO"/>
        </w:rPr>
        <w:t xml:space="preserve">Para ello, el </w:t>
      </w:r>
      <w:r w:rsidRPr="00052CAD">
        <w:rPr>
          <w:rFonts w:ascii="Arial" w:hAnsi="Arial" w:cs="Arial"/>
          <w:lang w:eastAsia="es-CO"/>
        </w:rPr>
        <w:t>artículo 3º. del acto legislativo 01 de 2016, adiciona un artículo transitorio a la Constitución Política que ordena que durante los próximos veinte años se incluya un componente específico para la Paz en el Plan Plurianual de Inversiones del Plan Nacional de Desarrollo</w:t>
      </w:r>
      <w:r>
        <w:rPr>
          <w:rFonts w:ascii="Arial" w:hAnsi="Arial" w:cs="Arial"/>
          <w:lang w:eastAsia="es-CO"/>
        </w:rPr>
        <w:t xml:space="preserve"> y los planes de desarrollo territoriales.  Este componente debe </w:t>
      </w:r>
      <w:r w:rsidRPr="00052CAD">
        <w:rPr>
          <w:rFonts w:ascii="Arial" w:hAnsi="Arial" w:cs="Arial"/>
          <w:lang w:eastAsia="es-CO"/>
        </w:rPr>
        <w:t xml:space="preserve">contener recursos </w:t>
      </w:r>
      <w:r w:rsidRPr="00A602EA">
        <w:rPr>
          <w:rFonts w:ascii="Arial" w:hAnsi="Arial" w:cs="Arial"/>
          <w:lang w:eastAsia="es-CO"/>
        </w:rPr>
        <w:t>adicionales</w:t>
      </w:r>
      <w:r w:rsidRPr="00A042F4">
        <w:rPr>
          <w:rFonts w:ascii="Arial" w:hAnsi="Arial" w:cs="Arial"/>
          <w:lang w:eastAsia="es-CO"/>
        </w:rPr>
        <w:t xml:space="preserve"> a las inversiones ya programadas por las entidades públicas del orden nacional y territorial, las cuales deben </w:t>
      </w:r>
      <w:r>
        <w:rPr>
          <w:rFonts w:ascii="Arial" w:hAnsi="Arial" w:cs="Arial"/>
          <w:lang w:eastAsia="es-CO"/>
        </w:rPr>
        <w:t>estar orientadas</w:t>
      </w:r>
      <w:r w:rsidRPr="00A042F4">
        <w:rPr>
          <w:rFonts w:ascii="Arial" w:hAnsi="Arial" w:cs="Arial"/>
          <w:lang w:eastAsia="es-CO"/>
        </w:rPr>
        <w:t xml:space="preserve"> a cerrar las brechas sociales, económicas e institucionales en las entidades territoriales más afectadas por la pobreza rural, las economías ilegales, la debilidad institucional y el conflicto armado.</w:t>
      </w:r>
    </w:p>
    <w:p w:rsidR="00AE001B" w:rsidRDefault="00AE001B" w:rsidP="00AE001B">
      <w:pPr>
        <w:spacing w:before="28" w:after="28" w:line="288" w:lineRule="atLeast"/>
        <w:jc w:val="both"/>
        <w:textAlignment w:val="center"/>
        <w:rPr>
          <w:rFonts w:ascii="Arial" w:hAnsi="Arial" w:cs="Arial"/>
          <w:lang w:eastAsia="es-CO"/>
        </w:rPr>
      </w:pPr>
    </w:p>
    <w:p w:rsidR="00AE001B" w:rsidRPr="00375FFA" w:rsidRDefault="00AE001B" w:rsidP="00AE001B">
      <w:pPr>
        <w:spacing w:before="28" w:after="28" w:line="288" w:lineRule="atLeast"/>
        <w:jc w:val="both"/>
        <w:textAlignment w:val="center"/>
        <w:rPr>
          <w:rFonts w:ascii="Arial" w:hAnsi="Arial" w:cs="Arial"/>
          <w:lang w:eastAsia="es-CO"/>
        </w:rPr>
      </w:pPr>
      <w:r w:rsidRPr="00375FFA">
        <w:rPr>
          <w:rFonts w:ascii="Arial" w:hAnsi="Arial" w:cs="Arial"/>
          <w:lang w:eastAsia="es-CO"/>
        </w:rPr>
        <w:t xml:space="preserve">El Sistema </w:t>
      </w:r>
      <w:r>
        <w:rPr>
          <w:rFonts w:ascii="Arial" w:hAnsi="Arial" w:cs="Arial"/>
          <w:lang w:eastAsia="es-CO"/>
        </w:rPr>
        <w:t>General de Regalías (</w:t>
      </w:r>
      <w:r w:rsidRPr="00375FFA">
        <w:rPr>
          <w:rFonts w:ascii="Arial" w:hAnsi="Arial" w:cs="Arial"/>
          <w:lang w:eastAsia="es-CO"/>
        </w:rPr>
        <w:t>SGR</w:t>
      </w:r>
      <w:r>
        <w:rPr>
          <w:rFonts w:ascii="Arial" w:hAnsi="Arial" w:cs="Arial"/>
          <w:lang w:eastAsia="es-CO"/>
        </w:rPr>
        <w:t>)</w:t>
      </w:r>
      <w:r w:rsidRPr="00375FFA">
        <w:rPr>
          <w:rFonts w:ascii="Arial" w:hAnsi="Arial" w:cs="Arial"/>
          <w:lang w:eastAsia="es-CO"/>
        </w:rPr>
        <w:t xml:space="preserve"> </w:t>
      </w:r>
      <w:r>
        <w:rPr>
          <w:rFonts w:ascii="Arial" w:hAnsi="Arial" w:cs="Arial"/>
          <w:lang w:eastAsia="es-CO"/>
        </w:rPr>
        <w:t>es</w:t>
      </w:r>
      <w:r w:rsidRPr="00375FFA">
        <w:rPr>
          <w:rFonts w:ascii="Arial" w:hAnsi="Arial" w:cs="Arial"/>
          <w:lang w:eastAsia="es-CO"/>
        </w:rPr>
        <w:t>, sin duda, un</w:t>
      </w:r>
      <w:r>
        <w:rPr>
          <w:rFonts w:ascii="Arial" w:hAnsi="Arial" w:cs="Arial"/>
          <w:lang w:eastAsia="es-CO"/>
        </w:rPr>
        <w:t xml:space="preserve"> instrumento central para la implementación del Acuerdo Final, no sólo por ser una fuente de financiación de la inversión territorial, sino porque en sus fundamentos comparte </w:t>
      </w:r>
      <w:r w:rsidRPr="00375FFA">
        <w:rPr>
          <w:rFonts w:ascii="Arial" w:hAnsi="Arial" w:cs="Arial"/>
          <w:lang w:eastAsia="es-CO"/>
        </w:rPr>
        <w:t xml:space="preserve">la visión </w:t>
      </w:r>
      <w:r>
        <w:rPr>
          <w:rFonts w:ascii="Arial" w:hAnsi="Arial" w:cs="Arial"/>
          <w:lang w:eastAsia="es-CO"/>
        </w:rPr>
        <w:t xml:space="preserve">de </w:t>
      </w:r>
      <w:r w:rsidRPr="00375FFA">
        <w:rPr>
          <w:rFonts w:ascii="Arial" w:hAnsi="Arial" w:cs="Arial"/>
          <w:lang w:eastAsia="es-CO"/>
        </w:rPr>
        <w:t>que el desarrollo económico, social y ambiental del país y la paz, se construye desde los territorios</w:t>
      </w:r>
      <w:r>
        <w:rPr>
          <w:rFonts w:ascii="Arial" w:hAnsi="Arial" w:cs="Arial"/>
          <w:lang w:eastAsia="es-CO"/>
        </w:rPr>
        <w:t>, de manera consensuada entre todos los niveles de gobierno</w:t>
      </w:r>
      <w:r w:rsidRPr="00375FFA">
        <w:rPr>
          <w:rFonts w:ascii="Arial" w:hAnsi="Arial" w:cs="Arial"/>
          <w:lang w:eastAsia="es-CO"/>
        </w:rPr>
        <w:t>.</w:t>
      </w:r>
    </w:p>
    <w:p w:rsidR="00AE001B" w:rsidRPr="00052CAD" w:rsidRDefault="00AE001B" w:rsidP="00AE001B">
      <w:pPr>
        <w:spacing w:before="28" w:after="28" w:line="288" w:lineRule="atLeast"/>
        <w:jc w:val="both"/>
        <w:textAlignment w:val="center"/>
        <w:rPr>
          <w:rFonts w:ascii="Arial" w:hAnsi="Arial" w:cs="Arial"/>
          <w:lang w:eastAsia="es-CO"/>
        </w:rPr>
      </w:pPr>
    </w:p>
    <w:p w:rsidR="00AE001B" w:rsidRDefault="00AE001B" w:rsidP="00AE001B">
      <w:pPr>
        <w:spacing w:before="28" w:after="28" w:line="288" w:lineRule="atLeast"/>
        <w:jc w:val="both"/>
        <w:textAlignment w:val="center"/>
        <w:rPr>
          <w:rFonts w:ascii="Arial" w:hAnsi="Arial" w:cs="Arial"/>
          <w:color w:val="000000"/>
          <w:lang w:eastAsia="es-ES"/>
        </w:rPr>
      </w:pPr>
      <w:r>
        <w:rPr>
          <w:rFonts w:ascii="Arial" w:hAnsi="Arial" w:cs="Arial"/>
          <w:lang w:eastAsia="es-CO"/>
        </w:rPr>
        <w:t xml:space="preserve">Es así como, con base en el </w:t>
      </w:r>
      <w:r w:rsidRPr="00052CAD">
        <w:rPr>
          <w:rFonts w:ascii="Arial" w:hAnsi="Arial" w:cs="Arial"/>
          <w:lang w:eastAsia="es-CO"/>
        </w:rPr>
        <w:t>mandato</w:t>
      </w:r>
      <w:r>
        <w:rPr>
          <w:rFonts w:ascii="Arial" w:hAnsi="Arial" w:cs="Arial"/>
          <w:lang w:eastAsia="es-CO"/>
        </w:rPr>
        <w:t xml:space="preserve"> del artículo 3º del acto legislativo 01 de 2016, el presente Acto legislativo </w:t>
      </w:r>
      <w:r w:rsidRPr="00052CAD">
        <w:rPr>
          <w:rFonts w:ascii="Arial" w:hAnsi="Arial" w:cs="Arial"/>
          <w:lang w:eastAsia="es-CO"/>
        </w:rPr>
        <w:t>prop</w:t>
      </w:r>
      <w:r>
        <w:rPr>
          <w:rFonts w:ascii="Arial" w:hAnsi="Arial" w:cs="Arial"/>
          <w:lang w:eastAsia="es-CO"/>
        </w:rPr>
        <w:t>one la</w:t>
      </w:r>
      <w:r w:rsidRPr="00052CAD">
        <w:rPr>
          <w:rFonts w:ascii="Arial" w:hAnsi="Arial" w:cs="Arial"/>
          <w:lang w:eastAsia="es-CO"/>
        </w:rPr>
        <w:t xml:space="preserve"> inclusión de una serie de medidas transitorias en el artículo 361 de la Constitución Política, que</w:t>
      </w:r>
      <w:r>
        <w:rPr>
          <w:rFonts w:ascii="Arial" w:hAnsi="Arial" w:cs="Arial"/>
          <w:lang w:eastAsia="es-CO"/>
        </w:rPr>
        <w:t xml:space="preserve"> mantienen</w:t>
      </w:r>
      <w:r w:rsidRPr="00052CAD">
        <w:rPr>
          <w:rFonts w:ascii="Arial" w:hAnsi="Arial" w:cs="Arial"/>
          <w:lang w:eastAsia="es-CO"/>
        </w:rPr>
        <w:t xml:space="preserve"> la esencia del SGR </w:t>
      </w:r>
      <w:r>
        <w:rPr>
          <w:rFonts w:ascii="Arial" w:hAnsi="Arial" w:cs="Arial"/>
          <w:lang w:eastAsia="es-CO"/>
        </w:rPr>
        <w:t>y son consistentes con</w:t>
      </w:r>
      <w:r w:rsidRPr="00052CAD">
        <w:rPr>
          <w:rFonts w:ascii="Arial" w:hAnsi="Arial" w:cs="Arial"/>
          <w:lang w:eastAsia="es-CO"/>
        </w:rPr>
        <w:t xml:space="preserve"> los objetivos para los </w:t>
      </w:r>
      <w:r>
        <w:rPr>
          <w:rFonts w:ascii="Arial" w:hAnsi="Arial" w:cs="Arial"/>
          <w:lang w:eastAsia="es-CO"/>
        </w:rPr>
        <w:t>que</w:t>
      </w:r>
      <w:r w:rsidRPr="00052CAD">
        <w:rPr>
          <w:rFonts w:ascii="Arial" w:hAnsi="Arial" w:cs="Arial"/>
          <w:lang w:eastAsia="es-CO"/>
        </w:rPr>
        <w:t xml:space="preserve"> fue creado</w:t>
      </w:r>
      <w:r>
        <w:rPr>
          <w:rFonts w:ascii="Arial" w:hAnsi="Arial" w:cs="Arial"/>
          <w:lang w:eastAsia="es-CO"/>
        </w:rPr>
        <w:t xml:space="preserve"> y a la vez, </w:t>
      </w:r>
      <w:r w:rsidRPr="00052CAD">
        <w:rPr>
          <w:rFonts w:ascii="Arial" w:hAnsi="Arial" w:cs="Arial"/>
          <w:lang w:eastAsia="es-CO"/>
        </w:rPr>
        <w:t xml:space="preserve">permiten que durante los próximos veinte años se asignen recursos adicionales a las entidades territoriales, con prioridad en aquellas con mayores afectaciones derivadas del conflicto armado, para atender los retos que impone el cumplimiento del </w:t>
      </w:r>
      <w:r>
        <w:rPr>
          <w:rFonts w:ascii="Arial" w:hAnsi="Arial" w:cs="Arial"/>
          <w:color w:val="000000"/>
          <w:lang w:eastAsia="es-ES"/>
        </w:rPr>
        <w:t>Acuerdo Final</w:t>
      </w:r>
      <w:r w:rsidRPr="00052CAD">
        <w:rPr>
          <w:rFonts w:ascii="Arial" w:hAnsi="Arial" w:cs="Arial"/>
          <w:color w:val="000000"/>
          <w:lang w:eastAsia="es-ES"/>
        </w:rPr>
        <w:t>.</w:t>
      </w:r>
    </w:p>
    <w:p w:rsidR="00AE001B" w:rsidRDefault="00AE001B" w:rsidP="00AE001B">
      <w:pPr>
        <w:spacing w:before="28" w:after="28" w:line="288" w:lineRule="atLeast"/>
        <w:jc w:val="both"/>
        <w:textAlignment w:val="center"/>
        <w:rPr>
          <w:rFonts w:ascii="Arial" w:hAnsi="Arial" w:cs="Arial"/>
          <w:lang w:eastAsia="es-CO"/>
        </w:rPr>
      </w:pPr>
    </w:p>
    <w:p w:rsidR="00AE001B" w:rsidRDefault="00AE001B" w:rsidP="00AE001B">
      <w:pPr>
        <w:spacing w:before="28" w:after="28" w:line="288" w:lineRule="atLeast"/>
        <w:jc w:val="both"/>
        <w:textAlignment w:val="center"/>
        <w:rPr>
          <w:rFonts w:ascii="Arial" w:hAnsi="Arial" w:cs="Arial"/>
          <w:lang w:eastAsia="es-CO"/>
        </w:rPr>
      </w:pPr>
    </w:p>
    <w:p w:rsidR="004A7B0F" w:rsidRPr="00052CAD" w:rsidRDefault="004A7B0F" w:rsidP="00AE001B">
      <w:pPr>
        <w:spacing w:before="28" w:after="28" w:line="288" w:lineRule="atLeast"/>
        <w:jc w:val="both"/>
        <w:textAlignment w:val="center"/>
        <w:rPr>
          <w:rFonts w:ascii="Arial" w:hAnsi="Arial" w:cs="Arial"/>
          <w:lang w:eastAsia="es-CO"/>
        </w:rPr>
      </w:pPr>
    </w:p>
    <w:p w:rsidR="00AE001B" w:rsidRPr="00A275BC" w:rsidRDefault="00AE001B" w:rsidP="00AE001B">
      <w:pPr>
        <w:pStyle w:val="Prrafodelista"/>
        <w:numPr>
          <w:ilvl w:val="0"/>
          <w:numId w:val="3"/>
        </w:numPr>
        <w:spacing w:before="28" w:after="28" w:line="288" w:lineRule="atLeast"/>
        <w:textAlignment w:val="center"/>
        <w:rPr>
          <w:rFonts w:ascii="Arial" w:hAnsi="Arial" w:cs="Arial"/>
          <w:b/>
          <w:lang w:eastAsia="es-CO"/>
        </w:rPr>
      </w:pPr>
      <w:r>
        <w:rPr>
          <w:rFonts w:ascii="Arial" w:hAnsi="Arial" w:cs="Arial"/>
          <w:b/>
          <w:lang w:eastAsia="es-CO"/>
        </w:rPr>
        <w:lastRenderedPageBreak/>
        <w:t>REQUERIMIENTOS</w:t>
      </w:r>
      <w:r w:rsidRPr="00A275BC">
        <w:rPr>
          <w:rFonts w:ascii="Arial" w:hAnsi="Arial" w:cs="Arial"/>
          <w:b/>
          <w:lang w:eastAsia="es-CO"/>
        </w:rPr>
        <w:t xml:space="preserve"> PARA LA IMPLEMENTACIÓN DEL ACUERDO FINAL</w:t>
      </w:r>
    </w:p>
    <w:p w:rsidR="00AE001B" w:rsidRPr="00A275BC" w:rsidRDefault="00AE001B" w:rsidP="00AE001B">
      <w:pPr>
        <w:spacing w:before="28" w:after="28" w:line="288" w:lineRule="atLeast"/>
        <w:textAlignment w:val="center"/>
        <w:rPr>
          <w:rFonts w:ascii="Arial" w:hAnsi="Arial" w:cs="Arial"/>
          <w:b/>
          <w:lang w:eastAsia="es-CO"/>
        </w:rPr>
      </w:pPr>
    </w:p>
    <w:p w:rsidR="00AE001B" w:rsidRPr="00B9452A" w:rsidRDefault="00AE001B" w:rsidP="00AE001B">
      <w:pPr>
        <w:autoSpaceDE w:val="0"/>
        <w:autoSpaceDN w:val="0"/>
        <w:adjustRightInd w:val="0"/>
        <w:spacing w:after="0" w:line="240" w:lineRule="auto"/>
        <w:jc w:val="both"/>
        <w:rPr>
          <w:rFonts w:ascii="Arial" w:hAnsi="Arial" w:cs="Arial"/>
        </w:rPr>
      </w:pPr>
      <w:r w:rsidRPr="00B9452A">
        <w:rPr>
          <w:rFonts w:ascii="Arial" w:eastAsia="Times New Roman" w:hAnsi="Arial" w:cs="Arial"/>
        </w:rPr>
        <w:t>Con la firma</w:t>
      </w:r>
      <w:r w:rsidRPr="00B9452A">
        <w:rPr>
          <w:rStyle w:val="Refdenotaalpie"/>
          <w:rFonts w:ascii="Arial" w:eastAsia="Times New Roman" w:hAnsi="Arial" w:cs="Arial"/>
        </w:rPr>
        <w:footnoteReference w:id="1"/>
      </w:r>
      <w:r w:rsidRPr="00B9452A">
        <w:rPr>
          <w:rFonts w:ascii="Arial" w:eastAsia="Times New Roman" w:hAnsi="Arial" w:cs="Arial"/>
        </w:rPr>
        <w:t xml:space="preserve"> y refrendación</w:t>
      </w:r>
      <w:r w:rsidRPr="00B9452A">
        <w:rPr>
          <w:rStyle w:val="Refdenotaalpie"/>
          <w:rFonts w:ascii="Arial" w:eastAsia="Times New Roman" w:hAnsi="Arial" w:cs="Arial"/>
        </w:rPr>
        <w:footnoteReference w:id="2"/>
      </w:r>
      <w:r w:rsidRPr="00B9452A">
        <w:rPr>
          <w:rFonts w:ascii="Arial" w:eastAsia="Times New Roman" w:hAnsi="Arial" w:cs="Arial"/>
        </w:rPr>
        <w:t xml:space="preserve"> del nuevo Acuerdo Final para la Terminación del Conflicto y la Construcción de una Paz Estable y Duradera, </w:t>
      </w:r>
      <w:r w:rsidRPr="00B9452A">
        <w:rPr>
          <w:rFonts w:ascii="Arial" w:hAnsi="Arial" w:cs="Arial"/>
        </w:rPr>
        <w:t>se inicia un proceso de transición y de transformación del país, desde las regiones y territorios, que exige el concurso de las autoridades nacionales y locales y la participación de todos los sectores de la sociedad.</w:t>
      </w:r>
    </w:p>
    <w:p w:rsidR="00AE001B" w:rsidRPr="00B9452A" w:rsidRDefault="00AE001B" w:rsidP="00AE001B">
      <w:pPr>
        <w:autoSpaceDE w:val="0"/>
        <w:autoSpaceDN w:val="0"/>
        <w:adjustRightInd w:val="0"/>
        <w:spacing w:after="0" w:line="240" w:lineRule="auto"/>
        <w:jc w:val="both"/>
        <w:rPr>
          <w:rFonts w:ascii="Arial" w:hAnsi="Arial" w:cs="Arial"/>
        </w:rPr>
      </w:pPr>
    </w:p>
    <w:p w:rsidR="00AE001B" w:rsidRDefault="00AE001B" w:rsidP="00AE001B">
      <w:pPr>
        <w:autoSpaceDE w:val="0"/>
        <w:autoSpaceDN w:val="0"/>
        <w:adjustRightInd w:val="0"/>
        <w:spacing w:after="0" w:line="240" w:lineRule="auto"/>
        <w:jc w:val="both"/>
        <w:rPr>
          <w:rFonts w:ascii="Arial" w:hAnsi="Arial" w:cs="Arial"/>
          <w:lang w:eastAsia="es-CO"/>
        </w:rPr>
      </w:pPr>
      <w:r>
        <w:rPr>
          <w:rFonts w:ascii="Arial" w:hAnsi="Arial" w:cs="Arial"/>
        </w:rPr>
        <w:t>Cada uno de los seis puntos que componen el Acuerdo final</w:t>
      </w:r>
      <w:r>
        <w:rPr>
          <w:rFonts w:ascii="Arial" w:hAnsi="Arial" w:cs="Arial"/>
          <w:lang w:eastAsia="es-CO"/>
        </w:rPr>
        <w:t xml:space="preserve">; </w:t>
      </w:r>
      <w:r w:rsidRPr="00B9452A">
        <w:rPr>
          <w:rFonts w:ascii="Arial" w:hAnsi="Arial" w:cs="Arial"/>
          <w:i/>
          <w:lang w:eastAsia="es-CO"/>
        </w:rPr>
        <w:t>1) Reforma Rural Integral; 2) Participación Política; 3) Fin del Conflicto; 4) Solución Integral al Problema de las Drogas Ilícitas; 5) Acuerdo sobre las Víctimas del Conflicto y 6) implementación, verificación y refrendación</w:t>
      </w:r>
      <w:r>
        <w:rPr>
          <w:rFonts w:ascii="Arial" w:hAnsi="Arial" w:cs="Arial"/>
          <w:lang w:eastAsia="es-CO"/>
        </w:rPr>
        <w:t>; define objetivos y metas que se deben alcanzar en un horizonte de tiempo total de veinte (20) años, con logros de corto y mediano plazo necesarios para avanzar en la consolidación de las condiciones de una paz estable y duradera.</w:t>
      </w:r>
    </w:p>
    <w:p w:rsidR="00AE001B" w:rsidRDefault="00AE001B" w:rsidP="00AE001B">
      <w:pPr>
        <w:autoSpaceDE w:val="0"/>
        <w:autoSpaceDN w:val="0"/>
        <w:adjustRightInd w:val="0"/>
        <w:spacing w:after="0" w:line="240" w:lineRule="auto"/>
        <w:jc w:val="both"/>
        <w:rPr>
          <w:rFonts w:ascii="Arial" w:hAnsi="Arial" w:cs="Arial"/>
          <w:lang w:eastAsia="es-CO"/>
        </w:rPr>
      </w:pPr>
    </w:p>
    <w:p w:rsidR="00AE001B" w:rsidRDefault="00AE001B" w:rsidP="00AE001B">
      <w:pPr>
        <w:autoSpaceDE w:val="0"/>
        <w:autoSpaceDN w:val="0"/>
        <w:adjustRightInd w:val="0"/>
        <w:spacing w:after="0" w:line="240" w:lineRule="auto"/>
        <w:jc w:val="both"/>
        <w:rPr>
          <w:rFonts w:ascii="Arial" w:hAnsi="Arial" w:cs="Arial"/>
          <w:lang w:eastAsia="es-CO"/>
        </w:rPr>
      </w:pPr>
      <w:r>
        <w:rPr>
          <w:rFonts w:ascii="Arial" w:hAnsi="Arial" w:cs="Arial"/>
          <w:lang w:eastAsia="es-CO"/>
        </w:rPr>
        <w:t>En particular, el punto 1.3. del Acuerdo final señala el propósito de lograr, en 15 años, la erradicación de la pobreza extrema y la reducción en un 50% de la pobreza rural en todas sus dimensiones, a través de la elaboración y puesta en marcha de los Planes Nacionales para la Reforma Rural Integral (RRI): Plan Nacional de Vías Terciarias, Plan Nacional de Riego y Drenaje, Plan Nacional de Electrificación Rural, Plan Nacional de Conectividad Rural, Plan Nacional de Salud Rural; Plan Especial de Educación Rural y Plan Nacional de Construcción y Mejoramiento de Vivienda Social Rural.</w:t>
      </w:r>
    </w:p>
    <w:p w:rsidR="00AE001B" w:rsidRDefault="00AE001B" w:rsidP="00AE001B">
      <w:pPr>
        <w:autoSpaceDE w:val="0"/>
        <w:autoSpaceDN w:val="0"/>
        <w:adjustRightInd w:val="0"/>
        <w:spacing w:after="0" w:line="240" w:lineRule="auto"/>
        <w:jc w:val="both"/>
        <w:rPr>
          <w:rFonts w:ascii="Arial" w:hAnsi="Arial" w:cs="Arial"/>
          <w:lang w:eastAsia="es-CO"/>
        </w:rPr>
      </w:pPr>
    </w:p>
    <w:p w:rsidR="00AE001B" w:rsidRPr="00B9452A" w:rsidRDefault="00AE001B" w:rsidP="00AE001B">
      <w:pPr>
        <w:jc w:val="both"/>
        <w:rPr>
          <w:rFonts w:ascii="Arial" w:hAnsi="Arial" w:cs="Arial"/>
          <w:lang w:val="es-ES" w:eastAsia="es-CO"/>
        </w:rPr>
      </w:pPr>
      <w:r>
        <w:rPr>
          <w:rFonts w:ascii="Arial" w:hAnsi="Arial" w:cs="Arial"/>
          <w:lang w:val="es-ES" w:eastAsia="es-CO"/>
        </w:rPr>
        <w:t>Adicionalmente, e</w:t>
      </w:r>
      <w:r w:rsidRPr="00B9452A">
        <w:rPr>
          <w:rFonts w:ascii="Arial" w:hAnsi="Arial" w:cs="Arial"/>
          <w:lang w:val="es-ES" w:eastAsia="es-CO"/>
        </w:rPr>
        <w:t>l punto 4.1. del Acuerdo</w:t>
      </w:r>
      <w:r>
        <w:rPr>
          <w:rFonts w:ascii="Arial" w:hAnsi="Arial" w:cs="Arial"/>
          <w:lang w:val="es-ES" w:eastAsia="es-CO"/>
        </w:rPr>
        <w:t xml:space="preserve"> final</w:t>
      </w:r>
      <w:r w:rsidRPr="00B9452A">
        <w:rPr>
          <w:rFonts w:ascii="Arial" w:hAnsi="Arial" w:cs="Arial"/>
          <w:lang w:val="es-ES" w:eastAsia="es-CO"/>
        </w:rPr>
        <w:t xml:space="preserve"> define la necesidad de inc</w:t>
      </w:r>
      <w:r>
        <w:rPr>
          <w:rFonts w:ascii="Arial" w:hAnsi="Arial" w:cs="Arial"/>
          <w:lang w:val="es-ES" w:eastAsia="es-CO"/>
        </w:rPr>
        <w:t>orporar el</w:t>
      </w:r>
      <w:r w:rsidRPr="0017338C">
        <w:rPr>
          <w:rFonts w:ascii="Arial" w:hAnsi="Arial" w:cs="Arial"/>
          <w:lang w:val="es-ES" w:eastAsia="es-CO"/>
        </w:rPr>
        <w:t xml:space="preserve"> Programa Nacional Integral de Sustitución de Cultivos de Uso Ilícito (PNIS)</w:t>
      </w:r>
      <w:r>
        <w:rPr>
          <w:rFonts w:ascii="Arial" w:hAnsi="Arial" w:cs="Arial"/>
          <w:lang w:val="es-ES" w:eastAsia="es-CO"/>
        </w:rPr>
        <w:t xml:space="preserve"> como componente especial de </w:t>
      </w:r>
      <w:r w:rsidRPr="00B9452A">
        <w:rPr>
          <w:rFonts w:ascii="Arial" w:hAnsi="Arial" w:cs="Arial"/>
          <w:lang w:val="es-ES" w:eastAsia="es-CO"/>
        </w:rPr>
        <w:t>la Reforma Rural Integral</w:t>
      </w:r>
      <w:r>
        <w:rPr>
          <w:rFonts w:ascii="Arial" w:hAnsi="Arial" w:cs="Arial"/>
          <w:lang w:val="es-ES" w:eastAsia="es-CO"/>
        </w:rPr>
        <w:t xml:space="preserve"> en aquellos territorios donde se ubican cultivos de uso ilícito.  El PNIS tiene como uno de sus </w:t>
      </w:r>
      <w:r w:rsidRPr="00B9452A">
        <w:rPr>
          <w:rFonts w:ascii="Arial" w:hAnsi="Arial" w:cs="Arial"/>
          <w:lang w:val="es-ES" w:eastAsia="es-CO"/>
        </w:rPr>
        <w:t>principio</w:t>
      </w:r>
      <w:r>
        <w:rPr>
          <w:rFonts w:ascii="Arial" w:hAnsi="Arial" w:cs="Arial"/>
          <w:lang w:val="es-ES" w:eastAsia="es-CO"/>
        </w:rPr>
        <w:t>s</w:t>
      </w:r>
      <w:r w:rsidRPr="00B9452A">
        <w:rPr>
          <w:rFonts w:ascii="Arial" w:hAnsi="Arial" w:cs="Arial"/>
          <w:lang w:val="es-ES" w:eastAsia="es-CO"/>
        </w:rPr>
        <w:t xml:space="preserve"> fundamental</w:t>
      </w:r>
      <w:r>
        <w:rPr>
          <w:rFonts w:ascii="Arial" w:hAnsi="Arial" w:cs="Arial"/>
          <w:lang w:val="es-ES" w:eastAsia="es-CO"/>
        </w:rPr>
        <w:t>es</w:t>
      </w:r>
      <w:r w:rsidRPr="00B9452A">
        <w:rPr>
          <w:rFonts w:ascii="Arial" w:hAnsi="Arial" w:cs="Arial"/>
          <w:lang w:val="es-ES" w:eastAsia="es-CO"/>
        </w:rPr>
        <w:t xml:space="preserve"> la sustitución voluntaria, lo cual conlleva un acuerdo entre las comunidades que se comprometen a abandonar los cultivos ilícitos, y los distintos niveles de gobierno </w:t>
      </w:r>
      <w:r>
        <w:rPr>
          <w:rFonts w:ascii="Arial" w:hAnsi="Arial" w:cs="Arial"/>
          <w:lang w:val="es-ES" w:eastAsia="es-CO"/>
        </w:rPr>
        <w:t xml:space="preserve">que adquieren el compromiso </w:t>
      </w:r>
      <w:r w:rsidRPr="00B9452A">
        <w:rPr>
          <w:rFonts w:ascii="Arial" w:hAnsi="Arial" w:cs="Arial"/>
          <w:lang w:val="es-ES" w:eastAsia="es-CO"/>
        </w:rPr>
        <w:t xml:space="preserve">de crear </w:t>
      </w:r>
      <w:r>
        <w:rPr>
          <w:rFonts w:ascii="Arial" w:hAnsi="Arial" w:cs="Arial"/>
          <w:lang w:val="es-ES" w:eastAsia="es-CO"/>
        </w:rPr>
        <w:t xml:space="preserve">las </w:t>
      </w:r>
      <w:r w:rsidRPr="00B9452A">
        <w:rPr>
          <w:rFonts w:ascii="Arial" w:hAnsi="Arial" w:cs="Arial"/>
          <w:lang w:val="es-ES" w:eastAsia="es-CO"/>
        </w:rPr>
        <w:t>condiciones propicias para que las alternativas de sustitución sean viables y sostenibles.</w:t>
      </w:r>
    </w:p>
    <w:p w:rsidR="00AE001B" w:rsidRDefault="00AE001B" w:rsidP="00AE001B">
      <w:pPr>
        <w:autoSpaceDE w:val="0"/>
        <w:autoSpaceDN w:val="0"/>
        <w:adjustRightInd w:val="0"/>
        <w:spacing w:after="0" w:line="240" w:lineRule="auto"/>
        <w:jc w:val="both"/>
        <w:rPr>
          <w:rFonts w:ascii="Arial" w:hAnsi="Arial" w:cs="Arial"/>
          <w:lang w:eastAsia="es-CO"/>
        </w:rPr>
      </w:pPr>
      <w:r>
        <w:rPr>
          <w:rFonts w:ascii="Arial" w:hAnsi="Arial" w:cs="Arial"/>
          <w:lang w:eastAsia="es-CO"/>
        </w:rPr>
        <w:t xml:space="preserve">Es especialmente importante que se alcancen resultados palpables en el corto y mediano plazo que permitan </w:t>
      </w:r>
      <w:r w:rsidRPr="00ED080D">
        <w:rPr>
          <w:rFonts w:ascii="Arial" w:hAnsi="Arial" w:cs="Arial"/>
        </w:rPr>
        <w:t>generar confianza en las poblaciones y zonas más afectadas por el conflicto armado</w:t>
      </w:r>
      <w:r>
        <w:rPr>
          <w:rFonts w:ascii="Arial" w:hAnsi="Arial" w:cs="Arial"/>
        </w:rPr>
        <w:t xml:space="preserve"> y </w:t>
      </w:r>
      <w:r w:rsidRPr="00ED080D">
        <w:rPr>
          <w:rFonts w:ascii="Arial" w:hAnsi="Arial" w:cs="Arial"/>
        </w:rPr>
        <w:t>prevenir los riesgos de retorno a situaciones de violencia</w:t>
      </w:r>
      <w:r>
        <w:rPr>
          <w:rFonts w:ascii="Arial" w:hAnsi="Arial" w:cs="Arial"/>
        </w:rPr>
        <w:t xml:space="preserve">.  De esta manera, en el Punto 1 del </w:t>
      </w:r>
      <w:r>
        <w:rPr>
          <w:rFonts w:ascii="Arial" w:hAnsi="Arial" w:cs="Arial"/>
          <w:lang w:eastAsia="es-CO"/>
        </w:rPr>
        <w:t>Acuerdo final, se precisa que el plan marco de implementación debe garantizar los máximos esfuerzos de cumplimiento de estos planes nacionales en los próximos 5 años.</w:t>
      </w:r>
    </w:p>
    <w:p w:rsidR="00AE001B" w:rsidRDefault="00AE001B" w:rsidP="00AE001B">
      <w:pPr>
        <w:autoSpaceDE w:val="0"/>
        <w:autoSpaceDN w:val="0"/>
        <w:adjustRightInd w:val="0"/>
        <w:spacing w:after="0" w:line="240" w:lineRule="auto"/>
        <w:jc w:val="both"/>
        <w:rPr>
          <w:rFonts w:ascii="Arial" w:hAnsi="Arial" w:cs="Arial"/>
          <w:lang w:eastAsia="es-CO"/>
        </w:rPr>
      </w:pPr>
    </w:p>
    <w:p w:rsidR="00AE001B" w:rsidRPr="00B9452A" w:rsidRDefault="00AE001B" w:rsidP="00AE001B">
      <w:pPr>
        <w:jc w:val="both"/>
        <w:rPr>
          <w:rFonts w:ascii="Arial" w:hAnsi="Arial" w:cs="Arial"/>
          <w:lang w:val="es-ES" w:eastAsia="es-CO"/>
        </w:rPr>
      </w:pPr>
      <w:r w:rsidRPr="00B9452A">
        <w:rPr>
          <w:rFonts w:ascii="Arial" w:hAnsi="Arial" w:cs="Arial"/>
          <w:lang w:val="es-ES" w:eastAsia="es-CO"/>
        </w:rPr>
        <w:t xml:space="preserve">Igualmente, </w:t>
      </w:r>
      <w:r>
        <w:rPr>
          <w:rFonts w:ascii="Arial" w:hAnsi="Arial" w:cs="Arial"/>
          <w:lang w:val="es-ES" w:eastAsia="es-CO"/>
        </w:rPr>
        <w:t xml:space="preserve">los </w:t>
      </w:r>
      <w:r w:rsidRPr="00B9452A">
        <w:rPr>
          <w:rFonts w:ascii="Arial" w:hAnsi="Arial" w:cs="Arial"/>
          <w:lang w:val="es-ES" w:eastAsia="es-CO"/>
        </w:rPr>
        <w:t>punto</w:t>
      </w:r>
      <w:r>
        <w:rPr>
          <w:rFonts w:ascii="Arial" w:hAnsi="Arial" w:cs="Arial"/>
          <w:lang w:val="es-ES" w:eastAsia="es-CO"/>
        </w:rPr>
        <w:t>s</w:t>
      </w:r>
      <w:r w:rsidRPr="00B9452A">
        <w:rPr>
          <w:rFonts w:ascii="Arial" w:hAnsi="Arial" w:cs="Arial"/>
          <w:lang w:val="es-ES" w:eastAsia="es-CO"/>
        </w:rPr>
        <w:t xml:space="preserve"> 1 </w:t>
      </w:r>
      <w:r>
        <w:rPr>
          <w:rFonts w:ascii="Arial" w:hAnsi="Arial" w:cs="Arial"/>
          <w:lang w:val="es-ES" w:eastAsia="es-CO"/>
        </w:rPr>
        <w:t xml:space="preserve">y 6 </w:t>
      </w:r>
      <w:r w:rsidRPr="00B9452A">
        <w:rPr>
          <w:rFonts w:ascii="Arial" w:hAnsi="Arial" w:cs="Arial"/>
          <w:lang w:val="es-ES" w:eastAsia="es-CO"/>
        </w:rPr>
        <w:t>del Acuerdo señala</w:t>
      </w:r>
      <w:r>
        <w:rPr>
          <w:rFonts w:ascii="Arial" w:hAnsi="Arial" w:cs="Arial"/>
          <w:lang w:val="es-ES" w:eastAsia="es-CO"/>
        </w:rPr>
        <w:t>n</w:t>
      </w:r>
      <w:r w:rsidRPr="00B9452A">
        <w:rPr>
          <w:rFonts w:ascii="Arial" w:hAnsi="Arial" w:cs="Arial"/>
          <w:lang w:val="es-ES" w:eastAsia="es-CO"/>
        </w:rPr>
        <w:t xml:space="preserve"> que, si bien la aplicación de la RRI debe abarcar todo el territorio nacional, en su ejecución se requiere priorizar “</w:t>
      </w:r>
      <w:r w:rsidRPr="00B9452A">
        <w:rPr>
          <w:rFonts w:ascii="Arial" w:hAnsi="Arial" w:cs="Arial"/>
          <w:i/>
          <w:lang w:val="es-ES" w:eastAsia="es-CO"/>
        </w:rPr>
        <w:t>la población y los territorios más necesitados y vulnerables, y las comunidades más afectadas por la miseria, el abandono y el conflicto, y hace énfasis en pequeños y medianos productores y productoras.  Especial atención merecen los derechos de las víctimas del conflicto, los niños y las niñas, de las mujeres y de las personas adultas mayores</w:t>
      </w:r>
      <w:r w:rsidRPr="00B9452A">
        <w:rPr>
          <w:rStyle w:val="Refdenotaalpie"/>
          <w:rFonts w:ascii="Arial" w:hAnsi="Arial" w:cs="Arial"/>
          <w:i/>
          <w:lang w:val="es-ES" w:eastAsia="es-CO"/>
        </w:rPr>
        <w:footnoteReference w:id="3"/>
      </w:r>
      <w:r w:rsidRPr="00B9452A">
        <w:rPr>
          <w:rFonts w:ascii="Arial" w:hAnsi="Arial" w:cs="Arial"/>
          <w:i/>
          <w:lang w:val="es-ES" w:eastAsia="es-CO"/>
        </w:rPr>
        <w:t>.</w:t>
      </w:r>
      <w:r w:rsidRPr="00B9452A">
        <w:rPr>
          <w:rFonts w:ascii="Arial" w:hAnsi="Arial" w:cs="Arial"/>
          <w:lang w:val="es-ES" w:eastAsia="es-CO"/>
        </w:rPr>
        <w:t>”</w:t>
      </w:r>
    </w:p>
    <w:p w:rsidR="00AE001B" w:rsidRDefault="00AE001B" w:rsidP="00AE001B">
      <w:pPr>
        <w:jc w:val="both"/>
        <w:rPr>
          <w:rFonts w:ascii="Arial" w:hAnsi="Arial" w:cs="Arial"/>
          <w:lang w:val="es-ES" w:eastAsia="es-CO"/>
        </w:rPr>
      </w:pPr>
      <w:r w:rsidRPr="00B9452A">
        <w:rPr>
          <w:rFonts w:ascii="Arial" w:hAnsi="Arial" w:cs="Arial"/>
          <w:lang w:val="es-ES" w:eastAsia="es-CO"/>
        </w:rPr>
        <w:lastRenderedPageBreak/>
        <w:t xml:space="preserve">Para ello, el Acuerdo final define los Planes de Desarrollo con Enfoque Territorial (PDET) </w:t>
      </w:r>
      <w:r>
        <w:rPr>
          <w:rFonts w:ascii="Arial" w:hAnsi="Arial" w:cs="Arial"/>
          <w:lang w:val="es-ES" w:eastAsia="es-CO"/>
        </w:rPr>
        <w:t>como el mecanismo para implementar la RRI con mayor celeridad en los territorios más afectados por el conflicto y la pobreza, y establece cuatro criterios para definir las regiones de acción prioritaria:</w:t>
      </w:r>
    </w:p>
    <w:p w:rsidR="00AE001B" w:rsidRDefault="00AE001B" w:rsidP="00AE001B">
      <w:pPr>
        <w:pStyle w:val="Prrafodelista"/>
        <w:numPr>
          <w:ilvl w:val="0"/>
          <w:numId w:val="18"/>
        </w:numPr>
        <w:jc w:val="both"/>
        <w:rPr>
          <w:rFonts w:ascii="Arial" w:hAnsi="Arial" w:cs="Arial"/>
          <w:lang w:val="es-ES" w:eastAsia="es-CO"/>
        </w:rPr>
      </w:pPr>
      <w:r>
        <w:rPr>
          <w:rFonts w:ascii="Arial" w:hAnsi="Arial" w:cs="Arial"/>
          <w:lang w:val="es-ES" w:eastAsia="es-CO"/>
        </w:rPr>
        <w:t>Los niveles de pobreza, en particular de pobreza extrema y de necesidades insatisfechas;</w:t>
      </w:r>
    </w:p>
    <w:p w:rsidR="00AE001B" w:rsidRDefault="00AE001B" w:rsidP="00AE001B">
      <w:pPr>
        <w:pStyle w:val="Prrafodelista"/>
        <w:numPr>
          <w:ilvl w:val="0"/>
          <w:numId w:val="18"/>
        </w:numPr>
        <w:jc w:val="both"/>
        <w:rPr>
          <w:rFonts w:ascii="Arial" w:hAnsi="Arial" w:cs="Arial"/>
          <w:lang w:val="es-ES" w:eastAsia="es-CO"/>
        </w:rPr>
      </w:pPr>
      <w:r>
        <w:rPr>
          <w:rFonts w:ascii="Arial" w:hAnsi="Arial" w:cs="Arial"/>
          <w:lang w:val="es-ES" w:eastAsia="es-CO"/>
        </w:rPr>
        <w:t>El grado de afectación derivado del conflicto;</w:t>
      </w:r>
    </w:p>
    <w:p w:rsidR="00AE001B" w:rsidRDefault="00AE001B" w:rsidP="00AE001B">
      <w:pPr>
        <w:pStyle w:val="Prrafodelista"/>
        <w:numPr>
          <w:ilvl w:val="0"/>
          <w:numId w:val="18"/>
        </w:numPr>
        <w:jc w:val="both"/>
        <w:rPr>
          <w:rFonts w:ascii="Arial" w:hAnsi="Arial" w:cs="Arial"/>
          <w:lang w:val="es-ES" w:eastAsia="es-CO"/>
        </w:rPr>
      </w:pPr>
      <w:r>
        <w:rPr>
          <w:rFonts w:ascii="Arial" w:hAnsi="Arial" w:cs="Arial"/>
          <w:lang w:val="es-ES" w:eastAsia="es-CO"/>
        </w:rPr>
        <w:t>La debilidad de la institucionalidad administrativa y de la capacidad de gestión</w:t>
      </w:r>
    </w:p>
    <w:p w:rsidR="00AE001B" w:rsidRDefault="00AE001B" w:rsidP="00AE001B">
      <w:pPr>
        <w:pStyle w:val="Prrafodelista"/>
        <w:numPr>
          <w:ilvl w:val="0"/>
          <w:numId w:val="18"/>
        </w:numPr>
        <w:jc w:val="both"/>
        <w:rPr>
          <w:rFonts w:ascii="Arial" w:hAnsi="Arial" w:cs="Arial"/>
          <w:lang w:val="es-ES" w:eastAsia="es-CO"/>
        </w:rPr>
      </w:pPr>
      <w:r>
        <w:rPr>
          <w:rFonts w:ascii="Arial" w:hAnsi="Arial" w:cs="Arial"/>
          <w:lang w:val="es-ES" w:eastAsia="es-CO"/>
        </w:rPr>
        <w:t>La presencia de cultivos de uso ilícito y de otras economías ilegales</w:t>
      </w:r>
    </w:p>
    <w:p w:rsidR="00AE001B" w:rsidRDefault="00AE001B" w:rsidP="00AE001B">
      <w:pPr>
        <w:jc w:val="both"/>
        <w:rPr>
          <w:rFonts w:ascii="Arial" w:hAnsi="Arial" w:cs="Arial"/>
          <w:lang w:eastAsia="es-CO"/>
        </w:rPr>
      </w:pPr>
      <w:r>
        <w:rPr>
          <w:rFonts w:ascii="Arial" w:hAnsi="Arial" w:cs="Arial"/>
          <w:lang w:eastAsia="es-CO"/>
        </w:rPr>
        <w:t>En cada territorio, a través de procesos de planeación participativa, se definirá un plan de acción para la transformación regional en el cual se establezcan las prioridades en la implementación de los planes nacionales de la RRI, según las particularidades y características sociales, culturales, ambientales y productivas de su población y territorio. A partir de ello, se deberán desplegar las acciones e inversiones requeridas para el cumplimiento de cada plan de acción.</w:t>
      </w:r>
    </w:p>
    <w:p w:rsidR="00AE001B" w:rsidRPr="00B9452A" w:rsidRDefault="00AE001B" w:rsidP="00AE001B">
      <w:pPr>
        <w:jc w:val="both"/>
        <w:rPr>
          <w:rFonts w:ascii="Arial" w:hAnsi="Arial" w:cs="Arial"/>
        </w:rPr>
      </w:pPr>
      <w:r>
        <w:rPr>
          <w:rFonts w:ascii="Arial" w:hAnsi="Arial" w:cs="Arial"/>
          <w:lang w:eastAsia="es-CO"/>
        </w:rPr>
        <w:t xml:space="preserve">De esta manera, para lograr el cumplimiento de lo acordado y en particular, las ambiciosas metas de la RRI, es necesario que las entidades estatales cuenten con los instrumentos y </w:t>
      </w:r>
      <w:r w:rsidRPr="00B9452A">
        <w:rPr>
          <w:rFonts w:ascii="Arial" w:hAnsi="Arial" w:cs="Arial"/>
          <w:lang w:eastAsia="es-CO"/>
        </w:rPr>
        <w:t>recursos que permitan una acción articulada y eficaz de todos los actores involucrados</w:t>
      </w:r>
      <w:r>
        <w:rPr>
          <w:rFonts w:ascii="Arial" w:hAnsi="Arial" w:cs="Arial"/>
          <w:lang w:eastAsia="es-CO"/>
        </w:rPr>
        <w:t>, precisando acciones y metas de corto, mediano y largo plazo</w:t>
      </w:r>
      <w:r w:rsidRPr="00B9452A">
        <w:rPr>
          <w:rFonts w:ascii="Arial" w:hAnsi="Arial" w:cs="Arial"/>
          <w:lang w:eastAsia="es-CO"/>
        </w:rPr>
        <w:t>.</w:t>
      </w:r>
    </w:p>
    <w:p w:rsidR="00AE001B" w:rsidRPr="00B9452A" w:rsidRDefault="00AE001B" w:rsidP="00AE001B">
      <w:pPr>
        <w:jc w:val="both"/>
        <w:rPr>
          <w:rFonts w:ascii="Arial" w:hAnsi="Arial" w:cs="Arial"/>
        </w:rPr>
      </w:pPr>
      <w:r w:rsidRPr="00B9452A">
        <w:rPr>
          <w:rFonts w:ascii="Arial" w:hAnsi="Arial" w:cs="Arial"/>
        </w:rPr>
        <w:t xml:space="preserve">En este sentido, </w:t>
      </w:r>
      <w:r>
        <w:rPr>
          <w:rFonts w:ascii="Arial" w:hAnsi="Arial" w:cs="Arial"/>
        </w:rPr>
        <w:t>el Acto legislativo 01 de 2016, “</w:t>
      </w:r>
      <w:r w:rsidRPr="00B9452A">
        <w:rPr>
          <w:rFonts w:ascii="Arial" w:hAnsi="Arial" w:cs="Arial"/>
          <w:i/>
        </w:rPr>
        <w:t>Por medio del cual se establecen instrumentos jurídicos para facilitar y asegurar la implementación y el desarrollo normativo del Acuerdo final para la terminación del conflicto armado y la construcción de una paz estable y duradera</w:t>
      </w:r>
      <w:r>
        <w:rPr>
          <w:rFonts w:ascii="Arial" w:hAnsi="Arial" w:cs="Arial"/>
        </w:rPr>
        <w:t>”, en su artículo 3º incluyó un nuevo artículo transitorio en la Constitución Política, a través del cual se ordena la incorporación del Plan de Inversiones para la Paz, tanto en el Plan Nacional de Desarrollo como los Planes de desarrollo territoriales, durante los próximos veinte años:</w:t>
      </w:r>
    </w:p>
    <w:p w:rsidR="00AE001B" w:rsidRPr="00B9452A" w:rsidRDefault="00AE001B" w:rsidP="00AE001B">
      <w:pPr>
        <w:pStyle w:val="CM14"/>
        <w:spacing w:line="293" w:lineRule="atLeast"/>
        <w:ind w:left="425"/>
        <w:jc w:val="both"/>
        <w:rPr>
          <w:i/>
          <w:sz w:val="20"/>
          <w:szCs w:val="22"/>
          <w:lang w:val="es-ES" w:eastAsia="es-CO"/>
        </w:rPr>
      </w:pPr>
      <w:r w:rsidRPr="00B9452A">
        <w:rPr>
          <w:sz w:val="20"/>
          <w:szCs w:val="22"/>
          <w:lang w:val="es-ES" w:eastAsia="es-CO"/>
        </w:rPr>
        <w:t>“</w:t>
      </w:r>
      <w:r w:rsidRPr="00B9452A">
        <w:rPr>
          <w:b/>
          <w:i/>
          <w:sz w:val="20"/>
          <w:szCs w:val="22"/>
          <w:lang w:val="es-ES" w:eastAsia="es-CO"/>
        </w:rPr>
        <w:t>Artículo transitorio. Plan de Inversiones para la Paz.</w:t>
      </w:r>
      <w:r w:rsidRPr="00B9452A">
        <w:rPr>
          <w:i/>
          <w:sz w:val="20"/>
          <w:szCs w:val="22"/>
          <w:lang w:val="es-ES" w:eastAsia="es-CO"/>
        </w:rPr>
        <w:t xml:space="preserve"> El Gobierno nacional durante los próximos veinte años incluirá en el Plan Plurianual de Inversiones del Plan Nacional de Desarrollo, un componente específico para la paz priorizando los ciudadanos y las entidades territoriales más afectadas por la pobreza rural, las economías ilegales, la debilidad institucional y el conflicto armado.  Estos recursos serán adicionales a las inversiones ya programadas por las entidades públicas del orden nacional y territorial y se orientarán a cerrar las brechas sociales, económicas e institucionales en dichas entidades territoriales. El gobierno podrá efectuar los ajustes institucionales y normativos necesarios para ejecutar el componente de paz del Plan Plurianual de Inversiones. </w:t>
      </w:r>
    </w:p>
    <w:p w:rsidR="00AE001B" w:rsidRPr="00B9452A" w:rsidRDefault="00AE001B" w:rsidP="00AE001B">
      <w:pPr>
        <w:autoSpaceDE w:val="0"/>
        <w:autoSpaceDN w:val="0"/>
        <w:adjustRightInd w:val="0"/>
        <w:spacing w:after="0" w:line="293" w:lineRule="atLeast"/>
        <w:ind w:left="425"/>
        <w:jc w:val="both"/>
        <w:rPr>
          <w:rFonts w:ascii="Arial" w:hAnsi="Arial" w:cs="Arial"/>
          <w:i/>
          <w:sz w:val="20"/>
          <w:lang w:val="es-ES" w:eastAsia="es-CO"/>
        </w:rPr>
      </w:pPr>
    </w:p>
    <w:p w:rsidR="00AE001B" w:rsidRPr="00B9452A" w:rsidRDefault="00AE001B" w:rsidP="00AE001B">
      <w:pPr>
        <w:autoSpaceDE w:val="0"/>
        <w:autoSpaceDN w:val="0"/>
        <w:adjustRightInd w:val="0"/>
        <w:spacing w:after="0" w:line="293" w:lineRule="atLeast"/>
        <w:ind w:left="425"/>
        <w:jc w:val="both"/>
        <w:rPr>
          <w:rFonts w:ascii="Arial" w:hAnsi="Arial" w:cs="Arial"/>
          <w:i/>
          <w:sz w:val="20"/>
          <w:lang w:val="es-ES" w:eastAsia="es-CO"/>
        </w:rPr>
      </w:pPr>
      <w:r w:rsidRPr="00B9452A">
        <w:rPr>
          <w:rFonts w:ascii="Arial" w:hAnsi="Arial" w:cs="Arial"/>
          <w:i/>
          <w:sz w:val="20"/>
          <w:lang w:val="es-ES" w:eastAsia="es-CO"/>
        </w:rPr>
        <w:t>Las autoridades departamentales, municipales y distritales tendrán la facultad de hacer los ajustes necesarios a sus planes de desarrollo para adecuarlos al Plan de Inversiones para la Paz durante los seis meses siguientes a la adopción de este.</w:t>
      </w:r>
    </w:p>
    <w:p w:rsidR="00AE001B" w:rsidRPr="00B9452A" w:rsidRDefault="00AE001B" w:rsidP="00AE001B">
      <w:pPr>
        <w:autoSpaceDE w:val="0"/>
        <w:autoSpaceDN w:val="0"/>
        <w:adjustRightInd w:val="0"/>
        <w:spacing w:after="0" w:line="293" w:lineRule="atLeast"/>
        <w:ind w:left="425"/>
        <w:jc w:val="both"/>
        <w:rPr>
          <w:rFonts w:ascii="Arial" w:hAnsi="Arial" w:cs="Arial"/>
          <w:i/>
          <w:sz w:val="20"/>
          <w:lang w:val="es-ES" w:eastAsia="es-CO"/>
        </w:rPr>
      </w:pPr>
    </w:p>
    <w:p w:rsidR="00AE001B" w:rsidRPr="00B9452A" w:rsidRDefault="00AE001B" w:rsidP="00AE001B">
      <w:pPr>
        <w:autoSpaceDE w:val="0"/>
        <w:autoSpaceDN w:val="0"/>
        <w:adjustRightInd w:val="0"/>
        <w:spacing w:after="0" w:line="293" w:lineRule="atLeast"/>
        <w:ind w:left="425"/>
        <w:jc w:val="both"/>
        <w:rPr>
          <w:rFonts w:ascii="Arial" w:hAnsi="Arial" w:cs="Arial"/>
          <w:lang w:val="es-ES" w:eastAsia="es-CO"/>
        </w:rPr>
      </w:pPr>
      <w:r w:rsidRPr="00B9452A">
        <w:rPr>
          <w:rFonts w:ascii="Arial" w:hAnsi="Arial" w:cs="Arial"/>
          <w:i/>
          <w:sz w:val="20"/>
          <w:lang w:val="es-ES" w:eastAsia="es-CO"/>
        </w:rPr>
        <w:t xml:space="preserve">Al inicio de cada legislatura el Presidente de la República, la Procuraduría General de la Nación, la Contraloría General de la República y la Defensoría del Pueblo presentarán al Congreso un </w:t>
      </w:r>
      <w:r w:rsidRPr="00B9452A">
        <w:rPr>
          <w:rFonts w:ascii="Arial" w:hAnsi="Arial" w:cs="Arial"/>
          <w:i/>
          <w:sz w:val="20"/>
          <w:lang w:val="es-ES" w:eastAsia="es-CO"/>
        </w:rPr>
        <w:lastRenderedPageBreak/>
        <w:t>informe detallado sobre la ejecución de los recursos y cumplimiento de las metas del componente para la paz del Plan Plurianual de Inversiones.</w:t>
      </w:r>
      <w:r w:rsidRPr="00B9452A">
        <w:rPr>
          <w:rFonts w:ascii="Arial" w:hAnsi="Arial" w:cs="Arial"/>
          <w:sz w:val="20"/>
          <w:lang w:val="es-ES" w:eastAsia="es-CO"/>
        </w:rPr>
        <w:t>”</w:t>
      </w:r>
    </w:p>
    <w:p w:rsidR="00AE001B" w:rsidRDefault="00AE001B" w:rsidP="00AE001B">
      <w:pPr>
        <w:spacing w:before="28" w:after="28" w:line="288" w:lineRule="atLeast"/>
        <w:textAlignment w:val="center"/>
        <w:rPr>
          <w:rFonts w:ascii="Arial" w:hAnsi="Arial" w:cs="Arial"/>
          <w:b/>
          <w:lang w:eastAsia="es-CO"/>
        </w:rPr>
      </w:pPr>
    </w:p>
    <w:p w:rsidR="00AE001B" w:rsidRPr="00DD5924" w:rsidRDefault="00AE001B" w:rsidP="00AE001B">
      <w:pPr>
        <w:spacing w:before="28" w:after="28" w:line="288" w:lineRule="atLeast"/>
        <w:jc w:val="both"/>
        <w:textAlignment w:val="center"/>
        <w:rPr>
          <w:rFonts w:ascii="Arial" w:hAnsi="Arial" w:cs="Arial"/>
          <w:lang w:eastAsia="es-CO"/>
        </w:rPr>
      </w:pPr>
      <w:r w:rsidRPr="00DD5924">
        <w:rPr>
          <w:rFonts w:ascii="Arial" w:hAnsi="Arial" w:cs="Arial"/>
          <w:lang w:eastAsia="es-CO"/>
        </w:rPr>
        <w:t xml:space="preserve">El </w:t>
      </w:r>
      <w:r>
        <w:rPr>
          <w:rFonts w:ascii="Arial" w:hAnsi="Arial" w:cs="Arial"/>
          <w:lang w:eastAsia="es-CO"/>
        </w:rPr>
        <w:t xml:space="preserve">punto 6.1.2. del Acuerdo final, resalta que los recursos del Sistema General de Regalías serán una fuente para la implementación de los acuerdos. Es por ello que el Gobierno nacional realizó un análisis del SGR a la luz de los requerimientos de la implementación del Acuerdo final, para identificar medidas específicas tendientes a destinar recursos adicionales al componente para la Paz del plan Nacional de Desarrollo y los planes de desarrollo territorial.  </w:t>
      </w:r>
    </w:p>
    <w:p w:rsidR="00AE001B" w:rsidRDefault="00AE001B" w:rsidP="00AE001B">
      <w:pPr>
        <w:spacing w:before="28" w:after="28" w:line="288" w:lineRule="atLeast"/>
        <w:textAlignment w:val="center"/>
        <w:rPr>
          <w:rFonts w:ascii="Arial" w:hAnsi="Arial" w:cs="Arial"/>
          <w:b/>
          <w:lang w:eastAsia="es-CO"/>
        </w:rPr>
      </w:pPr>
    </w:p>
    <w:p w:rsidR="00AE001B" w:rsidRPr="00052CAD" w:rsidRDefault="00AE001B" w:rsidP="00AE001B">
      <w:pPr>
        <w:pStyle w:val="Prrafodelista"/>
        <w:numPr>
          <w:ilvl w:val="0"/>
          <w:numId w:val="3"/>
        </w:numPr>
        <w:spacing w:before="28" w:after="28" w:line="288" w:lineRule="atLeast"/>
        <w:textAlignment w:val="center"/>
        <w:rPr>
          <w:rFonts w:ascii="Arial" w:hAnsi="Arial" w:cs="Arial"/>
          <w:b/>
          <w:lang w:eastAsia="es-CO"/>
        </w:rPr>
      </w:pPr>
      <w:r w:rsidRPr="00052CAD">
        <w:rPr>
          <w:rFonts w:ascii="Arial" w:hAnsi="Arial" w:cs="Arial"/>
          <w:b/>
          <w:lang w:eastAsia="es-CO"/>
        </w:rPr>
        <w:t>EL SISTEMA GENERAL DE REGALÍAS A LA LUZ DE LAS PRIORIDADES DEL ACUERDO</w:t>
      </w:r>
      <w:r>
        <w:rPr>
          <w:rFonts w:ascii="Arial" w:hAnsi="Arial" w:cs="Arial"/>
          <w:b/>
          <w:lang w:eastAsia="es-CO"/>
        </w:rPr>
        <w:t xml:space="preserve"> FINAL</w:t>
      </w:r>
    </w:p>
    <w:p w:rsidR="00AE001B" w:rsidRPr="00052CAD" w:rsidRDefault="00AE001B" w:rsidP="00AE001B">
      <w:pPr>
        <w:spacing w:before="28" w:after="28" w:line="288" w:lineRule="atLeast"/>
        <w:textAlignment w:val="center"/>
        <w:rPr>
          <w:rFonts w:ascii="Arial" w:hAnsi="Arial" w:cs="Arial"/>
          <w:lang w:eastAsia="es-CO"/>
        </w:rPr>
      </w:pPr>
    </w:p>
    <w:p w:rsidR="00AE001B" w:rsidRPr="00A275BC" w:rsidRDefault="00AE001B" w:rsidP="00AE001B">
      <w:pPr>
        <w:pStyle w:val="Prrafodelista"/>
        <w:numPr>
          <w:ilvl w:val="1"/>
          <w:numId w:val="19"/>
        </w:numPr>
        <w:spacing w:before="28" w:after="28" w:line="288" w:lineRule="atLeast"/>
        <w:textAlignment w:val="center"/>
        <w:rPr>
          <w:rFonts w:ascii="Arial" w:hAnsi="Arial" w:cs="Arial"/>
          <w:b/>
          <w:lang w:eastAsia="es-CO"/>
        </w:rPr>
      </w:pPr>
      <w:r w:rsidRPr="00A275BC">
        <w:rPr>
          <w:rFonts w:ascii="Arial" w:hAnsi="Arial" w:cs="Arial"/>
          <w:b/>
          <w:lang w:eastAsia="es-CO"/>
        </w:rPr>
        <w:t>Equidad social, regional e intergeneracional en la distribución de los ingresos del SGR</w:t>
      </w:r>
    </w:p>
    <w:p w:rsidR="00AE001B" w:rsidRPr="00052CAD" w:rsidRDefault="00AE001B" w:rsidP="00AE001B">
      <w:pPr>
        <w:jc w:val="both"/>
        <w:rPr>
          <w:rFonts w:ascii="Arial" w:hAnsi="Arial" w:cs="Arial"/>
        </w:rPr>
      </w:pPr>
    </w:p>
    <w:p w:rsidR="00AE001B" w:rsidRPr="00052CAD" w:rsidRDefault="00AE001B" w:rsidP="00AE001B">
      <w:pPr>
        <w:jc w:val="both"/>
        <w:rPr>
          <w:rFonts w:ascii="Arial" w:hAnsi="Arial" w:cs="Arial"/>
        </w:rPr>
      </w:pPr>
      <w:r w:rsidRPr="00052CAD">
        <w:rPr>
          <w:rFonts w:ascii="Arial" w:hAnsi="Arial" w:cs="Arial"/>
        </w:rPr>
        <w:t xml:space="preserve">La distribución de los ingresos del SGR </w:t>
      </w:r>
      <w:r>
        <w:rPr>
          <w:rFonts w:ascii="Arial" w:hAnsi="Arial" w:cs="Arial"/>
        </w:rPr>
        <w:t>se sustenta en</w:t>
      </w:r>
      <w:r w:rsidRPr="00052CAD">
        <w:rPr>
          <w:rFonts w:ascii="Arial" w:hAnsi="Arial" w:cs="Arial"/>
        </w:rPr>
        <w:t xml:space="preserve"> el principio de equidad, en tres dimensiones señaladas en la exposición de motivos del Acto legislativo 05 de 2011:</w:t>
      </w:r>
    </w:p>
    <w:p w:rsidR="00AE001B" w:rsidRPr="00B30577" w:rsidRDefault="00AE001B" w:rsidP="00AE001B">
      <w:pPr>
        <w:ind w:left="284"/>
        <w:jc w:val="both"/>
        <w:rPr>
          <w:rFonts w:ascii="Arial" w:eastAsia="Times New Roman" w:hAnsi="Arial" w:cs="Arial"/>
          <w:color w:val="000000"/>
          <w:spacing w:val="2"/>
          <w:sz w:val="24"/>
          <w:lang w:val="es-ES_tradnl" w:eastAsia="es-CO"/>
        </w:rPr>
      </w:pPr>
      <w:r w:rsidRPr="00B30577">
        <w:rPr>
          <w:rFonts w:ascii="Arial" w:eastAsia="Times New Roman" w:hAnsi="Arial" w:cs="Arial"/>
          <w:color w:val="000000"/>
          <w:spacing w:val="2"/>
          <w:sz w:val="24"/>
          <w:lang w:val="es-ES_tradnl" w:eastAsia="es-CO"/>
        </w:rPr>
        <w:t>“</w:t>
      </w:r>
      <w:r w:rsidRPr="00B30577">
        <w:rPr>
          <w:rFonts w:ascii="Arial" w:eastAsia="Times New Roman" w:hAnsi="Arial" w:cs="Arial"/>
          <w:color w:val="000000"/>
          <w:spacing w:val="2"/>
          <w:sz w:val="20"/>
          <w:lang w:val="es-ES_tradnl" w:eastAsia="es-CO"/>
        </w:rPr>
        <w:t xml:space="preserve">Primero, generar ahorros para épocas de escasez, promover el carácter </w:t>
      </w:r>
      <w:proofErr w:type="spellStart"/>
      <w:r w:rsidRPr="00B30577">
        <w:rPr>
          <w:rFonts w:ascii="Arial" w:eastAsia="Times New Roman" w:hAnsi="Arial" w:cs="Arial"/>
          <w:color w:val="000000"/>
          <w:spacing w:val="2"/>
          <w:sz w:val="20"/>
          <w:lang w:val="es-ES_tradnl" w:eastAsia="es-CO"/>
        </w:rPr>
        <w:t>contracíclico</w:t>
      </w:r>
      <w:proofErr w:type="spellEnd"/>
      <w:r w:rsidRPr="00B30577">
        <w:rPr>
          <w:rFonts w:ascii="Arial" w:eastAsia="Times New Roman" w:hAnsi="Arial" w:cs="Arial"/>
          <w:color w:val="000000"/>
          <w:spacing w:val="2"/>
          <w:sz w:val="20"/>
          <w:lang w:val="es-ES_tradnl" w:eastAsia="es-CO"/>
        </w:rPr>
        <w:t xml:space="preserve"> de la política económica, y mantener estable el gasto público a través del tiempo. Este es un concepto de </w:t>
      </w:r>
      <w:r w:rsidRPr="00B30577">
        <w:rPr>
          <w:rFonts w:ascii="Arial" w:eastAsia="Times New Roman" w:hAnsi="Arial" w:cs="Arial"/>
          <w:color w:val="000000"/>
          <w:spacing w:val="2"/>
          <w:sz w:val="20"/>
          <w:u w:val="single"/>
          <w:lang w:val="es-ES_tradnl" w:eastAsia="es-CO"/>
        </w:rPr>
        <w:t>equidad intergeneracional</w:t>
      </w:r>
      <w:r w:rsidRPr="00B30577">
        <w:rPr>
          <w:rFonts w:ascii="Arial" w:eastAsia="Times New Roman" w:hAnsi="Arial" w:cs="Arial"/>
          <w:color w:val="000000"/>
          <w:spacing w:val="2"/>
          <w:sz w:val="20"/>
          <w:lang w:val="es-ES_tradnl" w:eastAsia="es-CO"/>
        </w:rPr>
        <w:t xml:space="preserve">.  Segundo, un mecanismo de inversión de los ingresos minero-energéticos que priorice su distribución hacia la población más pobre y contribuya a la </w:t>
      </w:r>
      <w:r w:rsidRPr="00B30577">
        <w:rPr>
          <w:rFonts w:ascii="Arial" w:eastAsia="Times New Roman" w:hAnsi="Arial" w:cs="Arial"/>
          <w:color w:val="000000"/>
          <w:spacing w:val="2"/>
          <w:sz w:val="20"/>
          <w:u w:val="single"/>
          <w:lang w:val="es-ES_tradnl" w:eastAsia="es-CO"/>
        </w:rPr>
        <w:t>equidad social</w:t>
      </w:r>
      <w:r w:rsidRPr="00B30577">
        <w:rPr>
          <w:rFonts w:ascii="Arial" w:eastAsia="Times New Roman" w:hAnsi="Arial" w:cs="Arial"/>
          <w:color w:val="000000"/>
          <w:spacing w:val="2"/>
          <w:sz w:val="20"/>
          <w:lang w:val="es-ES_tradnl" w:eastAsia="es-CO"/>
        </w:rPr>
        <w:t xml:space="preserve">. Tercero, el reconocimiento de los recursos del subsuelo como una propiedad de todos los colombianos, debe favorecer el desarrollo regional de todos sus departamentos y municipios. Este concepto de </w:t>
      </w:r>
      <w:r w:rsidRPr="00B30577">
        <w:rPr>
          <w:rFonts w:ascii="Arial" w:eastAsia="Times New Roman" w:hAnsi="Arial" w:cs="Arial"/>
          <w:color w:val="000000"/>
          <w:spacing w:val="2"/>
          <w:sz w:val="20"/>
          <w:u w:val="single"/>
          <w:lang w:val="es-ES_tradnl" w:eastAsia="es-CO"/>
        </w:rPr>
        <w:t>equidad regional</w:t>
      </w:r>
      <w:r w:rsidRPr="00B30577">
        <w:rPr>
          <w:rFonts w:ascii="Arial" w:eastAsia="Times New Roman" w:hAnsi="Arial" w:cs="Arial"/>
          <w:color w:val="000000"/>
          <w:spacing w:val="2"/>
          <w:sz w:val="20"/>
          <w:lang w:val="es-ES_tradnl" w:eastAsia="es-CO"/>
        </w:rPr>
        <w:t xml:space="preserve"> fortalece la integración de diversas entidades territoriales en pos de proyectos comunes; promueve, además, la coordinación y planeación de la inversión de los recursos y priorización de grandes proyectos de desarrollo.</w:t>
      </w:r>
      <w:r w:rsidRPr="00B30577">
        <w:rPr>
          <w:rFonts w:ascii="Arial" w:eastAsia="Times New Roman" w:hAnsi="Arial" w:cs="Arial"/>
          <w:color w:val="000000"/>
          <w:spacing w:val="2"/>
          <w:sz w:val="24"/>
          <w:lang w:val="es-ES_tradnl" w:eastAsia="es-CO"/>
        </w:rPr>
        <w:t xml:space="preserve">” </w:t>
      </w:r>
      <w:r w:rsidRPr="00B30577">
        <w:rPr>
          <w:rFonts w:ascii="Arial" w:eastAsia="Times New Roman" w:hAnsi="Arial" w:cs="Arial"/>
          <w:color w:val="000000"/>
          <w:spacing w:val="2"/>
          <w:sz w:val="20"/>
          <w:lang w:val="es-ES_tradnl" w:eastAsia="es-CO"/>
        </w:rPr>
        <w:t>(subrayado propio)</w:t>
      </w:r>
    </w:p>
    <w:p w:rsidR="00AE001B" w:rsidRPr="00052CAD" w:rsidRDefault="00AE001B" w:rsidP="00AE001B">
      <w:pPr>
        <w:pStyle w:val="Default"/>
        <w:jc w:val="both"/>
        <w:rPr>
          <w:rFonts w:ascii="Arial" w:hAnsi="Arial" w:cs="Arial"/>
          <w:color w:val="auto"/>
          <w:sz w:val="22"/>
          <w:szCs w:val="22"/>
        </w:rPr>
      </w:pPr>
      <w:r w:rsidRPr="00052CAD">
        <w:rPr>
          <w:rFonts w:ascii="Arial" w:hAnsi="Arial" w:cs="Arial"/>
          <w:color w:val="auto"/>
          <w:sz w:val="22"/>
          <w:szCs w:val="22"/>
        </w:rPr>
        <w:t xml:space="preserve">En desarrollo </w:t>
      </w:r>
      <w:r>
        <w:rPr>
          <w:rFonts w:ascii="Arial" w:hAnsi="Arial" w:cs="Arial"/>
          <w:color w:val="auto"/>
          <w:sz w:val="22"/>
          <w:szCs w:val="22"/>
        </w:rPr>
        <w:t>de este principio</w:t>
      </w:r>
      <w:r w:rsidRPr="00052CAD">
        <w:rPr>
          <w:rFonts w:ascii="Arial" w:hAnsi="Arial" w:cs="Arial"/>
          <w:color w:val="auto"/>
          <w:sz w:val="22"/>
          <w:szCs w:val="22"/>
        </w:rPr>
        <w:t>, el artículo 361 de la Constitución Política define reglas de distribución de los ingresos del SGR entre sus componentes, así:</w:t>
      </w:r>
    </w:p>
    <w:p w:rsidR="00AE001B" w:rsidRPr="00052CAD" w:rsidRDefault="00AE001B" w:rsidP="00AE001B">
      <w:pPr>
        <w:pStyle w:val="Default"/>
        <w:jc w:val="both"/>
        <w:rPr>
          <w:rFonts w:ascii="Arial" w:hAnsi="Arial" w:cs="Arial"/>
          <w:color w:val="auto"/>
          <w:sz w:val="22"/>
          <w:szCs w:val="22"/>
        </w:rPr>
      </w:pPr>
    </w:p>
    <w:p w:rsidR="00AE001B" w:rsidRPr="00052CAD" w:rsidRDefault="00AE001B" w:rsidP="00AE001B">
      <w:pPr>
        <w:pStyle w:val="Default"/>
        <w:numPr>
          <w:ilvl w:val="0"/>
          <w:numId w:val="13"/>
        </w:numPr>
        <w:jc w:val="both"/>
        <w:rPr>
          <w:rFonts w:ascii="Arial" w:hAnsi="Arial" w:cs="Arial"/>
          <w:color w:val="auto"/>
          <w:sz w:val="22"/>
          <w:szCs w:val="22"/>
        </w:rPr>
      </w:pPr>
      <w:r w:rsidRPr="00052CAD">
        <w:rPr>
          <w:rFonts w:ascii="Arial" w:hAnsi="Arial" w:cs="Arial"/>
          <w:color w:val="auto"/>
          <w:sz w:val="22"/>
          <w:szCs w:val="22"/>
        </w:rPr>
        <w:t>10% al Fondo de Ciencia, Tecnología e Innovación</w:t>
      </w:r>
    </w:p>
    <w:p w:rsidR="00AE001B" w:rsidRPr="00052CAD" w:rsidRDefault="00AE001B" w:rsidP="00AE001B">
      <w:pPr>
        <w:pStyle w:val="Default"/>
        <w:numPr>
          <w:ilvl w:val="0"/>
          <w:numId w:val="13"/>
        </w:numPr>
        <w:jc w:val="both"/>
        <w:rPr>
          <w:rFonts w:ascii="Arial" w:hAnsi="Arial" w:cs="Arial"/>
          <w:color w:val="auto"/>
          <w:sz w:val="22"/>
          <w:szCs w:val="22"/>
        </w:rPr>
      </w:pPr>
      <w:r w:rsidRPr="00052CAD">
        <w:rPr>
          <w:rFonts w:ascii="Arial" w:hAnsi="Arial" w:cs="Arial"/>
          <w:color w:val="auto"/>
          <w:sz w:val="22"/>
          <w:szCs w:val="22"/>
        </w:rPr>
        <w:t>10% al ahorro pensional territorial</w:t>
      </w:r>
    </w:p>
    <w:p w:rsidR="00AE001B" w:rsidRPr="00052CAD" w:rsidRDefault="00AE001B" w:rsidP="00AE001B">
      <w:pPr>
        <w:pStyle w:val="Default"/>
        <w:numPr>
          <w:ilvl w:val="0"/>
          <w:numId w:val="13"/>
        </w:numPr>
        <w:jc w:val="both"/>
        <w:rPr>
          <w:rFonts w:ascii="Arial" w:hAnsi="Arial" w:cs="Arial"/>
          <w:color w:val="auto"/>
          <w:sz w:val="22"/>
          <w:szCs w:val="22"/>
        </w:rPr>
      </w:pPr>
      <w:r w:rsidRPr="00052CAD">
        <w:rPr>
          <w:rFonts w:ascii="Arial" w:hAnsi="Arial" w:cs="Arial"/>
          <w:color w:val="auto"/>
          <w:sz w:val="22"/>
          <w:szCs w:val="22"/>
        </w:rPr>
        <w:t>A la suma de las asignaciones directas, el Fondo de Desarrollo Regional y Fondo de Compensación Regional, no le asigna un porcentaje fijo; sino que establece que éstos deben crecer anualmente a la mitad de la tasa de crecimiento de los ingresos totales. Esto permite que, si bien los ingresos del SGR pueden sufrir grandes alteraciones, la fluctuación en los niveles de inversión de estos tres componentes sea mucho menor.</w:t>
      </w:r>
    </w:p>
    <w:p w:rsidR="00AE001B" w:rsidRPr="00052CAD" w:rsidRDefault="00AE001B" w:rsidP="00AE001B">
      <w:pPr>
        <w:pStyle w:val="Default"/>
        <w:numPr>
          <w:ilvl w:val="0"/>
          <w:numId w:val="13"/>
        </w:numPr>
        <w:jc w:val="both"/>
        <w:rPr>
          <w:rFonts w:ascii="Arial" w:hAnsi="Arial" w:cs="Arial"/>
          <w:color w:val="auto"/>
          <w:sz w:val="22"/>
          <w:szCs w:val="22"/>
        </w:rPr>
      </w:pPr>
      <w:r w:rsidRPr="00052CAD">
        <w:rPr>
          <w:rFonts w:ascii="Arial" w:hAnsi="Arial" w:cs="Arial"/>
          <w:color w:val="auto"/>
          <w:sz w:val="22"/>
          <w:szCs w:val="22"/>
        </w:rPr>
        <w:t xml:space="preserve">La asignación del Fondo de Ahorro y Estabilización, el principal mecanismo para la estabilidad del gasto en el tiempo, se determina como residual.  Es decir, corresponde a la porción de los ingresos del SGR que quede después de asignar los porcentajes y asegurar las tasas de crecimiento de los demás Fondos y conceptos de distribución del SGR.  </w:t>
      </w:r>
      <w:r>
        <w:rPr>
          <w:rFonts w:ascii="Arial" w:hAnsi="Arial" w:cs="Arial"/>
          <w:color w:val="auto"/>
          <w:sz w:val="22"/>
          <w:szCs w:val="22"/>
        </w:rPr>
        <w:t>Esto</w:t>
      </w:r>
      <w:r w:rsidRPr="00052CAD">
        <w:rPr>
          <w:rFonts w:ascii="Arial" w:hAnsi="Arial" w:cs="Arial"/>
          <w:color w:val="auto"/>
          <w:sz w:val="22"/>
          <w:szCs w:val="22"/>
        </w:rPr>
        <w:t xml:space="preserve"> sin superar en ningún caso el 30% de los ingresos del SGR.</w:t>
      </w:r>
    </w:p>
    <w:p w:rsidR="00AE001B" w:rsidRPr="00052CAD" w:rsidRDefault="00AE001B" w:rsidP="00AE001B">
      <w:pPr>
        <w:pStyle w:val="Default"/>
        <w:numPr>
          <w:ilvl w:val="0"/>
          <w:numId w:val="13"/>
        </w:numPr>
        <w:jc w:val="both"/>
        <w:rPr>
          <w:rFonts w:ascii="Arial" w:hAnsi="Arial" w:cs="Arial"/>
          <w:color w:val="auto"/>
          <w:sz w:val="22"/>
          <w:szCs w:val="22"/>
        </w:rPr>
      </w:pPr>
      <w:r w:rsidRPr="00052CAD">
        <w:rPr>
          <w:rFonts w:ascii="Arial" w:hAnsi="Arial" w:cs="Arial"/>
          <w:color w:val="auto"/>
          <w:sz w:val="22"/>
          <w:szCs w:val="22"/>
        </w:rPr>
        <w:lastRenderedPageBreak/>
        <w:t>Además</w:t>
      </w:r>
      <w:r>
        <w:rPr>
          <w:rFonts w:ascii="Arial" w:hAnsi="Arial" w:cs="Arial"/>
          <w:color w:val="auto"/>
          <w:sz w:val="22"/>
          <w:szCs w:val="22"/>
        </w:rPr>
        <w:t>,</w:t>
      </w:r>
      <w:r w:rsidRPr="00052CAD">
        <w:rPr>
          <w:rFonts w:ascii="Arial" w:hAnsi="Arial" w:cs="Arial"/>
          <w:color w:val="auto"/>
          <w:sz w:val="22"/>
          <w:szCs w:val="22"/>
        </w:rPr>
        <w:t xml:space="preserve"> dispone que se descuente de manera proporcional a todas las asignaciones, recursos para atender gastos de fiscalización de la exploración y explotación de los yacimientos, y el conocimiento y cartografía geológica del subsuelo; para la administración del Sistema de monitoreo, seguimiento, control y evaluación del SGR, para el funcionamiento del SGR y, en atención al artículo 331 de la Constitución Política, una asignación para los municipios del Río Grande de la Magdalena y Canal del Dique.</w:t>
      </w:r>
    </w:p>
    <w:p w:rsidR="00AE001B" w:rsidRDefault="00AE001B" w:rsidP="00AE001B">
      <w:pPr>
        <w:spacing w:before="28" w:after="28" w:line="288" w:lineRule="atLeast"/>
        <w:jc w:val="center"/>
        <w:textAlignment w:val="center"/>
        <w:rPr>
          <w:rFonts w:ascii="Arial" w:hAnsi="Arial" w:cs="Arial"/>
          <w:b/>
          <w:lang w:eastAsia="es-CO"/>
        </w:rPr>
      </w:pPr>
    </w:p>
    <w:p w:rsidR="00AE001B" w:rsidRPr="00B30577" w:rsidRDefault="00AE001B" w:rsidP="00AE001B">
      <w:pPr>
        <w:spacing w:before="28" w:after="28" w:line="288" w:lineRule="atLeast"/>
        <w:jc w:val="center"/>
        <w:textAlignment w:val="center"/>
        <w:rPr>
          <w:rFonts w:ascii="Arial" w:hAnsi="Arial" w:cs="Arial"/>
          <w:b/>
          <w:lang w:eastAsia="es-CO"/>
        </w:rPr>
      </w:pPr>
      <w:r w:rsidRPr="00B30577">
        <w:rPr>
          <w:rFonts w:ascii="Arial" w:hAnsi="Arial" w:cs="Arial"/>
          <w:b/>
          <w:lang w:eastAsia="es-CO"/>
        </w:rPr>
        <w:t>Cuadro 1</w:t>
      </w:r>
    </w:p>
    <w:p w:rsidR="00AE001B" w:rsidRPr="00B30577" w:rsidRDefault="00AE001B" w:rsidP="00AE001B">
      <w:pPr>
        <w:spacing w:before="28" w:after="28" w:line="288" w:lineRule="atLeast"/>
        <w:jc w:val="center"/>
        <w:textAlignment w:val="center"/>
        <w:rPr>
          <w:rFonts w:ascii="Arial" w:hAnsi="Arial" w:cs="Arial"/>
          <w:b/>
          <w:lang w:eastAsia="es-CO"/>
        </w:rPr>
      </w:pPr>
      <w:r w:rsidRPr="00B30577">
        <w:rPr>
          <w:rFonts w:ascii="Arial" w:hAnsi="Arial" w:cs="Arial"/>
          <w:b/>
          <w:lang w:eastAsia="es-CO"/>
        </w:rPr>
        <w:t>Reglas de distribución anual de los Ingresos del Sistema General de Regalías (SGR)</w:t>
      </w:r>
    </w:p>
    <w:tbl>
      <w:tblPr>
        <w:tblStyle w:val="Tablaconcuadrcula"/>
        <w:tblW w:w="0" w:type="auto"/>
        <w:jc w:val="center"/>
        <w:tblLook w:val="04A0" w:firstRow="1" w:lastRow="0" w:firstColumn="1" w:lastColumn="0" w:noHBand="0" w:noVBand="1"/>
      </w:tblPr>
      <w:tblGrid>
        <w:gridCol w:w="1707"/>
        <w:gridCol w:w="2404"/>
        <w:gridCol w:w="2142"/>
        <w:gridCol w:w="2558"/>
      </w:tblGrid>
      <w:tr w:rsidR="00AE001B" w:rsidRPr="00B30577" w:rsidTr="00E51EDD">
        <w:trPr>
          <w:trHeight w:val="375"/>
          <w:jc w:val="center"/>
        </w:trPr>
        <w:tc>
          <w:tcPr>
            <w:tcW w:w="1707" w:type="dxa"/>
            <w:tcBorders>
              <w:top w:val="nil"/>
              <w:left w:val="nil"/>
              <w:bottom w:val="single" w:sz="4" w:space="0" w:color="auto"/>
              <w:right w:val="nil"/>
            </w:tcBorders>
            <w:noWrap/>
            <w:hideMark/>
          </w:tcPr>
          <w:p w:rsidR="00AE001B" w:rsidRPr="00B30577" w:rsidRDefault="00AE001B" w:rsidP="00E51EDD">
            <w:pPr>
              <w:spacing w:before="28" w:after="28" w:line="288" w:lineRule="atLeast"/>
              <w:textAlignment w:val="center"/>
              <w:rPr>
                <w:rFonts w:ascii="Arial" w:hAnsi="Arial" w:cs="Arial"/>
                <w:sz w:val="20"/>
                <w:lang w:eastAsia="es-CO"/>
              </w:rPr>
            </w:pPr>
          </w:p>
        </w:tc>
        <w:tc>
          <w:tcPr>
            <w:tcW w:w="2404" w:type="dxa"/>
            <w:tcBorders>
              <w:top w:val="nil"/>
              <w:left w:val="nil"/>
              <w:bottom w:val="single" w:sz="4" w:space="0" w:color="auto"/>
              <w:right w:val="single" w:sz="4" w:space="0" w:color="auto"/>
            </w:tcBorders>
            <w:hideMark/>
          </w:tcPr>
          <w:p w:rsidR="00AE001B" w:rsidRPr="00B30577" w:rsidRDefault="00AE001B" w:rsidP="00E51EDD">
            <w:pPr>
              <w:spacing w:before="28" w:after="28" w:line="288" w:lineRule="atLeast"/>
              <w:textAlignment w:val="center"/>
              <w:rPr>
                <w:rFonts w:ascii="Arial" w:hAnsi="Arial" w:cs="Arial"/>
                <w:sz w:val="20"/>
                <w:lang w:eastAsia="es-CO"/>
              </w:rPr>
            </w:pPr>
          </w:p>
        </w:tc>
        <w:tc>
          <w:tcPr>
            <w:tcW w:w="2142" w:type="dxa"/>
            <w:tcBorders>
              <w:left w:val="single" w:sz="4" w:space="0" w:color="auto"/>
              <w:bottom w:val="single" w:sz="4" w:space="0" w:color="auto"/>
            </w:tcBorders>
            <w:shd w:val="clear" w:color="auto" w:fill="44546A" w:themeFill="text2"/>
            <w:noWrap/>
            <w:hideMark/>
          </w:tcPr>
          <w:p w:rsidR="00AE001B" w:rsidRPr="00B30577" w:rsidRDefault="00AE001B" w:rsidP="00E51EDD">
            <w:pPr>
              <w:spacing w:before="28" w:after="28" w:line="288" w:lineRule="atLeast"/>
              <w:jc w:val="center"/>
              <w:textAlignment w:val="center"/>
              <w:rPr>
                <w:rFonts w:ascii="Arial" w:hAnsi="Arial" w:cs="Arial"/>
                <w:b/>
                <w:bCs/>
                <w:color w:val="FFFFFF" w:themeColor="background1"/>
                <w:sz w:val="20"/>
                <w:lang w:eastAsia="es-CO"/>
              </w:rPr>
            </w:pPr>
            <w:r w:rsidRPr="00B30577">
              <w:rPr>
                <w:rFonts w:ascii="Arial" w:hAnsi="Arial" w:cs="Arial"/>
                <w:b/>
                <w:bCs/>
                <w:color w:val="FFFFFF" w:themeColor="background1"/>
                <w:sz w:val="20"/>
                <w:lang w:eastAsia="es-CO"/>
              </w:rPr>
              <w:t>Regla distribución</w:t>
            </w:r>
          </w:p>
        </w:tc>
        <w:tc>
          <w:tcPr>
            <w:tcW w:w="2558" w:type="dxa"/>
            <w:tcBorders>
              <w:bottom w:val="single" w:sz="4" w:space="0" w:color="auto"/>
            </w:tcBorders>
            <w:shd w:val="clear" w:color="auto" w:fill="44546A" w:themeFill="text2"/>
            <w:noWrap/>
            <w:hideMark/>
          </w:tcPr>
          <w:p w:rsidR="00AE001B" w:rsidRPr="00B30577" w:rsidRDefault="00AE001B" w:rsidP="00E51EDD">
            <w:pPr>
              <w:spacing w:before="28" w:after="28" w:line="288" w:lineRule="atLeast"/>
              <w:jc w:val="center"/>
              <w:textAlignment w:val="center"/>
              <w:rPr>
                <w:rFonts w:ascii="Arial" w:hAnsi="Arial" w:cs="Arial"/>
                <w:b/>
                <w:bCs/>
                <w:color w:val="FFFFFF" w:themeColor="background1"/>
                <w:sz w:val="20"/>
                <w:lang w:eastAsia="es-CO"/>
              </w:rPr>
            </w:pPr>
            <w:r w:rsidRPr="00B30577">
              <w:rPr>
                <w:rFonts w:ascii="Arial" w:hAnsi="Arial" w:cs="Arial"/>
                <w:b/>
                <w:bCs/>
                <w:color w:val="FFFFFF" w:themeColor="background1"/>
                <w:sz w:val="20"/>
                <w:lang w:eastAsia="es-CO"/>
              </w:rPr>
              <w:t>Norma que lo define</w:t>
            </w:r>
          </w:p>
        </w:tc>
      </w:tr>
      <w:tr w:rsidR="00AE001B" w:rsidRPr="00B30577" w:rsidTr="00E51EDD">
        <w:trPr>
          <w:trHeight w:val="186"/>
          <w:jc w:val="center"/>
        </w:trPr>
        <w:tc>
          <w:tcPr>
            <w:tcW w:w="4111" w:type="dxa"/>
            <w:gridSpan w:val="2"/>
            <w:tcBorders>
              <w:top w:val="single" w:sz="4" w:space="0" w:color="auto"/>
            </w:tcBorders>
            <w:shd w:val="clear" w:color="auto" w:fill="44546A" w:themeFill="text2"/>
            <w:noWrap/>
            <w:hideMark/>
          </w:tcPr>
          <w:p w:rsidR="00AE001B" w:rsidRPr="00B30577" w:rsidRDefault="00AE001B" w:rsidP="00E51EDD">
            <w:pPr>
              <w:spacing w:before="28" w:after="28" w:line="288" w:lineRule="atLeast"/>
              <w:jc w:val="center"/>
              <w:textAlignment w:val="center"/>
              <w:rPr>
                <w:rFonts w:ascii="Arial" w:hAnsi="Arial" w:cs="Arial"/>
                <w:b/>
                <w:bCs/>
                <w:color w:val="FFFFFF" w:themeColor="background1"/>
                <w:sz w:val="20"/>
                <w:lang w:eastAsia="es-CO"/>
              </w:rPr>
            </w:pPr>
            <w:r w:rsidRPr="00B30577">
              <w:rPr>
                <w:rFonts w:ascii="Arial" w:hAnsi="Arial" w:cs="Arial"/>
                <w:b/>
                <w:bCs/>
                <w:color w:val="FFFFFF" w:themeColor="background1"/>
                <w:sz w:val="20"/>
                <w:lang w:eastAsia="es-CO"/>
              </w:rPr>
              <w:t>Ingresos totales SGR</w:t>
            </w:r>
          </w:p>
        </w:tc>
        <w:tc>
          <w:tcPr>
            <w:tcW w:w="2142" w:type="dxa"/>
            <w:tcBorders>
              <w:top w:val="single" w:sz="4" w:space="0" w:color="auto"/>
            </w:tcBorders>
            <w:shd w:val="clear" w:color="auto" w:fill="44546A" w:themeFill="text2"/>
            <w:noWrap/>
            <w:hideMark/>
          </w:tcPr>
          <w:p w:rsidR="00AE001B" w:rsidRPr="00B30577" w:rsidRDefault="00AE001B" w:rsidP="00E51EDD">
            <w:pPr>
              <w:spacing w:before="28" w:after="28" w:line="288" w:lineRule="atLeast"/>
              <w:jc w:val="center"/>
              <w:textAlignment w:val="center"/>
              <w:rPr>
                <w:rFonts w:ascii="Arial" w:hAnsi="Arial" w:cs="Arial"/>
                <w:b/>
                <w:bCs/>
                <w:color w:val="FFFFFF" w:themeColor="background1"/>
                <w:sz w:val="20"/>
                <w:lang w:eastAsia="es-CO"/>
              </w:rPr>
            </w:pPr>
            <w:r w:rsidRPr="00B30577">
              <w:rPr>
                <w:rFonts w:ascii="Arial" w:hAnsi="Arial" w:cs="Arial"/>
                <w:b/>
                <w:bCs/>
                <w:color w:val="FFFFFF" w:themeColor="background1"/>
                <w:sz w:val="20"/>
                <w:lang w:eastAsia="es-CO"/>
              </w:rPr>
              <w:t>100%</w:t>
            </w:r>
          </w:p>
        </w:tc>
        <w:tc>
          <w:tcPr>
            <w:tcW w:w="2558" w:type="dxa"/>
            <w:tcBorders>
              <w:top w:val="single" w:sz="4" w:space="0" w:color="auto"/>
            </w:tcBorders>
            <w:shd w:val="clear" w:color="auto" w:fill="44546A" w:themeFill="text2"/>
            <w:noWrap/>
            <w:hideMark/>
          </w:tcPr>
          <w:p w:rsidR="00AE001B" w:rsidRPr="00B30577" w:rsidRDefault="00AE001B" w:rsidP="00E51EDD">
            <w:pPr>
              <w:spacing w:before="28" w:after="28" w:line="288" w:lineRule="atLeast"/>
              <w:textAlignment w:val="center"/>
              <w:rPr>
                <w:rFonts w:ascii="Arial" w:hAnsi="Arial" w:cs="Arial"/>
                <w:b/>
                <w:bCs/>
                <w:color w:val="FFFFFF" w:themeColor="background1"/>
                <w:sz w:val="20"/>
                <w:lang w:eastAsia="es-CO"/>
              </w:rPr>
            </w:pPr>
            <w:r w:rsidRPr="00B30577">
              <w:rPr>
                <w:rFonts w:ascii="Arial" w:hAnsi="Arial" w:cs="Arial"/>
                <w:b/>
                <w:bCs/>
                <w:color w:val="FFFFFF" w:themeColor="background1"/>
                <w:sz w:val="20"/>
                <w:lang w:eastAsia="es-CO"/>
              </w:rPr>
              <w:t> </w:t>
            </w:r>
          </w:p>
        </w:tc>
      </w:tr>
      <w:tr w:rsidR="00AE001B" w:rsidRPr="00B30577" w:rsidTr="00E51EDD">
        <w:trPr>
          <w:trHeight w:val="728"/>
          <w:jc w:val="center"/>
        </w:trPr>
        <w:tc>
          <w:tcPr>
            <w:tcW w:w="1707" w:type="dxa"/>
            <w:vMerge w:val="restart"/>
            <w:hideMark/>
          </w:tcPr>
          <w:p w:rsidR="00AE001B" w:rsidRPr="00B30577" w:rsidRDefault="00AE001B" w:rsidP="00E51EDD">
            <w:pPr>
              <w:spacing w:before="28" w:after="28" w:line="288" w:lineRule="atLeast"/>
              <w:textAlignment w:val="center"/>
              <w:rPr>
                <w:rFonts w:ascii="Arial" w:hAnsi="Arial" w:cs="Arial"/>
                <w:sz w:val="18"/>
                <w:szCs w:val="20"/>
                <w:lang w:eastAsia="es-CO"/>
              </w:rPr>
            </w:pPr>
          </w:p>
          <w:p w:rsidR="00AE001B" w:rsidRPr="00B30577" w:rsidRDefault="00AE001B" w:rsidP="00E51EDD">
            <w:pPr>
              <w:spacing w:before="28" w:after="28" w:line="288" w:lineRule="atLeast"/>
              <w:textAlignment w:val="center"/>
              <w:rPr>
                <w:rFonts w:ascii="Arial" w:hAnsi="Arial" w:cs="Arial"/>
                <w:sz w:val="18"/>
                <w:szCs w:val="20"/>
                <w:lang w:eastAsia="es-CO"/>
              </w:rPr>
            </w:pPr>
          </w:p>
          <w:p w:rsidR="00AE001B" w:rsidRPr="00B30577" w:rsidRDefault="00AE001B" w:rsidP="00E51EDD">
            <w:pPr>
              <w:spacing w:before="28" w:after="28" w:line="288" w:lineRule="atLeast"/>
              <w:textAlignment w:val="center"/>
              <w:rPr>
                <w:rFonts w:ascii="Arial" w:hAnsi="Arial" w:cs="Arial"/>
                <w:sz w:val="18"/>
                <w:szCs w:val="20"/>
                <w:lang w:eastAsia="es-CO"/>
              </w:rPr>
            </w:pPr>
          </w:p>
          <w:p w:rsidR="00AE001B" w:rsidRPr="00B30577" w:rsidRDefault="00AE001B" w:rsidP="00E51EDD">
            <w:pPr>
              <w:spacing w:before="28" w:after="28" w:line="288" w:lineRule="atLeast"/>
              <w:textAlignment w:val="center"/>
              <w:rPr>
                <w:rFonts w:ascii="Arial" w:hAnsi="Arial" w:cs="Arial"/>
                <w:sz w:val="18"/>
                <w:szCs w:val="20"/>
                <w:lang w:eastAsia="es-CO"/>
              </w:rPr>
            </w:pPr>
          </w:p>
          <w:p w:rsidR="00AE001B" w:rsidRPr="00B30577" w:rsidRDefault="00AE001B" w:rsidP="00E51EDD">
            <w:pPr>
              <w:spacing w:before="28" w:after="28" w:line="288" w:lineRule="atLeast"/>
              <w:textAlignment w:val="center"/>
              <w:rPr>
                <w:rFonts w:ascii="Arial" w:hAnsi="Arial" w:cs="Arial"/>
                <w:sz w:val="18"/>
                <w:szCs w:val="20"/>
                <w:lang w:eastAsia="es-CO"/>
              </w:rPr>
            </w:pPr>
          </w:p>
          <w:p w:rsidR="00AE001B" w:rsidRPr="00B30577" w:rsidRDefault="00AE001B" w:rsidP="00E51EDD">
            <w:pPr>
              <w:spacing w:before="28" w:after="28" w:line="288" w:lineRule="atLeast"/>
              <w:textAlignment w:val="center"/>
              <w:rPr>
                <w:rFonts w:ascii="Arial" w:hAnsi="Arial" w:cs="Arial"/>
                <w:sz w:val="18"/>
                <w:szCs w:val="20"/>
                <w:lang w:eastAsia="es-CO"/>
              </w:rPr>
            </w:pPr>
            <w:r w:rsidRPr="00B30577">
              <w:rPr>
                <w:rFonts w:ascii="Arial" w:hAnsi="Arial" w:cs="Arial"/>
                <w:sz w:val="18"/>
                <w:szCs w:val="20"/>
                <w:lang w:eastAsia="es-CO"/>
              </w:rPr>
              <w:t>Conceptos que se descuentan proporcionalmente de todas las asignaciones</w:t>
            </w:r>
          </w:p>
        </w:tc>
        <w:tc>
          <w:tcPr>
            <w:tcW w:w="2404" w:type="dxa"/>
            <w:hideMark/>
          </w:tcPr>
          <w:p w:rsidR="00AE001B" w:rsidRPr="00B30577" w:rsidRDefault="00AE001B" w:rsidP="00E51EDD">
            <w:pPr>
              <w:spacing w:before="28" w:after="28" w:line="288" w:lineRule="atLeast"/>
              <w:textAlignment w:val="center"/>
              <w:rPr>
                <w:rFonts w:ascii="Arial" w:hAnsi="Arial" w:cs="Arial"/>
                <w:i/>
                <w:iCs/>
                <w:sz w:val="18"/>
                <w:szCs w:val="20"/>
                <w:lang w:eastAsia="es-CO"/>
              </w:rPr>
            </w:pPr>
            <w:r w:rsidRPr="00B30577">
              <w:rPr>
                <w:rFonts w:ascii="Arial" w:hAnsi="Arial" w:cs="Arial"/>
                <w:i/>
                <w:iCs/>
                <w:sz w:val="18"/>
                <w:szCs w:val="20"/>
                <w:lang w:eastAsia="es-CO"/>
              </w:rPr>
              <w:t>Fiscalización de la exploración y explotación de los yacimientos y el conocimiento y cartografía geológica del subsuelo</w:t>
            </w:r>
          </w:p>
        </w:tc>
        <w:tc>
          <w:tcPr>
            <w:tcW w:w="2142" w:type="dxa"/>
            <w:noWrap/>
            <w:hideMark/>
          </w:tcPr>
          <w:p w:rsidR="00AE001B" w:rsidRPr="00B30577" w:rsidRDefault="00AE001B" w:rsidP="00E51EDD">
            <w:pPr>
              <w:spacing w:before="28" w:after="28" w:line="288" w:lineRule="atLeast"/>
              <w:jc w:val="center"/>
              <w:textAlignment w:val="center"/>
              <w:rPr>
                <w:rFonts w:ascii="Arial" w:hAnsi="Arial" w:cs="Arial"/>
                <w:i/>
                <w:iCs/>
                <w:sz w:val="18"/>
                <w:szCs w:val="20"/>
                <w:lang w:eastAsia="es-CO"/>
              </w:rPr>
            </w:pPr>
            <w:r w:rsidRPr="00B30577">
              <w:rPr>
                <w:rFonts w:ascii="Arial" w:hAnsi="Arial" w:cs="Arial"/>
                <w:i/>
                <w:iCs/>
                <w:sz w:val="18"/>
                <w:szCs w:val="20"/>
                <w:lang w:eastAsia="es-CO"/>
              </w:rPr>
              <w:t>2%</w:t>
            </w:r>
          </w:p>
        </w:tc>
        <w:tc>
          <w:tcPr>
            <w:tcW w:w="2558" w:type="dxa"/>
            <w:hideMark/>
          </w:tcPr>
          <w:p w:rsidR="00AE001B" w:rsidRPr="00B30577" w:rsidRDefault="00AE001B" w:rsidP="00E51EDD">
            <w:pPr>
              <w:spacing w:before="28" w:after="28" w:line="288" w:lineRule="atLeast"/>
              <w:textAlignment w:val="center"/>
              <w:rPr>
                <w:rFonts w:ascii="Arial" w:hAnsi="Arial" w:cs="Arial"/>
                <w:i/>
                <w:iCs/>
                <w:sz w:val="18"/>
                <w:szCs w:val="20"/>
                <w:lang w:eastAsia="es-CO"/>
              </w:rPr>
            </w:pPr>
            <w:r w:rsidRPr="00B30577">
              <w:rPr>
                <w:rFonts w:ascii="Arial" w:hAnsi="Arial" w:cs="Arial"/>
                <w:i/>
                <w:iCs/>
                <w:sz w:val="18"/>
                <w:szCs w:val="20"/>
                <w:lang w:eastAsia="es-CO"/>
              </w:rPr>
              <w:t>Porcentaje fijado en el inciso 5 del artículo 361 de la Constitución Política</w:t>
            </w:r>
          </w:p>
        </w:tc>
      </w:tr>
      <w:tr w:rsidR="00AE001B" w:rsidRPr="00B30577" w:rsidTr="00E51EDD">
        <w:trPr>
          <w:trHeight w:val="965"/>
          <w:jc w:val="center"/>
        </w:trPr>
        <w:tc>
          <w:tcPr>
            <w:tcW w:w="1707" w:type="dxa"/>
            <w:vMerge/>
            <w:hideMark/>
          </w:tcPr>
          <w:p w:rsidR="00AE001B" w:rsidRPr="00B30577" w:rsidRDefault="00AE001B" w:rsidP="00E51EDD">
            <w:pPr>
              <w:spacing w:before="28" w:after="28" w:line="288" w:lineRule="atLeast"/>
              <w:textAlignment w:val="center"/>
              <w:rPr>
                <w:rFonts w:ascii="Arial" w:hAnsi="Arial" w:cs="Arial"/>
                <w:sz w:val="18"/>
                <w:szCs w:val="20"/>
                <w:lang w:eastAsia="es-CO"/>
              </w:rPr>
            </w:pPr>
          </w:p>
        </w:tc>
        <w:tc>
          <w:tcPr>
            <w:tcW w:w="2404" w:type="dxa"/>
            <w:hideMark/>
          </w:tcPr>
          <w:p w:rsidR="00AE001B" w:rsidRPr="00B30577" w:rsidRDefault="00AE001B" w:rsidP="00E51EDD">
            <w:pPr>
              <w:spacing w:before="28" w:after="28" w:line="288" w:lineRule="atLeast"/>
              <w:textAlignment w:val="center"/>
              <w:rPr>
                <w:rFonts w:ascii="Arial" w:hAnsi="Arial" w:cs="Arial"/>
                <w:i/>
                <w:iCs/>
                <w:sz w:val="18"/>
                <w:szCs w:val="20"/>
                <w:lang w:eastAsia="es-CO"/>
              </w:rPr>
            </w:pPr>
            <w:r w:rsidRPr="00B30577">
              <w:rPr>
                <w:rFonts w:ascii="Arial" w:hAnsi="Arial" w:cs="Arial"/>
                <w:i/>
                <w:iCs/>
                <w:sz w:val="18"/>
                <w:szCs w:val="20"/>
                <w:lang w:eastAsia="es-CO"/>
              </w:rPr>
              <w:t>Funcionamiento del Sistema General de Regalías</w:t>
            </w:r>
          </w:p>
        </w:tc>
        <w:tc>
          <w:tcPr>
            <w:tcW w:w="2142" w:type="dxa"/>
            <w:noWrap/>
            <w:hideMark/>
          </w:tcPr>
          <w:p w:rsidR="00AE001B" w:rsidRPr="00B30577" w:rsidRDefault="00AE001B" w:rsidP="00E51EDD">
            <w:pPr>
              <w:spacing w:before="28" w:after="28" w:line="288" w:lineRule="atLeast"/>
              <w:jc w:val="center"/>
              <w:textAlignment w:val="center"/>
              <w:rPr>
                <w:rFonts w:ascii="Arial" w:hAnsi="Arial" w:cs="Arial"/>
                <w:i/>
                <w:iCs/>
                <w:sz w:val="18"/>
                <w:szCs w:val="20"/>
                <w:lang w:eastAsia="es-CO"/>
              </w:rPr>
            </w:pPr>
            <w:r w:rsidRPr="00B30577">
              <w:rPr>
                <w:rFonts w:ascii="Arial" w:hAnsi="Arial" w:cs="Arial"/>
                <w:i/>
                <w:iCs/>
                <w:sz w:val="18"/>
                <w:szCs w:val="20"/>
                <w:lang w:eastAsia="es-CO"/>
              </w:rPr>
              <w:t>hasta 2%</w:t>
            </w:r>
          </w:p>
        </w:tc>
        <w:tc>
          <w:tcPr>
            <w:tcW w:w="2558" w:type="dxa"/>
            <w:hideMark/>
          </w:tcPr>
          <w:p w:rsidR="00AE001B" w:rsidRPr="00B30577" w:rsidRDefault="00AE001B" w:rsidP="00E51EDD">
            <w:pPr>
              <w:spacing w:before="28" w:after="28" w:line="288" w:lineRule="atLeast"/>
              <w:textAlignment w:val="center"/>
              <w:rPr>
                <w:rFonts w:ascii="Arial" w:hAnsi="Arial" w:cs="Arial"/>
                <w:i/>
                <w:iCs/>
                <w:sz w:val="18"/>
                <w:szCs w:val="20"/>
                <w:lang w:eastAsia="es-CO"/>
              </w:rPr>
            </w:pPr>
            <w:r w:rsidRPr="00B30577">
              <w:rPr>
                <w:rFonts w:ascii="Arial" w:hAnsi="Arial" w:cs="Arial"/>
                <w:i/>
                <w:iCs/>
                <w:sz w:val="18"/>
                <w:szCs w:val="20"/>
                <w:lang w:eastAsia="es-CO"/>
              </w:rPr>
              <w:t>Concepto creado en el artículo 361 de la CP; porcentaje fijado por la Ley 1530 de 2012</w:t>
            </w:r>
          </w:p>
        </w:tc>
      </w:tr>
      <w:tr w:rsidR="00AE001B" w:rsidRPr="00B30577" w:rsidTr="00E51EDD">
        <w:trPr>
          <w:trHeight w:val="915"/>
          <w:jc w:val="center"/>
        </w:trPr>
        <w:tc>
          <w:tcPr>
            <w:tcW w:w="1707" w:type="dxa"/>
            <w:vMerge/>
            <w:hideMark/>
          </w:tcPr>
          <w:p w:rsidR="00AE001B" w:rsidRPr="00B30577" w:rsidRDefault="00AE001B" w:rsidP="00E51EDD">
            <w:pPr>
              <w:spacing w:before="28" w:after="28" w:line="288" w:lineRule="atLeast"/>
              <w:textAlignment w:val="center"/>
              <w:rPr>
                <w:rFonts w:ascii="Arial" w:hAnsi="Arial" w:cs="Arial"/>
                <w:sz w:val="18"/>
                <w:szCs w:val="20"/>
                <w:lang w:eastAsia="es-CO"/>
              </w:rPr>
            </w:pPr>
          </w:p>
        </w:tc>
        <w:tc>
          <w:tcPr>
            <w:tcW w:w="2404" w:type="dxa"/>
            <w:hideMark/>
          </w:tcPr>
          <w:p w:rsidR="00AE001B" w:rsidRPr="00B30577" w:rsidRDefault="00AE001B" w:rsidP="00E51EDD">
            <w:pPr>
              <w:spacing w:before="28" w:after="28" w:line="288" w:lineRule="atLeast"/>
              <w:textAlignment w:val="center"/>
              <w:rPr>
                <w:rFonts w:ascii="Arial" w:hAnsi="Arial" w:cs="Arial"/>
                <w:i/>
                <w:iCs/>
                <w:sz w:val="18"/>
                <w:szCs w:val="20"/>
                <w:lang w:eastAsia="es-CO"/>
              </w:rPr>
            </w:pPr>
            <w:r w:rsidRPr="00B30577">
              <w:rPr>
                <w:rFonts w:ascii="Arial" w:hAnsi="Arial" w:cs="Arial"/>
                <w:i/>
                <w:iCs/>
                <w:sz w:val="18"/>
                <w:szCs w:val="20"/>
                <w:lang w:eastAsia="es-CO"/>
              </w:rPr>
              <w:t>Administración del Sistema de Monitoreo, seguimiento, Control y Evaluación</w:t>
            </w:r>
          </w:p>
        </w:tc>
        <w:tc>
          <w:tcPr>
            <w:tcW w:w="2142" w:type="dxa"/>
            <w:noWrap/>
            <w:hideMark/>
          </w:tcPr>
          <w:p w:rsidR="00AE001B" w:rsidRPr="00B30577" w:rsidRDefault="00AE001B" w:rsidP="00E51EDD">
            <w:pPr>
              <w:spacing w:before="28" w:after="28" w:line="288" w:lineRule="atLeast"/>
              <w:jc w:val="center"/>
              <w:textAlignment w:val="center"/>
              <w:rPr>
                <w:rFonts w:ascii="Arial" w:hAnsi="Arial" w:cs="Arial"/>
                <w:i/>
                <w:iCs/>
                <w:sz w:val="18"/>
                <w:szCs w:val="20"/>
                <w:lang w:eastAsia="es-CO"/>
              </w:rPr>
            </w:pPr>
            <w:r w:rsidRPr="00B30577">
              <w:rPr>
                <w:rFonts w:ascii="Arial" w:hAnsi="Arial" w:cs="Arial"/>
                <w:i/>
                <w:iCs/>
                <w:sz w:val="18"/>
                <w:szCs w:val="20"/>
                <w:lang w:eastAsia="es-CO"/>
              </w:rPr>
              <w:t>hasta 1%</w:t>
            </w:r>
          </w:p>
        </w:tc>
        <w:tc>
          <w:tcPr>
            <w:tcW w:w="2558" w:type="dxa"/>
            <w:hideMark/>
          </w:tcPr>
          <w:p w:rsidR="00AE001B" w:rsidRPr="00B30577" w:rsidRDefault="00AE001B" w:rsidP="00E51EDD">
            <w:pPr>
              <w:spacing w:before="28" w:after="28" w:line="288" w:lineRule="atLeast"/>
              <w:textAlignment w:val="center"/>
              <w:rPr>
                <w:rFonts w:ascii="Arial" w:hAnsi="Arial" w:cs="Arial"/>
                <w:i/>
                <w:iCs/>
                <w:sz w:val="18"/>
                <w:szCs w:val="20"/>
                <w:lang w:eastAsia="es-CO"/>
              </w:rPr>
            </w:pPr>
            <w:r w:rsidRPr="00B30577">
              <w:rPr>
                <w:rFonts w:ascii="Arial" w:hAnsi="Arial" w:cs="Arial"/>
                <w:i/>
                <w:iCs/>
                <w:sz w:val="18"/>
                <w:szCs w:val="20"/>
                <w:lang w:eastAsia="es-CO"/>
              </w:rPr>
              <w:t>Concepto creado en el artículo 361 de la CP; porcentaje fijado por la Ley 1530 de 2012</w:t>
            </w:r>
          </w:p>
        </w:tc>
      </w:tr>
      <w:tr w:rsidR="00AE001B" w:rsidRPr="00B30577" w:rsidTr="00E51EDD">
        <w:trPr>
          <w:trHeight w:val="930"/>
          <w:jc w:val="center"/>
        </w:trPr>
        <w:tc>
          <w:tcPr>
            <w:tcW w:w="1707" w:type="dxa"/>
            <w:vMerge/>
            <w:hideMark/>
          </w:tcPr>
          <w:p w:rsidR="00AE001B" w:rsidRPr="00B30577" w:rsidRDefault="00AE001B" w:rsidP="00E51EDD">
            <w:pPr>
              <w:spacing w:before="28" w:after="28" w:line="288" w:lineRule="atLeast"/>
              <w:textAlignment w:val="center"/>
              <w:rPr>
                <w:rFonts w:ascii="Arial" w:hAnsi="Arial" w:cs="Arial"/>
                <w:sz w:val="18"/>
                <w:szCs w:val="20"/>
                <w:lang w:eastAsia="es-CO"/>
              </w:rPr>
            </w:pPr>
          </w:p>
        </w:tc>
        <w:tc>
          <w:tcPr>
            <w:tcW w:w="2404" w:type="dxa"/>
            <w:hideMark/>
          </w:tcPr>
          <w:p w:rsidR="00AE001B" w:rsidRPr="00B30577" w:rsidRDefault="00AE001B" w:rsidP="00E51EDD">
            <w:pPr>
              <w:spacing w:before="28" w:after="28" w:line="288" w:lineRule="atLeast"/>
              <w:textAlignment w:val="center"/>
              <w:rPr>
                <w:rFonts w:ascii="Arial" w:hAnsi="Arial" w:cs="Arial"/>
                <w:i/>
                <w:iCs/>
                <w:sz w:val="18"/>
                <w:szCs w:val="20"/>
                <w:lang w:eastAsia="es-CO"/>
              </w:rPr>
            </w:pPr>
            <w:r w:rsidRPr="00B30577">
              <w:rPr>
                <w:rFonts w:ascii="Arial" w:hAnsi="Arial" w:cs="Arial"/>
                <w:i/>
                <w:iCs/>
                <w:sz w:val="18"/>
                <w:szCs w:val="20"/>
                <w:lang w:eastAsia="es-CO"/>
              </w:rPr>
              <w:t>Municipios del Río Grande de la Magdalena y Canal del Dique</w:t>
            </w:r>
          </w:p>
        </w:tc>
        <w:tc>
          <w:tcPr>
            <w:tcW w:w="2142" w:type="dxa"/>
            <w:noWrap/>
            <w:hideMark/>
          </w:tcPr>
          <w:p w:rsidR="00AE001B" w:rsidRPr="00B30577" w:rsidRDefault="00AE001B" w:rsidP="00E51EDD">
            <w:pPr>
              <w:spacing w:before="28" w:after="28" w:line="288" w:lineRule="atLeast"/>
              <w:jc w:val="center"/>
              <w:textAlignment w:val="center"/>
              <w:rPr>
                <w:rFonts w:ascii="Arial" w:hAnsi="Arial" w:cs="Arial"/>
                <w:i/>
                <w:iCs/>
                <w:sz w:val="18"/>
                <w:szCs w:val="20"/>
                <w:lang w:eastAsia="es-CO"/>
              </w:rPr>
            </w:pPr>
            <w:r w:rsidRPr="00B30577">
              <w:rPr>
                <w:rFonts w:ascii="Arial" w:hAnsi="Arial" w:cs="Arial"/>
                <w:i/>
                <w:iCs/>
                <w:sz w:val="18"/>
                <w:szCs w:val="20"/>
                <w:lang w:eastAsia="es-CO"/>
              </w:rPr>
              <w:t>0,5%</w:t>
            </w:r>
          </w:p>
        </w:tc>
        <w:tc>
          <w:tcPr>
            <w:tcW w:w="2558" w:type="dxa"/>
            <w:hideMark/>
          </w:tcPr>
          <w:p w:rsidR="00AE001B" w:rsidRPr="00B30577" w:rsidRDefault="00AE001B" w:rsidP="00E51EDD">
            <w:pPr>
              <w:spacing w:before="28" w:after="28" w:line="288" w:lineRule="atLeast"/>
              <w:textAlignment w:val="center"/>
              <w:rPr>
                <w:rFonts w:ascii="Arial" w:hAnsi="Arial" w:cs="Arial"/>
                <w:i/>
                <w:iCs/>
                <w:sz w:val="18"/>
                <w:szCs w:val="20"/>
                <w:lang w:eastAsia="es-CO"/>
              </w:rPr>
            </w:pPr>
            <w:r w:rsidRPr="00B30577">
              <w:rPr>
                <w:rFonts w:ascii="Arial" w:hAnsi="Arial" w:cs="Arial"/>
                <w:i/>
                <w:iCs/>
                <w:sz w:val="18"/>
                <w:szCs w:val="20"/>
                <w:lang w:eastAsia="es-CO"/>
              </w:rPr>
              <w:t>En desarrollo del artículo 331 de la CP, porcentaje fijado por la Ley 1530 de 2012</w:t>
            </w:r>
          </w:p>
        </w:tc>
      </w:tr>
      <w:tr w:rsidR="00AE001B" w:rsidRPr="00B30577" w:rsidTr="00E51EDD">
        <w:trPr>
          <w:trHeight w:val="50"/>
          <w:jc w:val="center"/>
        </w:trPr>
        <w:tc>
          <w:tcPr>
            <w:tcW w:w="4111" w:type="dxa"/>
            <w:gridSpan w:val="2"/>
            <w:shd w:val="clear" w:color="auto" w:fill="44546A" w:themeFill="text2"/>
            <w:noWrap/>
            <w:hideMark/>
          </w:tcPr>
          <w:p w:rsidR="00AE001B" w:rsidRPr="00B30577" w:rsidRDefault="00AE001B" w:rsidP="00E51EDD">
            <w:pPr>
              <w:spacing w:before="28" w:after="28" w:line="288" w:lineRule="atLeast"/>
              <w:jc w:val="center"/>
              <w:textAlignment w:val="center"/>
              <w:rPr>
                <w:rFonts w:ascii="Arial" w:hAnsi="Arial" w:cs="Arial"/>
                <w:b/>
                <w:bCs/>
                <w:color w:val="FFFFFF" w:themeColor="background1"/>
                <w:sz w:val="20"/>
                <w:szCs w:val="20"/>
                <w:lang w:eastAsia="es-CO"/>
              </w:rPr>
            </w:pPr>
            <w:r w:rsidRPr="00B30577">
              <w:rPr>
                <w:rFonts w:ascii="Arial" w:hAnsi="Arial" w:cs="Arial"/>
                <w:b/>
                <w:bCs/>
                <w:color w:val="FFFFFF" w:themeColor="background1"/>
                <w:sz w:val="20"/>
                <w:szCs w:val="20"/>
                <w:lang w:eastAsia="es-CO"/>
              </w:rPr>
              <w:t>Ingresos después de descuentos</w:t>
            </w:r>
          </w:p>
        </w:tc>
        <w:tc>
          <w:tcPr>
            <w:tcW w:w="2142" w:type="dxa"/>
            <w:shd w:val="clear" w:color="auto" w:fill="44546A" w:themeFill="text2"/>
            <w:noWrap/>
            <w:hideMark/>
          </w:tcPr>
          <w:p w:rsidR="00AE001B" w:rsidRPr="00B30577" w:rsidRDefault="00AE001B" w:rsidP="00E51EDD">
            <w:pPr>
              <w:spacing w:before="28" w:after="28" w:line="288" w:lineRule="atLeast"/>
              <w:jc w:val="center"/>
              <w:textAlignment w:val="center"/>
              <w:rPr>
                <w:rFonts w:ascii="Arial" w:hAnsi="Arial" w:cs="Arial"/>
                <w:b/>
                <w:bCs/>
                <w:color w:val="FFFFFF" w:themeColor="background1"/>
                <w:sz w:val="20"/>
                <w:szCs w:val="20"/>
                <w:lang w:eastAsia="es-CO"/>
              </w:rPr>
            </w:pPr>
            <w:r w:rsidRPr="00B30577">
              <w:rPr>
                <w:rFonts w:ascii="Arial" w:hAnsi="Arial" w:cs="Arial"/>
                <w:b/>
                <w:bCs/>
                <w:color w:val="FFFFFF" w:themeColor="background1"/>
                <w:sz w:val="20"/>
                <w:szCs w:val="20"/>
                <w:lang w:eastAsia="es-CO"/>
              </w:rPr>
              <w:t>94,5%</w:t>
            </w:r>
          </w:p>
        </w:tc>
        <w:tc>
          <w:tcPr>
            <w:tcW w:w="2558" w:type="dxa"/>
            <w:shd w:val="clear" w:color="auto" w:fill="44546A" w:themeFill="text2"/>
            <w:noWrap/>
            <w:hideMark/>
          </w:tcPr>
          <w:p w:rsidR="00AE001B" w:rsidRPr="00B30577" w:rsidRDefault="00AE001B" w:rsidP="00E51EDD">
            <w:pPr>
              <w:spacing w:before="28" w:after="28" w:line="288" w:lineRule="atLeast"/>
              <w:textAlignment w:val="center"/>
              <w:rPr>
                <w:rFonts w:ascii="Arial" w:hAnsi="Arial" w:cs="Arial"/>
                <w:b/>
                <w:bCs/>
                <w:color w:val="FFFFFF" w:themeColor="background1"/>
                <w:sz w:val="20"/>
                <w:szCs w:val="20"/>
                <w:lang w:eastAsia="es-CO"/>
              </w:rPr>
            </w:pPr>
            <w:r w:rsidRPr="00B30577">
              <w:rPr>
                <w:rFonts w:ascii="Arial" w:hAnsi="Arial" w:cs="Arial"/>
                <w:b/>
                <w:bCs/>
                <w:color w:val="FFFFFF" w:themeColor="background1"/>
                <w:sz w:val="20"/>
                <w:szCs w:val="20"/>
                <w:lang w:eastAsia="es-CO"/>
              </w:rPr>
              <w:t> </w:t>
            </w:r>
          </w:p>
        </w:tc>
      </w:tr>
      <w:tr w:rsidR="00AE001B" w:rsidRPr="00B30577" w:rsidTr="00E51EDD">
        <w:trPr>
          <w:trHeight w:val="510"/>
          <w:jc w:val="center"/>
        </w:trPr>
        <w:tc>
          <w:tcPr>
            <w:tcW w:w="1707" w:type="dxa"/>
            <w:vMerge w:val="restart"/>
            <w:hideMark/>
          </w:tcPr>
          <w:p w:rsidR="00AE001B" w:rsidRPr="00B30577" w:rsidRDefault="00AE001B" w:rsidP="00E51EDD">
            <w:pPr>
              <w:spacing w:before="28" w:after="28" w:line="288" w:lineRule="atLeast"/>
              <w:textAlignment w:val="center"/>
              <w:rPr>
                <w:rFonts w:ascii="Arial" w:hAnsi="Arial" w:cs="Arial"/>
                <w:sz w:val="18"/>
                <w:szCs w:val="20"/>
                <w:lang w:eastAsia="es-CO"/>
              </w:rPr>
            </w:pPr>
          </w:p>
          <w:p w:rsidR="00AE001B" w:rsidRPr="00B30577" w:rsidRDefault="00AE001B" w:rsidP="00E51EDD">
            <w:pPr>
              <w:spacing w:before="28" w:after="28" w:line="288" w:lineRule="atLeast"/>
              <w:textAlignment w:val="center"/>
              <w:rPr>
                <w:rFonts w:ascii="Arial" w:hAnsi="Arial" w:cs="Arial"/>
                <w:sz w:val="18"/>
                <w:szCs w:val="20"/>
                <w:lang w:eastAsia="es-CO"/>
              </w:rPr>
            </w:pPr>
            <w:r w:rsidRPr="00B30577">
              <w:rPr>
                <w:rFonts w:ascii="Arial" w:hAnsi="Arial" w:cs="Arial"/>
                <w:sz w:val="18"/>
                <w:szCs w:val="20"/>
                <w:lang w:eastAsia="es-CO"/>
              </w:rPr>
              <w:t>Conceptos que son un porcentaje fijo de los ingresos del SGR</w:t>
            </w:r>
          </w:p>
        </w:tc>
        <w:tc>
          <w:tcPr>
            <w:tcW w:w="2404" w:type="dxa"/>
            <w:noWrap/>
            <w:hideMark/>
          </w:tcPr>
          <w:p w:rsidR="00AE001B" w:rsidRPr="00B30577" w:rsidRDefault="00AE001B" w:rsidP="00E51EDD">
            <w:pPr>
              <w:spacing w:before="28" w:after="28" w:line="288" w:lineRule="atLeast"/>
              <w:textAlignment w:val="center"/>
              <w:rPr>
                <w:rFonts w:ascii="Arial" w:hAnsi="Arial" w:cs="Arial"/>
                <w:b/>
                <w:sz w:val="18"/>
                <w:szCs w:val="20"/>
                <w:lang w:eastAsia="es-CO"/>
              </w:rPr>
            </w:pPr>
            <w:r w:rsidRPr="00B30577">
              <w:rPr>
                <w:rFonts w:ascii="Arial" w:hAnsi="Arial" w:cs="Arial"/>
                <w:b/>
                <w:sz w:val="18"/>
                <w:szCs w:val="20"/>
                <w:lang w:eastAsia="es-CO"/>
              </w:rPr>
              <w:t>Fondo de Ciencia, Tecnología e Innovación</w:t>
            </w:r>
          </w:p>
        </w:tc>
        <w:tc>
          <w:tcPr>
            <w:tcW w:w="2142" w:type="dxa"/>
            <w:hideMark/>
          </w:tcPr>
          <w:p w:rsidR="00AE001B" w:rsidRPr="00B30577" w:rsidRDefault="00AE001B" w:rsidP="00E51EDD">
            <w:pPr>
              <w:spacing w:before="28" w:after="28" w:line="288" w:lineRule="atLeast"/>
              <w:textAlignment w:val="center"/>
              <w:rPr>
                <w:rFonts w:ascii="Arial" w:hAnsi="Arial" w:cs="Arial"/>
                <w:i/>
                <w:iCs/>
                <w:sz w:val="18"/>
                <w:szCs w:val="20"/>
                <w:lang w:eastAsia="es-CO"/>
              </w:rPr>
            </w:pPr>
            <w:r w:rsidRPr="00B30577">
              <w:rPr>
                <w:rFonts w:ascii="Arial" w:hAnsi="Arial" w:cs="Arial"/>
                <w:i/>
                <w:iCs/>
                <w:sz w:val="18"/>
                <w:szCs w:val="20"/>
                <w:lang w:eastAsia="es-CO"/>
              </w:rPr>
              <w:t>10% de ingresos después de descuentos</w:t>
            </w:r>
          </w:p>
        </w:tc>
        <w:tc>
          <w:tcPr>
            <w:tcW w:w="2558" w:type="dxa"/>
            <w:hideMark/>
          </w:tcPr>
          <w:p w:rsidR="00AE001B" w:rsidRPr="00B30577" w:rsidRDefault="00AE001B" w:rsidP="00E51EDD">
            <w:pPr>
              <w:spacing w:before="28" w:after="28" w:line="288" w:lineRule="atLeast"/>
              <w:textAlignment w:val="center"/>
              <w:rPr>
                <w:rFonts w:ascii="Arial" w:hAnsi="Arial" w:cs="Arial"/>
                <w:i/>
                <w:iCs/>
                <w:sz w:val="18"/>
                <w:szCs w:val="20"/>
                <w:lang w:eastAsia="es-CO"/>
              </w:rPr>
            </w:pPr>
            <w:r w:rsidRPr="00B30577">
              <w:rPr>
                <w:rFonts w:ascii="Arial" w:hAnsi="Arial" w:cs="Arial"/>
                <w:i/>
                <w:iCs/>
                <w:sz w:val="18"/>
                <w:szCs w:val="20"/>
                <w:lang w:eastAsia="es-CO"/>
              </w:rPr>
              <w:t>Porcentaje definido en el inciso 4 del artículo 361 de la CP</w:t>
            </w:r>
          </w:p>
        </w:tc>
      </w:tr>
      <w:tr w:rsidR="00AE001B" w:rsidRPr="00B30577" w:rsidTr="00E51EDD">
        <w:trPr>
          <w:trHeight w:val="510"/>
          <w:jc w:val="center"/>
        </w:trPr>
        <w:tc>
          <w:tcPr>
            <w:tcW w:w="1707" w:type="dxa"/>
            <w:vMerge/>
            <w:hideMark/>
          </w:tcPr>
          <w:p w:rsidR="00AE001B" w:rsidRPr="00B30577" w:rsidRDefault="00AE001B" w:rsidP="00E51EDD">
            <w:pPr>
              <w:spacing w:before="28" w:after="28" w:line="288" w:lineRule="atLeast"/>
              <w:textAlignment w:val="center"/>
              <w:rPr>
                <w:rFonts w:ascii="Arial" w:hAnsi="Arial" w:cs="Arial"/>
                <w:sz w:val="18"/>
                <w:szCs w:val="20"/>
                <w:lang w:eastAsia="es-CO"/>
              </w:rPr>
            </w:pPr>
          </w:p>
        </w:tc>
        <w:tc>
          <w:tcPr>
            <w:tcW w:w="2404" w:type="dxa"/>
            <w:noWrap/>
            <w:hideMark/>
          </w:tcPr>
          <w:p w:rsidR="00AE001B" w:rsidRPr="00B30577" w:rsidRDefault="00AE001B" w:rsidP="00E51EDD">
            <w:pPr>
              <w:spacing w:before="28" w:after="28" w:line="288" w:lineRule="atLeast"/>
              <w:textAlignment w:val="center"/>
              <w:rPr>
                <w:rFonts w:ascii="Arial" w:hAnsi="Arial" w:cs="Arial"/>
                <w:b/>
                <w:sz w:val="18"/>
                <w:szCs w:val="20"/>
                <w:lang w:eastAsia="es-CO"/>
              </w:rPr>
            </w:pPr>
            <w:r w:rsidRPr="00B30577">
              <w:rPr>
                <w:rFonts w:ascii="Arial" w:hAnsi="Arial" w:cs="Arial"/>
                <w:b/>
                <w:sz w:val="18"/>
                <w:szCs w:val="20"/>
                <w:lang w:eastAsia="es-CO"/>
              </w:rPr>
              <w:t>Ahorro pensional territorial</w:t>
            </w:r>
          </w:p>
        </w:tc>
        <w:tc>
          <w:tcPr>
            <w:tcW w:w="2142" w:type="dxa"/>
            <w:hideMark/>
          </w:tcPr>
          <w:p w:rsidR="00AE001B" w:rsidRPr="00B30577" w:rsidRDefault="00AE001B" w:rsidP="00E51EDD">
            <w:pPr>
              <w:spacing w:before="28" w:after="28" w:line="288" w:lineRule="atLeast"/>
              <w:textAlignment w:val="center"/>
              <w:rPr>
                <w:rFonts w:ascii="Arial" w:hAnsi="Arial" w:cs="Arial"/>
                <w:i/>
                <w:iCs/>
                <w:sz w:val="18"/>
                <w:szCs w:val="20"/>
                <w:lang w:eastAsia="es-CO"/>
              </w:rPr>
            </w:pPr>
            <w:r w:rsidRPr="00B30577">
              <w:rPr>
                <w:rFonts w:ascii="Arial" w:hAnsi="Arial" w:cs="Arial"/>
                <w:i/>
                <w:iCs/>
                <w:sz w:val="18"/>
                <w:szCs w:val="20"/>
                <w:lang w:eastAsia="es-CO"/>
              </w:rPr>
              <w:t>10% de ingresos después de descuentos</w:t>
            </w:r>
          </w:p>
        </w:tc>
        <w:tc>
          <w:tcPr>
            <w:tcW w:w="2558" w:type="dxa"/>
            <w:hideMark/>
          </w:tcPr>
          <w:p w:rsidR="00AE001B" w:rsidRPr="00B30577" w:rsidRDefault="00AE001B" w:rsidP="00E51EDD">
            <w:pPr>
              <w:spacing w:before="28" w:after="28" w:line="288" w:lineRule="atLeast"/>
              <w:textAlignment w:val="center"/>
              <w:rPr>
                <w:rFonts w:ascii="Arial" w:hAnsi="Arial" w:cs="Arial"/>
                <w:i/>
                <w:iCs/>
                <w:sz w:val="18"/>
                <w:szCs w:val="20"/>
                <w:lang w:eastAsia="es-CO"/>
              </w:rPr>
            </w:pPr>
            <w:r w:rsidRPr="00B30577">
              <w:rPr>
                <w:rFonts w:ascii="Arial" w:hAnsi="Arial" w:cs="Arial"/>
                <w:i/>
                <w:iCs/>
                <w:sz w:val="18"/>
                <w:szCs w:val="20"/>
                <w:lang w:eastAsia="es-CO"/>
              </w:rPr>
              <w:t>Porcentaje definido en el inciso 4 del artículo 361 de la CP</w:t>
            </w:r>
          </w:p>
        </w:tc>
      </w:tr>
      <w:tr w:rsidR="00AE001B" w:rsidRPr="00B30577" w:rsidTr="00E51EDD">
        <w:trPr>
          <w:trHeight w:val="1065"/>
          <w:jc w:val="center"/>
        </w:trPr>
        <w:tc>
          <w:tcPr>
            <w:tcW w:w="1707" w:type="dxa"/>
            <w:hideMark/>
          </w:tcPr>
          <w:p w:rsidR="00AE001B" w:rsidRPr="00B30577" w:rsidRDefault="00AE001B" w:rsidP="00E51EDD">
            <w:pPr>
              <w:spacing w:before="28" w:after="28" w:line="288" w:lineRule="atLeast"/>
              <w:textAlignment w:val="center"/>
              <w:rPr>
                <w:rFonts w:ascii="Arial" w:hAnsi="Arial" w:cs="Arial"/>
                <w:sz w:val="18"/>
                <w:szCs w:val="20"/>
                <w:lang w:eastAsia="es-CO"/>
              </w:rPr>
            </w:pPr>
            <w:r w:rsidRPr="00B30577">
              <w:rPr>
                <w:rFonts w:ascii="Arial" w:hAnsi="Arial" w:cs="Arial"/>
                <w:sz w:val="18"/>
                <w:szCs w:val="20"/>
                <w:lang w:eastAsia="es-CO"/>
              </w:rPr>
              <w:t>Conceptos atados al nivel de inversión del año anterior</w:t>
            </w:r>
          </w:p>
        </w:tc>
        <w:tc>
          <w:tcPr>
            <w:tcW w:w="2404" w:type="dxa"/>
            <w:hideMark/>
          </w:tcPr>
          <w:p w:rsidR="00AE001B" w:rsidRPr="00B30577" w:rsidRDefault="00AE001B" w:rsidP="00E51EDD">
            <w:pPr>
              <w:spacing w:before="28" w:after="28" w:line="288" w:lineRule="atLeast"/>
              <w:textAlignment w:val="center"/>
              <w:rPr>
                <w:rFonts w:ascii="Arial" w:hAnsi="Arial" w:cs="Arial"/>
                <w:sz w:val="18"/>
                <w:szCs w:val="20"/>
                <w:lang w:eastAsia="es-CO"/>
              </w:rPr>
            </w:pPr>
            <w:r w:rsidRPr="00B30577">
              <w:rPr>
                <w:rFonts w:ascii="Arial" w:hAnsi="Arial" w:cs="Arial"/>
                <w:b/>
                <w:sz w:val="18"/>
                <w:szCs w:val="20"/>
                <w:lang w:eastAsia="es-CO"/>
              </w:rPr>
              <w:t>Inversión regional</w:t>
            </w:r>
            <w:r w:rsidRPr="00B30577">
              <w:rPr>
                <w:rFonts w:ascii="Arial" w:hAnsi="Arial" w:cs="Arial"/>
                <w:sz w:val="18"/>
                <w:szCs w:val="20"/>
                <w:lang w:eastAsia="es-CO"/>
              </w:rPr>
              <w:t xml:space="preserve"> (Asignaciones Directas + Fondo de Desarrollo Regional + Fondo de Compensación Regional)</w:t>
            </w:r>
          </w:p>
        </w:tc>
        <w:tc>
          <w:tcPr>
            <w:tcW w:w="2142" w:type="dxa"/>
            <w:hideMark/>
          </w:tcPr>
          <w:p w:rsidR="00AE001B" w:rsidRPr="00B30577" w:rsidRDefault="00AE001B" w:rsidP="00E51EDD">
            <w:pPr>
              <w:spacing w:before="28" w:after="28" w:line="288" w:lineRule="atLeast"/>
              <w:textAlignment w:val="center"/>
              <w:rPr>
                <w:rFonts w:ascii="Arial" w:hAnsi="Arial" w:cs="Arial"/>
                <w:i/>
                <w:iCs/>
                <w:sz w:val="18"/>
                <w:szCs w:val="20"/>
                <w:lang w:eastAsia="es-CO"/>
              </w:rPr>
            </w:pPr>
            <w:r w:rsidRPr="00B30577">
              <w:rPr>
                <w:rFonts w:ascii="Arial" w:hAnsi="Arial" w:cs="Arial"/>
                <w:i/>
                <w:iCs/>
                <w:sz w:val="18"/>
                <w:szCs w:val="20"/>
                <w:lang w:eastAsia="es-CO"/>
              </w:rPr>
              <w:t>crece a la 1/2 de la tasa crecimiento del ingreso total</w:t>
            </w:r>
          </w:p>
        </w:tc>
        <w:tc>
          <w:tcPr>
            <w:tcW w:w="2558" w:type="dxa"/>
            <w:hideMark/>
          </w:tcPr>
          <w:p w:rsidR="00AE001B" w:rsidRPr="00B30577" w:rsidRDefault="00AE001B" w:rsidP="00E51EDD">
            <w:pPr>
              <w:spacing w:before="28" w:after="28" w:line="288" w:lineRule="atLeast"/>
              <w:textAlignment w:val="center"/>
              <w:rPr>
                <w:rFonts w:ascii="Arial" w:hAnsi="Arial" w:cs="Arial"/>
                <w:i/>
                <w:iCs/>
                <w:sz w:val="18"/>
                <w:szCs w:val="20"/>
                <w:lang w:eastAsia="es-CO"/>
              </w:rPr>
            </w:pPr>
            <w:r w:rsidRPr="00B30577">
              <w:rPr>
                <w:rFonts w:ascii="Arial" w:hAnsi="Arial" w:cs="Arial"/>
                <w:i/>
                <w:iCs/>
                <w:sz w:val="18"/>
                <w:szCs w:val="20"/>
                <w:lang w:eastAsia="es-CO"/>
              </w:rPr>
              <w:t>Regla definida en el inciso 6 del artículo 361 de la CP</w:t>
            </w:r>
          </w:p>
        </w:tc>
      </w:tr>
      <w:tr w:rsidR="00AE001B" w:rsidRPr="00B30577" w:rsidTr="00E51EDD">
        <w:trPr>
          <w:trHeight w:val="411"/>
          <w:jc w:val="center"/>
        </w:trPr>
        <w:tc>
          <w:tcPr>
            <w:tcW w:w="1707" w:type="dxa"/>
            <w:hideMark/>
          </w:tcPr>
          <w:p w:rsidR="00AE001B" w:rsidRPr="00B30577" w:rsidRDefault="00AE001B" w:rsidP="00E51EDD">
            <w:pPr>
              <w:spacing w:before="28" w:after="28" w:line="288" w:lineRule="atLeast"/>
              <w:textAlignment w:val="center"/>
              <w:rPr>
                <w:rFonts w:ascii="Arial" w:hAnsi="Arial" w:cs="Arial"/>
                <w:sz w:val="18"/>
                <w:szCs w:val="20"/>
                <w:lang w:eastAsia="es-CO"/>
              </w:rPr>
            </w:pPr>
            <w:r w:rsidRPr="00B30577">
              <w:rPr>
                <w:rFonts w:ascii="Arial" w:hAnsi="Arial" w:cs="Arial"/>
                <w:sz w:val="18"/>
                <w:szCs w:val="20"/>
                <w:lang w:eastAsia="es-CO"/>
              </w:rPr>
              <w:lastRenderedPageBreak/>
              <w:t>Concepto que se estima como residual</w:t>
            </w:r>
          </w:p>
        </w:tc>
        <w:tc>
          <w:tcPr>
            <w:tcW w:w="2404" w:type="dxa"/>
            <w:noWrap/>
            <w:hideMark/>
          </w:tcPr>
          <w:p w:rsidR="00AE001B" w:rsidRPr="00B30577" w:rsidRDefault="00AE001B" w:rsidP="00E51EDD">
            <w:pPr>
              <w:spacing w:before="28" w:after="28" w:line="288" w:lineRule="atLeast"/>
              <w:textAlignment w:val="center"/>
              <w:rPr>
                <w:rFonts w:ascii="Arial" w:hAnsi="Arial" w:cs="Arial"/>
                <w:b/>
                <w:sz w:val="18"/>
                <w:szCs w:val="20"/>
                <w:lang w:eastAsia="es-CO"/>
              </w:rPr>
            </w:pPr>
            <w:r w:rsidRPr="00B30577">
              <w:rPr>
                <w:rFonts w:ascii="Arial" w:hAnsi="Arial" w:cs="Arial"/>
                <w:b/>
                <w:sz w:val="18"/>
                <w:szCs w:val="20"/>
                <w:lang w:eastAsia="es-CO"/>
              </w:rPr>
              <w:t>Fondo de Ahorro y Estabilización - FAE</w:t>
            </w:r>
          </w:p>
        </w:tc>
        <w:tc>
          <w:tcPr>
            <w:tcW w:w="2142" w:type="dxa"/>
            <w:hideMark/>
          </w:tcPr>
          <w:p w:rsidR="00AE001B" w:rsidRPr="00B30577" w:rsidRDefault="00AE001B" w:rsidP="00E51EDD">
            <w:pPr>
              <w:spacing w:before="28" w:after="28" w:line="288" w:lineRule="atLeast"/>
              <w:textAlignment w:val="center"/>
              <w:rPr>
                <w:rFonts w:ascii="Arial" w:hAnsi="Arial" w:cs="Arial"/>
                <w:i/>
                <w:iCs/>
                <w:sz w:val="18"/>
                <w:szCs w:val="20"/>
                <w:lang w:eastAsia="es-CO"/>
              </w:rPr>
            </w:pPr>
            <w:r w:rsidRPr="00B30577">
              <w:rPr>
                <w:rFonts w:ascii="Arial" w:hAnsi="Arial" w:cs="Arial"/>
                <w:i/>
                <w:iCs/>
                <w:sz w:val="18"/>
                <w:szCs w:val="20"/>
                <w:lang w:eastAsia="es-CO"/>
              </w:rPr>
              <w:t>- Diferencia entre los ingresos después de descuentos y los demás conceptos de gasto.</w:t>
            </w:r>
          </w:p>
        </w:tc>
        <w:tc>
          <w:tcPr>
            <w:tcW w:w="2558" w:type="dxa"/>
            <w:hideMark/>
          </w:tcPr>
          <w:p w:rsidR="00AE001B" w:rsidRPr="00B30577" w:rsidRDefault="00AE001B" w:rsidP="00E51EDD">
            <w:pPr>
              <w:spacing w:before="28" w:after="28" w:line="288" w:lineRule="atLeast"/>
              <w:textAlignment w:val="center"/>
              <w:rPr>
                <w:rFonts w:ascii="Arial" w:hAnsi="Arial" w:cs="Arial"/>
                <w:i/>
                <w:iCs/>
                <w:sz w:val="18"/>
                <w:szCs w:val="20"/>
                <w:lang w:eastAsia="es-CO"/>
              </w:rPr>
            </w:pPr>
            <w:r w:rsidRPr="00B30577">
              <w:rPr>
                <w:rFonts w:ascii="Arial" w:hAnsi="Arial" w:cs="Arial"/>
                <w:i/>
                <w:iCs/>
                <w:sz w:val="18"/>
                <w:szCs w:val="20"/>
                <w:lang w:eastAsia="es-CO"/>
              </w:rPr>
              <w:t>Regla definida en el inciso 7 del artículo 361 de la CP.</w:t>
            </w:r>
          </w:p>
        </w:tc>
      </w:tr>
    </w:tbl>
    <w:p w:rsidR="00AE001B" w:rsidRPr="00B30577" w:rsidRDefault="00AE001B" w:rsidP="00AE001B">
      <w:pPr>
        <w:spacing w:before="28" w:after="28" w:line="288" w:lineRule="atLeast"/>
        <w:textAlignment w:val="center"/>
        <w:rPr>
          <w:rFonts w:ascii="Arial" w:hAnsi="Arial" w:cs="Arial"/>
          <w:sz w:val="24"/>
          <w:lang w:eastAsia="es-CO"/>
        </w:rPr>
      </w:pPr>
    </w:p>
    <w:p w:rsidR="00AE001B" w:rsidRPr="001E2987" w:rsidRDefault="00AE001B" w:rsidP="00AE001B">
      <w:pPr>
        <w:spacing w:before="28" w:after="28" w:line="288" w:lineRule="atLeast"/>
        <w:jc w:val="both"/>
        <w:textAlignment w:val="center"/>
        <w:rPr>
          <w:rFonts w:ascii="Arial" w:hAnsi="Arial" w:cs="Arial"/>
          <w:lang w:eastAsia="es-CO"/>
        </w:rPr>
      </w:pPr>
      <w:r>
        <w:rPr>
          <w:rFonts w:ascii="Arial" w:hAnsi="Arial" w:cs="Arial"/>
          <w:lang w:eastAsia="es-CO"/>
        </w:rPr>
        <w:t>L</w:t>
      </w:r>
      <w:r w:rsidRPr="001E2987">
        <w:rPr>
          <w:rFonts w:ascii="Arial" w:hAnsi="Arial" w:cs="Arial"/>
          <w:lang w:eastAsia="es-CO"/>
        </w:rPr>
        <w:t xml:space="preserve">a equidad intergeneracional, entendida como el equilibrio entre los niveles de inversión y de ahorro del SGR, está determinada por el ciclo de ingresos del sector minero-energético, ahorrando más en el FAE en momentos de alto ingreso y ahorrando menos o incluso </w:t>
      </w:r>
      <w:proofErr w:type="spellStart"/>
      <w:r w:rsidRPr="001E2987">
        <w:rPr>
          <w:rFonts w:ascii="Arial" w:hAnsi="Arial" w:cs="Arial"/>
          <w:lang w:eastAsia="es-CO"/>
        </w:rPr>
        <w:t>desahorrando</w:t>
      </w:r>
      <w:proofErr w:type="spellEnd"/>
      <w:r w:rsidRPr="001E2987">
        <w:rPr>
          <w:rFonts w:ascii="Arial" w:hAnsi="Arial" w:cs="Arial"/>
          <w:lang w:eastAsia="es-CO"/>
        </w:rPr>
        <w:t xml:space="preserve"> en momentos de bajos ingresos</w:t>
      </w:r>
      <w:r>
        <w:rPr>
          <w:rFonts w:ascii="Arial" w:hAnsi="Arial" w:cs="Arial"/>
          <w:lang w:eastAsia="es-CO"/>
        </w:rPr>
        <w:t>. La equidad intergeneracional también supone una</w:t>
      </w:r>
      <w:r w:rsidRPr="001E2987">
        <w:rPr>
          <w:rFonts w:ascii="Arial" w:hAnsi="Arial" w:cs="Arial"/>
          <w:lang w:eastAsia="es-CO"/>
        </w:rPr>
        <w:t xml:space="preserve"> senda de inversión que se requiere mantener a lo largo del tiempo, para generar las condiciones de competitividad y desarrollo social y ambiental necesarias para construir una economía más estable y sostenible, y una sociedad más justa e igualitaria.</w:t>
      </w:r>
    </w:p>
    <w:p w:rsidR="00AE001B" w:rsidRPr="001E2987" w:rsidRDefault="00AE001B" w:rsidP="00AE001B">
      <w:pPr>
        <w:spacing w:before="28" w:after="28" w:line="288" w:lineRule="atLeast"/>
        <w:jc w:val="both"/>
        <w:textAlignment w:val="center"/>
        <w:rPr>
          <w:rFonts w:ascii="Arial" w:hAnsi="Arial" w:cs="Arial"/>
          <w:lang w:eastAsia="es-CO"/>
        </w:rPr>
      </w:pPr>
    </w:p>
    <w:p w:rsidR="00AE001B" w:rsidRPr="001E2987" w:rsidRDefault="00AE001B" w:rsidP="00AE001B">
      <w:pPr>
        <w:spacing w:before="28" w:after="28" w:line="288" w:lineRule="atLeast"/>
        <w:jc w:val="both"/>
        <w:textAlignment w:val="center"/>
        <w:rPr>
          <w:rFonts w:ascii="Arial" w:hAnsi="Arial" w:cs="Arial"/>
          <w:lang w:eastAsia="es-CO"/>
        </w:rPr>
      </w:pPr>
      <w:r w:rsidRPr="001E2987">
        <w:rPr>
          <w:rFonts w:ascii="Arial" w:hAnsi="Arial" w:cs="Arial"/>
          <w:lang w:eastAsia="es-CO"/>
        </w:rPr>
        <w:t xml:space="preserve">Los retos que nos plantea el cumplimiento del Acuerdo Final, hacen necesario </w:t>
      </w:r>
      <w:r>
        <w:rPr>
          <w:rFonts w:ascii="Arial" w:hAnsi="Arial" w:cs="Arial"/>
          <w:lang w:eastAsia="es-CO"/>
        </w:rPr>
        <w:t>elevar</w:t>
      </w:r>
      <w:r w:rsidRPr="001E2987">
        <w:rPr>
          <w:rFonts w:ascii="Arial" w:hAnsi="Arial" w:cs="Arial"/>
          <w:lang w:eastAsia="es-CO"/>
        </w:rPr>
        <w:t xml:space="preserve"> </w:t>
      </w:r>
      <w:r>
        <w:rPr>
          <w:rFonts w:ascii="Arial" w:hAnsi="Arial" w:cs="Arial"/>
          <w:lang w:eastAsia="es-CO"/>
        </w:rPr>
        <w:t>el</w:t>
      </w:r>
      <w:r w:rsidRPr="001E2987">
        <w:rPr>
          <w:rFonts w:ascii="Arial" w:hAnsi="Arial" w:cs="Arial"/>
          <w:lang w:eastAsia="es-CO"/>
        </w:rPr>
        <w:t xml:space="preserve"> nivel de la senda de inversión</w:t>
      </w:r>
      <w:r>
        <w:rPr>
          <w:rFonts w:ascii="Arial" w:hAnsi="Arial" w:cs="Arial"/>
          <w:lang w:eastAsia="es-CO"/>
        </w:rPr>
        <w:t>,</w:t>
      </w:r>
      <w:r w:rsidRPr="001E2987">
        <w:rPr>
          <w:rFonts w:ascii="Arial" w:hAnsi="Arial" w:cs="Arial"/>
          <w:lang w:eastAsia="es-CO"/>
        </w:rPr>
        <w:t xml:space="preserve"> </w:t>
      </w:r>
      <w:r>
        <w:rPr>
          <w:rFonts w:ascii="Arial" w:hAnsi="Arial" w:cs="Arial"/>
          <w:lang w:eastAsia="es-CO"/>
        </w:rPr>
        <w:t>así como</w:t>
      </w:r>
      <w:r w:rsidRPr="001E2987">
        <w:rPr>
          <w:rFonts w:ascii="Arial" w:hAnsi="Arial" w:cs="Arial"/>
          <w:lang w:eastAsia="es-CO"/>
        </w:rPr>
        <w:t xml:space="preserve"> replantear los </w:t>
      </w:r>
      <w:r>
        <w:rPr>
          <w:rFonts w:ascii="Arial" w:hAnsi="Arial" w:cs="Arial"/>
          <w:lang w:eastAsia="es-CO"/>
        </w:rPr>
        <w:t>criterios</w:t>
      </w:r>
      <w:r w:rsidRPr="001E2987">
        <w:rPr>
          <w:rFonts w:ascii="Arial" w:hAnsi="Arial" w:cs="Arial"/>
          <w:lang w:eastAsia="es-CO"/>
        </w:rPr>
        <w:t xml:space="preserve"> </w:t>
      </w:r>
      <w:r>
        <w:rPr>
          <w:rFonts w:ascii="Arial" w:hAnsi="Arial" w:cs="Arial"/>
          <w:lang w:eastAsia="es-CO"/>
        </w:rPr>
        <w:t xml:space="preserve">de </w:t>
      </w:r>
      <w:r w:rsidRPr="001E2987">
        <w:rPr>
          <w:rFonts w:ascii="Arial" w:hAnsi="Arial" w:cs="Arial"/>
          <w:lang w:eastAsia="es-CO"/>
        </w:rPr>
        <w:t>focalización de los recursos del SGR a nivel territorial y sectorial.</w:t>
      </w:r>
    </w:p>
    <w:p w:rsidR="00AE001B" w:rsidRPr="001E2987" w:rsidRDefault="00AE001B" w:rsidP="00AE001B">
      <w:pPr>
        <w:spacing w:before="28" w:after="28" w:line="288" w:lineRule="atLeast"/>
        <w:textAlignment w:val="center"/>
        <w:rPr>
          <w:rFonts w:ascii="Arial" w:hAnsi="Arial" w:cs="Arial"/>
          <w:lang w:eastAsia="es-CO"/>
        </w:rPr>
      </w:pPr>
    </w:p>
    <w:p w:rsidR="00AE001B" w:rsidRPr="0022531E" w:rsidRDefault="00AE001B" w:rsidP="00AE001B">
      <w:pPr>
        <w:pStyle w:val="Prrafodelista"/>
        <w:numPr>
          <w:ilvl w:val="1"/>
          <w:numId w:val="2"/>
        </w:numPr>
        <w:spacing w:before="28" w:after="28" w:line="288" w:lineRule="atLeast"/>
        <w:textAlignment w:val="center"/>
        <w:rPr>
          <w:rFonts w:ascii="Arial" w:hAnsi="Arial" w:cs="Arial"/>
          <w:b/>
          <w:lang w:eastAsia="es-CO"/>
        </w:rPr>
      </w:pPr>
      <w:r w:rsidRPr="0022531E">
        <w:rPr>
          <w:rFonts w:ascii="Arial" w:hAnsi="Arial" w:cs="Arial"/>
          <w:b/>
          <w:lang w:eastAsia="es-CO"/>
        </w:rPr>
        <w:t>Focalización geográfica de los recursos de inversión del SGR</w:t>
      </w:r>
    </w:p>
    <w:p w:rsidR="00AE001B" w:rsidRPr="0022531E" w:rsidRDefault="00AE001B" w:rsidP="00AE001B">
      <w:pPr>
        <w:spacing w:before="28" w:after="28" w:line="288" w:lineRule="atLeast"/>
        <w:jc w:val="both"/>
        <w:textAlignment w:val="center"/>
        <w:rPr>
          <w:rFonts w:ascii="Arial" w:hAnsi="Arial" w:cs="Arial"/>
          <w:lang w:eastAsia="es-CO"/>
        </w:rPr>
      </w:pPr>
    </w:p>
    <w:p w:rsidR="00AE001B" w:rsidRPr="0022531E" w:rsidRDefault="00AE001B" w:rsidP="00AE001B">
      <w:pPr>
        <w:spacing w:before="28" w:after="28" w:line="288" w:lineRule="atLeast"/>
        <w:jc w:val="both"/>
        <w:textAlignment w:val="center"/>
        <w:rPr>
          <w:rFonts w:ascii="Arial" w:hAnsi="Arial" w:cs="Arial"/>
          <w:lang w:eastAsia="es-CO"/>
        </w:rPr>
      </w:pPr>
      <w:r>
        <w:rPr>
          <w:rFonts w:ascii="Arial" w:hAnsi="Arial" w:cs="Arial"/>
          <w:lang w:eastAsia="es-CO"/>
        </w:rPr>
        <w:t>La</w:t>
      </w:r>
      <w:r w:rsidRPr="0022531E">
        <w:rPr>
          <w:rFonts w:ascii="Arial" w:hAnsi="Arial" w:cs="Arial"/>
          <w:lang w:eastAsia="es-CO"/>
        </w:rPr>
        <w:t xml:space="preserve"> equidad regional</w:t>
      </w:r>
      <w:r>
        <w:rPr>
          <w:rFonts w:ascii="Arial" w:hAnsi="Arial" w:cs="Arial"/>
          <w:lang w:eastAsia="es-CO"/>
        </w:rPr>
        <w:t xml:space="preserve"> del SGR se materializa en </w:t>
      </w:r>
      <w:r w:rsidRPr="0022531E">
        <w:rPr>
          <w:rFonts w:ascii="Arial" w:hAnsi="Arial" w:cs="Arial"/>
          <w:lang w:eastAsia="es-CO"/>
        </w:rPr>
        <w:t xml:space="preserve">la </w:t>
      </w:r>
      <w:r>
        <w:rPr>
          <w:rFonts w:ascii="Arial" w:hAnsi="Arial" w:cs="Arial"/>
          <w:lang w:eastAsia="es-CO"/>
        </w:rPr>
        <w:t xml:space="preserve">profunda </w:t>
      </w:r>
      <w:r w:rsidRPr="0022531E">
        <w:rPr>
          <w:rFonts w:ascii="Arial" w:hAnsi="Arial" w:cs="Arial"/>
          <w:lang w:eastAsia="es-CO"/>
        </w:rPr>
        <w:t>desconcentración territorial de los ingresos de regalías</w:t>
      </w:r>
      <w:r>
        <w:rPr>
          <w:rFonts w:ascii="Arial" w:hAnsi="Arial" w:cs="Arial"/>
          <w:lang w:eastAsia="es-CO"/>
        </w:rPr>
        <w:t xml:space="preserve">. </w:t>
      </w:r>
      <w:r w:rsidRPr="0022531E">
        <w:rPr>
          <w:rFonts w:ascii="Arial" w:hAnsi="Arial" w:cs="Arial"/>
          <w:lang w:eastAsia="es-CO"/>
        </w:rPr>
        <w:t>Hoy en día, el 99,5% de las entidades territoriales del país reciben alguna asignación del SGR para financiar los proyectos de inversión local o regional prioritarios para avanzar en sus planes de desarrollo</w:t>
      </w:r>
      <w:r w:rsidRPr="0022531E">
        <w:rPr>
          <w:rStyle w:val="Refdenotaalpie"/>
          <w:rFonts w:ascii="Arial" w:hAnsi="Arial" w:cs="Arial"/>
          <w:lang w:eastAsia="es-CO"/>
        </w:rPr>
        <w:footnoteReference w:id="4"/>
      </w:r>
      <w:r w:rsidRPr="0022531E">
        <w:rPr>
          <w:rFonts w:ascii="Arial" w:hAnsi="Arial" w:cs="Arial"/>
          <w:lang w:eastAsia="es-CO"/>
        </w:rPr>
        <w:t>.</w:t>
      </w:r>
    </w:p>
    <w:p w:rsidR="00AE001B" w:rsidRPr="0022531E" w:rsidRDefault="00AE001B" w:rsidP="00AE001B">
      <w:pPr>
        <w:spacing w:before="28" w:after="28" w:line="288" w:lineRule="atLeast"/>
        <w:jc w:val="both"/>
        <w:textAlignment w:val="center"/>
        <w:rPr>
          <w:rFonts w:ascii="Arial" w:hAnsi="Arial" w:cs="Arial"/>
          <w:lang w:eastAsia="es-CO"/>
        </w:rPr>
      </w:pPr>
    </w:p>
    <w:p w:rsidR="00AE001B" w:rsidRPr="0022531E" w:rsidRDefault="00AE001B" w:rsidP="00AE001B">
      <w:pPr>
        <w:spacing w:before="28" w:after="28" w:line="288" w:lineRule="atLeast"/>
        <w:jc w:val="both"/>
        <w:textAlignment w:val="center"/>
        <w:rPr>
          <w:rFonts w:ascii="Arial" w:hAnsi="Arial" w:cs="Arial"/>
          <w:lang w:eastAsia="es-CO"/>
        </w:rPr>
      </w:pPr>
      <w:r>
        <w:rPr>
          <w:rFonts w:ascii="Arial" w:hAnsi="Arial" w:cs="Arial"/>
          <w:lang w:eastAsia="es-CO"/>
        </w:rPr>
        <w:t>Ahora, c</w:t>
      </w:r>
      <w:r w:rsidRPr="0022531E">
        <w:rPr>
          <w:rFonts w:ascii="Arial" w:hAnsi="Arial" w:cs="Arial"/>
          <w:lang w:eastAsia="es-CO"/>
        </w:rPr>
        <w:t xml:space="preserve">ada asignación </w:t>
      </w:r>
      <w:r>
        <w:rPr>
          <w:rFonts w:ascii="Arial" w:hAnsi="Arial" w:cs="Arial"/>
          <w:lang w:eastAsia="es-CO"/>
        </w:rPr>
        <w:t xml:space="preserve">dentro del Sistema </w:t>
      </w:r>
      <w:r w:rsidRPr="0022531E">
        <w:rPr>
          <w:rFonts w:ascii="Arial" w:hAnsi="Arial" w:cs="Arial"/>
          <w:lang w:eastAsia="es-CO"/>
        </w:rPr>
        <w:t>privilegia unos criterios de distribución entre entidades territoriales, según los objetivos específicos del SGR que busca cumplir:</w:t>
      </w:r>
    </w:p>
    <w:p w:rsidR="00AE001B" w:rsidRPr="0022531E" w:rsidRDefault="00AE001B" w:rsidP="00AE001B">
      <w:pPr>
        <w:spacing w:before="28" w:after="28" w:line="288" w:lineRule="atLeast"/>
        <w:jc w:val="both"/>
        <w:textAlignment w:val="center"/>
        <w:rPr>
          <w:rFonts w:ascii="Arial" w:hAnsi="Arial" w:cs="Arial"/>
          <w:sz w:val="20"/>
          <w:lang w:eastAsia="es-CO"/>
        </w:rPr>
      </w:pPr>
    </w:p>
    <w:p w:rsidR="00AE001B" w:rsidRPr="004312C8" w:rsidRDefault="00AE001B" w:rsidP="00AE001B">
      <w:pPr>
        <w:pStyle w:val="Prrafodelista"/>
        <w:numPr>
          <w:ilvl w:val="0"/>
          <w:numId w:val="8"/>
        </w:numPr>
        <w:spacing w:before="28" w:after="28" w:line="288" w:lineRule="atLeast"/>
        <w:jc w:val="both"/>
        <w:textAlignment w:val="center"/>
        <w:rPr>
          <w:rFonts w:ascii="Arial" w:hAnsi="Arial" w:cs="Arial"/>
          <w:sz w:val="20"/>
          <w:lang w:eastAsia="es-CO"/>
        </w:rPr>
      </w:pPr>
      <w:r w:rsidRPr="004312C8">
        <w:rPr>
          <w:rFonts w:ascii="Arial" w:hAnsi="Arial" w:cs="Arial"/>
          <w:b/>
          <w:sz w:val="20"/>
          <w:lang w:eastAsia="es-CO"/>
        </w:rPr>
        <w:t>Asignaciones directas:</w:t>
      </w:r>
      <w:r w:rsidRPr="004312C8">
        <w:rPr>
          <w:rFonts w:ascii="Arial" w:hAnsi="Arial" w:cs="Arial"/>
          <w:sz w:val="20"/>
          <w:lang w:eastAsia="es-CO"/>
        </w:rPr>
        <w:t xml:space="preserve"> se centran en la </w:t>
      </w:r>
      <w:r w:rsidRPr="004312C8">
        <w:rPr>
          <w:rFonts w:ascii="Arial" w:hAnsi="Arial" w:cs="Arial"/>
          <w:sz w:val="20"/>
          <w:u w:val="single"/>
          <w:lang w:eastAsia="es-CO"/>
        </w:rPr>
        <w:t xml:space="preserve">restauración ambiental, social y económica de </w:t>
      </w:r>
      <w:r>
        <w:rPr>
          <w:rFonts w:ascii="Arial" w:hAnsi="Arial" w:cs="Arial"/>
          <w:sz w:val="20"/>
          <w:u w:val="single"/>
          <w:lang w:eastAsia="es-CO"/>
        </w:rPr>
        <w:t>los</w:t>
      </w:r>
      <w:r w:rsidRPr="004312C8">
        <w:rPr>
          <w:rFonts w:ascii="Arial" w:hAnsi="Arial" w:cs="Arial"/>
          <w:sz w:val="20"/>
          <w:u w:val="single"/>
          <w:lang w:eastAsia="es-CO"/>
        </w:rPr>
        <w:t xml:space="preserve"> territorios</w:t>
      </w:r>
      <w:r>
        <w:rPr>
          <w:rFonts w:ascii="Arial" w:hAnsi="Arial" w:cs="Arial"/>
          <w:sz w:val="20"/>
          <w:u w:val="single"/>
          <w:lang w:eastAsia="es-CO"/>
        </w:rPr>
        <w:t xml:space="preserve"> en donde se realiza la explotación de los recursos naturales no renovables (RNNR) y donde se transportan los mismos</w:t>
      </w:r>
      <w:r w:rsidRPr="004312C8">
        <w:rPr>
          <w:rFonts w:ascii="Arial" w:hAnsi="Arial" w:cs="Arial"/>
          <w:sz w:val="20"/>
          <w:lang w:eastAsia="es-CO"/>
        </w:rPr>
        <w:t xml:space="preserve">.   La distribución entre entidades territoriales depende de sus niveles de producción y del recurso natural no renovable explotado. </w:t>
      </w:r>
    </w:p>
    <w:p w:rsidR="00AE001B" w:rsidRPr="004312C8" w:rsidRDefault="00AE001B" w:rsidP="00AE001B">
      <w:pPr>
        <w:spacing w:before="28" w:after="28" w:line="288" w:lineRule="atLeast"/>
        <w:jc w:val="both"/>
        <w:textAlignment w:val="center"/>
        <w:rPr>
          <w:rFonts w:ascii="Arial" w:hAnsi="Arial" w:cs="Arial"/>
          <w:sz w:val="20"/>
          <w:lang w:eastAsia="es-CO"/>
        </w:rPr>
      </w:pPr>
    </w:p>
    <w:p w:rsidR="00AE001B" w:rsidRPr="004312C8" w:rsidRDefault="00AE001B" w:rsidP="00AE001B">
      <w:pPr>
        <w:pStyle w:val="Prrafodelista"/>
        <w:numPr>
          <w:ilvl w:val="0"/>
          <w:numId w:val="8"/>
        </w:numPr>
        <w:spacing w:before="28" w:after="28" w:line="288" w:lineRule="atLeast"/>
        <w:jc w:val="both"/>
        <w:textAlignment w:val="center"/>
        <w:rPr>
          <w:rFonts w:ascii="Arial" w:hAnsi="Arial" w:cs="Arial"/>
          <w:sz w:val="20"/>
          <w:lang w:eastAsia="es-CO"/>
        </w:rPr>
      </w:pPr>
      <w:r w:rsidRPr="004312C8">
        <w:rPr>
          <w:rFonts w:ascii="Arial" w:hAnsi="Arial" w:cs="Arial"/>
          <w:b/>
          <w:sz w:val="20"/>
          <w:lang w:eastAsia="es-CO"/>
        </w:rPr>
        <w:t>Fondo de Desarrollo Regional</w:t>
      </w:r>
      <w:r w:rsidRPr="004312C8">
        <w:rPr>
          <w:rFonts w:ascii="Arial" w:hAnsi="Arial" w:cs="Arial"/>
          <w:sz w:val="20"/>
          <w:lang w:eastAsia="es-CO"/>
        </w:rPr>
        <w:t xml:space="preserve">: tiene por objeto </w:t>
      </w:r>
      <w:r w:rsidRPr="004312C8">
        <w:rPr>
          <w:rFonts w:ascii="Arial" w:hAnsi="Arial" w:cs="Arial"/>
          <w:sz w:val="20"/>
          <w:u w:val="single"/>
          <w:lang w:eastAsia="es-CO"/>
        </w:rPr>
        <w:t>mejorar la competitividad de la economía, a través de la financiación de proyectos de inversión regionales</w:t>
      </w:r>
      <w:r w:rsidRPr="004312C8">
        <w:rPr>
          <w:rFonts w:ascii="Arial" w:hAnsi="Arial" w:cs="Arial"/>
          <w:sz w:val="20"/>
          <w:lang w:eastAsia="es-CO"/>
        </w:rPr>
        <w:t xml:space="preserve">.  Un 60% de sus recursos se distribuye entre departamentos según su peso en la población del país y el 40% restante según su nivel de pobreza relativa (medida con el </w:t>
      </w:r>
      <w:r>
        <w:rPr>
          <w:rFonts w:ascii="Arial" w:hAnsi="Arial" w:cs="Arial"/>
          <w:sz w:val="20"/>
          <w:lang w:eastAsia="es-CO"/>
        </w:rPr>
        <w:t xml:space="preserve">Índice de Necesidades Básicas Insatisfechas </w:t>
      </w:r>
      <w:r w:rsidRPr="004312C8">
        <w:rPr>
          <w:rFonts w:ascii="Arial" w:hAnsi="Arial" w:cs="Arial"/>
          <w:sz w:val="20"/>
          <w:lang w:eastAsia="es-CO"/>
        </w:rPr>
        <w:t>NBI departamental).</w:t>
      </w:r>
    </w:p>
    <w:p w:rsidR="00AE001B" w:rsidRPr="004312C8" w:rsidRDefault="00AE001B" w:rsidP="00AE001B">
      <w:pPr>
        <w:pStyle w:val="Prrafodelista"/>
        <w:rPr>
          <w:rFonts w:ascii="Arial" w:hAnsi="Arial" w:cs="Arial"/>
          <w:sz w:val="20"/>
          <w:lang w:eastAsia="es-CO"/>
        </w:rPr>
      </w:pPr>
    </w:p>
    <w:p w:rsidR="00AE001B" w:rsidRPr="004312C8" w:rsidRDefault="00AE001B" w:rsidP="00AE001B">
      <w:pPr>
        <w:pStyle w:val="Prrafodelista"/>
        <w:numPr>
          <w:ilvl w:val="0"/>
          <w:numId w:val="8"/>
        </w:numPr>
        <w:spacing w:before="28" w:after="28" w:line="288" w:lineRule="atLeast"/>
        <w:jc w:val="both"/>
        <w:textAlignment w:val="center"/>
        <w:rPr>
          <w:rFonts w:ascii="Arial" w:hAnsi="Arial" w:cs="Arial"/>
          <w:sz w:val="20"/>
          <w:lang w:eastAsia="es-CO"/>
        </w:rPr>
      </w:pPr>
      <w:r w:rsidRPr="004312C8">
        <w:rPr>
          <w:rFonts w:ascii="Arial" w:hAnsi="Arial" w:cs="Arial"/>
          <w:b/>
          <w:sz w:val="20"/>
          <w:lang w:eastAsia="es-CO"/>
        </w:rPr>
        <w:lastRenderedPageBreak/>
        <w:t>Fondo de Compensación Regional:</w:t>
      </w:r>
      <w:r w:rsidRPr="004312C8">
        <w:rPr>
          <w:rFonts w:ascii="Arial" w:hAnsi="Arial" w:cs="Arial"/>
          <w:sz w:val="20"/>
          <w:lang w:eastAsia="es-CO"/>
        </w:rPr>
        <w:t xml:space="preserve"> la prioridad de este Fondo es la financiación de proyectos de inversión en </w:t>
      </w:r>
      <w:r w:rsidRPr="004312C8">
        <w:rPr>
          <w:rFonts w:ascii="Arial" w:hAnsi="Arial" w:cs="Arial"/>
          <w:sz w:val="20"/>
          <w:u w:val="single"/>
          <w:lang w:eastAsia="es-CO"/>
        </w:rPr>
        <w:t>las entidades territoriales más pobres del país</w:t>
      </w:r>
      <w:r w:rsidRPr="004312C8">
        <w:rPr>
          <w:rFonts w:ascii="Arial" w:hAnsi="Arial" w:cs="Arial"/>
          <w:sz w:val="20"/>
          <w:lang w:eastAsia="es-CO"/>
        </w:rPr>
        <w:t>, bajo criterios de necesidades básicas insatisfechas, población y desempleo.  El 60% de sus recursos se distribuye entre departamentos atendiendo tanto sus niveles de pobreza departamental como los niveles de pobreza de sus municipios.  El 40% restante se distribuye entre los municipios del país con un NBI mayor al 35%, de manera proporcional a su población, y los municipios con NBI menores a 35%, clasificados en categoría 4, 5 y 6.</w:t>
      </w:r>
    </w:p>
    <w:p w:rsidR="00AE001B" w:rsidRPr="004312C8" w:rsidRDefault="00AE001B" w:rsidP="00AE001B">
      <w:pPr>
        <w:pStyle w:val="Prrafodelista"/>
        <w:rPr>
          <w:rFonts w:ascii="Arial" w:hAnsi="Arial" w:cs="Arial"/>
          <w:sz w:val="20"/>
          <w:lang w:eastAsia="es-CO"/>
        </w:rPr>
      </w:pPr>
    </w:p>
    <w:p w:rsidR="00AE001B" w:rsidRPr="004312C8" w:rsidRDefault="00AE001B" w:rsidP="00AE001B">
      <w:pPr>
        <w:pStyle w:val="Prrafodelista"/>
        <w:numPr>
          <w:ilvl w:val="0"/>
          <w:numId w:val="8"/>
        </w:numPr>
        <w:spacing w:before="28" w:after="28" w:line="288" w:lineRule="atLeast"/>
        <w:jc w:val="both"/>
        <w:textAlignment w:val="center"/>
        <w:rPr>
          <w:rFonts w:ascii="Arial" w:hAnsi="Arial" w:cs="Arial"/>
          <w:b/>
          <w:sz w:val="20"/>
          <w:lang w:eastAsia="es-CO"/>
        </w:rPr>
      </w:pPr>
      <w:r w:rsidRPr="004312C8">
        <w:rPr>
          <w:rFonts w:ascii="Arial" w:hAnsi="Arial" w:cs="Arial"/>
          <w:b/>
          <w:sz w:val="20"/>
          <w:lang w:eastAsia="es-CO"/>
        </w:rPr>
        <w:t>Fondo de Ciencia, Tecnología e Innovación.</w:t>
      </w:r>
      <w:r w:rsidRPr="004312C8">
        <w:rPr>
          <w:rFonts w:ascii="Arial" w:hAnsi="Arial" w:cs="Arial"/>
          <w:sz w:val="20"/>
          <w:lang w:eastAsia="es-CO"/>
        </w:rPr>
        <w:t xml:space="preserve"> Tiene como objeto </w:t>
      </w:r>
      <w:r w:rsidRPr="004312C8">
        <w:rPr>
          <w:rFonts w:ascii="Arial" w:hAnsi="Arial" w:cs="Arial"/>
          <w:sz w:val="20"/>
          <w:u w:val="single"/>
          <w:lang w:eastAsia="es-CO"/>
        </w:rPr>
        <w:t>incrementar la capacidad científica, tecnológica, de innovación y de competitividad de las regiones</w:t>
      </w:r>
      <w:r w:rsidRPr="004312C8">
        <w:rPr>
          <w:rFonts w:ascii="Arial" w:hAnsi="Arial" w:cs="Arial"/>
          <w:sz w:val="20"/>
          <w:lang w:eastAsia="es-CO"/>
        </w:rPr>
        <w:t xml:space="preserve"> y se distribuye entre departamentos en la misma proporción en la que se le distribuye la suma de los Fondos de Desarrollo y Compensación Regional.</w:t>
      </w:r>
    </w:p>
    <w:p w:rsidR="00AE001B" w:rsidRDefault="00AE001B" w:rsidP="00AE001B">
      <w:pPr>
        <w:spacing w:before="28" w:after="28" w:line="288" w:lineRule="atLeast"/>
        <w:jc w:val="both"/>
        <w:textAlignment w:val="center"/>
        <w:rPr>
          <w:rFonts w:ascii="Arial" w:hAnsi="Arial" w:cs="Arial"/>
          <w:lang w:eastAsia="es-CO"/>
        </w:rPr>
      </w:pPr>
    </w:p>
    <w:p w:rsidR="00AE001B" w:rsidRPr="0026710D" w:rsidRDefault="00AE001B" w:rsidP="00AE001B">
      <w:pPr>
        <w:spacing w:before="28" w:after="28" w:line="288" w:lineRule="atLeast"/>
        <w:jc w:val="both"/>
        <w:textAlignment w:val="center"/>
        <w:rPr>
          <w:rFonts w:ascii="Arial" w:hAnsi="Arial" w:cs="Arial"/>
          <w:lang w:eastAsia="es-CO"/>
        </w:rPr>
      </w:pPr>
      <w:r w:rsidRPr="0026710D">
        <w:rPr>
          <w:rFonts w:ascii="Arial" w:hAnsi="Arial" w:cs="Arial"/>
          <w:lang w:eastAsia="es-CO"/>
        </w:rPr>
        <w:t>Con base en estos criterios, e</w:t>
      </w:r>
      <w:r>
        <w:rPr>
          <w:rFonts w:ascii="Arial" w:hAnsi="Arial" w:cs="Arial"/>
          <w:lang w:eastAsia="es-CO"/>
        </w:rPr>
        <w:t xml:space="preserve">l SGR asigna </w:t>
      </w:r>
      <w:r w:rsidRPr="0026710D">
        <w:rPr>
          <w:rFonts w:ascii="Arial" w:hAnsi="Arial" w:cs="Arial"/>
          <w:lang w:eastAsia="es-CO"/>
        </w:rPr>
        <w:t>recursos de inversión a los municipios y departamentos del país, priorizando territorios con brechas de desarrollo derivados del impacto de la explotación de RNN</w:t>
      </w:r>
      <w:r>
        <w:rPr>
          <w:rFonts w:ascii="Arial" w:hAnsi="Arial" w:cs="Arial"/>
          <w:lang w:eastAsia="es-CO"/>
        </w:rPr>
        <w:t>R</w:t>
      </w:r>
      <w:r w:rsidRPr="0026710D">
        <w:rPr>
          <w:rFonts w:ascii="Arial" w:hAnsi="Arial" w:cs="Arial"/>
          <w:lang w:eastAsia="es-CO"/>
        </w:rPr>
        <w:t xml:space="preserve"> o de sus niveles de pobreza. Sin embargo, dado que </w:t>
      </w:r>
      <w:r>
        <w:rPr>
          <w:rFonts w:ascii="Arial" w:hAnsi="Arial" w:cs="Arial"/>
          <w:lang w:eastAsia="es-CO"/>
        </w:rPr>
        <w:t>el S</w:t>
      </w:r>
      <w:r w:rsidRPr="0026710D">
        <w:rPr>
          <w:rFonts w:ascii="Arial" w:hAnsi="Arial" w:cs="Arial"/>
          <w:lang w:eastAsia="es-CO"/>
        </w:rPr>
        <w:t>istema no fue diseñado con el objetivo de superar las brechas derivadas del conflicto armado, no existe una relación muy clara entre los recursos asignados y los niveles de afectación derivados del conflicto armado.</w:t>
      </w:r>
    </w:p>
    <w:p w:rsidR="00AE001B" w:rsidRPr="0026710D" w:rsidRDefault="00AE001B" w:rsidP="00AE001B">
      <w:pPr>
        <w:pStyle w:val="NormalWeb"/>
        <w:spacing w:before="0" w:beforeAutospacing="0" w:after="0" w:line="276" w:lineRule="auto"/>
        <w:jc w:val="both"/>
        <w:rPr>
          <w:rFonts w:ascii="Arial" w:hAnsi="Arial" w:cs="Arial"/>
          <w:iCs/>
          <w:sz w:val="22"/>
          <w:szCs w:val="22"/>
        </w:rPr>
      </w:pPr>
    </w:p>
    <w:p w:rsidR="00AE001B" w:rsidRPr="00B30577" w:rsidRDefault="00AE001B" w:rsidP="00AE001B">
      <w:pPr>
        <w:pStyle w:val="NormalWeb"/>
        <w:spacing w:before="0" w:beforeAutospacing="0" w:after="0" w:line="276" w:lineRule="auto"/>
        <w:jc w:val="center"/>
        <w:rPr>
          <w:rFonts w:ascii="Arial" w:hAnsi="Arial" w:cs="Arial"/>
          <w:b/>
          <w:iCs/>
          <w:sz w:val="22"/>
          <w:szCs w:val="22"/>
        </w:rPr>
      </w:pPr>
      <w:r w:rsidRPr="00B30577">
        <w:rPr>
          <w:rFonts w:ascii="Arial" w:hAnsi="Arial" w:cs="Arial"/>
          <w:b/>
          <w:iCs/>
          <w:sz w:val="22"/>
          <w:szCs w:val="22"/>
        </w:rPr>
        <w:t>Mapa 1</w:t>
      </w:r>
    </w:p>
    <w:p w:rsidR="00AE001B" w:rsidRPr="00B30577" w:rsidRDefault="00AE001B" w:rsidP="00AE001B">
      <w:pPr>
        <w:pStyle w:val="NormalWeb"/>
        <w:spacing w:before="0" w:beforeAutospacing="0" w:after="0" w:line="276" w:lineRule="auto"/>
        <w:jc w:val="center"/>
        <w:rPr>
          <w:rFonts w:ascii="Arial" w:hAnsi="Arial" w:cs="Arial"/>
          <w:iCs/>
          <w:sz w:val="22"/>
          <w:szCs w:val="22"/>
        </w:rPr>
      </w:pPr>
      <w:r w:rsidRPr="00B30577">
        <w:rPr>
          <w:rFonts w:ascii="Arial" w:hAnsi="Arial" w:cs="Arial"/>
          <w:b/>
          <w:iCs/>
          <w:sz w:val="22"/>
          <w:szCs w:val="22"/>
        </w:rPr>
        <w:t>Índice de incidencia del conflicto armado departamental</w:t>
      </w:r>
    </w:p>
    <w:p w:rsidR="00AE001B" w:rsidRPr="00B30577" w:rsidRDefault="00AE001B" w:rsidP="00AE001B">
      <w:pPr>
        <w:pStyle w:val="NormalWeb"/>
        <w:spacing w:before="0" w:beforeAutospacing="0" w:after="0" w:line="276" w:lineRule="auto"/>
        <w:jc w:val="center"/>
        <w:rPr>
          <w:rFonts w:ascii="Arial" w:hAnsi="Arial" w:cs="Arial"/>
          <w:iCs/>
          <w:sz w:val="22"/>
          <w:szCs w:val="22"/>
        </w:rPr>
      </w:pPr>
      <w:r w:rsidRPr="00B30577">
        <w:rPr>
          <w:rFonts w:ascii="Arial" w:hAnsi="Arial" w:cs="Arial"/>
          <w:noProof/>
          <w:lang w:val="en-US" w:eastAsia="en-US"/>
        </w:rPr>
        <w:drawing>
          <wp:inline distT="0" distB="0" distL="0" distR="0" wp14:anchorId="64DA8044" wp14:editId="2D778E11">
            <wp:extent cx="2990413" cy="3866762"/>
            <wp:effectExtent l="0" t="0" r="635" b="635"/>
            <wp:docPr id="20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 name="Imagen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25979" cy="3912751"/>
                    </a:xfrm>
                    <a:prstGeom prst="rect">
                      <a:avLst/>
                    </a:prstGeom>
                    <a:noFill/>
                    <a:ln>
                      <a:noFill/>
                    </a:ln>
                    <a:extLst/>
                  </pic:spPr>
                </pic:pic>
              </a:graphicData>
            </a:graphic>
          </wp:inline>
        </w:drawing>
      </w:r>
    </w:p>
    <w:p w:rsidR="00AE001B" w:rsidRDefault="00AE001B" w:rsidP="00AE001B">
      <w:pPr>
        <w:spacing w:before="28" w:after="28" w:line="288" w:lineRule="atLeast"/>
        <w:jc w:val="both"/>
        <w:textAlignment w:val="center"/>
        <w:rPr>
          <w:rFonts w:ascii="Arial" w:hAnsi="Arial" w:cs="Arial"/>
          <w:lang w:eastAsia="es-CO"/>
        </w:rPr>
      </w:pPr>
    </w:p>
    <w:p w:rsidR="00AE001B" w:rsidRDefault="00AE001B" w:rsidP="00AE001B">
      <w:pPr>
        <w:spacing w:before="28" w:after="28" w:line="288" w:lineRule="atLeast"/>
        <w:jc w:val="both"/>
        <w:textAlignment w:val="center"/>
        <w:rPr>
          <w:rFonts w:ascii="Arial" w:hAnsi="Arial" w:cs="Arial"/>
          <w:lang w:eastAsia="es-CO"/>
        </w:rPr>
      </w:pPr>
      <w:r>
        <w:rPr>
          <w:rFonts w:ascii="Arial" w:hAnsi="Arial" w:cs="Arial"/>
          <w:lang w:eastAsia="es-CO"/>
        </w:rPr>
        <w:lastRenderedPageBreak/>
        <w:t>Como se ilustra en el cuadro 2, a</w:t>
      </w:r>
      <w:r w:rsidRPr="003B033E">
        <w:rPr>
          <w:rFonts w:ascii="Arial" w:hAnsi="Arial" w:cs="Arial"/>
          <w:lang w:eastAsia="es-CO"/>
        </w:rPr>
        <w:t>l comparar la distribución de las asignaciones de inversión con el índice departamental de incidencia del conflicto armado</w:t>
      </w:r>
      <w:r>
        <w:rPr>
          <w:rStyle w:val="Refdenotaalpie"/>
          <w:rFonts w:ascii="Arial" w:hAnsi="Arial" w:cs="Arial"/>
          <w:lang w:eastAsia="es-CO"/>
        </w:rPr>
        <w:footnoteReference w:id="5"/>
      </w:r>
      <w:r w:rsidRPr="003B033E">
        <w:rPr>
          <w:rFonts w:ascii="Arial" w:hAnsi="Arial" w:cs="Arial"/>
          <w:lang w:eastAsia="es-CO"/>
        </w:rPr>
        <w:t>, departamentos con incidencia alta del conflicto, como Meta y Nariño, se encuentran entre los 10 departamentos con mayor asignación para inversión. Sin embargo, otros con una muy alta incidencia del conflicto armado como Arauca, Putumayo, Caquetá y Guaviare, se encuentran entre los departamentos con menores recursos del SGR.</w:t>
      </w:r>
    </w:p>
    <w:p w:rsidR="00AE001B" w:rsidRPr="003B033E" w:rsidRDefault="00AE001B" w:rsidP="00AE001B">
      <w:pPr>
        <w:spacing w:before="28" w:after="28" w:line="288" w:lineRule="atLeast"/>
        <w:jc w:val="both"/>
        <w:textAlignment w:val="center"/>
        <w:rPr>
          <w:rFonts w:ascii="Arial" w:hAnsi="Arial" w:cs="Arial"/>
          <w:lang w:eastAsia="es-CO"/>
        </w:rPr>
      </w:pPr>
    </w:p>
    <w:p w:rsidR="00AE001B" w:rsidRPr="00B30577" w:rsidRDefault="00AE001B" w:rsidP="00AE001B">
      <w:pPr>
        <w:spacing w:after="0"/>
        <w:jc w:val="center"/>
        <w:rPr>
          <w:rFonts w:ascii="Arial" w:hAnsi="Arial" w:cs="Arial"/>
          <w:b/>
          <w:lang w:eastAsia="es-CO"/>
        </w:rPr>
      </w:pPr>
      <w:r w:rsidRPr="00B30577">
        <w:rPr>
          <w:rFonts w:ascii="Arial" w:hAnsi="Arial" w:cs="Arial"/>
          <w:b/>
          <w:lang w:eastAsia="es-CO"/>
        </w:rPr>
        <w:t>Cuadro 2</w:t>
      </w:r>
    </w:p>
    <w:p w:rsidR="00AE001B" w:rsidRPr="00B30577" w:rsidRDefault="00AE001B" w:rsidP="00AE001B">
      <w:pPr>
        <w:spacing w:after="0"/>
        <w:jc w:val="center"/>
        <w:rPr>
          <w:rFonts w:ascii="Arial" w:hAnsi="Arial" w:cs="Arial"/>
          <w:b/>
          <w:lang w:eastAsia="es-CO"/>
        </w:rPr>
      </w:pPr>
      <w:r w:rsidRPr="00B30577">
        <w:rPr>
          <w:rFonts w:ascii="Arial" w:hAnsi="Arial" w:cs="Arial"/>
          <w:b/>
          <w:lang w:eastAsia="es-CO"/>
        </w:rPr>
        <w:t>Presupuesto corriente de inversión 2017-2018*</w:t>
      </w:r>
    </w:p>
    <w:p w:rsidR="00AE001B" w:rsidRPr="00B30577" w:rsidRDefault="00AE001B" w:rsidP="00AE001B">
      <w:pPr>
        <w:spacing w:after="0"/>
        <w:jc w:val="center"/>
        <w:rPr>
          <w:rFonts w:ascii="Arial" w:hAnsi="Arial" w:cs="Arial"/>
          <w:b/>
          <w:lang w:eastAsia="es-CO"/>
        </w:rPr>
      </w:pPr>
      <w:r w:rsidRPr="00B30577">
        <w:rPr>
          <w:rFonts w:ascii="Arial" w:hAnsi="Arial" w:cs="Arial"/>
          <w:b/>
          <w:lang w:eastAsia="es-CO"/>
        </w:rPr>
        <w:t>Agregado todas las entidades de departamento (millones de pesos)</w:t>
      </w:r>
    </w:p>
    <w:tbl>
      <w:tblPr>
        <w:tblW w:w="8802" w:type="dxa"/>
        <w:jc w:val="center"/>
        <w:tblLayout w:type="fixed"/>
        <w:tblCellMar>
          <w:left w:w="70" w:type="dxa"/>
          <w:right w:w="70" w:type="dxa"/>
        </w:tblCellMar>
        <w:tblLook w:val="04A0" w:firstRow="1" w:lastRow="0" w:firstColumn="1" w:lastColumn="0" w:noHBand="0" w:noVBand="1"/>
      </w:tblPr>
      <w:tblGrid>
        <w:gridCol w:w="1555"/>
        <w:gridCol w:w="1001"/>
        <w:gridCol w:w="993"/>
        <w:gridCol w:w="1134"/>
        <w:gridCol w:w="992"/>
        <w:gridCol w:w="992"/>
        <w:gridCol w:w="1001"/>
        <w:gridCol w:w="1134"/>
      </w:tblGrid>
      <w:tr w:rsidR="00AE001B" w:rsidRPr="00B30577" w:rsidTr="00E51EDD">
        <w:trPr>
          <w:trHeight w:val="490"/>
          <w:jc w:val="center"/>
        </w:trPr>
        <w:tc>
          <w:tcPr>
            <w:tcW w:w="1555" w:type="dxa"/>
            <w:tcBorders>
              <w:top w:val="single" w:sz="4" w:space="0" w:color="auto"/>
              <w:left w:val="single" w:sz="4" w:space="0" w:color="auto"/>
              <w:bottom w:val="single" w:sz="4" w:space="0" w:color="auto"/>
              <w:right w:val="nil"/>
            </w:tcBorders>
            <w:shd w:val="clear" w:color="DAEFF1" w:fill="DAEFF1"/>
            <w:vAlign w:val="center"/>
            <w:hideMark/>
          </w:tcPr>
          <w:p w:rsidR="00AE001B" w:rsidRPr="00B30577" w:rsidRDefault="00AE001B" w:rsidP="00E51EDD">
            <w:pPr>
              <w:spacing w:after="0" w:line="240" w:lineRule="auto"/>
              <w:jc w:val="center"/>
              <w:rPr>
                <w:rFonts w:ascii="Arial" w:eastAsia="Times New Roman" w:hAnsi="Arial" w:cs="Arial"/>
                <w:color w:val="000000"/>
                <w:sz w:val="14"/>
                <w:szCs w:val="14"/>
                <w:lang w:eastAsia="es-CO"/>
              </w:rPr>
            </w:pPr>
            <w:r w:rsidRPr="00B30577">
              <w:rPr>
                <w:rFonts w:ascii="Arial" w:eastAsia="Times New Roman" w:hAnsi="Arial" w:cs="Arial"/>
                <w:color w:val="000000"/>
                <w:sz w:val="14"/>
                <w:szCs w:val="14"/>
                <w:lang w:eastAsia="es-CO"/>
              </w:rPr>
              <w:t>DEPARTAMENTO</w:t>
            </w:r>
          </w:p>
        </w:tc>
        <w:tc>
          <w:tcPr>
            <w:tcW w:w="1001" w:type="dxa"/>
            <w:tcBorders>
              <w:top w:val="single" w:sz="4" w:space="0" w:color="auto"/>
              <w:left w:val="single" w:sz="4" w:space="0" w:color="auto"/>
              <w:bottom w:val="single" w:sz="4" w:space="0" w:color="auto"/>
              <w:right w:val="single" w:sz="4" w:space="0" w:color="auto"/>
            </w:tcBorders>
            <w:shd w:val="clear" w:color="DAEFF1" w:fill="DAEFF1"/>
            <w:vAlign w:val="center"/>
            <w:hideMark/>
          </w:tcPr>
          <w:p w:rsidR="00AE001B" w:rsidRPr="00B30577" w:rsidRDefault="00AE001B" w:rsidP="00E51EDD">
            <w:pPr>
              <w:spacing w:after="0" w:line="240" w:lineRule="auto"/>
              <w:jc w:val="center"/>
              <w:rPr>
                <w:rFonts w:ascii="Arial" w:eastAsia="Times New Roman" w:hAnsi="Arial" w:cs="Arial"/>
                <w:color w:val="000000"/>
                <w:sz w:val="14"/>
                <w:szCs w:val="14"/>
                <w:lang w:eastAsia="es-CO"/>
              </w:rPr>
            </w:pPr>
            <w:r w:rsidRPr="00B30577">
              <w:rPr>
                <w:rFonts w:ascii="Arial" w:eastAsia="Times New Roman" w:hAnsi="Arial" w:cs="Arial"/>
                <w:color w:val="000000"/>
                <w:sz w:val="14"/>
                <w:szCs w:val="14"/>
                <w:lang w:eastAsia="es-CO"/>
              </w:rPr>
              <w:t>Asignaciones Directas</w:t>
            </w:r>
          </w:p>
        </w:tc>
        <w:tc>
          <w:tcPr>
            <w:tcW w:w="993" w:type="dxa"/>
            <w:tcBorders>
              <w:top w:val="single" w:sz="4" w:space="0" w:color="auto"/>
              <w:left w:val="nil"/>
              <w:bottom w:val="single" w:sz="4" w:space="0" w:color="auto"/>
              <w:right w:val="single" w:sz="4" w:space="0" w:color="auto"/>
            </w:tcBorders>
            <w:shd w:val="clear" w:color="DAEFF1" w:fill="DAEFF1"/>
            <w:vAlign w:val="center"/>
            <w:hideMark/>
          </w:tcPr>
          <w:p w:rsidR="00AE001B" w:rsidRPr="00B30577" w:rsidRDefault="00AE001B" w:rsidP="00E51EDD">
            <w:pPr>
              <w:spacing w:after="0" w:line="240" w:lineRule="auto"/>
              <w:jc w:val="center"/>
              <w:rPr>
                <w:rFonts w:ascii="Arial" w:eastAsia="Times New Roman" w:hAnsi="Arial" w:cs="Arial"/>
                <w:color w:val="000000"/>
                <w:sz w:val="14"/>
                <w:szCs w:val="14"/>
                <w:lang w:eastAsia="es-CO"/>
              </w:rPr>
            </w:pPr>
            <w:r w:rsidRPr="00B30577">
              <w:rPr>
                <w:rFonts w:ascii="Arial" w:eastAsia="Times New Roman" w:hAnsi="Arial" w:cs="Arial"/>
                <w:color w:val="000000"/>
                <w:sz w:val="14"/>
                <w:szCs w:val="14"/>
                <w:lang w:eastAsia="es-CO"/>
              </w:rPr>
              <w:t>FCR40%</w:t>
            </w:r>
          </w:p>
        </w:tc>
        <w:tc>
          <w:tcPr>
            <w:tcW w:w="1134" w:type="dxa"/>
            <w:tcBorders>
              <w:top w:val="single" w:sz="4" w:space="0" w:color="auto"/>
              <w:left w:val="nil"/>
              <w:bottom w:val="single" w:sz="4" w:space="0" w:color="auto"/>
              <w:right w:val="nil"/>
            </w:tcBorders>
            <w:shd w:val="clear" w:color="DAEFF1" w:fill="DAEFF1"/>
            <w:vAlign w:val="center"/>
            <w:hideMark/>
          </w:tcPr>
          <w:p w:rsidR="00AE001B" w:rsidRPr="00B30577" w:rsidRDefault="00AE001B" w:rsidP="00E51EDD">
            <w:pPr>
              <w:spacing w:after="0" w:line="240" w:lineRule="auto"/>
              <w:jc w:val="center"/>
              <w:rPr>
                <w:rFonts w:ascii="Arial" w:eastAsia="Times New Roman" w:hAnsi="Arial" w:cs="Arial"/>
                <w:color w:val="000000"/>
                <w:sz w:val="14"/>
                <w:szCs w:val="14"/>
                <w:lang w:eastAsia="es-CO"/>
              </w:rPr>
            </w:pPr>
            <w:r w:rsidRPr="00B30577">
              <w:rPr>
                <w:rFonts w:ascii="Arial" w:eastAsia="Times New Roman" w:hAnsi="Arial" w:cs="Arial"/>
                <w:color w:val="000000"/>
                <w:sz w:val="14"/>
                <w:szCs w:val="14"/>
                <w:lang w:eastAsia="es-CO"/>
              </w:rPr>
              <w:t>FCR 60%</w:t>
            </w:r>
          </w:p>
        </w:tc>
        <w:tc>
          <w:tcPr>
            <w:tcW w:w="992" w:type="dxa"/>
            <w:tcBorders>
              <w:top w:val="single" w:sz="4" w:space="0" w:color="auto"/>
              <w:left w:val="single" w:sz="4" w:space="0" w:color="auto"/>
              <w:bottom w:val="single" w:sz="4" w:space="0" w:color="auto"/>
              <w:right w:val="single" w:sz="4" w:space="0" w:color="auto"/>
            </w:tcBorders>
            <w:shd w:val="clear" w:color="DAEFF1" w:fill="DAEFF1"/>
            <w:vAlign w:val="center"/>
            <w:hideMark/>
          </w:tcPr>
          <w:p w:rsidR="00AE001B" w:rsidRPr="00B30577" w:rsidRDefault="00AE001B" w:rsidP="00E51EDD">
            <w:pPr>
              <w:spacing w:after="0" w:line="240" w:lineRule="auto"/>
              <w:jc w:val="center"/>
              <w:rPr>
                <w:rFonts w:ascii="Arial" w:eastAsia="Times New Roman" w:hAnsi="Arial" w:cs="Arial"/>
                <w:color w:val="000000"/>
                <w:sz w:val="14"/>
                <w:szCs w:val="14"/>
                <w:lang w:eastAsia="es-CO"/>
              </w:rPr>
            </w:pPr>
            <w:r w:rsidRPr="00B30577">
              <w:rPr>
                <w:rFonts w:ascii="Arial" w:eastAsia="Times New Roman" w:hAnsi="Arial" w:cs="Arial"/>
                <w:color w:val="000000"/>
                <w:sz w:val="14"/>
                <w:szCs w:val="14"/>
                <w:lang w:eastAsia="es-CO"/>
              </w:rPr>
              <w:t>FDR</w:t>
            </w:r>
          </w:p>
        </w:tc>
        <w:tc>
          <w:tcPr>
            <w:tcW w:w="992" w:type="dxa"/>
            <w:tcBorders>
              <w:top w:val="single" w:sz="4" w:space="0" w:color="auto"/>
              <w:left w:val="nil"/>
              <w:bottom w:val="single" w:sz="4" w:space="0" w:color="auto"/>
              <w:right w:val="single" w:sz="4" w:space="0" w:color="auto"/>
            </w:tcBorders>
            <w:shd w:val="clear" w:color="DAEFF1" w:fill="DAEFF1"/>
            <w:noWrap/>
            <w:vAlign w:val="center"/>
            <w:hideMark/>
          </w:tcPr>
          <w:p w:rsidR="00AE001B" w:rsidRPr="00B30577" w:rsidRDefault="00AE001B" w:rsidP="00E51EDD">
            <w:pPr>
              <w:spacing w:after="0" w:line="240" w:lineRule="auto"/>
              <w:jc w:val="center"/>
              <w:rPr>
                <w:rFonts w:ascii="Arial" w:eastAsia="Times New Roman" w:hAnsi="Arial" w:cs="Arial"/>
                <w:color w:val="000000"/>
                <w:sz w:val="14"/>
                <w:szCs w:val="14"/>
                <w:lang w:eastAsia="es-CO"/>
              </w:rPr>
            </w:pPr>
            <w:proofErr w:type="spellStart"/>
            <w:r w:rsidRPr="00B30577">
              <w:rPr>
                <w:rFonts w:ascii="Arial" w:eastAsia="Times New Roman" w:hAnsi="Arial" w:cs="Arial"/>
                <w:color w:val="000000"/>
                <w:sz w:val="14"/>
                <w:szCs w:val="14"/>
                <w:lang w:eastAsia="es-CO"/>
              </w:rPr>
              <w:t>FCTeI</w:t>
            </w:r>
            <w:proofErr w:type="spellEnd"/>
          </w:p>
        </w:tc>
        <w:tc>
          <w:tcPr>
            <w:tcW w:w="1001" w:type="dxa"/>
            <w:tcBorders>
              <w:top w:val="single" w:sz="4" w:space="0" w:color="auto"/>
              <w:left w:val="nil"/>
              <w:bottom w:val="single" w:sz="4" w:space="0" w:color="auto"/>
              <w:right w:val="single" w:sz="4" w:space="0" w:color="auto"/>
            </w:tcBorders>
            <w:shd w:val="clear" w:color="DAEFF1" w:fill="DAEFF1"/>
            <w:vAlign w:val="center"/>
            <w:hideMark/>
          </w:tcPr>
          <w:p w:rsidR="00AE001B" w:rsidRPr="00B30577" w:rsidRDefault="00AE001B" w:rsidP="00E51EDD">
            <w:pPr>
              <w:spacing w:after="0" w:line="240" w:lineRule="auto"/>
              <w:jc w:val="center"/>
              <w:rPr>
                <w:rFonts w:ascii="Arial" w:eastAsia="Times New Roman" w:hAnsi="Arial" w:cs="Arial"/>
                <w:b/>
                <w:color w:val="000000"/>
                <w:sz w:val="14"/>
                <w:szCs w:val="14"/>
                <w:lang w:eastAsia="es-CO"/>
              </w:rPr>
            </w:pPr>
            <w:r w:rsidRPr="00B30577">
              <w:rPr>
                <w:rFonts w:ascii="Arial" w:eastAsia="Times New Roman" w:hAnsi="Arial" w:cs="Arial"/>
                <w:b/>
                <w:color w:val="000000"/>
                <w:sz w:val="14"/>
                <w:szCs w:val="14"/>
                <w:lang w:eastAsia="es-CO"/>
              </w:rPr>
              <w:t>Presupuesto corriente de inversión</w:t>
            </w:r>
          </w:p>
        </w:tc>
        <w:tc>
          <w:tcPr>
            <w:tcW w:w="1134" w:type="dxa"/>
            <w:tcBorders>
              <w:top w:val="single" w:sz="4" w:space="0" w:color="auto"/>
              <w:left w:val="nil"/>
              <w:bottom w:val="single" w:sz="4" w:space="0" w:color="auto"/>
              <w:right w:val="single" w:sz="4" w:space="0" w:color="auto"/>
            </w:tcBorders>
            <w:shd w:val="clear" w:color="DAEFF1" w:fill="DAEFF1"/>
          </w:tcPr>
          <w:p w:rsidR="00AE001B" w:rsidRPr="00B30577" w:rsidRDefault="00AE001B" w:rsidP="00E51EDD">
            <w:pPr>
              <w:spacing w:after="0" w:line="240" w:lineRule="auto"/>
              <w:jc w:val="center"/>
              <w:rPr>
                <w:rFonts w:ascii="Arial" w:eastAsia="Times New Roman" w:hAnsi="Arial" w:cs="Arial"/>
                <w:color w:val="000000"/>
                <w:sz w:val="14"/>
                <w:szCs w:val="14"/>
                <w:lang w:eastAsia="es-CO"/>
              </w:rPr>
            </w:pPr>
            <w:r w:rsidRPr="00B30577">
              <w:rPr>
                <w:rFonts w:ascii="Arial" w:eastAsia="Times New Roman" w:hAnsi="Arial" w:cs="Arial"/>
                <w:color w:val="000000"/>
                <w:sz w:val="14"/>
                <w:szCs w:val="14"/>
                <w:lang w:eastAsia="es-CO"/>
              </w:rPr>
              <w:t>Índice de incidencia del conflicto armado-IICA**</w:t>
            </w:r>
          </w:p>
        </w:tc>
      </w:tr>
      <w:tr w:rsidR="00AE001B" w:rsidRPr="00B30577" w:rsidTr="00E51EDD">
        <w:trPr>
          <w:trHeight w:val="202"/>
          <w:jc w:val="center"/>
        </w:trPr>
        <w:tc>
          <w:tcPr>
            <w:tcW w:w="1555" w:type="dxa"/>
            <w:tcBorders>
              <w:top w:val="single" w:sz="4" w:space="0" w:color="auto"/>
              <w:left w:val="single" w:sz="4" w:space="0" w:color="auto"/>
              <w:bottom w:val="single" w:sz="4" w:space="0" w:color="auto"/>
              <w:right w:val="single" w:sz="4" w:space="0" w:color="auto"/>
            </w:tcBorders>
            <w:shd w:val="clear" w:color="auto" w:fill="FFC000" w:themeFill="accent4"/>
            <w:noWrap/>
            <w:vAlign w:val="bottom"/>
            <w:hideMark/>
          </w:tcPr>
          <w:p w:rsidR="00AE001B" w:rsidRPr="00B30577" w:rsidRDefault="00AE001B" w:rsidP="00E51EDD">
            <w:pPr>
              <w:spacing w:after="0" w:line="240" w:lineRule="auto"/>
              <w:rPr>
                <w:rFonts w:ascii="Arial" w:eastAsia="Times New Roman" w:hAnsi="Arial" w:cs="Arial"/>
                <w:color w:val="000000"/>
                <w:sz w:val="16"/>
                <w:lang w:eastAsia="es-CO"/>
              </w:rPr>
            </w:pPr>
            <w:r w:rsidRPr="00B30577">
              <w:rPr>
                <w:rFonts w:ascii="Arial" w:eastAsia="Times New Roman" w:hAnsi="Arial" w:cs="Arial"/>
                <w:color w:val="000000"/>
                <w:sz w:val="16"/>
                <w:lang w:eastAsia="es-CO"/>
              </w:rPr>
              <w:t>META</w:t>
            </w:r>
          </w:p>
        </w:tc>
        <w:tc>
          <w:tcPr>
            <w:tcW w:w="1001" w:type="dxa"/>
            <w:tcBorders>
              <w:top w:val="single" w:sz="4" w:space="0" w:color="auto"/>
              <w:left w:val="nil"/>
              <w:bottom w:val="single" w:sz="4" w:space="0" w:color="auto"/>
              <w:right w:val="single" w:sz="4" w:space="0" w:color="auto"/>
            </w:tcBorders>
            <w:shd w:val="clear" w:color="auto" w:fill="FFC000" w:themeFill="accent4"/>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450.140</w:t>
            </w:r>
          </w:p>
        </w:tc>
        <w:tc>
          <w:tcPr>
            <w:tcW w:w="993" w:type="dxa"/>
            <w:tcBorders>
              <w:top w:val="single" w:sz="4" w:space="0" w:color="auto"/>
              <w:left w:val="nil"/>
              <w:bottom w:val="single" w:sz="4" w:space="0" w:color="auto"/>
              <w:right w:val="single" w:sz="4" w:space="0" w:color="auto"/>
            </w:tcBorders>
            <w:shd w:val="clear" w:color="auto" w:fill="FFC000" w:themeFill="accent4"/>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29.477</w:t>
            </w:r>
          </w:p>
        </w:tc>
        <w:tc>
          <w:tcPr>
            <w:tcW w:w="1134" w:type="dxa"/>
            <w:tcBorders>
              <w:top w:val="single" w:sz="4" w:space="0" w:color="auto"/>
              <w:left w:val="nil"/>
              <w:bottom w:val="single" w:sz="4" w:space="0" w:color="auto"/>
              <w:right w:val="single" w:sz="4" w:space="0" w:color="auto"/>
            </w:tcBorders>
            <w:shd w:val="clear" w:color="auto" w:fill="FFC000" w:themeFill="accent4"/>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32.551</w:t>
            </w:r>
          </w:p>
        </w:tc>
        <w:tc>
          <w:tcPr>
            <w:tcW w:w="992" w:type="dxa"/>
            <w:tcBorders>
              <w:top w:val="single" w:sz="4" w:space="0" w:color="auto"/>
              <w:left w:val="nil"/>
              <w:bottom w:val="single" w:sz="4" w:space="0" w:color="auto"/>
              <w:right w:val="single" w:sz="4" w:space="0" w:color="auto"/>
            </w:tcBorders>
            <w:shd w:val="clear" w:color="auto" w:fill="FFC000" w:themeFill="accent4"/>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67.111</w:t>
            </w:r>
          </w:p>
        </w:tc>
        <w:tc>
          <w:tcPr>
            <w:tcW w:w="992" w:type="dxa"/>
            <w:tcBorders>
              <w:top w:val="single" w:sz="4" w:space="0" w:color="auto"/>
              <w:left w:val="nil"/>
              <w:bottom w:val="single" w:sz="4" w:space="0" w:color="auto"/>
              <w:right w:val="single" w:sz="4" w:space="0" w:color="auto"/>
            </w:tcBorders>
            <w:shd w:val="clear" w:color="auto" w:fill="FFC000" w:themeFill="accent4"/>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22.082</w:t>
            </w:r>
          </w:p>
        </w:tc>
        <w:tc>
          <w:tcPr>
            <w:tcW w:w="1001" w:type="dxa"/>
            <w:tcBorders>
              <w:top w:val="single" w:sz="4" w:space="0" w:color="auto"/>
              <w:left w:val="nil"/>
              <w:bottom w:val="single" w:sz="4" w:space="0" w:color="auto"/>
              <w:right w:val="single" w:sz="4" w:space="0" w:color="auto"/>
            </w:tcBorders>
            <w:shd w:val="clear" w:color="auto" w:fill="FFC000" w:themeFill="accent4"/>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601.360</w:t>
            </w:r>
          </w:p>
        </w:tc>
        <w:tc>
          <w:tcPr>
            <w:tcW w:w="1134" w:type="dxa"/>
            <w:tcBorders>
              <w:top w:val="single" w:sz="4" w:space="0" w:color="auto"/>
              <w:left w:val="nil"/>
              <w:bottom w:val="single" w:sz="4" w:space="0" w:color="auto"/>
              <w:right w:val="single" w:sz="4" w:space="0" w:color="auto"/>
            </w:tcBorders>
            <w:shd w:val="clear" w:color="auto" w:fill="FFC000" w:themeFill="accent4"/>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Alto</w:t>
            </w:r>
          </w:p>
        </w:tc>
      </w:tr>
      <w:tr w:rsidR="00AE001B" w:rsidRPr="00B30577" w:rsidTr="00E51EDD">
        <w:trPr>
          <w:trHeight w:val="134"/>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6"/>
                <w:lang w:eastAsia="es-CO"/>
              </w:rPr>
            </w:pPr>
            <w:r w:rsidRPr="00B30577">
              <w:rPr>
                <w:rFonts w:ascii="Arial" w:eastAsia="Times New Roman" w:hAnsi="Arial" w:cs="Arial"/>
                <w:color w:val="000000"/>
                <w:sz w:val="16"/>
                <w:lang w:eastAsia="es-CO"/>
              </w:rPr>
              <w:t>ANTIOQUIA</w:t>
            </w:r>
          </w:p>
        </w:tc>
        <w:tc>
          <w:tcPr>
            <w:tcW w:w="100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43.190</w:t>
            </w:r>
          </w:p>
        </w:tc>
        <w:tc>
          <w:tcPr>
            <w:tcW w:w="993"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178.546</w:t>
            </w:r>
          </w:p>
        </w:tc>
        <w:tc>
          <w:tcPr>
            <w:tcW w:w="1134"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67.102</w:t>
            </w:r>
          </w:p>
        </w:tc>
        <w:tc>
          <w:tcPr>
            <w:tcW w:w="992"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201.187</w:t>
            </w:r>
          </w:p>
        </w:tc>
        <w:tc>
          <w:tcPr>
            <w:tcW w:w="992"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76.403</w:t>
            </w:r>
          </w:p>
        </w:tc>
        <w:tc>
          <w:tcPr>
            <w:tcW w:w="100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566.428</w:t>
            </w:r>
          </w:p>
        </w:tc>
        <w:tc>
          <w:tcPr>
            <w:tcW w:w="1134" w:type="dxa"/>
            <w:tcBorders>
              <w:top w:val="nil"/>
              <w:left w:val="nil"/>
              <w:bottom w:val="single" w:sz="4" w:space="0" w:color="auto"/>
              <w:right w:val="single" w:sz="4" w:space="0" w:color="auto"/>
            </w:tcBorders>
            <w:shd w:val="clear" w:color="auto" w:fill="auto"/>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Medio bajo</w:t>
            </w:r>
          </w:p>
        </w:tc>
      </w:tr>
      <w:tr w:rsidR="00AE001B" w:rsidRPr="00B30577" w:rsidTr="00E51EDD">
        <w:trPr>
          <w:trHeight w:val="209"/>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6"/>
                <w:lang w:eastAsia="es-CO"/>
              </w:rPr>
            </w:pPr>
            <w:r w:rsidRPr="00B30577">
              <w:rPr>
                <w:rFonts w:ascii="Arial" w:eastAsia="Times New Roman" w:hAnsi="Arial" w:cs="Arial"/>
                <w:color w:val="000000"/>
                <w:sz w:val="16"/>
                <w:lang w:eastAsia="es-CO"/>
              </w:rPr>
              <w:t>CÓRDOBA</w:t>
            </w:r>
          </w:p>
        </w:tc>
        <w:tc>
          <w:tcPr>
            <w:tcW w:w="100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58.584</w:t>
            </w:r>
          </w:p>
        </w:tc>
        <w:tc>
          <w:tcPr>
            <w:tcW w:w="993"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139.576</w:t>
            </w:r>
          </w:p>
        </w:tc>
        <w:tc>
          <w:tcPr>
            <w:tcW w:w="1134"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157.481</w:t>
            </w:r>
          </w:p>
        </w:tc>
        <w:tc>
          <w:tcPr>
            <w:tcW w:w="992"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132.941</w:t>
            </w:r>
          </w:p>
        </w:tc>
        <w:tc>
          <w:tcPr>
            <w:tcW w:w="992"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73.525</w:t>
            </w:r>
          </w:p>
        </w:tc>
        <w:tc>
          <w:tcPr>
            <w:tcW w:w="100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562.107</w:t>
            </w:r>
          </w:p>
        </w:tc>
        <w:tc>
          <w:tcPr>
            <w:tcW w:w="1134" w:type="dxa"/>
            <w:tcBorders>
              <w:top w:val="nil"/>
              <w:left w:val="nil"/>
              <w:bottom w:val="single" w:sz="4" w:space="0" w:color="auto"/>
              <w:right w:val="single" w:sz="4" w:space="0" w:color="auto"/>
            </w:tcBorders>
            <w:shd w:val="clear" w:color="auto" w:fill="auto"/>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Bajo</w:t>
            </w:r>
          </w:p>
        </w:tc>
      </w:tr>
      <w:tr w:rsidR="00AE001B" w:rsidRPr="00B30577" w:rsidTr="00E51EDD">
        <w:trPr>
          <w:trHeight w:val="140"/>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6"/>
                <w:lang w:eastAsia="es-CO"/>
              </w:rPr>
            </w:pPr>
            <w:r w:rsidRPr="00B30577">
              <w:rPr>
                <w:rFonts w:ascii="Arial" w:eastAsia="Times New Roman" w:hAnsi="Arial" w:cs="Arial"/>
                <w:color w:val="000000"/>
                <w:sz w:val="16"/>
                <w:lang w:eastAsia="es-CO"/>
              </w:rPr>
              <w:t>LA GUAJIRA</w:t>
            </w:r>
          </w:p>
        </w:tc>
        <w:tc>
          <w:tcPr>
            <w:tcW w:w="100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187.006</w:t>
            </w:r>
          </w:p>
        </w:tc>
        <w:tc>
          <w:tcPr>
            <w:tcW w:w="993"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80.711</w:t>
            </w:r>
          </w:p>
        </w:tc>
        <w:tc>
          <w:tcPr>
            <w:tcW w:w="1134"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128.358</w:t>
            </w:r>
          </w:p>
        </w:tc>
        <w:tc>
          <w:tcPr>
            <w:tcW w:w="992"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99.563</w:t>
            </w:r>
          </w:p>
        </w:tc>
        <w:tc>
          <w:tcPr>
            <w:tcW w:w="992"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52.779</w:t>
            </w:r>
          </w:p>
        </w:tc>
        <w:tc>
          <w:tcPr>
            <w:tcW w:w="100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548.417</w:t>
            </w:r>
          </w:p>
        </w:tc>
        <w:tc>
          <w:tcPr>
            <w:tcW w:w="1134" w:type="dxa"/>
            <w:tcBorders>
              <w:top w:val="nil"/>
              <w:left w:val="nil"/>
              <w:bottom w:val="single" w:sz="4" w:space="0" w:color="auto"/>
              <w:right w:val="single" w:sz="4" w:space="0" w:color="auto"/>
            </w:tcBorders>
            <w:shd w:val="clear" w:color="auto" w:fill="auto"/>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Medio bajo</w:t>
            </w:r>
          </w:p>
        </w:tc>
      </w:tr>
      <w:tr w:rsidR="00AE001B" w:rsidRPr="00B30577" w:rsidTr="00E51EDD">
        <w:trPr>
          <w:trHeight w:val="214"/>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6"/>
                <w:lang w:eastAsia="es-CO"/>
              </w:rPr>
            </w:pPr>
            <w:r w:rsidRPr="00B30577">
              <w:rPr>
                <w:rFonts w:ascii="Arial" w:eastAsia="Times New Roman" w:hAnsi="Arial" w:cs="Arial"/>
                <w:color w:val="000000"/>
                <w:sz w:val="16"/>
                <w:lang w:eastAsia="es-CO"/>
              </w:rPr>
              <w:t>CESAR</w:t>
            </w:r>
          </w:p>
        </w:tc>
        <w:tc>
          <w:tcPr>
            <w:tcW w:w="100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190.464</w:t>
            </w:r>
          </w:p>
        </w:tc>
        <w:tc>
          <w:tcPr>
            <w:tcW w:w="993"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45.295</w:t>
            </w:r>
          </w:p>
        </w:tc>
        <w:tc>
          <w:tcPr>
            <w:tcW w:w="1134"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109.393</w:t>
            </w:r>
          </w:p>
        </w:tc>
        <w:tc>
          <w:tcPr>
            <w:tcW w:w="992"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87.247</w:t>
            </w:r>
          </w:p>
        </w:tc>
        <w:tc>
          <w:tcPr>
            <w:tcW w:w="992"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41.366</w:t>
            </w:r>
          </w:p>
        </w:tc>
        <w:tc>
          <w:tcPr>
            <w:tcW w:w="100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473.765</w:t>
            </w:r>
          </w:p>
        </w:tc>
        <w:tc>
          <w:tcPr>
            <w:tcW w:w="1134" w:type="dxa"/>
            <w:tcBorders>
              <w:top w:val="nil"/>
              <w:left w:val="nil"/>
              <w:bottom w:val="single" w:sz="4" w:space="0" w:color="auto"/>
              <w:right w:val="single" w:sz="4" w:space="0" w:color="auto"/>
            </w:tcBorders>
            <w:shd w:val="clear" w:color="auto" w:fill="auto"/>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Medio bajo</w:t>
            </w:r>
          </w:p>
        </w:tc>
      </w:tr>
      <w:tr w:rsidR="00AE001B" w:rsidRPr="00B30577" w:rsidTr="00E51EDD">
        <w:trPr>
          <w:trHeight w:val="132"/>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6"/>
                <w:lang w:eastAsia="es-CO"/>
              </w:rPr>
            </w:pPr>
            <w:r w:rsidRPr="00B30577">
              <w:rPr>
                <w:rFonts w:ascii="Arial" w:eastAsia="Times New Roman" w:hAnsi="Arial" w:cs="Arial"/>
                <w:color w:val="000000"/>
                <w:sz w:val="16"/>
                <w:lang w:eastAsia="es-CO"/>
              </w:rPr>
              <w:t>BOLÍVAR</w:t>
            </w:r>
          </w:p>
        </w:tc>
        <w:tc>
          <w:tcPr>
            <w:tcW w:w="100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25.393</w:t>
            </w:r>
          </w:p>
        </w:tc>
        <w:tc>
          <w:tcPr>
            <w:tcW w:w="993"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88.708</w:t>
            </w:r>
          </w:p>
        </w:tc>
        <w:tc>
          <w:tcPr>
            <w:tcW w:w="1134"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147.640</w:t>
            </w:r>
          </w:p>
        </w:tc>
        <w:tc>
          <w:tcPr>
            <w:tcW w:w="992"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135.944</w:t>
            </w:r>
          </w:p>
        </w:tc>
        <w:tc>
          <w:tcPr>
            <w:tcW w:w="992"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63.656</w:t>
            </w:r>
          </w:p>
        </w:tc>
        <w:tc>
          <w:tcPr>
            <w:tcW w:w="100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461.341</w:t>
            </w:r>
          </w:p>
        </w:tc>
        <w:tc>
          <w:tcPr>
            <w:tcW w:w="1134" w:type="dxa"/>
            <w:tcBorders>
              <w:top w:val="nil"/>
              <w:left w:val="nil"/>
              <w:bottom w:val="single" w:sz="4" w:space="0" w:color="auto"/>
              <w:right w:val="single" w:sz="4" w:space="0" w:color="auto"/>
            </w:tcBorders>
            <w:shd w:val="clear" w:color="auto" w:fill="auto"/>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Medio bajo</w:t>
            </w:r>
          </w:p>
        </w:tc>
      </w:tr>
      <w:tr w:rsidR="00AE001B" w:rsidRPr="00B30577" w:rsidTr="00E51EDD">
        <w:trPr>
          <w:trHeight w:val="206"/>
          <w:jc w:val="center"/>
        </w:trPr>
        <w:tc>
          <w:tcPr>
            <w:tcW w:w="1555" w:type="dxa"/>
            <w:tcBorders>
              <w:top w:val="nil"/>
              <w:left w:val="single" w:sz="4" w:space="0" w:color="auto"/>
              <w:bottom w:val="single" w:sz="4" w:space="0" w:color="auto"/>
              <w:right w:val="single" w:sz="4" w:space="0" w:color="auto"/>
            </w:tcBorders>
            <w:shd w:val="clear" w:color="auto" w:fill="FFC000" w:themeFill="accent4"/>
            <w:noWrap/>
            <w:vAlign w:val="bottom"/>
            <w:hideMark/>
          </w:tcPr>
          <w:p w:rsidR="00AE001B" w:rsidRPr="00B30577" w:rsidRDefault="00AE001B" w:rsidP="00E51EDD">
            <w:pPr>
              <w:spacing w:after="0" w:line="240" w:lineRule="auto"/>
              <w:rPr>
                <w:rFonts w:ascii="Arial" w:eastAsia="Times New Roman" w:hAnsi="Arial" w:cs="Arial"/>
                <w:color w:val="000000"/>
                <w:sz w:val="16"/>
                <w:lang w:eastAsia="es-CO"/>
              </w:rPr>
            </w:pPr>
            <w:r w:rsidRPr="00B30577">
              <w:rPr>
                <w:rFonts w:ascii="Arial" w:eastAsia="Times New Roman" w:hAnsi="Arial" w:cs="Arial"/>
                <w:color w:val="000000"/>
                <w:sz w:val="16"/>
                <w:lang w:eastAsia="es-CO"/>
              </w:rPr>
              <w:t>NARIÑO</w:t>
            </w:r>
          </w:p>
        </w:tc>
        <w:tc>
          <w:tcPr>
            <w:tcW w:w="1001" w:type="dxa"/>
            <w:tcBorders>
              <w:top w:val="nil"/>
              <w:left w:val="nil"/>
              <w:bottom w:val="single" w:sz="4" w:space="0" w:color="auto"/>
              <w:right w:val="single" w:sz="4" w:space="0" w:color="auto"/>
            </w:tcBorders>
            <w:shd w:val="clear" w:color="auto" w:fill="FFC000" w:themeFill="accent4"/>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7.011</w:t>
            </w:r>
          </w:p>
        </w:tc>
        <w:tc>
          <w:tcPr>
            <w:tcW w:w="993" w:type="dxa"/>
            <w:tcBorders>
              <w:top w:val="nil"/>
              <w:left w:val="nil"/>
              <w:bottom w:val="single" w:sz="4" w:space="0" w:color="auto"/>
              <w:right w:val="single" w:sz="4" w:space="0" w:color="auto"/>
            </w:tcBorders>
            <w:shd w:val="clear" w:color="auto" w:fill="FFC000" w:themeFill="accent4"/>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98.685</w:t>
            </w:r>
          </w:p>
        </w:tc>
        <w:tc>
          <w:tcPr>
            <w:tcW w:w="1134" w:type="dxa"/>
            <w:tcBorders>
              <w:top w:val="nil"/>
              <w:left w:val="nil"/>
              <w:bottom w:val="single" w:sz="4" w:space="0" w:color="auto"/>
              <w:right w:val="single" w:sz="4" w:space="0" w:color="auto"/>
            </w:tcBorders>
            <w:shd w:val="clear" w:color="auto" w:fill="FFC000" w:themeFill="accent4"/>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136.999</w:t>
            </w:r>
          </w:p>
        </w:tc>
        <w:tc>
          <w:tcPr>
            <w:tcW w:w="992" w:type="dxa"/>
            <w:tcBorders>
              <w:top w:val="nil"/>
              <w:left w:val="nil"/>
              <w:bottom w:val="single" w:sz="4" w:space="0" w:color="auto"/>
              <w:right w:val="single" w:sz="4" w:space="0" w:color="auto"/>
            </w:tcBorders>
            <w:shd w:val="clear" w:color="auto" w:fill="FFC000" w:themeFill="accent4"/>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118.826</w:t>
            </w:r>
          </w:p>
        </w:tc>
        <w:tc>
          <w:tcPr>
            <w:tcW w:w="992" w:type="dxa"/>
            <w:tcBorders>
              <w:top w:val="nil"/>
              <w:left w:val="nil"/>
              <w:bottom w:val="single" w:sz="4" w:space="0" w:color="auto"/>
              <w:right w:val="single" w:sz="4" w:space="0" w:color="auto"/>
            </w:tcBorders>
            <w:shd w:val="clear" w:color="auto" w:fill="FFC000" w:themeFill="accent4"/>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60.616</w:t>
            </w:r>
          </w:p>
        </w:tc>
        <w:tc>
          <w:tcPr>
            <w:tcW w:w="1001" w:type="dxa"/>
            <w:tcBorders>
              <w:top w:val="nil"/>
              <w:left w:val="nil"/>
              <w:bottom w:val="single" w:sz="4" w:space="0" w:color="auto"/>
              <w:right w:val="single" w:sz="4" w:space="0" w:color="auto"/>
            </w:tcBorders>
            <w:shd w:val="clear" w:color="auto" w:fill="FFC000" w:themeFill="accent4"/>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422.137</w:t>
            </w:r>
          </w:p>
        </w:tc>
        <w:tc>
          <w:tcPr>
            <w:tcW w:w="1134" w:type="dxa"/>
            <w:tcBorders>
              <w:top w:val="nil"/>
              <w:left w:val="nil"/>
              <w:bottom w:val="single" w:sz="4" w:space="0" w:color="auto"/>
              <w:right w:val="single" w:sz="4" w:space="0" w:color="auto"/>
            </w:tcBorders>
            <w:shd w:val="clear" w:color="auto" w:fill="FFC000" w:themeFill="accent4"/>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Alto</w:t>
            </w:r>
          </w:p>
        </w:tc>
      </w:tr>
      <w:tr w:rsidR="00AE001B" w:rsidRPr="00B30577" w:rsidTr="00E51EDD">
        <w:trPr>
          <w:trHeight w:val="138"/>
          <w:jc w:val="center"/>
        </w:trPr>
        <w:tc>
          <w:tcPr>
            <w:tcW w:w="1555" w:type="dxa"/>
            <w:tcBorders>
              <w:top w:val="nil"/>
              <w:left w:val="single" w:sz="4" w:space="0" w:color="auto"/>
              <w:bottom w:val="single" w:sz="4" w:space="0" w:color="auto"/>
              <w:right w:val="single" w:sz="4" w:space="0" w:color="auto"/>
            </w:tcBorders>
            <w:shd w:val="clear" w:color="auto" w:fill="FFFF00"/>
            <w:noWrap/>
            <w:vAlign w:val="bottom"/>
            <w:hideMark/>
          </w:tcPr>
          <w:p w:rsidR="00AE001B" w:rsidRPr="00B30577" w:rsidRDefault="00AE001B" w:rsidP="00E51EDD">
            <w:pPr>
              <w:spacing w:after="0" w:line="240" w:lineRule="auto"/>
              <w:rPr>
                <w:rFonts w:ascii="Arial" w:eastAsia="Times New Roman" w:hAnsi="Arial" w:cs="Arial"/>
                <w:color w:val="000000"/>
                <w:sz w:val="16"/>
                <w:lang w:eastAsia="es-CO"/>
              </w:rPr>
            </w:pPr>
            <w:r w:rsidRPr="00B30577">
              <w:rPr>
                <w:rFonts w:ascii="Arial" w:eastAsia="Times New Roman" w:hAnsi="Arial" w:cs="Arial"/>
                <w:color w:val="000000"/>
                <w:sz w:val="16"/>
                <w:lang w:eastAsia="es-CO"/>
              </w:rPr>
              <w:t>CAUCA</w:t>
            </w:r>
          </w:p>
        </w:tc>
        <w:tc>
          <w:tcPr>
            <w:tcW w:w="1001" w:type="dxa"/>
            <w:tcBorders>
              <w:top w:val="nil"/>
              <w:left w:val="nil"/>
              <w:bottom w:val="single" w:sz="4" w:space="0" w:color="auto"/>
              <w:right w:val="single" w:sz="4" w:space="0" w:color="auto"/>
            </w:tcBorders>
            <w:shd w:val="clear" w:color="auto" w:fill="FFFF00"/>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5.874</w:t>
            </w:r>
          </w:p>
        </w:tc>
        <w:tc>
          <w:tcPr>
            <w:tcW w:w="993" w:type="dxa"/>
            <w:tcBorders>
              <w:top w:val="nil"/>
              <w:left w:val="nil"/>
              <w:bottom w:val="single" w:sz="4" w:space="0" w:color="auto"/>
              <w:right w:val="single" w:sz="4" w:space="0" w:color="auto"/>
            </w:tcBorders>
            <w:shd w:val="clear" w:color="auto" w:fill="FFFF00"/>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81.431</w:t>
            </w:r>
          </w:p>
        </w:tc>
        <w:tc>
          <w:tcPr>
            <w:tcW w:w="1134" w:type="dxa"/>
            <w:tcBorders>
              <w:top w:val="nil"/>
              <w:left w:val="nil"/>
              <w:bottom w:val="single" w:sz="4" w:space="0" w:color="auto"/>
              <w:right w:val="single" w:sz="4" w:space="0" w:color="auto"/>
            </w:tcBorders>
            <w:shd w:val="clear" w:color="auto" w:fill="FFFF00"/>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125.441</w:t>
            </w:r>
          </w:p>
        </w:tc>
        <w:tc>
          <w:tcPr>
            <w:tcW w:w="992" w:type="dxa"/>
            <w:tcBorders>
              <w:top w:val="nil"/>
              <w:left w:val="nil"/>
              <w:bottom w:val="single" w:sz="4" w:space="0" w:color="auto"/>
              <w:right w:val="single" w:sz="4" w:space="0" w:color="auto"/>
            </w:tcBorders>
            <w:shd w:val="clear" w:color="auto" w:fill="FFFF00"/>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105.289</w:t>
            </w:r>
          </w:p>
        </w:tc>
        <w:tc>
          <w:tcPr>
            <w:tcW w:w="992" w:type="dxa"/>
            <w:tcBorders>
              <w:top w:val="nil"/>
              <w:left w:val="nil"/>
              <w:bottom w:val="single" w:sz="4" w:space="0" w:color="auto"/>
              <w:right w:val="single" w:sz="4" w:space="0" w:color="auto"/>
            </w:tcBorders>
            <w:shd w:val="clear" w:color="auto" w:fill="FFFF00"/>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53.373</w:t>
            </w:r>
          </w:p>
        </w:tc>
        <w:tc>
          <w:tcPr>
            <w:tcW w:w="1001" w:type="dxa"/>
            <w:tcBorders>
              <w:top w:val="nil"/>
              <w:left w:val="nil"/>
              <w:bottom w:val="single" w:sz="4" w:space="0" w:color="auto"/>
              <w:right w:val="single" w:sz="4" w:space="0" w:color="auto"/>
            </w:tcBorders>
            <w:shd w:val="clear" w:color="auto" w:fill="FFFF00"/>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371.408</w:t>
            </w:r>
          </w:p>
        </w:tc>
        <w:tc>
          <w:tcPr>
            <w:tcW w:w="1134" w:type="dxa"/>
            <w:tcBorders>
              <w:top w:val="nil"/>
              <w:left w:val="nil"/>
              <w:bottom w:val="single" w:sz="4" w:space="0" w:color="auto"/>
              <w:right w:val="single" w:sz="4" w:space="0" w:color="auto"/>
            </w:tcBorders>
            <w:shd w:val="clear" w:color="auto" w:fill="FFFF00"/>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Medio</w:t>
            </w:r>
          </w:p>
        </w:tc>
      </w:tr>
      <w:tr w:rsidR="00AE001B" w:rsidRPr="00B30577" w:rsidTr="00E51EDD">
        <w:trPr>
          <w:trHeight w:val="212"/>
          <w:jc w:val="center"/>
        </w:trPr>
        <w:tc>
          <w:tcPr>
            <w:tcW w:w="1555" w:type="dxa"/>
            <w:tcBorders>
              <w:top w:val="nil"/>
              <w:left w:val="single" w:sz="4" w:space="0" w:color="auto"/>
              <w:bottom w:val="single" w:sz="4" w:space="0" w:color="auto"/>
              <w:right w:val="single" w:sz="4" w:space="0" w:color="auto"/>
            </w:tcBorders>
            <w:shd w:val="clear" w:color="auto" w:fill="FFFF00"/>
            <w:noWrap/>
            <w:vAlign w:val="bottom"/>
            <w:hideMark/>
          </w:tcPr>
          <w:p w:rsidR="00AE001B" w:rsidRPr="00B30577" w:rsidRDefault="00AE001B" w:rsidP="00E51EDD">
            <w:pPr>
              <w:spacing w:after="0" w:line="240" w:lineRule="auto"/>
              <w:rPr>
                <w:rFonts w:ascii="Arial" w:eastAsia="Times New Roman" w:hAnsi="Arial" w:cs="Arial"/>
                <w:color w:val="000000"/>
                <w:sz w:val="16"/>
                <w:lang w:eastAsia="es-CO"/>
              </w:rPr>
            </w:pPr>
            <w:r w:rsidRPr="00B30577">
              <w:rPr>
                <w:rFonts w:ascii="Arial" w:eastAsia="Times New Roman" w:hAnsi="Arial" w:cs="Arial"/>
                <w:color w:val="000000"/>
                <w:sz w:val="16"/>
                <w:lang w:eastAsia="es-CO"/>
              </w:rPr>
              <w:t>CASANARE</w:t>
            </w:r>
          </w:p>
        </w:tc>
        <w:tc>
          <w:tcPr>
            <w:tcW w:w="1001" w:type="dxa"/>
            <w:tcBorders>
              <w:top w:val="nil"/>
              <w:left w:val="nil"/>
              <w:bottom w:val="single" w:sz="4" w:space="0" w:color="auto"/>
              <w:right w:val="single" w:sz="4" w:space="0" w:color="auto"/>
            </w:tcBorders>
            <w:shd w:val="clear" w:color="auto" w:fill="FFFF00"/>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224.112</w:t>
            </w:r>
          </w:p>
        </w:tc>
        <w:tc>
          <w:tcPr>
            <w:tcW w:w="993" w:type="dxa"/>
            <w:tcBorders>
              <w:top w:val="nil"/>
              <w:left w:val="nil"/>
              <w:bottom w:val="single" w:sz="4" w:space="0" w:color="auto"/>
              <w:right w:val="single" w:sz="4" w:space="0" w:color="auto"/>
            </w:tcBorders>
            <w:shd w:val="clear" w:color="auto" w:fill="FFFF00"/>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15.695</w:t>
            </w:r>
          </w:p>
        </w:tc>
        <w:tc>
          <w:tcPr>
            <w:tcW w:w="1134" w:type="dxa"/>
            <w:tcBorders>
              <w:top w:val="nil"/>
              <w:left w:val="nil"/>
              <w:bottom w:val="single" w:sz="4" w:space="0" w:color="auto"/>
              <w:right w:val="single" w:sz="4" w:space="0" w:color="auto"/>
            </w:tcBorders>
            <w:shd w:val="clear" w:color="auto" w:fill="FFFF00"/>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62.879</w:t>
            </w:r>
          </w:p>
        </w:tc>
        <w:tc>
          <w:tcPr>
            <w:tcW w:w="992" w:type="dxa"/>
            <w:tcBorders>
              <w:top w:val="nil"/>
              <w:left w:val="nil"/>
              <w:bottom w:val="single" w:sz="4" w:space="0" w:color="auto"/>
              <w:right w:val="single" w:sz="4" w:space="0" w:color="auto"/>
            </w:tcBorders>
            <w:shd w:val="clear" w:color="auto" w:fill="FFFF00"/>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42.479</w:t>
            </w:r>
          </w:p>
        </w:tc>
        <w:tc>
          <w:tcPr>
            <w:tcW w:w="992" w:type="dxa"/>
            <w:tcBorders>
              <w:top w:val="nil"/>
              <w:left w:val="nil"/>
              <w:bottom w:val="single" w:sz="4" w:space="0" w:color="auto"/>
              <w:right w:val="single" w:sz="4" w:space="0" w:color="auto"/>
            </w:tcBorders>
            <w:shd w:val="clear" w:color="auto" w:fill="FFFF00"/>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20.699</w:t>
            </w:r>
          </w:p>
        </w:tc>
        <w:tc>
          <w:tcPr>
            <w:tcW w:w="1001" w:type="dxa"/>
            <w:tcBorders>
              <w:top w:val="nil"/>
              <w:left w:val="nil"/>
              <w:bottom w:val="single" w:sz="4" w:space="0" w:color="auto"/>
              <w:right w:val="single" w:sz="4" w:space="0" w:color="auto"/>
            </w:tcBorders>
            <w:shd w:val="clear" w:color="auto" w:fill="FFFF00"/>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365.865</w:t>
            </w:r>
          </w:p>
        </w:tc>
        <w:tc>
          <w:tcPr>
            <w:tcW w:w="1134" w:type="dxa"/>
            <w:tcBorders>
              <w:top w:val="nil"/>
              <w:left w:val="nil"/>
              <w:bottom w:val="single" w:sz="4" w:space="0" w:color="auto"/>
              <w:right w:val="single" w:sz="4" w:space="0" w:color="auto"/>
            </w:tcBorders>
            <w:shd w:val="clear" w:color="auto" w:fill="FFFF00"/>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Medio</w:t>
            </w:r>
          </w:p>
        </w:tc>
      </w:tr>
      <w:tr w:rsidR="00AE001B" w:rsidRPr="00B30577" w:rsidTr="00E51EDD">
        <w:trPr>
          <w:trHeight w:val="144"/>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6"/>
                <w:lang w:eastAsia="es-CO"/>
              </w:rPr>
            </w:pPr>
            <w:r w:rsidRPr="00B30577">
              <w:rPr>
                <w:rFonts w:ascii="Arial" w:eastAsia="Times New Roman" w:hAnsi="Arial" w:cs="Arial"/>
                <w:color w:val="000000"/>
                <w:sz w:val="16"/>
                <w:lang w:eastAsia="es-CO"/>
              </w:rPr>
              <w:t>SUCRE</w:t>
            </w:r>
          </w:p>
        </w:tc>
        <w:tc>
          <w:tcPr>
            <w:tcW w:w="100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51.502</w:t>
            </w:r>
          </w:p>
        </w:tc>
        <w:tc>
          <w:tcPr>
            <w:tcW w:w="993"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68.604</w:t>
            </w:r>
          </w:p>
        </w:tc>
        <w:tc>
          <w:tcPr>
            <w:tcW w:w="1134"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110.773</w:t>
            </w:r>
          </w:p>
        </w:tc>
        <w:tc>
          <w:tcPr>
            <w:tcW w:w="992"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84.267</w:t>
            </w:r>
          </w:p>
        </w:tc>
        <w:tc>
          <w:tcPr>
            <w:tcW w:w="992"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45.078</w:t>
            </w:r>
          </w:p>
        </w:tc>
        <w:tc>
          <w:tcPr>
            <w:tcW w:w="100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360.224</w:t>
            </w:r>
          </w:p>
        </w:tc>
        <w:tc>
          <w:tcPr>
            <w:tcW w:w="1134" w:type="dxa"/>
            <w:tcBorders>
              <w:top w:val="nil"/>
              <w:left w:val="nil"/>
              <w:bottom w:val="single" w:sz="4" w:space="0" w:color="auto"/>
              <w:right w:val="single" w:sz="4" w:space="0" w:color="auto"/>
            </w:tcBorders>
            <w:shd w:val="clear" w:color="auto" w:fill="auto"/>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Bajo</w:t>
            </w:r>
          </w:p>
        </w:tc>
      </w:tr>
      <w:tr w:rsidR="00AE001B" w:rsidRPr="00B30577" w:rsidTr="00E51EDD">
        <w:trPr>
          <w:trHeight w:val="219"/>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6"/>
                <w:lang w:eastAsia="es-CO"/>
              </w:rPr>
            </w:pPr>
            <w:r w:rsidRPr="00B30577">
              <w:rPr>
                <w:rFonts w:ascii="Arial" w:eastAsia="Times New Roman" w:hAnsi="Arial" w:cs="Arial"/>
                <w:color w:val="000000"/>
                <w:sz w:val="16"/>
                <w:lang w:eastAsia="es-CO"/>
              </w:rPr>
              <w:t>MAGDALENA</w:t>
            </w:r>
          </w:p>
        </w:tc>
        <w:tc>
          <w:tcPr>
            <w:tcW w:w="100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23.044</w:t>
            </w:r>
          </w:p>
        </w:tc>
        <w:tc>
          <w:tcPr>
            <w:tcW w:w="993"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61.988</w:t>
            </w:r>
          </w:p>
        </w:tc>
        <w:tc>
          <w:tcPr>
            <w:tcW w:w="1134"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121.116</w:t>
            </w:r>
          </w:p>
        </w:tc>
        <w:tc>
          <w:tcPr>
            <w:tcW w:w="992"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100.820</w:t>
            </w:r>
          </w:p>
        </w:tc>
        <w:tc>
          <w:tcPr>
            <w:tcW w:w="992"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48.545</w:t>
            </w:r>
          </w:p>
        </w:tc>
        <w:tc>
          <w:tcPr>
            <w:tcW w:w="100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355.512</w:t>
            </w:r>
          </w:p>
        </w:tc>
        <w:tc>
          <w:tcPr>
            <w:tcW w:w="1134" w:type="dxa"/>
            <w:tcBorders>
              <w:top w:val="nil"/>
              <w:left w:val="nil"/>
              <w:bottom w:val="single" w:sz="4" w:space="0" w:color="auto"/>
              <w:right w:val="single" w:sz="4" w:space="0" w:color="auto"/>
            </w:tcBorders>
            <w:shd w:val="clear" w:color="auto" w:fill="auto"/>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Medio bajo</w:t>
            </w:r>
          </w:p>
        </w:tc>
      </w:tr>
      <w:tr w:rsidR="00AE001B" w:rsidRPr="00B30577" w:rsidTr="00E51EDD">
        <w:trPr>
          <w:trHeight w:val="122"/>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6"/>
                <w:lang w:eastAsia="es-CO"/>
              </w:rPr>
            </w:pPr>
            <w:r w:rsidRPr="00B30577">
              <w:rPr>
                <w:rFonts w:ascii="Arial" w:eastAsia="Times New Roman" w:hAnsi="Arial" w:cs="Arial"/>
                <w:color w:val="000000"/>
                <w:sz w:val="16"/>
                <w:lang w:eastAsia="es-CO"/>
              </w:rPr>
              <w:t>HUILA</w:t>
            </w:r>
          </w:p>
        </w:tc>
        <w:tc>
          <w:tcPr>
            <w:tcW w:w="100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55.044</w:t>
            </w:r>
          </w:p>
        </w:tc>
        <w:tc>
          <w:tcPr>
            <w:tcW w:w="993"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60.108</w:t>
            </w:r>
          </w:p>
        </w:tc>
        <w:tc>
          <w:tcPr>
            <w:tcW w:w="1134"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99.275</w:t>
            </w:r>
          </w:p>
        </w:tc>
        <w:tc>
          <w:tcPr>
            <w:tcW w:w="992"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82.447</w:t>
            </w:r>
          </w:p>
        </w:tc>
        <w:tc>
          <w:tcPr>
            <w:tcW w:w="992"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41.350</w:t>
            </w:r>
          </w:p>
        </w:tc>
        <w:tc>
          <w:tcPr>
            <w:tcW w:w="100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338.224</w:t>
            </w:r>
          </w:p>
        </w:tc>
        <w:tc>
          <w:tcPr>
            <w:tcW w:w="1134" w:type="dxa"/>
            <w:tcBorders>
              <w:top w:val="nil"/>
              <w:left w:val="nil"/>
              <w:bottom w:val="single" w:sz="4" w:space="0" w:color="auto"/>
              <w:right w:val="single" w:sz="4" w:space="0" w:color="auto"/>
            </w:tcBorders>
            <w:shd w:val="clear" w:color="auto" w:fill="auto"/>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Medio Bajo</w:t>
            </w:r>
          </w:p>
        </w:tc>
      </w:tr>
      <w:tr w:rsidR="00AE001B" w:rsidRPr="00B30577" w:rsidTr="00E51EDD">
        <w:trPr>
          <w:trHeight w:val="210"/>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6"/>
                <w:lang w:eastAsia="es-CO"/>
              </w:rPr>
            </w:pPr>
            <w:r w:rsidRPr="00B30577">
              <w:rPr>
                <w:rFonts w:ascii="Arial" w:eastAsia="Times New Roman" w:hAnsi="Arial" w:cs="Arial"/>
                <w:color w:val="000000"/>
                <w:sz w:val="16"/>
                <w:lang w:eastAsia="es-CO"/>
              </w:rPr>
              <w:t>BOYACÁ</w:t>
            </w:r>
          </w:p>
        </w:tc>
        <w:tc>
          <w:tcPr>
            <w:tcW w:w="100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28.760</w:t>
            </w:r>
          </w:p>
        </w:tc>
        <w:tc>
          <w:tcPr>
            <w:tcW w:w="993"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65.198</w:t>
            </w:r>
          </w:p>
        </w:tc>
        <w:tc>
          <w:tcPr>
            <w:tcW w:w="1134"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97.809</w:t>
            </w:r>
          </w:p>
        </w:tc>
        <w:tc>
          <w:tcPr>
            <w:tcW w:w="992"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84.170</w:t>
            </w:r>
          </w:p>
        </w:tc>
        <w:tc>
          <w:tcPr>
            <w:tcW w:w="992"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42.259</w:t>
            </w:r>
          </w:p>
        </w:tc>
        <w:tc>
          <w:tcPr>
            <w:tcW w:w="100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318.196</w:t>
            </w:r>
          </w:p>
        </w:tc>
        <w:tc>
          <w:tcPr>
            <w:tcW w:w="1134" w:type="dxa"/>
            <w:tcBorders>
              <w:top w:val="nil"/>
              <w:left w:val="nil"/>
              <w:bottom w:val="single" w:sz="4" w:space="0" w:color="auto"/>
              <w:right w:val="single" w:sz="4" w:space="0" w:color="auto"/>
            </w:tcBorders>
            <w:shd w:val="clear" w:color="auto" w:fill="auto"/>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Bajo</w:t>
            </w:r>
          </w:p>
        </w:tc>
      </w:tr>
      <w:tr w:rsidR="00AE001B" w:rsidRPr="00B30577" w:rsidTr="00E51EDD">
        <w:trPr>
          <w:trHeight w:val="128"/>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6"/>
                <w:lang w:eastAsia="es-CO"/>
              </w:rPr>
            </w:pPr>
            <w:r w:rsidRPr="00B30577">
              <w:rPr>
                <w:rFonts w:ascii="Arial" w:eastAsia="Times New Roman" w:hAnsi="Arial" w:cs="Arial"/>
                <w:color w:val="000000"/>
                <w:sz w:val="16"/>
                <w:lang w:eastAsia="es-CO"/>
              </w:rPr>
              <w:t>VALLE</w:t>
            </w:r>
          </w:p>
        </w:tc>
        <w:tc>
          <w:tcPr>
            <w:tcW w:w="100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765</w:t>
            </w:r>
          </w:p>
        </w:tc>
        <w:tc>
          <w:tcPr>
            <w:tcW w:w="993"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79.707</w:t>
            </w:r>
          </w:p>
        </w:tc>
        <w:tc>
          <w:tcPr>
            <w:tcW w:w="1134"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48.917</w:t>
            </w:r>
          </w:p>
        </w:tc>
        <w:tc>
          <w:tcPr>
            <w:tcW w:w="992"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140.787</w:t>
            </w:r>
          </w:p>
        </w:tc>
        <w:tc>
          <w:tcPr>
            <w:tcW w:w="992"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46.065</w:t>
            </w:r>
          </w:p>
        </w:tc>
        <w:tc>
          <w:tcPr>
            <w:tcW w:w="100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316.241</w:t>
            </w:r>
          </w:p>
        </w:tc>
        <w:tc>
          <w:tcPr>
            <w:tcW w:w="1134" w:type="dxa"/>
            <w:tcBorders>
              <w:top w:val="nil"/>
              <w:left w:val="nil"/>
              <w:bottom w:val="single" w:sz="4" w:space="0" w:color="auto"/>
              <w:right w:val="single" w:sz="4" w:space="0" w:color="auto"/>
            </w:tcBorders>
            <w:shd w:val="clear" w:color="auto" w:fill="auto"/>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Medio bajo</w:t>
            </w:r>
          </w:p>
        </w:tc>
      </w:tr>
      <w:tr w:rsidR="00AE001B" w:rsidRPr="00B30577" w:rsidTr="00E51EDD">
        <w:trPr>
          <w:trHeight w:val="202"/>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6"/>
                <w:lang w:eastAsia="es-CO"/>
              </w:rPr>
            </w:pPr>
            <w:r w:rsidRPr="00B30577">
              <w:rPr>
                <w:rFonts w:ascii="Arial" w:eastAsia="Times New Roman" w:hAnsi="Arial" w:cs="Arial"/>
                <w:color w:val="000000"/>
                <w:sz w:val="16"/>
                <w:lang w:eastAsia="es-CO"/>
              </w:rPr>
              <w:t>SANTANDER</w:t>
            </w:r>
          </w:p>
        </w:tc>
        <w:tc>
          <w:tcPr>
            <w:tcW w:w="100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83.556</w:t>
            </w:r>
          </w:p>
        </w:tc>
        <w:tc>
          <w:tcPr>
            <w:tcW w:w="993"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54.657</w:t>
            </w:r>
          </w:p>
        </w:tc>
        <w:tc>
          <w:tcPr>
            <w:tcW w:w="1134"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40.526</w:t>
            </w:r>
          </w:p>
        </w:tc>
        <w:tc>
          <w:tcPr>
            <w:tcW w:w="992"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98.496</w:t>
            </w:r>
          </w:p>
        </w:tc>
        <w:tc>
          <w:tcPr>
            <w:tcW w:w="992"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33.113</w:t>
            </w:r>
          </w:p>
        </w:tc>
        <w:tc>
          <w:tcPr>
            <w:tcW w:w="100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310.349</w:t>
            </w:r>
          </w:p>
        </w:tc>
        <w:tc>
          <w:tcPr>
            <w:tcW w:w="1134" w:type="dxa"/>
            <w:tcBorders>
              <w:top w:val="nil"/>
              <w:left w:val="nil"/>
              <w:bottom w:val="single" w:sz="4" w:space="0" w:color="auto"/>
              <w:right w:val="single" w:sz="4" w:space="0" w:color="auto"/>
            </w:tcBorders>
            <w:shd w:val="clear" w:color="auto" w:fill="auto"/>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Bajo</w:t>
            </w:r>
          </w:p>
        </w:tc>
      </w:tr>
      <w:tr w:rsidR="00AE001B" w:rsidRPr="00B30577" w:rsidTr="00E51EDD">
        <w:trPr>
          <w:trHeight w:val="134"/>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6"/>
                <w:lang w:eastAsia="es-CO"/>
              </w:rPr>
            </w:pPr>
            <w:r w:rsidRPr="00B30577">
              <w:rPr>
                <w:rFonts w:ascii="Arial" w:eastAsia="Times New Roman" w:hAnsi="Arial" w:cs="Arial"/>
                <w:color w:val="000000"/>
                <w:sz w:val="16"/>
                <w:lang w:eastAsia="es-CO"/>
              </w:rPr>
              <w:t>CUNDINAMARCA</w:t>
            </w:r>
          </w:p>
        </w:tc>
        <w:tc>
          <w:tcPr>
            <w:tcW w:w="100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4.918</w:t>
            </w:r>
          </w:p>
        </w:tc>
        <w:tc>
          <w:tcPr>
            <w:tcW w:w="993"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82.537</w:t>
            </w:r>
          </w:p>
        </w:tc>
        <w:tc>
          <w:tcPr>
            <w:tcW w:w="1134"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45.299</w:t>
            </w:r>
          </w:p>
        </w:tc>
        <w:tc>
          <w:tcPr>
            <w:tcW w:w="992"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115.764</w:t>
            </w:r>
          </w:p>
        </w:tc>
        <w:tc>
          <w:tcPr>
            <w:tcW w:w="992"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41.653</w:t>
            </w:r>
          </w:p>
        </w:tc>
        <w:tc>
          <w:tcPr>
            <w:tcW w:w="100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290.171</w:t>
            </w:r>
          </w:p>
        </w:tc>
        <w:tc>
          <w:tcPr>
            <w:tcW w:w="1134" w:type="dxa"/>
            <w:tcBorders>
              <w:top w:val="nil"/>
              <w:left w:val="nil"/>
              <w:bottom w:val="single" w:sz="4" w:space="0" w:color="auto"/>
              <w:right w:val="single" w:sz="4" w:space="0" w:color="auto"/>
            </w:tcBorders>
            <w:shd w:val="clear" w:color="auto" w:fill="auto"/>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Bajo</w:t>
            </w:r>
          </w:p>
        </w:tc>
      </w:tr>
      <w:tr w:rsidR="00AE001B" w:rsidRPr="00B30577" w:rsidTr="00E51EDD">
        <w:trPr>
          <w:trHeight w:val="66"/>
          <w:jc w:val="center"/>
        </w:trPr>
        <w:tc>
          <w:tcPr>
            <w:tcW w:w="1555" w:type="dxa"/>
            <w:tcBorders>
              <w:top w:val="nil"/>
              <w:left w:val="single" w:sz="4" w:space="0" w:color="auto"/>
              <w:bottom w:val="single" w:sz="4" w:space="0" w:color="auto"/>
              <w:right w:val="single" w:sz="4" w:space="0" w:color="auto"/>
            </w:tcBorders>
            <w:shd w:val="clear" w:color="auto" w:fill="FFFF00"/>
            <w:noWrap/>
            <w:vAlign w:val="bottom"/>
            <w:hideMark/>
          </w:tcPr>
          <w:p w:rsidR="00AE001B" w:rsidRPr="00B30577" w:rsidRDefault="00AE001B" w:rsidP="00E51EDD">
            <w:pPr>
              <w:spacing w:after="0" w:line="240" w:lineRule="auto"/>
              <w:rPr>
                <w:rFonts w:ascii="Arial" w:eastAsia="Times New Roman" w:hAnsi="Arial" w:cs="Arial"/>
                <w:color w:val="000000"/>
                <w:sz w:val="16"/>
                <w:lang w:eastAsia="es-CO"/>
              </w:rPr>
            </w:pPr>
            <w:r w:rsidRPr="00B30577">
              <w:rPr>
                <w:rFonts w:ascii="Arial" w:eastAsia="Times New Roman" w:hAnsi="Arial" w:cs="Arial"/>
                <w:color w:val="000000"/>
                <w:sz w:val="16"/>
                <w:lang w:eastAsia="es-CO"/>
              </w:rPr>
              <w:t>N. SANTANDER</w:t>
            </w:r>
          </w:p>
        </w:tc>
        <w:tc>
          <w:tcPr>
            <w:tcW w:w="1001" w:type="dxa"/>
            <w:tcBorders>
              <w:top w:val="nil"/>
              <w:left w:val="nil"/>
              <w:bottom w:val="single" w:sz="4" w:space="0" w:color="auto"/>
              <w:right w:val="single" w:sz="4" w:space="0" w:color="auto"/>
            </w:tcBorders>
            <w:shd w:val="clear" w:color="auto" w:fill="FFFF00"/>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11.524</w:t>
            </w:r>
          </w:p>
        </w:tc>
        <w:tc>
          <w:tcPr>
            <w:tcW w:w="993" w:type="dxa"/>
            <w:tcBorders>
              <w:top w:val="nil"/>
              <w:left w:val="nil"/>
              <w:bottom w:val="single" w:sz="4" w:space="0" w:color="auto"/>
              <w:right w:val="single" w:sz="4" w:space="0" w:color="auto"/>
            </w:tcBorders>
            <w:shd w:val="clear" w:color="auto" w:fill="FFFF00"/>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41.619</w:t>
            </w:r>
          </w:p>
        </w:tc>
        <w:tc>
          <w:tcPr>
            <w:tcW w:w="1134" w:type="dxa"/>
            <w:tcBorders>
              <w:top w:val="nil"/>
              <w:left w:val="nil"/>
              <w:bottom w:val="single" w:sz="4" w:space="0" w:color="auto"/>
              <w:right w:val="single" w:sz="4" w:space="0" w:color="auto"/>
            </w:tcBorders>
            <w:shd w:val="clear" w:color="auto" w:fill="FFFF00"/>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102.701</w:t>
            </w:r>
          </w:p>
        </w:tc>
        <w:tc>
          <w:tcPr>
            <w:tcW w:w="992" w:type="dxa"/>
            <w:tcBorders>
              <w:top w:val="nil"/>
              <w:left w:val="nil"/>
              <w:bottom w:val="single" w:sz="4" w:space="0" w:color="auto"/>
              <w:right w:val="single" w:sz="4" w:space="0" w:color="auto"/>
            </w:tcBorders>
            <w:shd w:val="clear" w:color="auto" w:fill="FFFF00"/>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87.838</w:t>
            </w:r>
          </w:p>
        </w:tc>
        <w:tc>
          <w:tcPr>
            <w:tcW w:w="992" w:type="dxa"/>
            <w:tcBorders>
              <w:top w:val="nil"/>
              <w:left w:val="nil"/>
              <w:bottom w:val="single" w:sz="4" w:space="0" w:color="auto"/>
              <w:right w:val="single" w:sz="4" w:space="0" w:color="auto"/>
            </w:tcBorders>
            <w:shd w:val="clear" w:color="auto" w:fill="FFFF00"/>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39.694</w:t>
            </w:r>
          </w:p>
        </w:tc>
        <w:tc>
          <w:tcPr>
            <w:tcW w:w="1001" w:type="dxa"/>
            <w:tcBorders>
              <w:top w:val="nil"/>
              <w:left w:val="nil"/>
              <w:bottom w:val="single" w:sz="4" w:space="0" w:color="auto"/>
              <w:right w:val="single" w:sz="4" w:space="0" w:color="auto"/>
            </w:tcBorders>
            <w:shd w:val="clear" w:color="auto" w:fill="FFFF00"/>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283.377</w:t>
            </w:r>
          </w:p>
        </w:tc>
        <w:tc>
          <w:tcPr>
            <w:tcW w:w="1134" w:type="dxa"/>
            <w:tcBorders>
              <w:top w:val="nil"/>
              <w:left w:val="nil"/>
              <w:bottom w:val="single" w:sz="4" w:space="0" w:color="auto"/>
              <w:right w:val="single" w:sz="4" w:space="0" w:color="auto"/>
            </w:tcBorders>
            <w:shd w:val="clear" w:color="auto" w:fill="FFFF00"/>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Medio</w:t>
            </w:r>
          </w:p>
        </w:tc>
      </w:tr>
      <w:tr w:rsidR="00AE001B" w:rsidRPr="00B30577" w:rsidTr="00E51EDD">
        <w:trPr>
          <w:trHeight w:val="154"/>
          <w:jc w:val="center"/>
        </w:trPr>
        <w:tc>
          <w:tcPr>
            <w:tcW w:w="1555" w:type="dxa"/>
            <w:tcBorders>
              <w:top w:val="nil"/>
              <w:left w:val="single" w:sz="4" w:space="0" w:color="auto"/>
              <w:bottom w:val="single" w:sz="4" w:space="0" w:color="auto"/>
              <w:right w:val="single" w:sz="4" w:space="0" w:color="auto"/>
            </w:tcBorders>
            <w:shd w:val="clear" w:color="auto" w:fill="FFFF00"/>
            <w:noWrap/>
            <w:vAlign w:val="bottom"/>
            <w:hideMark/>
          </w:tcPr>
          <w:p w:rsidR="00AE001B" w:rsidRPr="00B30577" w:rsidRDefault="00AE001B" w:rsidP="00E51EDD">
            <w:pPr>
              <w:spacing w:after="0" w:line="240" w:lineRule="auto"/>
              <w:rPr>
                <w:rFonts w:ascii="Arial" w:eastAsia="Times New Roman" w:hAnsi="Arial" w:cs="Arial"/>
                <w:color w:val="000000"/>
                <w:sz w:val="16"/>
                <w:lang w:eastAsia="es-CO"/>
              </w:rPr>
            </w:pPr>
            <w:r w:rsidRPr="00B30577">
              <w:rPr>
                <w:rFonts w:ascii="Arial" w:eastAsia="Times New Roman" w:hAnsi="Arial" w:cs="Arial"/>
                <w:color w:val="000000"/>
                <w:sz w:val="16"/>
                <w:lang w:eastAsia="es-CO"/>
              </w:rPr>
              <w:t>CHOCÓ</w:t>
            </w:r>
          </w:p>
        </w:tc>
        <w:tc>
          <w:tcPr>
            <w:tcW w:w="1001" w:type="dxa"/>
            <w:tcBorders>
              <w:top w:val="nil"/>
              <w:left w:val="nil"/>
              <w:bottom w:val="single" w:sz="4" w:space="0" w:color="auto"/>
              <w:right w:val="single" w:sz="4" w:space="0" w:color="auto"/>
            </w:tcBorders>
            <w:shd w:val="clear" w:color="auto" w:fill="FFFF00"/>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19.850</w:t>
            </w:r>
          </w:p>
        </w:tc>
        <w:tc>
          <w:tcPr>
            <w:tcW w:w="993" w:type="dxa"/>
            <w:tcBorders>
              <w:top w:val="nil"/>
              <w:left w:val="nil"/>
              <w:bottom w:val="single" w:sz="4" w:space="0" w:color="auto"/>
              <w:right w:val="single" w:sz="4" w:space="0" w:color="auto"/>
            </w:tcBorders>
            <w:shd w:val="clear" w:color="auto" w:fill="FFFF00"/>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40.379</w:t>
            </w:r>
          </w:p>
        </w:tc>
        <w:tc>
          <w:tcPr>
            <w:tcW w:w="1134" w:type="dxa"/>
            <w:tcBorders>
              <w:top w:val="nil"/>
              <w:left w:val="nil"/>
              <w:bottom w:val="single" w:sz="4" w:space="0" w:color="auto"/>
              <w:right w:val="single" w:sz="4" w:space="0" w:color="auto"/>
            </w:tcBorders>
            <w:shd w:val="clear" w:color="auto" w:fill="FFFF00"/>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109.962</w:t>
            </w:r>
          </w:p>
        </w:tc>
        <w:tc>
          <w:tcPr>
            <w:tcW w:w="992" w:type="dxa"/>
            <w:tcBorders>
              <w:top w:val="nil"/>
              <w:left w:val="nil"/>
              <w:bottom w:val="single" w:sz="4" w:space="0" w:color="auto"/>
              <w:right w:val="single" w:sz="4" w:space="0" w:color="auto"/>
            </w:tcBorders>
            <w:shd w:val="clear" w:color="auto" w:fill="FFFF00"/>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70.920</w:t>
            </w:r>
          </w:p>
        </w:tc>
        <w:tc>
          <w:tcPr>
            <w:tcW w:w="992" w:type="dxa"/>
            <w:tcBorders>
              <w:top w:val="nil"/>
              <w:left w:val="nil"/>
              <w:bottom w:val="single" w:sz="4" w:space="0" w:color="auto"/>
              <w:right w:val="single" w:sz="4" w:space="0" w:color="auto"/>
            </w:tcBorders>
            <w:shd w:val="clear" w:color="auto" w:fill="FFFF00"/>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37.832</w:t>
            </w:r>
          </w:p>
        </w:tc>
        <w:tc>
          <w:tcPr>
            <w:tcW w:w="1001" w:type="dxa"/>
            <w:tcBorders>
              <w:top w:val="nil"/>
              <w:left w:val="nil"/>
              <w:bottom w:val="single" w:sz="4" w:space="0" w:color="auto"/>
              <w:right w:val="single" w:sz="4" w:space="0" w:color="auto"/>
            </w:tcBorders>
            <w:shd w:val="clear" w:color="auto" w:fill="FFFF00"/>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278.943</w:t>
            </w:r>
          </w:p>
        </w:tc>
        <w:tc>
          <w:tcPr>
            <w:tcW w:w="1134" w:type="dxa"/>
            <w:tcBorders>
              <w:top w:val="nil"/>
              <w:left w:val="nil"/>
              <w:bottom w:val="single" w:sz="4" w:space="0" w:color="auto"/>
              <w:right w:val="single" w:sz="4" w:space="0" w:color="auto"/>
            </w:tcBorders>
            <w:shd w:val="clear" w:color="auto" w:fill="FFFF00"/>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Medio</w:t>
            </w:r>
          </w:p>
        </w:tc>
      </w:tr>
      <w:tr w:rsidR="00AE001B" w:rsidRPr="00B30577" w:rsidTr="00E51EDD">
        <w:trPr>
          <w:trHeight w:val="101"/>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6"/>
                <w:lang w:eastAsia="es-CO"/>
              </w:rPr>
            </w:pPr>
            <w:r w:rsidRPr="00B30577">
              <w:rPr>
                <w:rFonts w:ascii="Arial" w:eastAsia="Times New Roman" w:hAnsi="Arial" w:cs="Arial"/>
                <w:color w:val="000000"/>
                <w:sz w:val="16"/>
                <w:lang w:eastAsia="es-CO"/>
              </w:rPr>
              <w:t>TOLIMA</w:t>
            </w:r>
          </w:p>
        </w:tc>
        <w:tc>
          <w:tcPr>
            <w:tcW w:w="100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20.205</w:t>
            </w:r>
          </w:p>
        </w:tc>
        <w:tc>
          <w:tcPr>
            <w:tcW w:w="993"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57.492</w:t>
            </w:r>
          </w:p>
        </w:tc>
        <w:tc>
          <w:tcPr>
            <w:tcW w:w="1134"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41.885</w:t>
            </w:r>
          </w:p>
        </w:tc>
        <w:tc>
          <w:tcPr>
            <w:tcW w:w="992"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88.388</w:t>
            </w:r>
          </w:p>
        </w:tc>
        <w:tc>
          <w:tcPr>
            <w:tcW w:w="992"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32.102</w:t>
            </w:r>
          </w:p>
        </w:tc>
        <w:tc>
          <w:tcPr>
            <w:tcW w:w="100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240.071</w:t>
            </w:r>
          </w:p>
        </w:tc>
        <w:tc>
          <w:tcPr>
            <w:tcW w:w="1134" w:type="dxa"/>
            <w:tcBorders>
              <w:top w:val="nil"/>
              <w:left w:val="nil"/>
              <w:bottom w:val="single" w:sz="4" w:space="0" w:color="auto"/>
              <w:right w:val="single" w:sz="4" w:space="0" w:color="auto"/>
            </w:tcBorders>
            <w:shd w:val="clear" w:color="auto" w:fill="auto"/>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Medio bajo</w:t>
            </w:r>
          </w:p>
        </w:tc>
      </w:tr>
      <w:tr w:rsidR="00AE001B" w:rsidRPr="00B30577" w:rsidTr="00E51EDD">
        <w:trPr>
          <w:trHeight w:val="174"/>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6"/>
                <w:lang w:eastAsia="es-CO"/>
              </w:rPr>
            </w:pPr>
            <w:r w:rsidRPr="00B30577">
              <w:rPr>
                <w:rFonts w:ascii="Arial" w:eastAsia="Times New Roman" w:hAnsi="Arial" w:cs="Arial"/>
                <w:color w:val="000000"/>
                <w:sz w:val="16"/>
                <w:lang w:eastAsia="es-CO"/>
              </w:rPr>
              <w:t>ATLÁNTICO</w:t>
            </w:r>
          </w:p>
        </w:tc>
        <w:tc>
          <w:tcPr>
            <w:tcW w:w="100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19</w:t>
            </w:r>
          </w:p>
        </w:tc>
        <w:tc>
          <w:tcPr>
            <w:tcW w:w="993"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41.424</w:t>
            </w:r>
          </w:p>
        </w:tc>
        <w:tc>
          <w:tcPr>
            <w:tcW w:w="1134"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46.908</w:t>
            </w:r>
          </w:p>
        </w:tc>
        <w:tc>
          <w:tcPr>
            <w:tcW w:w="992"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116.105</w:t>
            </w:r>
          </w:p>
        </w:tc>
        <w:tc>
          <w:tcPr>
            <w:tcW w:w="992"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34.955</w:t>
            </w:r>
          </w:p>
        </w:tc>
        <w:tc>
          <w:tcPr>
            <w:tcW w:w="100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239.410</w:t>
            </w:r>
          </w:p>
        </w:tc>
        <w:tc>
          <w:tcPr>
            <w:tcW w:w="1134" w:type="dxa"/>
            <w:tcBorders>
              <w:top w:val="nil"/>
              <w:left w:val="nil"/>
              <w:bottom w:val="single" w:sz="4" w:space="0" w:color="auto"/>
              <w:right w:val="single" w:sz="4" w:space="0" w:color="auto"/>
            </w:tcBorders>
            <w:shd w:val="clear" w:color="auto" w:fill="auto"/>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Bajo</w:t>
            </w:r>
          </w:p>
        </w:tc>
      </w:tr>
      <w:tr w:rsidR="00AE001B" w:rsidRPr="00B30577" w:rsidTr="00E51EDD">
        <w:trPr>
          <w:trHeight w:val="106"/>
          <w:jc w:val="center"/>
        </w:trPr>
        <w:tc>
          <w:tcPr>
            <w:tcW w:w="1555" w:type="dxa"/>
            <w:tcBorders>
              <w:top w:val="nil"/>
              <w:left w:val="single" w:sz="4" w:space="0" w:color="auto"/>
              <w:bottom w:val="single" w:sz="4" w:space="0" w:color="auto"/>
              <w:right w:val="single" w:sz="4" w:space="0" w:color="auto"/>
            </w:tcBorders>
            <w:shd w:val="clear" w:color="auto" w:fill="FF0000"/>
            <w:noWrap/>
            <w:vAlign w:val="bottom"/>
            <w:hideMark/>
          </w:tcPr>
          <w:p w:rsidR="00AE001B" w:rsidRPr="00B30577" w:rsidRDefault="00AE001B" w:rsidP="00E51EDD">
            <w:pPr>
              <w:spacing w:after="0" w:line="240" w:lineRule="auto"/>
              <w:rPr>
                <w:rFonts w:ascii="Arial" w:eastAsia="Times New Roman" w:hAnsi="Arial" w:cs="Arial"/>
                <w:color w:val="000000"/>
                <w:sz w:val="16"/>
                <w:lang w:eastAsia="es-CO"/>
              </w:rPr>
            </w:pPr>
            <w:r w:rsidRPr="00B30577">
              <w:rPr>
                <w:rFonts w:ascii="Arial" w:eastAsia="Times New Roman" w:hAnsi="Arial" w:cs="Arial"/>
                <w:color w:val="000000"/>
                <w:sz w:val="16"/>
                <w:lang w:eastAsia="es-CO"/>
              </w:rPr>
              <w:t>ARAUCA</w:t>
            </w:r>
          </w:p>
        </w:tc>
        <w:tc>
          <w:tcPr>
            <w:tcW w:w="1001" w:type="dxa"/>
            <w:tcBorders>
              <w:top w:val="nil"/>
              <w:left w:val="nil"/>
              <w:bottom w:val="single" w:sz="4" w:space="0" w:color="auto"/>
              <w:right w:val="single" w:sz="4" w:space="0" w:color="auto"/>
            </w:tcBorders>
            <w:shd w:val="clear" w:color="auto" w:fill="FF0000"/>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58.238</w:t>
            </w:r>
          </w:p>
        </w:tc>
        <w:tc>
          <w:tcPr>
            <w:tcW w:w="993" w:type="dxa"/>
            <w:tcBorders>
              <w:top w:val="nil"/>
              <w:left w:val="nil"/>
              <w:bottom w:val="single" w:sz="4" w:space="0" w:color="auto"/>
              <w:right w:val="single" w:sz="4" w:space="0" w:color="auto"/>
            </w:tcBorders>
            <w:shd w:val="clear" w:color="auto" w:fill="FF0000"/>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16.039</w:t>
            </w:r>
          </w:p>
        </w:tc>
        <w:tc>
          <w:tcPr>
            <w:tcW w:w="1134" w:type="dxa"/>
            <w:tcBorders>
              <w:top w:val="nil"/>
              <w:left w:val="nil"/>
              <w:bottom w:val="single" w:sz="4" w:space="0" w:color="auto"/>
              <w:right w:val="single" w:sz="4" w:space="0" w:color="auto"/>
            </w:tcBorders>
            <w:shd w:val="clear" w:color="auto" w:fill="FF0000"/>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58.360</w:t>
            </w:r>
          </w:p>
        </w:tc>
        <w:tc>
          <w:tcPr>
            <w:tcW w:w="992" w:type="dxa"/>
            <w:tcBorders>
              <w:top w:val="nil"/>
              <w:left w:val="nil"/>
              <w:bottom w:val="single" w:sz="4" w:space="0" w:color="auto"/>
              <w:right w:val="single" w:sz="4" w:space="0" w:color="auto"/>
            </w:tcBorders>
            <w:shd w:val="clear" w:color="auto" w:fill="FF0000"/>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35.133</w:t>
            </w:r>
          </w:p>
        </w:tc>
        <w:tc>
          <w:tcPr>
            <w:tcW w:w="992" w:type="dxa"/>
            <w:tcBorders>
              <w:top w:val="nil"/>
              <w:left w:val="nil"/>
              <w:bottom w:val="single" w:sz="4" w:space="0" w:color="auto"/>
              <w:right w:val="single" w:sz="4" w:space="0" w:color="auto"/>
            </w:tcBorders>
            <w:shd w:val="clear" w:color="auto" w:fill="FF0000"/>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18.728</w:t>
            </w:r>
          </w:p>
        </w:tc>
        <w:tc>
          <w:tcPr>
            <w:tcW w:w="1001" w:type="dxa"/>
            <w:tcBorders>
              <w:top w:val="nil"/>
              <w:left w:val="nil"/>
              <w:bottom w:val="single" w:sz="4" w:space="0" w:color="auto"/>
              <w:right w:val="single" w:sz="4" w:space="0" w:color="auto"/>
            </w:tcBorders>
            <w:shd w:val="clear" w:color="auto" w:fill="FF0000"/>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186.497</w:t>
            </w:r>
          </w:p>
        </w:tc>
        <w:tc>
          <w:tcPr>
            <w:tcW w:w="1134" w:type="dxa"/>
            <w:tcBorders>
              <w:top w:val="nil"/>
              <w:left w:val="nil"/>
              <w:bottom w:val="single" w:sz="4" w:space="0" w:color="auto"/>
              <w:right w:val="single" w:sz="4" w:space="0" w:color="auto"/>
            </w:tcBorders>
            <w:shd w:val="clear" w:color="auto" w:fill="FF0000"/>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Muy alto</w:t>
            </w:r>
          </w:p>
        </w:tc>
      </w:tr>
      <w:tr w:rsidR="00AE001B" w:rsidRPr="00B30577" w:rsidTr="00E51EDD">
        <w:trPr>
          <w:trHeight w:val="181"/>
          <w:jc w:val="center"/>
        </w:trPr>
        <w:tc>
          <w:tcPr>
            <w:tcW w:w="1555" w:type="dxa"/>
            <w:tcBorders>
              <w:top w:val="nil"/>
              <w:left w:val="single" w:sz="4" w:space="0" w:color="auto"/>
              <w:bottom w:val="single" w:sz="4" w:space="0" w:color="auto"/>
              <w:right w:val="single" w:sz="4" w:space="0" w:color="auto"/>
            </w:tcBorders>
            <w:shd w:val="clear" w:color="auto" w:fill="FF0000"/>
            <w:noWrap/>
            <w:vAlign w:val="bottom"/>
            <w:hideMark/>
          </w:tcPr>
          <w:p w:rsidR="00AE001B" w:rsidRPr="00B30577" w:rsidRDefault="00AE001B" w:rsidP="00E51EDD">
            <w:pPr>
              <w:spacing w:after="0" w:line="240" w:lineRule="auto"/>
              <w:rPr>
                <w:rFonts w:ascii="Arial" w:eastAsia="Times New Roman" w:hAnsi="Arial" w:cs="Arial"/>
                <w:color w:val="000000"/>
                <w:sz w:val="16"/>
                <w:lang w:eastAsia="es-CO"/>
              </w:rPr>
            </w:pPr>
            <w:r w:rsidRPr="00B30577">
              <w:rPr>
                <w:rFonts w:ascii="Arial" w:eastAsia="Times New Roman" w:hAnsi="Arial" w:cs="Arial"/>
                <w:color w:val="000000"/>
                <w:sz w:val="16"/>
                <w:lang w:eastAsia="es-CO"/>
              </w:rPr>
              <w:t>PUTUMAYO</w:t>
            </w:r>
          </w:p>
        </w:tc>
        <w:tc>
          <w:tcPr>
            <w:tcW w:w="1001" w:type="dxa"/>
            <w:tcBorders>
              <w:top w:val="nil"/>
              <w:left w:val="nil"/>
              <w:bottom w:val="single" w:sz="4" w:space="0" w:color="auto"/>
              <w:right w:val="single" w:sz="4" w:space="0" w:color="auto"/>
            </w:tcBorders>
            <w:shd w:val="clear" w:color="auto" w:fill="FF0000"/>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33.310</w:t>
            </w:r>
          </w:p>
        </w:tc>
        <w:tc>
          <w:tcPr>
            <w:tcW w:w="993" w:type="dxa"/>
            <w:tcBorders>
              <w:top w:val="nil"/>
              <w:left w:val="nil"/>
              <w:bottom w:val="single" w:sz="4" w:space="0" w:color="auto"/>
              <w:right w:val="single" w:sz="4" w:space="0" w:color="auto"/>
            </w:tcBorders>
            <w:shd w:val="clear" w:color="auto" w:fill="FF0000"/>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24.406</w:t>
            </w:r>
          </w:p>
        </w:tc>
        <w:tc>
          <w:tcPr>
            <w:tcW w:w="1134" w:type="dxa"/>
            <w:tcBorders>
              <w:top w:val="nil"/>
              <w:left w:val="nil"/>
              <w:bottom w:val="single" w:sz="4" w:space="0" w:color="auto"/>
              <w:right w:val="single" w:sz="4" w:space="0" w:color="auto"/>
            </w:tcBorders>
            <w:shd w:val="clear" w:color="auto" w:fill="FF0000"/>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64.284</w:t>
            </w:r>
          </w:p>
        </w:tc>
        <w:tc>
          <w:tcPr>
            <w:tcW w:w="992" w:type="dxa"/>
            <w:tcBorders>
              <w:top w:val="nil"/>
              <w:left w:val="nil"/>
              <w:bottom w:val="single" w:sz="4" w:space="0" w:color="auto"/>
              <w:right w:val="single" w:sz="4" w:space="0" w:color="auto"/>
            </w:tcBorders>
            <w:shd w:val="clear" w:color="auto" w:fill="FF0000"/>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41.614</w:t>
            </w:r>
          </w:p>
        </w:tc>
        <w:tc>
          <w:tcPr>
            <w:tcW w:w="992" w:type="dxa"/>
            <w:tcBorders>
              <w:top w:val="nil"/>
              <w:left w:val="nil"/>
              <w:bottom w:val="single" w:sz="4" w:space="0" w:color="auto"/>
              <w:right w:val="single" w:sz="4" w:space="0" w:color="auto"/>
            </w:tcBorders>
            <w:shd w:val="clear" w:color="auto" w:fill="FF0000"/>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22.280</w:t>
            </w:r>
          </w:p>
        </w:tc>
        <w:tc>
          <w:tcPr>
            <w:tcW w:w="1001" w:type="dxa"/>
            <w:tcBorders>
              <w:top w:val="nil"/>
              <w:left w:val="nil"/>
              <w:bottom w:val="single" w:sz="4" w:space="0" w:color="auto"/>
              <w:right w:val="single" w:sz="4" w:space="0" w:color="auto"/>
            </w:tcBorders>
            <w:shd w:val="clear" w:color="auto" w:fill="FF0000"/>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185.895</w:t>
            </w:r>
          </w:p>
        </w:tc>
        <w:tc>
          <w:tcPr>
            <w:tcW w:w="1134" w:type="dxa"/>
            <w:tcBorders>
              <w:top w:val="nil"/>
              <w:left w:val="nil"/>
              <w:bottom w:val="single" w:sz="4" w:space="0" w:color="auto"/>
              <w:right w:val="single" w:sz="4" w:space="0" w:color="auto"/>
            </w:tcBorders>
            <w:shd w:val="clear" w:color="auto" w:fill="FF0000"/>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Muy alto</w:t>
            </w:r>
          </w:p>
        </w:tc>
      </w:tr>
      <w:tr w:rsidR="00AE001B" w:rsidRPr="00B30577" w:rsidTr="00E51EDD">
        <w:trPr>
          <w:trHeight w:val="126"/>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6"/>
                <w:lang w:eastAsia="es-CO"/>
              </w:rPr>
            </w:pPr>
            <w:r w:rsidRPr="00B30577">
              <w:rPr>
                <w:rFonts w:ascii="Arial" w:eastAsia="Times New Roman" w:hAnsi="Arial" w:cs="Arial"/>
                <w:color w:val="000000"/>
                <w:sz w:val="16"/>
                <w:lang w:eastAsia="es-CO"/>
              </w:rPr>
              <w:t>BOGOTÁ, D.C.</w:t>
            </w:r>
          </w:p>
        </w:tc>
        <w:tc>
          <w:tcPr>
            <w:tcW w:w="100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25</w:t>
            </w:r>
          </w:p>
        </w:tc>
        <w:tc>
          <w:tcPr>
            <w:tcW w:w="993" w:type="dxa"/>
            <w:tcBorders>
              <w:top w:val="nil"/>
              <w:left w:val="nil"/>
              <w:bottom w:val="single" w:sz="4" w:space="0" w:color="auto"/>
              <w:right w:val="single" w:sz="4" w:space="0" w:color="auto"/>
            </w:tcBorders>
            <w:shd w:val="clear" w:color="auto" w:fill="auto"/>
            <w:noWrap/>
            <w:vAlign w:val="bottom"/>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0</w:t>
            </w:r>
          </w:p>
        </w:tc>
        <w:tc>
          <w:tcPr>
            <w:tcW w:w="1134" w:type="dxa"/>
            <w:tcBorders>
              <w:top w:val="nil"/>
              <w:left w:val="nil"/>
              <w:bottom w:val="single" w:sz="4" w:space="0" w:color="auto"/>
              <w:right w:val="single" w:sz="4" w:space="0" w:color="auto"/>
            </w:tcBorders>
            <w:shd w:val="clear" w:color="auto" w:fill="auto"/>
            <w:noWrap/>
            <w:vAlign w:val="bottom"/>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0</w:t>
            </w:r>
          </w:p>
        </w:tc>
        <w:tc>
          <w:tcPr>
            <w:tcW w:w="992"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157.434</w:t>
            </w:r>
          </w:p>
        </w:tc>
        <w:tc>
          <w:tcPr>
            <w:tcW w:w="992"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26.919</w:t>
            </w:r>
          </w:p>
        </w:tc>
        <w:tc>
          <w:tcPr>
            <w:tcW w:w="100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184.378</w:t>
            </w:r>
          </w:p>
        </w:tc>
        <w:tc>
          <w:tcPr>
            <w:tcW w:w="1134" w:type="dxa"/>
            <w:tcBorders>
              <w:top w:val="nil"/>
              <w:left w:val="nil"/>
              <w:bottom w:val="single" w:sz="4" w:space="0" w:color="auto"/>
              <w:right w:val="single" w:sz="4" w:space="0" w:color="auto"/>
            </w:tcBorders>
            <w:shd w:val="clear" w:color="auto" w:fill="auto"/>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Bajo</w:t>
            </w:r>
          </w:p>
        </w:tc>
      </w:tr>
      <w:tr w:rsidR="00AE001B" w:rsidRPr="00B30577" w:rsidTr="00E51EDD">
        <w:trPr>
          <w:trHeight w:val="200"/>
          <w:jc w:val="center"/>
        </w:trPr>
        <w:tc>
          <w:tcPr>
            <w:tcW w:w="1555" w:type="dxa"/>
            <w:tcBorders>
              <w:top w:val="nil"/>
              <w:left w:val="single" w:sz="4" w:space="0" w:color="auto"/>
              <w:bottom w:val="single" w:sz="4" w:space="0" w:color="auto"/>
              <w:right w:val="single" w:sz="4" w:space="0" w:color="auto"/>
            </w:tcBorders>
            <w:shd w:val="clear" w:color="auto" w:fill="FF0000"/>
            <w:noWrap/>
            <w:vAlign w:val="bottom"/>
            <w:hideMark/>
          </w:tcPr>
          <w:p w:rsidR="00AE001B" w:rsidRPr="00B30577" w:rsidRDefault="00AE001B" w:rsidP="00E51EDD">
            <w:pPr>
              <w:spacing w:after="0" w:line="240" w:lineRule="auto"/>
              <w:rPr>
                <w:rFonts w:ascii="Arial" w:eastAsia="Times New Roman" w:hAnsi="Arial" w:cs="Arial"/>
                <w:color w:val="000000"/>
                <w:sz w:val="16"/>
                <w:lang w:eastAsia="es-CO"/>
              </w:rPr>
            </w:pPr>
            <w:r w:rsidRPr="00B30577">
              <w:rPr>
                <w:rFonts w:ascii="Arial" w:eastAsia="Times New Roman" w:hAnsi="Arial" w:cs="Arial"/>
                <w:color w:val="000000"/>
                <w:sz w:val="16"/>
                <w:lang w:eastAsia="es-CO"/>
              </w:rPr>
              <w:t>CAQUETÁ</w:t>
            </w:r>
          </w:p>
        </w:tc>
        <w:tc>
          <w:tcPr>
            <w:tcW w:w="1001" w:type="dxa"/>
            <w:tcBorders>
              <w:top w:val="nil"/>
              <w:left w:val="nil"/>
              <w:bottom w:val="single" w:sz="4" w:space="0" w:color="auto"/>
              <w:right w:val="single" w:sz="4" w:space="0" w:color="auto"/>
            </w:tcBorders>
            <w:shd w:val="clear" w:color="auto" w:fill="FF0000"/>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6</w:t>
            </w:r>
          </w:p>
        </w:tc>
        <w:tc>
          <w:tcPr>
            <w:tcW w:w="993" w:type="dxa"/>
            <w:tcBorders>
              <w:top w:val="nil"/>
              <w:left w:val="nil"/>
              <w:bottom w:val="single" w:sz="4" w:space="0" w:color="auto"/>
              <w:right w:val="single" w:sz="4" w:space="0" w:color="auto"/>
            </w:tcBorders>
            <w:shd w:val="clear" w:color="auto" w:fill="FF0000"/>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24.618</w:t>
            </w:r>
          </w:p>
        </w:tc>
        <w:tc>
          <w:tcPr>
            <w:tcW w:w="1134" w:type="dxa"/>
            <w:tcBorders>
              <w:top w:val="nil"/>
              <w:left w:val="nil"/>
              <w:bottom w:val="single" w:sz="4" w:space="0" w:color="auto"/>
              <w:right w:val="single" w:sz="4" w:space="0" w:color="auto"/>
            </w:tcBorders>
            <w:shd w:val="clear" w:color="auto" w:fill="FF0000"/>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77.268</w:t>
            </w:r>
          </w:p>
        </w:tc>
        <w:tc>
          <w:tcPr>
            <w:tcW w:w="992" w:type="dxa"/>
            <w:tcBorders>
              <w:top w:val="nil"/>
              <w:left w:val="nil"/>
              <w:bottom w:val="single" w:sz="4" w:space="0" w:color="auto"/>
              <w:right w:val="single" w:sz="4" w:space="0" w:color="auto"/>
            </w:tcBorders>
            <w:shd w:val="clear" w:color="auto" w:fill="FF0000"/>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53.627</w:t>
            </w:r>
          </w:p>
        </w:tc>
        <w:tc>
          <w:tcPr>
            <w:tcW w:w="992" w:type="dxa"/>
            <w:tcBorders>
              <w:top w:val="nil"/>
              <w:left w:val="nil"/>
              <w:bottom w:val="single" w:sz="4" w:space="0" w:color="auto"/>
              <w:right w:val="single" w:sz="4" w:space="0" w:color="auto"/>
            </w:tcBorders>
            <w:shd w:val="clear" w:color="auto" w:fill="FF0000"/>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26.590</w:t>
            </w:r>
          </w:p>
        </w:tc>
        <w:tc>
          <w:tcPr>
            <w:tcW w:w="1001" w:type="dxa"/>
            <w:tcBorders>
              <w:top w:val="nil"/>
              <w:left w:val="nil"/>
              <w:bottom w:val="single" w:sz="4" w:space="0" w:color="auto"/>
              <w:right w:val="single" w:sz="4" w:space="0" w:color="auto"/>
            </w:tcBorders>
            <w:shd w:val="clear" w:color="auto" w:fill="FF0000"/>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182.109</w:t>
            </w:r>
          </w:p>
        </w:tc>
        <w:tc>
          <w:tcPr>
            <w:tcW w:w="1134" w:type="dxa"/>
            <w:tcBorders>
              <w:top w:val="nil"/>
              <w:left w:val="nil"/>
              <w:bottom w:val="single" w:sz="4" w:space="0" w:color="auto"/>
              <w:right w:val="single" w:sz="4" w:space="0" w:color="auto"/>
            </w:tcBorders>
            <w:shd w:val="clear" w:color="auto" w:fill="FF0000"/>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Muy alto</w:t>
            </w:r>
          </w:p>
        </w:tc>
      </w:tr>
      <w:tr w:rsidR="00AE001B" w:rsidRPr="00B30577" w:rsidTr="00E51EDD">
        <w:trPr>
          <w:trHeight w:val="132"/>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6"/>
                <w:lang w:eastAsia="es-CO"/>
              </w:rPr>
            </w:pPr>
            <w:r w:rsidRPr="00B30577">
              <w:rPr>
                <w:rFonts w:ascii="Arial" w:eastAsia="Times New Roman" w:hAnsi="Arial" w:cs="Arial"/>
                <w:color w:val="000000"/>
                <w:sz w:val="16"/>
                <w:lang w:eastAsia="es-CO"/>
              </w:rPr>
              <w:t>CALDAS</w:t>
            </w:r>
          </w:p>
        </w:tc>
        <w:tc>
          <w:tcPr>
            <w:tcW w:w="100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1.525</w:t>
            </w:r>
          </w:p>
        </w:tc>
        <w:tc>
          <w:tcPr>
            <w:tcW w:w="993"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31.083</w:t>
            </w:r>
          </w:p>
        </w:tc>
        <w:tc>
          <w:tcPr>
            <w:tcW w:w="1134"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27.683</w:t>
            </w:r>
          </w:p>
        </w:tc>
        <w:tc>
          <w:tcPr>
            <w:tcW w:w="992"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57.990</w:t>
            </w:r>
          </w:p>
        </w:tc>
        <w:tc>
          <w:tcPr>
            <w:tcW w:w="992"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19.962</w:t>
            </w:r>
          </w:p>
        </w:tc>
        <w:tc>
          <w:tcPr>
            <w:tcW w:w="100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138.242</w:t>
            </w:r>
          </w:p>
        </w:tc>
        <w:tc>
          <w:tcPr>
            <w:tcW w:w="1134" w:type="dxa"/>
            <w:tcBorders>
              <w:top w:val="nil"/>
              <w:left w:val="nil"/>
              <w:bottom w:val="single" w:sz="4" w:space="0" w:color="auto"/>
              <w:right w:val="single" w:sz="4" w:space="0" w:color="auto"/>
            </w:tcBorders>
            <w:shd w:val="clear" w:color="auto" w:fill="auto"/>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Medio bajo</w:t>
            </w:r>
          </w:p>
        </w:tc>
      </w:tr>
      <w:tr w:rsidR="00AE001B" w:rsidRPr="00B30577" w:rsidTr="00E51EDD">
        <w:trPr>
          <w:trHeight w:val="176"/>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6"/>
                <w:lang w:eastAsia="es-CO"/>
              </w:rPr>
            </w:pPr>
            <w:r w:rsidRPr="00B30577">
              <w:rPr>
                <w:rFonts w:ascii="Arial" w:eastAsia="Times New Roman" w:hAnsi="Arial" w:cs="Arial"/>
                <w:color w:val="000000"/>
                <w:sz w:val="16"/>
                <w:lang w:eastAsia="es-CO"/>
              </w:rPr>
              <w:t>RISARALDA</w:t>
            </w:r>
          </w:p>
        </w:tc>
        <w:tc>
          <w:tcPr>
            <w:tcW w:w="100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202</w:t>
            </w:r>
          </w:p>
        </w:tc>
        <w:tc>
          <w:tcPr>
            <w:tcW w:w="993"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15.926</w:t>
            </w:r>
          </w:p>
        </w:tc>
        <w:tc>
          <w:tcPr>
            <w:tcW w:w="1134"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27.528</w:t>
            </w:r>
          </w:p>
        </w:tc>
        <w:tc>
          <w:tcPr>
            <w:tcW w:w="992"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56.632</w:t>
            </w:r>
          </w:p>
        </w:tc>
        <w:tc>
          <w:tcPr>
            <w:tcW w:w="992"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17.112</w:t>
            </w:r>
          </w:p>
        </w:tc>
        <w:tc>
          <w:tcPr>
            <w:tcW w:w="100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117.400</w:t>
            </w:r>
          </w:p>
        </w:tc>
        <w:tc>
          <w:tcPr>
            <w:tcW w:w="1134" w:type="dxa"/>
            <w:tcBorders>
              <w:top w:val="nil"/>
              <w:left w:val="nil"/>
              <w:bottom w:val="single" w:sz="4" w:space="0" w:color="auto"/>
              <w:right w:val="single" w:sz="4" w:space="0" w:color="auto"/>
            </w:tcBorders>
            <w:shd w:val="clear" w:color="auto" w:fill="auto"/>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Medio bajo</w:t>
            </w:r>
          </w:p>
        </w:tc>
      </w:tr>
      <w:tr w:rsidR="00AE001B" w:rsidRPr="00B30577" w:rsidTr="00E51EDD">
        <w:trPr>
          <w:trHeight w:val="127"/>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6"/>
                <w:lang w:eastAsia="es-CO"/>
              </w:rPr>
            </w:pPr>
            <w:r w:rsidRPr="00B30577">
              <w:rPr>
                <w:rFonts w:ascii="Arial" w:eastAsia="Times New Roman" w:hAnsi="Arial" w:cs="Arial"/>
                <w:color w:val="000000"/>
                <w:sz w:val="16"/>
                <w:lang w:eastAsia="es-CO"/>
              </w:rPr>
              <w:t>QUINDÍO</w:t>
            </w:r>
          </w:p>
        </w:tc>
        <w:tc>
          <w:tcPr>
            <w:tcW w:w="100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48</w:t>
            </w:r>
          </w:p>
        </w:tc>
        <w:tc>
          <w:tcPr>
            <w:tcW w:w="993"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12.743</w:t>
            </w:r>
          </w:p>
        </w:tc>
        <w:tc>
          <w:tcPr>
            <w:tcW w:w="1134"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27.858</w:t>
            </w:r>
          </w:p>
        </w:tc>
        <w:tc>
          <w:tcPr>
            <w:tcW w:w="992"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40.208</w:t>
            </w:r>
          </w:p>
        </w:tc>
        <w:tc>
          <w:tcPr>
            <w:tcW w:w="992"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9.053</w:t>
            </w:r>
          </w:p>
        </w:tc>
        <w:tc>
          <w:tcPr>
            <w:tcW w:w="100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89.910</w:t>
            </w:r>
          </w:p>
        </w:tc>
        <w:tc>
          <w:tcPr>
            <w:tcW w:w="1134" w:type="dxa"/>
            <w:tcBorders>
              <w:top w:val="nil"/>
              <w:left w:val="nil"/>
              <w:bottom w:val="single" w:sz="4" w:space="0" w:color="auto"/>
              <w:right w:val="single" w:sz="4" w:space="0" w:color="auto"/>
            </w:tcBorders>
            <w:shd w:val="clear" w:color="auto" w:fill="auto"/>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Bajo</w:t>
            </w:r>
          </w:p>
        </w:tc>
      </w:tr>
      <w:tr w:rsidR="00AE001B" w:rsidRPr="00B30577" w:rsidTr="00E51EDD">
        <w:trPr>
          <w:trHeight w:val="127"/>
          <w:jc w:val="center"/>
        </w:trPr>
        <w:tc>
          <w:tcPr>
            <w:tcW w:w="1555" w:type="dxa"/>
            <w:tcBorders>
              <w:top w:val="nil"/>
              <w:left w:val="single" w:sz="4" w:space="0" w:color="auto"/>
              <w:bottom w:val="single" w:sz="4" w:space="0" w:color="auto"/>
              <w:right w:val="single" w:sz="4" w:space="0" w:color="auto"/>
            </w:tcBorders>
            <w:shd w:val="clear" w:color="auto" w:fill="FF0000"/>
            <w:noWrap/>
            <w:vAlign w:val="bottom"/>
            <w:hideMark/>
          </w:tcPr>
          <w:p w:rsidR="00AE001B" w:rsidRPr="00B30577" w:rsidRDefault="00AE001B" w:rsidP="00E51EDD">
            <w:pPr>
              <w:spacing w:after="0" w:line="240" w:lineRule="auto"/>
              <w:rPr>
                <w:rFonts w:ascii="Arial" w:eastAsia="Times New Roman" w:hAnsi="Arial" w:cs="Arial"/>
                <w:color w:val="000000"/>
                <w:sz w:val="16"/>
                <w:lang w:eastAsia="es-CO"/>
              </w:rPr>
            </w:pPr>
            <w:r w:rsidRPr="00B30577">
              <w:rPr>
                <w:rFonts w:ascii="Arial" w:eastAsia="Times New Roman" w:hAnsi="Arial" w:cs="Arial"/>
                <w:color w:val="000000"/>
                <w:sz w:val="16"/>
                <w:lang w:eastAsia="es-CO"/>
              </w:rPr>
              <w:t>GUAVIARE</w:t>
            </w:r>
          </w:p>
        </w:tc>
        <w:tc>
          <w:tcPr>
            <w:tcW w:w="1001" w:type="dxa"/>
            <w:tcBorders>
              <w:top w:val="nil"/>
              <w:left w:val="nil"/>
              <w:bottom w:val="single" w:sz="4" w:space="0" w:color="auto"/>
              <w:right w:val="single" w:sz="4" w:space="0" w:color="auto"/>
            </w:tcBorders>
            <w:shd w:val="clear" w:color="auto" w:fill="FF0000"/>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1</w:t>
            </w:r>
          </w:p>
        </w:tc>
        <w:tc>
          <w:tcPr>
            <w:tcW w:w="993" w:type="dxa"/>
            <w:tcBorders>
              <w:top w:val="nil"/>
              <w:left w:val="nil"/>
              <w:bottom w:val="single" w:sz="4" w:space="0" w:color="auto"/>
              <w:right w:val="single" w:sz="4" w:space="0" w:color="auto"/>
            </w:tcBorders>
            <w:shd w:val="clear" w:color="auto" w:fill="FF0000"/>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9.152</w:t>
            </w:r>
          </w:p>
        </w:tc>
        <w:tc>
          <w:tcPr>
            <w:tcW w:w="1134" w:type="dxa"/>
            <w:tcBorders>
              <w:top w:val="nil"/>
              <w:left w:val="nil"/>
              <w:bottom w:val="single" w:sz="4" w:space="0" w:color="auto"/>
              <w:right w:val="single" w:sz="4" w:space="0" w:color="auto"/>
            </w:tcBorders>
            <w:shd w:val="clear" w:color="auto" w:fill="FF0000"/>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44.215</w:t>
            </w:r>
          </w:p>
        </w:tc>
        <w:tc>
          <w:tcPr>
            <w:tcW w:w="992" w:type="dxa"/>
            <w:tcBorders>
              <w:top w:val="nil"/>
              <w:left w:val="nil"/>
              <w:bottom w:val="single" w:sz="4" w:space="0" w:color="auto"/>
              <w:right w:val="single" w:sz="4" w:space="0" w:color="auto"/>
            </w:tcBorders>
            <w:shd w:val="clear" w:color="auto" w:fill="FF0000"/>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21.991</w:t>
            </w:r>
          </w:p>
        </w:tc>
        <w:tc>
          <w:tcPr>
            <w:tcW w:w="992" w:type="dxa"/>
            <w:tcBorders>
              <w:top w:val="nil"/>
              <w:left w:val="nil"/>
              <w:bottom w:val="single" w:sz="4" w:space="0" w:color="auto"/>
              <w:right w:val="single" w:sz="4" w:space="0" w:color="auto"/>
            </w:tcBorders>
            <w:shd w:val="clear" w:color="auto" w:fill="FF0000"/>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12.885</w:t>
            </w:r>
          </w:p>
        </w:tc>
        <w:tc>
          <w:tcPr>
            <w:tcW w:w="1001" w:type="dxa"/>
            <w:tcBorders>
              <w:top w:val="nil"/>
              <w:left w:val="nil"/>
              <w:bottom w:val="single" w:sz="4" w:space="0" w:color="auto"/>
              <w:right w:val="single" w:sz="4" w:space="0" w:color="auto"/>
            </w:tcBorders>
            <w:shd w:val="clear" w:color="auto" w:fill="FF0000"/>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88.245</w:t>
            </w:r>
          </w:p>
        </w:tc>
        <w:tc>
          <w:tcPr>
            <w:tcW w:w="1134" w:type="dxa"/>
            <w:tcBorders>
              <w:top w:val="nil"/>
              <w:left w:val="nil"/>
              <w:bottom w:val="single" w:sz="4" w:space="0" w:color="auto"/>
              <w:right w:val="single" w:sz="4" w:space="0" w:color="auto"/>
            </w:tcBorders>
            <w:shd w:val="clear" w:color="auto" w:fill="FF0000"/>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Muy alto</w:t>
            </w:r>
          </w:p>
        </w:tc>
      </w:tr>
      <w:tr w:rsidR="00AE001B" w:rsidRPr="00B30577" w:rsidTr="00E51EDD">
        <w:trPr>
          <w:trHeight w:val="215"/>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6"/>
                <w:lang w:eastAsia="es-CO"/>
              </w:rPr>
            </w:pPr>
            <w:r w:rsidRPr="00B30577">
              <w:rPr>
                <w:rFonts w:ascii="Arial" w:eastAsia="Times New Roman" w:hAnsi="Arial" w:cs="Arial"/>
                <w:color w:val="000000"/>
                <w:sz w:val="16"/>
                <w:lang w:eastAsia="es-CO"/>
              </w:rPr>
              <w:t>VICHADA</w:t>
            </w:r>
          </w:p>
        </w:tc>
        <w:tc>
          <w:tcPr>
            <w:tcW w:w="100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2</w:t>
            </w:r>
          </w:p>
        </w:tc>
        <w:tc>
          <w:tcPr>
            <w:tcW w:w="993"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6.004</w:t>
            </w:r>
          </w:p>
        </w:tc>
        <w:tc>
          <w:tcPr>
            <w:tcW w:w="1134"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47.773</w:t>
            </w:r>
          </w:p>
        </w:tc>
        <w:tc>
          <w:tcPr>
            <w:tcW w:w="992"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21.161</w:t>
            </w:r>
          </w:p>
        </w:tc>
        <w:tc>
          <w:tcPr>
            <w:tcW w:w="992"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12.815</w:t>
            </w:r>
          </w:p>
        </w:tc>
        <w:tc>
          <w:tcPr>
            <w:tcW w:w="100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87.755</w:t>
            </w:r>
          </w:p>
        </w:tc>
        <w:tc>
          <w:tcPr>
            <w:tcW w:w="1134" w:type="dxa"/>
            <w:tcBorders>
              <w:top w:val="nil"/>
              <w:left w:val="nil"/>
              <w:bottom w:val="single" w:sz="4" w:space="0" w:color="auto"/>
              <w:right w:val="single" w:sz="4" w:space="0" w:color="auto"/>
            </w:tcBorders>
            <w:shd w:val="clear" w:color="auto" w:fill="auto"/>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Medio bajo</w:t>
            </w:r>
          </w:p>
        </w:tc>
      </w:tr>
      <w:tr w:rsidR="00AE001B" w:rsidRPr="00B30577" w:rsidTr="00E51EDD">
        <w:trPr>
          <w:trHeight w:val="133"/>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6"/>
                <w:lang w:eastAsia="es-CO"/>
              </w:rPr>
            </w:pPr>
            <w:r w:rsidRPr="00B30577">
              <w:rPr>
                <w:rFonts w:ascii="Arial" w:eastAsia="Times New Roman" w:hAnsi="Arial" w:cs="Arial"/>
                <w:color w:val="000000"/>
                <w:sz w:val="16"/>
                <w:lang w:eastAsia="es-CO"/>
              </w:rPr>
              <w:t>A. SAN ANDRÉS</w:t>
            </w:r>
          </w:p>
        </w:tc>
        <w:tc>
          <w:tcPr>
            <w:tcW w:w="100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35</w:t>
            </w:r>
          </w:p>
        </w:tc>
        <w:tc>
          <w:tcPr>
            <w:tcW w:w="993"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6.230</w:t>
            </w:r>
          </w:p>
        </w:tc>
        <w:tc>
          <w:tcPr>
            <w:tcW w:w="1134"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36.214</w:t>
            </w:r>
          </w:p>
        </w:tc>
        <w:tc>
          <w:tcPr>
            <w:tcW w:w="992"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17.596</w:t>
            </w:r>
          </w:p>
        </w:tc>
        <w:tc>
          <w:tcPr>
            <w:tcW w:w="992"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10.266</w:t>
            </w:r>
          </w:p>
        </w:tc>
        <w:tc>
          <w:tcPr>
            <w:tcW w:w="100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70.342</w:t>
            </w:r>
          </w:p>
        </w:tc>
        <w:tc>
          <w:tcPr>
            <w:tcW w:w="1134" w:type="dxa"/>
            <w:tcBorders>
              <w:top w:val="nil"/>
              <w:left w:val="nil"/>
              <w:bottom w:val="single" w:sz="4" w:space="0" w:color="auto"/>
              <w:right w:val="single" w:sz="4" w:space="0" w:color="auto"/>
            </w:tcBorders>
            <w:shd w:val="clear" w:color="auto" w:fill="auto"/>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Bajo</w:t>
            </w:r>
          </w:p>
        </w:tc>
      </w:tr>
      <w:tr w:rsidR="00AE001B" w:rsidRPr="00B30577" w:rsidTr="00E51EDD">
        <w:trPr>
          <w:trHeight w:val="65"/>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6"/>
                <w:lang w:eastAsia="es-CO"/>
              </w:rPr>
            </w:pPr>
            <w:r w:rsidRPr="00B30577">
              <w:rPr>
                <w:rFonts w:ascii="Arial" w:eastAsia="Times New Roman" w:hAnsi="Arial" w:cs="Arial"/>
                <w:color w:val="000000"/>
                <w:sz w:val="16"/>
                <w:lang w:eastAsia="es-CO"/>
              </w:rPr>
              <w:t>AMAZONAS</w:t>
            </w:r>
          </w:p>
        </w:tc>
        <w:tc>
          <w:tcPr>
            <w:tcW w:w="100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0</w:t>
            </w:r>
          </w:p>
        </w:tc>
        <w:tc>
          <w:tcPr>
            <w:tcW w:w="993"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3.976</w:t>
            </w:r>
          </w:p>
        </w:tc>
        <w:tc>
          <w:tcPr>
            <w:tcW w:w="1134"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37.853</w:t>
            </w:r>
          </w:p>
        </w:tc>
        <w:tc>
          <w:tcPr>
            <w:tcW w:w="992"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18.238</w:t>
            </w:r>
          </w:p>
        </w:tc>
        <w:tc>
          <w:tcPr>
            <w:tcW w:w="992"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10.270</w:t>
            </w:r>
          </w:p>
        </w:tc>
        <w:tc>
          <w:tcPr>
            <w:tcW w:w="100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70.338</w:t>
            </w:r>
          </w:p>
        </w:tc>
        <w:tc>
          <w:tcPr>
            <w:tcW w:w="1134" w:type="dxa"/>
            <w:tcBorders>
              <w:top w:val="nil"/>
              <w:left w:val="nil"/>
              <w:bottom w:val="single" w:sz="4" w:space="0" w:color="auto"/>
              <w:right w:val="single" w:sz="4" w:space="0" w:color="auto"/>
            </w:tcBorders>
            <w:shd w:val="clear" w:color="auto" w:fill="auto"/>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Bajo</w:t>
            </w:r>
          </w:p>
        </w:tc>
      </w:tr>
      <w:tr w:rsidR="00AE001B" w:rsidRPr="00B30577" w:rsidTr="00E51EDD">
        <w:trPr>
          <w:trHeight w:val="153"/>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6"/>
                <w:lang w:eastAsia="es-CO"/>
              </w:rPr>
            </w:pPr>
            <w:r w:rsidRPr="00B30577">
              <w:rPr>
                <w:rFonts w:ascii="Arial" w:eastAsia="Times New Roman" w:hAnsi="Arial" w:cs="Arial"/>
                <w:color w:val="000000"/>
                <w:sz w:val="16"/>
                <w:lang w:eastAsia="es-CO"/>
              </w:rPr>
              <w:t>GUAINÍA</w:t>
            </w:r>
          </w:p>
        </w:tc>
        <w:tc>
          <w:tcPr>
            <w:tcW w:w="100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436</w:t>
            </w:r>
          </w:p>
        </w:tc>
        <w:tc>
          <w:tcPr>
            <w:tcW w:w="993"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1.590</w:t>
            </w:r>
          </w:p>
        </w:tc>
        <w:tc>
          <w:tcPr>
            <w:tcW w:w="1134"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34.352</w:t>
            </w:r>
          </w:p>
        </w:tc>
        <w:tc>
          <w:tcPr>
            <w:tcW w:w="992"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14.430</w:t>
            </w:r>
          </w:p>
        </w:tc>
        <w:tc>
          <w:tcPr>
            <w:tcW w:w="992"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8.613</w:t>
            </w:r>
          </w:p>
        </w:tc>
        <w:tc>
          <w:tcPr>
            <w:tcW w:w="100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59.420</w:t>
            </w:r>
          </w:p>
        </w:tc>
        <w:tc>
          <w:tcPr>
            <w:tcW w:w="1134" w:type="dxa"/>
            <w:tcBorders>
              <w:top w:val="nil"/>
              <w:left w:val="nil"/>
              <w:bottom w:val="single" w:sz="4" w:space="0" w:color="auto"/>
              <w:right w:val="single" w:sz="4" w:space="0" w:color="auto"/>
            </w:tcBorders>
            <w:shd w:val="clear" w:color="auto" w:fill="auto"/>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Bajo</w:t>
            </w:r>
          </w:p>
        </w:tc>
      </w:tr>
      <w:tr w:rsidR="00AE001B" w:rsidRPr="00B30577" w:rsidTr="00E51EDD">
        <w:trPr>
          <w:trHeight w:val="124"/>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6"/>
                <w:lang w:eastAsia="es-CO"/>
              </w:rPr>
            </w:pPr>
            <w:r w:rsidRPr="00B30577">
              <w:rPr>
                <w:rFonts w:ascii="Arial" w:eastAsia="Times New Roman" w:hAnsi="Arial" w:cs="Arial"/>
                <w:color w:val="000000"/>
                <w:sz w:val="16"/>
                <w:lang w:eastAsia="es-CO"/>
              </w:rPr>
              <w:t>VAUPÉS</w:t>
            </w:r>
          </w:p>
        </w:tc>
        <w:tc>
          <w:tcPr>
            <w:tcW w:w="100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0</w:t>
            </w:r>
          </w:p>
        </w:tc>
        <w:tc>
          <w:tcPr>
            <w:tcW w:w="993"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2.877</w:t>
            </w:r>
          </w:p>
        </w:tc>
        <w:tc>
          <w:tcPr>
            <w:tcW w:w="1134"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33.320</w:t>
            </w:r>
          </w:p>
        </w:tc>
        <w:tc>
          <w:tcPr>
            <w:tcW w:w="992"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14.161</w:t>
            </w:r>
          </w:p>
        </w:tc>
        <w:tc>
          <w:tcPr>
            <w:tcW w:w="992"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8.610</w:t>
            </w:r>
          </w:p>
        </w:tc>
        <w:tc>
          <w:tcPr>
            <w:tcW w:w="100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58.969</w:t>
            </w:r>
          </w:p>
        </w:tc>
        <w:tc>
          <w:tcPr>
            <w:tcW w:w="1134" w:type="dxa"/>
            <w:tcBorders>
              <w:top w:val="nil"/>
              <w:left w:val="nil"/>
              <w:bottom w:val="single" w:sz="4" w:space="0" w:color="auto"/>
              <w:right w:val="single" w:sz="4" w:space="0" w:color="auto"/>
            </w:tcBorders>
            <w:shd w:val="clear" w:color="auto" w:fill="auto"/>
          </w:tcPr>
          <w:p w:rsidR="00AE001B" w:rsidRPr="00B30577" w:rsidRDefault="00AE001B" w:rsidP="00E51EDD">
            <w:pPr>
              <w:spacing w:after="0" w:line="240" w:lineRule="auto"/>
              <w:jc w:val="center"/>
              <w:rPr>
                <w:rFonts w:ascii="Arial" w:eastAsia="Times New Roman" w:hAnsi="Arial" w:cs="Arial"/>
                <w:color w:val="000000"/>
                <w:sz w:val="18"/>
                <w:lang w:eastAsia="es-CO"/>
              </w:rPr>
            </w:pPr>
            <w:r w:rsidRPr="00B30577">
              <w:rPr>
                <w:rFonts w:ascii="Arial" w:eastAsia="Times New Roman" w:hAnsi="Arial" w:cs="Arial"/>
                <w:color w:val="000000"/>
                <w:sz w:val="18"/>
                <w:lang w:eastAsia="es-CO"/>
              </w:rPr>
              <w:t>Medio bajo</w:t>
            </w:r>
          </w:p>
        </w:tc>
      </w:tr>
      <w:tr w:rsidR="00AE001B" w:rsidRPr="00B30577" w:rsidTr="00E51EDD">
        <w:trPr>
          <w:trHeight w:val="174"/>
          <w:jc w:val="center"/>
        </w:trPr>
        <w:tc>
          <w:tcPr>
            <w:tcW w:w="1555" w:type="dxa"/>
            <w:tcBorders>
              <w:top w:val="nil"/>
              <w:left w:val="single" w:sz="4" w:space="0" w:color="auto"/>
              <w:bottom w:val="single" w:sz="4" w:space="0" w:color="auto"/>
              <w:right w:val="single" w:sz="4" w:space="0" w:color="auto"/>
            </w:tcBorders>
            <w:shd w:val="clear" w:color="DAEFF1" w:fill="DAEFF1"/>
            <w:vAlign w:val="bottom"/>
            <w:hideMark/>
          </w:tcPr>
          <w:p w:rsidR="00AE001B" w:rsidRPr="00B30577" w:rsidRDefault="00AE001B" w:rsidP="00E51EDD">
            <w:pPr>
              <w:spacing w:after="0" w:line="240" w:lineRule="auto"/>
              <w:rPr>
                <w:rFonts w:ascii="Arial" w:eastAsia="Times New Roman" w:hAnsi="Arial" w:cs="Arial"/>
                <w:b/>
                <w:bCs/>
                <w:color w:val="000000"/>
                <w:sz w:val="16"/>
                <w:lang w:eastAsia="es-CO"/>
              </w:rPr>
            </w:pPr>
            <w:r w:rsidRPr="00B30577">
              <w:rPr>
                <w:rFonts w:ascii="Arial" w:eastAsia="Times New Roman" w:hAnsi="Arial" w:cs="Arial"/>
                <w:b/>
                <w:bCs/>
                <w:color w:val="000000"/>
                <w:sz w:val="16"/>
                <w:lang w:eastAsia="es-CO"/>
              </w:rPr>
              <w:t>TOTAL</w:t>
            </w:r>
          </w:p>
        </w:tc>
        <w:tc>
          <w:tcPr>
            <w:tcW w:w="1001" w:type="dxa"/>
            <w:tcBorders>
              <w:top w:val="nil"/>
              <w:left w:val="nil"/>
              <w:bottom w:val="single" w:sz="4" w:space="0" w:color="auto"/>
              <w:right w:val="single" w:sz="4" w:space="0" w:color="auto"/>
            </w:tcBorders>
            <w:shd w:val="clear" w:color="DAEFF1" w:fill="DAEFF1"/>
            <w:noWrap/>
            <w:vAlign w:val="center"/>
            <w:hideMark/>
          </w:tcPr>
          <w:p w:rsidR="00AE001B" w:rsidRPr="00B30577" w:rsidRDefault="00AE001B" w:rsidP="00E51EDD">
            <w:pPr>
              <w:spacing w:after="0" w:line="240" w:lineRule="auto"/>
              <w:jc w:val="center"/>
              <w:rPr>
                <w:rFonts w:ascii="Arial" w:eastAsia="Times New Roman" w:hAnsi="Arial" w:cs="Arial"/>
                <w:b/>
                <w:bCs/>
                <w:color w:val="000000"/>
                <w:sz w:val="18"/>
                <w:lang w:eastAsia="es-CO"/>
              </w:rPr>
            </w:pPr>
            <w:r w:rsidRPr="00B30577">
              <w:rPr>
                <w:rFonts w:ascii="Arial" w:eastAsia="Times New Roman" w:hAnsi="Arial" w:cs="Arial"/>
                <w:b/>
                <w:bCs/>
                <w:color w:val="000000"/>
                <w:sz w:val="18"/>
                <w:lang w:eastAsia="es-CO"/>
              </w:rPr>
              <w:t>1.584.787</w:t>
            </w:r>
          </w:p>
        </w:tc>
        <w:tc>
          <w:tcPr>
            <w:tcW w:w="993" w:type="dxa"/>
            <w:tcBorders>
              <w:top w:val="nil"/>
              <w:left w:val="nil"/>
              <w:bottom w:val="single" w:sz="4" w:space="0" w:color="auto"/>
              <w:right w:val="single" w:sz="4" w:space="0" w:color="auto"/>
            </w:tcBorders>
            <w:shd w:val="clear" w:color="DAEFF1" w:fill="DAEFF1"/>
            <w:noWrap/>
            <w:vAlign w:val="center"/>
            <w:hideMark/>
          </w:tcPr>
          <w:p w:rsidR="00AE001B" w:rsidRPr="00B30577" w:rsidRDefault="00AE001B" w:rsidP="00E51EDD">
            <w:pPr>
              <w:spacing w:after="0" w:line="240" w:lineRule="auto"/>
              <w:jc w:val="center"/>
              <w:rPr>
                <w:rFonts w:ascii="Arial" w:eastAsia="Times New Roman" w:hAnsi="Arial" w:cs="Arial"/>
                <w:b/>
                <w:bCs/>
                <w:color w:val="000000"/>
                <w:sz w:val="18"/>
                <w:lang w:eastAsia="es-CO"/>
              </w:rPr>
            </w:pPr>
            <w:r w:rsidRPr="00B30577">
              <w:rPr>
                <w:rFonts w:ascii="Arial" w:eastAsia="Times New Roman" w:hAnsi="Arial" w:cs="Arial"/>
                <w:b/>
                <w:bCs/>
                <w:color w:val="000000"/>
                <w:sz w:val="18"/>
                <w:lang w:eastAsia="es-CO"/>
              </w:rPr>
              <w:t>1.566.482</w:t>
            </w:r>
          </w:p>
        </w:tc>
        <w:tc>
          <w:tcPr>
            <w:tcW w:w="1134" w:type="dxa"/>
            <w:tcBorders>
              <w:top w:val="nil"/>
              <w:left w:val="nil"/>
              <w:bottom w:val="single" w:sz="4" w:space="0" w:color="auto"/>
              <w:right w:val="single" w:sz="4" w:space="0" w:color="auto"/>
            </w:tcBorders>
            <w:shd w:val="clear" w:color="DAEFF1" w:fill="DAEFF1"/>
            <w:noWrap/>
            <w:vAlign w:val="center"/>
            <w:hideMark/>
          </w:tcPr>
          <w:p w:rsidR="00AE001B" w:rsidRPr="00B30577" w:rsidRDefault="00AE001B" w:rsidP="00E51EDD">
            <w:pPr>
              <w:spacing w:after="0" w:line="240" w:lineRule="auto"/>
              <w:jc w:val="center"/>
              <w:rPr>
                <w:rFonts w:ascii="Arial" w:eastAsia="Times New Roman" w:hAnsi="Arial" w:cs="Arial"/>
                <w:b/>
                <w:bCs/>
                <w:color w:val="000000"/>
                <w:sz w:val="18"/>
                <w:lang w:eastAsia="es-CO"/>
              </w:rPr>
            </w:pPr>
            <w:r w:rsidRPr="00B30577">
              <w:rPr>
                <w:rFonts w:ascii="Arial" w:eastAsia="Times New Roman" w:hAnsi="Arial" w:cs="Arial"/>
                <w:b/>
                <w:bCs/>
                <w:color w:val="000000"/>
                <w:sz w:val="18"/>
                <w:lang w:eastAsia="es-CO"/>
              </w:rPr>
              <w:t>2.349.724</w:t>
            </w:r>
          </w:p>
        </w:tc>
        <w:tc>
          <w:tcPr>
            <w:tcW w:w="992" w:type="dxa"/>
            <w:tcBorders>
              <w:top w:val="nil"/>
              <w:left w:val="nil"/>
              <w:bottom w:val="single" w:sz="4" w:space="0" w:color="auto"/>
              <w:right w:val="single" w:sz="4" w:space="0" w:color="auto"/>
            </w:tcBorders>
            <w:shd w:val="clear" w:color="DAEFF1" w:fill="DAEFF1"/>
            <w:noWrap/>
            <w:vAlign w:val="center"/>
            <w:hideMark/>
          </w:tcPr>
          <w:p w:rsidR="00AE001B" w:rsidRPr="00B30577" w:rsidRDefault="00AE001B" w:rsidP="00E51EDD">
            <w:pPr>
              <w:spacing w:after="0" w:line="240" w:lineRule="auto"/>
              <w:rPr>
                <w:rFonts w:ascii="Arial" w:eastAsia="Times New Roman" w:hAnsi="Arial" w:cs="Arial"/>
                <w:b/>
                <w:bCs/>
                <w:color w:val="000000"/>
                <w:sz w:val="18"/>
                <w:lang w:eastAsia="es-CO"/>
              </w:rPr>
            </w:pPr>
            <w:r w:rsidRPr="00B30577">
              <w:rPr>
                <w:rFonts w:ascii="Arial" w:eastAsia="Times New Roman" w:hAnsi="Arial" w:cs="Arial"/>
                <w:b/>
                <w:bCs/>
                <w:color w:val="000000"/>
                <w:sz w:val="18"/>
                <w:lang w:eastAsia="es-CO"/>
              </w:rPr>
              <w:t>2.610.804</w:t>
            </w:r>
          </w:p>
        </w:tc>
        <w:tc>
          <w:tcPr>
            <w:tcW w:w="992" w:type="dxa"/>
            <w:tcBorders>
              <w:top w:val="nil"/>
              <w:left w:val="nil"/>
              <w:bottom w:val="single" w:sz="4" w:space="0" w:color="auto"/>
              <w:right w:val="single" w:sz="4" w:space="0" w:color="auto"/>
            </w:tcBorders>
            <w:shd w:val="clear" w:color="DAEFF1" w:fill="DAEFF1"/>
            <w:noWrap/>
            <w:vAlign w:val="center"/>
            <w:hideMark/>
          </w:tcPr>
          <w:p w:rsidR="00AE001B" w:rsidRPr="00B30577" w:rsidRDefault="00AE001B" w:rsidP="00E51EDD">
            <w:pPr>
              <w:spacing w:after="0" w:line="240" w:lineRule="auto"/>
              <w:jc w:val="center"/>
              <w:rPr>
                <w:rFonts w:ascii="Arial" w:eastAsia="Times New Roman" w:hAnsi="Arial" w:cs="Arial"/>
                <w:b/>
                <w:bCs/>
                <w:color w:val="000000"/>
                <w:sz w:val="18"/>
                <w:lang w:eastAsia="es-CO"/>
              </w:rPr>
            </w:pPr>
            <w:r w:rsidRPr="00B30577">
              <w:rPr>
                <w:rFonts w:ascii="Arial" w:eastAsia="Times New Roman" w:hAnsi="Arial" w:cs="Arial"/>
                <w:b/>
                <w:bCs/>
                <w:color w:val="000000"/>
                <w:sz w:val="18"/>
                <w:lang w:eastAsia="es-CO"/>
              </w:rPr>
              <w:t>1.111.248</w:t>
            </w:r>
          </w:p>
        </w:tc>
        <w:tc>
          <w:tcPr>
            <w:tcW w:w="1001" w:type="dxa"/>
            <w:tcBorders>
              <w:top w:val="nil"/>
              <w:left w:val="nil"/>
              <w:bottom w:val="single" w:sz="4" w:space="0" w:color="auto"/>
              <w:right w:val="single" w:sz="4" w:space="0" w:color="auto"/>
            </w:tcBorders>
            <w:shd w:val="clear" w:color="DAEFF1" w:fill="DAEFF1"/>
            <w:noWrap/>
            <w:vAlign w:val="center"/>
            <w:hideMark/>
          </w:tcPr>
          <w:p w:rsidR="00AE001B" w:rsidRPr="00B30577" w:rsidRDefault="00AE001B" w:rsidP="00E51EDD">
            <w:pPr>
              <w:spacing w:after="0" w:line="240" w:lineRule="auto"/>
              <w:jc w:val="center"/>
              <w:rPr>
                <w:rFonts w:ascii="Arial" w:eastAsia="Times New Roman" w:hAnsi="Arial" w:cs="Arial"/>
                <w:b/>
                <w:bCs/>
                <w:color w:val="000000"/>
                <w:sz w:val="18"/>
                <w:lang w:eastAsia="es-CO"/>
              </w:rPr>
            </w:pPr>
            <w:r w:rsidRPr="00B30577">
              <w:rPr>
                <w:rFonts w:ascii="Arial" w:eastAsia="Times New Roman" w:hAnsi="Arial" w:cs="Arial"/>
                <w:b/>
                <w:bCs/>
                <w:color w:val="000000"/>
                <w:sz w:val="18"/>
                <w:lang w:eastAsia="es-CO"/>
              </w:rPr>
              <w:t>9.223.045</w:t>
            </w:r>
          </w:p>
        </w:tc>
        <w:tc>
          <w:tcPr>
            <w:tcW w:w="1134" w:type="dxa"/>
            <w:tcBorders>
              <w:top w:val="nil"/>
              <w:left w:val="nil"/>
              <w:bottom w:val="single" w:sz="4" w:space="0" w:color="auto"/>
              <w:right w:val="single" w:sz="4" w:space="0" w:color="auto"/>
            </w:tcBorders>
            <w:shd w:val="clear" w:color="DAEFF1" w:fill="DAEFF1"/>
          </w:tcPr>
          <w:p w:rsidR="00AE001B" w:rsidRPr="00B30577" w:rsidRDefault="00AE001B" w:rsidP="00E51EDD">
            <w:pPr>
              <w:spacing w:after="0" w:line="240" w:lineRule="auto"/>
              <w:jc w:val="center"/>
              <w:rPr>
                <w:rFonts w:ascii="Arial" w:eastAsia="Times New Roman" w:hAnsi="Arial" w:cs="Arial"/>
                <w:b/>
                <w:bCs/>
                <w:color w:val="000000"/>
                <w:sz w:val="18"/>
                <w:lang w:eastAsia="es-CO"/>
              </w:rPr>
            </w:pPr>
          </w:p>
        </w:tc>
      </w:tr>
    </w:tbl>
    <w:p w:rsidR="00AE001B" w:rsidRPr="00B30577" w:rsidRDefault="00AE001B" w:rsidP="00AE001B">
      <w:pPr>
        <w:spacing w:after="0" w:line="200" w:lineRule="atLeast"/>
        <w:jc w:val="both"/>
        <w:textAlignment w:val="center"/>
        <w:rPr>
          <w:rFonts w:ascii="Arial" w:hAnsi="Arial" w:cs="Arial"/>
          <w:sz w:val="18"/>
          <w:lang w:eastAsia="es-CO"/>
        </w:rPr>
      </w:pPr>
      <w:r w:rsidRPr="00B30577">
        <w:rPr>
          <w:rFonts w:ascii="Arial" w:hAnsi="Arial" w:cs="Arial"/>
          <w:sz w:val="18"/>
          <w:lang w:eastAsia="es-CO"/>
        </w:rPr>
        <w:t>*Se presenta sólo la porción del presupuesto para el bienio 2017-2018 que depende de los ingresos corrientes que por regalías y compensaciones se espera recibir durante estos dos años. Fuente: Artículos 4 y 5 del Decreto 2190 de 2016.  No incluye las asignaciones a Corporaciones Autónomas ni recursos por distribuir.</w:t>
      </w:r>
    </w:p>
    <w:p w:rsidR="00AE001B" w:rsidRPr="00B30577" w:rsidRDefault="00AE001B" w:rsidP="00AE001B">
      <w:pPr>
        <w:spacing w:after="0" w:line="200" w:lineRule="atLeast"/>
        <w:jc w:val="both"/>
        <w:textAlignment w:val="center"/>
        <w:rPr>
          <w:rFonts w:ascii="Arial" w:hAnsi="Arial" w:cs="Arial"/>
          <w:sz w:val="18"/>
          <w:lang w:eastAsia="es-CO"/>
        </w:rPr>
      </w:pPr>
      <w:r w:rsidRPr="00B30577">
        <w:rPr>
          <w:rFonts w:ascii="Arial" w:hAnsi="Arial" w:cs="Arial"/>
          <w:sz w:val="18"/>
          <w:lang w:eastAsia="es-CO"/>
        </w:rPr>
        <w:t>**Fuente: DNP-Grupo de Proyectos Especiales</w:t>
      </w:r>
    </w:p>
    <w:p w:rsidR="00AE001B" w:rsidRPr="003B033E" w:rsidRDefault="00AE001B" w:rsidP="00AE001B">
      <w:pPr>
        <w:jc w:val="both"/>
        <w:rPr>
          <w:rFonts w:ascii="Arial" w:hAnsi="Arial" w:cs="Arial"/>
          <w:b/>
          <w:sz w:val="20"/>
          <w:lang w:eastAsia="es-CO"/>
        </w:rPr>
      </w:pPr>
      <w:r w:rsidRPr="00B30577">
        <w:rPr>
          <w:rFonts w:ascii="Arial" w:hAnsi="Arial" w:cs="Arial"/>
          <w:b/>
          <w:lang w:eastAsia="es-CO"/>
        </w:rPr>
        <w:br w:type="page"/>
      </w:r>
      <w:r w:rsidRPr="003B033E">
        <w:rPr>
          <w:rFonts w:ascii="Arial" w:hAnsi="Arial" w:cs="Arial"/>
          <w:lang w:eastAsia="es-CO"/>
        </w:rPr>
        <w:lastRenderedPageBreak/>
        <w:t xml:space="preserve">En términos per cápita, tampoco existe una relación evidente entre los niveles de inversión y la incidencia del conflicto armado.  </w:t>
      </w:r>
      <w:r>
        <w:rPr>
          <w:rFonts w:ascii="Arial" w:hAnsi="Arial" w:cs="Arial"/>
          <w:lang w:eastAsia="es-CO"/>
        </w:rPr>
        <w:t>Es así como</w:t>
      </w:r>
      <w:r w:rsidRPr="003B033E">
        <w:rPr>
          <w:rFonts w:ascii="Arial" w:hAnsi="Arial" w:cs="Arial"/>
          <w:lang w:eastAsia="es-CO"/>
        </w:rPr>
        <w:t xml:space="preserve"> algunos de los territorios </w:t>
      </w:r>
      <w:r>
        <w:rPr>
          <w:rFonts w:ascii="Arial" w:hAnsi="Arial" w:cs="Arial"/>
          <w:lang w:eastAsia="es-CO"/>
        </w:rPr>
        <w:t xml:space="preserve">con mayor incidencia del conflicto armado, </w:t>
      </w:r>
      <w:r w:rsidRPr="003B033E">
        <w:rPr>
          <w:rFonts w:ascii="Arial" w:hAnsi="Arial" w:cs="Arial"/>
          <w:lang w:eastAsia="es-CO"/>
        </w:rPr>
        <w:t>tienen comparativamente menores recursos de regalías que otros con menor afectación.</w:t>
      </w:r>
    </w:p>
    <w:p w:rsidR="00AE001B" w:rsidRPr="00B30577" w:rsidRDefault="00AE001B" w:rsidP="00AE001B">
      <w:pPr>
        <w:spacing w:after="0" w:line="288" w:lineRule="atLeast"/>
        <w:jc w:val="center"/>
        <w:textAlignment w:val="center"/>
        <w:rPr>
          <w:rFonts w:ascii="Arial" w:hAnsi="Arial" w:cs="Arial"/>
          <w:b/>
          <w:lang w:eastAsia="es-CO"/>
        </w:rPr>
      </w:pPr>
      <w:r w:rsidRPr="00B30577">
        <w:rPr>
          <w:rFonts w:ascii="Arial" w:hAnsi="Arial" w:cs="Arial"/>
          <w:b/>
          <w:lang w:eastAsia="es-CO"/>
        </w:rPr>
        <w:t>Cuadro 3</w:t>
      </w:r>
    </w:p>
    <w:p w:rsidR="00AE001B" w:rsidRPr="00B30577" w:rsidRDefault="00AE001B" w:rsidP="00AE001B">
      <w:pPr>
        <w:spacing w:after="0" w:line="288" w:lineRule="atLeast"/>
        <w:jc w:val="center"/>
        <w:textAlignment w:val="center"/>
        <w:rPr>
          <w:rFonts w:ascii="Arial" w:hAnsi="Arial" w:cs="Arial"/>
          <w:b/>
          <w:lang w:eastAsia="es-CO"/>
        </w:rPr>
      </w:pPr>
      <w:r w:rsidRPr="00B30577">
        <w:rPr>
          <w:rFonts w:ascii="Arial" w:hAnsi="Arial" w:cs="Arial"/>
          <w:b/>
          <w:lang w:eastAsia="es-CO"/>
        </w:rPr>
        <w:t>Presupuesto de inversión 2017-2018 per cápita por departamento</w:t>
      </w:r>
    </w:p>
    <w:tbl>
      <w:tblPr>
        <w:tblW w:w="7975" w:type="dxa"/>
        <w:jc w:val="center"/>
        <w:tblCellMar>
          <w:left w:w="70" w:type="dxa"/>
          <w:right w:w="70" w:type="dxa"/>
        </w:tblCellMar>
        <w:tblLook w:val="04A0" w:firstRow="1" w:lastRow="0" w:firstColumn="1" w:lastColumn="0" w:noHBand="0" w:noVBand="1"/>
      </w:tblPr>
      <w:tblGrid>
        <w:gridCol w:w="2126"/>
        <w:gridCol w:w="2109"/>
        <w:gridCol w:w="1780"/>
        <w:gridCol w:w="1960"/>
      </w:tblGrid>
      <w:tr w:rsidR="00AE001B" w:rsidRPr="00B30577" w:rsidTr="00E51EDD">
        <w:trPr>
          <w:trHeight w:val="266"/>
          <w:jc w:val="center"/>
        </w:trPr>
        <w:tc>
          <w:tcPr>
            <w:tcW w:w="2126" w:type="dxa"/>
            <w:tcBorders>
              <w:top w:val="single" w:sz="4" w:space="0" w:color="auto"/>
              <w:left w:val="single" w:sz="4" w:space="0" w:color="auto"/>
              <w:bottom w:val="single" w:sz="4" w:space="0" w:color="auto"/>
              <w:right w:val="single" w:sz="4" w:space="0" w:color="auto"/>
            </w:tcBorders>
            <w:shd w:val="clear" w:color="DAEFF1" w:fill="DAEFF1"/>
            <w:vAlign w:val="center"/>
            <w:hideMark/>
          </w:tcPr>
          <w:p w:rsidR="00AE001B" w:rsidRPr="00B30577" w:rsidRDefault="00AE001B" w:rsidP="00E51EDD">
            <w:pPr>
              <w:spacing w:after="0" w:line="240" w:lineRule="auto"/>
              <w:jc w:val="center"/>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DEPARTAMENTO </w:t>
            </w:r>
            <w:r w:rsidRPr="00B30577">
              <w:rPr>
                <w:rFonts w:ascii="Arial" w:eastAsia="Times New Roman" w:hAnsi="Arial" w:cs="Arial"/>
                <w:color w:val="000000"/>
                <w:sz w:val="18"/>
                <w:szCs w:val="16"/>
                <w:lang w:eastAsia="es-CO"/>
              </w:rPr>
              <w:br/>
              <w:t>(Todas las entidades)</w:t>
            </w:r>
          </w:p>
        </w:tc>
        <w:tc>
          <w:tcPr>
            <w:tcW w:w="2109" w:type="dxa"/>
            <w:tcBorders>
              <w:top w:val="single" w:sz="4" w:space="0" w:color="auto"/>
              <w:left w:val="nil"/>
              <w:bottom w:val="single" w:sz="4" w:space="0" w:color="auto"/>
              <w:right w:val="single" w:sz="4" w:space="0" w:color="auto"/>
            </w:tcBorders>
            <w:shd w:val="clear" w:color="DAEFF1" w:fill="DAEFF1"/>
            <w:vAlign w:val="center"/>
            <w:hideMark/>
          </w:tcPr>
          <w:p w:rsidR="00AE001B" w:rsidRPr="00B30577" w:rsidRDefault="00AE001B" w:rsidP="00E51EDD">
            <w:pPr>
              <w:spacing w:after="0" w:line="240" w:lineRule="auto"/>
              <w:jc w:val="center"/>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Presupuesto corriente de inversión 2017-2018 </w:t>
            </w:r>
          </w:p>
          <w:p w:rsidR="00AE001B" w:rsidRPr="00B30577" w:rsidRDefault="00AE001B" w:rsidP="00E51EDD">
            <w:pPr>
              <w:spacing w:after="0" w:line="240" w:lineRule="auto"/>
              <w:jc w:val="center"/>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(millones de pesos)</w:t>
            </w:r>
          </w:p>
        </w:tc>
        <w:tc>
          <w:tcPr>
            <w:tcW w:w="1780" w:type="dxa"/>
            <w:tcBorders>
              <w:top w:val="single" w:sz="4" w:space="0" w:color="auto"/>
              <w:left w:val="nil"/>
              <w:bottom w:val="single" w:sz="4" w:space="0" w:color="auto"/>
              <w:right w:val="single" w:sz="4" w:space="0" w:color="auto"/>
            </w:tcBorders>
            <w:shd w:val="clear" w:color="DAEFF1" w:fill="DAEFF1"/>
            <w:vAlign w:val="center"/>
            <w:hideMark/>
          </w:tcPr>
          <w:p w:rsidR="00AE001B" w:rsidRPr="00B30577" w:rsidRDefault="00AE001B" w:rsidP="00E51EDD">
            <w:pPr>
              <w:spacing w:after="0" w:line="240" w:lineRule="auto"/>
              <w:jc w:val="center"/>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Asignación per cápita 2017-2018</w:t>
            </w:r>
          </w:p>
          <w:p w:rsidR="00AE001B" w:rsidRPr="00B30577" w:rsidRDefault="00AE001B" w:rsidP="00E51EDD">
            <w:pPr>
              <w:spacing w:after="0" w:line="240" w:lineRule="auto"/>
              <w:jc w:val="center"/>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(pesos)</w:t>
            </w:r>
          </w:p>
        </w:tc>
        <w:tc>
          <w:tcPr>
            <w:tcW w:w="1960" w:type="dxa"/>
            <w:tcBorders>
              <w:top w:val="single" w:sz="4" w:space="0" w:color="auto"/>
              <w:left w:val="nil"/>
              <w:bottom w:val="single" w:sz="4" w:space="0" w:color="auto"/>
              <w:right w:val="single" w:sz="4" w:space="0" w:color="auto"/>
            </w:tcBorders>
            <w:shd w:val="clear" w:color="DAEFF1" w:fill="DAEFF1"/>
            <w:vAlign w:val="center"/>
            <w:hideMark/>
          </w:tcPr>
          <w:p w:rsidR="00AE001B" w:rsidRPr="00B30577" w:rsidRDefault="00AE001B" w:rsidP="00E51EDD">
            <w:pPr>
              <w:spacing w:after="0" w:line="240" w:lineRule="auto"/>
              <w:jc w:val="center"/>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Índice de incidencia en el conflicto armado departamental</w:t>
            </w:r>
          </w:p>
        </w:tc>
      </w:tr>
      <w:tr w:rsidR="00AE001B" w:rsidRPr="00B30577" w:rsidTr="00E51EDD">
        <w:trPr>
          <w:trHeight w:val="142"/>
          <w:jc w:val="center"/>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GUAINÍA</w:t>
            </w:r>
          </w:p>
        </w:tc>
        <w:tc>
          <w:tcPr>
            <w:tcW w:w="2109"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59.420</w:t>
            </w:r>
          </w:p>
        </w:tc>
        <w:tc>
          <w:tcPr>
            <w:tcW w:w="178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1.389.067</w:t>
            </w:r>
          </w:p>
        </w:tc>
        <w:tc>
          <w:tcPr>
            <w:tcW w:w="196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Bajo</w:t>
            </w:r>
          </w:p>
        </w:tc>
      </w:tr>
      <w:tr w:rsidR="00AE001B" w:rsidRPr="00B30577" w:rsidTr="00E51EDD">
        <w:trPr>
          <w:trHeight w:val="60"/>
          <w:jc w:val="center"/>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VAUPÉS</w:t>
            </w:r>
          </w:p>
        </w:tc>
        <w:tc>
          <w:tcPr>
            <w:tcW w:w="2109"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58.969 </w:t>
            </w:r>
          </w:p>
        </w:tc>
        <w:tc>
          <w:tcPr>
            <w:tcW w:w="178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1.325.140 </w:t>
            </w:r>
          </w:p>
        </w:tc>
        <w:tc>
          <w:tcPr>
            <w:tcW w:w="196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Medio Bajo</w:t>
            </w:r>
          </w:p>
        </w:tc>
      </w:tr>
      <w:tr w:rsidR="00AE001B" w:rsidRPr="00B30577" w:rsidTr="00E51EDD">
        <w:trPr>
          <w:trHeight w:val="120"/>
          <w:jc w:val="center"/>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VICHADA</w:t>
            </w:r>
          </w:p>
        </w:tc>
        <w:tc>
          <w:tcPr>
            <w:tcW w:w="2109"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87.755 </w:t>
            </w:r>
          </w:p>
        </w:tc>
        <w:tc>
          <w:tcPr>
            <w:tcW w:w="178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1.162.813 </w:t>
            </w:r>
          </w:p>
        </w:tc>
        <w:tc>
          <w:tcPr>
            <w:tcW w:w="196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Medio Bajo</w:t>
            </w:r>
          </w:p>
        </w:tc>
      </w:tr>
      <w:tr w:rsidR="00AE001B" w:rsidRPr="00B30577" w:rsidTr="00E51EDD">
        <w:trPr>
          <w:trHeight w:val="195"/>
          <w:jc w:val="center"/>
        </w:trPr>
        <w:tc>
          <w:tcPr>
            <w:tcW w:w="2126" w:type="dxa"/>
            <w:tcBorders>
              <w:top w:val="nil"/>
              <w:left w:val="single" w:sz="4" w:space="0" w:color="auto"/>
              <w:bottom w:val="single" w:sz="4" w:space="0" w:color="auto"/>
              <w:right w:val="single" w:sz="4" w:space="0" w:color="auto"/>
            </w:tcBorders>
            <w:shd w:val="clear" w:color="auto" w:fill="FFFF00"/>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CASANARE</w:t>
            </w:r>
          </w:p>
        </w:tc>
        <w:tc>
          <w:tcPr>
            <w:tcW w:w="2109" w:type="dxa"/>
            <w:tcBorders>
              <w:top w:val="nil"/>
              <w:left w:val="nil"/>
              <w:bottom w:val="single" w:sz="4" w:space="0" w:color="auto"/>
              <w:right w:val="single" w:sz="4" w:space="0" w:color="auto"/>
            </w:tcBorders>
            <w:shd w:val="clear" w:color="auto" w:fill="FFFF00"/>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365.865 </w:t>
            </w:r>
          </w:p>
        </w:tc>
        <w:tc>
          <w:tcPr>
            <w:tcW w:w="1780" w:type="dxa"/>
            <w:tcBorders>
              <w:top w:val="nil"/>
              <w:left w:val="nil"/>
              <w:bottom w:val="single" w:sz="4" w:space="0" w:color="auto"/>
              <w:right w:val="single" w:sz="4" w:space="0" w:color="auto"/>
            </w:tcBorders>
            <w:shd w:val="clear" w:color="auto" w:fill="FFFF00"/>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991.535 </w:t>
            </w:r>
          </w:p>
        </w:tc>
        <w:tc>
          <w:tcPr>
            <w:tcW w:w="1960" w:type="dxa"/>
            <w:tcBorders>
              <w:top w:val="nil"/>
              <w:left w:val="nil"/>
              <w:bottom w:val="single" w:sz="4" w:space="0" w:color="auto"/>
              <w:right w:val="single" w:sz="4" w:space="0" w:color="auto"/>
            </w:tcBorders>
            <w:shd w:val="clear" w:color="auto" w:fill="FFFF00"/>
            <w:noWrap/>
            <w:vAlign w:val="bottom"/>
            <w:hideMark/>
          </w:tcPr>
          <w:p w:rsidR="00AE001B" w:rsidRPr="00B30577" w:rsidRDefault="00AE001B" w:rsidP="00E51EDD">
            <w:pPr>
              <w:spacing w:after="0" w:line="240" w:lineRule="auto"/>
              <w:jc w:val="center"/>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Medio</w:t>
            </w:r>
          </w:p>
        </w:tc>
      </w:tr>
      <w:tr w:rsidR="00AE001B" w:rsidRPr="00B30577" w:rsidTr="00E51EDD">
        <w:trPr>
          <w:trHeight w:val="126"/>
          <w:jc w:val="center"/>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ARCH. SAN ANDRÉS</w:t>
            </w:r>
          </w:p>
        </w:tc>
        <w:tc>
          <w:tcPr>
            <w:tcW w:w="2109"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70.342 </w:t>
            </w:r>
          </w:p>
        </w:tc>
        <w:tc>
          <w:tcPr>
            <w:tcW w:w="178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904.613 </w:t>
            </w:r>
          </w:p>
        </w:tc>
        <w:tc>
          <w:tcPr>
            <w:tcW w:w="196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Bajo</w:t>
            </w:r>
          </w:p>
        </w:tc>
      </w:tr>
      <w:tr w:rsidR="00AE001B" w:rsidRPr="00B30577" w:rsidTr="00E51EDD">
        <w:trPr>
          <w:trHeight w:val="186"/>
          <w:jc w:val="center"/>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AMAZONAS</w:t>
            </w:r>
          </w:p>
        </w:tc>
        <w:tc>
          <w:tcPr>
            <w:tcW w:w="2109"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70.338 </w:t>
            </w:r>
          </w:p>
        </w:tc>
        <w:tc>
          <w:tcPr>
            <w:tcW w:w="178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902.368 </w:t>
            </w:r>
          </w:p>
        </w:tc>
        <w:tc>
          <w:tcPr>
            <w:tcW w:w="196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Bajo</w:t>
            </w:r>
          </w:p>
        </w:tc>
      </w:tr>
      <w:tr w:rsidR="00AE001B" w:rsidRPr="00B30577" w:rsidTr="00E51EDD">
        <w:trPr>
          <w:trHeight w:val="104"/>
          <w:jc w:val="center"/>
        </w:trPr>
        <w:tc>
          <w:tcPr>
            <w:tcW w:w="2126" w:type="dxa"/>
            <w:tcBorders>
              <w:top w:val="nil"/>
              <w:left w:val="single" w:sz="4" w:space="0" w:color="auto"/>
              <w:bottom w:val="single" w:sz="4" w:space="0" w:color="auto"/>
              <w:right w:val="single" w:sz="4" w:space="0" w:color="auto"/>
            </w:tcBorders>
            <w:shd w:val="clear" w:color="auto" w:fill="FF0000"/>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GUAVIARE</w:t>
            </w:r>
          </w:p>
        </w:tc>
        <w:tc>
          <w:tcPr>
            <w:tcW w:w="2109" w:type="dxa"/>
            <w:tcBorders>
              <w:top w:val="nil"/>
              <w:left w:val="nil"/>
              <w:bottom w:val="single" w:sz="4" w:space="0" w:color="auto"/>
              <w:right w:val="single" w:sz="4" w:space="0" w:color="auto"/>
            </w:tcBorders>
            <w:shd w:val="clear" w:color="auto" w:fill="FF0000"/>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88.245 </w:t>
            </w:r>
          </w:p>
        </w:tc>
        <w:tc>
          <w:tcPr>
            <w:tcW w:w="1780" w:type="dxa"/>
            <w:tcBorders>
              <w:top w:val="nil"/>
              <w:left w:val="nil"/>
              <w:bottom w:val="single" w:sz="4" w:space="0" w:color="auto"/>
              <w:right w:val="single" w:sz="4" w:space="0" w:color="auto"/>
            </w:tcBorders>
            <w:shd w:val="clear" w:color="auto" w:fill="FF0000"/>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772.674 </w:t>
            </w:r>
          </w:p>
        </w:tc>
        <w:tc>
          <w:tcPr>
            <w:tcW w:w="1960" w:type="dxa"/>
            <w:tcBorders>
              <w:top w:val="nil"/>
              <w:left w:val="nil"/>
              <w:bottom w:val="single" w:sz="4" w:space="0" w:color="auto"/>
              <w:right w:val="single" w:sz="4" w:space="0" w:color="auto"/>
            </w:tcBorders>
            <w:shd w:val="clear" w:color="auto" w:fill="FF0000"/>
            <w:noWrap/>
            <w:vAlign w:val="bottom"/>
            <w:hideMark/>
          </w:tcPr>
          <w:p w:rsidR="00AE001B" w:rsidRPr="00B30577" w:rsidRDefault="00AE001B" w:rsidP="00E51EDD">
            <w:pPr>
              <w:spacing w:after="0" w:line="240" w:lineRule="auto"/>
              <w:jc w:val="center"/>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Muy Alto</w:t>
            </w:r>
          </w:p>
        </w:tc>
      </w:tr>
      <w:tr w:rsidR="00AE001B" w:rsidRPr="00B30577" w:rsidTr="00E51EDD">
        <w:trPr>
          <w:trHeight w:val="189"/>
          <w:jc w:val="center"/>
        </w:trPr>
        <w:tc>
          <w:tcPr>
            <w:tcW w:w="2126" w:type="dxa"/>
            <w:tcBorders>
              <w:top w:val="nil"/>
              <w:left w:val="single" w:sz="4" w:space="0" w:color="auto"/>
              <w:bottom w:val="single" w:sz="4" w:space="0" w:color="auto"/>
              <w:right w:val="single" w:sz="4" w:space="0" w:color="auto"/>
            </w:tcBorders>
            <w:shd w:val="clear" w:color="auto" w:fill="FF0000"/>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ARAUCA</w:t>
            </w:r>
          </w:p>
        </w:tc>
        <w:tc>
          <w:tcPr>
            <w:tcW w:w="2109" w:type="dxa"/>
            <w:tcBorders>
              <w:top w:val="nil"/>
              <w:left w:val="nil"/>
              <w:bottom w:val="single" w:sz="4" w:space="0" w:color="auto"/>
              <w:right w:val="single" w:sz="4" w:space="0" w:color="auto"/>
            </w:tcBorders>
            <w:shd w:val="clear" w:color="auto" w:fill="FF0000"/>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186.497 </w:t>
            </w:r>
          </w:p>
        </w:tc>
        <w:tc>
          <w:tcPr>
            <w:tcW w:w="1780" w:type="dxa"/>
            <w:tcBorders>
              <w:top w:val="nil"/>
              <w:left w:val="nil"/>
              <w:bottom w:val="single" w:sz="4" w:space="0" w:color="auto"/>
              <w:right w:val="single" w:sz="4" w:space="0" w:color="auto"/>
            </w:tcBorders>
            <w:shd w:val="clear" w:color="auto" w:fill="FF0000"/>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695.905</w:t>
            </w:r>
          </w:p>
        </w:tc>
        <w:tc>
          <w:tcPr>
            <w:tcW w:w="1960" w:type="dxa"/>
            <w:tcBorders>
              <w:top w:val="nil"/>
              <w:left w:val="nil"/>
              <w:bottom w:val="single" w:sz="4" w:space="0" w:color="auto"/>
              <w:right w:val="single" w:sz="4" w:space="0" w:color="auto"/>
            </w:tcBorders>
            <w:shd w:val="clear" w:color="auto" w:fill="FF0000"/>
            <w:noWrap/>
            <w:vAlign w:val="bottom"/>
            <w:hideMark/>
          </w:tcPr>
          <w:p w:rsidR="00AE001B" w:rsidRPr="00B30577" w:rsidRDefault="00AE001B" w:rsidP="00E51EDD">
            <w:pPr>
              <w:spacing w:after="0" w:line="240" w:lineRule="auto"/>
              <w:jc w:val="center"/>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Muy Alto</w:t>
            </w:r>
          </w:p>
        </w:tc>
      </w:tr>
      <w:tr w:rsidR="00AE001B" w:rsidRPr="00B30577" w:rsidTr="00E51EDD">
        <w:trPr>
          <w:trHeight w:val="132"/>
          <w:jc w:val="center"/>
        </w:trPr>
        <w:tc>
          <w:tcPr>
            <w:tcW w:w="2126" w:type="dxa"/>
            <w:tcBorders>
              <w:top w:val="nil"/>
              <w:left w:val="single" w:sz="4" w:space="0" w:color="auto"/>
              <w:bottom w:val="single" w:sz="4" w:space="0" w:color="auto"/>
              <w:right w:val="single" w:sz="4" w:space="0" w:color="auto"/>
            </w:tcBorders>
            <w:shd w:val="clear" w:color="auto" w:fill="FFC000"/>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META</w:t>
            </w:r>
          </w:p>
        </w:tc>
        <w:tc>
          <w:tcPr>
            <w:tcW w:w="2109" w:type="dxa"/>
            <w:tcBorders>
              <w:top w:val="nil"/>
              <w:left w:val="nil"/>
              <w:bottom w:val="single" w:sz="4" w:space="0" w:color="auto"/>
              <w:right w:val="single" w:sz="4" w:space="0" w:color="auto"/>
            </w:tcBorders>
            <w:shd w:val="clear" w:color="auto" w:fill="FFC000"/>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601.360 </w:t>
            </w:r>
          </w:p>
        </w:tc>
        <w:tc>
          <w:tcPr>
            <w:tcW w:w="1780" w:type="dxa"/>
            <w:tcBorders>
              <w:top w:val="nil"/>
              <w:left w:val="nil"/>
              <w:bottom w:val="single" w:sz="4" w:space="0" w:color="auto"/>
              <w:right w:val="single" w:sz="4" w:space="0" w:color="auto"/>
            </w:tcBorders>
            <w:shd w:val="clear" w:color="auto" w:fill="FFC000"/>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602.467 </w:t>
            </w:r>
          </w:p>
        </w:tc>
        <w:tc>
          <w:tcPr>
            <w:tcW w:w="1960" w:type="dxa"/>
            <w:tcBorders>
              <w:top w:val="nil"/>
              <w:left w:val="nil"/>
              <w:bottom w:val="single" w:sz="4" w:space="0" w:color="auto"/>
              <w:right w:val="single" w:sz="4" w:space="0" w:color="auto"/>
            </w:tcBorders>
            <w:shd w:val="clear" w:color="auto" w:fill="FFC000"/>
            <w:noWrap/>
            <w:vAlign w:val="bottom"/>
            <w:hideMark/>
          </w:tcPr>
          <w:p w:rsidR="00AE001B" w:rsidRPr="00B30577" w:rsidRDefault="00AE001B" w:rsidP="00E51EDD">
            <w:pPr>
              <w:spacing w:after="0" w:line="240" w:lineRule="auto"/>
              <w:jc w:val="center"/>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Alto</w:t>
            </w:r>
          </w:p>
        </w:tc>
      </w:tr>
      <w:tr w:rsidR="00AE001B" w:rsidRPr="00B30577" w:rsidTr="00E51EDD">
        <w:trPr>
          <w:trHeight w:val="201"/>
          <w:jc w:val="center"/>
        </w:trPr>
        <w:tc>
          <w:tcPr>
            <w:tcW w:w="2126" w:type="dxa"/>
            <w:tcBorders>
              <w:top w:val="nil"/>
              <w:left w:val="single" w:sz="4" w:space="0" w:color="auto"/>
              <w:bottom w:val="single" w:sz="4" w:space="0" w:color="auto"/>
              <w:right w:val="single" w:sz="4" w:space="0" w:color="auto"/>
            </w:tcBorders>
            <w:shd w:val="clear" w:color="auto" w:fill="FFFF00"/>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CHOCÓ</w:t>
            </w:r>
          </w:p>
        </w:tc>
        <w:tc>
          <w:tcPr>
            <w:tcW w:w="2109" w:type="dxa"/>
            <w:tcBorders>
              <w:top w:val="nil"/>
              <w:left w:val="nil"/>
              <w:bottom w:val="single" w:sz="4" w:space="0" w:color="auto"/>
              <w:right w:val="single" w:sz="4" w:space="0" w:color="auto"/>
            </w:tcBorders>
            <w:shd w:val="clear" w:color="auto" w:fill="FFFF00"/>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278.943 </w:t>
            </w:r>
          </w:p>
        </w:tc>
        <w:tc>
          <w:tcPr>
            <w:tcW w:w="1780" w:type="dxa"/>
            <w:tcBorders>
              <w:top w:val="nil"/>
              <w:left w:val="nil"/>
              <w:bottom w:val="single" w:sz="4" w:space="0" w:color="auto"/>
              <w:right w:val="single" w:sz="4" w:space="0" w:color="auto"/>
            </w:tcBorders>
            <w:shd w:val="clear" w:color="auto" w:fill="FFFF00"/>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546.896 </w:t>
            </w:r>
          </w:p>
        </w:tc>
        <w:tc>
          <w:tcPr>
            <w:tcW w:w="1960" w:type="dxa"/>
            <w:tcBorders>
              <w:top w:val="nil"/>
              <w:left w:val="nil"/>
              <w:bottom w:val="single" w:sz="4" w:space="0" w:color="auto"/>
              <w:right w:val="single" w:sz="4" w:space="0" w:color="auto"/>
            </w:tcBorders>
            <w:shd w:val="clear" w:color="auto" w:fill="FFFF00"/>
            <w:noWrap/>
            <w:vAlign w:val="bottom"/>
            <w:hideMark/>
          </w:tcPr>
          <w:p w:rsidR="00AE001B" w:rsidRPr="00B30577" w:rsidRDefault="00AE001B" w:rsidP="00E51EDD">
            <w:pPr>
              <w:spacing w:after="0" w:line="240" w:lineRule="auto"/>
              <w:jc w:val="center"/>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Medio</w:t>
            </w:r>
          </w:p>
        </w:tc>
      </w:tr>
      <w:tr w:rsidR="00AE001B" w:rsidRPr="00B30577" w:rsidTr="00E51EDD">
        <w:trPr>
          <w:trHeight w:val="133"/>
          <w:jc w:val="center"/>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LA GUAJIRA</w:t>
            </w:r>
          </w:p>
        </w:tc>
        <w:tc>
          <w:tcPr>
            <w:tcW w:w="2109"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548.417 </w:t>
            </w:r>
          </w:p>
        </w:tc>
        <w:tc>
          <w:tcPr>
            <w:tcW w:w="178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541.418 </w:t>
            </w:r>
          </w:p>
        </w:tc>
        <w:tc>
          <w:tcPr>
            <w:tcW w:w="196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Medio Bajo</w:t>
            </w:r>
          </w:p>
        </w:tc>
      </w:tr>
      <w:tr w:rsidR="00AE001B" w:rsidRPr="00B30577" w:rsidTr="00E51EDD">
        <w:trPr>
          <w:trHeight w:val="193"/>
          <w:jc w:val="center"/>
        </w:trPr>
        <w:tc>
          <w:tcPr>
            <w:tcW w:w="2126" w:type="dxa"/>
            <w:tcBorders>
              <w:top w:val="nil"/>
              <w:left w:val="single" w:sz="4" w:space="0" w:color="auto"/>
              <w:bottom w:val="single" w:sz="4" w:space="0" w:color="auto"/>
              <w:right w:val="single" w:sz="4" w:space="0" w:color="auto"/>
            </w:tcBorders>
            <w:shd w:val="clear" w:color="auto" w:fill="FF0000"/>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PUTUMAYO</w:t>
            </w:r>
          </w:p>
        </w:tc>
        <w:tc>
          <w:tcPr>
            <w:tcW w:w="2109" w:type="dxa"/>
            <w:tcBorders>
              <w:top w:val="nil"/>
              <w:left w:val="nil"/>
              <w:bottom w:val="single" w:sz="4" w:space="0" w:color="auto"/>
              <w:right w:val="single" w:sz="4" w:space="0" w:color="auto"/>
            </w:tcBorders>
            <w:shd w:val="clear" w:color="auto" w:fill="FF0000"/>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185.895 </w:t>
            </w:r>
          </w:p>
        </w:tc>
        <w:tc>
          <w:tcPr>
            <w:tcW w:w="1780" w:type="dxa"/>
            <w:tcBorders>
              <w:top w:val="nil"/>
              <w:left w:val="nil"/>
              <w:bottom w:val="single" w:sz="4" w:space="0" w:color="auto"/>
              <w:right w:val="single" w:sz="4" w:space="0" w:color="auto"/>
            </w:tcBorders>
            <w:shd w:val="clear" w:color="auto" w:fill="FF0000"/>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524.986 </w:t>
            </w:r>
          </w:p>
        </w:tc>
        <w:tc>
          <w:tcPr>
            <w:tcW w:w="1960" w:type="dxa"/>
            <w:tcBorders>
              <w:top w:val="nil"/>
              <w:left w:val="nil"/>
              <w:bottom w:val="single" w:sz="4" w:space="0" w:color="auto"/>
              <w:right w:val="single" w:sz="4" w:space="0" w:color="auto"/>
            </w:tcBorders>
            <w:shd w:val="clear" w:color="auto" w:fill="FF0000"/>
            <w:noWrap/>
            <w:vAlign w:val="bottom"/>
            <w:hideMark/>
          </w:tcPr>
          <w:p w:rsidR="00AE001B" w:rsidRPr="00B30577" w:rsidRDefault="00AE001B" w:rsidP="00E51EDD">
            <w:pPr>
              <w:spacing w:after="0" w:line="240" w:lineRule="auto"/>
              <w:jc w:val="center"/>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Muy Alto</w:t>
            </w:r>
          </w:p>
        </w:tc>
      </w:tr>
      <w:tr w:rsidR="00AE001B" w:rsidRPr="00B30577" w:rsidTr="00E51EDD">
        <w:trPr>
          <w:trHeight w:val="112"/>
          <w:jc w:val="center"/>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CESAR</w:t>
            </w:r>
          </w:p>
        </w:tc>
        <w:tc>
          <w:tcPr>
            <w:tcW w:w="2109"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473.765 </w:t>
            </w:r>
          </w:p>
        </w:tc>
        <w:tc>
          <w:tcPr>
            <w:tcW w:w="178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449.717 </w:t>
            </w:r>
          </w:p>
        </w:tc>
        <w:tc>
          <w:tcPr>
            <w:tcW w:w="196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Medio Bajo</w:t>
            </w:r>
          </w:p>
        </w:tc>
      </w:tr>
      <w:tr w:rsidR="00AE001B" w:rsidRPr="00B30577" w:rsidTr="00E51EDD">
        <w:trPr>
          <w:trHeight w:val="185"/>
          <w:jc w:val="center"/>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SUCRE</w:t>
            </w:r>
          </w:p>
        </w:tc>
        <w:tc>
          <w:tcPr>
            <w:tcW w:w="2109"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360.224 </w:t>
            </w:r>
          </w:p>
        </w:tc>
        <w:tc>
          <w:tcPr>
            <w:tcW w:w="178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414.795 </w:t>
            </w:r>
          </w:p>
        </w:tc>
        <w:tc>
          <w:tcPr>
            <w:tcW w:w="196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Bajo</w:t>
            </w:r>
          </w:p>
        </w:tc>
      </w:tr>
      <w:tr w:rsidR="00AE001B" w:rsidRPr="00B30577" w:rsidTr="00E51EDD">
        <w:trPr>
          <w:trHeight w:val="117"/>
          <w:jc w:val="center"/>
        </w:trPr>
        <w:tc>
          <w:tcPr>
            <w:tcW w:w="2126" w:type="dxa"/>
            <w:tcBorders>
              <w:top w:val="nil"/>
              <w:left w:val="single" w:sz="4" w:space="0" w:color="auto"/>
              <w:bottom w:val="single" w:sz="4" w:space="0" w:color="auto"/>
              <w:right w:val="single" w:sz="4" w:space="0" w:color="auto"/>
            </w:tcBorders>
            <w:shd w:val="clear" w:color="auto" w:fill="FF0000"/>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CAQUETÁ</w:t>
            </w:r>
          </w:p>
        </w:tc>
        <w:tc>
          <w:tcPr>
            <w:tcW w:w="2109" w:type="dxa"/>
            <w:tcBorders>
              <w:top w:val="nil"/>
              <w:left w:val="nil"/>
              <w:bottom w:val="single" w:sz="4" w:space="0" w:color="auto"/>
              <w:right w:val="single" w:sz="4" w:space="0" w:color="auto"/>
            </w:tcBorders>
            <w:shd w:val="clear" w:color="auto" w:fill="FF0000"/>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182.109 </w:t>
            </w:r>
          </w:p>
        </w:tc>
        <w:tc>
          <w:tcPr>
            <w:tcW w:w="1780" w:type="dxa"/>
            <w:tcBorders>
              <w:top w:val="nil"/>
              <w:left w:val="nil"/>
              <w:bottom w:val="single" w:sz="4" w:space="0" w:color="auto"/>
              <w:right w:val="single" w:sz="4" w:space="0" w:color="auto"/>
            </w:tcBorders>
            <w:shd w:val="clear" w:color="auto" w:fill="FF0000"/>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371.609 </w:t>
            </w:r>
          </w:p>
        </w:tc>
        <w:tc>
          <w:tcPr>
            <w:tcW w:w="1960" w:type="dxa"/>
            <w:tcBorders>
              <w:top w:val="nil"/>
              <w:left w:val="nil"/>
              <w:bottom w:val="single" w:sz="4" w:space="0" w:color="auto"/>
              <w:right w:val="single" w:sz="4" w:space="0" w:color="auto"/>
            </w:tcBorders>
            <w:shd w:val="clear" w:color="auto" w:fill="FF0000"/>
            <w:noWrap/>
            <w:vAlign w:val="bottom"/>
            <w:hideMark/>
          </w:tcPr>
          <w:p w:rsidR="00AE001B" w:rsidRPr="00B30577" w:rsidRDefault="00AE001B" w:rsidP="00E51EDD">
            <w:pPr>
              <w:spacing w:after="0" w:line="240" w:lineRule="auto"/>
              <w:jc w:val="center"/>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Muy Alto</w:t>
            </w:r>
          </w:p>
        </w:tc>
      </w:tr>
      <w:tr w:rsidR="00AE001B" w:rsidRPr="00B30577" w:rsidTr="00E51EDD">
        <w:trPr>
          <w:trHeight w:val="177"/>
          <w:jc w:val="center"/>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CÓRDOBA</w:t>
            </w:r>
          </w:p>
        </w:tc>
        <w:tc>
          <w:tcPr>
            <w:tcW w:w="2109"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562.107 </w:t>
            </w:r>
          </w:p>
        </w:tc>
        <w:tc>
          <w:tcPr>
            <w:tcW w:w="178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318.921 </w:t>
            </w:r>
          </w:p>
        </w:tc>
        <w:tc>
          <w:tcPr>
            <w:tcW w:w="196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Bajo</w:t>
            </w:r>
          </w:p>
        </w:tc>
      </w:tr>
      <w:tr w:rsidR="00AE001B" w:rsidRPr="00B30577" w:rsidTr="00E51EDD">
        <w:trPr>
          <w:trHeight w:val="94"/>
          <w:jc w:val="center"/>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HUILA</w:t>
            </w:r>
          </w:p>
        </w:tc>
        <w:tc>
          <w:tcPr>
            <w:tcW w:w="2109"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338.224 </w:t>
            </w:r>
          </w:p>
        </w:tc>
        <w:tc>
          <w:tcPr>
            <w:tcW w:w="178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285.917 </w:t>
            </w:r>
          </w:p>
        </w:tc>
        <w:tc>
          <w:tcPr>
            <w:tcW w:w="196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Medio Bajo</w:t>
            </w:r>
          </w:p>
        </w:tc>
      </w:tr>
      <w:tr w:rsidR="00AE001B" w:rsidRPr="00B30577" w:rsidTr="00E51EDD">
        <w:trPr>
          <w:trHeight w:val="168"/>
          <w:jc w:val="center"/>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MAGDALENA</w:t>
            </w:r>
          </w:p>
        </w:tc>
        <w:tc>
          <w:tcPr>
            <w:tcW w:w="2109"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355.512 </w:t>
            </w:r>
          </w:p>
        </w:tc>
        <w:tc>
          <w:tcPr>
            <w:tcW w:w="178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276.581 </w:t>
            </w:r>
          </w:p>
        </w:tc>
        <w:tc>
          <w:tcPr>
            <w:tcW w:w="196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Medio Bajo</w:t>
            </w:r>
          </w:p>
        </w:tc>
      </w:tr>
      <w:tr w:rsidR="00AE001B" w:rsidRPr="00B30577" w:rsidTr="00E51EDD">
        <w:trPr>
          <w:trHeight w:val="100"/>
          <w:jc w:val="center"/>
        </w:trPr>
        <w:tc>
          <w:tcPr>
            <w:tcW w:w="2126" w:type="dxa"/>
            <w:tcBorders>
              <w:top w:val="nil"/>
              <w:left w:val="single" w:sz="4" w:space="0" w:color="auto"/>
              <w:bottom w:val="single" w:sz="4" w:space="0" w:color="auto"/>
              <w:right w:val="single" w:sz="4" w:space="0" w:color="auto"/>
            </w:tcBorders>
            <w:shd w:val="clear" w:color="auto" w:fill="FFFF00"/>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CAUCA</w:t>
            </w:r>
          </w:p>
        </w:tc>
        <w:tc>
          <w:tcPr>
            <w:tcW w:w="2109" w:type="dxa"/>
            <w:tcBorders>
              <w:top w:val="nil"/>
              <w:left w:val="nil"/>
              <w:bottom w:val="single" w:sz="4" w:space="0" w:color="auto"/>
              <w:right w:val="single" w:sz="4" w:space="0" w:color="auto"/>
            </w:tcBorders>
            <w:shd w:val="clear" w:color="auto" w:fill="FFFF00"/>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371.408 </w:t>
            </w:r>
          </w:p>
        </w:tc>
        <w:tc>
          <w:tcPr>
            <w:tcW w:w="1780" w:type="dxa"/>
            <w:tcBorders>
              <w:top w:val="nil"/>
              <w:left w:val="nil"/>
              <w:bottom w:val="single" w:sz="4" w:space="0" w:color="auto"/>
              <w:right w:val="single" w:sz="4" w:space="0" w:color="auto"/>
            </w:tcBorders>
            <w:shd w:val="clear" w:color="auto" w:fill="FFFF00"/>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264.497 </w:t>
            </w:r>
          </w:p>
        </w:tc>
        <w:tc>
          <w:tcPr>
            <w:tcW w:w="1960" w:type="dxa"/>
            <w:tcBorders>
              <w:top w:val="nil"/>
              <w:left w:val="nil"/>
              <w:bottom w:val="single" w:sz="4" w:space="0" w:color="auto"/>
              <w:right w:val="single" w:sz="4" w:space="0" w:color="auto"/>
            </w:tcBorders>
            <w:shd w:val="clear" w:color="auto" w:fill="FFFF00"/>
            <w:noWrap/>
            <w:vAlign w:val="bottom"/>
            <w:hideMark/>
          </w:tcPr>
          <w:p w:rsidR="00AE001B" w:rsidRPr="00B30577" w:rsidRDefault="00AE001B" w:rsidP="00E51EDD">
            <w:pPr>
              <w:spacing w:after="0" w:line="240" w:lineRule="auto"/>
              <w:jc w:val="center"/>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Medio</w:t>
            </w:r>
          </w:p>
        </w:tc>
      </w:tr>
      <w:tr w:rsidR="00AE001B" w:rsidRPr="00B30577" w:rsidTr="00E51EDD">
        <w:trPr>
          <w:trHeight w:val="160"/>
          <w:jc w:val="center"/>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BOYACÁ</w:t>
            </w:r>
          </w:p>
        </w:tc>
        <w:tc>
          <w:tcPr>
            <w:tcW w:w="2109"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318.196 </w:t>
            </w:r>
          </w:p>
        </w:tc>
        <w:tc>
          <w:tcPr>
            <w:tcW w:w="178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248.599 </w:t>
            </w:r>
          </w:p>
        </w:tc>
        <w:tc>
          <w:tcPr>
            <w:tcW w:w="196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Bajo</w:t>
            </w:r>
          </w:p>
        </w:tc>
      </w:tr>
      <w:tr w:rsidR="00AE001B" w:rsidRPr="00B30577" w:rsidTr="00E51EDD">
        <w:trPr>
          <w:trHeight w:val="93"/>
          <w:jc w:val="center"/>
        </w:trPr>
        <w:tc>
          <w:tcPr>
            <w:tcW w:w="2126" w:type="dxa"/>
            <w:tcBorders>
              <w:top w:val="nil"/>
              <w:left w:val="single" w:sz="4" w:space="0" w:color="auto"/>
              <w:bottom w:val="single" w:sz="4" w:space="0" w:color="auto"/>
              <w:right w:val="single" w:sz="4" w:space="0" w:color="auto"/>
            </w:tcBorders>
            <w:shd w:val="clear" w:color="auto" w:fill="FFC000"/>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NARIÑO</w:t>
            </w:r>
          </w:p>
        </w:tc>
        <w:tc>
          <w:tcPr>
            <w:tcW w:w="2109" w:type="dxa"/>
            <w:tcBorders>
              <w:top w:val="nil"/>
              <w:left w:val="nil"/>
              <w:bottom w:val="single" w:sz="4" w:space="0" w:color="auto"/>
              <w:right w:val="single" w:sz="4" w:space="0" w:color="auto"/>
            </w:tcBorders>
            <w:shd w:val="clear" w:color="auto" w:fill="FFC000"/>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422.137 </w:t>
            </w:r>
          </w:p>
        </w:tc>
        <w:tc>
          <w:tcPr>
            <w:tcW w:w="1780" w:type="dxa"/>
            <w:tcBorders>
              <w:top w:val="nil"/>
              <w:left w:val="nil"/>
              <w:bottom w:val="single" w:sz="4" w:space="0" w:color="auto"/>
              <w:right w:val="single" w:sz="4" w:space="0" w:color="auto"/>
            </w:tcBorders>
            <w:shd w:val="clear" w:color="auto" w:fill="FFC000"/>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236.155 </w:t>
            </w:r>
          </w:p>
        </w:tc>
        <w:tc>
          <w:tcPr>
            <w:tcW w:w="1960" w:type="dxa"/>
            <w:tcBorders>
              <w:top w:val="nil"/>
              <w:left w:val="nil"/>
              <w:bottom w:val="single" w:sz="4" w:space="0" w:color="auto"/>
              <w:right w:val="single" w:sz="4" w:space="0" w:color="auto"/>
            </w:tcBorders>
            <w:shd w:val="clear" w:color="auto" w:fill="FFC000"/>
            <w:noWrap/>
            <w:vAlign w:val="bottom"/>
            <w:hideMark/>
          </w:tcPr>
          <w:p w:rsidR="00AE001B" w:rsidRPr="00B30577" w:rsidRDefault="00AE001B" w:rsidP="00E51EDD">
            <w:pPr>
              <w:spacing w:after="0" w:line="240" w:lineRule="auto"/>
              <w:jc w:val="center"/>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Alto</w:t>
            </w:r>
          </w:p>
        </w:tc>
      </w:tr>
      <w:tr w:rsidR="00AE001B" w:rsidRPr="00B30577" w:rsidTr="00E51EDD">
        <w:trPr>
          <w:trHeight w:val="152"/>
          <w:jc w:val="center"/>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BOLÍVAR</w:t>
            </w:r>
          </w:p>
        </w:tc>
        <w:tc>
          <w:tcPr>
            <w:tcW w:w="2109"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461.341 </w:t>
            </w:r>
          </w:p>
        </w:tc>
        <w:tc>
          <w:tcPr>
            <w:tcW w:w="178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214.908 </w:t>
            </w:r>
          </w:p>
        </w:tc>
        <w:tc>
          <w:tcPr>
            <w:tcW w:w="196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Medio Bajo</w:t>
            </w:r>
          </w:p>
        </w:tc>
      </w:tr>
      <w:tr w:rsidR="00AE001B" w:rsidRPr="00B30577" w:rsidTr="00E51EDD">
        <w:trPr>
          <w:trHeight w:val="212"/>
          <w:jc w:val="center"/>
        </w:trPr>
        <w:tc>
          <w:tcPr>
            <w:tcW w:w="2126" w:type="dxa"/>
            <w:tcBorders>
              <w:top w:val="nil"/>
              <w:left w:val="single" w:sz="4" w:space="0" w:color="auto"/>
              <w:bottom w:val="single" w:sz="4" w:space="0" w:color="auto"/>
              <w:right w:val="single" w:sz="4" w:space="0" w:color="auto"/>
            </w:tcBorders>
            <w:shd w:val="clear" w:color="auto" w:fill="FFFF00"/>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N. DE SANTANDER</w:t>
            </w:r>
          </w:p>
        </w:tc>
        <w:tc>
          <w:tcPr>
            <w:tcW w:w="2109" w:type="dxa"/>
            <w:tcBorders>
              <w:top w:val="nil"/>
              <w:left w:val="nil"/>
              <w:bottom w:val="single" w:sz="4" w:space="0" w:color="auto"/>
              <w:right w:val="single" w:sz="4" w:space="0" w:color="auto"/>
            </w:tcBorders>
            <w:shd w:val="clear" w:color="auto" w:fill="FFFF00"/>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283.377 </w:t>
            </w:r>
          </w:p>
        </w:tc>
        <w:tc>
          <w:tcPr>
            <w:tcW w:w="1780" w:type="dxa"/>
            <w:tcBorders>
              <w:top w:val="nil"/>
              <w:left w:val="nil"/>
              <w:bottom w:val="single" w:sz="4" w:space="0" w:color="auto"/>
              <w:right w:val="single" w:sz="4" w:space="0" w:color="auto"/>
            </w:tcBorders>
            <w:shd w:val="clear" w:color="auto" w:fill="FFFF00"/>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205.415 </w:t>
            </w:r>
          </w:p>
        </w:tc>
        <w:tc>
          <w:tcPr>
            <w:tcW w:w="1960" w:type="dxa"/>
            <w:tcBorders>
              <w:top w:val="nil"/>
              <w:left w:val="nil"/>
              <w:bottom w:val="single" w:sz="4" w:space="0" w:color="auto"/>
              <w:right w:val="single" w:sz="4" w:space="0" w:color="auto"/>
            </w:tcBorders>
            <w:shd w:val="clear" w:color="auto" w:fill="FFFF00"/>
            <w:noWrap/>
            <w:vAlign w:val="bottom"/>
            <w:hideMark/>
          </w:tcPr>
          <w:p w:rsidR="00AE001B" w:rsidRPr="00B30577" w:rsidRDefault="00AE001B" w:rsidP="00E51EDD">
            <w:pPr>
              <w:spacing w:after="0" w:line="240" w:lineRule="auto"/>
              <w:jc w:val="center"/>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Medio</w:t>
            </w:r>
          </w:p>
        </w:tc>
      </w:tr>
      <w:tr w:rsidR="00AE001B" w:rsidRPr="00B30577" w:rsidTr="00E51EDD">
        <w:trPr>
          <w:trHeight w:val="131"/>
          <w:jc w:val="center"/>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TOLIMA</w:t>
            </w:r>
          </w:p>
        </w:tc>
        <w:tc>
          <w:tcPr>
            <w:tcW w:w="2109"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240.071 </w:t>
            </w:r>
          </w:p>
        </w:tc>
        <w:tc>
          <w:tcPr>
            <w:tcW w:w="178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169.527 </w:t>
            </w:r>
          </w:p>
        </w:tc>
        <w:tc>
          <w:tcPr>
            <w:tcW w:w="196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Medio Bajo</w:t>
            </w:r>
          </w:p>
        </w:tc>
      </w:tr>
      <w:tr w:rsidR="00AE001B" w:rsidRPr="00B30577" w:rsidTr="00E51EDD">
        <w:trPr>
          <w:trHeight w:val="204"/>
          <w:jc w:val="center"/>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QUINDÍO</w:t>
            </w:r>
          </w:p>
        </w:tc>
        <w:tc>
          <w:tcPr>
            <w:tcW w:w="2109"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89.910 </w:t>
            </w:r>
          </w:p>
        </w:tc>
        <w:tc>
          <w:tcPr>
            <w:tcW w:w="178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157.259 </w:t>
            </w:r>
          </w:p>
        </w:tc>
        <w:tc>
          <w:tcPr>
            <w:tcW w:w="196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Bajo</w:t>
            </w:r>
          </w:p>
        </w:tc>
      </w:tr>
      <w:tr w:rsidR="00AE001B" w:rsidRPr="00B30577" w:rsidTr="00E51EDD">
        <w:trPr>
          <w:trHeight w:val="123"/>
          <w:jc w:val="center"/>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SANTANDER</w:t>
            </w:r>
          </w:p>
        </w:tc>
        <w:tc>
          <w:tcPr>
            <w:tcW w:w="2109"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310.349 </w:t>
            </w:r>
          </w:p>
        </w:tc>
        <w:tc>
          <w:tcPr>
            <w:tcW w:w="178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149.139 </w:t>
            </w:r>
          </w:p>
        </w:tc>
        <w:tc>
          <w:tcPr>
            <w:tcW w:w="196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Bajo</w:t>
            </w:r>
          </w:p>
        </w:tc>
      </w:tr>
      <w:tr w:rsidR="00AE001B" w:rsidRPr="00B30577" w:rsidTr="00E51EDD">
        <w:trPr>
          <w:trHeight w:val="196"/>
          <w:jc w:val="center"/>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CALDAS</w:t>
            </w:r>
          </w:p>
        </w:tc>
        <w:tc>
          <w:tcPr>
            <w:tcW w:w="2109"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138.242 </w:t>
            </w:r>
          </w:p>
        </w:tc>
        <w:tc>
          <w:tcPr>
            <w:tcW w:w="178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139.376 </w:t>
            </w:r>
          </w:p>
        </w:tc>
        <w:tc>
          <w:tcPr>
            <w:tcW w:w="196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Medio Bajo</w:t>
            </w:r>
          </w:p>
        </w:tc>
      </w:tr>
      <w:tr w:rsidR="00AE001B" w:rsidRPr="00B30577" w:rsidTr="00E51EDD">
        <w:trPr>
          <w:trHeight w:val="128"/>
          <w:jc w:val="center"/>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RISARALDA</w:t>
            </w:r>
          </w:p>
        </w:tc>
        <w:tc>
          <w:tcPr>
            <w:tcW w:w="2109"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117.400 </w:t>
            </w:r>
          </w:p>
        </w:tc>
        <w:tc>
          <w:tcPr>
            <w:tcW w:w="178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121.971 </w:t>
            </w:r>
          </w:p>
        </w:tc>
        <w:tc>
          <w:tcPr>
            <w:tcW w:w="196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Medio Bajo</w:t>
            </w:r>
          </w:p>
        </w:tc>
      </w:tr>
      <w:tr w:rsidR="00AE001B" w:rsidRPr="00B30577" w:rsidTr="00E51EDD">
        <w:trPr>
          <w:trHeight w:val="189"/>
          <w:jc w:val="center"/>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CUNDINAMARCA</w:t>
            </w:r>
          </w:p>
        </w:tc>
        <w:tc>
          <w:tcPr>
            <w:tcW w:w="2109"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290.171 </w:t>
            </w:r>
          </w:p>
        </w:tc>
        <w:tc>
          <w:tcPr>
            <w:tcW w:w="178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105.028 </w:t>
            </w:r>
          </w:p>
        </w:tc>
        <w:tc>
          <w:tcPr>
            <w:tcW w:w="196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Bajo</w:t>
            </w:r>
          </w:p>
        </w:tc>
      </w:tr>
      <w:tr w:rsidR="00AE001B" w:rsidRPr="00B30577" w:rsidTr="00E51EDD">
        <w:trPr>
          <w:trHeight w:val="106"/>
          <w:jc w:val="center"/>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ATLÁNTICO</w:t>
            </w:r>
          </w:p>
        </w:tc>
        <w:tc>
          <w:tcPr>
            <w:tcW w:w="2109"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239.410 </w:t>
            </w:r>
          </w:p>
        </w:tc>
        <w:tc>
          <w:tcPr>
            <w:tcW w:w="178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95.083 </w:t>
            </w:r>
          </w:p>
        </w:tc>
        <w:tc>
          <w:tcPr>
            <w:tcW w:w="196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Bajo</w:t>
            </w:r>
          </w:p>
        </w:tc>
      </w:tr>
      <w:tr w:rsidR="00AE001B" w:rsidRPr="00B30577" w:rsidTr="00E51EDD">
        <w:trPr>
          <w:trHeight w:val="180"/>
          <w:jc w:val="center"/>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ANTIOQUIA</w:t>
            </w:r>
          </w:p>
        </w:tc>
        <w:tc>
          <w:tcPr>
            <w:tcW w:w="2109"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566.428 </w:t>
            </w:r>
          </w:p>
        </w:tc>
        <w:tc>
          <w:tcPr>
            <w:tcW w:w="178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85.652 </w:t>
            </w:r>
          </w:p>
        </w:tc>
        <w:tc>
          <w:tcPr>
            <w:tcW w:w="196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Medio Bajo</w:t>
            </w:r>
          </w:p>
        </w:tc>
      </w:tr>
      <w:tr w:rsidR="00AE001B" w:rsidRPr="00B30577" w:rsidTr="00E51EDD">
        <w:trPr>
          <w:trHeight w:val="98"/>
          <w:jc w:val="center"/>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VALLE DEL CAUCA</w:t>
            </w:r>
          </w:p>
        </w:tc>
        <w:tc>
          <w:tcPr>
            <w:tcW w:w="2109"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316.241 </w:t>
            </w:r>
          </w:p>
        </w:tc>
        <w:tc>
          <w:tcPr>
            <w:tcW w:w="178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67.167 </w:t>
            </w:r>
          </w:p>
        </w:tc>
        <w:tc>
          <w:tcPr>
            <w:tcW w:w="196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Medio Bajo</w:t>
            </w:r>
          </w:p>
        </w:tc>
      </w:tr>
      <w:tr w:rsidR="00AE001B" w:rsidRPr="00B30577" w:rsidTr="00E51EDD">
        <w:trPr>
          <w:trHeight w:val="172"/>
          <w:jc w:val="center"/>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BOGOTÁ, D.C.</w:t>
            </w:r>
          </w:p>
        </w:tc>
        <w:tc>
          <w:tcPr>
            <w:tcW w:w="2109"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184.378 </w:t>
            </w:r>
          </w:p>
        </w:tc>
        <w:tc>
          <w:tcPr>
            <w:tcW w:w="178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 xml:space="preserve">          22.817 </w:t>
            </w:r>
          </w:p>
        </w:tc>
        <w:tc>
          <w:tcPr>
            <w:tcW w:w="196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18"/>
                <w:szCs w:val="16"/>
                <w:lang w:eastAsia="es-CO"/>
              </w:rPr>
            </w:pPr>
            <w:r w:rsidRPr="00B30577">
              <w:rPr>
                <w:rFonts w:ascii="Arial" w:eastAsia="Times New Roman" w:hAnsi="Arial" w:cs="Arial"/>
                <w:color w:val="000000"/>
                <w:sz w:val="18"/>
                <w:szCs w:val="16"/>
                <w:lang w:eastAsia="es-CO"/>
              </w:rPr>
              <w:t>Bajo</w:t>
            </w:r>
          </w:p>
        </w:tc>
      </w:tr>
    </w:tbl>
    <w:p w:rsidR="00AE001B" w:rsidRPr="00B30577" w:rsidRDefault="00AE001B" w:rsidP="00AE001B">
      <w:pPr>
        <w:spacing w:before="28" w:after="28" w:line="288" w:lineRule="atLeast"/>
        <w:jc w:val="both"/>
        <w:textAlignment w:val="center"/>
        <w:rPr>
          <w:rFonts w:ascii="Arial" w:hAnsi="Arial" w:cs="Arial"/>
          <w:lang w:eastAsia="es-CO"/>
        </w:rPr>
      </w:pPr>
    </w:p>
    <w:p w:rsidR="00AE001B" w:rsidRPr="003B2EA9" w:rsidRDefault="00AE001B" w:rsidP="00AE001B">
      <w:pPr>
        <w:spacing w:before="28" w:after="28" w:line="288" w:lineRule="atLeast"/>
        <w:jc w:val="both"/>
        <w:textAlignment w:val="center"/>
        <w:rPr>
          <w:rFonts w:ascii="Arial" w:hAnsi="Arial" w:cs="Arial"/>
          <w:lang w:eastAsia="es-CO"/>
        </w:rPr>
      </w:pPr>
      <w:r w:rsidRPr="003B2EA9">
        <w:rPr>
          <w:rFonts w:ascii="Arial" w:hAnsi="Arial" w:cs="Arial"/>
          <w:lang w:eastAsia="es-CO"/>
        </w:rPr>
        <w:t>Una parte importante de la explicación se deriva del hecho que el conflicto armado se ha concentrado en las zonas rurales periféricas del país, que se caracterizan por tener población dispersa.  Como se señala en el CONPES 3867 del 2016</w:t>
      </w:r>
      <w:r w:rsidRPr="003B2EA9">
        <w:rPr>
          <w:rStyle w:val="Refdenotaalpie"/>
          <w:rFonts w:ascii="Arial" w:hAnsi="Arial" w:cs="Arial"/>
          <w:lang w:eastAsia="es-CO"/>
        </w:rPr>
        <w:footnoteReference w:id="6"/>
      </w:r>
      <w:r w:rsidRPr="003B2EA9">
        <w:rPr>
          <w:rFonts w:ascii="Arial" w:hAnsi="Arial" w:cs="Arial"/>
          <w:lang w:eastAsia="es-CO"/>
        </w:rPr>
        <w:t>, de los 187 municipios con incidencia alta y muy alta de conflicto, 88% son rurales (cabeceras menores a 25 mil personas y densidad de población intermedia) y rurales dispersos (municipios y áreas no municipalizadas con cabeceras pequeñas y densidad baja).</w:t>
      </w:r>
    </w:p>
    <w:p w:rsidR="00AE001B" w:rsidRPr="00B30577" w:rsidRDefault="00AE001B" w:rsidP="00AE001B">
      <w:pPr>
        <w:spacing w:before="28" w:after="28" w:line="288" w:lineRule="atLeast"/>
        <w:jc w:val="both"/>
        <w:textAlignment w:val="center"/>
        <w:rPr>
          <w:rFonts w:ascii="Arial" w:hAnsi="Arial" w:cs="Arial"/>
          <w:sz w:val="24"/>
          <w:lang w:eastAsia="es-CO"/>
        </w:rPr>
      </w:pPr>
    </w:p>
    <w:p w:rsidR="00AE001B" w:rsidRDefault="00AE001B" w:rsidP="00AE001B">
      <w:pPr>
        <w:spacing w:before="28" w:after="28" w:line="288" w:lineRule="atLeast"/>
        <w:jc w:val="both"/>
        <w:textAlignment w:val="center"/>
        <w:rPr>
          <w:rFonts w:ascii="Arial" w:hAnsi="Arial" w:cs="Arial"/>
          <w:lang w:eastAsia="es-CO"/>
        </w:rPr>
      </w:pPr>
      <w:r>
        <w:rPr>
          <w:rFonts w:ascii="Arial" w:hAnsi="Arial" w:cs="Arial"/>
          <w:lang w:eastAsia="es-CO"/>
        </w:rPr>
        <w:lastRenderedPageBreak/>
        <w:t>L</w:t>
      </w:r>
      <w:r w:rsidRPr="009C683E">
        <w:rPr>
          <w:rFonts w:ascii="Arial" w:hAnsi="Arial" w:cs="Arial"/>
          <w:lang w:eastAsia="es-CO"/>
        </w:rPr>
        <w:t xml:space="preserve">a distribución del SGR, si bien incorpora como criterio fundamental de asignación de los fondos de inversión el </w:t>
      </w:r>
      <w:r>
        <w:rPr>
          <w:rFonts w:ascii="Arial" w:hAnsi="Arial" w:cs="Arial"/>
          <w:lang w:eastAsia="es-CO"/>
        </w:rPr>
        <w:t xml:space="preserve">de </w:t>
      </w:r>
      <w:r w:rsidRPr="009C683E">
        <w:rPr>
          <w:rFonts w:ascii="Arial" w:hAnsi="Arial" w:cs="Arial"/>
          <w:lang w:eastAsia="es-CO"/>
        </w:rPr>
        <w:t xml:space="preserve">NBI, </w:t>
      </w:r>
      <w:r>
        <w:rPr>
          <w:rFonts w:ascii="Arial" w:hAnsi="Arial" w:cs="Arial"/>
          <w:lang w:eastAsia="es-CO"/>
        </w:rPr>
        <w:t xml:space="preserve">también </w:t>
      </w:r>
      <w:r w:rsidRPr="009C683E">
        <w:rPr>
          <w:rFonts w:ascii="Arial" w:hAnsi="Arial" w:cs="Arial"/>
          <w:lang w:eastAsia="es-CO"/>
        </w:rPr>
        <w:t>privilegia a territorios con mayor población.  Esto lleva a que territorios con muy alta incidencia del conflicto armado, que tienen población baja y dispersa, tengan niveles de asignación relativamente menores que otros con iguales o incluso menores niveles de NBI.</w:t>
      </w:r>
    </w:p>
    <w:p w:rsidR="00AE001B" w:rsidRDefault="00AE001B" w:rsidP="00AE001B">
      <w:pPr>
        <w:spacing w:before="28" w:after="28" w:line="288" w:lineRule="atLeast"/>
        <w:jc w:val="both"/>
        <w:textAlignment w:val="center"/>
        <w:rPr>
          <w:rFonts w:ascii="Arial" w:hAnsi="Arial" w:cs="Arial"/>
          <w:lang w:eastAsia="es-CO"/>
        </w:rPr>
      </w:pPr>
    </w:p>
    <w:p w:rsidR="00AE001B" w:rsidRDefault="00AE001B" w:rsidP="00AE001B">
      <w:pPr>
        <w:spacing w:before="28" w:after="28" w:line="288" w:lineRule="atLeast"/>
        <w:jc w:val="both"/>
        <w:textAlignment w:val="center"/>
        <w:rPr>
          <w:rFonts w:ascii="Arial" w:hAnsi="Arial" w:cs="Arial"/>
          <w:lang w:eastAsia="es-CO"/>
        </w:rPr>
      </w:pPr>
      <w:r>
        <w:rPr>
          <w:rFonts w:ascii="Arial" w:hAnsi="Arial" w:cs="Arial"/>
          <w:lang w:eastAsia="es-CO"/>
        </w:rPr>
        <w:t>El logro de una paz estable y duradera requiere asignar recursos de inversión a estos territorios que, independientemente de su nivel o densidad de población, presentan grandes rezagos en sus condiciones de desarrollo por causa de su aislamiento y afectación por el conflicto armado.</w:t>
      </w:r>
    </w:p>
    <w:p w:rsidR="00AE001B" w:rsidRDefault="00AE001B" w:rsidP="00AE001B">
      <w:pPr>
        <w:spacing w:before="28" w:after="28" w:line="288" w:lineRule="atLeast"/>
        <w:jc w:val="both"/>
        <w:textAlignment w:val="center"/>
        <w:rPr>
          <w:rFonts w:ascii="Arial" w:hAnsi="Arial" w:cs="Arial"/>
          <w:lang w:eastAsia="es-CO"/>
        </w:rPr>
      </w:pPr>
    </w:p>
    <w:p w:rsidR="00AE001B" w:rsidRDefault="00AE001B" w:rsidP="00AE001B">
      <w:pPr>
        <w:spacing w:before="28" w:after="28" w:line="288" w:lineRule="atLeast"/>
        <w:jc w:val="both"/>
        <w:textAlignment w:val="center"/>
        <w:rPr>
          <w:rFonts w:ascii="Arial" w:hAnsi="Arial" w:cs="Arial"/>
          <w:lang w:eastAsia="es-CO"/>
        </w:rPr>
      </w:pPr>
      <w:r>
        <w:rPr>
          <w:rFonts w:ascii="Arial" w:hAnsi="Arial" w:cs="Arial"/>
          <w:lang w:eastAsia="es-CO"/>
        </w:rPr>
        <w:t xml:space="preserve">Es importante también resaltar que las </w:t>
      </w:r>
      <w:r w:rsidRPr="00204C87">
        <w:rPr>
          <w:rFonts w:ascii="Arial" w:hAnsi="Arial" w:cs="Arial"/>
          <w:lang w:eastAsia="es-CO"/>
        </w:rPr>
        <w:t>entidades territoriales en cuyo territ</w:t>
      </w:r>
      <w:r>
        <w:rPr>
          <w:rFonts w:ascii="Arial" w:hAnsi="Arial" w:cs="Arial"/>
          <w:lang w:eastAsia="es-CO"/>
        </w:rPr>
        <w:t xml:space="preserve">orio se adelantan explotaciones </w:t>
      </w:r>
      <w:r w:rsidRPr="00204C87">
        <w:rPr>
          <w:rFonts w:ascii="Arial" w:hAnsi="Arial" w:cs="Arial"/>
          <w:lang w:eastAsia="es-CO"/>
        </w:rPr>
        <w:t>de recursos naturales no renovables han s</w:t>
      </w:r>
      <w:r>
        <w:rPr>
          <w:rFonts w:ascii="Arial" w:hAnsi="Arial" w:cs="Arial"/>
          <w:lang w:eastAsia="es-CO"/>
        </w:rPr>
        <w:t xml:space="preserve">ido especialmente vulnerables a las </w:t>
      </w:r>
      <w:r w:rsidRPr="00204C87">
        <w:rPr>
          <w:rFonts w:ascii="Arial" w:hAnsi="Arial" w:cs="Arial"/>
          <w:lang w:eastAsia="es-CO"/>
        </w:rPr>
        <w:t xml:space="preserve">consecuencias del conflicto armado en el país. </w:t>
      </w:r>
      <w:r>
        <w:rPr>
          <w:rFonts w:ascii="Arial" w:hAnsi="Arial" w:cs="Arial"/>
          <w:lang w:eastAsia="es-CO"/>
        </w:rPr>
        <w:t xml:space="preserve"> </w:t>
      </w:r>
    </w:p>
    <w:p w:rsidR="00AE001B" w:rsidRDefault="00AE001B" w:rsidP="00AE001B">
      <w:pPr>
        <w:spacing w:before="28" w:after="28" w:line="288" w:lineRule="atLeast"/>
        <w:jc w:val="both"/>
        <w:textAlignment w:val="center"/>
        <w:rPr>
          <w:rFonts w:ascii="Arial" w:hAnsi="Arial" w:cs="Arial"/>
          <w:lang w:eastAsia="es-CO"/>
        </w:rPr>
      </w:pPr>
    </w:p>
    <w:p w:rsidR="00AE001B" w:rsidRPr="00204C87" w:rsidRDefault="00AE001B" w:rsidP="00AE001B">
      <w:pPr>
        <w:spacing w:before="28" w:after="28" w:line="288" w:lineRule="atLeast"/>
        <w:jc w:val="both"/>
        <w:textAlignment w:val="center"/>
        <w:rPr>
          <w:rFonts w:ascii="Arial" w:hAnsi="Arial" w:cs="Arial"/>
          <w:lang w:eastAsia="es-CO"/>
        </w:rPr>
      </w:pPr>
      <w:r w:rsidRPr="00204C87">
        <w:rPr>
          <w:rFonts w:ascii="Arial" w:hAnsi="Arial" w:cs="Arial"/>
          <w:lang w:eastAsia="es-CO"/>
        </w:rPr>
        <w:t xml:space="preserve">Sin importar si se trata de explotación de minerales o de hidrocarburos, las zonas donde se </w:t>
      </w:r>
      <w:r>
        <w:rPr>
          <w:rFonts w:ascii="Arial" w:hAnsi="Arial" w:cs="Arial"/>
          <w:lang w:eastAsia="es-CO"/>
        </w:rPr>
        <w:t>llevan a cabo estas actividades</w:t>
      </w:r>
      <w:r w:rsidRPr="00204C87">
        <w:rPr>
          <w:rFonts w:ascii="Arial" w:hAnsi="Arial" w:cs="Arial"/>
          <w:lang w:eastAsia="es-CO"/>
        </w:rPr>
        <w:t xml:space="preserve"> han sido blanco constante de los grupos armados con ataques a infraestructura y a la población civil, además de la existencia de c</w:t>
      </w:r>
      <w:r>
        <w:rPr>
          <w:rFonts w:ascii="Arial" w:hAnsi="Arial" w:cs="Arial"/>
          <w:lang w:eastAsia="es-CO"/>
        </w:rPr>
        <w:t>ultivos de coca en muchas de estas</w:t>
      </w:r>
      <w:r w:rsidRPr="00204C87">
        <w:rPr>
          <w:rFonts w:ascii="Arial" w:hAnsi="Arial" w:cs="Arial"/>
          <w:lang w:eastAsia="es-CO"/>
        </w:rPr>
        <w:t xml:space="preserve"> entidades territ</w:t>
      </w:r>
      <w:r>
        <w:rPr>
          <w:rFonts w:ascii="Arial" w:hAnsi="Arial" w:cs="Arial"/>
          <w:lang w:eastAsia="es-CO"/>
        </w:rPr>
        <w:t>oriales.</w:t>
      </w:r>
    </w:p>
    <w:p w:rsidR="00AE001B" w:rsidRPr="00204C87" w:rsidRDefault="00AE001B" w:rsidP="00AE001B">
      <w:pPr>
        <w:spacing w:before="28" w:after="28" w:line="288" w:lineRule="atLeast"/>
        <w:jc w:val="both"/>
        <w:textAlignment w:val="center"/>
        <w:rPr>
          <w:rFonts w:ascii="Arial" w:hAnsi="Arial" w:cs="Arial"/>
          <w:lang w:eastAsia="es-CO"/>
        </w:rPr>
      </w:pPr>
    </w:p>
    <w:p w:rsidR="00AE001B" w:rsidRPr="00204C87" w:rsidRDefault="00AE001B" w:rsidP="00AE001B">
      <w:pPr>
        <w:spacing w:before="28" w:after="28" w:line="288" w:lineRule="atLeast"/>
        <w:jc w:val="both"/>
        <w:textAlignment w:val="center"/>
        <w:rPr>
          <w:rFonts w:ascii="Arial" w:hAnsi="Arial" w:cs="Arial"/>
          <w:lang w:eastAsia="es-CO"/>
        </w:rPr>
      </w:pPr>
      <w:r>
        <w:rPr>
          <w:rFonts w:ascii="Arial" w:hAnsi="Arial" w:cs="Arial"/>
          <w:lang w:eastAsia="es-CO"/>
        </w:rPr>
        <w:t>Al cruzar la</w:t>
      </w:r>
      <w:r w:rsidRPr="00204C87">
        <w:rPr>
          <w:rFonts w:ascii="Arial" w:hAnsi="Arial" w:cs="Arial"/>
          <w:lang w:eastAsia="es-CO"/>
        </w:rPr>
        <w:t xml:space="preserve"> clasifica</w:t>
      </w:r>
      <w:r>
        <w:rPr>
          <w:rFonts w:ascii="Arial" w:hAnsi="Arial" w:cs="Arial"/>
          <w:lang w:eastAsia="es-CO"/>
        </w:rPr>
        <w:t xml:space="preserve">ción de </w:t>
      </w:r>
      <w:r w:rsidRPr="00204C87">
        <w:rPr>
          <w:rFonts w:ascii="Arial" w:hAnsi="Arial" w:cs="Arial"/>
          <w:lang w:eastAsia="es-CO"/>
        </w:rPr>
        <w:t xml:space="preserve">los municipios y departamentos </w:t>
      </w:r>
      <w:r>
        <w:rPr>
          <w:rFonts w:ascii="Arial" w:hAnsi="Arial" w:cs="Arial"/>
          <w:lang w:eastAsia="es-CO"/>
        </w:rPr>
        <w:t xml:space="preserve">del índice de incidencia del conflicto armado, </w:t>
      </w:r>
      <w:r w:rsidRPr="00204C87">
        <w:rPr>
          <w:rFonts w:ascii="Arial" w:hAnsi="Arial" w:cs="Arial"/>
          <w:lang w:eastAsia="es-CO"/>
        </w:rPr>
        <w:t xml:space="preserve">con departamentos y municipios productores, </w:t>
      </w:r>
      <w:r>
        <w:rPr>
          <w:rFonts w:ascii="Arial" w:hAnsi="Arial" w:cs="Arial"/>
          <w:lang w:eastAsia="es-CO"/>
        </w:rPr>
        <w:t xml:space="preserve">se </w:t>
      </w:r>
      <w:r w:rsidRPr="00204C87">
        <w:rPr>
          <w:rFonts w:ascii="Arial" w:hAnsi="Arial" w:cs="Arial"/>
          <w:lang w:eastAsia="es-CO"/>
        </w:rPr>
        <w:t>presenta</w:t>
      </w:r>
      <w:r>
        <w:rPr>
          <w:rFonts w:ascii="Arial" w:hAnsi="Arial" w:cs="Arial"/>
          <w:lang w:eastAsia="es-CO"/>
        </w:rPr>
        <w:t xml:space="preserve"> una relación </w:t>
      </w:r>
      <w:r w:rsidRPr="00204C87">
        <w:rPr>
          <w:rFonts w:ascii="Arial" w:hAnsi="Arial" w:cs="Arial"/>
          <w:lang w:eastAsia="es-CO"/>
        </w:rPr>
        <w:t>significativ</w:t>
      </w:r>
      <w:r>
        <w:rPr>
          <w:rFonts w:ascii="Arial" w:hAnsi="Arial" w:cs="Arial"/>
          <w:lang w:eastAsia="es-CO"/>
        </w:rPr>
        <w:t>a</w:t>
      </w:r>
      <w:r w:rsidRPr="00204C87">
        <w:rPr>
          <w:rFonts w:ascii="Arial" w:hAnsi="Arial" w:cs="Arial"/>
          <w:lang w:eastAsia="es-CO"/>
        </w:rPr>
        <w:t xml:space="preserve">. </w:t>
      </w:r>
      <w:r>
        <w:rPr>
          <w:rFonts w:ascii="Arial" w:hAnsi="Arial" w:cs="Arial"/>
          <w:lang w:eastAsia="es-CO"/>
        </w:rPr>
        <w:t xml:space="preserve"> Como se señala en la Tabla 1, d</w:t>
      </w:r>
      <w:r w:rsidRPr="00204C87">
        <w:rPr>
          <w:rFonts w:ascii="Arial" w:hAnsi="Arial" w:cs="Arial"/>
          <w:lang w:eastAsia="es-CO"/>
        </w:rPr>
        <w:t>e los 187 municipios del país, clasificados como de impacto muy alto y alto, 55 corresponden a municipios productores</w:t>
      </w:r>
      <w:r>
        <w:rPr>
          <w:rFonts w:ascii="Arial" w:hAnsi="Arial" w:cs="Arial"/>
          <w:lang w:eastAsia="es-CO"/>
        </w:rPr>
        <w:t xml:space="preserve"> (29%)</w:t>
      </w:r>
      <w:r w:rsidRPr="00204C87">
        <w:rPr>
          <w:rFonts w:ascii="Arial" w:hAnsi="Arial" w:cs="Arial"/>
          <w:lang w:eastAsia="es-CO"/>
        </w:rPr>
        <w:t>.</w:t>
      </w:r>
    </w:p>
    <w:p w:rsidR="00AE001B" w:rsidRDefault="00AE001B" w:rsidP="00AE001B">
      <w:pPr>
        <w:spacing w:before="28" w:after="28" w:line="288" w:lineRule="atLeast"/>
        <w:jc w:val="both"/>
        <w:textAlignment w:val="center"/>
        <w:rPr>
          <w:rFonts w:ascii="Arial" w:hAnsi="Arial" w:cs="Arial"/>
          <w:lang w:eastAsia="es-CO"/>
        </w:rPr>
      </w:pPr>
    </w:p>
    <w:p w:rsidR="00AE001B" w:rsidRPr="00B30577" w:rsidRDefault="00AE001B" w:rsidP="00AE001B">
      <w:pPr>
        <w:spacing w:after="0" w:line="288" w:lineRule="atLeast"/>
        <w:jc w:val="center"/>
        <w:textAlignment w:val="center"/>
        <w:rPr>
          <w:rFonts w:ascii="Arial" w:hAnsi="Arial" w:cs="Arial"/>
          <w:b/>
          <w:lang w:eastAsia="es-CO"/>
        </w:rPr>
      </w:pPr>
      <w:r>
        <w:rPr>
          <w:rFonts w:ascii="Arial" w:hAnsi="Arial" w:cs="Arial"/>
          <w:b/>
          <w:lang w:eastAsia="es-CO"/>
        </w:rPr>
        <w:t>Tabla</w:t>
      </w:r>
      <w:r w:rsidRPr="00B30577">
        <w:rPr>
          <w:rFonts w:ascii="Arial" w:hAnsi="Arial" w:cs="Arial"/>
          <w:b/>
          <w:lang w:eastAsia="es-CO"/>
        </w:rPr>
        <w:t xml:space="preserve"> </w:t>
      </w:r>
      <w:r>
        <w:rPr>
          <w:rFonts w:ascii="Arial" w:hAnsi="Arial" w:cs="Arial"/>
          <w:b/>
          <w:lang w:eastAsia="es-CO"/>
        </w:rPr>
        <w:t>1</w:t>
      </w:r>
    </w:p>
    <w:p w:rsidR="00AE001B" w:rsidRPr="00204C87" w:rsidRDefault="00AE001B" w:rsidP="00AE001B">
      <w:pPr>
        <w:spacing w:after="0" w:line="288" w:lineRule="atLeast"/>
        <w:jc w:val="center"/>
        <w:textAlignment w:val="center"/>
        <w:rPr>
          <w:rFonts w:ascii="Arial" w:hAnsi="Arial" w:cs="Arial"/>
          <w:b/>
          <w:lang w:eastAsia="es-CO"/>
        </w:rPr>
      </w:pPr>
      <w:r>
        <w:rPr>
          <w:rFonts w:ascii="Arial" w:hAnsi="Arial" w:cs="Arial"/>
          <w:b/>
          <w:lang w:eastAsia="es-CO"/>
        </w:rPr>
        <w:t>Municipios productores con alto o muy alto impacto del conflicto armado</w:t>
      </w:r>
    </w:p>
    <w:tbl>
      <w:tblPr>
        <w:tblW w:w="5000" w:type="pct"/>
        <w:tblLayout w:type="fixed"/>
        <w:tblCellMar>
          <w:left w:w="70" w:type="dxa"/>
          <w:right w:w="70" w:type="dxa"/>
        </w:tblCellMar>
        <w:tblLook w:val="04A0" w:firstRow="1" w:lastRow="0" w:firstColumn="1" w:lastColumn="0" w:noHBand="0" w:noVBand="1"/>
      </w:tblPr>
      <w:tblGrid>
        <w:gridCol w:w="2337"/>
        <w:gridCol w:w="2663"/>
        <w:gridCol w:w="2507"/>
        <w:gridCol w:w="1321"/>
      </w:tblGrid>
      <w:tr w:rsidR="00AE001B" w:rsidRPr="00204C87" w:rsidTr="00E51EDD">
        <w:trPr>
          <w:trHeight w:val="330"/>
        </w:trPr>
        <w:tc>
          <w:tcPr>
            <w:tcW w:w="1324" w:type="pct"/>
            <w:tcBorders>
              <w:top w:val="single" w:sz="4" w:space="0" w:color="auto"/>
              <w:left w:val="single" w:sz="4" w:space="0" w:color="auto"/>
              <w:bottom w:val="single" w:sz="4" w:space="0" w:color="auto"/>
              <w:right w:val="single" w:sz="4" w:space="0" w:color="auto"/>
            </w:tcBorders>
            <w:shd w:val="clear" w:color="auto" w:fill="323E4F" w:themeFill="text2" w:themeFillShade="BF"/>
            <w:noWrap/>
            <w:vAlign w:val="bottom"/>
            <w:hideMark/>
          </w:tcPr>
          <w:p w:rsidR="00AE001B" w:rsidRPr="00204C87" w:rsidRDefault="00AE001B" w:rsidP="00E51EDD">
            <w:pPr>
              <w:spacing w:before="28" w:after="28" w:line="288" w:lineRule="atLeast"/>
              <w:jc w:val="center"/>
              <w:textAlignment w:val="center"/>
              <w:rPr>
                <w:rFonts w:ascii="Arial" w:hAnsi="Arial" w:cs="Arial"/>
                <w:sz w:val="20"/>
                <w:szCs w:val="20"/>
                <w:lang w:eastAsia="es-CO"/>
              </w:rPr>
            </w:pPr>
            <w:r w:rsidRPr="00204C87">
              <w:rPr>
                <w:rFonts w:ascii="Arial" w:hAnsi="Arial" w:cs="Arial"/>
                <w:sz w:val="20"/>
                <w:szCs w:val="20"/>
                <w:lang w:eastAsia="es-CO"/>
              </w:rPr>
              <w:t>DEPARTAMENTO</w:t>
            </w:r>
          </w:p>
        </w:tc>
        <w:tc>
          <w:tcPr>
            <w:tcW w:w="1508" w:type="pct"/>
            <w:tcBorders>
              <w:top w:val="single" w:sz="4" w:space="0" w:color="auto"/>
              <w:left w:val="nil"/>
              <w:bottom w:val="single" w:sz="4" w:space="0" w:color="auto"/>
              <w:right w:val="single" w:sz="4" w:space="0" w:color="auto"/>
            </w:tcBorders>
            <w:shd w:val="clear" w:color="auto" w:fill="323E4F" w:themeFill="text2" w:themeFillShade="BF"/>
            <w:noWrap/>
            <w:vAlign w:val="bottom"/>
            <w:hideMark/>
          </w:tcPr>
          <w:p w:rsidR="00AE001B" w:rsidRPr="00204C87" w:rsidRDefault="00AE001B" w:rsidP="00E51EDD">
            <w:pPr>
              <w:spacing w:before="28" w:after="28" w:line="288" w:lineRule="atLeast"/>
              <w:jc w:val="center"/>
              <w:textAlignment w:val="center"/>
              <w:rPr>
                <w:rFonts w:ascii="Arial" w:hAnsi="Arial" w:cs="Arial"/>
                <w:sz w:val="20"/>
                <w:szCs w:val="20"/>
                <w:lang w:eastAsia="es-CO"/>
              </w:rPr>
            </w:pPr>
            <w:r w:rsidRPr="00204C87">
              <w:rPr>
                <w:rFonts w:ascii="Arial" w:hAnsi="Arial" w:cs="Arial"/>
                <w:sz w:val="20"/>
                <w:szCs w:val="20"/>
                <w:lang w:eastAsia="es-CO"/>
              </w:rPr>
              <w:t>MUNICIPIO</w:t>
            </w:r>
          </w:p>
        </w:tc>
        <w:tc>
          <w:tcPr>
            <w:tcW w:w="1420" w:type="pct"/>
            <w:tcBorders>
              <w:top w:val="single" w:sz="4" w:space="0" w:color="auto"/>
              <w:left w:val="nil"/>
              <w:bottom w:val="single" w:sz="4" w:space="0" w:color="auto"/>
              <w:right w:val="single" w:sz="4" w:space="0" w:color="auto"/>
            </w:tcBorders>
            <w:shd w:val="clear" w:color="auto" w:fill="323E4F" w:themeFill="text2" w:themeFillShade="BF"/>
            <w:noWrap/>
            <w:vAlign w:val="bottom"/>
            <w:hideMark/>
          </w:tcPr>
          <w:p w:rsidR="00AE001B" w:rsidRPr="00204C87" w:rsidRDefault="00AE001B" w:rsidP="00E51EDD">
            <w:pPr>
              <w:spacing w:before="28" w:after="28" w:line="288" w:lineRule="atLeast"/>
              <w:jc w:val="center"/>
              <w:textAlignment w:val="center"/>
              <w:rPr>
                <w:rFonts w:ascii="Arial" w:hAnsi="Arial" w:cs="Arial"/>
                <w:sz w:val="20"/>
                <w:szCs w:val="20"/>
                <w:lang w:eastAsia="es-CO"/>
              </w:rPr>
            </w:pPr>
            <w:r w:rsidRPr="00204C87">
              <w:rPr>
                <w:rFonts w:ascii="Arial" w:hAnsi="Arial" w:cs="Arial"/>
                <w:sz w:val="20"/>
                <w:szCs w:val="20"/>
                <w:lang w:eastAsia="es-CO"/>
              </w:rPr>
              <w:t>PRODUCTO</w:t>
            </w:r>
          </w:p>
        </w:tc>
        <w:tc>
          <w:tcPr>
            <w:tcW w:w="748" w:type="pct"/>
            <w:tcBorders>
              <w:top w:val="single" w:sz="4" w:space="0" w:color="auto"/>
              <w:left w:val="nil"/>
              <w:bottom w:val="single" w:sz="4" w:space="0" w:color="auto"/>
              <w:right w:val="single" w:sz="4" w:space="0" w:color="auto"/>
            </w:tcBorders>
            <w:shd w:val="clear" w:color="auto" w:fill="323E4F" w:themeFill="text2" w:themeFillShade="BF"/>
            <w:noWrap/>
            <w:vAlign w:val="bottom"/>
            <w:hideMark/>
          </w:tcPr>
          <w:p w:rsidR="00AE001B" w:rsidRPr="00204C87" w:rsidRDefault="00AE001B" w:rsidP="00E51EDD">
            <w:pPr>
              <w:spacing w:before="28" w:after="28" w:line="288" w:lineRule="atLeast"/>
              <w:jc w:val="center"/>
              <w:textAlignment w:val="center"/>
              <w:rPr>
                <w:rFonts w:ascii="Arial" w:hAnsi="Arial" w:cs="Arial"/>
                <w:sz w:val="20"/>
                <w:szCs w:val="20"/>
                <w:lang w:eastAsia="es-CO"/>
              </w:rPr>
            </w:pPr>
            <w:r>
              <w:rPr>
                <w:rFonts w:ascii="Arial" w:hAnsi="Arial" w:cs="Arial"/>
                <w:sz w:val="20"/>
                <w:szCs w:val="20"/>
                <w:lang w:eastAsia="es-CO"/>
              </w:rPr>
              <w:t>IICA*</w:t>
            </w:r>
          </w:p>
        </w:tc>
      </w:tr>
      <w:tr w:rsidR="00AE001B" w:rsidRPr="00204C87" w:rsidTr="00E51EDD">
        <w:trPr>
          <w:trHeight w:val="47"/>
        </w:trPr>
        <w:tc>
          <w:tcPr>
            <w:tcW w:w="1324" w:type="pct"/>
            <w:tcBorders>
              <w:top w:val="single" w:sz="4" w:space="0" w:color="auto"/>
              <w:left w:val="single" w:sz="4" w:space="0" w:color="auto"/>
              <w:bottom w:val="single" w:sz="4" w:space="0" w:color="auto"/>
              <w:right w:val="single" w:sz="4" w:space="0" w:color="auto"/>
            </w:tcBorders>
            <w:shd w:val="clear" w:color="auto" w:fill="auto"/>
            <w:noWrap/>
            <w:vAlign w:val="bottom"/>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ANTIOQUIA</w:t>
            </w:r>
          </w:p>
        </w:tc>
        <w:tc>
          <w:tcPr>
            <w:tcW w:w="1508" w:type="pct"/>
            <w:tcBorders>
              <w:top w:val="single" w:sz="4" w:space="0" w:color="auto"/>
              <w:left w:val="nil"/>
              <w:bottom w:val="single" w:sz="4" w:space="0" w:color="auto"/>
              <w:right w:val="single" w:sz="4" w:space="0" w:color="auto"/>
            </w:tcBorders>
            <w:shd w:val="clear" w:color="auto" w:fill="auto"/>
            <w:noWrap/>
            <w:vAlign w:val="bottom"/>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YONDO</w:t>
            </w:r>
          </w:p>
        </w:tc>
        <w:tc>
          <w:tcPr>
            <w:tcW w:w="1420" w:type="pct"/>
            <w:tcBorders>
              <w:top w:val="single" w:sz="4" w:space="0" w:color="auto"/>
              <w:left w:val="nil"/>
              <w:bottom w:val="single" w:sz="4" w:space="0" w:color="auto"/>
              <w:right w:val="single" w:sz="4" w:space="0" w:color="auto"/>
            </w:tcBorders>
            <w:shd w:val="clear" w:color="auto" w:fill="auto"/>
            <w:noWrap/>
            <w:vAlign w:val="bottom"/>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CRUDO + GAS</w:t>
            </w:r>
          </w:p>
        </w:tc>
        <w:tc>
          <w:tcPr>
            <w:tcW w:w="748" w:type="pct"/>
            <w:tcBorders>
              <w:top w:val="single" w:sz="4" w:space="0" w:color="auto"/>
              <w:left w:val="nil"/>
              <w:bottom w:val="single" w:sz="4" w:space="0" w:color="auto"/>
              <w:right w:val="single" w:sz="4" w:space="0" w:color="auto"/>
            </w:tcBorders>
            <w:shd w:val="clear" w:color="auto" w:fill="auto"/>
            <w:noWrap/>
            <w:vAlign w:val="bottom"/>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ALTO</w:t>
            </w:r>
          </w:p>
        </w:tc>
      </w:tr>
      <w:tr w:rsidR="00AE001B" w:rsidRPr="00204C87" w:rsidTr="00E51EDD">
        <w:trPr>
          <w:trHeight w:val="47"/>
        </w:trPr>
        <w:tc>
          <w:tcPr>
            <w:tcW w:w="1324" w:type="pct"/>
            <w:tcBorders>
              <w:top w:val="nil"/>
              <w:left w:val="single" w:sz="4" w:space="0" w:color="auto"/>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ANTIOQUÍA</w:t>
            </w:r>
          </w:p>
        </w:tc>
        <w:tc>
          <w:tcPr>
            <w:tcW w:w="150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EL BAGRE</w:t>
            </w:r>
          </w:p>
        </w:tc>
        <w:tc>
          <w:tcPr>
            <w:tcW w:w="1420"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ORO</w:t>
            </w:r>
          </w:p>
        </w:tc>
        <w:tc>
          <w:tcPr>
            <w:tcW w:w="74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ALTO</w:t>
            </w:r>
          </w:p>
        </w:tc>
      </w:tr>
      <w:tr w:rsidR="00AE001B" w:rsidRPr="00204C87" w:rsidTr="00E51EDD">
        <w:trPr>
          <w:trHeight w:val="330"/>
        </w:trPr>
        <w:tc>
          <w:tcPr>
            <w:tcW w:w="1324" w:type="pct"/>
            <w:tcBorders>
              <w:top w:val="nil"/>
              <w:left w:val="single" w:sz="4" w:space="0" w:color="auto"/>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ANTIOQUÍA</w:t>
            </w:r>
          </w:p>
        </w:tc>
        <w:tc>
          <w:tcPr>
            <w:tcW w:w="150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SEGOVIA</w:t>
            </w:r>
          </w:p>
        </w:tc>
        <w:tc>
          <w:tcPr>
            <w:tcW w:w="1420"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ORO</w:t>
            </w:r>
          </w:p>
        </w:tc>
        <w:tc>
          <w:tcPr>
            <w:tcW w:w="74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ALTO</w:t>
            </w:r>
          </w:p>
        </w:tc>
      </w:tr>
      <w:tr w:rsidR="00AE001B" w:rsidRPr="00204C87" w:rsidTr="00E51EDD">
        <w:trPr>
          <w:trHeight w:val="330"/>
        </w:trPr>
        <w:tc>
          <w:tcPr>
            <w:tcW w:w="1324" w:type="pct"/>
            <w:tcBorders>
              <w:top w:val="nil"/>
              <w:left w:val="single" w:sz="4" w:space="0" w:color="auto"/>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ANTIOQUÍA</w:t>
            </w:r>
          </w:p>
        </w:tc>
        <w:tc>
          <w:tcPr>
            <w:tcW w:w="150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TARAZÁ</w:t>
            </w:r>
          </w:p>
        </w:tc>
        <w:tc>
          <w:tcPr>
            <w:tcW w:w="1420"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ORO</w:t>
            </w:r>
          </w:p>
        </w:tc>
        <w:tc>
          <w:tcPr>
            <w:tcW w:w="74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MUY ALTO</w:t>
            </w:r>
          </w:p>
        </w:tc>
      </w:tr>
      <w:tr w:rsidR="00AE001B" w:rsidRPr="00204C87" w:rsidTr="00E51EDD">
        <w:trPr>
          <w:trHeight w:val="330"/>
        </w:trPr>
        <w:tc>
          <w:tcPr>
            <w:tcW w:w="1324" w:type="pct"/>
            <w:tcBorders>
              <w:top w:val="nil"/>
              <w:left w:val="single" w:sz="4" w:space="0" w:color="auto"/>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ANTIOQUÍA</w:t>
            </w:r>
          </w:p>
        </w:tc>
        <w:tc>
          <w:tcPr>
            <w:tcW w:w="150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ZARAGOZA</w:t>
            </w:r>
          </w:p>
        </w:tc>
        <w:tc>
          <w:tcPr>
            <w:tcW w:w="1420"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ORO</w:t>
            </w:r>
          </w:p>
        </w:tc>
        <w:tc>
          <w:tcPr>
            <w:tcW w:w="74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ALTO</w:t>
            </w:r>
          </w:p>
        </w:tc>
      </w:tr>
      <w:tr w:rsidR="00AE001B" w:rsidRPr="00204C87" w:rsidTr="00E51EDD">
        <w:trPr>
          <w:trHeight w:val="330"/>
        </w:trPr>
        <w:tc>
          <w:tcPr>
            <w:tcW w:w="1324" w:type="pct"/>
            <w:tcBorders>
              <w:top w:val="nil"/>
              <w:left w:val="single" w:sz="4" w:space="0" w:color="auto"/>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ANTIOQUÍA</w:t>
            </w:r>
          </w:p>
        </w:tc>
        <w:tc>
          <w:tcPr>
            <w:tcW w:w="150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REMEDIOS</w:t>
            </w:r>
          </w:p>
        </w:tc>
        <w:tc>
          <w:tcPr>
            <w:tcW w:w="1420"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ORO</w:t>
            </w:r>
          </w:p>
        </w:tc>
        <w:tc>
          <w:tcPr>
            <w:tcW w:w="74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ALTO</w:t>
            </w:r>
          </w:p>
        </w:tc>
      </w:tr>
      <w:tr w:rsidR="00AE001B" w:rsidRPr="00204C87" w:rsidTr="00E51EDD">
        <w:trPr>
          <w:trHeight w:val="330"/>
        </w:trPr>
        <w:tc>
          <w:tcPr>
            <w:tcW w:w="1324" w:type="pct"/>
            <w:tcBorders>
              <w:top w:val="nil"/>
              <w:left w:val="single" w:sz="4" w:space="0" w:color="auto"/>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ANTIOQUÍA</w:t>
            </w:r>
          </w:p>
        </w:tc>
        <w:tc>
          <w:tcPr>
            <w:tcW w:w="150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CÁCERES</w:t>
            </w:r>
          </w:p>
        </w:tc>
        <w:tc>
          <w:tcPr>
            <w:tcW w:w="1420"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ORO</w:t>
            </w:r>
          </w:p>
        </w:tc>
        <w:tc>
          <w:tcPr>
            <w:tcW w:w="74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ALTO</w:t>
            </w:r>
          </w:p>
        </w:tc>
      </w:tr>
      <w:tr w:rsidR="00AE001B" w:rsidRPr="00204C87" w:rsidTr="00E51EDD">
        <w:trPr>
          <w:trHeight w:val="330"/>
        </w:trPr>
        <w:tc>
          <w:tcPr>
            <w:tcW w:w="1324" w:type="pct"/>
            <w:tcBorders>
              <w:top w:val="nil"/>
              <w:left w:val="single" w:sz="4" w:space="0" w:color="auto"/>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ANTIOQUÍA</w:t>
            </w:r>
          </w:p>
        </w:tc>
        <w:tc>
          <w:tcPr>
            <w:tcW w:w="150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NECHÍ</w:t>
            </w:r>
          </w:p>
        </w:tc>
        <w:tc>
          <w:tcPr>
            <w:tcW w:w="1420"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ORO</w:t>
            </w:r>
          </w:p>
        </w:tc>
        <w:tc>
          <w:tcPr>
            <w:tcW w:w="74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ALTO</w:t>
            </w:r>
          </w:p>
        </w:tc>
      </w:tr>
      <w:tr w:rsidR="00AE001B" w:rsidRPr="00204C87" w:rsidTr="00E51EDD">
        <w:trPr>
          <w:trHeight w:val="330"/>
        </w:trPr>
        <w:tc>
          <w:tcPr>
            <w:tcW w:w="1324" w:type="pct"/>
            <w:tcBorders>
              <w:top w:val="nil"/>
              <w:left w:val="single" w:sz="4" w:space="0" w:color="auto"/>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ANTIOQUÍA</w:t>
            </w:r>
          </w:p>
        </w:tc>
        <w:tc>
          <w:tcPr>
            <w:tcW w:w="150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AMALFI</w:t>
            </w:r>
          </w:p>
        </w:tc>
        <w:tc>
          <w:tcPr>
            <w:tcW w:w="1420"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ORO</w:t>
            </w:r>
          </w:p>
        </w:tc>
        <w:tc>
          <w:tcPr>
            <w:tcW w:w="74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ALTO</w:t>
            </w:r>
          </w:p>
        </w:tc>
      </w:tr>
      <w:tr w:rsidR="00AE001B" w:rsidRPr="00204C87" w:rsidTr="00E51EDD">
        <w:trPr>
          <w:trHeight w:val="330"/>
        </w:trPr>
        <w:tc>
          <w:tcPr>
            <w:tcW w:w="1324" w:type="pct"/>
            <w:tcBorders>
              <w:top w:val="nil"/>
              <w:left w:val="single" w:sz="4" w:space="0" w:color="auto"/>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ANTIOQUÍA</w:t>
            </w:r>
          </w:p>
        </w:tc>
        <w:tc>
          <w:tcPr>
            <w:tcW w:w="150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ANORÍ</w:t>
            </w:r>
          </w:p>
        </w:tc>
        <w:tc>
          <w:tcPr>
            <w:tcW w:w="1420"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ORO</w:t>
            </w:r>
          </w:p>
        </w:tc>
        <w:tc>
          <w:tcPr>
            <w:tcW w:w="74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MUY ALTO</w:t>
            </w:r>
          </w:p>
        </w:tc>
      </w:tr>
      <w:tr w:rsidR="00AE001B" w:rsidRPr="00204C87" w:rsidTr="00E51EDD">
        <w:trPr>
          <w:trHeight w:val="330"/>
        </w:trPr>
        <w:tc>
          <w:tcPr>
            <w:tcW w:w="1324" w:type="pct"/>
            <w:tcBorders>
              <w:top w:val="nil"/>
              <w:left w:val="single" w:sz="4" w:space="0" w:color="auto"/>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ANTIOQUÍA</w:t>
            </w:r>
          </w:p>
        </w:tc>
        <w:tc>
          <w:tcPr>
            <w:tcW w:w="150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VALDIVIA</w:t>
            </w:r>
          </w:p>
        </w:tc>
        <w:tc>
          <w:tcPr>
            <w:tcW w:w="1420"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ORO</w:t>
            </w:r>
          </w:p>
        </w:tc>
        <w:tc>
          <w:tcPr>
            <w:tcW w:w="74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MUY ALTO</w:t>
            </w:r>
          </w:p>
        </w:tc>
      </w:tr>
      <w:tr w:rsidR="00AE001B" w:rsidRPr="00204C87" w:rsidTr="00E51EDD">
        <w:trPr>
          <w:trHeight w:val="330"/>
        </w:trPr>
        <w:tc>
          <w:tcPr>
            <w:tcW w:w="1324" w:type="pct"/>
            <w:tcBorders>
              <w:top w:val="nil"/>
              <w:left w:val="single" w:sz="4" w:space="0" w:color="auto"/>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ARAUCA</w:t>
            </w:r>
          </w:p>
        </w:tc>
        <w:tc>
          <w:tcPr>
            <w:tcW w:w="150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ARAUQUITA</w:t>
            </w:r>
          </w:p>
        </w:tc>
        <w:tc>
          <w:tcPr>
            <w:tcW w:w="1420"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CRUDO</w:t>
            </w:r>
          </w:p>
        </w:tc>
        <w:tc>
          <w:tcPr>
            <w:tcW w:w="74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MUY ALTO</w:t>
            </w:r>
          </w:p>
        </w:tc>
      </w:tr>
      <w:tr w:rsidR="00AE001B" w:rsidRPr="00204C87" w:rsidTr="00E51EDD">
        <w:trPr>
          <w:trHeight w:val="330"/>
        </w:trPr>
        <w:tc>
          <w:tcPr>
            <w:tcW w:w="1324" w:type="pct"/>
            <w:tcBorders>
              <w:top w:val="nil"/>
              <w:left w:val="single" w:sz="4" w:space="0" w:color="auto"/>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lastRenderedPageBreak/>
              <w:t>ARAUCA</w:t>
            </w:r>
          </w:p>
        </w:tc>
        <w:tc>
          <w:tcPr>
            <w:tcW w:w="150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SARAVENA</w:t>
            </w:r>
          </w:p>
        </w:tc>
        <w:tc>
          <w:tcPr>
            <w:tcW w:w="1420"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CRUDO</w:t>
            </w:r>
          </w:p>
        </w:tc>
        <w:tc>
          <w:tcPr>
            <w:tcW w:w="74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MUY ALTO</w:t>
            </w:r>
          </w:p>
        </w:tc>
      </w:tr>
      <w:tr w:rsidR="00AE001B" w:rsidRPr="00204C87" w:rsidTr="00E51EDD">
        <w:trPr>
          <w:trHeight w:val="330"/>
        </w:trPr>
        <w:tc>
          <w:tcPr>
            <w:tcW w:w="1324" w:type="pct"/>
            <w:tcBorders>
              <w:top w:val="nil"/>
              <w:left w:val="single" w:sz="4" w:space="0" w:color="auto"/>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BOLIVAR</w:t>
            </w:r>
          </w:p>
        </w:tc>
        <w:tc>
          <w:tcPr>
            <w:tcW w:w="150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CANTAGALLO</w:t>
            </w:r>
          </w:p>
        </w:tc>
        <w:tc>
          <w:tcPr>
            <w:tcW w:w="1420"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CRUDO + GAS</w:t>
            </w:r>
          </w:p>
        </w:tc>
        <w:tc>
          <w:tcPr>
            <w:tcW w:w="74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MUY ALTO</w:t>
            </w:r>
          </w:p>
        </w:tc>
      </w:tr>
      <w:tr w:rsidR="00AE001B" w:rsidRPr="00204C87" w:rsidTr="00E51EDD">
        <w:trPr>
          <w:trHeight w:val="330"/>
        </w:trPr>
        <w:tc>
          <w:tcPr>
            <w:tcW w:w="1324" w:type="pct"/>
            <w:tcBorders>
              <w:top w:val="nil"/>
              <w:left w:val="single" w:sz="4" w:space="0" w:color="auto"/>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BOLÍVAR</w:t>
            </w:r>
          </w:p>
        </w:tc>
        <w:tc>
          <w:tcPr>
            <w:tcW w:w="150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SANTA ROSA DEL SUR</w:t>
            </w:r>
          </w:p>
        </w:tc>
        <w:tc>
          <w:tcPr>
            <w:tcW w:w="1420"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ORO</w:t>
            </w:r>
          </w:p>
        </w:tc>
        <w:tc>
          <w:tcPr>
            <w:tcW w:w="74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ALTO</w:t>
            </w:r>
          </w:p>
        </w:tc>
      </w:tr>
      <w:tr w:rsidR="00AE001B" w:rsidRPr="00204C87" w:rsidTr="00E51EDD">
        <w:trPr>
          <w:trHeight w:val="330"/>
        </w:trPr>
        <w:tc>
          <w:tcPr>
            <w:tcW w:w="1324" w:type="pct"/>
            <w:tcBorders>
              <w:top w:val="nil"/>
              <w:left w:val="single" w:sz="4" w:space="0" w:color="auto"/>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BOLÍVAR</w:t>
            </w:r>
          </w:p>
        </w:tc>
        <w:tc>
          <w:tcPr>
            <w:tcW w:w="150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SIMITÍ</w:t>
            </w:r>
          </w:p>
        </w:tc>
        <w:tc>
          <w:tcPr>
            <w:tcW w:w="1420"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ORO</w:t>
            </w:r>
          </w:p>
        </w:tc>
        <w:tc>
          <w:tcPr>
            <w:tcW w:w="74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ALTO</w:t>
            </w:r>
          </w:p>
        </w:tc>
      </w:tr>
      <w:tr w:rsidR="00AE001B" w:rsidRPr="00204C87" w:rsidTr="00E51EDD">
        <w:trPr>
          <w:trHeight w:val="330"/>
        </w:trPr>
        <w:tc>
          <w:tcPr>
            <w:tcW w:w="1324" w:type="pct"/>
            <w:tcBorders>
              <w:top w:val="nil"/>
              <w:left w:val="single" w:sz="4" w:space="0" w:color="auto"/>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BOLÍVAR</w:t>
            </w:r>
          </w:p>
        </w:tc>
        <w:tc>
          <w:tcPr>
            <w:tcW w:w="150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MORALES</w:t>
            </w:r>
          </w:p>
        </w:tc>
        <w:tc>
          <w:tcPr>
            <w:tcW w:w="1420"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ORO</w:t>
            </w:r>
          </w:p>
        </w:tc>
        <w:tc>
          <w:tcPr>
            <w:tcW w:w="74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ALTO</w:t>
            </w:r>
          </w:p>
        </w:tc>
      </w:tr>
      <w:tr w:rsidR="00AE001B" w:rsidRPr="00204C87" w:rsidTr="00E51EDD">
        <w:trPr>
          <w:trHeight w:val="330"/>
        </w:trPr>
        <w:tc>
          <w:tcPr>
            <w:tcW w:w="1324" w:type="pct"/>
            <w:tcBorders>
              <w:top w:val="nil"/>
              <w:left w:val="single" w:sz="4" w:space="0" w:color="auto"/>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BOLÍVAR</w:t>
            </w:r>
          </w:p>
        </w:tc>
        <w:tc>
          <w:tcPr>
            <w:tcW w:w="150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SAN PABLO</w:t>
            </w:r>
          </w:p>
        </w:tc>
        <w:tc>
          <w:tcPr>
            <w:tcW w:w="1420"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ORO</w:t>
            </w:r>
          </w:p>
        </w:tc>
        <w:tc>
          <w:tcPr>
            <w:tcW w:w="74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MUY ALTO</w:t>
            </w:r>
          </w:p>
        </w:tc>
      </w:tr>
      <w:tr w:rsidR="00AE001B" w:rsidRPr="00204C87" w:rsidTr="00E51EDD">
        <w:trPr>
          <w:trHeight w:val="330"/>
        </w:trPr>
        <w:tc>
          <w:tcPr>
            <w:tcW w:w="1324" w:type="pct"/>
            <w:tcBorders>
              <w:top w:val="nil"/>
              <w:left w:val="single" w:sz="4" w:space="0" w:color="auto"/>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BOLÍVAR</w:t>
            </w:r>
          </w:p>
        </w:tc>
        <w:tc>
          <w:tcPr>
            <w:tcW w:w="150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MONTECRISTO</w:t>
            </w:r>
          </w:p>
        </w:tc>
        <w:tc>
          <w:tcPr>
            <w:tcW w:w="1420"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ORO</w:t>
            </w:r>
          </w:p>
        </w:tc>
        <w:tc>
          <w:tcPr>
            <w:tcW w:w="74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ALTO</w:t>
            </w:r>
          </w:p>
        </w:tc>
      </w:tr>
      <w:tr w:rsidR="00AE001B" w:rsidRPr="00204C87" w:rsidTr="00E51EDD">
        <w:trPr>
          <w:trHeight w:val="330"/>
        </w:trPr>
        <w:tc>
          <w:tcPr>
            <w:tcW w:w="1324" w:type="pct"/>
            <w:tcBorders>
              <w:top w:val="nil"/>
              <w:left w:val="single" w:sz="4" w:space="0" w:color="auto"/>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CASANARE</w:t>
            </w:r>
          </w:p>
        </w:tc>
        <w:tc>
          <w:tcPr>
            <w:tcW w:w="150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MANI</w:t>
            </w:r>
          </w:p>
        </w:tc>
        <w:tc>
          <w:tcPr>
            <w:tcW w:w="1420"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CRUDO + GAS</w:t>
            </w:r>
          </w:p>
        </w:tc>
        <w:tc>
          <w:tcPr>
            <w:tcW w:w="74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ALTO</w:t>
            </w:r>
          </w:p>
        </w:tc>
      </w:tr>
      <w:tr w:rsidR="00AE001B" w:rsidRPr="00204C87" w:rsidTr="00E51EDD">
        <w:trPr>
          <w:trHeight w:val="330"/>
        </w:trPr>
        <w:tc>
          <w:tcPr>
            <w:tcW w:w="1324" w:type="pct"/>
            <w:tcBorders>
              <w:top w:val="nil"/>
              <w:left w:val="single" w:sz="4" w:space="0" w:color="auto"/>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CASANARE</w:t>
            </w:r>
          </w:p>
        </w:tc>
        <w:tc>
          <w:tcPr>
            <w:tcW w:w="150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AGUAZUL</w:t>
            </w:r>
          </w:p>
        </w:tc>
        <w:tc>
          <w:tcPr>
            <w:tcW w:w="1420"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CRUDO + GAS</w:t>
            </w:r>
          </w:p>
        </w:tc>
        <w:tc>
          <w:tcPr>
            <w:tcW w:w="74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ALTO</w:t>
            </w:r>
          </w:p>
        </w:tc>
      </w:tr>
      <w:tr w:rsidR="00AE001B" w:rsidRPr="00204C87" w:rsidTr="00E51EDD">
        <w:trPr>
          <w:trHeight w:val="330"/>
        </w:trPr>
        <w:tc>
          <w:tcPr>
            <w:tcW w:w="1324" w:type="pct"/>
            <w:tcBorders>
              <w:top w:val="nil"/>
              <w:left w:val="single" w:sz="4" w:space="0" w:color="auto"/>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CAUCA</w:t>
            </w:r>
          </w:p>
        </w:tc>
        <w:tc>
          <w:tcPr>
            <w:tcW w:w="150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PIAMONTE</w:t>
            </w:r>
          </w:p>
        </w:tc>
        <w:tc>
          <w:tcPr>
            <w:tcW w:w="1420"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CRUDO</w:t>
            </w:r>
          </w:p>
        </w:tc>
        <w:tc>
          <w:tcPr>
            <w:tcW w:w="74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MUY ALTO</w:t>
            </w:r>
          </w:p>
        </w:tc>
      </w:tr>
      <w:tr w:rsidR="00AE001B" w:rsidRPr="00204C87" w:rsidTr="00E51EDD">
        <w:trPr>
          <w:trHeight w:val="330"/>
        </w:trPr>
        <w:tc>
          <w:tcPr>
            <w:tcW w:w="1324" w:type="pct"/>
            <w:tcBorders>
              <w:top w:val="nil"/>
              <w:left w:val="single" w:sz="4" w:space="0" w:color="auto"/>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CAUCA</w:t>
            </w:r>
          </w:p>
        </w:tc>
        <w:tc>
          <w:tcPr>
            <w:tcW w:w="150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TIMBIQUÍ</w:t>
            </w:r>
          </w:p>
        </w:tc>
        <w:tc>
          <w:tcPr>
            <w:tcW w:w="1420"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ORO</w:t>
            </w:r>
          </w:p>
        </w:tc>
        <w:tc>
          <w:tcPr>
            <w:tcW w:w="74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ALTO</w:t>
            </w:r>
          </w:p>
        </w:tc>
      </w:tr>
      <w:tr w:rsidR="00AE001B" w:rsidRPr="00204C87" w:rsidTr="00E51EDD">
        <w:trPr>
          <w:trHeight w:val="330"/>
        </w:trPr>
        <w:tc>
          <w:tcPr>
            <w:tcW w:w="1324" w:type="pct"/>
            <w:tcBorders>
              <w:top w:val="nil"/>
              <w:left w:val="single" w:sz="4" w:space="0" w:color="auto"/>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CAUCA</w:t>
            </w:r>
          </w:p>
        </w:tc>
        <w:tc>
          <w:tcPr>
            <w:tcW w:w="150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SUÁREZ</w:t>
            </w:r>
          </w:p>
        </w:tc>
        <w:tc>
          <w:tcPr>
            <w:tcW w:w="1420"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ORO</w:t>
            </w:r>
          </w:p>
        </w:tc>
        <w:tc>
          <w:tcPr>
            <w:tcW w:w="74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ALTO</w:t>
            </w:r>
          </w:p>
        </w:tc>
      </w:tr>
      <w:tr w:rsidR="00AE001B" w:rsidRPr="00204C87" w:rsidTr="00E51EDD">
        <w:trPr>
          <w:trHeight w:val="330"/>
        </w:trPr>
        <w:tc>
          <w:tcPr>
            <w:tcW w:w="1324" w:type="pct"/>
            <w:tcBorders>
              <w:top w:val="nil"/>
              <w:left w:val="single" w:sz="4" w:space="0" w:color="auto"/>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CAUCA</w:t>
            </w:r>
          </w:p>
        </w:tc>
        <w:tc>
          <w:tcPr>
            <w:tcW w:w="150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EL TAMBO</w:t>
            </w:r>
          </w:p>
        </w:tc>
        <w:tc>
          <w:tcPr>
            <w:tcW w:w="1420"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ORO</w:t>
            </w:r>
          </w:p>
        </w:tc>
        <w:tc>
          <w:tcPr>
            <w:tcW w:w="74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MUY ALTO</w:t>
            </w:r>
          </w:p>
        </w:tc>
      </w:tr>
      <w:tr w:rsidR="00AE001B" w:rsidRPr="00204C87" w:rsidTr="00E51EDD">
        <w:trPr>
          <w:trHeight w:val="330"/>
        </w:trPr>
        <w:tc>
          <w:tcPr>
            <w:tcW w:w="1324" w:type="pct"/>
            <w:tcBorders>
              <w:top w:val="nil"/>
              <w:left w:val="single" w:sz="4" w:space="0" w:color="auto"/>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CAUCA</w:t>
            </w:r>
          </w:p>
        </w:tc>
        <w:tc>
          <w:tcPr>
            <w:tcW w:w="150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PATÍA</w:t>
            </w:r>
          </w:p>
        </w:tc>
        <w:tc>
          <w:tcPr>
            <w:tcW w:w="1420"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ORO</w:t>
            </w:r>
          </w:p>
        </w:tc>
        <w:tc>
          <w:tcPr>
            <w:tcW w:w="74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ALTO</w:t>
            </w:r>
          </w:p>
        </w:tc>
      </w:tr>
      <w:tr w:rsidR="00AE001B" w:rsidRPr="00204C87" w:rsidTr="00E51EDD">
        <w:trPr>
          <w:trHeight w:val="330"/>
        </w:trPr>
        <w:tc>
          <w:tcPr>
            <w:tcW w:w="1324" w:type="pct"/>
            <w:tcBorders>
              <w:top w:val="nil"/>
              <w:left w:val="single" w:sz="4" w:space="0" w:color="auto"/>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CESAR</w:t>
            </w:r>
          </w:p>
        </w:tc>
        <w:tc>
          <w:tcPr>
            <w:tcW w:w="150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BECERRIL</w:t>
            </w:r>
          </w:p>
        </w:tc>
        <w:tc>
          <w:tcPr>
            <w:tcW w:w="1420"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CARBÓN</w:t>
            </w:r>
          </w:p>
        </w:tc>
        <w:tc>
          <w:tcPr>
            <w:tcW w:w="74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ALTO</w:t>
            </w:r>
          </w:p>
        </w:tc>
      </w:tr>
      <w:tr w:rsidR="00AE001B" w:rsidRPr="00204C87" w:rsidTr="00E51EDD">
        <w:trPr>
          <w:trHeight w:val="330"/>
        </w:trPr>
        <w:tc>
          <w:tcPr>
            <w:tcW w:w="1324" w:type="pct"/>
            <w:tcBorders>
              <w:top w:val="nil"/>
              <w:left w:val="single" w:sz="4" w:space="0" w:color="auto"/>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CHOCÓ</w:t>
            </w:r>
          </w:p>
        </w:tc>
        <w:tc>
          <w:tcPr>
            <w:tcW w:w="150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NÓVITA</w:t>
            </w:r>
          </w:p>
        </w:tc>
        <w:tc>
          <w:tcPr>
            <w:tcW w:w="1420"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ORO</w:t>
            </w:r>
          </w:p>
        </w:tc>
        <w:tc>
          <w:tcPr>
            <w:tcW w:w="74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ALTO</w:t>
            </w:r>
          </w:p>
        </w:tc>
      </w:tr>
      <w:tr w:rsidR="00AE001B" w:rsidRPr="00204C87" w:rsidTr="00E51EDD">
        <w:trPr>
          <w:trHeight w:val="330"/>
        </w:trPr>
        <w:tc>
          <w:tcPr>
            <w:tcW w:w="1324" w:type="pct"/>
            <w:tcBorders>
              <w:top w:val="nil"/>
              <w:left w:val="single" w:sz="4" w:space="0" w:color="auto"/>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CHOCÓ</w:t>
            </w:r>
          </w:p>
        </w:tc>
        <w:tc>
          <w:tcPr>
            <w:tcW w:w="150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ISTMINA</w:t>
            </w:r>
          </w:p>
        </w:tc>
        <w:tc>
          <w:tcPr>
            <w:tcW w:w="1420"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ORO</w:t>
            </w:r>
          </w:p>
        </w:tc>
        <w:tc>
          <w:tcPr>
            <w:tcW w:w="74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ALTO</w:t>
            </w:r>
          </w:p>
        </w:tc>
      </w:tr>
      <w:tr w:rsidR="00AE001B" w:rsidRPr="00204C87" w:rsidTr="00E51EDD">
        <w:trPr>
          <w:trHeight w:val="330"/>
        </w:trPr>
        <w:tc>
          <w:tcPr>
            <w:tcW w:w="1324" w:type="pct"/>
            <w:tcBorders>
              <w:top w:val="nil"/>
              <w:left w:val="single" w:sz="4" w:space="0" w:color="auto"/>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CHOCÓ</w:t>
            </w:r>
          </w:p>
        </w:tc>
        <w:tc>
          <w:tcPr>
            <w:tcW w:w="150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TADÓ</w:t>
            </w:r>
          </w:p>
        </w:tc>
        <w:tc>
          <w:tcPr>
            <w:tcW w:w="1420"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ORO</w:t>
            </w:r>
          </w:p>
        </w:tc>
        <w:tc>
          <w:tcPr>
            <w:tcW w:w="74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ALTO</w:t>
            </w:r>
          </w:p>
        </w:tc>
      </w:tr>
      <w:tr w:rsidR="00AE001B" w:rsidRPr="00204C87" w:rsidTr="00E51EDD">
        <w:trPr>
          <w:trHeight w:val="330"/>
        </w:trPr>
        <w:tc>
          <w:tcPr>
            <w:tcW w:w="1324" w:type="pct"/>
            <w:tcBorders>
              <w:top w:val="nil"/>
              <w:left w:val="single" w:sz="4" w:space="0" w:color="auto"/>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CHOCÓ</w:t>
            </w:r>
          </w:p>
        </w:tc>
        <w:tc>
          <w:tcPr>
            <w:tcW w:w="150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SIPÍ</w:t>
            </w:r>
          </w:p>
        </w:tc>
        <w:tc>
          <w:tcPr>
            <w:tcW w:w="1420"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ORO</w:t>
            </w:r>
          </w:p>
        </w:tc>
        <w:tc>
          <w:tcPr>
            <w:tcW w:w="74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ALTO</w:t>
            </w:r>
          </w:p>
        </w:tc>
      </w:tr>
      <w:tr w:rsidR="00AE001B" w:rsidRPr="00204C87" w:rsidTr="00E51EDD">
        <w:trPr>
          <w:trHeight w:val="330"/>
        </w:trPr>
        <w:tc>
          <w:tcPr>
            <w:tcW w:w="1324" w:type="pct"/>
            <w:tcBorders>
              <w:top w:val="nil"/>
              <w:left w:val="single" w:sz="4" w:space="0" w:color="auto"/>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CHOCÓ</w:t>
            </w:r>
          </w:p>
        </w:tc>
        <w:tc>
          <w:tcPr>
            <w:tcW w:w="150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BAGADÓ</w:t>
            </w:r>
          </w:p>
        </w:tc>
        <w:tc>
          <w:tcPr>
            <w:tcW w:w="1420"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ORO</w:t>
            </w:r>
          </w:p>
        </w:tc>
        <w:tc>
          <w:tcPr>
            <w:tcW w:w="74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ALTO</w:t>
            </w:r>
          </w:p>
        </w:tc>
      </w:tr>
      <w:tr w:rsidR="00AE001B" w:rsidRPr="00204C87" w:rsidTr="00E51EDD">
        <w:trPr>
          <w:trHeight w:val="330"/>
        </w:trPr>
        <w:tc>
          <w:tcPr>
            <w:tcW w:w="1324" w:type="pct"/>
            <w:tcBorders>
              <w:top w:val="nil"/>
              <w:left w:val="single" w:sz="4" w:space="0" w:color="auto"/>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CÓRDOBA</w:t>
            </w:r>
          </w:p>
        </w:tc>
        <w:tc>
          <w:tcPr>
            <w:tcW w:w="150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PUERTO LIBERTADOR</w:t>
            </w:r>
          </w:p>
        </w:tc>
        <w:tc>
          <w:tcPr>
            <w:tcW w:w="1420"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ORO + CARBÓN</w:t>
            </w:r>
          </w:p>
        </w:tc>
        <w:tc>
          <w:tcPr>
            <w:tcW w:w="74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MUY ALTO</w:t>
            </w:r>
          </w:p>
        </w:tc>
      </w:tr>
      <w:tr w:rsidR="00AE001B" w:rsidRPr="00204C87" w:rsidTr="00E51EDD">
        <w:trPr>
          <w:trHeight w:val="330"/>
        </w:trPr>
        <w:tc>
          <w:tcPr>
            <w:tcW w:w="1324" w:type="pct"/>
            <w:tcBorders>
              <w:top w:val="nil"/>
              <w:left w:val="single" w:sz="4" w:space="0" w:color="auto"/>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CÓRDOBA</w:t>
            </w:r>
          </w:p>
        </w:tc>
        <w:tc>
          <w:tcPr>
            <w:tcW w:w="150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MONTELÍBANO</w:t>
            </w:r>
          </w:p>
        </w:tc>
        <w:tc>
          <w:tcPr>
            <w:tcW w:w="1420"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NIQUEL</w:t>
            </w:r>
          </w:p>
        </w:tc>
        <w:tc>
          <w:tcPr>
            <w:tcW w:w="74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ALTO</w:t>
            </w:r>
          </w:p>
        </w:tc>
      </w:tr>
      <w:tr w:rsidR="00AE001B" w:rsidRPr="00204C87" w:rsidTr="00E51EDD">
        <w:trPr>
          <w:trHeight w:val="330"/>
        </w:trPr>
        <w:tc>
          <w:tcPr>
            <w:tcW w:w="1324" w:type="pct"/>
            <w:tcBorders>
              <w:top w:val="nil"/>
              <w:left w:val="single" w:sz="4" w:space="0" w:color="auto"/>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GUAJIRA</w:t>
            </w:r>
          </w:p>
        </w:tc>
        <w:tc>
          <w:tcPr>
            <w:tcW w:w="150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DIBULLA</w:t>
            </w:r>
          </w:p>
        </w:tc>
        <w:tc>
          <w:tcPr>
            <w:tcW w:w="1420"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GAS</w:t>
            </w:r>
          </w:p>
        </w:tc>
        <w:tc>
          <w:tcPr>
            <w:tcW w:w="74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ALTO</w:t>
            </w:r>
          </w:p>
        </w:tc>
      </w:tr>
      <w:tr w:rsidR="00AE001B" w:rsidRPr="00204C87" w:rsidTr="00E51EDD">
        <w:trPr>
          <w:trHeight w:val="330"/>
        </w:trPr>
        <w:tc>
          <w:tcPr>
            <w:tcW w:w="1324" w:type="pct"/>
            <w:tcBorders>
              <w:top w:val="nil"/>
              <w:left w:val="single" w:sz="4" w:space="0" w:color="auto"/>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META</w:t>
            </w:r>
          </w:p>
        </w:tc>
        <w:tc>
          <w:tcPr>
            <w:tcW w:w="150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PUERTO GAITAN</w:t>
            </w:r>
          </w:p>
        </w:tc>
        <w:tc>
          <w:tcPr>
            <w:tcW w:w="1420"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CRUDO</w:t>
            </w:r>
          </w:p>
        </w:tc>
        <w:tc>
          <w:tcPr>
            <w:tcW w:w="74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ALTO</w:t>
            </w:r>
          </w:p>
        </w:tc>
      </w:tr>
      <w:tr w:rsidR="00AE001B" w:rsidRPr="00204C87" w:rsidTr="00E51EDD">
        <w:trPr>
          <w:trHeight w:val="330"/>
        </w:trPr>
        <w:tc>
          <w:tcPr>
            <w:tcW w:w="1324" w:type="pct"/>
            <w:tcBorders>
              <w:top w:val="nil"/>
              <w:left w:val="single" w:sz="4" w:space="0" w:color="auto"/>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META</w:t>
            </w:r>
          </w:p>
        </w:tc>
        <w:tc>
          <w:tcPr>
            <w:tcW w:w="150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VISTA HERMOSA</w:t>
            </w:r>
          </w:p>
        </w:tc>
        <w:tc>
          <w:tcPr>
            <w:tcW w:w="1420"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CRUDO</w:t>
            </w:r>
          </w:p>
        </w:tc>
        <w:tc>
          <w:tcPr>
            <w:tcW w:w="74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MUY ALTO</w:t>
            </w:r>
          </w:p>
        </w:tc>
      </w:tr>
      <w:tr w:rsidR="00AE001B" w:rsidRPr="00204C87" w:rsidTr="00E51EDD">
        <w:trPr>
          <w:trHeight w:val="330"/>
        </w:trPr>
        <w:tc>
          <w:tcPr>
            <w:tcW w:w="1324" w:type="pct"/>
            <w:tcBorders>
              <w:top w:val="nil"/>
              <w:left w:val="single" w:sz="4" w:space="0" w:color="auto"/>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NARIÑO</w:t>
            </w:r>
          </w:p>
        </w:tc>
        <w:tc>
          <w:tcPr>
            <w:tcW w:w="150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MAGÜÍ</w:t>
            </w:r>
          </w:p>
        </w:tc>
        <w:tc>
          <w:tcPr>
            <w:tcW w:w="1420"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ORO</w:t>
            </w:r>
          </w:p>
        </w:tc>
        <w:tc>
          <w:tcPr>
            <w:tcW w:w="74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MUY ALTO</w:t>
            </w:r>
          </w:p>
        </w:tc>
      </w:tr>
      <w:tr w:rsidR="00AE001B" w:rsidRPr="00204C87" w:rsidTr="00E51EDD">
        <w:trPr>
          <w:trHeight w:val="330"/>
        </w:trPr>
        <w:tc>
          <w:tcPr>
            <w:tcW w:w="1324" w:type="pct"/>
            <w:tcBorders>
              <w:top w:val="nil"/>
              <w:left w:val="single" w:sz="4" w:space="0" w:color="auto"/>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NARIÑO</w:t>
            </w:r>
          </w:p>
        </w:tc>
        <w:tc>
          <w:tcPr>
            <w:tcW w:w="150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ROBERTO PAYÁN</w:t>
            </w:r>
          </w:p>
        </w:tc>
        <w:tc>
          <w:tcPr>
            <w:tcW w:w="1420"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ORO</w:t>
            </w:r>
          </w:p>
        </w:tc>
        <w:tc>
          <w:tcPr>
            <w:tcW w:w="74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MUY ALTO</w:t>
            </w:r>
          </w:p>
        </w:tc>
      </w:tr>
      <w:tr w:rsidR="00AE001B" w:rsidRPr="00204C87" w:rsidTr="00E51EDD">
        <w:trPr>
          <w:trHeight w:val="330"/>
        </w:trPr>
        <w:tc>
          <w:tcPr>
            <w:tcW w:w="1324" w:type="pct"/>
            <w:tcBorders>
              <w:top w:val="nil"/>
              <w:left w:val="single" w:sz="4" w:space="0" w:color="auto"/>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NARIÑO</w:t>
            </w:r>
          </w:p>
        </w:tc>
        <w:tc>
          <w:tcPr>
            <w:tcW w:w="150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BARBACOAS</w:t>
            </w:r>
          </w:p>
        </w:tc>
        <w:tc>
          <w:tcPr>
            <w:tcW w:w="1420"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ORO</w:t>
            </w:r>
          </w:p>
        </w:tc>
        <w:tc>
          <w:tcPr>
            <w:tcW w:w="74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MUY ALTO</w:t>
            </w:r>
          </w:p>
        </w:tc>
      </w:tr>
      <w:tr w:rsidR="00AE001B" w:rsidRPr="00204C87" w:rsidTr="00E51EDD">
        <w:trPr>
          <w:trHeight w:val="330"/>
        </w:trPr>
        <w:tc>
          <w:tcPr>
            <w:tcW w:w="1324" w:type="pct"/>
            <w:tcBorders>
              <w:top w:val="nil"/>
              <w:left w:val="single" w:sz="4" w:space="0" w:color="auto"/>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NARIÑO</w:t>
            </w:r>
          </w:p>
        </w:tc>
        <w:tc>
          <w:tcPr>
            <w:tcW w:w="150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SANTA BÁRBARA</w:t>
            </w:r>
          </w:p>
        </w:tc>
        <w:tc>
          <w:tcPr>
            <w:tcW w:w="1420"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ORO</w:t>
            </w:r>
          </w:p>
        </w:tc>
        <w:tc>
          <w:tcPr>
            <w:tcW w:w="74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ALTO</w:t>
            </w:r>
          </w:p>
        </w:tc>
      </w:tr>
      <w:tr w:rsidR="00AE001B" w:rsidRPr="00204C87" w:rsidTr="00E51EDD">
        <w:trPr>
          <w:trHeight w:val="330"/>
        </w:trPr>
        <w:tc>
          <w:tcPr>
            <w:tcW w:w="1324" w:type="pct"/>
            <w:tcBorders>
              <w:top w:val="nil"/>
              <w:left w:val="single" w:sz="4" w:space="0" w:color="auto"/>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NARIÑO</w:t>
            </w:r>
          </w:p>
        </w:tc>
        <w:tc>
          <w:tcPr>
            <w:tcW w:w="150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EL CHARCO</w:t>
            </w:r>
          </w:p>
        </w:tc>
        <w:tc>
          <w:tcPr>
            <w:tcW w:w="1420"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ORO</w:t>
            </w:r>
          </w:p>
        </w:tc>
        <w:tc>
          <w:tcPr>
            <w:tcW w:w="74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MUY ALTO</w:t>
            </w:r>
          </w:p>
        </w:tc>
      </w:tr>
      <w:tr w:rsidR="00AE001B" w:rsidRPr="00204C87" w:rsidTr="00E51EDD">
        <w:trPr>
          <w:trHeight w:val="330"/>
        </w:trPr>
        <w:tc>
          <w:tcPr>
            <w:tcW w:w="1324" w:type="pct"/>
            <w:tcBorders>
              <w:top w:val="nil"/>
              <w:left w:val="single" w:sz="4" w:space="0" w:color="auto"/>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NARIÑO</w:t>
            </w:r>
          </w:p>
        </w:tc>
        <w:tc>
          <w:tcPr>
            <w:tcW w:w="150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SAN ANDRÉS DE TUMACO</w:t>
            </w:r>
          </w:p>
        </w:tc>
        <w:tc>
          <w:tcPr>
            <w:tcW w:w="1420"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ORO</w:t>
            </w:r>
          </w:p>
        </w:tc>
        <w:tc>
          <w:tcPr>
            <w:tcW w:w="74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MUY ALTO</w:t>
            </w:r>
          </w:p>
        </w:tc>
      </w:tr>
      <w:tr w:rsidR="00AE001B" w:rsidRPr="00204C87" w:rsidTr="00E51EDD">
        <w:trPr>
          <w:trHeight w:val="330"/>
        </w:trPr>
        <w:tc>
          <w:tcPr>
            <w:tcW w:w="1324" w:type="pct"/>
            <w:tcBorders>
              <w:top w:val="nil"/>
              <w:left w:val="single" w:sz="4" w:space="0" w:color="auto"/>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NARIÑO</w:t>
            </w:r>
          </w:p>
        </w:tc>
        <w:tc>
          <w:tcPr>
            <w:tcW w:w="150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CUMBITARA</w:t>
            </w:r>
          </w:p>
        </w:tc>
        <w:tc>
          <w:tcPr>
            <w:tcW w:w="1420"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ORO</w:t>
            </w:r>
          </w:p>
        </w:tc>
        <w:tc>
          <w:tcPr>
            <w:tcW w:w="74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MUY ALTO</w:t>
            </w:r>
          </w:p>
        </w:tc>
      </w:tr>
      <w:tr w:rsidR="00AE001B" w:rsidRPr="00204C87" w:rsidTr="00E51EDD">
        <w:trPr>
          <w:trHeight w:val="330"/>
        </w:trPr>
        <w:tc>
          <w:tcPr>
            <w:tcW w:w="1324" w:type="pct"/>
            <w:tcBorders>
              <w:top w:val="nil"/>
              <w:left w:val="single" w:sz="4" w:space="0" w:color="auto"/>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NARIÑO</w:t>
            </w:r>
          </w:p>
        </w:tc>
        <w:tc>
          <w:tcPr>
            <w:tcW w:w="150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LA LLANADA</w:t>
            </w:r>
          </w:p>
        </w:tc>
        <w:tc>
          <w:tcPr>
            <w:tcW w:w="1420"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ORO</w:t>
            </w:r>
          </w:p>
        </w:tc>
        <w:tc>
          <w:tcPr>
            <w:tcW w:w="74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ALTO</w:t>
            </w:r>
          </w:p>
        </w:tc>
      </w:tr>
      <w:tr w:rsidR="00AE001B" w:rsidRPr="00204C87" w:rsidTr="00E51EDD">
        <w:trPr>
          <w:trHeight w:val="330"/>
        </w:trPr>
        <w:tc>
          <w:tcPr>
            <w:tcW w:w="1324" w:type="pct"/>
            <w:tcBorders>
              <w:top w:val="nil"/>
              <w:left w:val="single" w:sz="4" w:space="0" w:color="auto"/>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N</w:t>
            </w:r>
            <w:r>
              <w:rPr>
                <w:rFonts w:ascii="Arial" w:hAnsi="Arial" w:cs="Arial"/>
                <w:sz w:val="20"/>
                <w:szCs w:val="20"/>
                <w:lang w:eastAsia="es-CO"/>
              </w:rPr>
              <w:t xml:space="preserve">. </w:t>
            </w:r>
            <w:r w:rsidRPr="00204C87">
              <w:rPr>
                <w:rFonts w:ascii="Arial" w:hAnsi="Arial" w:cs="Arial"/>
                <w:sz w:val="20"/>
                <w:szCs w:val="20"/>
                <w:lang w:eastAsia="es-CO"/>
              </w:rPr>
              <w:t>DE SANTANDER</w:t>
            </w:r>
          </w:p>
        </w:tc>
        <w:tc>
          <w:tcPr>
            <w:tcW w:w="150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SARDINATA</w:t>
            </w:r>
          </w:p>
        </w:tc>
        <w:tc>
          <w:tcPr>
            <w:tcW w:w="1420"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GAS + CARBÓN</w:t>
            </w:r>
          </w:p>
        </w:tc>
        <w:tc>
          <w:tcPr>
            <w:tcW w:w="74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MUY ALTO</w:t>
            </w:r>
          </w:p>
        </w:tc>
      </w:tr>
      <w:tr w:rsidR="00AE001B" w:rsidRPr="00204C87" w:rsidTr="00E51EDD">
        <w:trPr>
          <w:trHeight w:val="330"/>
        </w:trPr>
        <w:tc>
          <w:tcPr>
            <w:tcW w:w="1324" w:type="pct"/>
            <w:tcBorders>
              <w:top w:val="nil"/>
              <w:left w:val="single" w:sz="4" w:space="0" w:color="auto"/>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N</w:t>
            </w:r>
            <w:r>
              <w:rPr>
                <w:rFonts w:ascii="Arial" w:hAnsi="Arial" w:cs="Arial"/>
                <w:sz w:val="20"/>
                <w:szCs w:val="20"/>
                <w:lang w:eastAsia="es-CO"/>
              </w:rPr>
              <w:t xml:space="preserve">. </w:t>
            </w:r>
            <w:r w:rsidRPr="00204C87">
              <w:rPr>
                <w:rFonts w:ascii="Arial" w:hAnsi="Arial" w:cs="Arial"/>
                <w:sz w:val="20"/>
                <w:szCs w:val="20"/>
                <w:lang w:eastAsia="es-CO"/>
              </w:rPr>
              <w:t>DE SANTANDER</w:t>
            </w:r>
          </w:p>
        </w:tc>
        <w:tc>
          <w:tcPr>
            <w:tcW w:w="150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TIBÚ</w:t>
            </w:r>
          </w:p>
        </w:tc>
        <w:tc>
          <w:tcPr>
            <w:tcW w:w="1420"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textAlignment w:val="center"/>
              <w:rPr>
                <w:rFonts w:ascii="Arial" w:hAnsi="Arial" w:cs="Arial"/>
                <w:sz w:val="20"/>
                <w:szCs w:val="20"/>
                <w:lang w:eastAsia="es-CO"/>
              </w:rPr>
            </w:pPr>
            <w:r w:rsidRPr="00204C87">
              <w:rPr>
                <w:rFonts w:ascii="Arial" w:hAnsi="Arial" w:cs="Arial"/>
                <w:sz w:val="20"/>
                <w:szCs w:val="20"/>
                <w:lang w:eastAsia="es-CO"/>
              </w:rPr>
              <w:t>CRUDO + GAS + CARBÓN</w:t>
            </w:r>
          </w:p>
        </w:tc>
        <w:tc>
          <w:tcPr>
            <w:tcW w:w="74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MUY ALTO</w:t>
            </w:r>
          </w:p>
        </w:tc>
      </w:tr>
      <w:tr w:rsidR="00AE001B" w:rsidRPr="00204C87" w:rsidTr="00E51EDD">
        <w:trPr>
          <w:trHeight w:val="330"/>
        </w:trPr>
        <w:tc>
          <w:tcPr>
            <w:tcW w:w="1324" w:type="pct"/>
            <w:tcBorders>
              <w:top w:val="nil"/>
              <w:left w:val="single" w:sz="4" w:space="0" w:color="auto"/>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lastRenderedPageBreak/>
              <w:t>PUTUMAYO</w:t>
            </w:r>
          </w:p>
        </w:tc>
        <w:tc>
          <w:tcPr>
            <w:tcW w:w="150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ORITO</w:t>
            </w:r>
          </w:p>
        </w:tc>
        <w:tc>
          <w:tcPr>
            <w:tcW w:w="1420"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CRUDO</w:t>
            </w:r>
          </w:p>
        </w:tc>
        <w:tc>
          <w:tcPr>
            <w:tcW w:w="74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MUY ALTO</w:t>
            </w:r>
          </w:p>
        </w:tc>
      </w:tr>
      <w:tr w:rsidR="00AE001B" w:rsidRPr="00204C87" w:rsidTr="00E51EDD">
        <w:trPr>
          <w:trHeight w:val="330"/>
        </w:trPr>
        <w:tc>
          <w:tcPr>
            <w:tcW w:w="1324" w:type="pct"/>
            <w:tcBorders>
              <w:top w:val="nil"/>
              <w:left w:val="single" w:sz="4" w:space="0" w:color="auto"/>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PUTUMAYO</w:t>
            </w:r>
          </w:p>
        </w:tc>
        <w:tc>
          <w:tcPr>
            <w:tcW w:w="150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PUERTO ASIS</w:t>
            </w:r>
          </w:p>
        </w:tc>
        <w:tc>
          <w:tcPr>
            <w:tcW w:w="1420"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CRUDO</w:t>
            </w:r>
          </w:p>
        </w:tc>
        <w:tc>
          <w:tcPr>
            <w:tcW w:w="74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MUY ALTO</w:t>
            </w:r>
          </w:p>
        </w:tc>
      </w:tr>
      <w:tr w:rsidR="00AE001B" w:rsidRPr="00204C87" w:rsidTr="00E51EDD">
        <w:trPr>
          <w:trHeight w:val="330"/>
        </w:trPr>
        <w:tc>
          <w:tcPr>
            <w:tcW w:w="1324" w:type="pct"/>
            <w:tcBorders>
              <w:top w:val="nil"/>
              <w:left w:val="single" w:sz="4" w:space="0" w:color="auto"/>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PUTUMAYO</w:t>
            </w:r>
          </w:p>
        </w:tc>
        <w:tc>
          <w:tcPr>
            <w:tcW w:w="150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PUERTO CAICEDO</w:t>
            </w:r>
          </w:p>
        </w:tc>
        <w:tc>
          <w:tcPr>
            <w:tcW w:w="1420"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CRUDO</w:t>
            </w:r>
          </w:p>
        </w:tc>
        <w:tc>
          <w:tcPr>
            <w:tcW w:w="74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MUY ALTO</w:t>
            </w:r>
          </w:p>
        </w:tc>
      </w:tr>
      <w:tr w:rsidR="00AE001B" w:rsidRPr="00204C87" w:rsidTr="00E51EDD">
        <w:trPr>
          <w:trHeight w:val="330"/>
        </w:trPr>
        <w:tc>
          <w:tcPr>
            <w:tcW w:w="1324" w:type="pct"/>
            <w:tcBorders>
              <w:top w:val="nil"/>
              <w:left w:val="single" w:sz="4" w:space="0" w:color="auto"/>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PUTUMAYO</w:t>
            </w:r>
          </w:p>
        </w:tc>
        <w:tc>
          <w:tcPr>
            <w:tcW w:w="150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SAN MIGUEL</w:t>
            </w:r>
          </w:p>
        </w:tc>
        <w:tc>
          <w:tcPr>
            <w:tcW w:w="1420"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CRUDO</w:t>
            </w:r>
          </w:p>
        </w:tc>
        <w:tc>
          <w:tcPr>
            <w:tcW w:w="74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MUY ALTO</w:t>
            </w:r>
          </w:p>
        </w:tc>
      </w:tr>
      <w:tr w:rsidR="00AE001B" w:rsidRPr="00204C87" w:rsidTr="00E51EDD">
        <w:trPr>
          <w:trHeight w:val="330"/>
        </w:trPr>
        <w:tc>
          <w:tcPr>
            <w:tcW w:w="1324" w:type="pct"/>
            <w:tcBorders>
              <w:top w:val="nil"/>
              <w:left w:val="single" w:sz="4" w:space="0" w:color="auto"/>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PUTUMAYO</w:t>
            </w:r>
          </w:p>
        </w:tc>
        <w:tc>
          <w:tcPr>
            <w:tcW w:w="150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VALLE DEL GUAMUEZ</w:t>
            </w:r>
          </w:p>
        </w:tc>
        <w:tc>
          <w:tcPr>
            <w:tcW w:w="1420"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CRUDO</w:t>
            </w:r>
          </w:p>
        </w:tc>
        <w:tc>
          <w:tcPr>
            <w:tcW w:w="74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MUY ALTO</w:t>
            </w:r>
          </w:p>
        </w:tc>
      </w:tr>
      <w:tr w:rsidR="00AE001B" w:rsidRPr="00204C87" w:rsidTr="00E51EDD">
        <w:trPr>
          <w:trHeight w:val="330"/>
        </w:trPr>
        <w:tc>
          <w:tcPr>
            <w:tcW w:w="1324" w:type="pct"/>
            <w:tcBorders>
              <w:top w:val="nil"/>
              <w:left w:val="single" w:sz="4" w:space="0" w:color="auto"/>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PUTUMAYO</w:t>
            </w:r>
          </w:p>
        </w:tc>
        <w:tc>
          <w:tcPr>
            <w:tcW w:w="150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VILLAGARZON</w:t>
            </w:r>
          </w:p>
        </w:tc>
        <w:tc>
          <w:tcPr>
            <w:tcW w:w="1420"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CRUDO</w:t>
            </w:r>
          </w:p>
        </w:tc>
        <w:tc>
          <w:tcPr>
            <w:tcW w:w="74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MUY ALTO</w:t>
            </w:r>
          </w:p>
        </w:tc>
      </w:tr>
      <w:tr w:rsidR="00AE001B" w:rsidRPr="00204C87" w:rsidTr="00E51EDD">
        <w:trPr>
          <w:trHeight w:val="330"/>
        </w:trPr>
        <w:tc>
          <w:tcPr>
            <w:tcW w:w="1324" w:type="pct"/>
            <w:tcBorders>
              <w:top w:val="nil"/>
              <w:left w:val="single" w:sz="4" w:space="0" w:color="auto"/>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SANTANDER</w:t>
            </w:r>
          </w:p>
        </w:tc>
        <w:tc>
          <w:tcPr>
            <w:tcW w:w="150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SABANA DE TORRES</w:t>
            </w:r>
          </w:p>
        </w:tc>
        <w:tc>
          <w:tcPr>
            <w:tcW w:w="1420"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CRUDO + GAS</w:t>
            </w:r>
          </w:p>
        </w:tc>
        <w:tc>
          <w:tcPr>
            <w:tcW w:w="74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ALTO</w:t>
            </w:r>
          </w:p>
        </w:tc>
      </w:tr>
      <w:tr w:rsidR="00AE001B" w:rsidRPr="00204C87" w:rsidTr="00E51EDD">
        <w:trPr>
          <w:trHeight w:val="330"/>
        </w:trPr>
        <w:tc>
          <w:tcPr>
            <w:tcW w:w="1324" w:type="pct"/>
            <w:tcBorders>
              <w:top w:val="nil"/>
              <w:left w:val="single" w:sz="4" w:space="0" w:color="auto"/>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TOLIMA</w:t>
            </w:r>
          </w:p>
        </w:tc>
        <w:tc>
          <w:tcPr>
            <w:tcW w:w="150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CHAPARRAL</w:t>
            </w:r>
          </w:p>
        </w:tc>
        <w:tc>
          <w:tcPr>
            <w:tcW w:w="1420"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CRUDO</w:t>
            </w:r>
          </w:p>
        </w:tc>
        <w:tc>
          <w:tcPr>
            <w:tcW w:w="748" w:type="pct"/>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sz w:val="20"/>
                <w:szCs w:val="20"/>
                <w:lang w:eastAsia="es-CO"/>
              </w:rPr>
            </w:pPr>
            <w:r w:rsidRPr="00204C87">
              <w:rPr>
                <w:rFonts w:ascii="Arial" w:hAnsi="Arial" w:cs="Arial"/>
                <w:sz w:val="20"/>
                <w:szCs w:val="20"/>
                <w:lang w:eastAsia="es-CO"/>
              </w:rPr>
              <w:t>ALTO</w:t>
            </w:r>
          </w:p>
        </w:tc>
      </w:tr>
    </w:tbl>
    <w:p w:rsidR="00AE001B" w:rsidRPr="00805012" w:rsidRDefault="00AE001B" w:rsidP="00AE001B">
      <w:pPr>
        <w:spacing w:after="0" w:line="240" w:lineRule="auto"/>
        <w:textAlignment w:val="center"/>
        <w:rPr>
          <w:rFonts w:ascii="Arial" w:hAnsi="Arial" w:cs="Arial"/>
          <w:sz w:val="16"/>
          <w:lang w:eastAsia="es-CO"/>
        </w:rPr>
      </w:pPr>
      <w:r w:rsidRPr="00805012">
        <w:rPr>
          <w:rFonts w:ascii="Arial" w:hAnsi="Arial" w:cs="Arial"/>
          <w:sz w:val="16"/>
          <w:lang w:eastAsia="es-CO"/>
        </w:rPr>
        <w:t xml:space="preserve">*Fuente: </w:t>
      </w:r>
      <w:r>
        <w:rPr>
          <w:rFonts w:ascii="Arial" w:hAnsi="Arial" w:cs="Arial"/>
          <w:sz w:val="16"/>
          <w:lang w:eastAsia="es-CO"/>
        </w:rPr>
        <w:t>Ministerio de Minas y Energía, con base en el Í</w:t>
      </w:r>
      <w:r w:rsidRPr="00805012">
        <w:rPr>
          <w:rFonts w:ascii="Arial" w:hAnsi="Arial" w:cs="Arial"/>
          <w:sz w:val="16"/>
          <w:lang w:eastAsia="es-CO"/>
        </w:rPr>
        <w:t>ndice de incidencia del conflicto armado</w:t>
      </w:r>
      <w:r>
        <w:rPr>
          <w:rFonts w:ascii="Arial" w:hAnsi="Arial" w:cs="Arial"/>
          <w:sz w:val="16"/>
          <w:lang w:eastAsia="es-CO"/>
        </w:rPr>
        <w:t xml:space="preserve"> elaborado por el</w:t>
      </w:r>
      <w:r w:rsidRPr="00805012">
        <w:rPr>
          <w:rFonts w:ascii="Arial" w:hAnsi="Arial" w:cs="Arial"/>
          <w:sz w:val="16"/>
          <w:lang w:eastAsia="es-CO"/>
        </w:rPr>
        <w:t xml:space="preserve"> Grupo de Proyectos Especiales del Departamento Nacional de Planeación.</w:t>
      </w:r>
    </w:p>
    <w:p w:rsidR="00AE001B" w:rsidRDefault="00AE001B" w:rsidP="00AE001B">
      <w:pPr>
        <w:spacing w:before="28" w:after="28" w:line="288" w:lineRule="atLeast"/>
        <w:jc w:val="both"/>
        <w:textAlignment w:val="center"/>
        <w:rPr>
          <w:rFonts w:ascii="Arial" w:hAnsi="Arial" w:cs="Arial"/>
          <w:lang w:eastAsia="es-CO"/>
        </w:rPr>
      </w:pPr>
    </w:p>
    <w:p w:rsidR="00AE001B" w:rsidRPr="00204C87" w:rsidRDefault="00AE001B" w:rsidP="00AE001B">
      <w:pPr>
        <w:spacing w:before="28" w:after="28" w:line="288" w:lineRule="atLeast"/>
        <w:jc w:val="both"/>
        <w:textAlignment w:val="center"/>
        <w:rPr>
          <w:rFonts w:ascii="Arial" w:hAnsi="Arial" w:cs="Arial"/>
          <w:lang w:eastAsia="es-CO"/>
        </w:rPr>
      </w:pPr>
      <w:r>
        <w:rPr>
          <w:rFonts w:ascii="Arial" w:hAnsi="Arial" w:cs="Arial"/>
          <w:lang w:eastAsia="es-CO"/>
        </w:rPr>
        <w:t>E</w:t>
      </w:r>
      <w:r w:rsidRPr="00204C87">
        <w:rPr>
          <w:rFonts w:ascii="Arial" w:hAnsi="Arial" w:cs="Arial"/>
          <w:lang w:eastAsia="es-CO"/>
        </w:rPr>
        <w:t>n el caso de los departamentos, se puede observar que de 6 departamentos clasificados como de impacto muy alto y alto, 4 corresponden a departamentos productores, así:</w:t>
      </w:r>
    </w:p>
    <w:p w:rsidR="00AE001B" w:rsidRDefault="00AE001B" w:rsidP="00AE001B">
      <w:pPr>
        <w:spacing w:before="28" w:after="28" w:line="288" w:lineRule="atLeast"/>
        <w:jc w:val="both"/>
        <w:textAlignment w:val="center"/>
        <w:rPr>
          <w:rFonts w:ascii="Arial" w:hAnsi="Arial" w:cs="Arial"/>
          <w:lang w:eastAsia="es-CO"/>
        </w:rPr>
      </w:pPr>
    </w:p>
    <w:p w:rsidR="00AE001B" w:rsidRPr="00B30577" w:rsidRDefault="00AE001B" w:rsidP="00AE001B">
      <w:pPr>
        <w:spacing w:after="0" w:line="288" w:lineRule="atLeast"/>
        <w:jc w:val="center"/>
        <w:textAlignment w:val="center"/>
        <w:rPr>
          <w:rFonts w:ascii="Arial" w:hAnsi="Arial" w:cs="Arial"/>
          <w:b/>
          <w:lang w:eastAsia="es-CO"/>
        </w:rPr>
      </w:pPr>
      <w:r>
        <w:rPr>
          <w:rFonts w:ascii="Arial" w:hAnsi="Arial" w:cs="Arial"/>
          <w:b/>
          <w:lang w:eastAsia="es-CO"/>
        </w:rPr>
        <w:t>Tabla</w:t>
      </w:r>
      <w:r w:rsidRPr="00B30577">
        <w:rPr>
          <w:rFonts w:ascii="Arial" w:hAnsi="Arial" w:cs="Arial"/>
          <w:b/>
          <w:lang w:eastAsia="es-CO"/>
        </w:rPr>
        <w:t xml:space="preserve"> </w:t>
      </w:r>
      <w:r>
        <w:rPr>
          <w:rFonts w:ascii="Arial" w:hAnsi="Arial" w:cs="Arial"/>
          <w:b/>
          <w:lang w:eastAsia="es-CO"/>
        </w:rPr>
        <w:t>2</w:t>
      </w:r>
    </w:p>
    <w:p w:rsidR="00AE001B" w:rsidRPr="00805012" w:rsidRDefault="00AE001B" w:rsidP="00AE001B">
      <w:pPr>
        <w:spacing w:after="0" w:line="288" w:lineRule="atLeast"/>
        <w:jc w:val="center"/>
        <w:textAlignment w:val="center"/>
        <w:rPr>
          <w:rFonts w:ascii="Arial" w:hAnsi="Arial" w:cs="Arial"/>
          <w:b/>
          <w:lang w:eastAsia="es-CO"/>
        </w:rPr>
      </w:pPr>
      <w:r>
        <w:rPr>
          <w:rFonts w:ascii="Arial" w:hAnsi="Arial" w:cs="Arial"/>
          <w:b/>
          <w:lang w:eastAsia="es-CO"/>
        </w:rPr>
        <w:t>Departamentos productores con alto o muy alto impacto del conflicto armado</w:t>
      </w:r>
    </w:p>
    <w:tbl>
      <w:tblPr>
        <w:tblW w:w="8180" w:type="dxa"/>
        <w:jc w:val="center"/>
        <w:tblCellMar>
          <w:left w:w="70" w:type="dxa"/>
          <w:right w:w="70" w:type="dxa"/>
        </w:tblCellMar>
        <w:tblLook w:val="04A0" w:firstRow="1" w:lastRow="0" w:firstColumn="1" w:lastColumn="0" w:noHBand="0" w:noVBand="1"/>
      </w:tblPr>
      <w:tblGrid>
        <w:gridCol w:w="2740"/>
        <w:gridCol w:w="3060"/>
        <w:gridCol w:w="2380"/>
      </w:tblGrid>
      <w:tr w:rsidR="00AE001B" w:rsidRPr="00204C87" w:rsidTr="00E51EDD">
        <w:trPr>
          <w:trHeight w:val="330"/>
          <w:jc w:val="center"/>
        </w:trPr>
        <w:tc>
          <w:tcPr>
            <w:tcW w:w="2740" w:type="dxa"/>
            <w:tcBorders>
              <w:top w:val="single" w:sz="4" w:space="0" w:color="auto"/>
              <w:left w:val="single" w:sz="4" w:space="0" w:color="auto"/>
              <w:bottom w:val="single" w:sz="4" w:space="0" w:color="auto"/>
              <w:right w:val="single" w:sz="4" w:space="0" w:color="auto"/>
            </w:tcBorders>
            <w:shd w:val="clear" w:color="auto" w:fill="323E4F" w:themeFill="text2" w:themeFillShade="BF"/>
            <w:noWrap/>
            <w:vAlign w:val="bottom"/>
            <w:hideMark/>
          </w:tcPr>
          <w:p w:rsidR="00AE001B" w:rsidRPr="00204C87" w:rsidRDefault="00AE001B" w:rsidP="00E51EDD">
            <w:pPr>
              <w:spacing w:before="28" w:after="28" w:line="288" w:lineRule="atLeast"/>
              <w:jc w:val="center"/>
              <w:textAlignment w:val="center"/>
              <w:rPr>
                <w:rFonts w:ascii="Arial" w:hAnsi="Arial" w:cs="Arial"/>
                <w:lang w:eastAsia="es-CO"/>
              </w:rPr>
            </w:pPr>
            <w:r w:rsidRPr="00204C87">
              <w:rPr>
                <w:rFonts w:ascii="Arial" w:hAnsi="Arial" w:cs="Arial"/>
                <w:lang w:eastAsia="es-CO"/>
              </w:rPr>
              <w:t>DEPARTAMENTO</w:t>
            </w:r>
          </w:p>
        </w:tc>
        <w:tc>
          <w:tcPr>
            <w:tcW w:w="3060" w:type="dxa"/>
            <w:tcBorders>
              <w:top w:val="single" w:sz="4" w:space="0" w:color="auto"/>
              <w:left w:val="nil"/>
              <w:bottom w:val="single" w:sz="4" w:space="0" w:color="auto"/>
              <w:right w:val="single" w:sz="4" w:space="0" w:color="auto"/>
            </w:tcBorders>
            <w:shd w:val="clear" w:color="auto" w:fill="323E4F" w:themeFill="text2" w:themeFillShade="BF"/>
            <w:noWrap/>
            <w:vAlign w:val="bottom"/>
            <w:hideMark/>
          </w:tcPr>
          <w:p w:rsidR="00AE001B" w:rsidRPr="00204C87" w:rsidRDefault="00AE001B" w:rsidP="00E51EDD">
            <w:pPr>
              <w:spacing w:before="28" w:after="28" w:line="288" w:lineRule="atLeast"/>
              <w:jc w:val="center"/>
              <w:textAlignment w:val="center"/>
              <w:rPr>
                <w:rFonts w:ascii="Arial" w:hAnsi="Arial" w:cs="Arial"/>
                <w:lang w:eastAsia="es-CO"/>
              </w:rPr>
            </w:pPr>
            <w:r w:rsidRPr="00204C87">
              <w:rPr>
                <w:rFonts w:ascii="Arial" w:hAnsi="Arial" w:cs="Arial"/>
                <w:lang w:eastAsia="es-CO"/>
              </w:rPr>
              <w:t>PRODUCTO</w:t>
            </w:r>
          </w:p>
        </w:tc>
        <w:tc>
          <w:tcPr>
            <w:tcW w:w="2380" w:type="dxa"/>
            <w:tcBorders>
              <w:top w:val="single" w:sz="4" w:space="0" w:color="auto"/>
              <w:left w:val="nil"/>
              <w:bottom w:val="single" w:sz="4" w:space="0" w:color="auto"/>
              <w:right w:val="single" w:sz="4" w:space="0" w:color="auto"/>
            </w:tcBorders>
            <w:shd w:val="clear" w:color="auto" w:fill="323E4F" w:themeFill="text2" w:themeFillShade="BF"/>
            <w:noWrap/>
            <w:vAlign w:val="bottom"/>
            <w:hideMark/>
          </w:tcPr>
          <w:p w:rsidR="00AE001B" w:rsidRPr="00204C87" w:rsidRDefault="00AE001B" w:rsidP="00E51EDD">
            <w:pPr>
              <w:spacing w:before="28" w:after="28" w:line="288" w:lineRule="atLeast"/>
              <w:jc w:val="center"/>
              <w:textAlignment w:val="center"/>
              <w:rPr>
                <w:rFonts w:ascii="Arial" w:hAnsi="Arial" w:cs="Arial"/>
                <w:lang w:eastAsia="es-CO"/>
              </w:rPr>
            </w:pPr>
            <w:r w:rsidRPr="00204C87">
              <w:rPr>
                <w:rFonts w:ascii="Arial" w:hAnsi="Arial" w:cs="Arial"/>
                <w:lang w:eastAsia="es-CO"/>
              </w:rPr>
              <w:t>IMPACTO</w:t>
            </w:r>
          </w:p>
        </w:tc>
      </w:tr>
      <w:tr w:rsidR="00AE001B" w:rsidRPr="00204C87" w:rsidTr="00E51EDD">
        <w:trPr>
          <w:trHeight w:val="330"/>
          <w:jc w:val="center"/>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001B" w:rsidRPr="00204C87" w:rsidRDefault="00AE001B" w:rsidP="00E51EDD">
            <w:pPr>
              <w:spacing w:before="28" w:after="28" w:line="288" w:lineRule="atLeast"/>
              <w:jc w:val="both"/>
              <w:textAlignment w:val="center"/>
              <w:rPr>
                <w:rFonts w:ascii="Arial" w:hAnsi="Arial" w:cs="Arial"/>
                <w:lang w:eastAsia="es-CO"/>
              </w:rPr>
            </w:pPr>
            <w:r w:rsidRPr="00204C87">
              <w:rPr>
                <w:rFonts w:ascii="Arial" w:hAnsi="Arial" w:cs="Arial"/>
                <w:lang w:eastAsia="es-CO"/>
              </w:rPr>
              <w:t>ARAUCA</w:t>
            </w:r>
          </w:p>
        </w:tc>
        <w:tc>
          <w:tcPr>
            <w:tcW w:w="3060" w:type="dxa"/>
            <w:tcBorders>
              <w:top w:val="single" w:sz="4" w:space="0" w:color="auto"/>
              <w:left w:val="nil"/>
              <w:bottom w:val="single" w:sz="4" w:space="0" w:color="auto"/>
              <w:right w:val="single" w:sz="4" w:space="0" w:color="auto"/>
            </w:tcBorders>
            <w:shd w:val="clear" w:color="auto" w:fill="auto"/>
            <w:noWrap/>
            <w:vAlign w:val="bottom"/>
          </w:tcPr>
          <w:p w:rsidR="00AE001B" w:rsidRPr="00204C87" w:rsidRDefault="00AE001B" w:rsidP="00E51EDD">
            <w:pPr>
              <w:spacing w:before="28" w:after="28" w:line="288" w:lineRule="atLeast"/>
              <w:jc w:val="both"/>
              <w:textAlignment w:val="center"/>
              <w:rPr>
                <w:rFonts w:ascii="Arial" w:hAnsi="Arial" w:cs="Arial"/>
                <w:lang w:eastAsia="es-CO"/>
              </w:rPr>
            </w:pPr>
            <w:r w:rsidRPr="00204C87">
              <w:rPr>
                <w:rFonts w:ascii="Arial" w:hAnsi="Arial" w:cs="Arial"/>
                <w:lang w:eastAsia="es-CO"/>
              </w:rPr>
              <w:t>CRUDO</w:t>
            </w:r>
          </w:p>
        </w:tc>
        <w:tc>
          <w:tcPr>
            <w:tcW w:w="2380" w:type="dxa"/>
            <w:tcBorders>
              <w:top w:val="single" w:sz="4" w:space="0" w:color="auto"/>
              <w:left w:val="nil"/>
              <w:bottom w:val="single" w:sz="4" w:space="0" w:color="auto"/>
              <w:right w:val="single" w:sz="4" w:space="0" w:color="auto"/>
            </w:tcBorders>
            <w:shd w:val="clear" w:color="auto" w:fill="auto"/>
            <w:noWrap/>
            <w:vAlign w:val="bottom"/>
          </w:tcPr>
          <w:p w:rsidR="00AE001B" w:rsidRPr="00204C87" w:rsidRDefault="00AE001B" w:rsidP="00E51EDD">
            <w:pPr>
              <w:spacing w:before="28" w:after="28" w:line="288" w:lineRule="atLeast"/>
              <w:jc w:val="both"/>
              <w:textAlignment w:val="center"/>
              <w:rPr>
                <w:rFonts w:ascii="Arial" w:hAnsi="Arial" w:cs="Arial"/>
                <w:lang w:eastAsia="es-CO"/>
              </w:rPr>
            </w:pPr>
            <w:r w:rsidRPr="00204C87">
              <w:rPr>
                <w:rFonts w:ascii="Arial" w:hAnsi="Arial" w:cs="Arial"/>
                <w:lang w:eastAsia="es-CO"/>
              </w:rPr>
              <w:t>MUY ALTO</w:t>
            </w:r>
          </w:p>
        </w:tc>
      </w:tr>
      <w:tr w:rsidR="00AE001B" w:rsidRPr="00204C87" w:rsidTr="00E51EDD">
        <w:trPr>
          <w:trHeight w:val="330"/>
          <w:jc w:val="center"/>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lang w:eastAsia="es-CO"/>
              </w:rPr>
            </w:pPr>
            <w:r w:rsidRPr="00204C87">
              <w:rPr>
                <w:rFonts w:ascii="Arial" w:hAnsi="Arial" w:cs="Arial"/>
                <w:lang w:eastAsia="es-CO"/>
              </w:rPr>
              <w:t>META</w:t>
            </w:r>
          </w:p>
        </w:tc>
        <w:tc>
          <w:tcPr>
            <w:tcW w:w="3060" w:type="dxa"/>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lang w:eastAsia="es-CO"/>
              </w:rPr>
            </w:pPr>
            <w:r w:rsidRPr="00204C87">
              <w:rPr>
                <w:rFonts w:ascii="Arial" w:hAnsi="Arial" w:cs="Arial"/>
                <w:lang w:eastAsia="es-CO"/>
              </w:rPr>
              <w:t>CRUDO</w:t>
            </w:r>
          </w:p>
        </w:tc>
        <w:tc>
          <w:tcPr>
            <w:tcW w:w="2380" w:type="dxa"/>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lang w:eastAsia="es-CO"/>
              </w:rPr>
            </w:pPr>
            <w:r w:rsidRPr="00204C87">
              <w:rPr>
                <w:rFonts w:ascii="Arial" w:hAnsi="Arial" w:cs="Arial"/>
                <w:lang w:eastAsia="es-CO"/>
              </w:rPr>
              <w:t>ALTO</w:t>
            </w:r>
          </w:p>
        </w:tc>
      </w:tr>
      <w:tr w:rsidR="00AE001B" w:rsidRPr="00204C87" w:rsidTr="00E51EDD">
        <w:trPr>
          <w:trHeight w:val="330"/>
          <w:jc w:val="center"/>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lang w:eastAsia="es-CO"/>
              </w:rPr>
            </w:pPr>
            <w:r w:rsidRPr="00204C87">
              <w:rPr>
                <w:rFonts w:ascii="Arial" w:hAnsi="Arial" w:cs="Arial"/>
                <w:lang w:eastAsia="es-CO"/>
              </w:rPr>
              <w:t>NARIÑO</w:t>
            </w:r>
          </w:p>
        </w:tc>
        <w:tc>
          <w:tcPr>
            <w:tcW w:w="3060" w:type="dxa"/>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lang w:eastAsia="es-CO"/>
              </w:rPr>
            </w:pPr>
            <w:r w:rsidRPr="00204C87">
              <w:rPr>
                <w:rFonts w:ascii="Arial" w:hAnsi="Arial" w:cs="Arial"/>
                <w:lang w:eastAsia="es-CO"/>
              </w:rPr>
              <w:t>ORO</w:t>
            </w:r>
          </w:p>
        </w:tc>
        <w:tc>
          <w:tcPr>
            <w:tcW w:w="2380" w:type="dxa"/>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lang w:eastAsia="es-CO"/>
              </w:rPr>
            </w:pPr>
            <w:r w:rsidRPr="00204C87">
              <w:rPr>
                <w:rFonts w:ascii="Arial" w:hAnsi="Arial" w:cs="Arial"/>
                <w:lang w:eastAsia="es-CO"/>
              </w:rPr>
              <w:t>ALTO</w:t>
            </w:r>
          </w:p>
        </w:tc>
      </w:tr>
      <w:tr w:rsidR="00AE001B" w:rsidRPr="00204C87" w:rsidTr="00E51EDD">
        <w:trPr>
          <w:trHeight w:val="330"/>
          <w:jc w:val="center"/>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lang w:eastAsia="es-CO"/>
              </w:rPr>
            </w:pPr>
            <w:r w:rsidRPr="00204C87">
              <w:rPr>
                <w:rFonts w:ascii="Arial" w:hAnsi="Arial" w:cs="Arial"/>
                <w:lang w:eastAsia="es-CO"/>
              </w:rPr>
              <w:t>PUTUMAYO</w:t>
            </w:r>
          </w:p>
        </w:tc>
        <w:tc>
          <w:tcPr>
            <w:tcW w:w="3060" w:type="dxa"/>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lang w:eastAsia="es-CO"/>
              </w:rPr>
            </w:pPr>
            <w:r w:rsidRPr="00204C87">
              <w:rPr>
                <w:rFonts w:ascii="Arial" w:hAnsi="Arial" w:cs="Arial"/>
                <w:lang w:eastAsia="es-CO"/>
              </w:rPr>
              <w:t>CRUDO</w:t>
            </w:r>
          </w:p>
        </w:tc>
        <w:tc>
          <w:tcPr>
            <w:tcW w:w="2380" w:type="dxa"/>
            <w:tcBorders>
              <w:top w:val="nil"/>
              <w:left w:val="nil"/>
              <w:bottom w:val="single" w:sz="4" w:space="0" w:color="auto"/>
              <w:right w:val="single" w:sz="4" w:space="0" w:color="auto"/>
            </w:tcBorders>
            <w:shd w:val="clear" w:color="auto" w:fill="auto"/>
            <w:noWrap/>
            <w:vAlign w:val="bottom"/>
            <w:hideMark/>
          </w:tcPr>
          <w:p w:rsidR="00AE001B" w:rsidRPr="00204C87" w:rsidRDefault="00AE001B" w:rsidP="00E51EDD">
            <w:pPr>
              <w:spacing w:before="28" w:after="28" w:line="288" w:lineRule="atLeast"/>
              <w:jc w:val="both"/>
              <w:textAlignment w:val="center"/>
              <w:rPr>
                <w:rFonts w:ascii="Arial" w:hAnsi="Arial" w:cs="Arial"/>
                <w:lang w:eastAsia="es-CO"/>
              </w:rPr>
            </w:pPr>
            <w:r w:rsidRPr="00204C87">
              <w:rPr>
                <w:rFonts w:ascii="Arial" w:hAnsi="Arial" w:cs="Arial"/>
                <w:lang w:eastAsia="es-CO"/>
              </w:rPr>
              <w:t>MUY ALTO</w:t>
            </w:r>
          </w:p>
        </w:tc>
      </w:tr>
    </w:tbl>
    <w:p w:rsidR="00AE001B" w:rsidRPr="00204C87" w:rsidRDefault="00AE001B" w:rsidP="00AE001B">
      <w:pPr>
        <w:spacing w:before="28" w:after="28" w:line="288" w:lineRule="atLeast"/>
        <w:jc w:val="both"/>
        <w:textAlignment w:val="center"/>
        <w:rPr>
          <w:rFonts w:ascii="Arial" w:hAnsi="Arial" w:cs="Arial"/>
          <w:lang w:eastAsia="es-CO"/>
        </w:rPr>
      </w:pPr>
    </w:p>
    <w:p w:rsidR="00AE001B" w:rsidRDefault="00AE001B" w:rsidP="00AE001B">
      <w:pPr>
        <w:spacing w:before="28" w:after="28" w:line="288" w:lineRule="atLeast"/>
        <w:jc w:val="both"/>
        <w:textAlignment w:val="center"/>
        <w:rPr>
          <w:rFonts w:ascii="Arial" w:hAnsi="Arial" w:cs="Arial"/>
          <w:lang w:eastAsia="es-CO"/>
        </w:rPr>
      </w:pPr>
    </w:p>
    <w:p w:rsidR="00AE001B" w:rsidRDefault="00AE001B" w:rsidP="00AE001B">
      <w:pPr>
        <w:spacing w:before="28" w:after="28" w:line="288" w:lineRule="atLeast"/>
        <w:jc w:val="both"/>
        <w:textAlignment w:val="center"/>
        <w:rPr>
          <w:rFonts w:ascii="Arial" w:hAnsi="Arial" w:cs="Arial"/>
          <w:lang w:eastAsia="es-CO"/>
        </w:rPr>
      </w:pPr>
      <w:r w:rsidRPr="00204C87">
        <w:rPr>
          <w:rFonts w:ascii="Arial" w:hAnsi="Arial" w:cs="Arial"/>
          <w:lang w:eastAsia="es-CO"/>
        </w:rPr>
        <w:t xml:space="preserve">Así las cosas, y entendiendo que las entidades territoriales donde se adelantan explotaciones de recursos naturales no renovables, las convierten en un factor de riesgo adicional, por ser lugares más propensos a los ataques propios de cualquier conflicto armado, </w:t>
      </w:r>
      <w:r>
        <w:rPr>
          <w:rFonts w:ascii="Arial" w:hAnsi="Arial" w:cs="Arial"/>
          <w:lang w:eastAsia="es-CO"/>
        </w:rPr>
        <w:t xml:space="preserve">los recursos del Sistema General de Regalías </w:t>
      </w:r>
      <w:r w:rsidRPr="00204C87">
        <w:rPr>
          <w:rFonts w:ascii="Arial" w:hAnsi="Arial" w:cs="Arial"/>
          <w:lang w:eastAsia="es-CO"/>
        </w:rPr>
        <w:t xml:space="preserve">deben </w:t>
      </w:r>
      <w:r>
        <w:rPr>
          <w:rFonts w:ascii="Arial" w:hAnsi="Arial" w:cs="Arial"/>
          <w:lang w:eastAsia="es-CO"/>
        </w:rPr>
        <w:t xml:space="preserve">aportar recursos adicionales para </w:t>
      </w:r>
      <w:r w:rsidRPr="00204C87">
        <w:rPr>
          <w:rFonts w:ascii="Arial" w:hAnsi="Arial" w:cs="Arial"/>
          <w:lang w:eastAsia="es-CO"/>
        </w:rPr>
        <w:t>resarcir y compensar los daños que históricamente se han causado en estas zonas</w:t>
      </w:r>
      <w:r>
        <w:rPr>
          <w:rFonts w:ascii="Arial" w:hAnsi="Arial" w:cs="Arial"/>
          <w:lang w:eastAsia="es-CO"/>
        </w:rPr>
        <w:t xml:space="preserve"> derivados del conflicto armado</w:t>
      </w:r>
      <w:r w:rsidRPr="00204C87">
        <w:rPr>
          <w:rFonts w:ascii="Arial" w:hAnsi="Arial" w:cs="Arial"/>
          <w:lang w:eastAsia="es-CO"/>
        </w:rPr>
        <w:t>.</w:t>
      </w:r>
    </w:p>
    <w:p w:rsidR="00AE001B" w:rsidRDefault="00AE001B" w:rsidP="00AE001B">
      <w:pPr>
        <w:spacing w:before="28" w:after="28" w:line="288" w:lineRule="atLeast"/>
        <w:jc w:val="both"/>
        <w:textAlignment w:val="center"/>
        <w:rPr>
          <w:rFonts w:ascii="Arial" w:hAnsi="Arial" w:cs="Arial"/>
          <w:lang w:eastAsia="es-CO"/>
        </w:rPr>
      </w:pPr>
    </w:p>
    <w:p w:rsidR="00AE001B" w:rsidRDefault="00AE001B" w:rsidP="00AE001B">
      <w:pPr>
        <w:spacing w:before="28" w:after="28" w:line="288" w:lineRule="atLeast"/>
        <w:jc w:val="both"/>
        <w:textAlignment w:val="center"/>
        <w:rPr>
          <w:rFonts w:ascii="Arial" w:hAnsi="Arial" w:cs="Arial"/>
          <w:lang w:eastAsia="es-CO"/>
        </w:rPr>
      </w:pPr>
      <w:r>
        <w:rPr>
          <w:rFonts w:ascii="Arial" w:hAnsi="Arial" w:cs="Arial"/>
          <w:lang w:eastAsia="es-CO"/>
        </w:rPr>
        <w:t xml:space="preserve">Todo esto hace necesario que, en la distribución de recursos del Sistema General de Regalías, se incorporen nuevos criterios de focalización, para cumplir el propósito de equidad regional y social del SGR, a la luz de la implementación del Acuerdo Final.   </w:t>
      </w:r>
    </w:p>
    <w:p w:rsidR="00AE001B" w:rsidRPr="009C683E" w:rsidRDefault="00AE001B" w:rsidP="00AE001B">
      <w:pPr>
        <w:spacing w:before="28" w:after="28" w:line="288" w:lineRule="atLeast"/>
        <w:jc w:val="both"/>
        <w:textAlignment w:val="center"/>
        <w:rPr>
          <w:rFonts w:ascii="Arial" w:hAnsi="Arial" w:cs="Arial"/>
          <w:lang w:eastAsia="es-CO"/>
        </w:rPr>
      </w:pPr>
    </w:p>
    <w:p w:rsidR="00AE001B" w:rsidRDefault="00AE001B" w:rsidP="00AE001B">
      <w:pPr>
        <w:rPr>
          <w:rFonts w:ascii="Arial" w:hAnsi="Arial" w:cs="Arial"/>
          <w:lang w:eastAsia="es-CO"/>
        </w:rPr>
      </w:pPr>
      <w:r>
        <w:rPr>
          <w:rFonts w:ascii="Arial" w:hAnsi="Arial" w:cs="Arial"/>
          <w:lang w:eastAsia="es-CO"/>
        </w:rPr>
        <w:br w:type="page"/>
      </w:r>
    </w:p>
    <w:p w:rsidR="00AE001B" w:rsidRPr="009C683E" w:rsidRDefault="00AE001B" w:rsidP="00AE001B">
      <w:pPr>
        <w:pStyle w:val="Prrafodelista"/>
        <w:numPr>
          <w:ilvl w:val="1"/>
          <w:numId w:val="2"/>
        </w:numPr>
        <w:spacing w:before="28" w:after="28" w:line="288" w:lineRule="atLeast"/>
        <w:textAlignment w:val="center"/>
        <w:rPr>
          <w:rFonts w:ascii="Arial" w:hAnsi="Arial" w:cs="Arial"/>
          <w:b/>
          <w:lang w:eastAsia="es-CO"/>
        </w:rPr>
      </w:pPr>
      <w:r w:rsidRPr="009C683E">
        <w:rPr>
          <w:rFonts w:ascii="Arial" w:hAnsi="Arial" w:cs="Arial"/>
          <w:b/>
          <w:lang w:eastAsia="es-CO"/>
        </w:rPr>
        <w:lastRenderedPageBreak/>
        <w:t>Focalización sectorial de las inversiones del SGR</w:t>
      </w:r>
    </w:p>
    <w:p w:rsidR="00AE001B" w:rsidRPr="009C683E" w:rsidRDefault="00AE001B" w:rsidP="00AE001B">
      <w:pPr>
        <w:spacing w:before="28" w:after="28" w:line="288" w:lineRule="atLeast"/>
        <w:textAlignment w:val="center"/>
        <w:rPr>
          <w:rFonts w:ascii="Arial" w:hAnsi="Arial" w:cs="Arial"/>
          <w:lang w:eastAsia="es-CO"/>
        </w:rPr>
      </w:pPr>
    </w:p>
    <w:p w:rsidR="00AE001B" w:rsidRDefault="00AE001B" w:rsidP="00AE001B">
      <w:pPr>
        <w:spacing w:before="28" w:after="28" w:line="288" w:lineRule="atLeast"/>
        <w:jc w:val="both"/>
        <w:textAlignment w:val="center"/>
        <w:rPr>
          <w:rFonts w:ascii="Arial" w:hAnsi="Arial" w:cs="Arial"/>
          <w:lang w:eastAsia="es-CO"/>
        </w:rPr>
      </w:pPr>
      <w:r w:rsidRPr="009C683E">
        <w:rPr>
          <w:rFonts w:ascii="Arial" w:hAnsi="Arial" w:cs="Arial"/>
          <w:lang w:eastAsia="es-CO"/>
        </w:rPr>
        <w:t xml:space="preserve">El balance de las inversiones aprobadas con cargo al SGR entre el 2012 y el 2016, evidencia una gran concentración de los recursos en el sector de Transporte, que como se muestra en los cuadros 4 y 5, representa un 32% de los proyectos y un 35% del valor aprobado.  </w:t>
      </w:r>
    </w:p>
    <w:p w:rsidR="00AE001B" w:rsidRDefault="00AE001B" w:rsidP="00AE001B">
      <w:pPr>
        <w:spacing w:before="28" w:after="28" w:line="288" w:lineRule="atLeast"/>
        <w:jc w:val="both"/>
        <w:textAlignment w:val="center"/>
        <w:rPr>
          <w:rFonts w:ascii="Arial" w:hAnsi="Arial" w:cs="Arial"/>
          <w:lang w:eastAsia="es-CO"/>
        </w:rPr>
      </w:pPr>
    </w:p>
    <w:p w:rsidR="00AE001B" w:rsidRPr="009C683E" w:rsidRDefault="00AE001B" w:rsidP="00AE001B">
      <w:pPr>
        <w:spacing w:before="28" w:after="28" w:line="288" w:lineRule="atLeast"/>
        <w:jc w:val="both"/>
        <w:textAlignment w:val="center"/>
        <w:rPr>
          <w:rFonts w:ascii="Arial" w:hAnsi="Arial" w:cs="Arial"/>
          <w:lang w:eastAsia="es-CO"/>
        </w:rPr>
      </w:pPr>
      <w:r w:rsidRPr="009C683E">
        <w:rPr>
          <w:rFonts w:ascii="Arial" w:hAnsi="Arial" w:cs="Arial"/>
          <w:lang w:eastAsia="es-CO"/>
        </w:rPr>
        <w:t>Lo anterior se explica no sólo por el alto costo de estas inversiones frente al valor promedio de proyectos en otros sectores, sino también por la evidente necesidad de avanzar en el cierre de la brecha que presenta este sector tan crítico para elevar la competitividad del país.</w:t>
      </w:r>
    </w:p>
    <w:p w:rsidR="00AE001B" w:rsidRPr="009C683E" w:rsidRDefault="00AE001B" w:rsidP="00AE001B">
      <w:pPr>
        <w:spacing w:before="28" w:after="28" w:line="288" w:lineRule="atLeast"/>
        <w:jc w:val="both"/>
        <w:textAlignment w:val="center"/>
        <w:rPr>
          <w:rFonts w:ascii="Arial" w:hAnsi="Arial" w:cs="Arial"/>
          <w:lang w:eastAsia="es-CO"/>
        </w:rPr>
      </w:pPr>
    </w:p>
    <w:p w:rsidR="00AE001B" w:rsidRPr="009C683E" w:rsidRDefault="00AE001B" w:rsidP="00AE001B">
      <w:pPr>
        <w:spacing w:before="28" w:after="28" w:line="288" w:lineRule="atLeast"/>
        <w:jc w:val="both"/>
        <w:textAlignment w:val="center"/>
        <w:rPr>
          <w:rFonts w:ascii="Arial" w:hAnsi="Arial" w:cs="Arial"/>
          <w:lang w:eastAsia="es-CO"/>
        </w:rPr>
      </w:pPr>
      <w:r w:rsidRPr="009C683E">
        <w:rPr>
          <w:rFonts w:ascii="Arial" w:hAnsi="Arial" w:cs="Arial"/>
          <w:lang w:eastAsia="es-CO"/>
        </w:rPr>
        <w:t>Los siguientes sectores priorizados por las entidades territoriales beneficiarias de los recursos son el de Educación (11% de los proyectos y 14% de la inversión); Vivienda (10% de los proyectos y 7,3% de la inversión); Cultura, Deporte y Recreación (12% de los proyectos, 6% de la inversión); Agua Potable y Saneamiento Básico (8,7% de los proyectos y 8,1% de la inversión); y Ciencia, Tecnología e Innovación que, aunque sólo representa un 3% de los proyectos, absorbe un 11% de la inversión.</w:t>
      </w:r>
    </w:p>
    <w:p w:rsidR="00AE001B" w:rsidRPr="009C683E" w:rsidRDefault="00AE001B" w:rsidP="00AE001B">
      <w:pPr>
        <w:spacing w:before="28" w:after="28" w:line="288" w:lineRule="atLeast"/>
        <w:textAlignment w:val="center"/>
        <w:rPr>
          <w:rFonts w:ascii="Arial" w:hAnsi="Arial" w:cs="Arial"/>
          <w:lang w:eastAsia="es-CO"/>
        </w:rPr>
      </w:pPr>
    </w:p>
    <w:p w:rsidR="00AE001B" w:rsidRPr="00B30577" w:rsidRDefault="00AE001B" w:rsidP="00AE001B">
      <w:pPr>
        <w:spacing w:after="0" w:line="288" w:lineRule="atLeast"/>
        <w:jc w:val="center"/>
        <w:textAlignment w:val="center"/>
        <w:rPr>
          <w:rFonts w:ascii="Arial" w:hAnsi="Arial" w:cs="Arial"/>
          <w:b/>
          <w:lang w:eastAsia="es-CO"/>
        </w:rPr>
      </w:pPr>
      <w:r w:rsidRPr="00B30577">
        <w:rPr>
          <w:rFonts w:ascii="Arial" w:hAnsi="Arial" w:cs="Arial"/>
          <w:b/>
          <w:lang w:eastAsia="es-CO"/>
        </w:rPr>
        <w:t>Cuadro 4</w:t>
      </w:r>
    </w:p>
    <w:p w:rsidR="00AE001B" w:rsidRPr="00B30577" w:rsidRDefault="00AE001B" w:rsidP="00AE001B">
      <w:pPr>
        <w:spacing w:after="0" w:line="288" w:lineRule="atLeast"/>
        <w:jc w:val="center"/>
        <w:textAlignment w:val="center"/>
        <w:rPr>
          <w:rFonts w:ascii="Arial" w:hAnsi="Arial" w:cs="Arial"/>
          <w:b/>
          <w:lang w:eastAsia="es-CO"/>
        </w:rPr>
      </w:pPr>
      <w:r w:rsidRPr="00B30577">
        <w:rPr>
          <w:rFonts w:ascii="Arial" w:hAnsi="Arial" w:cs="Arial"/>
          <w:b/>
          <w:lang w:eastAsia="es-CO"/>
        </w:rPr>
        <w:t>Proyectos aprobados por sector 2012-2016</w:t>
      </w:r>
    </w:p>
    <w:tbl>
      <w:tblPr>
        <w:tblW w:w="7473" w:type="dxa"/>
        <w:jc w:val="center"/>
        <w:tblCellMar>
          <w:left w:w="70" w:type="dxa"/>
          <w:right w:w="70" w:type="dxa"/>
        </w:tblCellMar>
        <w:tblLook w:val="04A0" w:firstRow="1" w:lastRow="0" w:firstColumn="1" w:lastColumn="0" w:noHBand="0" w:noVBand="1"/>
      </w:tblPr>
      <w:tblGrid>
        <w:gridCol w:w="4258"/>
        <w:gridCol w:w="2135"/>
        <w:gridCol w:w="1080"/>
      </w:tblGrid>
      <w:tr w:rsidR="00AE001B" w:rsidRPr="00B30577" w:rsidTr="00E51EDD">
        <w:trPr>
          <w:trHeight w:val="255"/>
          <w:jc w:val="center"/>
        </w:trPr>
        <w:tc>
          <w:tcPr>
            <w:tcW w:w="4258"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AE001B" w:rsidRPr="00B30577" w:rsidRDefault="00AE001B" w:rsidP="00E51EDD">
            <w:pPr>
              <w:spacing w:after="0" w:line="240" w:lineRule="auto"/>
              <w:jc w:val="center"/>
              <w:rPr>
                <w:rFonts w:ascii="Arial" w:eastAsia="Times New Roman" w:hAnsi="Arial" w:cs="Arial"/>
                <w:b/>
                <w:bCs/>
                <w:color w:val="000000"/>
                <w:sz w:val="20"/>
                <w:lang w:eastAsia="es-CO"/>
              </w:rPr>
            </w:pPr>
            <w:r w:rsidRPr="00B30577">
              <w:rPr>
                <w:rFonts w:ascii="Arial" w:eastAsia="Times New Roman" w:hAnsi="Arial" w:cs="Arial"/>
                <w:b/>
                <w:bCs/>
                <w:color w:val="000000"/>
                <w:sz w:val="20"/>
                <w:lang w:eastAsia="es-CO"/>
              </w:rPr>
              <w:t>SECTOR</w:t>
            </w:r>
          </w:p>
        </w:tc>
        <w:tc>
          <w:tcPr>
            <w:tcW w:w="2135" w:type="dxa"/>
            <w:tcBorders>
              <w:top w:val="single" w:sz="4" w:space="0" w:color="auto"/>
              <w:left w:val="nil"/>
              <w:bottom w:val="single" w:sz="4" w:space="0" w:color="auto"/>
              <w:right w:val="single" w:sz="4" w:space="0" w:color="auto"/>
            </w:tcBorders>
            <w:shd w:val="clear" w:color="DCE6F1" w:fill="DCE6F1"/>
            <w:noWrap/>
            <w:vAlign w:val="bottom"/>
            <w:hideMark/>
          </w:tcPr>
          <w:p w:rsidR="00AE001B" w:rsidRPr="00B30577" w:rsidRDefault="00AE001B" w:rsidP="00E51EDD">
            <w:pPr>
              <w:spacing w:after="0" w:line="240" w:lineRule="auto"/>
              <w:jc w:val="center"/>
              <w:rPr>
                <w:rFonts w:ascii="Arial" w:eastAsia="Times New Roman" w:hAnsi="Arial" w:cs="Arial"/>
                <w:b/>
                <w:bCs/>
                <w:color w:val="000000"/>
                <w:sz w:val="20"/>
                <w:lang w:eastAsia="es-CO"/>
              </w:rPr>
            </w:pPr>
            <w:r w:rsidRPr="00B30577">
              <w:rPr>
                <w:rFonts w:ascii="Arial" w:eastAsia="Times New Roman" w:hAnsi="Arial" w:cs="Arial"/>
                <w:b/>
                <w:bCs/>
                <w:color w:val="000000"/>
                <w:sz w:val="20"/>
                <w:lang w:eastAsia="es-CO"/>
              </w:rPr>
              <w:t>No. Proyectos</w:t>
            </w:r>
          </w:p>
        </w:tc>
        <w:tc>
          <w:tcPr>
            <w:tcW w:w="1080" w:type="dxa"/>
            <w:tcBorders>
              <w:top w:val="single" w:sz="4" w:space="0" w:color="auto"/>
              <w:left w:val="nil"/>
              <w:bottom w:val="single" w:sz="4" w:space="0" w:color="auto"/>
              <w:right w:val="single" w:sz="4" w:space="0" w:color="auto"/>
            </w:tcBorders>
            <w:shd w:val="clear" w:color="DCE6F1" w:fill="DCE6F1"/>
            <w:noWrap/>
            <w:vAlign w:val="bottom"/>
            <w:hideMark/>
          </w:tcPr>
          <w:p w:rsidR="00AE001B" w:rsidRPr="00B30577" w:rsidRDefault="00AE001B" w:rsidP="00E51EDD">
            <w:pPr>
              <w:spacing w:after="0" w:line="240" w:lineRule="auto"/>
              <w:jc w:val="center"/>
              <w:rPr>
                <w:rFonts w:ascii="Arial" w:eastAsia="Times New Roman" w:hAnsi="Arial" w:cs="Arial"/>
                <w:b/>
                <w:bCs/>
                <w:color w:val="000000"/>
                <w:sz w:val="20"/>
                <w:lang w:eastAsia="es-CO"/>
              </w:rPr>
            </w:pPr>
            <w:r w:rsidRPr="00B30577">
              <w:rPr>
                <w:rFonts w:ascii="Arial" w:eastAsia="Times New Roman" w:hAnsi="Arial" w:cs="Arial"/>
                <w:b/>
                <w:bCs/>
                <w:color w:val="000000"/>
                <w:sz w:val="20"/>
                <w:lang w:eastAsia="es-CO"/>
              </w:rPr>
              <w:t>%</w:t>
            </w:r>
          </w:p>
        </w:tc>
      </w:tr>
      <w:tr w:rsidR="00AE001B" w:rsidRPr="00B30577" w:rsidTr="00E51EDD">
        <w:trPr>
          <w:trHeight w:val="255"/>
          <w:jc w:val="center"/>
        </w:trPr>
        <w:tc>
          <w:tcPr>
            <w:tcW w:w="4258"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20"/>
                <w:lang w:eastAsia="es-CO"/>
              </w:rPr>
            </w:pPr>
            <w:r w:rsidRPr="00B30577">
              <w:rPr>
                <w:rFonts w:ascii="Arial" w:eastAsia="Times New Roman" w:hAnsi="Arial" w:cs="Arial"/>
                <w:color w:val="000000"/>
                <w:sz w:val="20"/>
                <w:lang w:eastAsia="es-CO"/>
              </w:rPr>
              <w:t>TRANSPORTE</w:t>
            </w:r>
          </w:p>
        </w:tc>
        <w:tc>
          <w:tcPr>
            <w:tcW w:w="2135"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20"/>
                <w:lang w:eastAsia="es-CO"/>
              </w:rPr>
            </w:pPr>
            <w:r w:rsidRPr="00B30577">
              <w:rPr>
                <w:rFonts w:ascii="Arial" w:eastAsia="Times New Roman" w:hAnsi="Arial" w:cs="Arial"/>
                <w:color w:val="000000"/>
                <w:sz w:val="20"/>
                <w:lang w:eastAsia="es-CO"/>
              </w:rPr>
              <w:t xml:space="preserve">                   3.401 </w:t>
            </w:r>
          </w:p>
        </w:tc>
        <w:tc>
          <w:tcPr>
            <w:tcW w:w="108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20"/>
                <w:lang w:eastAsia="es-CO"/>
              </w:rPr>
            </w:pPr>
            <w:r w:rsidRPr="00B30577">
              <w:rPr>
                <w:rFonts w:ascii="Arial" w:eastAsia="Times New Roman" w:hAnsi="Arial" w:cs="Arial"/>
                <w:color w:val="000000"/>
                <w:sz w:val="20"/>
                <w:lang w:eastAsia="es-CO"/>
              </w:rPr>
              <w:t>32%</w:t>
            </w:r>
          </w:p>
        </w:tc>
      </w:tr>
      <w:tr w:rsidR="00AE001B" w:rsidRPr="00B30577" w:rsidTr="00E51EDD">
        <w:trPr>
          <w:trHeight w:val="255"/>
          <w:jc w:val="center"/>
        </w:trPr>
        <w:tc>
          <w:tcPr>
            <w:tcW w:w="4258"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20"/>
                <w:lang w:eastAsia="es-CO"/>
              </w:rPr>
            </w:pPr>
            <w:r w:rsidRPr="00B30577">
              <w:rPr>
                <w:rFonts w:ascii="Arial" w:eastAsia="Times New Roman" w:hAnsi="Arial" w:cs="Arial"/>
                <w:color w:val="000000"/>
                <w:sz w:val="20"/>
                <w:lang w:eastAsia="es-CO"/>
              </w:rPr>
              <w:t>CULTURA, DEPORTE Y RECREACIÓN</w:t>
            </w:r>
          </w:p>
        </w:tc>
        <w:tc>
          <w:tcPr>
            <w:tcW w:w="2135"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20"/>
                <w:lang w:eastAsia="es-CO"/>
              </w:rPr>
            </w:pPr>
            <w:r w:rsidRPr="00B30577">
              <w:rPr>
                <w:rFonts w:ascii="Arial" w:eastAsia="Times New Roman" w:hAnsi="Arial" w:cs="Arial"/>
                <w:color w:val="000000"/>
                <w:sz w:val="20"/>
                <w:lang w:eastAsia="es-CO"/>
              </w:rPr>
              <w:t xml:space="preserve">                   1.307 </w:t>
            </w:r>
          </w:p>
        </w:tc>
        <w:tc>
          <w:tcPr>
            <w:tcW w:w="108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20"/>
                <w:lang w:eastAsia="es-CO"/>
              </w:rPr>
            </w:pPr>
            <w:r w:rsidRPr="00B30577">
              <w:rPr>
                <w:rFonts w:ascii="Arial" w:eastAsia="Times New Roman" w:hAnsi="Arial" w:cs="Arial"/>
                <w:color w:val="000000"/>
                <w:sz w:val="20"/>
                <w:lang w:eastAsia="es-CO"/>
              </w:rPr>
              <w:t>12%</w:t>
            </w:r>
          </w:p>
        </w:tc>
      </w:tr>
      <w:tr w:rsidR="00AE001B" w:rsidRPr="00B30577" w:rsidTr="00E51EDD">
        <w:trPr>
          <w:trHeight w:val="255"/>
          <w:jc w:val="center"/>
        </w:trPr>
        <w:tc>
          <w:tcPr>
            <w:tcW w:w="4258"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20"/>
                <w:lang w:eastAsia="es-CO"/>
              </w:rPr>
            </w:pPr>
            <w:r w:rsidRPr="00B30577">
              <w:rPr>
                <w:rFonts w:ascii="Arial" w:eastAsia="Times New Roman" w:hAnsi="Arial" w:cs="Arial"/>
                <w:color w:val="000000"/>
                <w:sz w:val="20"/>
                <w:lang w:eastAsia="es-CO"/>
              </w:rPr>
              <w:t>EDUCACIÓN</w:t>
            </w:r>
          </w:p>
        </w:tc>
        <w:tc>
          <w:tcPr>
            <w:tcW w:w="2135"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20"/>
                <w:lang w:eastAsia="es-CO"/>
              </w:rPr>
            </w:pPr>
            <w:r w:rsidRPr="00B30577">
              <w:rPr>
                <w:rFonts w:ascii="Arial" w:eastAsia="Times New Roman" w:hAnsi="Arial" w:cs="Arial"/>
                <w:color w:val="000000"/>
                <w:sz w:val="20"/>
                <w:lang w:eastAsia="es-CO"/>
              </w:rPr>
              <w:t xml:space="preserve">                   1.153 </w:t>
            </w:r>
          </w:p>
        </w:tc>
        <w:tc>
          <w:tcPr>
            <w:tcW w:w="108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20"/>
                <w:lang w:eastAsia="es-CO"/>
              </w:rPr>
            </w:pPr>
            <w:r w:rsidRPr="00B30577">
              <w:rPr>
                <w:rFonts w:ascii="Arial" w:eastAsia="Times New Roman" w:hAnsi="Arial" w:cs="Arial"/>
                <w:color w:val="000000"/>
                <w:sz w:val="20"/>
                <w:lang w:eastAsia="es-CO"/>
              </w:rPr>
              <w:t>11%</w:t>
            </w:r>
          </w:p>
        </w:tc>
      </w:tr>
      <w:tr w:rsidR="00AE001B" w:rsidRPr="00B30577" w:rsidTr="00E51EDD">
        <w:trPr>
          <w:trHeight w:val="255"/>
          <w:jc w:val="center"/>
        </w:trPr>
        <w:tc>
          <w:tcPr>
            <w:tcW w:w="4258"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20"/>
                <w:lang w:eastAsia="es-CO"/>
              </w:rPr>
            </w:pPr>
            <w:r w:rsidRPr="00B30577">
              <w:rPr>
                <w:rFonts w:ascii="Arial" w:eastAsia="Times New Roman" w:hAnsi="Arial" w:cs="Arial"/>
                <w:color w:val="000000"/>
                <w:sz w:val="20"/>
                <w:lang w:eastAsia="es-CO"/>
              </w:rPr>
              <w:t>VIVIENDA</w:t>
            </w:r>
          </w:p>
        </w:tc>
        <w:tc>
          <w:tcPr>
            <w:tcW w:w="2135"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20"/>
                <w:lang w:eastAsia="es-CO"/>
              </w:rPr>
            </w:pPr>
            <w:r w:rsidRPr="00B30577">
              <w:rPr>
                <w:rFonts w:ascii="Arial" w:eastAsia="Times New Roman" w:hAnsi="Arial" w:cs="Arial"/>
                <w:color w:val="000000"/>
                <w:sz w:val="20"/>
                <w:lang w:eastAsia="es-CO"/>
              </w:rPr>
              <w:t xml:space="preserve">                   1.068 </w:t>
            </w:r>
          </w:p>
        </w:tc>
        <w:tc>
          <w:tcPr>
            <w:tcW w:w="108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20"/>
                <w:lang w:eastAsia="es-CO"/>
              </w:rPr>
            </w:pPr>
            <w:r w:rsidRPr="00B30577">
              <w:rPr>
                <w:rFonts w:ascii="Arial" w:eastAsia="Times New Roman" w:hAnsi="Arial" w:cs="Arial"/>
                <w:color w:val="000000"/>
                <w:sz w:val="20"/>
                <w:lang w:eastAsia="es-CO"/>
              </w:rPr>
              <w:t>10%</w:t>
            </w:r>
          </w:p>
        </w:tc>
      </w:tr>
      <w:tr w:rsidR="00AE001B" w:rsidRPr="00B30577" w:rsidTr="00E51EDD">
        <w:trPr>
          <w:trHeight w:val="255"/>
          <w:jc w:val="center"/>
        </w:trPr>
        <w:tc>
          <w:tcPr>
            <w:tcW w:w="4258"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20"/>
                <w:lang w:eastAsia="es-CO"/>
              </w:rPr>
            </w:pPr>
            <w:r w:rsidRPr="00B30577">
              <w:rPr>
                <w:rFonts w:ascii="Arial" w:eastAsia="Times New Roman" w:hAnsi="Arial" w:cs="Arial"/>
                <w:color w:val="000000"/>
                <w:sz w:val="20"/>
                <w:lang w:eastAsia="es-CO"/>
              </w:rPr>
              <w:t>AGUA POTABLE Y SANEAMIENTO BÁSICO</w:t>
            </w:r>
          </w:p>
        </w:tc>
        <w:tc>
          <w:tcPr>
            <w:tcW w:w="2135"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20"/>
                <w:lang w:eastAsia="es-CO"/>
              </w:rPr>
            </w:pPr>
            <w:r w:rsidRPr="00B30577">
              <w:rPr>
                <w:rFonts w:ascii="Arial" w:eastAsia="Times New Roman" w:hAnsi="Arial" w:cs="Arial"/>
                <w:color w:val="000000"/>
                <w:sz w:val="20"/>
                <w:lang w:eastAsia="es-CO"/>
              </w:rPr>
              <w:t xml:space="preserve">                      917 </w:t>
            </w:r>
          </w:p>
        </w:tc>
        <w:tc>
          <w:tcPr>
            <w:tcW w:w="108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20"/>
                <w:lang w:eastAsia="es-CO"/>
              </w:rPr>
            </w:pPr>
            <w:r w:rsidRPr="00B30577">
              <w:rPr>
                <w:rFonts w:ascii="Arial" w:eastAsia="Times New Roman" w:hAnsi="Arial" w:cs="Arial"/>
                <w:color w:val="000000"/>
                <w:sz w:val="20"/>
                <w:lang w:eastAsia="es-CO"/>
              </w:rPr>
              <w:t>8,7%</w:t>
            </w:r>
          </w:p>
        </w:tc>
      </w:tr>
      <w:tr w:rsidR="00AE001B" w:rsidRPr="00B30577" w:rsidTr="00E51EDD">
        <w:trPr>
          <w:trHeight w:val="255"/>
          <w:jc w:val="center"/>
        </w:trPr>
        <w:tc>
          <w:tcPr>
            <w:tcW w:w="425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AE001B" w:rsidRPr="00B30577" w:rsidRDefault="00AE001B" w:rsidP="00E51EDD">
            <w:pPr>
              <w:spacing w:after="0" w:line="240" w:lineRule="auto"/>
              <w:rPr>
                <w:rFonts w:ascii="Arial" w:eastAsia="Times New Roman" w:hAnsi="Arial" w:cs="Arial"/>
                <w:color w:val="000000"/>
                <w:sz w:val="20"/>
                <w:lang w:eastAsia="es-CO"/>
              </w:rPr>
            </w:pPr>
            <w:r w:rsidRPr="00B30577">
              <w:rPr>
                <w:rFonts w:ascii="Arial" w:eastAsia="Times New Roman" w:hAnsi="Arial" w:cs="Arial"/>
                <w:color w:val="000000"/>
                <w:sz w:val="20"/>
                <w:lang w:eastAsia="es-CO"/>
              </w:rPr>
              <w:t>AGRICULTURA</w:t>
            </w:r>
          </w:p>
        </w:tc>
        <w:tc>
          <w:tcPr>
            <w:tcW w:w="2135" w:type="dxa"/>
            <w:tcBorders>
              <w:top w:val="nil"/>
              <w:left w:val="nil"/>
              <w:bottom w:val="single" w:sz="4" w:space="0" w:color="auto"/>
              <w:right w:val="single" w:sz="4" w:space="0" w:color="auto"/>
            </w:tcBorders>
            <w:shd w:val="clear" w:color="auto" w:fill="FFFFFF" w:themeFill="background1"/>
            <w:noWrap/>
            <w:vAlign w:val="bottom"/>
            <w:hideMark/>
          </w:tcPr>
          <w:p w:rsidR="00AE001B" w:rsidRPr="00B30577" w:rsidRDefault="00AE001B" w:rsidP="00E51EDD">
            <w:pPr>
              <w:spacing w:after="0" w:line="240" w:lineRule="auto"/>
              <w:rPr>
                <w:rFonts w:ascii="Arial" w:eastAsia="Times New Roman" w:hAnsi="Arial" w:cs="Arial"/>
                <w:color w:val="000000"/>
                <w:sz w:val="20"/>
                <w:lang w:eastAsia="es-CO"/>
              </w:rPr>
            </w:pPr>
            <w:r w:rsidRPr="00B30577">
              <w:rPr>
                <w:rFonts w:ascii="Arial" w:eastAsia="Times New Roman" w:hAnsi="Arial" w:cs="Arial"/>
                <w:color w:val="000000"/>
                <w:sz w:val="20"/>
                <w:lang w:eastAsia="es-CO"/>
              </w:rPr>
              <w:t xml:space="preserve">                      457 </w:t>
            </w:r>
          </w:p>
        </w:tc>
        <w:tc>
          <w:tcPr>
            <w:tcW w:w="1080" w:type="dxa"/>
            <w:tcBorders>
              <w:top w:val="nil"/>
              <w:left w:val="nil"/>
              <w:bottom w:val="single" w:sz="4" w:space="0" w:color="auto"/>
              <w:right w:val="single" w:sz="4" w:space="0" w:color="auto"/>
            </w:tcBorders>
            <w:shd w:val="clear" w:color="auto" w:fill="FFFFFF" w:themeFill="background1"/>
            <w:noWrap/>
            <w:vAlign w:val="bottom"/>
            <w:hideMark/>
          </w:tcPr>
          <w:p w:rsidR="00AE001B" w:rsidRPr="00B30577" w:rsidRDefault="00AE001B" w:rsidP="00E51EDD">
            <w:pPr>
              <w:spacing w:after="0" w:line="240" w:lineRule="auto"/>
              <w:jc w:val="center"/>
              <w:rPr>
                <w:rFonts w:ascii="Arial" w:eastAsia="Times New Roman" w:hAnsi="Arial" w:cs="Arial"/>
                <w:color w:val="000000"/>
                <w:sz w:val="20"/>
                <w:lang w:eastAsia="es-CO"/>
              </w:rPr>
            </w:pPr>
            <w:r w:rsidRPr="00B30577">
              <w:rPr>
                <w:rFonts w:ascii="Arial" w:eastAsia="Times New Roman" w:hAnsi="Arial" w:cs="Arial"/>
                <w:color w:val="000000"/>
                <w:sz w:val="20"/>
                <w:lang w:eastAsia="es-CO"/>
              </w:rPr>
              <w:t>4,4%</w:t>
            </w:r>
          </w:p>
        </w:tc>
      </w:tr>
      <w:tr w:rsidR="00AE001B" w:rsidRPr="00B30577" w:rsidTr="00E51EDD">
        <w:trPr>
          <w:trHeight w:val="255"/>
          <w:jc w:val="center"/>
        </w:trPr>
        <w:tc>
          <w:tcPr>
            <w:tcW w:w="425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AE001B" w:rsidRPr="00B30577" w:rsidRDefault="00AE001B" w:rsidP="00E51EDD">
            <w:pPr>
              <w:spacing w:after="0" w:line="240" w:lineRule="auto"/>
              <w:rPr>
                <w:rFonts w:ascii="Arial" w:eastAsia="Times New Roman" w:hAnsi="Arial" w:cs="Arial"/>
                <w:color w:val="000000"/>
                <w:sz w:val="20"/>
                <w:lang w:eastAsia="es-CO"/>
              </w:rPr>
            </w:pPr>
            <w:r w:rsidRPr="00B30577">
              <w:rPr>
                <w:rFonts w:ascii="Arial" w:eastAsia="Times New Roman" w:hAnsi="Arial" w:cs="Arial"/>
                <w:color w:val="000000"/>
                <w:sz w:val="20"/>
                <w:lang w:eastAsia="es-CO"/>
              </w:rPr>
              <w:t xml:space="preserve">INCLUSIÓN SOCIAL Y RECONCILIACIÓN </w:t>
            </w:r>
          </w:p>
        </w:tc>
        <w:tc>
          <w:tcPr>
            <w:tcW w:w="2135" w:type="dxa"/>
            <w:tcBorders>
              <w:top w:val="nil"/>
              <w:left w:val="nil"/>
              <w:bottom w:val="single" w:sz="4" w:space="0" w:color="auto"/>
              <w:right w:val="single" w:sz="4" w:space="0" w:color="auto"/>
            </w:tcBorders>
            <w:shd w:val="clear" w:color="auto" w:fill="FFFFFF" w:themeFill="background1"/>
            <w:noWrap/>
            <w:vAlign w:val="bottom"/>
            <w:hideMark/>
          </w:tcPr>
          <w:p w:rsidR="00AE001B" w:rsidRPr="00B30577" w:rsidRDefault="00AE001B" w:rsidP="00E51EDD">
            <w:pPr>
              <w:spacing w:after="0" w:line="240" w:lineRule="auto"/>
              <w:rPr>
                <w:rFonts w:ascii="Arial" w:eastAsia="Times New Roman" w:hAnsi="Arial" w:cs="Arial"/>
                <w:color w:val="000000"/>
                <w:sz w:val="20"/>
                <w:lang w:eastAsia="es-CO"/>
              </w:rPr>
            </w:pPr>
            <w:r w:rsidRPr="00B30577">
              <w:rPr>
                <w:rFonts w:ascii="Arial" w:eastAsia="Times New Roman" w:hAnsi="Arial" w:cs="Arial"/>
                <w:color w:val="000000"/>
                <w:sz w:val="20"/>
                <w:lang w:eastAsia="es-CO"/>
              </w:rPr>
              <w:t xml:space="preserve">                      450 </w:t>
            </w:r>
          </w:p>
        </w:tc>
        <w:tc>
          <w:tcPr>
            <w:tcW w:w="1080" w:type="dxa"/>
            <w:tcBorders>
              <w:top w:val="nil"/>
              <w:left w:val="nil"/>
              <w:bottom w:val="single" w:sz="4" w:space="0" w:color="auto"/>
              <w:right w:val="single" w:sz="4" w:space="0" w:color="auto"/>
            </w:tcBorders>
            <w:shd w:val="clear" w:color="auto" w:fill="FFFFFF" w:themeFill="background1"/>
            <w:noWrap/>
            <w:vAlign w:val="bottom"/>
            <w:hideMark/>
          </w:tcPr>
          <w:p w:rsidR="00AE001B" w:rsidRPr="00B30577" w:rsidRDefault="00AE001B" w:rsidP="00E51EDD">
            <w:pPr>
              <w:spacing w:after="0" w:line="240" w:lineRule="auto"/>
              <w:jc w:val="center"/>
              <w:rPr>
                <w:rFonts w:ascii="Arial" w:eastAsia="Times New Roman" w:hAnsi="Arial" w:cs="Arial"/>
                <w:color w:val="000000"/>
                <w:sz w:val="20"/>
                <w:lang w:eastAsia="es-CO"/>
              </w:rPr>
            </w:pPr>
            <w:r w:rsidRPr="00B30577">
              <w:rPr>
                <w:rFonts w:ascii="Arial" w:eastAsia="Times New Roman" w:hAnsi="Arial" w:cs="Arial"/>
                <w:color w:val="000000"/>
                <w:sz w:val="20"/>
                <w:lang w:eastAsia="es-CO"/>
              </w:rPr>
              <w:t>4,3%</w:t>
            </w:r>
          </w:p>
        </w:tc>
      </w:tr>
      <w:tr w:rsidR="00AE001B" w:rsidRPr="00B30577" w:rsidTr="00E51EDD">
        <w:trPr>
          <w:trHeight w:val="255"/>
          <w:jc w:val="center"/>
        </w:trPr>
        <w:tc>
          <w:tcPr>
            <w:tcW w:w="425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AE001B" w:rsidRPr="00B30577" w:rsidRDefault="00AE001B" w:rsidP="00E51EDD">
            <w:pPr>
              <w:spacing w:after="0" w:line="240" w:lineRule="auto"/>
              <w:rPr>
                <w:rFonts w:ascii="Arial" w:eastAsia="Times New Roman" w:hAnsi="Arial" w:cs="Arial"/>
                <w:color w:val="000000"/>
                <w:sz w:val="20"/>
                <w:lang w:eastAsia="es-CO"/>
              </w:rPr>
            </w:pPr>
            <w:r w:rsidRPr="00B30577">
              <w:rPr>
                <w:rFonts w:ascii="Arial" w:eastAsia="Times New Roman" w:hAnsi="Arial" w:cs="Arial"/>
                <w:color w:val="000000"/>
                <w:sz w:val="20"/>
                <w:lang w:eastAsia="es-CO"/>
              </w:rPr>
              <w:t>AMBIENTE Y DESARROLLO SOSTENIBLE</w:t>
            </w:r>
          </w:p>
        </w:tc>
        <w:tc>
          <w:tcPr>
            <w:tcW w:w="2135" w:type="dxa"/>
            <w:tcBorders>
              <w:top w:val="nil"/>
              <w:left w:val="nil"/>
              <w:bottom w:val="single" w:sz="4" w:space="0" w:color="auto"/>
              <w:right w:val="single" w:sz="4" w:space="0" w:color="auto"/>
            </w:tcBorders>
            <w:shd w:val="clear" w:color="auto" w:fill="FFFFFF" w:themeFill="background1"/>
            <w:noWrap/>
            <w:vAlign w:val="bottom"/>
            <w:hideMark/>
          </w:tcPr>
          <w:p w:rsidR="00AE001B" w:rsidRPr="00B30577" w:rsidRDefault="00AE001B" w:rsidP="00E51EDD">
            <w:pPr>
              <w:spacing w:after="0" w:line="240" w:lineRule="auto"/>
              <w:rPr>
                <w:rFonts w:ascii="Arial" w:eastAsia="Times New Roman" w:hAnsi="Arial" w:cs="Arial"/>
                <w:color w:val="000000"/>
                <w:sz w:val="20"/>
                <w:lang w:eastAsia="es-CO"/>
              </w:rPr>
            </w:pPr>
            <w:r w:rsidRPr="00B30577">
              <w:rPr>
                <w:rFonts w:ascii="Arial" w:eastAsia="Times New Roman" w:hAnsi="Arial" w:cs="Arial"/>
                <w:color w:val="000000"/>
                <w:sz w:val="20"/>
                <w:lang w:eastAsia="es-CO"/>
              </w:rPr>
              <w:t xml:space="preserve">                      372 </w:t>
            </w:r>
          </w:p>
        </w:tc>
        <w:tc>
          <w:tcPr>
            <w:tcW w:w="1080" w:type="dxa"/>
            <w:tcBorders>
              <w:top w:val="nil"/>
              <w:left w:val="nil"/>
              <w:bottom w:val="single" w:sz="4" w:space="0" w:color="auto"/>
              <w:right w:val="single" w:sz="4" w:space="0" w:color="auto"/>
            </w:tcBorders>
            <w:shd w:val="clear" w:color="auto" w:fill="FFFFFF" w:themeFill="background1"/>
            <w:noWrap/>
            <w:vAlign w:val="bottom"/>
            <w:hideMark/>
          </w:tcPr>
          <w:p w:rsidR="00AE001B" w:rsidRPr="00B30577" w:rsidRDefault="00AE001B" w:rsidP="00E51EDD">
            <w:pPr>
              <w:spacing w:after="0" w:line="240" w:lineRule="auto"/>
              <w:jc w:val="center"/>
              <w:rPr>
                <w:rFonts w:ascii="Arial" w:eastAsia="Times New Roman" w:hAnsi="Arial" w:cs="Arial"/>
                <w:color w:val="000000"/>
                <w:sz w:val="20"/>
                <w:lang w:eastAsia="es-CO"/>
              </w:rPr>
            </w:pPr>
            <w:r w:rsidRPr="00B30577">
              <w:rPr>
                <w:rFonts w:ascii="Arial" w:eastAsia="Times New Roman" w:hAnsi="Arial" w:cs="Arial"/>
                <w:color w:val="000000"/>
                <w:sz w:val="20"/>
                <w:lang w:eastAsia="es-CO"/>
              </w:rPr>
              <w:t>3,5%</w:t>
            </w:r>
          </w:p>
        </w:tc>
      </w:tr>
      <w:tr w:rsidR="00AE001B" w:rsidRPr="00B30577" w:rsidTr="00E51EDD">
        <w:trPr>
          <w:trHeight w:val="255"/>
          <w:jc w:val="center"/>
        </w:trPr>
        <w:tc>
          <w:tcPr>
            <w:tcW w:w="4258"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20"/>
                <w:lang w:eastAsia="es-CO"/>
              </w:rPr>
            </w:pPr>
            <w:r w:rsidRPr="00B30577">
              <w:rPr>
                <w:rFonts w:ascii="Arial" w:eastAsia="Times New Roman" w:hAnsi="Arial" w:cs="Arial"/>
                <w:color w:val="000000"/>
                <w:sz w:val="20"/>
                <w:lang w:eastAsia="es-CO"/>
              </w:rPr>
              <w:t>SALUD Y PROTECCIÓN SOCIAL</w:t>
            </w:r>
          </w:p>
        </w:tc>
        <w:tc>
          <w:tcPr>
            <w:tcW w:w="2135"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20"/>
                <w:lang w:eastAsia="es-CO"/>
              </w:rPr>
            </w:pPr>
            <w:r w:rsidRPr="00B30577">
              <w:rPr>
                <w:rFonts w:ascii="Arial" w:eastAsia="Times New Roman" w:hAnsi="Arial" w:cs="Arial"/>
                <w:color w:val="000000"/>
                <w:sz w:val="20"/>
                <w:lang w:eastAsia="es-CO"/>
              </w:rPr>
              <w:t xml:space="preserve">                      351 </w:t>
            </w:r>
          </w:p>
        </w:tc>
        <w:tc>
          <w:tcPr>
            <w:tcW w:w="108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20"/>
                <w:lang w:eastAsia="es-CO"/>
              </w:rPr>
            </w:pPr>
            <w:r w:rsidRPr="00B30577">
              <w:rPr>
                <w:rFonts w:ascii="Arial" w:eastAsia="Times New Roman" w:hAnsi="Arial" w:cs="Arial"/>
                <w:color w:val="000000"/>
                <w:sz w:val="20"/>
                <w:lang w:eastAsia="es-CO"/>
              </w:rPr>
              <w:t>3,3%</w:t>
            </w:r>
          </w:p>
        </w:tc>
      </w:tr>
      <w:tr w:rsidR="00AE001B" w:rsidRPr="00B30577" w:rsidTr="00E51EDD">
        <w:trPr>
          <w:trHeight w:val="255"/>
          <w:jc w:val="center"/>
        </w:trPr>
        <w:tc>
          <w:tcPr>
            <w:tcW w:w="4258"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20"/>
                <w:lang w:eastAsia="es-CO"/>
              </w:rPr>
            </w:pPr>
            <w:r w:rsidRPr="00B30577">
              <w:rPr>
                <w:rFonts w:ascii="Arial" w:eastAsia="Times New Roman" w:hAnsi="Arial" w:cs="Arial"/>
                <w:color w:val="000000"/>
                <w:sz w:val="20"/>
                <w:lang w:eastAsia="es-CO"/>
              </w:rPr>
              <w:t>MINAS Y ENERGÍA</w:t>
            </w:r>
          </w:p>
        </w:tc>
        <w:tc>
          <w:tcPr>
            <w:tcW w:w="2135"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20"/>
                <w:lang w:eastAsia="es-CO"/>
              </w:rPr>
            </w:pPr>
            <w:r w:rsidRPr="00B30577">
              <w:rPr>
                <w:rFonts w:ascii="Arial" w:eastAsia="Times New Roman" w:hAnsi="Arial" w:cs="Arial"/>
                <w:color w:val="000000"/>
                <w:sz w:val="20"/>
                <w:lang w:eastAsia="es-CO"/>
              </w:rPr>
              <w:t xml:space="preserve">                      328 </w:t>
            </w:r>
          </w:p>
        </w:tc>
        <w:tc>
          <w:tcPr>
            <w:tcW w:w="108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20"/>
                <w:lang w:eastAsia="es-CO"/>
              </w:rPr>
            </w:pPr>
            <w:r w:rsidRPr="00B30577">
              <w:rPr>
                <w:rFonts w:ascii="Arial" w:eastAsia="Times New Roman" w:hAnsi="Arial" w:cs="Arial"/>
                <w:color w:val="000000"/>
                <w:sz w:val="20"/>
                <w:lang w:eastAsia="es-CO"/>
              </w:rPr>
              <w:t>3,1%</w:t>
            </w:r>
          </w:p>
        </w:tc>
      </w:tr>
      <w:tr w:rsidR="00AE001B" w:rsidRPr="00B30577" w:rsidTr="00E51EDD">
        <w:trPr>
          <w:trHeight w:val="255"/>
          <w:jc w:val="center"/>
        </w:trPr>
        <w:tc>
          <w:tcPr>
            <w:tcW w:w="4258"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20"/>
                <w:lang w:eastAsia="es-CO"/>
              </w:rPr>
            </w:pPr>
            <w:r w:rsidRPr="00B30577">
              <w:rPr>
                <w:rFonts w:ascii="Arial" w:eastAsia="Times New Roman" w:hAnsi="Arial" w:cs="Arial"/>
                <w:color w:val="000000"/>
                <w:sz w:val="20"/>
                <w:lang w:eastAsia="es-CO"/>
              </w:rPr>
              <w:t>CIENCIA Y TECNOLOGÍA</w:t>
            </w:r>
          </w:p>
        </w:tc>
        <w:tc>
          <w:tcPr>
            <w:tcW w:w="2135"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20"/>
                <w:lang w:eastAsia="es-CO"/>
              </w:rPr>
            </w:pPr>
            <w:r w:rsidRPr="00B30577">
              <w:rPr>
                <w:rFonts w:ascii="Arial" w:eastAsia="Times New Roman" w:hAnsi="Arial" w:cs="Arial"/>
                <w:color w:val="000000"/>
                <w:sz w:val="20"/>
                <w:lang w:eastAsia="es-CO"/>
              </w:rPr>
              <w:t xml:space="preserve">                      309 </w:t>
            </w:r>
          </w:p>
        </w:tc>
        <w:tc>
          <w:tcPr>
            <w:tcW w:w="108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20"/>
                <w:lang w:eastAsia="es-CO"/>
              </w:rPr>
            </w:pPr>
            <w:r w:rsidRPr="00B30577">
              <w:rPr>
                <w:rFonts w:ascii="Arial" w:eastAsia="Times New Roman" w:hAnsi="Arial" w:cs="Arial"/>
                <w:color w:val="000000"/>
                <w:sz w:val="20"/>
                <w:lang w:eastAsia="es-CO"/>
              </w:rPr>
              <w:t>2,9%</w:t>
            </w:r>
          </w:p>
        </w:tc>
      </w:tr>
      <w:tr w:rsidR="00AE001B" w:rsidRPr="00B30577" w:rsidTr="00E51EDD">
        <w:trPr>
          <w:trHeight w:val="255"/>
          <w:jc w:val="center"/>
        </w:trPr>
        <w:tc>
          <w:tcPr>
            <w:tcW w:w="4258"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20"/>
                <w:lang w:eastAsia="es-CO"/>
              </w:rPr>
            </w:pPr>
            <w:r w:rsidRPr="00B30577">
              <w:rPr>
                <w:rFonts w:ascii="Arial" w:eastAsia="Times New Roman" w:hAnsi="Arial" w:cs="Arial"/>
                <w:color w:val="000000"/>
                <w:sz w:val="20"/>
                <w:lang w:eastAsia="es-CO"/>
              </w:rPr>
              <w:t>PLANEACIÓN</w:t>
            </w:r>
          </w:p>
        </w:tc>
        <w:tc>
          <w:tcPr>
            <w:tcW w:w="2135"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20"/>
                <w:lang w:eastAsia="es-CO"/>
              </w:rPr>
            </w:pPr>
            <w:r w:rsidRPr="00B30577">
              <w:rPr>
                <w:rFonts w:ascii="Arial" w:eastAsia="Times New Roman" w:hAnsi="Arial" w:cs="Arial"/>
                <w:color w:val="000000"/>
                <w:sz w:val="20"/>
                <w:lang w:eastAsia="es-CO"/>
              </w:rPr>
              <w:t xml:space="preserve">                      159 </w:t>
            </w:r>
          </w:p>
        </w:tc>
        <w:tc>
          <w:tcPr>
            <w:tcW w:w="108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20"/>
                <w:lang w:eastAsia="es-CO"/>
              </w:rPr>
            </w:pPr>
            <w:r w:rsidRPr="00B30577">
              <w:rPr>
                <w:rFonts w:ascii="Arial" w:eastAsia="Times New Roman" w:hAnsi="Arial" w:cs="Arial"/>
                <w:color w:val="000000"/>
                <w:sz w:val="20"/>
                <w:lang w:eastAsia="es-CO"/>
              </w:rPr>
              <w:t>1,5%</w:t>
            </w:r>
          </w:p>
        </w:tc>
      </w:tr>
      <w:tr w:rsidR="00AE001B" w:rsidRPr="00B30577" w:rsidTr="00E51EDD">
        <w:trPr>
          <w:trHeight w:val="255"/>
          <w:jc w:val="center"/>
        </w:trPr>
        <w:tc>
          <w:tcPr>
            <w:tcW w:w="4258"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20"/>
                <w:lang w:eastAsia="es-CO"/>
              </w:rPr>
            </w:pPr>
            <w:r w:rsidRPr="00B30577">
              <w:rPr>
                <w:rFonts w:ascii="Arial" w:eastAsia="Times New Roman" w:hAnsi="Arial" w:cs="Arial"/>
                <w:color w:val="000000"/>
                <w:sz w:val="20"/>
                <w:lang w:eastAsia="es-CO"/>
              </w:rPr>
              <w:t>COMERCIO, INDUSTRIA Y TURISMO</w:t>
            </w:r>
          </w:p>
        </w:tc>
        <w:tc>
          <w:tcPr>
            <w:tcW w:w="2135"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20"/>
                <w:lang w:eastAsia="es-CO"/>
              </w:rPr>
            </w:pPr>
            <w:r w:rsidRPr="00B30577">
              <w:rPr>
                <w:rFonts w:ascii="Arial" w:eastAsia="Times New Roman" w:hAnsi="Arial" w:cs="Arial"/>
                <w:color w:val="000000"/>
                <w:sz w:val="20"/>
                <w:lang w:eastAsia="es-CO"/>
              </w:rPr>
              <w:t xml:space="preserve">                        77 </w:t>
            </w:r>
          </w:p>
        </w:tc>
        <w:tc>
          <w:tcPr>
            <w:tcW w:w="108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20"/>
                <w:lang w:eastAsia="es-CO"/>
              </w:rPr>
            </w:pPr>
            <w:r w:rsidRPr="00B30577">
              <w:rPr>
                <w:rFonts w:ascii="Arial" w:eastAsia="Times New Roman" w:hAnsi="Arial" w:cs="Arial"/>
                <w:color w:val="000000"/>
                <w:sz w:val="20"/>
                <w:lang w:eastAsia="es-CO"/>
              </w:rPr>
              <w:t>0,7%</w:t>
            </w:r>
          </w:p>
        </w:tc>
      </w:tr>
      <w:tr w:rsidR="00AE001B" w:rsidRPr="00B30577" w:rsidTr="00E51EDD">
        <w:trPr>
          <w:trHeight w:val="255"/>
          <w:jc w:val="center"/>
        </w:trPr>
        <w:tc>
          <w:tcPr>
            <w:tcW w:w="4258"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20"/>
                <w:lang w:eastAsia="es-CO"/>
              </w:rPr>
            </w:pPr>
            <w:r w:rsidRPr="00B30577">
              <w:rPr>
                <w:rFonts w:ascii="Arial" w:eastAsia="Times New Roman" w:hAnsi="Arial" w:cs="Arial"/>
                <w:color w:val="000000"/>
                <w:sz w:val="20"/>
                <w:lang w:eastAsia="es-CO"/>
              </w:rPr>
              <w:t>INTERIOR</w:t>
            </w:r>
          </w:p>
        </w:tc>
        <w:tc>
          <w:tcPr>
            <w:tcW w:w="2135"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20"/>
                <w:lang w:eastAsia="es-CO"/>
              </w:rPr>
            </w:pPr>
            <w:r w:rsidRPr="00B30577">
              <w:rPr>
                <w:rFonts w:ascii="Arial" w:eastAsia="Times New Roman" w:hAnsi="Arial" w:cs="Arial"/>
                <w:color w:val="000000"/>
                <w:sz w:val="20"/>
                <w:lang w:eastAsia="es-CO"/>
              </w:rPr>
              <w:t xml:space="preserve">                        50 </w:t>
            </w:r>
          </w:p>
        </w:tc>
        <w:tc>
          <w:tcPr>
            <w:tcW w:w="108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20"/>
                <w:lang w:eastAsia="es-CO"/>
              </w:rPr>
            </w:pPr>
            <w:r w:rsidRPr="00B30577">
              <w:rPr>
                <w:rFonts w:ascii="Arial" w:eastAsia="Times New Roman" w:hAnsi="Arial" w:cs="Arial"/>
                <w:color w:val="000000"/>
                <w:sz w:val="20"/>
                <w:lang w:eastAsia="es-CO"/>
              </w:rPr>
              <w:t>0,5%</w:t>
            </w:r>
          </w:p>
        </w:tc>
      </w:tr>
      <w:tr w:rsidR="00AE001B" w:rsidRPr="00B30577" w:rsidTr="00E51EDD">
        <w:trPr>
          <w:trHeight w:val="255"/>
          <w:jc w:val="center"/>
        </w:trPr>
        <w:tc>
          <w:tcPr>
            <w:tcW w:w="4258"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20"/>
                <w:lang w:eastAsia="es-CO"/>
              </w:rPr>
            </w:pPr>
            <w:r w:rsidRPr="00B30577">
              <w:rPr>
                <w:rFonts w:ascii="Arial" w:eastAsia="Times New Roman" w:hAnsi="Arial" w:cs="Arial"/>
                <w:color w:val="000000"/>
                <w:sz w:val="20"/>
                <w:lang w:eastAsia="es-CO"/>
              </w:rPr>
              <w:t>DEFENSA</w:t>
            </w:r>
          </w:p>
        </w:tc>
        <w:tc>
          <w:tcPr>
            <w:tcW w:w="2135"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20"/>
                <w:lang w:eastAsia="es-CO"/>
              </w:rPr>
            </w:pPr>
            <w:r w:rsidRPr="00B30577">
              <w:rPr>
                <w:rFonts w:ascii="Arial" w:eastAsia="Times New Roman" w:hAnsi="Arial" w:cs="Arial"/>
                <w:color w:val="000000"/>
                <w:sz w:val="20"/>
                <w:lang w:eastAsia="es-CO"/>
              </w:rPr>
              <w:t xml:space="preserve">                        31 </w:t>
            </w:r>
          </w:p>
        </w:tc>
        <w:tc>
          <w:tcPr>
            <w:tcW w:w="108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20"/>
                <w:lang w:eastAsia="es-CO"/>
              </w:rPr>
            </w:pPr>
            <w:r w:rsidRPr="00B30577">
              <w:rPr>
                <w:rFonts w:ascii="Arial" w:eastAsia="Times New Roman" w:hAnsi="Arial" w:cs="Arial"/>
                <w:color w:val="000000"/>
                <w:sz w:val="20"/>
                <w:lang w:eastAsia="es-CO"/>
              </w:rPr>
              <w:t>0,3%</w:t>
            </w:r>
          </w:p>
        </w:tc>
      </w:tr>
      <w:tr w:rsidR="00AE001B" w:rsidRPr="00B30577" w:rsidTr="00E51EDD">
        <w:trPr>
          <w:trHeight w:val="255"/>
          <w:jc w:val="center"/>
        </w:trPr>
        <w:tc>
          <w:tcPr>
            <w:tcW w:w="4258"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20"/>
                <w:lang w:eastAsia="es-CO"/>
              </w:rPr>
            </w:pPr>
            <w:r w:rsidRPr="00B30577">
              <w:rPr>
                <w:rFonts w:ascii="Arial" w:eastAsia="Times New Roman" w:hAnsi="Arial" w:cs="Arial"/>
                <w:color w:val="000000"/>
                <w:sz w:val="20"/>
                <w:lang w:eastAsia="es-CO"/>
              </w:rPr>
              <w:t>JUSTICIA Y DEL DERECHO</w:t>
            </w:r>
          </w:p>
        </w:tc>
        <w:tc>
          <w:tcPr>
            <w:tcW w:w="2135"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20"/>
                <w:lang w:eastAsia="es-CO"/>
              </w:rPr>
            </w:pPr>
            <w:r w:rsidRPr="00B30577">
              <w:rPr>
                <w:rFonts w:ascii="Arial" w:eastAsia="Times New Roman" w:hAnsi="Arial" w:cs="Arial"/>
                <w:color w:val="000000"/>
                <w:sz w:val="20"/>
                <w:lang w:eastAsia="es-CO"/>
              </w:rPr>
              <w:t xml:space="preserve">                        24 </w:t>
            </w:r>
          </w:p>
        </w:tc>
        <w:tc>
          <w:tcPr>
            <w:tcW w:w="108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20"/>
                <w:lang w:eastAsia="es-CO"/>
              </w:rPr>
            </w:pPr>
            <w:r w:rsidRPr="00B30577">
              <w:rPr>
                <w:rFonts w:ascii="Arial" w:eastAsia="Times New Roman" w:hAnsi="Arial" w:cs="Arial"/>
                <w:color w:val="000000"/>
                <w:sz w:val="20"/>
                <w:lang w:eastAsia="es-CO"/>
              </w:rPr>
              <w:t>0,2%</w:t>
            </w:r>
          </w:p>
        </w:tc>
      </w:tr>
      <w:tr w:rsidR="00AE001B" w:rsidRPr="00B30577" w:rsidTr="00E51EDD">
        <w:trPr>
          <w:trHeight w:val="255"/>
          <w:jc w:val="center"/>
        </w:trPr>
        <w:tc>
          <w:tcPr>
            <w:tcW w:w="4258"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20"/>
                <w:lang w:eastAsia="es-CO"/>
              </w:rPr>
            </w:pPr>
            <w:r w:rsidRPr="00B30577">
              <w:rPr>
                <w:rFonts w:ascii="Arial" w:eastAsia="Times New Roman" w:hAnsi="Arial" w:cs="Arial"/>
                <w:color w:val="000000"/>
                <w:sz w:val="20"/>
                <w:lang w:eastAsia="es-CO"/>
              </w:rPr>
              <w:t>TRABAJO</w:t>
            </w:r>
          </w:p>
        </w:tc>
        <w:tc>
          <w:tcPr>
            <w:tcW w:w="2135"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20"/>
                <w:lang w:eastAsia="es-CO"/>
              </w:rPr>
            </w:pPr>
            <w:r w:rsidRPr="00B30577">
              <w:rPr>
                <w:rFonts w:ascii="Arial" w:eastAsia="Times New Roman" w:hAnsi="Arial" w:cs="Arial"/>
                <w:color w:val="000000"/>
                <w:sz w:val="20"/>
                <w:lang w:eastAsia="es-CO"/>
              </w:rPr>
              <w:t xml:space="preserve">                        19 </w:t>
            </w:r>
          </w:p>
        </w:tc>
        <w:tc>
          <w:tcPr>
            <w:tcW w:w="108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20"/>
                <w:lang w:eastAsia="es-CO"/>
              </w:rPr>
            </w:pPr>
            <w:r w:rsidRPr="00B30577">
              <w:rPr>
                <w:rFonts w:ascii="Arial" w:eastAsia="Times New Roman" w:hAnsi="Arial" w:cs="Arial"/>
                <w:color w:val="000000"/>
                <w:sz w:val="20"/>
                <w:lang w:eastAsia="es-CO"/>
              </w:rPr>
              <w:t>0,2%</w:t>
            </w:r>
          </w:p>
        </w:tc>
      </w:tr>
      <w:tr w:rsidR="00AE001B" w:rsidRPr="00B30577" w:rsidTr="00E51EDD">
        <w:trPr>
          <w:trHeight w:val="255"/>
          <w:jc w:val="center"/>
        </w:trPr>
        <w:tc>
          <w:tcPr>
            <w:tcW w:w="4258"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20"/>
                <w:lang w:eastAsia="es-CO"/>
              </w:rPr>
            </w:pPr>
            <w:r w:rsidRPr="00B30577">
              <w:rPr>
                <w:rFonts w:ascii="Arial" w:eastAsia="Times New Roman" w:hAnsi="Arial" w:cs="Arial"/>
                <w:color w:val="000000"/>
                <w:sz w:val="20"/>
                <w:lang w:eastAsia="es-CO"/>
              </w:rPr>
              <w:t>COMUNICACIONES</w:t>
            </w:r>
          </w:p>
        </w:tc>
        <w:tc>
          <w:tcPr>
            <w:tcW w:w="2135"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20"/>
                <w:lang w:eastAsia="es-CO"/>
              </w:rPr>
            </w:pPr>
            <w:r w:rsidRPr="00B30577">
              <w:rPr>
                <w:rFonts w:ascii="Arial" w:eastAsia="Times New Roman" w:hAnsi="Arial" w:cs="Arial"/>
                <w:color w:val="000000"/>
                <w:sz w:val="20"/>
                <w:lang w:eastAsia="es-CO"/>
              </w:rPr>
              <w:t xml:space="preserve">                        16 </w:t>
            </w:r>
          </w:p>
        </w:tc>
        <w:tc>
          <w:tcPr>
            <w:tcW w:w="108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20"/>
                <w:lang w:eastAsia="es-CO"/>
              </w:rPr>
            </w:pPr>
            <w:r w:rsidRPr="00B30577">
              <w:rPr>
                <w:rFonts w:ascii="Arial" w:eastAsia="Times New Roman" w:hAnsi="Arial" w:cs="Arial"/>
                <w:color w:val="000000"/>
                <w:sz w:val="20"/>
                <w:lang w:eastAsia="es-CO"/>
              </w:rPr>
              <w:t>0,2%</w:t>
            </w:r>
          </w:p>
        </w:tc>
      </w:tr>
      <w:tr w:rsidR="00AE001B" w:rsidRPr="00B30577" w:rsidTr="00E51EDD">
        <w:trPr>
          <w:trHeight w:val="255"/>
          <w:jc w:val="center"/>
        </w:trPr>
        <w:tc>
          <w:tcPr>
            <w:tcW w:w="4258"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20"/>
                <w:lang w:eastAsia="es-CO"/>
              </w:rPr>
            </w:pPr>
            <w:r w:rsidRPr="00B30577">
              <w:rPr>
                <w:rFonts w:ascii="Arial" w:eastAsia="Times New Roman" w:hAnsi="Arial" w:cs="Arial"/>
                <w:color w:val="000000"/>
                <w:sz w:val="20"/>
                <w:lang w:eastAsia="es-CO"/>
              </w:rPr>
              <w:t>ESTADÍSTICA</w:t>
            </w:r>
          </w:p>
        </w:tc>
        <w:tc>
          <w:tcPr>
            <w:tcW w:w="2135"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20"/>
                <w:lang w:eastAsia="es-CO"/>
              </w:rPr>
            </w:pPr>
            <w:r w:rsidRPr="00B30577">
              <w:rPr>
                <w:rFonts w:ascii="Arial" w:eastAsia="Times New Roman" w:hAnsi="Arial" w:cs="Arial"/>
                <w:color w:val="000000"/>
                <w:sz w:val="20"/>
                <w:lang w:eastAsia="es-CO"/>
              </w:rPr>
              <w:t xml:space="preserve">                          6 </w:t>
            </w:r>
          </w:p>
        </w:tc>
        <w:tc>
          <w:tcPr>
            <w:tcW w:w="108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20"/>
                <w:lang w:eastAsia="es-CO"/>
              </w:rPr>
            </w:pPr>
            <w:r w:rsidRPr="00B30577">
              <w:rPr>
                <w:rFonts w:ascii="Arial" w:eastAsia="Times New Roman" w:hAnsi="Arial" w:cs="Arial"/>
                <w:color w:val="000000"/>
                <w:sz w:val="20"/>
                <w:lang w:eastAsia="es-CO"/>
              </w:rPr>
              <w:t>0,1%</w:t>
            </w:r>
          </w:p>
        </w:tc>
      </w:tr>
      <w:tr w:rsidR="00AE001B" w:rsidRPr="00B30577" w:rsidTr="00E51EDD">
        <w:trPr>
          <w:trHeight w:val="255"/>
          <w:jc w:val="center"/>
        </w:trPr>
        <w:tc>
          <w:tcPr>
            <w:tcW w:w="4258"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20"/>
                <w:lang w:eastAsia="es-CO"/>
              </w:rPr>
            </w:pPr>
            <w:r w:rsidRPr="00B30577">
              <w:rPr>
                <w:rFonts w:ascii="Arial" w:eastAsia="Times New Roman" w:hAnsi="Arial" w:cs="Arial"/>
                <w:color w:val="000000"/>
                <w:sz w:val="20"/>
                <w:lang w:eastAsia="es-CO"/>
              </w:rPr>
              <w:t>RELACIONES EXTERIORES</w:t>
            </w:r>
          </w:p>
        </w:tc>
        <w:tc>
          <w:tcPr>
            <w:tcW w:w="2135"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20"/>
                <w:lang w:eastAsia="es-CO"/>
              </w:rPr>
            </w:pPr>
            <w:r w:rsidRPr="00B30577">
              <w:rPr>
                <w:rFonts w:ascii="Arial" w:eastAsia="Times New Roman" w:hAnsi="Arial" w:cs="Arial"/>
                <w:color w:val="000000"/>
                <w:sz w:val="20"/>
                <w:lang w:eastAsia="es-CO"/>
              </w:rPr>
              <w:t xml:space="preserve">                          1 </w:t>
            </w:r>
          </w:p>
        </w:tc>
        <w:tc>
          <w:tcPr>
            <w:tcW w:w="108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20"/>
                <w:lang w:eastAsia="es-CO"/>
              </w:rPr>
            </w:pPr>
            <w:r w:rsidRPr="00B30577">
              <w:rPr>
                <w:rFonts w:ascii="Arial" w:eastAsia="Times New Roman" w:hAnsi="Arial" w:cs="Arial"/>
                <w:color w:val="000000"/>
                <w:sz w:val="20"/>
                <w:lang w:eastAsia="es-CO"/>
              </w:rPr>
              <w:t>0,01%</w:t>
            </w:r>
          </w:p>
        </w:tc>
      </w:tr>
      <w:tr w:rsidR="00AE001B" w:rsidRPr="00B30577" w:rsidTr="00E51EDD">
        <w:trPr>
          <w:trHeight w:val="255"/>
          <w:jc w:val="center"/>
        </w:trPr>
        <w:tc>
          <w:tcPr>
            <w:tcW w:w="4258" w:type="dxa"/>
            <w:tcBorders>
              <w:top w:val="nil"/>
              <w:left w:val="single" w:sz="4" w:space="0" w:color="auto"/>
              <w:bottom w:val="single" w:sz="4" w:space="0" w:color="auto"/>
              <w:right w:val="single" w:sz="4" w:space="0" w:color="auto"/>
            </w:tcBorders>
            <w:shd w:val="clear" w:color="DCE6F1" w:fill="DCE6F1"/>
            <w:noWrap/>
            <w:vAlign w:val="bottom"/>
            <w:hideMark/>
          </w:tcPr>
          <w:p w:rsidR="00AE001B" w:rsidRPr="00B30577" w:rsidRDefault="00AE001B" w:rsidP="00E51EDD">
            <w:pPr>
              <w:spacing w:after="0" w:line="240" w:lineRule="auto"/>
              <w:rPr>
                <w:rFonts w:ascii="Arial" w:eastAsia="Times New Roman" w:hAnsi="Arial" w:cs="Arial"/>
                <w:b/>
                <w:bCs/>
                <w:color w:val="000000"/>
                <w:sz w:val="20"/>
                <w:lang w:eastAsia="es-CO"/>
              </w:rPr>
            </w:pPr>
            <w:r w:rsidRPr="00B30577">
              <w:rPr>
                <w:rFonts w:ascii="Arial" w:eastAsia="Times New Roman" w:hAnsi="Arial" w:cs="Arial"/>
                <w:b/>
                <w:bCs/>
                <w:color w:val="000000"/>
                <w:sz w:val="20"/>
                <w:lang w:eastAsia="es-CO"/>
              </w:rPr>
              <w:t>TOTAL GENERAL</w:t>
            </w:r>
          </w:p>
        </w:tc>
        <w:tc>
          <w:tcPr>
            <w:tcW w:w="2135" w:type="dxa"/>
            <w:tcBorders>
              <w:top w:val="nil"/>
              <w:left w:val="nil"/>
              <w:bottom w:val="single" w:sz="4" w:space="0" w:color="auto"/>
              <w:right w:val="single" w:sz="4" w:space="0" w:color="auto"/>
            </w:tcBorders>
            <w:shd w:val="clear" w:color="DCE6F1" w:fill="DCE6F1"/>
            <w:noWrap/>
            <w:vAlign w:val="bottom"/>
            <w:hideMark/>
          </w:tcPr>
          <w:p w:rsidR="00AE001B" w:rsidRPr="00B30577" w:rsidRDefault="00AE001B" w:rsidP="00E51EDD">
            <w:pPr>
              <w:spacing w:after="0" w:line="240" w:lineRule="auto"/>
              <w:rPr>
                <w:rFonts w:ascii="Arial" w:eastAsia="Times New Roman" w:hAnsi="Arial" w:cs="Arial"/>
                <w:b/>
                <w:bCs/>
                <w:color w:val="000000"/>
                <w:sz w:val="20"/>
                <w:lang w:eastAsia="es-CO"/>
              </w:rPr>
            </w:pPr>
            <w:r w:rsidRPr="00B30577">
              <w:rPr>
                <w:rFonts w:ascii="Arial" w:eastAsia="Times New Roman" w:hAnsi="Arial" w:cs="Arial"/>
                <w:b/>
                <w:bCs/>
                <w:color w:val="000000"/>
                <w:sz w:val="20"/>
                <w:lang w:eastAsia="es-CO"/>
              </w:rPr>
              <w:t xml:space="preserve">                 10.496 </w:t>
            </w:r>
          </w:p>
        </w:tc>
        <w:tc>
          <w:tcPr>
            <w:tcW w:w="1080" w:type="dxa"/>
            <w:tcBorders>
              <w:top w:val="nil"/>
              <w:left w:val="nil"/>
              <w:bottom w:val="single" w:sz="4" w:space="0" w:color="auto"/>
              <w:right w:val="single" w:sz="4" w:space="0" w:color="auto"/>
            </w:tcBorders>
            <w:shd w:val="clear" w:color="DCE6F1" w:fill="DCE6F1"/>
            <w:noWrap/>
            <w:vAlign w:val="bottom"/>
            <w:hideMark/>
          </w:tcPr>
          <w:p w:rsidR="00AE001B" w:rsidRPr="00B30577" w:rsidRDefault="00AE001B" w:rsidP="00E51EDD">
            <w:pPr>
              <w:spacing w:after="0" w:line="240" w:lineRule="auto"/>
              <w:jc w:val="center"/>
              <w:rPr>
                <w:rFonts w:ascii="Arial" w:eastAsia="Times New Roman" w:hAnsi="Arial" w:cs="Arial"/>
                <w:b/>
                <w:bCs/>
                <w:color w:val="000000"/>
                <w:sz w:val="20"/>
                <w:lang w:eastAsia="es-CO"/>
              </w:rPr>
            </w:pPr>
            <w:r w:rsidRPr="00B30577">
              <w:rPr>
                <w:rFonts w:ascii="Arial" w:eastAsia="Times New Roman" w:hAnsi="Arial" w:cs="Arial"/>
                <w:b/>
                <w:bCs/>
                <w:color w:val="000000"/>
                <w:sz w:val="20"/>
                <w:lang w:eastAsia="es-CO"/>
              </w:rPr>
              <w:t>100%</w:t>
            </w:r>
          </w:p>
        </w:tc>
      </w:tr>
    </w:tbl>
    <w:p w:rsidR="00AE001B" w:rsidRPr="002B06DA" w:rsidRDefault="00AE001B" w:rsidP="00AE001B">
      <w:pPr>
        <w:spacing w:before="28" w:after="28" w:line="288" w:lineRule="atLeast"/>
        <w:textAlignment w:val="center"/>
        <w:rPr>
          <w:rFonts w:ascii="Arial" w:hAnsi="Arial" w:cs="Arial"/>
          <w:sz w:val="20"/>
          <w:lang w:eastAsia="es-CO"/>
        </w:rPr>
      </w:pPr>
      <w:r>
        <w:rPr>
          <w:rFonts w:ascii="Arial" w:hAnsi="Arial" w:cs="Arial"/>
          <w:sz w:val="20"/>
          <w:lang w:eastAsia="es-CO"/>
        </w:rPr>
        <w:t xml:space="preserve">            </w:t>
      </w:r>
      <w:r w:rsidRPr="002B06DA">
        <w:rPr>
          <w:rFonts w:ascii="Arial" w:hAnsi="Arial" w:cs="Arial"/>
          <w:sz w:val="20"/>
          <w:lang w:eastAsia="es-CO"/>
        </w:rPr>
        <w:t>Fuente: DNP-Gesproy. Proyectos aprobados al 31 de diciembre de 2016.</w:t>
      </w:r>
    </w:p>
    <w:p w:rsidR="00AE001B" w:rsidRPr="00B30577" w:rsidRDefault="00AE001B" w:rsidP="00AE001B">
      <w:pPr>
        <w:spacing w:before="28" w:after="28" w:line="288" w:lineRule="atLeast"/>
        <w:textAlignment w:val="center"/>
        <w:rPr>
          <w:rFonts w:ascii="Arial" w:hAnsi="Arial" w:cs="Arial"/>
          <w:lang w:eastAsia="es-CO"/>
        </w:rPr>
      </w:pPr>
    </w:p>
    <w:p w:rsidR="00AE001B" w:rsidRPr="00B30577" w:rsidRDefault="00AE001B" w:rsidP="00AE001B">
      <w:pPr>
        <w:spacing w:after="0"/>
        <w:jc w:val="center"/>
        <w:rPr>
          <w:rFonts w:ascii="Arial" w:hAnsi="Arial" w:cs="Arial"/>
          <w:b/>
          <w:lang w:eastAsia="es-CO"/>
        </w:rPr>
      </w:pPr>
      <w:r>
        <w:rPr>
          <w:rFonts w:ascii="Arial" w:hAnsi="Arial" w:cs="Arial"/>
          <w:b/>
          <w:lang w:eastAsia="es-CO"/>
        </w:rPr>
        <w:br w:type="page"/>
      </w:r>
      <w:r w:rsidRPr="00B30577">
        <w:rPr>
          <w:rFonts w:ascii="Arial" w:hAnsi="Arial" w:cs="Arial"/>
          <w:b/>
          <w:lang w:eastAsia="es-CO"/>
        </w:rPr>
        <w:lastRenderedPageBreak/>
        <w:t>Cuadro 5</w:t>
      </w:r>
    </w:p>
    <w:p w:rsidR="00AE001B" w:rsidRPr="00B30577" w:rsidRDefault="00AE001B" w:rsidP="00AE001B">
      <w:pPr>
        <w:spacing w:after="0" w:line="288" w:lineRule="atLeast"/>
        <w:jc w:val="center"/>
        <w:textAlignment w:val="center"/>
        <w:rPr>
          <w:rFonts w:ascii="Arial" w:hAnsi="Arial" w:cs="Arial"/>
          <w:b/>
          <w:lang w:eastAsia="es-CO"/>
        </w:rPr>
      </w:pPr>
      <w:r w:rsidRPr="00B30577">
        <w:rPr>
          <w:rFonts w:ascii="Arial" w:hAnsi="Arial" w:cs="Arial"/>
          <w:b/>
          <w:lang w:eastAsia="es-CO"/>
        </w:rPr>
        <w:t xml:space="preserve">Valor SGR de los proyectos aprobados 2012-2016 </w:t>
      </w:r>
    </w:p>
    <w:p w:rsidR="00AE001B" w:rsidRPr="00B30577" w:rsidRDefault="00AE001B" w:rsidP="00AE001B">
      <w:pPr>
        <w:spacing w:after="0" w:line="288" w:lineRule="atLeast"/>
        <w:jc w:val="center"/>
        <w:textAlignment w:val="center"/>
        <w:rPr>
          <w:rFonts w:ascii="Arial" w:hAnsi="Arial" w:cs="Arial"/>
          <w:b/>
          <w:lang w:eastAsia="es-CO"/>
        </w:rPr>
      </w:pPr>
      <w:r w:rsidRPr="00B30577">
        <w:rPr>
          <w:rFonts w:ascii="Arial" w:hAnsi="Arial" w:cs="Arial"/>
          <w:b/>
          <w:lang w:eastAsia="es-CO"/>
        </w:rPr>
        <w:t>(pesos corrientes)</w:t>
      </w:r>
    </w:p>
    <w:tbl>
      <w:tblPr>
        <w:tblW w:w="7474" w:type="dxa"/>
        <w:jc w:val="center"/>
        <w:tblCellMar>
          <w:left w:w="70" w:type="dxa"/>
          <w:right w:w="70" w:type="dxa"/>
        </w:tblCellMar>
        <w:tblLook w:val="04A0" w:firstRow="1" w:lastRow="0" w:firstColumn="1" w:lastColumn="0" w:noHBand="0" w:noVBand="1"/>
      </w:tblPr>
      <w:tblGrid>
        <w:gridCol w:w="4263"/>
        <w:gridCol w:w="2131"/>
        <w:gridCol w:w="1080"/>
      </w:tblGrid>
      <w:tr w:rsidR="00AE001B" w:rsidRPr="00B30577" w:rsidTr="00E51EDD">
        <w:trPr>
          <w:trHeight w:val="255"/>
          <w:jc w:val="center"/>
        </w:trPr>
        <w:tc>
          <w:tcPr>
            <w:tcW w:w="426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AE001B" w:rsidRPr="00B30577" w:rsidRDefault="00AE001B" w:rsidP="00E51EDD">
            <w:pPr>
              <w:spacing w:after="0" w:line="240" w:lineRule="auto"/>
              <w:jc w:val="center"/>
              <w:rPr>
                <w:rFonts w:ascii="Arial" w:eastAsia="Times New Roman" w:hAnsi="Arial" w:cs="Arial"/>
                <w:b/>
                <w:bCs/>
                <w:color w:val="000000"/>
                <w:sz w:val="20"/>
                <w:lang w:eastAsia="es-CO"/>
              </w:rPr>
            </w:pPr>
            <w:r w:rsidRPr="00B30577">
              <w:rPr>
                <w:rFonts w:ascii="Arial" w:eastAsia="Times New Roman" w:hAnsi="Arial" w:cs="Arial"/>
                <w:b/>
                <w:bCs/>
                <w:color w:val="000000"/>
                <w:sz w:val="20"/>
                <w:lang w:eastAsia="es-CO"/>
              </w:rPr>
              <w:t>SECTOR</w:t>
            </w:r>
          </w:p>
        </w:tc>
        <w:tc>
          <w:tcPr>
            <w:tcW w:w="2131" w:type="dxa"/>
            <w:tcBorders>
              <w:top w:val="single" w:sz="4" w:space="0" w:color="auto"/>
              <w:left w:val="nil"/>
              <w:bottom w:val="single" w:sz="4" w:space="0" w:color="auto"/>
              <w:right w:val="single" w:sz="4" w:space="0" w:color="auto"/>
            </w:tcBorders>
            <w:shd w:val="clear" w:color="DCE6F1" w:fill="DCE6F1"/>
            <w:noWrap/>
            <w:vAlign w:val="bottom"/>
            <w:hideMark/>
          </w:tcPr>
          <w:p w:rsidR="00AE001B" w:rsidRPr="00B30577" w:rsidRDefault="00AE001B" w:rsidP="00E51EDD">
            <w:pPr>
              <w:spacing w:after="0" w:line="240" w:lineRule="auto"/>
              <w:jc w:val="center"/>
              <w:rPr>
                <w:rFonts w:ascii="Arial" w:eastAsia="Times New Roman" w:hAnsi="Arial" w:cs="Arial"/>
                <w:b/>
                <w:bCs/>
                <w:color w:val="000000"/>
                <w:sz w:val="20"/>
                <w:lang w:eastAsia="es-CO"/>
              </w:rPr>
            </w:pPr>
            <w:r w:rsidRPr="00B30577">
              <w:rPr>
                <w:rFonts w:ascii="Arial" w:eastAsia="Times New Roman" w:hAnsi="Arial" w:cs="Arial"/>
                <w:b/>
                <w:bCs/>
                <w:color w:val="000000"/>
                <w:sz w:val="20"/>
                <w:lang w:eastAsia="es-CO"/>
              </w:rPr>
              <w:t>VALOR SGR</w:t>
            </w:r>
          </w:p>
        </w:tc>
        <w:tc>
          <w:tcPr>
            <w:tcW w:w="1080" w:type="dxa"/>
            <w:tcBorders>
              <w:top w:val="single" w:sz="4" w:space="0" w:color="auto"/>
              <w:left w:val="nil"/>
              <w:bottom w:val="single" w:sz="4" w:space="0" w:color="auto"/>
              <w:right w:val="single" w:sz="4" w:space="0" w:color="auto"/>
            </w:tcBorders>
            <w:shd w:val="clear" w:color="DCE6F1" w:fill="DCE6F1"/>
            <w:noWrap/>
            <w:vAlign w:val="bottom"/>
            <w:hideMark/>
          </w:tcPr>
          <w:p w:rsidR="00AE001B" w:rsidRPr="00B30577" w:rsidRDefault="00AE001B" w:rsidP="00E51EDD">
            <w:pPr>
              <w:spacing w:after="0" w:line="240" w:lineRule="auto"/>
              <w:jc w:val="center"/>
              <w:rPr>
                <w:rFonts w:ascii="Arial" w:eastAsia="Times New Roman" w:hAnsi="Arial" w:cs="Arial"/>
                <w:b/>
                <w:bCs/>
                <w:color w:val="000000"/>
                <w:sz w:val="20"/>
                <w:lang w:eastAsia="es-CO"/>
              </w:rPr>
            </w:pPr>
            <w:r w:rsidRPr="00B30577">
              <w:rPr>
                <w:rFonts w:ascii="Arial" w:eastAsia="Times New Roman" w:hAnsi="Arial" w:cs="Arial"/>
                <w:b/>
                <w:bCs/>
                <w:color w:val="000000"/>
                <w:sz w:val="20"/>
                <w:lang w:eastAsia="es-CO"/>
              </w:rPr>
              <w:t>%</w:t>
            </w:r>
          </w:p>
        </w:tc>
      </w:tr>
      <w:tr w:rsidR="00AE001B" w:rsidRPr="00B30577" w:rsidTr="00E51EDD">
        <w:trPr>
          <w:trHeight w:val="255"/>
          <w:jc w:val="center"/>
        </w:trPr>
        <w:tc>
          <w:tcPr>
            <w:tcW w:w="4263"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20"/>
                <w:lang w:eastAsia="es-CO"/>
              </w:rPr>
            </w:pPr>
            <w:r w:rsidRPr="00B30577">
              <w:rPr>
                <w:rFonts w:ascii="Arial" w:eastAsia="Times New Roman" w:hAnsi="Arial" w:cs="Arial"/>
                <w:color w:val="000000"/>
                <w:sz w:val="20"/>
                <w:lang w:eastAsia="es-CO"/>
              </w:rPr>
              <w:t>TRANSPORTE</w:t>
            </w:r>
          </w:p>
        </w:tc>
        <w:tc>
          <w:tcPr>
            <w:tcW w:w="213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20"/>
                <w:lang w:eastAsia="es-CO"/>
              </w:rPr>
            </w:pPr>
            <w:r w:rsidRPr="00B30577">
              <w:rPr>
                <w:rFonts w:ascii="Arial" w:eastAsia="Times New Roman" w:hAnsi="Arial" w:cs="Arial"/>
                <w:color w:val="000000"/>
                <w:sz w:val="20"/>
                <w:lang w:eastAsia="es-CO"/>
              </w:rPr>
              <w:t>7.724.855.502.744</w:t>
            </w:r>
          </w:p>
        </w:tc>
        <w:tc>
          <w:tcPr>
            <w:tcW w:w="108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20"/>
                <w:lang w:eastAsia="es-CO"/>
              </w:rPr>
            </w:pPr>
            <w:r w:rsidRPr="00B30577">
              <w:rPr>
                <w:rFonts w:ascii="Arial" w:eastAsia="Times New Roman" w:hAnsi="Arial" w:cs="Arial"/>
                <w:color w:val="000000"/>
                <w:sz w:val="20"/>
                <w:lang w:eastAsia="es-CO"/>
              </w:rPr>
              <w:t>35%</w:t>
            </w:r>
          </w:p>
        </w:tc>
      </w:tr>
      <w:tr w:rsidR="00AE001B" w:rsidRPr="00B30577" w:rsidTr="00E51EDD">
        <w:trPr>
          <w:trHeight w:val="255"/>
          <w:jc w:val="center"/>
        </w:trPr>
        <w:tc>
          <w:tcPr>
            <w:tcW w:w="4263"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20"/>
                <w:lang w:eastAsia="es-CO"/>
              </w:rPr>
            </w:pPr>
            <w:r w:rsidRPr="00B30577">
              <w:rPr>
                <w:rFonts w:ascii="Arial" w:eastAsia="Times New Roman" w:hAnsi="Arial" w:cs="Arial"/>
                <w:color w:val="000000"/>
                <w:sz w:val="20"/>
                <w:lang w:eastAsia="es-CO"/>
              </w:rPr>
              <w:t>EDUCACIÓN</w:t>
            </w:r>
          </w:p>
        </w:tc>
        <w:tc>
          <w:tcPr>
            <w:tcW w:w="213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20"/>
                <w:lang w:eastAsia="es-CO"/>
              </w:rPr>
            </w:pPr>
            <w:r w:rsidRPr="00B30577">
              <w:rPr>
                <w:rFonts w:ascii="Arial" w:eastAsia="Times New Roman" w:hAnsi="Arial" w:cs="Arial"/>
                <w:color w:val="000000"/>
                <w:sz w:val="20"/>
                <w:lang w:eastAsia="es-CO"/>
              </w:rPr>
              <w:t>3.122.740.412.496</w:t>
            </w:r>
          </w:p>
        </w:tc>
        <w:tc>
          <w:tcPr>
            <w:tcW w:w="108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20"/>
                <w:lang w:eastAsia="es-CO"/>
              </w:rPr>
            </w:pPr>
            <w:r w:rsidRPr="00B30577">
              <w:rPr>
                <w:rFonts w:ascii="Arial" w:eastAsia="Times New Roman" w:hAnsi="Arial" w:cs="Arial"/>
                <w:color w:val="000000"/>
                <w:sz w:val="20"/>
                <w:lang w:eastAsia="es-CO"/>
              </w:rPr>
              <w:t>14%</w:t>
            </w:r>
          </w:p>
        </w:tc>
      </w:tr>
      <w:tr w:rsidR="00AE001B" w:rsidRPr="00B30577" w:rsidTr="00E51EDD">
        <w:trPr>
          <w:trHeight w:val="255"/>
          <w:jc w:val="center"/>
        </w:trPr>
        <w:tc>
          <w:tcPr>
            <w:tcW w:w="4263"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20"/>
                <w:lang w:eastAsia="es-CO"/>
              </w:rPr>
            </w:pPr>
            <w:r w:rsidRPr="00B30577">
              <w:rPr>
                <w:rFonts w:ascii="Arial" w:eastAsia="Times New Roman" w:hAnsi="Arial" w:cs="Arial"/>
                <w:color w:val="000000"/>
                <w:sz w:val="20"/>
                <w:lang w:eastAsia="es-CO"/>
              </w:rPr>
              <w:t>CIENCIA Y TECNOLOGÍA</w:t>
            </w:r>
          </w:p>
        </w:tc>
        <w:tc>
          <w:tcPr>
            <w:tcW w:w="213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20"/>
                <w:lang w:eastAsia="es-CO"/>
              </w:rPr>
            </w:pPr>
            <w:r w:rsidRPr="00B30577">
              <w:rPr>
                <w:rFonts w:ascii="Arial" w:eastAsia="Times New Roman" w:hAnsi="Arial" w:cs="Arial"/>
                <w:color w:val="000000"/>
                <w:sz w:val="20"/>
                <w:lang w:eastAsia="es-CO"/>
              </w:rPr>
              <w:t>2.399.839.773.405</w:t>
            </w:r>
          </w:p>
        </w:tc>
        <w:tc>
          <w:tcPr>
            <w:tcW w:w="108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20"/>
                <w:lang w:eastAsia="es-CO"/>
              </w:rPr>
            </w:pPr>
            <w:r w:rsidRPr="00B30577">
              <w:rPr>
                <w:rFonts w:ascii="Arial" w:eastAsia="Times New Roman" w:hAnsi="Arial" w:cs="Arial"/>
                <w:color w:val="000000"/>
                <w:sz w:val="20"/>
                <w:lang w:eastAsia="es-CO"/>
              </w:rPr>
              <w:t>11%</w:t>
            </w:r>
          </w:p>
        </w:tc>
      </w:tr>
      <w:tr w:rsidR="00AE001B" w:rsidRPr="00B30577" w:rsidTr="00E51EDD">
        <w:trPr>
          <w:trHeight w:val="255"/>
          <w:jc w:val="center"/>
        </w:trPr>
        <w:tc>
          <w:tcPr>
            <w:tcW w:w="4263"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20"/>
                <w:lang w:eastAsia="es-CO"/>
              </w:rPr>
            </w:pPr>
            <w:r w:rsidRPr="00B30577">
              <w:rPr>
                <w:rFonts w:ascii="Arial" w:eastAsia="Times New Roman" w:hAnsi="Arial" w:cs="Arial"/>
                <w:color w:val="000000"/>
                <w:sz w:val="20"/>
                <w:lang w:eastAsia="es-CO"/>
              </w:rPr>
              <w:t>AGUA POTABLE Y SANEAMIENTO BÁSICO</w:t>
            </w:r>
          </w:p>
        </w:tc>
        <w:tc>
          <w:tcPr>
            <w:tcW w:w="213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20"/>
                <w:lang w:eastAsia="es-CO"/>
              </w:rPr>
            </w:pPr>
            <w:r w:rsidRPr="00B30577">
              <w:rPr>
                <w:rFonts w:ascii="Arial" w:eastAsia="Times New Roman" w:hAnsi="Arial" w:cs="Arial"/>
                <w:color w:val="000000"/>
                <w:sz w:val="20"/>
                <w:lang w:eastAsia="es-CO"/>
              </w:rPr>
              <w:t>1.806.766.253.987</w:t>
            </w:r>
          </w:p>
        </w:tc>
        <w:tc>
          <w:tcPr>
            <w:tcW w:w="108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20"/>
                <w:lang w:eastAsia="es-CO"/>
              </w:rPr>
            </w:pPr>
            <w:r w:rsidRPr="00B30577">
              <w:rPr>
                <w:rFonts w:ascii="Arial" w:eastAsia="Times New Roman" w:hAnsi="Arial" w:cs="Arial"/>
                <w:color w:val="000000"/>
                <w:sz w:val="20"/>
                <w:lang w:eastAsia="es-CO"/>
              </w:rPr>
              <w:t>8,12%</w:t>
            </w:r>
          </w:p>
        </w:tc>
      </w:tr>
      <w:tr w:rsidR="00AE001B" w:rsidRPr="00B30577" w:rsidTr="00E51EDD">
        <w:trPr>
          <w:trHeight w:val="255"/>
          <w:jc w:val="center"/>
        </w:trPr>
        <w:tc>
          <w:tcPr>
            <w:tcW w:w="4263"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20"/>
                <w:lang w:eastAsia="es-CO"/>
              </w:rPr>
            </w:pPr>
            <w:r w:rsidRPr="00B30577">
              <w:rPr>
                <w:rFonts w:ascii="Arial" w:eastAsia="Times New Roman" w:hAnsi="Arial" w:cs="Arial"/>
                <w:color w:val="000000"/>
                <w:sz w:val="20"/>
                <w:lang w:eastAsia="es-CO"/>
              </w:rPr>
              <w:t>VIVIENDA</w:t>
            </w:r>
          </w:p>
        </w:tc>
        <w:tc>
          <w:tcPr>
            <w:tcW w:w="213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20"/>
                <w:lang w:eastAsia="es-CO"/>
              </w:rPr>
            </w:pPr>
            <w:r w:rsidRPr="00B30577">
              <w:rPr>
                <w:rFonts w:ascii="Arial" w:eastAsia="Times New Roman" w:hAnsi="Arial" w:cs="Arial"/>
                <w:color w:val="000000"/>
                <w:sz w:val="20"/>
                <w:lang w:eastAsia="es-CO"/>
              </w:rPr>
              <w:t>1.631.241.912.250</w:t>
            </w:r>
          </w:p>
        </w:tc>
        <w:tc>
          <w:tcPr>
            <w:tcW w:w="108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20"/>
                <w:lang w:eastAsia="es-CO"/>
              </w:rPr>
            </w:pPr>
            <w:r w:rsidRPr="00B30577">
              <w:rPr>
                <w:rFonts w:ascii="Arial" w:eastAsia="Times New Roman" w:hAnsi="Arial" w:cs="Arial"/>
                <w:color w:val="000000"/>
                <w:sz w:val="20"/>
                <w:lang w:eastAsia="es-CO"/>
              </w:rPr>
              <w:t>7,33%</w:t>
            </w:r>
          </w:p>
        </w:tc>
      </w:tr>
      <w:tr w:rsidR="00AE001B" w:rsidRPr="00B30577" w:rsidTr="00E51EDD">
        <w:trPr>
          <w:trHeight w:val="255"/>
          <w:jc w:val="center"/>
        </w:trPr>
        <w:tc>
          <w:tcPr>
            <w:tcW w:w="4263"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20"/>
                <w:lang w:eastAsia="es-CO"/>
              </w:rPr>
            </w:pPr>
            <w:r w:rsidRPr="00B30577">
              <w:rPr>
                <w:rFonts w:ascii="Arial" w:eastAsia="Times New Roman" w:hAnsi="Arial" w:cs="Arial"/>
                <w:color w:val="000000"/>
                <w:sz w:val="20"/>
                <w:lang w:eastAsia="es-CO"/>
              </w:rPr>
              <w:t>CULTURA, DEPORTE Y RECREACIÓN</w:t>
            </w:r>
          </w:p>
        </w:tc>
        <w:tc>
          <w:tcPr>
            <w:tcW w:w="213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20"/>
                <w:lang w:eastAsia="es-CO"/>
              </w:rPr>
            </w:pPr>
            <w:r w:rsidRPr="00B30577">
              <w:rPr>
                <w:rFonts w:ascii="Arial" w:eastAsia="Times New Roman" w:hAnsi="Arial" w:cs="Arial"/>
                <w:color w:val="000000"/>
                <w:sz w:val="20"/>
                <w:lang w:eastAsia="es-CO"/>
              </w:rPr>
              <w:t>1.336.149.376.426</w:t>
            </w:r>
          </w:p>
        </w:tc>
        <w:tc>
          <w:tcPr>
            <w:tcW w:w="108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20"/>
                <w:lang w:eastAsia="es-CO"/>
              </w:rPr>
            </w:pPr>
            <w:r w:rsidRPr="00B30577">
              <w:rPr>
                <w:rFonts w:ascii="Arial" w:eastAsia="Times New Roman" w:hAnsi="Arial" w:cs="Arial"/>
                <w:color w:val="000000"/>
                <w:sz w:val="20"/>
                <w:lang w:eastAsia="es-CO"/>
              </w:rPr>
              <w:t>6,00%</w:t>
            </w:r>
          </w:p>
        </w:tc>
      </w:tr>
      <w:tr w:rsidR="00AE001B" w:rsidRPr="00B30577" w:rsidTr="00E51EDD">
        <w:trPr>
          <w:trHeight w:val="255"/>
          <w:jc w:val="center"/>
        </w:trPr>
        <w:tc>
          <w:tcPr>
            <w:tcW w:w="4263"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20"/>
                <w:lang w:eastAsia="es-CO"/>
              </w:rPr>
            </w:pPr>
            <w:r w:rsidRPr="00B30577">
              <w:rPr>
                <w:rFonts w:ascii="Arial" w:eastAsia="Times New Roman" w:hAnsi="Arial" w:cs="Arial"/>
                <w:color w:val="000000"/>
                <w:sz w:val="20"/>
                <w:lang w:eastAsia="es-CO"/>
              </w:rPr>
              <w:t>SALUD Y PROTECCIÓN SOCIAL</w:t>
            </w:r>
          </w:p>
        </w:tc>
        <w:tc>
          <w:tcPr>
            <w:tcW w:w="213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20"/>
                <w:lang w:eastAsia="es-CO"/>
              </w:rPr>
            </w:pPr>
            <w:r w:rsidRPr="00B30577">
              <w:rPr>
                <w:rFonts w:ascii="Arial" w:eastAsia="Times New Roman" w:hAnsi="Arial" w:cs="Arial"/>
                <w:color w:val="000000"/>
                <w:sz w:val="20"/>
                <w:lang w:eastAsia="es-CO"/>
              </w:rPr>
              <w:t>889.882.545.281</w:t>
            </w:r>
          </w:p>
        </w:tc>
        <w:tc>
          <w:tcPr>
            <w:tcW w:w="108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20"/>
                <w:lang w:eastAsia="es-CO"/>
              </w:rPr>
            </w:pPr>
            <w:r w:rsidRPr="00B30577">
              <w:rPr>
                <w:rFonts w:ascii="Arial" w:eastAsia="Times New Roman" w:hAnsi="Arial" w:cs="Arial"/>
                <w:color w:val="000000"/>
                <w:sz w:val="20"/>
                <w:lang w:eastAsia="es-CO"/>
              </w:rPr>
              <w:t>4,00%</w:t>
            </w:r>
          </w:p>
        </w:tc>
      </w:tr>
      <w:tr w:rsidR="00AE001B" w:rsidRPr="00B30577" w:rsidTr="00E51EDD">
        <w:trPr>
          <w:trHeight w:val="255"/>
          <w:jc w:val="center"/>
        </w:trPr>
        <w:tc>
          <w:tcPr>
            <w:tcW w:w="426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AE001B" w:rsidRPr="00B30577" w:rsidRDefault="00AE001B" w:rsidP="00E51EDD">
            <w:pPr>
              <w:spacing w:after="0" w:line="240" w:lineRule="auto"/>
              <w:rPr>
                <w:rFonts w:ascii="Arial" w:eastAsia="Times New Roman" w:hAnsi="Arial" w:cs="Arial"/>
                <w:color w:val="000000"/>
                <w:sz w:val="20"/>
                <w:lang w:eastAsia="es-CO"/>
              </w:rPr>
            </w:pPr>
            <w:r w:rsidRPr="00B30577">
              <w:rPr>
                <w:rFonts w:ascii="Arial" w:eastAsia="Times New Roman" w:hAnsi="Arial" w:cs="Arial"/>
                <w:color w:val="000000"/>
                <w:sz w:val="20"/>
                <w:lang w:eastAsia="es-CO"/>
              </w:rPr>
              <w:t>AGRICULTURA</w:t>
            </w:r>
          </w:p>
        </w:tc>
        <w:tc>
          <w:tcPr>
            <w:tcW w:w="2131" w:type="dxa"/>
            <w:tcBorders>
              <w:top w:val="nil"/>
              <w:left w:val="nil"/>
              <w:bottom w:val="single" w:sz="4" w:space="0" w:color="auto"/>
              <w:right w:val="single" w:sz="4" w:space="0" w:color="auto"/>
            </w:tcBorders>
            <w:shd w:val="clear" w:color="auto" w:fill="FFFFFF" w:themeFill="background1"/>
            <w:noWrap/>
            <w:vAlign w:val="bottom"/>
            <w:hideMark/>
          </w:tcPr>
          <w:p w:rsidR="00AE001B" w:rsidRPr="00B30577" w:rsidRDefault="00AE001B" w:rsidP="00E51EDD">
            <w:pPr>
              <w:spacing w:after="0" w:line="240" w:lineRule="auto"/>
              <w:jc w:val="center"/>
              <w:rPr>
                <w:rFonts w:ascii="Arial" w:eastAsia="Times New Roman" w:hAnsi="Arial" w:cs="Arial"/>
                <w:color w:val="000000"/>
                <w:sz w:val="20"/>
                <w:lang w:eastAsia="es-CO"/>
              </w:rPr>
            </w:pPr>
            <w:r w:rsidRPr="00B30577">
              <w:rPr>
                <w:rFonts w:ascii="Arial" w:eastAsia="Times New Roman" w:hAnsi="Arial" w:cs="Arial"/>
                <w:color w:val="000000"/>
                <w:sz w:val="20"/>
                <w:lang w:eastAsia="es-CO"/>
              </w:rPr>
              <w:t>756.776.445.836</w:t>
            </w:r>
          </w:p>
        </w:tc>
        <w:tc>
          <w:tcPr>
            <w:tcW w:w="1080" w:type="dxa"/>
            <w:tcBorders>
              <w:top w:val="nil"/>
              <w:left w:val="nil"/>
              <w:bottom w:val="single" w:sz="4" w:space="0" w:color="auto"/>
              <w:right w:val="single" w:sz="4" w:space="0" w:color="auto"/>
            </w:tcBorders>
            <w:shd w:val="clear" w:color="auto" w:fill="FFFFFF" w:themeFill="background1"/>
            <w:noWrap/>
            <w:vAlign w:val="bottom"/>
            <w:hideMark/>
          </w:tcPr>
          <w:p w:rsidR="00AE001B" w:rsidRPr="00B30577" w:rsidRDefault="00AE001B" w:rsidP="00E51EDD">
            <w:pPr>
              <w:spacing w:after="0" w:line="240" w:lineRule="auto"/>
              <w:jc w:val="center"/>
              <w:rPr>
                <w:rFonts w:ascii="Arial" w:eastAsia="Times New Roman" w:hAnsi="Arial" w:cs="Arial"/>
                <w:color w:val="000000"/>
                <w:sz w:val="20"/>
                <w:lang w:eastAsia="es-CO"/>
              </w:rPr>
            </w:pPr>
            <w:r w:rsidRPr="00B30577">
              <w:rPr>
                <w:rFonts w:ascii="Arial" w:eastAsia="Times New Roman" w:hAnsi="Arial" w:cs="Arial"/>
                <w:color w:val="000000"/>
                <w:sz w:val="20"/>
                <w:lang w:eastAsia="es-CO"/>
              </w:rPr>
              <w:t>3,40%</w:t>
            </w:r>
          </w:p>
        </w:tc>
      </w:tr>
      <w:tr w:rsidR="00AE001B" w:rsidRPr="00B30577" w:rsidTr="00E51EDD">
        <w:trPr>
          <w:trHeight w:val="255"/>
          <w:jc w:val="center"/>
        </w:trPr>
        <w:tc>
          <w:tcPr>
            <w:tcW w:w="426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AE001B" w:rsidRPr="00B30577" w:rsidRDefault="00AE001B" w:rsidP="00E51EDD">
            <w:pPr>
              <w:spacing w:after="0" w:line="240" w:lineRule="auto"/>
              <w:rPr>
                <w:rFonts w:ascii="Arial" w:eastAsia="Times New Roman" w:hAnsi="Arial" w:cs="Arial"/>
                <w:color w:val="000000"/>
                <w:sz w:val="20"/>
                <w:lang w:eastAsia="es-CO"/>
              </w:rPr>
            </w:pPr>
            <w:r w:rsidRPr="00B30577">
              <w:rPr>
                <w:rFonts w:ascii="Arial" w:eastAsia="Times New Roman" w:hAnsi="Arial" w:cs="Arial"/>
                <w:color w:val="000000"/>
                <w:sz w:val="20"/>
                <w:lang w:eastAsia="es-CO"/>
              </w:rPr>
              <w:t>AMBIENTE Y DESARROLLO SOSTENIBLE</w:t>
            </w:r>
          </w:p>
        </w:tc>
        <w:tc>
          <w:tcPr>
            <w:tcW w:w="2131" w:type="dxa"/>
            <w:tcBorders>
              <w:top w:val="nil"/>
              <w:left w:val="nil"/>
              <w:bottom w:val="single" w:sz="4" w:space="0" w:color="auto"/>
              <w:right w:val="single" w:sz="4" w:space="0" w:color="auto"/>
            </w:tcBorders>
            <w:shd w:val="clear" w:color="auto" w:fill="FFFFFF" w:themeFill="background1"/>
            <w:noWrap/>
            <w:vAlign w:val="bottom"/>
            <w:hideMark/>
          </w:tcPr>
          <w:p w:rsidR="00AE001B" w:rsidRPr="00B30577" w:rsidRDefault="00AE001B" w:rsidP="00E51EDD">
            <w:pPr>
              <w:spacing w:after="0" w:line="240" w:lineRule="auto"/>
              <w:jc w:val="center"/>
              <w:rPr>
                <w:rFonts w:ascii="Arial" w:eastAsia="Times New Roman" w:hAnsi="Arial" w:cs="Arial"/>
                <w:color w:val="000000"/>
                <w:sz w:val="20"/>
                <w:lang w:eastAsia="es-CO"/>
              </w:rPr>
            </w:pPr>
            <w:r w:rsidRPr="00B30577">
              <w:rPr>
                <w:rFonts w:ascii="Arial" w:eastAsia="Times New Roman" w:hAnsi="Arial" w:cs="Arial"/>
                <w:color w:val="000000"/>
                <w:sz w:val="20"/>
                <w:lang w:eastAsia="es-CO"/>
              </w:rPr>
              <w:t>742.423.712.032</w:t>
            </w:r>
          </w:p>
        </w:tc>
        <w:tc>
          <w:tcPr>
            <w:tcW w:w="1080" w:type="dxa"/>
            <w:tcBorders>
              <w:top w:val="nil"/>
              <w:left w:val="nil"/>
              <w:bottom w:val="single" w:sz="4" w:space="0" w:color="auto"/>
              <w:right w:val="single" w:sz="4" w:space="0" w:color="auto"/>
            </w:tcBorders>
            <w:shd w:val="clear" w:color="auto" w:fill="FFFFFF" w:themeFill="background1"/>
            <w:noWrap/>
            <w:vAlign w:val="bottom"/>
            <w:hideMark/>
          </w:tcPr>
          <w:p w:rsidR="00AE001B" w:rsidRPr="00B30577" w:rsidRDefault="00AE001B" w:rsidP="00E51EDD">
            <w:pPr>
              <w:spacing w:after="0" w:line="240" w:lineRule="auto"/>
              <w:jc w:val="center"/>
              <w:rPr>
                <w:rFonts w:ascii="Arial" w:eastAsia="Times New Roman" w:hAnsi="Arial" w:cs="Arial"/>
                <w:color w:val="000000"/>
                <w:sz w:val="20"/>
                <w:lang w:eastAsia="es-CO"/>
              </w:rPr>
            </w:pPr>
            <w:r w:rsidRPr="00B30577">
              <w:rPr>
                <w:rFonts w:ascii="Arial" w:eastAsia="Times New Roman" w:hAnsi="Arial" w:cs="Arial"/>
                <w:color w:val="000000"/>
                <w:sz w:val="20"/>
                <w:lang w:eastAsia="es-CO"/>
              </w:rPr>
              <w:t>3,33%</w:t>
            </w:r>
          </w:p>
        </w:tc>
      </w:tr>
      <w:tr w:rsidR="00AE001B" w:rsidRPr="00B30577" w:rsidTr="00E51EDD">
        <w:trPr>
          <w:trHeight w:val="255"/>
          <w:jc w:val="center"/>
        </w:trPr>
        <w:tc>
          <w:tcPr>
            <w:tcW w:w="426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AE001B" w:rsidRPr="00B30577" w:rsidRDefault="00AE001B" w:rsidP="00E51EDD">
            <w:pPr>
              <w:spacing w:after="0" w:line="240" w:lineRule="auto"/>
              <w:rPr>
                <w:rFonts w:ascii="Arial" w:eastAsia="Times New Roman" w:hAnsi="Arial" w:cs="Arial"/>
                <w:color w:val="000000"/>
                <w:sz w:val="20"/>
                <w:lang w:eastAsia="es-CO"/>
              </w:rPr>
            </w:pPr>
            <w:r w:rsidRPr="00B30577">
              <w:rPr>
                <w:rFonts w:ascii="Arial" w:eastAsia="Times New Roman" w:hAnsi="Arial" w:cs="Arial"/>
                <w:color w:val="000000"/>
                <w:sz w:val="20"/>
                <w:lang w:eastAsia="es-CO"/>
              </w:rPr>
              <w:t>MINAS Y ENERGÍA</w:t>
            </w:r>
          </w:p>
        </w:tc>
        <w:tc>
          <w:tcPr>
            <w:tcW w:w="2131" w:type="dxa"/>
            <w:tcBorders>
              <w:top w:val="nil"/>
              <w:left w:val="nil"/>
              <w:bottom w:val="single" w:sz="4" w:space="0" w:color="auto"/>
              <w:right w:val="single" w:sz="4" w:space="0" w:color="auto"/>
            </w:tcBorders>
            <w:shd w:val="clear" w:color="auto" w:fill="FFFFFF" w:themeFill="background1"/>
            <w:noWrap/>
            <w:vAlign w:val="bottom"/>
            <w:hideMark/>
          </w:tcPr>
          <w:p w:rsidR="00AE001B" w:rsidRPr="00B30577" w:rsidRDefault="00AE001B" w:rsidP="00E51EDD">
            <w:pPr>
              <w:spacing w:after="0" w:line="240" w:lineRule="auto"/>
              <w:jc w:val="center"/>
              <w:rPr>
                <w:rFonts w:ascii="Arial" w:eastAsia="Times New Roman" w:hAnsi="Arial" w:cs="Arial"/>
                <w:color w:val="000000"/>
                <w:sz w:val="20"/>
                <w:lang w:eastAsia="es-CO"/>
              </w:rPr>
            </w:pPr>
            <w:r w:rsidRPr="00B30577">
              <w:rPr>
                <w:rFonts w:ascii="Arial" w:eastAsia="Times New Roman" w:hAnsi="Arial" w:cs="Arial"/>
                <w:color w:val="000000"/>
                <w:sz w:val="20"/>
                <w:lang w:eastAsia="es-CO"/>
              </w:rPr>
              <w:t>596.125.583.899</w:t>
            </w:r>
          </w:p>
        </w:tc>
        <w:tc>
          <w:tcPr>
            <w:tcW w:w="1080" w:type="dxa"/>
            <w:tcBorders>
              <w:top w:val="nil"/>
              <w:left w:val="nil"/>
              <w:bottom w:val="single" w:sz="4" w:space="0" w:color="auto"/>
              <w:right w:val="single" w:sz="4" w:space="0" w:color="auto"/>
            </w:tcBorders>
            <w:shd w:val="clear" w:color="auto" w:fill="FFFFFF" w:themeFill="background1"/>
            <w:noWrap/>
            <w:vAlign w:val="bottom"/>
            <w:hideMark/>
          </w:tcPr>
          <w:p w:rsidR="00AE001B" w:rsidRPr="00B30577" w:rsidRDefault="00AE001B" w:rsidP="00E51EDD">
            <w:pPr>
              <w:spacing w:after="0" w:line="240" w:lineRule="auto"/>
              <w:jc w:val="center"/>
              <w:rPr>
                <w:rFonts w:ascii="Arial" w:eastAsia="Times New Roman" w:hAnsi="Arial" w:cs="Arial"/>
                <w:color w:val="000000"/>
                <w:sz w:val="20"/>
                <w:lang w:eastAsia="es-CO"/>
              </w:rPr>
            </w:pPr>
            <w:r w:rsidRPr="00B30577">
              <w:rPr>
                <w:rFonts w:ascii="Arial" w:eastAsia="Times New Roman" w:hAnsi="Arial" w:cs="Arial"/>
                <w:color w:val="000000"/>
                <w:sz w:val="20"/>
                <w:lang w:eastAsia="es-CO"/>
              </w:rPr>
              <w:t>2,68%</w:t>
            </w:r>
          </w:p>
        </w:tc>
      </w:tr>
      <w:tr w:rsidR="00AE001B" w:rsidRPr="00B30577" w:rsidTr="00E51EDD">
        <w:trPr>
          <w:trHeight w:val="255"/>
          <w:jc w:val="center"/>
        </w:trPr>
        <w:tc>
          <w:tcPr>
            <w:tcW w:w="426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AE001B" w:rsidRPr="00B30577" w:rsidRDefault="00AE001B" w:rsidP="00E51EDD">
            <w:pPr>
              <w:spacing w:after="0" w:line="240" w:lineRule="auto"/>
              <w:rPr>
                <w:rFonts w:ascii="Arial" w:eastAsia="Times New Roman" w:hAnsi="Arial" w:cs="Arial"/>
                <w:color w:val="000000"/>
                <w:sz w:val="20"/>
                <w:lang w:eastAsia="es-CO"/>
              </w:rPr>
            </w:pPr>
            <w:r w:rsidRPr="00B30577">
              <w:rPr>
                <w:rFonts w:ascii="Arial" w:eastAsia="Times New Roman" w:hAnsi="Arial" w:cs="Arial"/>
                <w:color w:val="000000"/>
                <w:sz w:val="20"/>
                <w:lang w:eastAsia="es-CO"/>
              </w:rPr>
              <w:t xml:space="preserve">INCLUSIÓN SOCIAL Y RECONCILIACIÓN </w:t>
            </w:r>
          </w:p>
        </w:tc>
        <w:tc>
          <w:tcPr>
            <w:tcW w:w="2131" w:type="dxa"/>
            <w:tcBorders>
              <w:top w:val="nil"/>
              <w:left w:val="nil"/>
              <w:bottom w:val="single" w:sz="4" w:space="0" w:color="auto"/>
              <w:right w:val="single" w:sz="4" w:space="0" w:color="auto"/>
            </w:tcBorders>
            <w:shd w:val="clear" w:color="auto" w:fill="FFFFFF" w:themeFill="background1"/>
            <w:noWrap/>
            <w:vAlign w:val="bottom"/>
            <w:hideMark/>
          </w:tcPr>
          <w:p w:rsidR="00AE001B" w:rsidRPr="00B30577" w:rsidRDefault="00AE001B" w:rsidP="00E51EDD">
            <w:pPr>
              <w:spacing w:after="0" w:line="240" w:lineRule="auto"/>
              <w:jc w:val="center"/>
              <w:rPr>
                <w:rFonts w:ascii="Arial" w:eastAsia="Times New Roman" w:hAnsi="Arial" w:cs="Arial"/>
                <w:color w:val="000000"/>
                <w:sz w:val="20"/>
                <w:lang w:eastAsia="es-CO"/>
              </w:rPr>
            </w:pPr>
            <w:r w:rsidRPr="00B30577">
              <w:rPr>
                <w:rFonts w:ascii="Arial" w:eastAsia="Times New Roman" w:hAnsi="Arial" w:cs="Arial"/>
                <w:color w:val="000000"/>
                <w:sz w:val="20"/>
                <w:lang w:eastAsia="es-CO"/>
              </w:rPr>
              <w:t>585.609.587.047</w:t>
            </w:r>
          </w:p>
        </w:tc>
        <w:tc>
          <w:tcPr>
            <w:tcW w:w="1080" w:type="dxa"/>
            <w:tcBorders>
              <w:top w:val="nil"/>
              <w:left w:val="nil"/>
              <w:bottom w:val="single" w:sz="4" w:space="0" w:color="auto"/>
              <w:right w:val="single" w:sz="4" w:space="0" w:color="auto"/>
            </w:tcBorders>
            <w:shd w:val="clear" w:color="auto" w:fill="FFFFFF" w:themeFill="background1"/>
            <w:noWrap/>
            <w:vAlign w:val="bottom"/>
            <w:hideMark/>
          </w:tcPr>
          <w:p w:rsidR="00AE001B" w:rsidRPr="00B30577" w:rsidRDefault="00AE001B" w:rsidP="00E51EDD">
            <w:pPr>
              <w:spacing w:after="0" w:line="240" w:lineRule="auto"/>
              <w:jc w:val="center"/>
              <w:rPr>
                <w:rFonts w:ascii="Arial" w:eastAsia="Times New Roman" w:hAnsi="Arial" w:cs="Arial"/>
                <w:color w:val="000000"/>
                <w:sz w:val="20"/>
                <w:lang w:eastAsia="es-CO"/>
              </w:rPr>
            </w:pPr>
            <w:r w:rsidRPr="00B30577">
              <w:rPr>
                <w:rFonts w:ascii="Arial" w:eastAsia="Times New Roman" w:hAnsi="Arial" w:cs="Arial"/>
                <w:color w:val="000000"/>
                <w:sz w:val="20"/>
                <w:lang w:eastAsia="es-CO"/>
              </w:rPr>
              <w:t>2,63%</w:t>
            </w:r>
          </w:p>
        </w:tc>
      </w:tr>
      <w:tr w:rsidR="00AE001B" w:rsidRPr="00B30577" w:rsidTr="00E51EDD">
        <w:trPr>
          <w:trHeight w:val="255"/>
          <w:jc w:val="center"/>
        </w:trPr>
        <w:tc>
          <w:tcPr>
            <w:tcW w:w="426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AE001B" w:rsidRPr="00B30577" w:rsidRDefault="00AE001B" w:rsidP="00E51EDD">
            <w:pPr>
              <w:spacing w:after="0" w:line="240" w:lineRule="auto"/>
              <w:rPr>
                <w:rFonts w:ascii="Arial" w:eastAsia="Times New Roman" w:hAnsi="Arial" w:cs="Arial"/>
                <w:color w:val="000000"/>
                <w:sz w:val="20"/>
                <w:lang w:eastAsia="es-CO"/>
              </w:rPr>
            </w:pPr>
            <w:r w:rsidRPr="00B30577">
              <w:rPr>
                <w:rFonts w:ascii="Arial" w:eastAsia="Times New Roman" w:hAnsi="Arial" w:cs="Arial"/>
                <w:color w:val="000000"/>
                <w:sz w:val="20"/>
                <w:lang w:eastAsia="es-CO"/>
              </w:rPr>
              <w:t>COMERCIO, INDUSTRIA Y TURISMO</w:t>
            </w:r>
          </w:p>
        </w:tc>
        <w:tc>
          <w:tcPr>
            <w:tcW w:w="2131" w:type="dxa"/>
            <w:tcBorders>
              <w:top w:val="nil"/>
              <w:left w:val="nil"/>
              <w:bottom w:val="single" w:sz="4" w:space="0" w:color="auto"/>
              <w:right w:val="single" w:sz="4" w:space="0" w:color="auto"/>
            </w:tcBorders>
            <w:shd w:val="clear" w:color="auto" w:fill="FFFFFF" w:themeFill="background1"/>
            <w:noWrap/>
            <w:vAlign w:val="bottom"/>
            <w:hideMark/>
          </w:tcPr>
          <w:p w:rsidR="00AE001B" w:rsidRPr="00B30577" w:rsidRDefault="00AE001B" w:rsidP="00E51EDD">
            <w:pPr>
              <w:spacing w:after="0" w:line="240" w:lineRule="auto"/>
              <w:jc w:val="center"/>
              <w:rPr>
                <w:rFonts w:ascii="Arial" w:eastAsia="Times New Roman" w:hAnsi="Arial" w:cs="Arial"/>
                <w:color w:val="000000"/>
                <w:sz w:val="20"/>
                <w:lang w:eastAsia="es-CO"/>
              </w:rPr>
            </w:pPr>
            <w:r w:rsidRPr="00B30577">
              <w:rPr>
                <w:rFonts w:ascii="Arial" w:eastAsia="Times New Roman" w:hAnsi="Arial" w:cs="Arial"/>
                <w:color w:val="000000"/>
                <w:sz w:val="20"/>
                <w:lang w:eastAsia="es-CO"/>
              </w:rPr>
              <w:t>270.911.430.525</w:t>
            </w:r>
          </w:p>
        </w:tc>
        <w:tc>
          <w:tcPr>
            <w:tcW w:w="1080" w:type="dxa"/>
            <w:tcBorders>
              <w:top w:val="nil"/>
              <w:left w:val="nil"/>
              <w:bottom w:val="single" w:sz="4" w:space="0" w:color="auto"/>
              <w:right w:val="single" w:sz="4" w:space="0" w:color="auto"/>
            </w:tcBorders>
            <w:shd w:val="clear" w:color="auto" w:fill="FFFFFF" w:themeFill="background1"/>
            <w:noWrap/>
            <w:vAlign w:val="bottom"/>
            <w:hideMark/>
          </w:tcPr>
          <w:p w:rsidR="00AE001B" w:rsidRPr="00B30577" w:rsidRDefault="00AE001B" w:rsidP="00E51EDD">
            <w:pPr>
              <w:spacing w:after="0" w:line="240" w:lineRule="auto"/>
              <w:jc w:val="center"/>
              <w:rPr>
                <w:rFonts w:ascii="Arial" w:eastAsia="Times New Roman" w:hAnsi="Arial" w:cs="Arial"/>
                <w:color w:val="000000"/>
                <w:sz w:val="20"/>
                <w:lang w:eastAsia="es-CO"/>
              </w:rPr>
            </w:pPr>
            <w:r w:rsidRPr="00B30577">
              <w:rPr>
                <w:rFonts w:ascii="Arial" w:eastAsia="Times New Roman" w:hAnsi="Arial" w:cs="Arial"/>
                <w:color w:val="000000"/>
                <w:sz w:val="20"/>
                <w:lang w:eastAsia="es-CO"/>
              </w:rPr>
              <w:t>1,22%</w:t>
            </w:r>
          </w:p>
        </w:tc>
      </w:tr>
      <w:tr w:rsidR="00AE001B" w:rsidRPr="00B30577" w:rsidTr="00E51EDD">
        <w:trPr>
          <w:trHeight w:val="255"/>
          <w:jc w:val="center"/>
        </w:trPr>
        <w:tc>
          <w:tcPr>
            <w:tcW w:w="426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AE001B" w:rsidRPr="00B30577" w:rsidRDefault="00AE001B" w:rsidP="00E51EDD">
            <w:pPr>
              <w:spacing w:after="0" w:line="240" w:lineRule="auto"/>
              <w:rPr>
                <w:rFonts w:ascii="Arial" w:eastAsia="Times New Roman" w:hAnsi="Arial" w:cs="Arial"/>
                <w:color w:val="000000"/>
                <w:sz w:val="20"/>
                <w:lang w:eastAsia="es-CO"/>
              </w:rPr>
            </w:pPr>
            <w:r w:rsidRPr="00B30577">
              <w:rPr>
                <w:rFonts w:ascii="Arial" w:eastAsia="Times New Roman" w:hAnsi="Arial" w:cs="Arial"/>
                <w:color w:val="000000"/>
                <w:sz w:val="20"/>
                <w:lang w:eastAsia="es-CO"/>
              </w:rPr>
              <w:t>PLANEACIÓN</w:t>
            </w:r>
          </w:p>
        </w:tc>
        <w:tc>
          <w:tcPr>
            <w:tcW w:w="2131" w:type="dxa"/>
            <w:tcBorders>
              <w:top w:val="nil"/>
              <w:left w:val="nil"/>
              <w:bottom w:val="single" w:sz="4" w:space="0" w:color="auto"/>
              <w:right w:val="single" w:sz="4" w:space="0" w:color="auto"/>
            </w:tcBorders>
            <w:shd w:val="clear" w:color="auto" w:fill="FFFFFF" w:themeFill="background1"/>
            <w:noWrap/>
            <w:vAlign w:val="bottom"/>
            <w:hideMark/>
          </w:tcPr>
          <w:p w:rsidR="00AE001B" w:rsidRPr="00B30577" w:rsidRDefault="00AE001B" w:rsidP="00E51EDD">
            <w:pPr>
              <w:spacing w:after="0" w:line="240" w:lineRule="auto"/>
              <w:jc w:val="center"/>
              <w:rPr>
                <w:rFonts w:ascii="Arial" w:eastAsia="Times New Roman" w:hAnsi="Arial" w:cs="Arial"/>
                <w:color w:val="000000"/>
                <w:sz w:val="20"/>
                <w:lang w:eastAsia="es-CO"/>
              </w:rPr>
            </w:pPr>
            <w:r w:rsidRPr="00B30577">
              <w:rPr>
                <w:rFonts w:ascii="Arial" w:eastAsia="Times New Roman" w:hAnsi="Arial" w:cs="Arial"/>
                <w:color w:val="000000"/>
                <w:sz w:val="20"/>
                <w:lang w:eastAsia="es-CO"/>
              </w:rPr>
              <w:t>168.063.000.285</w:t>
            </w:r>
          </w:p>
        </w:tc>
        <w:tc>
          <w:tcPr>
            <w:tcW w:w="1080" w:type="dxa"/>
            <w:tcBorders>
              <w:top w:val="nil"/>
              <w:left w:val="nil"/>
              <w:bottom w:val="single" w:sz="4" w:space="0" w:color="auto"/>
              <w:right w:val="single" w:sz="4" w:space="0" w:color="auto"/>
            </w:tcBorders>
            <w:shd w:val="clear" w:color="auto" w:fill="FFFFFF" w:themeFill="background1"/>
            <w:noWrap/>
            <w:vAlign w:val="bottom"/>
            <w:hideMark/>
          </w:tcPr>
          <w:p w:rsidR="00AE001B" w:rsidRPr="00B30577" w:rsidRDefault="00AE001B" w:rsidP="00E51EDD">
            <w:pPr>
              <w:spacing w:after="0" w:line="240" w:lineRule="auto"/>
              <w:jc w:val="center"/>
              <w:rPr>
                <w:rFonts w:ascii="Arial" w:eastAsia="Times New Roman" w:hAnsi="Arial" w:cs="Arial"/>
                <w:color w:val="000000"/>
                <w:sz w:val="20"/>
                <w:lang w:eastAsia="es-CO"/>
              </w:rPr>
            </w:pPr>
            <w:r w:rsidRPr="00B30577">
              <w:rPr>
                <w:rFonts w:ascii="Arial" w:eastAsia="Times New Roman" w:hAnsi="Arial" w:cs="Arial"/>
                <w:color w:val="000000"/>
                <w:sz w:val="20"/>
                <w:lang w:eastAsia="es-CO"/>
              </w:rPr>
              <w:t>0,75%</w:t>
            </w:r>
          </w:p>
        </w:tc>
      </w:tr>
      <w:tr w:rsidR="00AE001B" w:rsidRPr="00B30577" w:rsidTr="00E51EDD">
        <w:trPr>
          <w:trHeight w:val="255"/>
          <w:jc w:val="center"/>
        </w:trPr>
        <w:tc>
          <w:tcPr>
            <w:tcW w:w="426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AE001B" w:rsidRPr="00B30577" w:rsidRDefault="00AE001B" w:rsidP="00E51EDD">
            <w:pPr>
              <w:spacing w:after="0" w:line="240" w:lineRule="auto"/>
              <w:rPr>
                <w:rFonts w:ascii="Arial" w:eastAsia="Times New Roman" w:hAnsi="Arial" w:cs="Arial"/>
                <w:color w:val="000000"/>
                <w:sz w:val="20"/>
                <w:lang w:eastAsia="es-CO"/>
              </w:rPr>
            </w:pPr>
            <w:r w:rsidRPr="00B30577">
              <w:rPr>
                <w:rFonts w:ascii="Arial" w:eastAsia="Times New Roman" w:hAnsi="Arial" w:cs="Arial"/>
                <w:color w:val="000000"/>
                <w:sz w:val="20"/>
                <w:lang w:eastAsia="es-CO"/>
              </w:rPr>
              <w:t>JUSTICIA Y DEL DERECHO</w:t>
            </w:r>
          </w:p>
        </w:tc>
        <w:tc>
          <w:tcPr>
            <w:tcW w:w="2131" w:type="dxa"/>
            <w:tcBorders>
              <w:top w:val="nil"/>
              <w:left w:val="nil"/>
              <w:bottom w:val="single" w:sz="4" w:space="0" w:color="auto"/>
              <w:right w:val="single" w:sz="4" w:space="0" w:color="auto"/>
            </w:tcBorders>
            <w:shd w:val="clear" w:color="auto" w:fill="FFFFFF" w:themeFill="background1"/>
            <w:noWrap/>
            <w:vAlign w:val="bottom"/>
            <w:hideMark/>
          </w:tcPr>
          <w:p w:rsidR="00AE001B" w:rsidRPr="00B30577" w:rsidRDefault="00AE001B" w:rsidP="00E51EDD">
            <w:pPr>
              <w:spacing w:after="0" w:line="240" w:lineRule="auto"/>
              <w:jc w:val="center"/>
              <w:rPr>
                <w:rFonts w:ascii="Arial" w:eastAsia="Times New Roman" w:hAnsi="Arial" w:cs="Arial"/>
                <w:color w:val="000000"/>
                <w:sz w:val="20"/>
                <w:lang w:eastAsia="es-CO"/>
              </w:rPr>
            </w:pPr>
            <w:r w:rsidRPr="00B30577">
              <w:rPr>
                <w:rFonts w:ascii="Arial" w:eastAsia="Times New Roman" w:hAnsi="Arial" w:cs="Arial"/>
                <w:color w:val="000000"/>
                <w:sz w:val="20"/>
                <w:lang w:eastAsia="es-CO"/>
              </w:rPr>
              <w:t>60.667.993.249</w:t>
            </w:r>
          </w:p>
        </w:tc>
        <w:tc>
          <w:tcPr>
            <w:tcW w:w="1080" w:type="dxa"/>
            <w:tcBorders>
              <w:top w:val="nil"/>
              <w:left w:val="nil"/>
              <w:bottom w:val="single" w:sz="4" w:space="0" w:color="auto"/>
              <w:right w:val="single" w:sz="4" w:space="0" w:color="auto"/>
            </w:tcBorders>
            <w:shd w:val="clear" w:color="auto" w:fill="FFFFFF" w:themeFill="background1"/>
            <w:noWrap/>
            <w:vAlign w:val="bottom"/>
            <w:hideMark/>
          </w:tcPr>
          <w:p w:rsidR="00AE001B" w:rsidRPr="00B30577" w:rsidRDefault="00AE001B" w:rsidP="00E51EDD">
            <w:pPr>
              <w:spacing w:after="0" w:line="240" w:lineRule="auto"/>
              <w:jc w:val="center"/>
              <w:rPr>
                <w:rFonts w:ascii="Arial" w:eastAsia="Times New Roman" w:hAnsi="Arial" w:cs="Arial"/>
                <w:color w:val="000000"/>
                <w:sz w:val="20"/>
                <w:lang w:eastAsia="es-CO"/>
              </w:rPr>
            </w:pPr>
            <w:r w:rsidRPr="00B30577">
              <w:rPr>
                <w:rFonts w:ascii="Arial" w:eastAsia="Times New Roman" w:hAnsi="Arial" w:cs="Arial"/>
                <w:color w:val="000000"/>
                <w:sz w:val="20"/>
                <w:lang w:eastAsia="es-CO"/>
              </w:rPr>
              <w:t>0,27%</w:t>
            </w:r>
          </w:p>
        </w:tc>
      </w:tr>
      <w:tr w:rsidR="00AE001B" w:rsidRPr="00B30577" w:rsidTr="00E51EDD">
        <w:trPr>
          <w:trHeight w:val="255"/>
          <w:jc w:val="center"/>
        </w:trPr>
        <w:tc>
          <w:tcPr>
            <w:tcW w:w="4263"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20"/>
                <w:lang w:eastAsia="es-CO"/>
              </w:rPr>
            </w:pPr>
            <w:r w:rsidRPr="00B30577">
              <w:rPr>
                <w:rFonts w:ascii="Arial" w:eastAsia="Times New Roman" w:hAnsi="Arial" w:cs="Arial"/>
                <w:color w:val="000000"/>
                <w:sz w:val="20"/>
                <w:lang w:eastAsia="es-CO"/>
              </w:rPr>
              <w:t>INTERIOR</w:t>
            </w:r>
          </w:p>
        </w:tc>
        <w:tc>
          <w:tcPr>
            <w:tcW w:w="213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20"/>
                <w:lang w:eastAsia="es-CO"/>
              </w:rPr>
            </w:pPr>
            <w:r w:rsidRPr="00B30577">
              <w:rPr>
                <w:rFonts w:ascii="Arial" w:eastAsia="Times New Roman" w:hAnsi="Arial" w:cs="Arial"/>
                <w:color w:val="000000"/>
                <w:sz w:val="20"/>
                <w:lang w:eastAsia="es-CO"/>
              </w:rPr>
              <w:t>55.739.931.894</w:t>
            </w:r>
          </w:p>
        </w:tc>
        <w:tc>
          <w:tcPr>
            <w:tcW w:w="108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20"/>
                <w:lang w:eastAsia="es-CO"/>
              </w:rPr>
            </w:pPr>
            <w:r w:rsidRPr="00B30577">
              <w:rPr>
                <w:rFonts w:ascii="Arial" w:eastAsia="Times New Roman" w:hAnsi="Arial" w:cs="Arial"/>
                <w:color w:val="000000"/>
                <w:sz w:val="20"/>
                <w:lang w:eastAsia="es-CO"/>
              </w:rPr>
              <w:t>0,25%</w:t>
            </w:r>
          </w:p>
        </w:tc>
      </w:tr>
      <w:tr w:rsidR="00AE001B" w:rsidRPr="00B30577" w:rsidTr="00E51EDD">
        <w:trPr>
          <w:trHeight w:val="255"/>
          <w:jc w:val="center"/>
        </w:trPr>
        <w:tc>
          <w:tcPr>
            <w:tcW w:w="4263"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20"/>
                <w:lang w:eastAsia="es-CO"/>
              </w:rPr>
            </w:pPr>
            <w:r w:rsidRPr="00B30577">
              <w:rPr>
                <w:rFonts w:ascii="Arial" w:eastAsia="Times New Roman" w:hAnsi="Arial" w:cs="Arial"/>
                <w:color w:val="000000"/>
                <w:sz w:val="20"/>
                <w:lang w:eastAsia="es-CO"/>
              </w:rPr>
              <w:t>DEFENSA</w:t>
            </w:r>
          </w:p>
        </w:tc>
        <w:tc>
          <w:tcPr>
            <w:tcW w:w="213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20"/>
                <w:lang w:eastAsia="es-CO"/>
              </w:rPr>
            </w:pPr>
            <w:r w:rsidRPr="00B30577">
              <w:rPr>
                <w:rFonts w:ascii="Arial" w:eastAsia="Times New Roman" w:hAnsi="Arial" w:cs="Arial"/>
                <w:color w:val="000000"/>
                <w:sz w:val="20"/>
                <w:lang w:eastAsia="es-CO"/>
              </w:rPr>
              <w:t>42.454.431.459</w:t>
            </w:r>
          </w:p>
        </w:tc>
        <w:tc>
          <w:tcPr>
            <w:tcW w:w="108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20"/>
                <w:lang w:eastAsia="es-CO"/>
              </w:rPr>
            </w:pPr>
            <w:r w:rsidRPr="00B30577">
              <w:rPr>
                <w:rFonts w:ascii="Arial" w:eastAsia="Times New Roman" w:hAnsi="Arial" w:cs="Arial"/>
                <w:color w:val="000000"/>
                <w:sz w:val="20"/>
                <w:lang w:eastAsia="es-CO"/>
              </w:rPr>
              <w:t>0,19%</w:t>
            </w:r>
          </w:p>
        </w:tc>
      </w:tr>
      <w:tr w:rsidR="00AE001B" w:rsidRPr="00B30577" w:rsidTr="00E51EDD">
        <w:trPr>
          <w:trHeight w:val="255"/>
          <w:jc w:val="center"/>
        </w:trPr>
        <w:tc>
          <w:tcPr>
            <w:tcW w:w="4263"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20"/>
                <w:lang w:eastAsia="es-CO"/>
              </w:rPr>
            </w:pPr>
            <w:r w:rsidRPr="00B30577">
              <w:rPr>
                <w:rFonts w:ascii="Arial" w:eastAsia="Times New Roman" w:hAnsi="Arial" w:cs="Arial"/>
                <w:color w:val="000000"/>
                <w:sz w:val="20"/>
                <w:lang w:eastAsia="es-CO"/>
              </w:rPr>
              <w:t>TRABAJO</w:t>
            </w:r>
          </w:p>
        </w:tc>
        <w:tc>
          <w:tcPr>
            <w:tcW w:w="213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20"/>
                <w:lang w:eastAsia="es-CO"/>
              </w:rPr>
            </w:pPr>
            <w:r w:rsidRPr="00B30577">
              <w:rPr>
                <w:rFonts w:ascii="Arial" w:eastAsia="Times New Roman" w:hAnsi="Arial" w:cs="Arial"/>
                <w:color w:val="000000"/>
                <w:sz w:val="20"/>
                <w:lang w:eastAsia="es-CO"/>
              </w:rPr>
              <w:t>34.920.398.564</w:t>
            </w:r>
          </w:p>
        </w:tc>
        <w:tc>
          <w:tcPr>
            <w:tcW w:w="108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20"/>
                <w:lang w:eastAsia="es-CO"/>
              </w:rPr>
            </w:pPr>
            <w:r w:rsidRPr="00B30577">
              <w:rPr>
                <w:rFonts w:ascii="Arial" w:eastAsia="Times New Roman" w:hAnsi="Arial" w:cs="Arial"/>
                <w:color w:val="000000"/>
                <w:sz w:val="20"/>
                <w:lang w:eastAsia="es-CO"/>
              </w:rPr>
              <w:t>0,16%</w:t>
            </w:r>
          </w:p>
        </w:tc>
      </w:tr>
      <w:tr w:rsidR="00AE001B" w:rsidRPr="00B30577" w:rsidTr="00E51EDD">
        <w:trPr>
          <w:trHeight w:val="255"/>
          <w:jc w:val="center"/>
        </w:trPr>
        <w:tc>
          <w:tcPr>
            <w:tcW w:w="4263"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20"/>
                <w:lang w:eastAsia="es-CO"/>
              </w:rPr>
            </w:pPr>
            <w:r w:rsidRPr="00B30577">
              <w:rPr>
                <w:rFonts w:ascii="Arial" w:eastAsia="Times New Roman" w:hAnsi="Arial" w:cs="Arial"/>
                <w:color w:val="000000"/>
                <w:sz w:val="20"/>
                <w:lang w:eastAsia="es-CO"/>
              </w:rPr>
              <w:t>COMUNICACIONES</w:t>
            </w:r>
          </w:p>
        </w:tc>
        <w:tc>
          <w:tcPr>
            <w:tcW w:w="213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20"/>
                <w:lang w:eastAsia="es-CO"/>
              </w:rPr>
            </w:pPr>
            <w:r w:rsidRPr="00B30577">
              <w:rPr>
                <w:rFonts w:ascii="Arial" w:eastAsia="Times New Roman" w:hAnsi="Arial" w:cs="Arial"/>
                <w:color w:val="000000"/>
                <w:sz w:val="20"/>
                <w:lang w:eastAsia="es-CO"/>
              </w:rPr>
              <w:t>34.858.835.914</w:t>
            </w:r>
          </w:p>
        </w:tc>
        <w:tc>
          <w:tcPr>
            <w:tcW w:w="108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20"/>
                <w:lang w:eastAsia="es-CO"/>
              </w:rPr>
            </w:pPr>
            <w:r w:rsidRPr="00B30577">
              <w:rPr>
                <w:rFonts w:ascii="Arial" w:eastAsia="Times New Roman" w:hAnsi="Arial" w:cs="Arial"/>
                <w:color w:val="000000"/>
                <w:sz w:val="20"/>
                <w:lang w:eastAsia="es-CO"/>
              </w:rPr>
              <w:t>0,16%</w:t>
            </w:r>
          </w:p>
        </w:tc>
      </w:tr>
      <w:tr w:rsidR="00AE001B" w:rsidRPr="00B30577" w:rsidTr="00E51EDD">
        <w:trPr>
          <w:trHeight w:val="255"/>
          <w:jc w:val="center"/>
        </w:trPr>
        <w:tc>
          <w:tcPr>
            <w:tcW w:w="4263"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20"/>
                <w:lang w:eastAsia="es-CO"/>
              </w:rPr>
            </w:pPr>
            <w:r w:rsidRPr="00B30577">
              <w:rPr>
                <w:rFonts w:ascii="Arial" w:eastAsia="Times New Roman" w:hAnsi="Arial" w:cs="Arial"/>
                <w:color w:val="000000"/>
                <w:sz w:val="20"/>
                <w:lang w:eastAsia="es-CO"/>
              </w:rPr>
              <w:t>ESTADÍSTICA</w:t>
            </w:r>
          </w:p>
        </w:tc>
        <w:tc>
          <w:tcPr>
            <w:tcW w:w="213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20"/>
                <w:lang w:eastAsia="es-CO"/>
              </w:rPr>
            </w:pPr>
            <w:r w:rsidRPr="00B30577">
              <w:rPr>
                <w:rFonts w:ascii="Arial" w:eastAsia="Times New Roman" w:hAnsi="Arial" w:cs="Arial"/>
                <w:color w:val="000000"/>
                <w:sz w:val="20"/>
                <w:lang w:eastAsia="es-CO"/>
              </w:rPr>
              <w:t>1.372.951.800</w:t>
            </w:r>
          </w:p>
        </w:tc>
        <w:tc>
          <w:tcPr>
            <w:tcW w:w="108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20"/>
                <w:lang w:eastAsia="es-CO"/>
              </w:rPr>
            </w:pPr>
            <w:r w:rsidRPr="00B30577">
              <w:rPr>
                <w:rFonts w:ascii="Arial" w:eastAsia="Times New Roman" w:hAnsi="Arial" w:cs="Arial"/>
                <w:color w:val="000000"/>
                <w:sz w:val="20"/>
                <w:lang w:eastAsia="es-CO"/>
              </w:rPr>
              <w:t>0,01%</w:t>
            </w:r>
          </w:p>
        </w:tc>
      </w:tr>
      <w:tr w:rsidR="00AE001B" w:rsidRPr="00B30577" w:rsidTr="00E51EDD">
        <w:trPr>
          <w:trHeight w:val="255"/>
          <w:jc w:val="center"/>
        </w:trPr>
        <w:tc>
          <w:tcPr>
            <w:tcW w:w="4263"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20"/>
                <w:lang w:eastAsia="es-CO"/>
              </w:rPr>
            </w:pPr>
            <w:r w:rsidRPr="00B30577">
              <w:rPr>
                <w:rFonts w:ascii="Arial" w:eastAsia="Times New Roman" w:hAnsi="Arial" w:cs="Arial"/>
                <w:color w:val="000000"/>
                <w:sz w:val="20"/>
                <w:lang w:eastAsia="es-CO"/>
              </w:rPr>
              <w:t>RELACIONES EXTERIORES</w:t>
            </w:r>
          </w:p>
        </w:tc>
        <w:tc>
          <w:tcPr>
            <w:tcW w:w="213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20"/>
                <w:lang w:eastAsia="es-CO"/>
              </w:rPr>
            </w:pPr>
            <w:r w:rsidRPr="00B30577">
              <w:rPr>
                <w:rFonts w:ascii="Arial" w:eastAsia="Times New Roman" w:hAnsi="Arial" w:cs="Arial"/>
                <w:color w:val="000000"/>
                <w:sz w:val="20"/>
                <w:lang w:eastAsia="es-CO"/>
              </w:rPr>
              <w:t>905.823.374</w:t>
            </w:r>
          </w:p>
        </w:tc>
        <w:tc>
          <w:tcPr>
            <w:tcW w:w="108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sz w:val="20"/>
                <w:lang w:eastAsia="es-CO"/>
              </w:rPr>
            </w:pPr>
            <w:r w:rsidRPr="00B30577">
              <w:rPr>
                <w:rFonts w:ascii="Arial" w:eastAsia="Times New Roman" w:hAnsi="Arial" w:cs="Arial"/>
                <w:color w:val="000000"/>
                <w:sz w:val="20"/>
                <w:lang w:eastAsia="es-CO"/>
              </w:rPr>
              <w:t>0,004%</w:t>
            </w:r>
          </w:p>
        </w:tc>
      </w:tr>
      <w:tr w:rsidR="00AE001B" w:rsidRPr="00B30577" w:rsidTr="00E51EDD">
        <w:trPr>
          <w:trHeight w:val="255"/>
          <w:jc w:val="center"/>
        </w:trPr>
        <w:tc>
          <w:tcPr>
            <w:tcW w:w="4263" w:type="dxa"/>
            <w:tcBorders>
              <w:top w:val="nil"/>
              <w:left w:val="single" w:sz="4" w:space="0" w:color="auto"/>
              <w:bottom w:val="single" w:sz="4" w:space="0" w:color="auto"/>
              <w:right w:val="single" w:sz="4" w:space="0" w:color="auto"/>
            </w:tcBorders>
            <w:shd w:val="clear" w:color="DCE6F1" w:fill="DCE6F1"/>
            <w:noWrap/>
            <w:vAlign w:val="bottom"/>
            <w:hideMark/>
          </w:tcPr>
          <w:p w:rsidR="00AE001B" w:rsidRPr="00B30577" w:rsidRDefault="00AE001B" w:rsidP="00E51EDD">
            <w:pPr>
              <w:spacing w:after="0" w:line="240" w:lineRule="auto"/>
              <w:rPr>
                <w:rFonts w:ascii="Arial" w:eastAsia="Times New Roman" w:hAnsi="Arial" w:cs="Arial"/>
                <w:b/>
                <w:bCs/>
                <w:color w:val="000000"/>
                <w:sz w:val="20"/>
                <w:lang w:eastAsia="es-CO"/>
              </w:rPr>
            </w:pPr>
            <w:r w:rsidRPr="00B30577">
              <w:rPr>
                <w:rFonts w:ascii="Arial" w:eastAsia="Times New Roman" w:hAnsi="Arial" w:cs="Arial"/>
                <w:b/>
                <w:bCs/>
                <w:color w:val="000000"/>
                <w:sz w:val="20"/>
                <w:lang w:eastAsia="es-CO"/>
              </w:rPr>
              <w:t>TOTAL GENERAL</w:t>
            </w:r>
          </w:p>
        </w:tc>
        <w:tc>
          <w:tcPr>
            <w:tcW w:w="2131" w:type="dxa"/>
            <w:tcBorders>
              <w:top w:val="nil"/>
              <w:left w:val="nil"/>
              <w:bottom w:val="single" w:sz="4" w:space="0" w:color="auto"/>
              <w:right w:val="single" w:sz="4" w:space="0" w:color="auto"/>
            </w:tcBorders>
            <w:shd w:val="clear" w:color="DCE6F1" w:fill="DCE6F1"/>
            <w:noWrap/>
            <w:vAlign w:val="bottom"/>
            <w:hideMark/>
          </w:tcPr>
          <w:p w:rsidR="00AE001B" w:rsidRPr="00B30577" w:rsidRDefault="00AE001B" w:rsidP="00E51EDD">
            <w:pPr>
              <w:spacing w:after="0" w:line="240" w:lineRule="auto"/>
              <w:jc w:val="center"/>
              <w:rPr>
                <w:rFonts w:ascii="Arial" w:eastAsia="Times New Roman" w:hAnsi="Arial" w:cs="Arial"/>
                <w:b/>
                <w:bCs/>
                <w:color w:val="000000"/>
                <w:sz w:val="20"/>
                <w:lang w:eastAsia="es-CO"/>
              </w:rPr>
            </w:pPr>
            <w:r w:rsidRPr="00B30577">
              <w:rPr>
                <w:rFonts w:ascii="Arial" w:eastAsia="Times New Roman" w:hAnsi="Arial" w:cs="Arial"/>
                <w:b/>
                <w:bCs/>
                <w:color w:val="000000"/>
                <w:sz w:val="20"/>
                <w:lang w:eastAsia="es-CO"/>
              </w:rPr>
              <w:t>22.262.305.902.467</w:t>
            </w:r>
          </w:p>
        </w:tc>
        <w:tc>
          <w:tcPr>
            <w:tcW w:w="1080" w:type="dxa"/>
            <w:tcBorders>
              <w:top w:val="nil"/>
              <w:left w:val="nil"/>
              <w:bottom w:val="single" w:sz="4" w:space="0" w:color="auto"/>
              <w:right w:val="single" w:sz="4" w:space="0" w:color="auto"/>
            </w:tcBorders>
            <w:shd w:val="clear" w:color="DCE6F1" w:fill="DCE6F1"/>
            <w:noWrap/>
            <w:vAlign w:val="bottom"/>
            <w:hideMark/>
          </w:tcPr>
          <w:p w:rsidR="00AE001B" w:rsidRPr="00B30577" w:rsidRDefault="00AE001B" w:rsidP="00E51EDD">
            <w:pPr>
              <w:spacing w:after="0" w:line="240" w:lineRule="auto"/>
              <w:jc w:val="center"/>
              <w:rPr>
                <w:rFonts w:ascii="Arial" w:eastAsia="Times New Roman" w:hAnsi="Arial" w:cs="Arial"/>
                <w:b/>
                <w:bCs/>
                <w:color w:val="000000"/>
                <w:sz w:val="20"/>
                <w:lang w:eastAsia="es-CO"/>
              </w:rPr>
            </w:pPr>
            <w:r w:rsidRPr="00B30577">
              <w:rPr>
                <w:rFonts w:ascii="Arial" w:eastAsia="Times New Roman" w:hAnsi="Arial" w:cs="Arial"/>
                <w:b/>
                <w:bCs/>
                <w:color w:val="000000"/>
                <w:sz w:val="20"/>
                <w:lang w:eastAsia="es-CO"/>
              </w:rPr>
              <w:t>100%</w:t>
            </w:r>
          </w:p>
        </w:tc>
      </w:tr>
    </w:tbl>
    <w:p w:rsidR="00AE001B" w:rsidRPr="00B30577" w:rsidRDefault="00AE001B" w:rsidP="00AE001B">
      <w:pPr>
        <w:spacing w:before="28" w:after="28" w:line="288" w:lineRule="atLeast"/>
        <w:ind w:firstLine="708"/>
        <w:textAlignment w:val="center"/>
        <w:rPr>
          <w:rFonts w:ascii="Arial" w:hAnsi="Arial" w:cs="Arial"/>
          <w:sz w:val="20"/>
          <w:lang w:eastAsia="es-CO"/>
        </w:rPr>
      </w:pPr>
      <w:r w:rsidRPr="00B30577">
        <w:rPr>
          <w:rFonts w:ascii="Arial" w:hAnsi="Arial" w:cs="Arial"/>
          <w:sz w:val="20"/>
          <w:lang w:eastAsia="es-CO"/>
        </w:rPr>
        <w:t>Fuente: DNP-Gesproy. Proyectos aprobados al 31 de diciembre de 2016.</w:t>
      </w:r>
    </w:p>
    <w:p w:rsidR="00AE001B" w:rsidRPr="00B30577" w:rsidRDefault="00AE001B" w:rsidP="00AE001B">
      <w:pPr>
        <w:spacing w:before="28" w:after="28" w:line="288" w:lineRule="atLeast"/>
        <w:textAlignment w:val="center"/>
        <w:rPr>
          <w:rFonts w:ascii="Arial" w:hAnsi="Arial" w:cs="Arial"/>
          <w:sz w:val="24"/>
          <w:lang w:eastAsia="es-CO"/>
        </w:rPr>
      </w:pPr>
    </w:p>
    <w:p w:rsidR="00AE001B" w:rsidRDefault="00AE001B" w:rsidP="00AE001B">
      <w:pPr>
        <w:spacing w:before="28" w:after="28" w:line="288" w:lineRule="atLeast"/>
        <w:jc w:val="both"/>
        <w:textAlignment w:val="center"/>
        <w:rPr>
          <w:rFonts w:ascii="Arial" w:hAnsi="Arial" w:cs="Arial"/>
          <w:lang w:eastAsia="es-CO"/>
        </w:rPr>
      </w:pPr>
      <w:r w:rsidRPr="00CA7DDA">
        <w:rPr>
          <w:rFonts w:ascii="Arial" w:hAnsi="Arial" w:cs="Arial"/>
          <w:lang w:eastAsia="es-CO"/>
        </w:rPr>
        <w:t xml:space="preserve">Las inversiones en infraestructura de transporte, vivienda, y agua potable y saneamiento básico tienen </w:t>
      </w:r>
      <w:r>
        <w:rPr>
          <w:rFonts w:ascii="Arial" w:hAnsi="Arial" w:cs="Arial"/>
          <w:lang w:eastAsia="es-CO"/>
        </w:rPr>
        <w:t xml:space="preserve">sin duda </w:t>
      </w:r>
      <w:r w:rsidRPr="00CA7DDA">
        <w:rPr>
          <w:rFonts w:ascii="Arial" w:hAnsi="Arial" w:cs="Arial"/>
          <w:lang w:eastAsia="es-CO"/>
        </w:rPr>
        <w:t>un gran impacto en la calidad de vida de la población y la reducción de la pobreza, permitiendo la integración a los mercados y facilitando el acceso a los bienes y servicios sociales; aspectos centrales para el logro de una paz estable y duradera.</w:t>
      </w:r>
      <w:r>
        <w:rPr>
          <w:rFonts w:ascii="Arial" w:hAnsi="Arial" w:cs="Arial"/>
          <w:lang w:eastAsia="es-CO"/>
        </w:rPr>
        <w:t xml:space="preserve">  </w:t>
      </w:r>
    </w:p>
    <w:p w:rsidR="00AE001B" w:rsidRDefault="00AE001B" w:rsidP="00AE001B">
      <w:pPr>
        <w:spacing w:before="28" w:after="28" w:line="288" w:lineRule="atLeast"/>
        <w:jc w:val="both"/>
        <w:textAlignment w:val="center"/>
        <w:rPr>
          <w:rFonts w:ascii="Arial" w:hAnsi="Arial" w:cs="Arial"/>
          <w:lang w:eastAsia="es-CO"/>
        </w:rPr>
      </w:pPr>
    </w:p>
    <w:p w:rsidR="00AE001B" w:rsidRPr="00D01756" w:rsidRDefault="00AE001B" w:rsidP="00AE001B">
      <w:pPr>
        <w:spacing w:before="28" w:after="28" w:line="288" w:lineRule="atLeast"/>
        <w:jc w:val="both"/>
        <w:textAlignment w:val="center"/>
        <w:rPr>
          <w:rFonts w:ascii="Arial" w:hAnsi="Arial" w:cs="Arial"/>
          <w:lang w:eastAsia="es-CO"/>
        </w:rPr>
      </w:pPr>
      <w:r>
        <w:rPr>
          <w:rFonts w:ascii="Arial" w:hAnsi="Arial" w:cs="Arial"/>
          <w:lang w:eastAsia="es-CO"/>
        </w:rPr>
        <w:t xml:space="preserve">Los más de 10,000 proyectos aprobados al 31 de diciembre de 2’16, se </w:t>
      </w:r>
      <w:r w:rsidRPr="00D01756">
        <w:rPr>
          <w:rFonts w:ascii="Arial" w:hAnsi="Arial" w:cs="Arial"/>
          <w:lang w:eastAsia="es-CO"/>
        </w:rPr>
        <w:t xml:space="preserve">concretarán en 50.047 kilómetros </w:t>
      </w:r>
      <w:r>
        <w:rPr>
          <w:rFonts w:ascii="Arial" w:hAnsi="Arial" w:cs="Arial"/>
          <w:lang w:eastAsia="es-CO"/>
        </w:rPr>
        <w:t>de vías construidas o mejoradas; 3.</w:t>
      </w:r>
      <w:r w:rsidRPr="00D01756">
        <w:rPr>
          <w:rFonts w:ascii="Arial" w:hAnsi="Arial" w:cs="Arial"/>
          <w:lang w:eastAsia="es-CO"/>
        </w:rPr>
        <w:t>263 profesionales formados a nivel de maestría</w:t>
      </w:r>
      <w:r>
        <w:rPr>
          <w:rFonts w:ascii="Arial" w:hAnsi="Arial" w:cs="Arial"/>
          <w:lang w:eastAsia="es-CO"/>
        </w:rPr>
        <w:t xml:space="preserve">; </w:t>
      </w:r>
      <w:r w:rsidRPr="00D01756">
        <w:rPr>
          <w:rFonts w:ascii="Arial" w:hAnsi="Arial" w:cs="Arial"/>
          <w:lang w:eastAsia="es-CO"/>
        </w:rPr>
        <w:t>748 instituciones educativas construidas</w:t>
      </w:r>
      <w:r>
        <w:rPr>
          <w:rFonts w:ascii="Arial" w:hAnsi="Arial" w:cs="Arial"/>
          <w:lang w:eastAsia="es-CO"/>
        </w:rPr>
        <w:t xml:space="preserve"> o </w:t>
      </w:r>
      <w:r w:rsidRPr="00D01756">
        <w:rPr>
          <w:rFonts w:ascii="Arial" w:hAnsi="Arial" w:cs="Arial"/>
          <w:lang w:eastAsia="es-CO"/>
        </w:rPr>
        <w:t>equipadas</w:t>
      </w:r>
      <w:r>
        <w:rPr>
          <w:rFonts w:ascii="Arial" w:hAnsi="Arial" w:cs="Arial"/>
          <w:lang w:eastAsia="es-CO"/>
        </w:rPr>
        <w:t>;</w:t>
      </w:r>
      <w:r w:rsidRPr="00D01756">
        <w:rPr>
          <w:rFonts w:ascii="Arial" w:hAnsi="Arial" w:cs="Arial"/>
          <w:lang w:eastAsia="es-CO"/>
        </w:rPr>
        <w:t xml:space="preserve"> 10 millones de personas con acceso a agua potable y condiciones más adecuadas de sanea</w:t>
      </w:r>
      <w:r>
        <w:rPr>
          <w:rFonts w:ascii="Arial" w:hAnsi="Arial" w:cs="Arial"/>
          <w:lang w:eastAsia="es-CO"/>
        </w:rPr>
        <w:t>miento básico;</w:t>
      </w:r>
      <w:r w:rsidRPr="00D01756">
        <w:rPr>
          <w:rFonts w:ascii="Arial" w:hAnsi="Arial" w:cs="Arial"/>
          <w:lang w:eastAsia="es-CO"/>
        </w:rPr>
        <w:t xml:space="preserve"> más de 95 mil viviendas n</w:t>
      </w:r>
      <w:r>
        <w:rPr>
          <w:rFonts w:ascii="Arial" w:hAnsi="Arial" w:cs="Arial"/>
          <w:lang w:eastAsia="es-CO"/>
        </w:rPr>
        <w:t xml:space="preserve">uevas construidas o mejoradas, </w:t>
      </w:r>
      <w:r w:rsidRPr="00D01756">
        <w:rPr>
          <w:rFonts w:ascii="Arial" w:hAnsi="Arial" w:cs="Arial"/>
          <w:lang w:eastAsia="es-CO"/>
        </w:rPr>
        <w:t xml:space="preserve">1.702 sedes </w:t>
      </w:r>
      <w:proofErr w:type="spellStart"/>
      <w:r w:rsidRPr="00D01756">
        <w:rPr>
          <w:rFonts w:ascii="Arial" w:hAnsi="Arial" w:cs="Arial"/>
          <w:lang w:eastAsia="es-CO"/>
        </w:rPr>
        <w:t>recreodeportivas</w:t>
      </w:r>
      <w:proofErr w:type="spellEnd"/>
      <w:r w:rsidRPr="00D01756">
        <w:rPr>
          <w:rFonts w:ascii="Arial" w:hAnsi="Arial" w:cs="Arial"/>
          <w:lang w:eastAsia="es-CO"/>
        </w:rPr>
        <w:t xml:space="preserve"> </w:t>
      </w:r>
      <w:r>
        <w:rPr>
          <w:rFonts w:ascii="Arial" w:hAnsi="Arial" w:cs="Arial"/>
          <w:lang w:eastAsia="es-CO"/>
        </w:rPr>
        <w:t xml:space="preserve">construidas o </w:t>
      </w:r>
      <w:r w:rsidRPr="00D01756">
        <w:rPr>
          <w:rFonts w:ascii="Arial" w:hAnsi="Arial" w:cs="Arial"/>
          <w:lang w:eastAsia="es-CO"/>
        </w:rPr>
        <w:t>adecuadas</w:t>
      </w:r>
      <w:r>
        <w:rPr>
          <w:rFonts w:ascii="Arial" w:hAnsi="Arial" w:cs="Arial"/>
          <w:lang w:eastAsia="es-CO"/>
        </w:rPr>
        <w:t xml:space="preserve">; </w:t>
      </w:r>
      <w:r w:rsidRPr="00D01756">
        <w:rPr>
          <w:rFonts w:ascii="Arial" w:hAnsi="Arial" w:cs="Arial"/>
          <w:lang w:eastAsia="es-CO"/>
        </w:rPr>
        <w:t>y 271 entidades de salud construidos, dotados o ampliados.</w:t>
      </w:r>
    </w:p>
    <w:p w:rsidR="00AE001B" w:rsidRPr="00CA7DDA" w:rsidRDefault="00AE001B" w:rsidP="00AE001B">
      <w:pPr>
        <w:spacing w:before="28" w:after="28" w:line="288" w:lineRule="atLeast"/>
        <w:jc w:val="both"/>
        <w:textAlignment w:val="center"/>
        <w:rPr>
          <w:rFonts w:ascii="Arial" w:hAnsi="Arial" w:cs="Arial"/>
          <w:lang w:eastAsia="es-CO"/>
        </w:rPr>
      </w:pPr>
    </w:p>
    <w:p w:rsidR="00AE001B" w:rsidRPr="00CA7DDA" w:rsidRDefault="00AE001B" w:rsidP="00AE001B">
      <w:pPr>
        <w:spacing w:before="28" w:after="28" w:line="288" w:lineRule="atLeast"/>
        <w:jc w:val="both"/>
        <w:textAlignment w:val="center"/>
        <w:rPr>
          <w:rFonts w:ascii="Arial" w:hAnsi="Arial" w:cs="Arial"/>
          <w:lang w:eastAsia="es-CO"/>
        </w:rPr>
      </w:pPr>
      <w:r w:rsidRPr="00CA7DDA">
        <w:rPr>
          <w:rFonts w:ascii="Arial" w:hAnsi="Arial" w:cs="Arial"/>
          <w:lang w:eastAsia="es-CO"/>
        </w:rPr>
        <w:t xml:space="preserve">No obstante, inversiones en sectores que se encuentran en el corazón del </w:t>
      </w:r>
      <w:r w:rsidRPr="00B30577">
        <w:rPr>
          <w:rFonts w:ascii="Arial" w:hAnsi="Arial" w:cs="Arial"/>
          <w:lang w:eastAsia="es-CO"/>
        </w:rPr>
        <w:t>Acuerdo Final,</w:t>
      </w:r>
      <w:r w:rsidRPr="00CA7DDA">
        <w:rPr>
          <w:rFonts w:ascii="Arial" w:hAnsi="Arial" w:cs="Arial"/>
          <w:lang w:eastAsia="es-CO"/>
        </w:rPr>
        <w:t xml:space="preserve"> como los de agricultura, ambiente y desarrollo sostenible, inclusión social y reconciliación, y justicia y del derecho, individualmente no super</w:t>
      </w:r>
      <w:r>
        <w:rPr>
          <w:rFonts w:ascii="Arial" w:hAnsi="Arial" w:cs="Arial"/>
          <w:lang w:eastAsia="es-CO"/>
        </w:rPr>
        <w:t>a</w:t>
      </w:r>
      <w:r w:rsidRPr="00CA7DDA">
        <w:rPr>
          <w:rFonts w:ascii="Arial" w:hAnsi="Arial" w:cs="Arial"/>
          <w:lang w:eastAsia="es-CO"/>
        </w:rPr>
        <w:t xml:space="preserve">n el 3,5% de los recursos del SGR aprobados a la fecha, generando un rezago en el desarrollo de estos sectores que urge empezar a cerrar en el marco de la implementación del Acuerdo Final.  </w:t>
      </w:r>
    </w:p>
    <w:p w:rsidR="00AE001B" w:rsidRPr="00CA7DDA" w:rsidRDefault="00AE001B" w:rsidP="00AE001B">
      <w:pPr>
        <w:spacing w:before="28" w:after="28" w:line="288" w:lineRule="atLeast"/>
        <w:jc w:val="both"/>
        <w:textAlignment w:val="center"/>
        <w:rPr>
          <w:rFonts w:ascii="Arial" w:hAnsi="Arial" w:cs="Arial"/>
          <w:lang w:eastAsia="es-CO"/>
        </w:rPr>
      </w:pPr>
    </w:p>
    <w:p w:rsidR="00AE001B" w:rsidRDefault="00AE001B" w:rsidP="00AE001B">
      <w:pPr>
        <w:spacing w:before="28" w:after="28" w:line="288" w:lineRule="atLeast"/>
        <w:jc w:val="both"/>
        <w:textAlignment w:val="center"/>
        <w:rPr>
          <w:rFonts w:ascii="Arial" w:hAnsi="Arial" w:cs="Arial"/>
          <w:lang w:eastAsia="es-CO"/>
        </w:rPr>
      </w:pPr>
      <w:r w:rsidRPr="00CA7DDA">
        <w:rPr>
          <w:rFonts w:ascii="Arial" w:hAnsi="Arial" w:cs="Arial"/>
          <w:lang w:eastAsia="es-CO"/>
        </w:rPr>
        <w:lastRenderedPageBreak/>
        <w:t xml:space="preserve">Adicionalmente, en los principales sectores de inversión del SGR se presenta una mayor concentración de estas inversiones en las áreas urbanas de los municipios y departamentos. </w:t>
      </w:r>
    </w:p>
    <w:p w:rsidR="00AE001B" w:rsidRDefault="00AE001B" w:rsidP="00AE001B">
      <w:pPr>
        <w:spacing w:before="28" w:after="28" w:line="288" w:lineRule="atLeast"/>
        <w:jc w:val="both"/>
        <w:textAlignment w:val="center"/>
        <w:rPr>
          <w:rFonts w:ascii="Arial" w:hAnsi="Arial" w:cs="Arial"/>
          <w:lang w:eastAsia="es-CO"/>
        </w:rPr>
      </w:pPr>
    </w:p>
    <w:p w:rsidR="00AE001B" w:rsidRDefault="00AE001B" w:rsidP="00AE001B">
      <w:pPr>
        <w:spacing w:before="28" w:after="28" w:line="288" w:lineRule="atLeast"/>
        <w:jc w:val="both"/>
        <w:textAlignment w:val="center"/>
        <w:rPr>
          <w:rFonts w:ascii="Arial" w:hAnsi="Arial" w:cs="Arial"/>
          <w:lang w:eastAsia="es-CO"/>
        </w:rPr>
      </w:pPr>
      <w:r w:rsidRPr="00CA7DDA">
        <w:rPr>
          <w:rFonts w:ascii="Arial" w:hAnsi="Arial" w:cs="Arial"/>
          <w:lang w:eastAsia="es-CO"/>
        </w:rPr>
        <w:t xml:space="preserve">Como se evidencia en el Cuadro 6, el 36% de las inversiones en infraestructura de transporte, se han destinado a la red vial urbana y un 33% adicional a la red vial secundaria; mientras que un porcentaje menor (20%) se ha destinado a la red vial terciaria y 2,4% a la red fluvial.  </w:t>
      </w:r>
    </w:p>
    <w:p w:rsidR="00AE001B" w:rsidRDefault="00AE001B" w:rsidP="00AE001B">
      <w:pPr>
        <w:spacing w:before="28" w:after="28" w:line="288" w:lineRule="atLeast"/>
        <w:jc w:val="both"/>
        <w:textAlignment w:val="center"/>
        <w:rPr>
          <w:rFonts w:ascii="Arial" w:hAnsi="Arial" w:cs="Arial"/>
          <w:lang w:eastAsia="es-CO"/>
        </w:rPr>
      </w:pPr>
    </w:p>
    <w:p w:rsidR="00AE001B" w:rsidRPr="00B30577" w:rsidRDefault="00AE001B" w:rsidP="00AE001B">
      <w:pPr>
        <w:pStyle w:val="Default"/>
        <w:jc w:val="center"/>
        <w:rPr>
          <w:rFonts w:ascii="Arial" w:eastAsia="MS Mincho" w:hAnsi="Arial" w:cs="Arial"/>
          <w:b/>
          <w:iCs/>
          <w:color w:val="auto"/>
          <w:sz w:val="22"/>
          <w:szCs w:val="22"/>
          <w:lang w:eastAsia="es-CO"/>
        </w:rPr>
      </w:pPr>
      <w:r w:rsidRPr="00B30577">
        <w:rPr>
          <w:rFonts w:ascii="Arial" w:eastAsia="MS Mincho" w:hAnsi="Arial" w:cs="Arial"/>
          <w:b/>
          <w:iCs/>
          <w:color w:val="auto"/>
          <w:sz w:val="22"/>
          <w:szCs w:val="22"/>
          <w:lang w:eastAsia="es-CO"/>
        </w:rPr>
        <w:t>Cuadro 6</w:t>
      </w:r>
    </w:p>
    <w:p w:rsidR="00AE001B" w:rsidRPr="00B30577" w:rsidRDefault="00AE001B" w:rsidP="00AE001B">
      <w:pPr>
        <w:pStyle w:val="Default"/>
        <w:jc w:val="center"/>
        <w:rPr>
          <w:rFonts w:ascii="Arial" w:eastAsia="MS Mincho" w:hAnsi="Arial" w:cs="Arial"/>
          <w:b/>
          <w:iCs/>
          <w:color w:val="auto"/>
          <w:sz w:val="22"/>
          <w:szCs w:val="22"/>
          <w:lang w:eastAsia="es-CO"/>
        </w:rPr>
      </w:pPr>
      <w:r w:rsidRPr="00B30577">
        <w:rPr>
          <w:rFonts w:ascii="Arial" w:eastAsia="MS Mincho" w:hAnsi="Arial" w:cs="Arial"/>
          <w:b/>
          <w:iCs/>
          <w:color w:val="auto"/>
          <w:sz w:val="22"/>
          <w:szCs w:val="22"/>
          <w:lang w:eastAsia="es-CO"/>
        </w:rPr>
        <w:t>Valor SGR aprobado en proyectos de transporte por subsector</w:t>
      </w:r>
    </w:p>
    <w:p w:rsidR="00AE001B" w:rsidRPr="00B30577" w:rsidRDefault="00AE001B" w:rsidP="00AE001B">
      <w:pPr>
        <w:pStyle w:val="Default"/>
        <w:jc w:val="center"/>
        <w:rPr>
          <w:rFonts w:ascii="Arial" w:eastAsia="MS Mincho" w:hAnsi="Arial" w:cs="Arial"/>
          <w:b/>
          <w:iCs/>
          <w:color w:val="auto"/>
          <w:sz w:val="22"/>
          <w:szCs w:val="22"/>
          <w:lang w:eastAsia="es-CO"/>
        </w:rPr>
      </w:pPr>
      <w:r w:rsidRPr="00B30577">
        <w:rPr>
          <w:rFonts w:ascii="Arial" w:eastAsia="MS Mincho" w:hAnsi="Arial" w:cs="Arial"/>
          <w:b/>
          <w:iCs/>
          <w:color w:val="auto"/>
          <w:sz w:val="22"/>
          <w:szCs w:val="22"/>
          <w:lang w:eastAsia="es-CO"/>
        </w:rPr>
        <w:t>2012-2016</w:t>
      </w:r>
    </w:p>
    <w:tbl>
      <w:tblPr>
        <w:tblW w:w="5827" w:type="dxa"/>
        <w:jc w:val="center"/>
        <w:tblCellMar>
          <w:left w:w="70" w:type="dxa"/>
          <w:right w:w="70" w:type="dxa"/>
        </w:tblCellMar>
        <w:tblLook w:val="04A0" w:firstRow="1" w:lastRow="0" w:firstColumn="1" w:lastColumn="0" w:noHBand="0" w:noVBand="1"/>
      </w:tblPr>
      <w:tblGrid>
        <w:gridCol w:w="2689"/>
        <w:gridCol w:w="2198"/>
        <w:gridCol w:w="940"/>
      </w:tblGrid>
      <w:tr w:rsidR="00AE001B" w:rsidRPr="00B30577" w:rsidTr="00E51EDD">
        <w:trPr>
          <w:trHeight w:val="255"/>
          <w:jc w:val="center"/>
        </w:trPr>
        <w:tc>
          <w:tcPr>
            <w:tcW w:w="2689" w:type="dxa"/>
            <w:tcBorders>
              <w:top w:val="single" w:sz="4" w:space="0" w:color="auto"/>
              <w:left w:val="single" w:sz="4" w:space="0" w:color="auto"/>
              <w:bottom w:val="single" w:sz="4" w:space="0" w:color="auto"/>
              <w:right w:val="single" w:sz="4" w:space="0" w:color="auto"/>
            </w:tcBorders>
            <w:shd w:val="clear" w:color="DCE6F1" w:fill="DCE6F1"/>
            <w:noWrap/>
            <w:vAlign w:val="bottom"/>
          </w:tcPr>
          <w:p w:rsidR="00AE001B" w:rsidRPr="00B30577" w:rsidRDefault="00AE001B" w:rsidP="00E51EDD">
            <w:pPr>
              <w:spacing w:after="0" w:line="240" w:lineRule="auto"/>
              <w:jc w:val="center"/>
              <w:rPr>
                <w:rFonts w:ascii="Arial" w:eastAsia="Times New Roman" w:hAnsi="Arial" w:cs="Arial"/>
                <w:b/>
                <w:bCs/>
                <w:color w:val="000000"/>
                <w:lang w:eastAsia="es-CO"/>
              </w:rPr>
            </w:pPr>
            <w:r w:rsidRPr="00B30577">
              <w:rPr>
                <w:rFonts w:ascii="Arial" w:eastAsia="Times New Roman" w:hAnsi="Arial" w:cs="Arial"/>
                <w:b/>
                <w:bCs/>
                <w:color w:val="000000"/>
                <w:lang w:eastAsia="es-CO"/>
              </w:rPr>
              <w:t>SUBSECTOR</w:t>
            </w:r>
          </w:p>
        </w:tc>
        <w:tc>
          <w:tcPr>
            <w:tcW w:w="2198" w:type="dxa"/>
            <w:tcBorders>
              <w:top w:val="single" w:sz="4" w:space="0" w:color="auto"/>
              <w:left w:val="nil"/>
              <w:bottom w:val="single" w:sz="4" w:space="0" w:color="auto"/>
              <w:right w:val="single" w:sz="4" w:space="0" w:color="auto"/>
            </w:tcBorders>
            <w:shd w:val="clear" w:color="DCE6F1" w:fill="DCE6F1"/>
            <w:noWrap/>
            <w:vAlign w:val="bottom"/>
          </w:tcPr>
          <w:p w:rsidR="00AE001B" w:rsidRPr="00B30577" w:rsidRDefault="00AE001B" w:rsidP="00E51EDD">
            <w:pPr>
              <w:spacing w:after="0" w:line="240" w:lineRule="auto"/>
              <w:jc w:val="center"/>
              <w:rPr>
                <w:rFonts w:ascii="Arial" w:eastAsia="Times New Roman" w:hAnsi="Arial" w:cs="Arial"/>
                <w:b/>
                <w:bCs/>
                <w:color w:val="000000"/>
                <w:lang w:eastAsia="es-CO"/>
              </w:rPr>
            </w:pPr>
            <w:r w:rsidRPr="00B30577">
              <w:rPr>
                <w:rFonts w:ascii="Arial" w:eastAsia="Times New Roman" w:hAnsi="Arial" w:cs="Arial"/>
                <w:b/>
                <w:bCs/>
                <w:color w:val="000000"/>
                <w:lang w:eastAsia="es-CO"/>
              </w:rPr>
              <w:t>VALOR SGR</w:t>
            </w:r>
          </w:p>
        </w:tc>
        <w:tc>
          <w:tcPr>
            <w:tcW w:w="940" w:type="dxa"/>
            <w:tcBorders>
              <w:top w:val="single" w:sz="4" w:space="0" w:color="auto"/>
              <w:left w:val="nil"/>
              <w:bottom w:val="single" w:sz="4" w:space="0" w:color="auto"/>
              <w:right w:val="single" w:sz="4" w:space="0" w:color="auto"/>
            </w:tcBorders>
            <w:shd w:val="clear" w:color="DCE6F1" w:fill="DCE6F1"/>
            <w:noWrap/>
            <w:vAlign w:val="bottom"/>
          </w:tcPr>
          <w:p w:rsidR="00AE001B" w:rsidRPr="00B30577" w:rsidRDefault="00AE001B" w:rsidP="00E51EDD">
            <w:pPr>
              <w:spacing w:after="0" w:line="240" w:lineRule="auto"/>
              <w:jc w:val="center"/>
              <w:rPr>
                <w:rFonts w:ascii="Arial" w:eastAsia="Times New Roman" w:hAnsi="Arial" w:cs="Arial"/>
                <w:b/>
                <w:bCs/>
                <w:color w:val="000000"/>
                <w:lang w:eastAsia="es-CO"/>
              </w:rPr>
            </w:pPr>
            <w:r w:rsidRPr="00B30577">
              <w:rPr>
                <w:rFonts w:ascii="Arial" w:eastAsia="Times New Roman" w:hAnsi="Arial" w:cs="Arial"/>
                <w:b/>
                <w:bCs/>
                <w:color w:val="000000"/>
                <w:lang w:eastAsia="es-CO"/>
              </w:rPr>
              <w:t>%</w:t>
            </w:r>
          </w:p>
        </w:tc>
      </w:tr>
      <w:tr w:rsidR="00AE001B" w:rsidRPr="00B30577" w:rsidTr="00E51EDD">
        <w:trPr>
          <w:trHeight w:val="255"/>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ind w:firstLineChars="100" w:firstLine="220"/>
              <w:rPr>
                <w:rFonts w:ascii="Arial" w:eastAsia="Times New Roman" w:hAnsi="Arial" w:cs="Arial"/>
                <w:color w:val="000000"/>
                <w:lang w:eastAsia="es-CO"/>
              </w:rPr>
            </w:pPr>
            <w:r w:rsidRPr="00B30577">
              <w:rPr>
                <w:rFonts w:ascii="Arial" w:eastAsia="Times New Roman" w:hAnsi="Arial" w:cs="Arial"/>
                <w:color w:val="000000"/>
                <w:lang w:eastAsia="es-CO"/>
              </w:rPr>
              <w:t>Red Urbana</w:t>
            </w:r>
          </w:p>
        </w:tc>
        <w:tc>
          <w:tcPr>
            <w:tcW w:w="2198"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lang w:eastAsia="es-CO"/>
              </w:rPr>
            </w:pPr>
            <w:r w:rsidRPr="00B30577">
              <w:rPr>
                <w:rFonts w:ascii="Arial" w:eastAsia="Times New Roman" w:hAnsi="Arial" w:cs="Arial"/>
                <w:color w:val="000000"/>
                <w:lang w:eastAsia="es-CO"/>
              </w:rPr>
              <w:t>2.785.078.277.661</w:t>
            </w:r>
          </w:p>
        </w:tc>
        <w:tc>
          <w:tcPr>
            <w:tcW w:w="94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lang w:eastAsia="es-CO"/>
              </w:rPr>
            </w:pPr>
            <w:r w:rsidRPr="00B30577">
              <w:rPr>
                <w:rFonts w:ascii="Arial" w:eastAsia="Times New Roman" w:hAnsi="Arial" w:cs="Arial"/>
                <w:color w:val="000000"/>
                <w:lang w:eastAsia="es-CO"/>
              </w:rPr>
              <w:t>36,1%</w:t>
            </w:r>
          </w:p>
        </w:tc>
      </w:tr>
      <w:tr w:rsidR="00AE001B" w:rsidRPr="00B30577" w:rsidTr="00E51EDD">
        <w:trPr>
          <w:trHeight w:val="255"/>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ind w:firstLineChars="100" w:firstLine="220"/>
              <w:rPr>
                <w:rFonts w:ascii="Arial" w:eastAsia="Times New Roman" w:hAnsi="Arial" w:cs="Arial"/>
                <w:color w:val="000000"/>
                <w:lang w:eastAsia="es-CO"/>
              </w:rPr>
            </w:pPr>
            <w:r w:rsidRPr="00B30577">
              <w:rPr>
                <w:rFonts w:ascii="Arial" w:eastAsia="Times New Roman" w:hAnsi="Arial" w:cs="Arial"/>
                <w:color w:val="000000"/>
                <w:lang w:eastAsia="es-CO"/>
              </w:rPr>
              <w:t>Red Secundaria</w:t>
            </w:r>
          </w:p>
        </w:tc>
        <w:tc>
          <w:tcPr>
            <w:tcW w:w="2198"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lang w:eastAsia="es-CO"/>
              </w:rPr>
            </w:pPr>
            <w:r w:rsidRPr="00B30577">
              <w:rPr>
                <w:rFonts w:ascii="Arial" w:eastAsia="Times New Roman" w:hAnsi="Arial" w:cs="Arial"/>
                <w:color w:val="000000"/>
                <w:lang w:eastAsia="es-CO"/>
              </w:rPr>
              <w:t>2.551.722.696.883</w:t>
            </w:r>
          </w:p>
        </w:tc>
        <w:tc>
          <w:tcPr>
            <w:tcW w:w="94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lang w:eastAsia="es-CO"/>
              </w:rPr>
            </w:pPr>
            <w:r w:rsidRPr="00B30577">
              <w:rPr>
                <w:rFonts w:ascii="Arial" w:eastAsia="Times New Roman" w:hAnsi="Arial" w:cs="Arial"/>
                <w:color w:val="000000"/>
                <w:lang w:eastAsia="es-CO"/>
              </w:rPr>
              <w:t>33,0%</w:t>
            </w:r>
          </w:p>
        </w:tc>
      </w:tr>
      <w:tr w:rsidR="00AE001B" w:rsidRPr="00B30577" w:rsidTr="00E51EDD">
        <w:trPr>
          <w:trHeight w:val="255"/>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ind w:firstLineChars="100" w:firstLine="220"/>
              <w:rPr>
                <w:rFonts w:ascii="Arial" w:eastAsia="Times New Roman" w:hAnsi="Arial" w:cs="Arial"/>
                <w:color w:val="000000"/>
                <w:lang w:eastAsia="es-CO"/>
              </w:rPr>
            </w:pPr>
            <w:r w:rsidRPr="00B30577">
              <w:rPr>
                <w:rFonts w:ascii="Arial" w:eastAsia="Times New Roman" w:hAnsi="Arial" w:cs="Arial"/>
                <w:color w:val="000000"/>
                <w:lang w:eastAsia="es-CO"/>
              </w:rPr>
              <w:t>Red Terciaria</w:t>
            </w:r>
          </w:p>
        </w:tc>
        <w:tc>
          <w:tcPr>
            <w:tcW w:w="2198"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lang w:eastAsia="es-CO"/>
              </w:rPr>
            </w:pPr>
            <w:r w:rsidRPr="00B30577">
              <w:rPr>
                <w:rFonts w:ascii="Arial" w:eastAsia="Times New Roman" w:hAnsi="Arial" w:cs="Arial"/>
                <w:color w:val="000000"/>
                <w:lang w:eastAsia="es-CO"/>
              </w:rPr>
              <w:t>1.585.881.967.723</w:t>
            </w:r>
          </w:p>
        </w:tc>
        <w:tc>
          <w:tcPr>
            <w:tcW w:w="94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lang w:eastAsia="es-CO"/>
              </w:rPr>
            </w:pPr>
            <w:r w:rsidRPr="00B30577">
              <w:rPr>
                <w:rFonts w:ascii="Arial" w:eastAsia="Times New Roman" w:hAnsi="Arial" w:cs="Arial"/>
                <w:color w:val="000000"/>
                <w:lang w:eastAsia="es-CO"/>
              </w:rPr>
              <w:t>20,5%</w:t>
            </w:r>
          </w:p>
        </w:tc>
      </w:tr>
      <w:tr w:rsidR="00AE001B" w:rsidRPr="00B30577" w:rsidTr="00E51EDD">
        <w:trPr>
          <w:trHeight w:val="255"/>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ind w:firstLineChars="100" w:firstLine="220"/>
              <w:rPr>
                <w:rFonts w:ascii="Arial" w:eastAsia="Times New Roman" w:hAnsi="Arial" w:cs="Arial"/>
                <w:color w:val="000000"/>
                <w:lang w:eastAsia="es-CO"/>
              </w:rPr>
            </w:pPr>
            <w:r w:rsidRPr="00B30577">
              <w:rPr>
                <w:rFonts w:ascii="Arial" w:eastAsia="Times New Roman" w:hAnsi="Arial" w:cs="Arial"/>
                <w:color w:val="000000"/>
                <w:lang w:eastAsia="es-CO"/>
              </w:rPr>
              <w:t>Red Primaria</w:t>
            </w:r>
          </w:p>
        </w:tc>
        <w:tc>
          <w:tcPr>
            <w:tcW w:w="2198"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lang w:eastAsia="es-CO"/>
              </w:rPr>
            </w:pPr>
            <w:r w:rsidRPr="00B30577">
              <w:rPr>
                <w:rFonts w:ascii="Arial" w:eastAsia="Times New Roman" w:hAnsi="Arial" w:cs="Arial"/>
                <w:color w:val="000000"/>
                <w:lang w:eastAsia="es-CO"/>
              </w:rPr>
              <w:t>522.006.867.117</w:t>
            </w:r>
          </w:p>
        </w:tc>
        <w:tc>
          <w:tcPr>
            <w:tcW w:w="94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lang w:eastAsia="es-CO"/>
              </w:rPr>
            </w:pPr>
            <w:r w:rsidRPr="00B30577">
              <w:rPr>
                <w:rFonts w:ascii="Arial" w:eastAsia="Times New Roman" w:hAnsi="Arial" w:cs="Arial"/>
                <w:color w:val="000000"/>
                <w:lang w:eastAsia="es-CO"/>
              </w:rPr>
              <w:t>6,8%</w:t>
            </w:r>
          </w:p>
        </w:tc>
      </w:tr>
      <w:tr w:rsidR="00AE001B" w:rsidRPr="00B30577" w:rsidTr="00E51EDD">
        <w:trPr>
          <w:trHeight w:val="255"/>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ind w:firstLineChars="100" w:firstLine="220"/>
              <w:rPr>
                <w:rFonts w:ascii="Arial" w:eastAsia="Times New Roman" w:hAnsi="Arial" w:cs="Arial"/>
                <w:color w:val="000000"/>
                <w:lang w:eastAsia="es-CO"/>
              </w:rPr>
            </w:pPr>
            <w:r w:rsidRPr="00B30577">
              <w:rPr>
                <w:rFonts w:ascii="Arial" w:eastAsia="Times New Roman" w:hAnsi="Arial" w:cs="Arial"/>
                <w:color w:val="000000"/>
                <w:lang w:eastAsia="es-CO"/>
              </w:rPr>
              <w:t>Fluvial</w:t>
            </w:r>
          </w:p>
        </w:tc>
        <w:tc>
          <w:tcPr>
            <w:tcW w:w="2198"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lang w:eastAsia="es-CO"/>
              </w:rPr>
            </w:pPr>
            <w:r w:rsidRPr="00B30577">
              <w:rPr>
                <w:rFonts w:ascii="Arial" w:eastAsia="Times New Roman" w:hAnsi="Arial" w:cs="Arial"/>
                <w:color w:val="000000"/>
                <w:lang w:eastAsia="es-CO"/>
              </w:rPr>
              <w:t>188.430.220.543</w:t>
            </w:r>
          </w:p>
        </w:tc>
        <w:tc>
          <w:tcPr>
            <w:tcW w:w="94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lang w:eastAsia="es-CO"/>
              </w:rPr>
            </w:pPr>
            <w:r w:rsidRPr="00B30577">
              <w:rPr>
                <w:rFonts w:ascii="Arial" w:eastAsia="Times New Roman" w:hAnsi="Arial" w:cs="Arial"/>
                <w:color w:val="000000"/>
                <w:lang w:eastAsia="es-CO"/>
              </w:rPr>
              <w:t>2,4%</w:t>
            </w:r>
          </w:p>
        </w:tc>
      </w:tr>
      <w:tr w:rsidR="00AE001B" w:rsidRPr="00B30577" w:rsidTr="00E51EDD">
        <w:trPr>
          <w:trHeight w:val="255"/>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ind w:firstLineChars="100" w:firstLine="220"/>
              <w:rPr>
                <w:rFonts w:ascii="Arial" w:eastAsia="Times New Roman" w:hAnsi="Arial" w:cs="Arial"/>
                <w:color w:val="000000"/>
                <w:lang w:eastAsia="es-CO"/>
              </w:rPr>
            </w:pPr>
            <w:r w:rsidRPr="00B30577">
              <w:rPr>
                <w:rFonts w:ascii="Arial" w:eastAsia="Times New Roman" w:hAnsi="Arial" w:cs="Arial"/>
                <w:color w:val="000000"/>
                <w:lang w:eastAsia="es-CO"/>
              </w:rPr>
              <w:t>Aeroportuaria</w:t>
            </w:r>
          </w:p>
        </w:tc>
        <w:tc>
          <w:tcPr>
            <w:tcW w:w="2198"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lang w:eastAsia="es-CO"/>
              </w:rPr>
            </w:pPr>
            <w:r w:rsidRPr="00B30577">
              <w:rPr>
                <w:rFonts w:ascii="Arial" w:eastAsia="Times New Roman" w:hAnsi="Arial" w:cs="Arial"/>
                <w:color w:val="000000"/>
                <w:lang w:eastAsia="es-CO"/>
              </w:rPr>
              <w:t>89.893.376.757</w:t>
            </w:r>
          </w:p>
        </w:tc>
        <w:tc>
          <w:tcPr>
            <w:tcW w:w="94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lang w:eastAsia="es-CO"/>
              </w:rPr>
            </w:pPr>
            <w:r w:rsidRPr="00B30577">
              <w:rPr>
                <w:rFonts w:ascii="Arial" w:eastAsia="Times New Roman" w:hAnsi="Arial" w:cs="Arial"/>
                <w:color w:val="000000"/>
                <w:lang w:eastAsia="es-CO"/>
              </w:rPr>
              <w:t>1,2%</w:t>
            </w:r>
          </w:p>
        </w:tc>
      </w:tr>
      <w:tr w:rsidR="00AE001B" w:rsidRPr="00B30577" w:rsidTr="00E51EDD">
        <w:trPr>
          <w:trHeight w:val="255"/>
          <w:jc w:val="center"/>
        </w:trPr>
        <w:tc>
          <w:tcPr>
            <w:tcW w:w="2689" w:type="dxa"/>
            <w:tcBorders>
              <w:top w:val="nil"/>
              <w:left w:val="single" w:sz="4" w:space="0" w:color="auto"/>
              <w:bottom w:val="nil"/>
              <w:right w:val="single" w:sz="4" w:space="0" w:color="auto"/>
            </w:tcBorders>
            <w:shd w:val="clear" w:color="auto" w:fill="auto"/>
            <w:noWrap/>
            <w:vAlign w:val="bottom"/>
            <w:hideMark/>
          </w:tcPr>
          <w:p w:rsidR="00AE001B" w:rsidRPr="00B30577" w:rsidRDefault="00AE001B" w:rsidP="00E51EDD">
            <w:pPr>
              <w:spacing w:after="0" w:line="240" w:lineRule="auto"/>
              <w:ind w:firstLineChars="100" w:firstLine="220"/>
              <w:rPr>
                <w:rFonts w:ascii="Arial" w:eastAsia="Times New Roman" w:hAnsi="Arial" w:cs="Arial"/>
                <w:color w:val="000000"/>
                <w:lang w:eastAsia="es-CO"/>
              </w:rPr>
            </w:pPr>
            <w:r w:rsidRPr="00B30577">
              <w:rPr>
                <w:rFonts w:ascii="Arial" w:eastAsia="Times New Roman" w:hAnsi="Arial" w:cs="Arial"/>
                <w:color w:val="000000"/>
                <w:lang w:eastAsia="es-CO"/>
              </w:rPr>
              <w:t>Férrea</w:t>
            </w:r>
          </w:p>
        </w:tc>
        <w:tc>
          <w:tcPr>
            <w:tcW w:w="2198" w:type="dxa"/>
            <w:tcBorders>
              <w:top w:val="nil"/>
              <w:left w:val="nil"/>
              <w:bottom w:val="nil"/>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lang w:eastAsia="es-CO"/>
              </w:rPr>
            </w:pPr>
            <w:r w:rsidRPr="00B30577">
              <w:rPr>
                <w:rFonts w:ascii="Arial" w:eastAsia="Times New Roman" w:hAnsi="Arial" w:cs="Arial"/>
                <w:color w:val="000000"/>
                <w:lang w:eastAsia="es-CO"/>
              </w:rPr>
              <w:t>1.842.096.060</w:t>
            </w:r>
          </w:p>
        </w:tc>
        <w:tc>
          <w:tcPr>
            <w:tcW w:w="940" w:type="dxa"/>
            <w:tcBorders>
              <w:top w:val="nil"/>
              <w:left w:val="nil"/>
              <w:bottom w:val="nil"/>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lang w:eastAsia="es-CO"/>
              </w:rPr>
            </w:pPr>
            <w:r w:rsidRPr="00B30577">
              <w:rPr>
                <w:rFonts w:ascii="Arial" w:eastAsia="Times New Roman" w:hAnsi="Arial" w:cs="Arial"/>
                <w:color w:val="000000"/>
                <w:lang w:eastAsia="es-CO"/>
              </w:rPr>
              <w:t>0,02%</w:t>
            </w:r>
          </w:p>
        </w:tc>
      </w:tr>
      <w:tr w:rsidR="00AE001B" w:rsidRPr="00B30577" w:rsidTr="00E51EDD">
        <w:trPr>
          <w:trHeight w:val="255"/>
          <w:jc w:val="center"/>
        </w:trPr>
        <w:tc>
          <w:tcPr>
            <w:tcW w:w="268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AE001B" w:rsidRPr="00B30577" w:rsidRDefault="00AE001B" w:rsidP="00E51EDD">
            <w:pPr>
              <w:spacing w:after="0" w:line="240" w:lineRule="auto"/>
              <w:rPr>
                <w:rFonts w:ascii="Arial" w:eastAsia="Times New Roman" w:hAnsi="Arial" w:cs="Arial"/>
                <w:b/>
                <w:bCs/>
                <w:color w:val="000000"/>
                <w:lang w:eastAsia="es-CO"/>
              </w:rPr>
            </w:pPr>
            <w:r w:rsidRPr="00B30577">
              <w:rPr>
                <w:rFonts w:ascii="Arial" w:eastAsia="Times New Roman" w:hAnsi="Arial" w:cs="Arial"/>
                <w:b/>
                <w:bCs/>
                <w:color w:val="000000"/>
                <w:lang w:eastAsia="es-CO"/>
              </w:rPr>
              <w:t>TOTAL TRANSPORTE</w:t>
            </w:r>
          </w:p>
        </w:tc>
        <w:tc>
          <w:tcPr>
            <w:tcW w:w="2198" w:type="dxa"/>
            <w:tcBorders>
              <w:top w:val="single" w:sz="4" w:space="0" w:color="auto"/>
              <w:left w:val="nil"/>
              <w:bottom w:val="single" w:sz="4" w:space="0" w:color="auto"/>
              <w:right w:val="single" w:sz="4" w:space="0" w:color="auto"/>
            </w:tcBorders>
            <w:shd w:val="clear" w:color="DCE6F1" w:fill="DCE6F1"/>
            <w:noWrap/>
            <w:vAlign w:val="bottom"/>
            <w:hideMark/>
          </w:tcPr>
          <w:p w:rsidR="00AE001B" w:rsidRPr="00B30577" w:rsidRDefault="00AE001B" w:rsidP="00E51EDD">
            <w:pPr>
              <w:spacing w:after="0" w:line="240" w:lineRule="auto"/>
              <w:jc w:val="center"/>
              <w:rPr>
                <w:rFonts w:ascii="Arial" w:eastAsia="Times New Roman" w:hAnsi="Arial" w:cs="Arial"/>
                <w:b/>
                <w:bCs/>
                <w:color w:val="000000"/>
                <w:lang w:eastAsia="es-CO"/>
              </w:rPr>
            </w:pPr>
            <w:r w:rsidRPr="00B30577">
              <w:rPr>
                <w:rFonts w:ascii="Arial" w:eastAsia="Times New Roman" w:hAnsi="Arial" w:cs="Arial"/>
                <w:b/>
                <w:bCs/>
                <w:color w:val="000000"/>
                <w:lang w:eastAsia="es-CO"/>
              </w:rPr>
              <w:t>7.724.855.502.744</w:t>
            </w:r>
          </w:p>
        </w:tc>
        <w:tc>
          <w:tcPr>
            <w:tcW w:w="940" w:type="dxa"/>
            <w:tcBorders>
              <w:top w:val="single" w:sz="4" w:space="0" w:color="auto"/>
              <w:left w:val="nil"/>
              <w:bottom w:val="single" w:sz="4" w:space="0" w:color="auto"/>
              <w:right w:val="single" w:sz="4" w:space="0" w:color="auto"/>
            </w:tcBorders>
            <w:shd w:val="clear" w:color="DCE6F1" w:fill="DCE6F1"/>
            <w:noWrap/>
            <w:vAlign w:val="bottom"/>
            <w:hideMark/>
          </w:tcPr>
          <w:p w:rsidR="00AE001B" w:rsidRPr="00B30577" w:rsidRDefault="00AE001B" w:rsidP="00E51EDD">
            <w:pPr>
              <w:spacing w:after="0" w:line="240" w:lineRule="auto"/>
              <w:jc w:val="center"/>
              <w:rPr>
                <w:rFonts w:ascii="Arial" w:eastAsia="Times New Roman" w:hAnsi="Arial" w:cs="Arial"/>
                <w:b/>
                <w:bCs/>
                <w:color w:val="000000"/>
                <w:lang w:eastAsia="es-CO"/>
              </w:rPr>
            </w:pPr>
            <w:r w:rsidRPr="00B30577">
              <w:rPr>
                <w:rFonts w:ascii="Arial" w:eastAsia="Times New Roman" w:hAnsi="Arial" w:cs="Arial"/>
                <w:b/>
                <w:bCs/>
                <w:color w:val="000000"/>
                <w:lang w:eastAsia="es-CO"/>
              </w:rPr>
              <w:t>100%</w:t>
            </w:r>
          </w:p>
        </w:tc>
      </w:tr>
    </w:tbl>
    <w:p w:rsidR="00AE001B" w:rsidRPr="00B30577" w:rsidRDefault="00AE001B" w:rsidP="00AE001B">
      <w:pPr>
        <w:pStyle w:val="Default"/>
        <w:ind w:left="708" w:firstLine="708"/>
        <w:jc w:val="both"/>
        <w:rPr>
          <w:rFonts w:ascii="Arial" w:eastAsia="MS Mincho" w:hAnsi="Arial" w:cs="Arial"/>
          <w:iCs/>
          <w:color w:val="auto"/>
          <w:sz w:val="20"/>
          <w:szCs w:val="22"/>
          <w:lang w:eastAsia="es-CO"/>
        </w:rPr>
      </w:pPr>
      <w:r w:rsidRPr="00B30577">
        <w:rPr>
          <w:rFonts w:ascii="Arial" w:hAnsi="Arial" w:cs="Arial"/>
          <w:sz w:val="20"/>
          <w:szCs w:val="22"/>
          <w:lang w:eastAsia="es-CO"/>
        </w:rPr>
        <w:t>Fuente: DNP-Gesproy. Proyectos aprobados al 31 de diciembre de 2016.</w:t>
      </w:r>
    </w:p>
    <w:p w:rsidR="00AE001B" w:rsidRPr="00B30577" w:rsidRDefault="00AE001B" w:rsidP="00AE001B">
      <w:pPr>
        <w:pStyle w:val="Default"/>
        <w:jc w:val="both"/>
        <w:rPr>
          <w:rFonts w:ascii="Arial" w:eastAsia="MS Mincho" w:hAnsi="Arial" w:cs="Arial"/>
          <w:iCs/>
          <w:color w:val="auto"/>
          <w:sz w:val="22"/>
          <w:szCs w:val="22"/>
          <w:lang w:eastAsia="es-CO"/>
        </w:rPr>
      </w:pPr>
      <w:r w:rsidRPr="00B30577">
        <w:rPr>
          <w:rFonts w:ascii="Arial" w:eastAsia="MS Mincho" w:hAnsi="Arial" w:cs="Arial"/>
          <w:iCs/>
          <w:color w:val="auto"/>
          <w:sz w:val="22"/>
          <w:szCs w:val="22"/>
          <w:lang w:eastAsia="es-CO"/>
        </w:rPr>
        <w:t xml:space="preserve"> </w:t>
      </w:r>
    </w:p>
    <w:p w:rsidR="00AE001B" w:rsidRDefault="00AE001B" w:rsidP="00AE001B">
      <w:pPr>
        <w:pStyle w:val="Default"/>
        <w:jc w:val="both"/>
        <w:rPr>
          <w:rFonts w:ascii="Arial" w:eastAsia="MS Mincho" w:hAnsi="Arial" w:cs="Arial"/>
          <w:iCs/>
          <w:color w:val="auto"/>
          <w:sz w:val="22"/>
          <w:szCs w:val="22"/>
          <w:lang w:eastAsia="es-CO"/>
        </w:rPr>
      </w:pPr>
    </w:p>
    <w:p w:rsidR="00AE001B" w:rsidRPr="00450B89" w:rsidRDefault="00AE001B" w:rsidP="00AE001B">
      <w:pPr>
        <w:spacing w:before="28" w:after="28" w:line="288" w:lineRule="atLeast"/>
        <w:jc w:val="both"/>
        <w:textAlignment w:val="center"/>
        <w:rPr>
          <w:rFonts w:ascii="Arial" w:hAnsi="Arial" w:cs="Arial"/>
          <w:lang w:eastAsia="es-CO"/>
        </w:rPr>
      </w:pPr>
      <w:r w:rsidRPr="00CA7DDA">
        <w:rPr>
          <w:rFonts w:ascii="Arial" w:hAnsi="Arial" w:cs="Arial"/>
          <w:lang w:eastAsia="es-CO"/>
        </w:rPr>
        <w:t xml:space="preserve">De manera similar, </w:t>
      </w:r>
      <w:r>
        <w:rPr>
          <w:rFonts w:ascii="Arial" w:hAnsi="Arial" w:cs="Arial"/>
          <w:lang w:eastAsia="es-CO"/>
        </w:rPr>
        <w:t xml:space="preserve">como se observa en el Cuadro 7, </w:t>
      </w:r>
      <w:r w:rsidRPr="00CA7DDA">
        <w:rPr>
          <w:rFonts w:ascii="Arial" w:hAnsi="Arial" w:cs="Arial"/>
          <w:lang w:eastAsia="es-CO"/>
        </w:rPr>
        <w:t xml:space="preserve">el 49% del valor del SGR invertido en el sector de vivienda, se concentra en vivienda urbana; </w:t>
      </w:r>
      <w:r>
        <w:rPr>
          <w:rFonts w:ascii="Arial" w:hAnsi="Arial" w:cs="Arial"/>
          <w:lang w:eastAsia="es-CO"/>
        </w:rPr>
        <w:t>en contraste con el</w:t>
      </w:r>
      <w:r w:rsidRPr="00CA7DDA">
        <w:rPr>
          <w:rFonts w:ascii="Arial" w:hAnsi="Arial" w:cs="Arial"/>
          <w:lang w:eastAsia="es-CO"/>
        </w:rPr>
        <w:t xml:space="preserve"> 24% </w:t>
      </w:r>
      <w:r>
        <w:rPr>
          <w:rFonts w:ascii="Arial" w:hAnsi="Arial" w:cs="Arial"/>
          <w:lang w:eastAsia="es-CO"/>
        </w:rPr>
        <w:t>que se destina a la vivienda rural.</w:t>
      </w:r>
    </w:p>
    <w:p w:rsidR="00AE001B" w:rsidRDefault="00AE001B" w:rsidP="00AE001B">
      <w:pPr>
        <w:pStyle w:val="Default"/>
        <w:jc w:val="both"/>
        <w:rPr>
          <w:rFonts w:ascii="Arial" w:eastAsia="MS Mincho" w:hAnsi="Arial" w:cs="Arial"/>
          <w:iCs/>
          <w:color w:val="auto"/>
          <w:sz w:val="22"/>
          <w:szCs w:val="22"/>
          <w:lang w:eastAsia="es-CO"/>
        </w:rPr>
      </w:pPr>
    </w:p>
    <w:p w:rsidR="00AE001B" w:rsidRPr="00B30577" w:rsidRDefault="00AE001B" w:rsidP="00AE001B">
      <w:pPr>
        <w:pStyle w:val="Default"/>
        <w:jc w:val="both"/>
        <w:rPr>
          <w:rFonts w:ascii="Arial" w:eastAsia="MS Mincho" w:hAnsi="Arial" w:cs="Arial"/>
          <w:iCs/>
          <w:color w:val="auto"/>
          <w:sz w:val="22"/>
          <w:szCs w:val="22"/>
          <w:lang w:eastAsia="es-CO"/>
        </w:rPr>
      </w:pPr>
    </w:p>
    <w:p w:rsidR="00AE001B" w:rsidRPr="00B30577" w:rsidRDefault="00AE001B" w:rsidP="00AE001B">
      <w:pPr>
        <w:pStyle w:val="Default"/>
        <w:jc w:val="center"/>
        <w:rPr>
          <w:rFonts w:ascii="Arial" w:eastAsia="MS Mincho" w:hAnsi="Arial" w:cs="Arial"/>
          <w:b/>
          <w:iCs/>
          <w:color w:val="auto"/>
          <w:sz w:val="22"/>
          <w:szCs w:val="22"/>
          <w:lang w:eastAsia="es-CO"/>
        </w:rPr>
      </w:pPr>
      <w:r w:rsidRPr="00B30577">
        <w:rPr>
          <w:rFonts w:ascii="Arial" w:eastAsia="MS Mincho" w:hAnsi="Arial" w:cs="Arial"/>
          <w:b/>
          <w:iCs/>
          <w:color w:val="auto"/>
          <w:sz w:val="22"/>
          <w:szCs w:val="22"/>
          <w:lang w:eastAsia="es-CO"/>
        </w:rPr>
        <w:t>Cuadro 7</w:t>
      </w:r>
    </w:p>
    <w:p w:rsidR="00AE001B" w:rsidRPr="00B30577" w:rsidRDefault="00AE001B" w:rsidP="00AE001B">
      <w:pPr>
        <w:pStyle w:val="Default"/>
        <w:jc w:val="center"/>
        <w:rPr>
          <w:rFonts w:ascii="Arial" w:eastAsia="MS Mincho" w:hAnsi="Arial" w:cs="Arial"/>
          <w:b/>
          <w:iCs/>
          <w:color w:val="auto"/>
          <w:sz w:val="22"/>
          <w:szCs w:val="22"/>
          <w:lang w:eastAsia="es-CO"/>
        </w:rPr>
      </w:pPr>
      <w:r w:rsidRPr="00B30577">
        <w:rPr>
          <w:rFonts w:ascii="Arial" w:eastAsia="MS Mincho" w:hAnsi="Arial" w:cs="Arial"/>
          <w:b/>
          <w:iCs/>
          <w:color w:val="auto"/>
          <w:sz w:val="22"/>
          <w:szCs w:val="22"/>
          <w:lang w:eastAsia="es-CO"/>
        </w:rPr>
        <w:t>Valor SGR aprobado en proyectos de vivienda por subsector</w:t>
      </w:r>
    </w:p>
    <w:tbl>
      <w:tblPr>
        <w:tblW w:w="5723" w:type="dxa"/>
        <w:jc w:val="center"/>
        <w:tblCellMar>
          <w:left w:w="70" w:type="dxa"/>
          <w:right w:w="70" w:type="dxa"/>
        </w:tblCellMar>
        <w:tblLook w:val="04A0" w:firstRow="1" w:lastRow="0" w:firstColumn="1" w:lastColumn="0" w:noHBand="0" w:noVBand="1"/>
      </w:tblPr>
      <w:tblGrid>
        <w:gridCol w:w="2807"/>
        <w:gridCol w:w="1976"/>
        <w:gridCol w:w="940"/>
      </w:tblGrid>
      <w:tr w:rsidR="00AE001B" w:rsidRPr="00B30577" w:rsidTr="00E51EDD">
        <w:trPr>
          <w:trHeight w:val="255"/>
          <w:jc w:val="center"/>
        </w:trPr>
        <w:tc>
          <w:tcPr>
            <w:tcW w:w="2807" w:type="dxa"/>
            <w:tcBorders>
              <w:top w:val="single" w:sz="4" w:space="0" w:color="auto"/>
              <w:left w:val="single" w:sz="4" w:space="0" w:color="auto"/>
              <w:bottom w:val="single" w:sz="4" w:space="0" w:color="auto"/>
              <w:right w:val="single" w:sz="4" w:space="0" w:color="auto"/>
            </w:tcBorders>
            <w:shd w:val="clear" w:color="DCE6F1" w:fill="DCE6F1"/>
            <w:noWrap/>
            <w:vAlign w:val="bottom"/>
          </w:tcPr>
          <w:p w:rsidR="00AE001B" w:rsidRPr="00B30577" w:rsidRDefault="00AE001B" w:rsidP="00E51EDD">
            <w:pPr>
              <w:spacing w:after="0" w:line="240" w:lineRule="auto"/>
              <w:jc w:val="center"/>
              <w:rPr>
                <w:rFonts w:ascii="Arial" w:eastAsia="Times New Roman" w:hAnsi="Arial" w:cs="Arial"/>
                <w:b/>
                <w:bCs/>
                <w:color w:val="000000"/>
                <w:lang w:eastAsia="es-CO"/>
              </w:rPr>
            </w:pPr>
            <w:r w:rsidRPr="00B30577">
              <w:rPr>
                <w:rFonts w:ascii="Arial" w:eastAsia="Times New Roman" w:hAnsi="Arial" w:cs="Arial"/>
                <w:b/>
                <w:bCs/>
                <w:color w:val="000000"/>
                <w:lang w:eastAsia="es-CO"/>
              </w:rPr>
              <w:t>SUBSECTOR</w:t>
            </w:r>
          </w:p>
        </w:tc>
        <w:tc>
          <w:tcPr>
            <w:tcW w:w="1976" w:type="dxa"/>
            <w:tcBorders>
              <w:top w:val="single" w:sz="4" w:space="0" w:color="auto"/>
              <w:left w:val="nil"/>
              <w:bottom w:val="single" w:sz="4" w:space="0" w:color="auto"/>
              <w:right w:val="single" w:sz="4" w:space="0" w:color="auto"/>
            </w:tcBorders>
            <w:shd w:val="clear" w:color="DCE6F1" w:fill="DCE6F1"/>
            <w:noWrap/>
            <w:vAlign w:val="bottom"/>
          </w:tcPr>
          <w:p w:rsidR="00AE001B" w:rsidRPr="00B30577" w:rsidRDefault="00AE001B" w:rsidP="00E51EDD">
            <w:pPr>
              <w:spacing w:after="0" w:line="240" w:lineRule="auto"/>
              <w:jc w:val="center"/>
              <w:rPr>
                <w:rFonts w:ascii="Arial" w:eastAsia="Times New Roman" w:hAnsi="Arial" w:cs="Arial"/>
                <w:b/>
                <w:bCs/>
                <w:color w:val="000000"/>
                <w:lang w:eastAsia="es-CO"/>
              </w:rPr>
            </w:pPr>
            <w:r w:rsidRPr="00B30577">
              <w:rPr>
                <w:rFonts w:ascii="Arial" w:eastAsia="Times New Roman" w:hAnsi="Arial" w:cs="Arial"/>
                <w:b/>
                <w:bCs/>
                <w:color w:val="000000"/>
                <w:lang w:eastAsia="es-CO"/>
              </w:rPr>
              <w:t>VALOR SGR</w:t>
            </w:r>
          </w:p>
        </w:tc>
        <w:tc>
          <w:tcPr>
            <w:tcW w:w="940" w:type="dxa"/>
            <w:tcBorders>
              <w:top w:val="single" w:sz="4" w:space="0" w:color="auto"/>
              <w:left w:val="nil"/>
              <w:bottom w:val="single" w:sz="4" w:space="0" w:color="auto"/>
              <w:right w:val="single" w:sz="4" w:space="0" w:color="auto"/>
            </w:tcBorders>
            <w:shd w:val="clear" w:color="DCE6F1" w:fill="DCE6F1"/>
            <w:noWrap/>
            <w:vAlign w:val="bottom"/>
          </w:tcPr>
          <w:p w:rsidR="00AE001B" w:rsidRPr="00B30577" w:rsidRDefault="00AE001B" w:rsidP="00E51EDD">
            <w:pPr>
              <w:spacing w:after="0" w:line="240" w:lineRule="auto"/>
              <w:jc w:val="center"/>
              <w:rPr>
                <w:rFonts w:ascii="Arial" w:eastAsia="Times New Roman" w:hAnsi="Arial" w:cs="Arial"/>
                <w:b/>
                <w:bCs/>
                <w:color w:val="000000"/>
                <w:lang w:eastAsia="es-CO"/>
              </w:rPr>
            </w:pPr>
            <w:r w:rsidRPr="00B30577">
              <w:rPr>
                <w:rFonts w:ascii="Arial" w:eastAsia="Times New Roman" w:hAnsi="Arial" w:cs="Arial"/>
                <w:b/>
                <w:bCs/>
                <w:color w:val="000000"/>
                <w:lang w:eastAsia="es-CO"/>
              </w:rPr>
              <w:t>%</w:t>
            </w:r>
          </w:p>
        </w:tc>
      </w:tr>
      <w:tr w:rsidR="00AE001B" w:rsidRPr="00B30577" w:rsidTr="00E51EDD">
        <w:trPr>
          <w:trHeight w:val="255"/>
          <w:jc w:val="center"/>
        </w:trPr>
        <w:tc>
          <w:tcPr>
            <w:tcW w:w="2807"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lang w:eastAsia="es-CO"/>
              </w:rPr>
            </w:pPr>
            <w:r w:rsidRPr="00B30577">
              <w:rPr>
                <w:rFonts w:ascii="Arial" w:eastAsia="Times New Roman" w:hAnsi="Arial" w:cs="Arial"/>
                <w:color w:val="000000"/>
                <w:lang w:eastAsia="es-CO"/>
              </w:rPr>
              <w:t xml:space="preserve">    Vivienda urbana</w:t>
            </w:r>
          </w:p>
        </w:tc>
        <w:tc>
          <w:tcPr>
            <w:tcW w:w="1976"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lang w:eastAsia="es-CO"/>
              </w:rPr>
            </w:pPr>
            <w:r w:rsidRPr="00B30577">
              <w:rPr>
                <w:rFonts w:ascii="Arial" w:eastAsia="Times New Roman" w:hAnsi="Arial" w:cs="Arial"/>
                <w:color w:val="000000"/>
                <w:lang w:eastAsia="es-CO"/>
              </w:rPr>
              <w:t>800.050.704.542</w:t>
            </w:r>
          </w:p>
        </w:tc>
        <w:tc>
          <w:tcPr>
            <w:tcW w:w="94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lang w:eastAsia="es-CO"/>
              </w:rPr>
            </w:pPr>
            <w:r w:rsidRPr="00B30577">
              <w:rPr>
                <w:rFonts w:ascii="Arial" w:eastAsia="Times New Roman" w:hAnsi="Arial" w:cs="Arial"/>
                <w:color w:val="000000"/>
                <w:lang w:eastAsia="es-CO"/>
              </w:rPr>
              <w:t>49%</w:t>
            </w:r>
          </w:p>
        </w:tc>
      </w:tr>
      <w:tr w:rsidR="00AE001B" w:rsidRPr="00B30577" w:rsidTr="00E51EDD">
        <w:trPr>
          <w:trHeight w:val="510"/>
          <w:jc w:val="center"/>
        </w:trPr>
        <w:tc>
          <w:tcPr>
            <w:tcW w:w="2807" w:type="dxa"/>
            <w:tcBorders>
              <w:top w:val="nil"/>
              <w:left w:val="single" w:sz="4" w:space="0" w:color="auto"/>
              <w:bottom w:val="single" w:sz="4" w:space="0" w:color="auto"/>
              <w:right w:val="single" w:sz="4" w:space="0" w:color="auto"/>
            </w:tcBorders>
            <w:shd w:val="clear" w:color="auto" w:fill="auto"/>
            <w:vAlign w:val="center"/>
            <w:hideMark/>
          </w:tcPr>
          <w:p w:rsidR="00AE001B" w:rsidRPr="00B30577" w:rsidRDefault="00AE001B" w:rsidP="00E51EDD">
            <w:pPr>
              <w:spacing w:after="0" w:line="240" w:lineRule="auto"/>
              <w:rPr>
                <w:rFonts w:ascii="Arial" w:eastAsia="Times New Roman" w:hAnsi="Arial" w:cs="Arial"/>
                <w:color w:val="000000"/>
                <w:lang w:eastAsia="es-CO"/>
              </w:rPr>
            </w:pPr>
            <w:r w:rsidRPr="00B30577">
              <w:rPr>
                <w:rFonts w:ascii="Arial" w:eastAsia="Times New Roman" w:hAnsi="Arial" w:cs="Arial"/>
                <w:color w:val="000000"/>
                <w:lang w:eastAsia="es-CO"/>
              </w:rPr>
              <w:t xml:space="preserve">    Ordenamiento territorial </w:t>
            </w:r>
          </w:p>
          <w:p w:rsidR="00AE001B" w:rsidRPr="00B30577" w:rsidRDefault="00AE001B" w:rsidP="00E51EDD">
            <w:pPr>
              <w:spacing w:after="0" w:line="240" w:lineRule="auto"/>
              <w:rPr>
                <w:rFonts w:ascii="Arial" w:eastAsia="Times New Roman" w:hAnsi="Arial" w:cs="Arial"/>
                <w:color w:val="000000"/>
                <w:lang w:eastAsia="es-CO"/>
              </w:rPr>
            </w:pPr>
            <w:r w:rsidRPr="00B30577">
              <w:rPr>
                <w:rFonts w:ascii="Arial" w:eastAsia="Times New Roman" w:hAnsi="Arial" w:cs="Arial"/>
                <w:color w:val="000000"/>
                <w:lang w:eastAsia="es-CO"/>
              </w:rPr>
              <w:t xml:space="preserve">    y desarrollo urbano</w:t>
            </w:r>
          </w:p>
        </w:tc>
        <w:tc>
          <w:tcPr>
            <w:tcW w:w="1976"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jc w:val="center"/>
              <w:rPr>
                <w:rFonts w:ascii="Arial" w:eastAsia="Times New Roman" w:hAnsi="Arial" w:cs="Arial"/>
                <w:color w:val="000000"/>
                <w:lang w:eastAsia="es-CO"/>
              </w:rPr>
            </w:pPr>
            <w:r w:rsidRPr="00B30577">
              <w:rPr>
                <w:rFonts w:ascii="Arial" w:eastAsia="Times New Roman" w:hAnsi="Arial" w:cs="Arial"/>
                <w:color w:val="000000"/>
                <w:lang w:eastAsia="es-CO"/>
              </w:rPr>
              <w:t>442.105.893.279</w:t>
            </w:r>
          </w:p>
        </w:tc>
        <w:tc>
          <w:tcPr>
            <w:tcW w:w="940"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jc w:val="center"/>
              <w:rPr>
                <w:rFonts w:ascii="Arial" w:eastAsia="Times New Roman" w:hAnsi="Arial" w:cs="Arial"/>
                <w:color w:val="000000"/>
                <w:lang w:eastAsia="es-CO"/>
              </w:rPr>
            </w:pPr>
            <w:r w:rsidRPr="00B30577">
              <w:rPr>
                <w:rFonts w:ascii="Arial" w:eastAsia="Times New Roman" w:hAnsi="Arial" w:cs="Arial"/>
                <w:color w:val="000000"/>
                <w:lang w:eastAsia="es-CO"/>
              </w:rPr>
              <w:t>27%</w:t>
            </w:r>
          </w:p>
        </w:tc>
      </w:tr>
      <w:tr w:rsidR="00AE001B" w:rsidRPr="00B30577" w:rsidTr="00E51EDD">
        <w:trPr>
          <w:trHeight w:val="255"/>
          <w:jc w:val="center"/>
        </w:trPr>
        <w:tc>
          <w:tcPr>
            <w:tcW w:w="2807" w:type="dxa"/>
            <w:tcBorders>
              <w:top w:val="nil"/>
              <w:left w:val="single" w:sz="4" w:space="0" w:color="auto"/>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lang w:eastAsia="es-CO"/>
              </w:rPr>
            </w:pPr>
            <w:r w:rsidRPr="00B30577">
              <w:rPr>
                <w:rFonts w:ascii="Arial" w:eastAsia="Times New Roman" w:hAnsi="Arial" w:cs="Arial"/>
                <w:color w:val="000000"/>
                <w:lang w:eastAsia="es-CO"/>
              </w:rPr>
              <w:t xml:space="preserve">    Vivienda rural</w:t>
            </w:r>
          </w:p>
        </w:tc>
        <w:tc>
          <w:tcPr>
            <w:tcW w:w="1976"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lang w:eastAsia="es-CO"/>
              </w:rPr>
            </w:pPr>
            <w:r w:rsidRPr="00B30577">
              <w:rPr>
                <w:rFonts w:ascii="Arial" w:eastAsia="Times New Roman" w:hAnsi="Arial" w:cs="Arial"/>
                <w:color w:val="000000"/>
                <w:lang w:eastAsia="es-CO"/>
              </w:rPr>
              <w:t>389.085.314.430</w:t>
            </w:r>
          </w:p>
        </w:tc>
        <w:tc>
          <w:tcPr>
            <w:tcW w:w="940"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jc w:val="center"/>
              <w:rPr>
                <w:rFonts w:ascii="Arial" w:eastAsia="Times New Roman" w:hAnsi="Arial" w:cs="Arial"/>
                <w:color w:val="000000"/>
                <w:lang w:eastAsia="es-CO"/>
              </w:rPr>
            </w:pPr>
            <w:r w:rsidRPr="00B30577">
              <w:rPr>
                <w:rFonts w:ascii="Arial" w:eastAsia="Times New Roman" w:hAnsi="Arial" w:cs="Arial"/>
                <w:color w:val="000000"/>
                <w:lang w:eastAsia="es-CO"/>
              </w:rPr>
              <w:t>24%</w:t>
            </w:r>
          </w:p>
        </w:tc>
      </w:tr>
      <w:tr w:rsidR="00AE001B" w:rsidRPr="00B30577" w:rsidTr="00E51EDD">
        <w:trPr>
          <w:trHeight w:val="255"/>
          <w:jc w:val="center"/>
        </w:trPr>
        <w:tc>
          <w:tcPr>
            <w:tcW w:w="280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tcPr>
          <w:p w:rsidR="00AE001B" w:rsidRPr="00B30577" w:rsidRDefault="00AE001B" w:rsidP="00E51EDD">
            <w:pPr>
              <w:spacing w:after="0" w:line="240" w:lineRule="auto"/>
              <w:rPr>
                <w:rFonts w:ascii="Arial" w:eastAsia="Times New Roman" w:hAnsi="Arial" w:cs="Arial"/>
                <w:b/>
                <w:bCs/>
                <w:color w:val="000000"/>
                <w:lang w:eastAsia="es-CO"/>
              </w:rPr>
            </w:pPr>
            <w:r w:rsidRPr="00B30577">
              <w:rPr>
                <w:rFonts w:ascii="Arial" w:eastAsia="Times New Roman" w:hAnsi="Arial" w:cs="Arial"/>
                <w:b/>
                <w:bCs/>
                <w:color w:val="000000"/>
                <w:lang w:eastAsia="es-CO"/>
              </w:rPr>
              <w:t>TOTAL VIVIENDA</w:t>
            </w:r>
          </w:p>
        </w:tc>
        <w:tc>
          <w:tcPr>
            <w:tcW w:w="1976" w:type="dxa"/>
            <w:tcBorders>
              <w:top w:val="single" w:sz="4" w:space="0" w:color="auto"/>
              <w:left w:val="nil"/>
              <w:bottom w:val="single" w:sz="4" w:space="0" w:color="auto"/>
              <w:right w:val="single" w:sz="4" w:space="0" w:color="auto"/>
            </w:tcBorders>
            <w:shd w:val="clear" w:color="auto" w:fill="DEEAF6" w:themeFill="accent1" w:themeFillTint="33"/>
            <w:noWrap/>
            <w:vAlign w:val="bottom"/>
          </w:tcPr>
          <w:p w:rsidR="00AE001B" w:rsidRPr="00B30577" w:rsidRDefault="00AE001B" w:rsidP="00E51EDD">
            <w:pPr>
              <w:spacing w:after="0" w:line="240" w:lineRule="auto"/>
              <w:jc w:val="center"/>
              <w:rPr>
                <w:rFonts w:ascii="Arial" w:eastAsia="Times New Roman" w:hAnsi="Arial" w:cs="Arial"/>
                <w:b/>
                <w:bCs/>
                <w:color w:val="000000"/>
                <w:lang w:eastAsia="es-CO"/>
              </w:rPr>
            </w:pPr>
            <w:r w:rsidRPr="00B30577">
              <w:rPr>
                <w:rFonts w:ascii="Arial" w:eastAsia="Times New Roman" w:hAnsi="Arial" w:cs="Arial"/>
                <w:b/>
                <w:bCs/>
                <w:color w:val="000000"/>
                <w:lang w:eastAsia="es-CO"/>
              </w:rPr>
              <w:t>1.631.241.912.250</w:t>
            </w:r>
          </w:p>
        </w:tc>
        <w:tc>
          <w:tcPr>
            <w:tcW w:w="940" w:type="dxa"/>
            <w:tcBorders>
              <w:top w:val="single" w:sz="4" w:space="0" w:color="auto"/>
              <w:left w:val="nil"/>
              <w:bottom w:val="single" w:sz="4" w:space="0" w:color="auto"/>
              <w:right w:val="single" w:sz="4" w:space="0" w:color="auto"/>
            </w:tcBorders>
            <w:shd w:val="clear" w:color="auto" w:fill="DEEAF6" w:themeFill="accent1" w:themeFillTint="33"/>
            <w:noWrap/>
            <w:vAlign w:val="bottom"/>
          </w:tcPr>
          <w:p w:rsidR="00AE001B" w:rsidRPr="00B30577" w:rsidRDefault="00AE001B" w:rsidP="00E51EDD">
            <w:pPr>
              <w:spacing w:after="0" w:line="240" w:lineRule="auto"/>
              <w:jc w:val="center"/>
              <w:rPr>
                <w:rFonts w:ascii="Arial" w:eastAsia="Times New Roman" w:hAnsi="Arial" w:cs="Arial"/>
                <w:b/>
                <w:bCs/>
                <w:color w:val="000000"/>
                <w:lang w:eastAsia="es-CO"/>
              </w:rPr>
            </w:pPr>
            <w:r w:rsidRPr="00B30577">
              <w:rPr>
                <w:rFonts w:ascii="Arial" w:eastAsia="Times New Roman" w:hAnsi="Arial" w:cs="Arial"/>
                <w:b/>
                <w:bCs/>
                <w:color w:val="000000"/>
                <w:lang w:eastAsia="es-CO"/>
              </w:rPr>
              <w:t>100%</w:t>
            </w:r>
          </w:p>
        </w:tc>
      </w:tr>
    </w:tbl>
    <w:p w:rsidR="00AE001B" w:rsidRPr="00B30577" w:rsidRDefault="00AE001B" w:rsidP="00AE001B">
      <w:pPr>
        <w:spacing w:before="28" w:after="28" w:line="288" w:lineRule="atLeast"/>
        <w:ind w:left="708" w:firstLine="708"/>
        <w:jc w:val="both"/>
        <w:textAlignment w:val="center"/>
        <w:rPr>
          <w:rFonts w:ascii="Arial" w:eastAsia="MS Mincho" w:hAnsi="Arial" w:cs="Arial"/>
          <w:iCs/>
          <w:sz w:val="20"/>
          <w:lang w:eastAsia="es-CO"/>
        </w:rPr>
      </w:pPr>
      <w:r w:rsidRPr="00B30577">
        <w:rPr>
          <w:rFonts w:ascii="Arial" w:hAnsi="Arial" w:cs="Arial"/>
          <w:sz w:val="20"/>
          <w:lang w:eastAsia="es-CO"/>
        </w:rPr>
        <w:t>Fuente: DNP-Gesproy. Proyectos aprobados al 31 de diciembre de 2016.</w:t>
      </w:r>
    </w:p>
    <w:p w:rsidR="00AE001B" w:rsidRDefault="00AE001B" w:rsidP="00AE001B">
      <w:pPr>
        <w:rPr>
          <w:rFonts w:ascii="Arial" w:eastAsia="MS Mincho" w:hAnsi="Arial" w:cs="Arial"/>
          <w:iCs/>
          <w:lang w:eastAsia="es-CO"/>
        </w:rPr>
      </w:pPr>
    </w:p>
    <w:p w:rsidR="00AE001B" w:rsidRDefault="00AE001B" w:rsidP="00AE001B">
      <w:pPr>
        <w:rPr>
          <w:rFonts w:ascii="Arial" w:eastAsia="MS Mincho" w:hAnsi="Arial" w:cs="Arial"/>
          <w:iCs/>
          <w:lang w:eastAsia="es-CO"/>
        </w:rPr>
      </w:pPr>
      <w:r>
        <w:rPr>
          <w:rFonts w:ascii="Arial" w:eastAsia="MS Mincho" w:hAnsi="Arial" w:cs="Arial"/>
          <w:iCs/>
          <w:lang w:eastAsia="es-CO"/>
        </w:rPr>
        <w:br w:type="page"/>
      </w:r>
    </w:p>
    <w:p w:rsidR="00AE001B" w:rsidRPr="004A64E7" w:rsidRDefault="00AE001B" w:rsidP="00AE001B">
      <w:pPr>
        <w:pStyle w:val="Prrafodelista"/>
        <w:numPr>
          <w:ilvl w:val="1"/>
          <w:numId w:val="2"/>
        </w:numPr>
        <w:spacing w:before="28" w:after="28" w:line="288" w:lineRule="atLeast"/>
        <w:textAlignment w:val="center"/>
        <w:rPr>
          <w:rFonts w:ascii="Arial" w:hAnsi="Arial" w:cs="Arial"/>
          <w:b/>
          <w:lang w:eastAsia="es-CO"/>
        </w:rPr>
      </w:pPr>
      <w:r w:rsidRPr="004A64E7">
        <w:rPr>
          <w:rFonts w:ascii="Arial" w:hAnsi="Arial" w:cs="Arial"/>
          <w:b/>
          <w:lang w:eastAsia="es-CO"/>
        </w:rPr>
        <w:lastRenderedPageBreak/>
        <w:t>El SGR y las inversiones para la implementación del Acuerdo final</w:t>
      </w:r>
    </w:p>
    <w:p w:rsidR="00AE001B" w:rsidRDefault="00AE001B" w:rsidP="00AE001B">
      <w:pPr>
        <w:spacing w:before="28" w:after="28" w:line="288" w:lineRule="atLeast"/>
        <w:jc w:val="both"/>
        <w:textAlignment w:val="center"/>
        <w:rPr>
          <w:rFonts w:ascii="Arial" w:eastAsia="MS Mincho" w:hAnsi="Arial" w:cs="Arial"/>
          <w:iCs/>
          <w:lang w:eastAsia="es-CO"/>
        </w:rPr>
      </w:pPr>
    </w:p>
    <w:p w:rsidR="00AE001B" w:rsidRDefault="00AE001B" w:rsidP="00AE001B">
      <w:pPr>
        <w:spacing w:before="28" w:after="28" w:line="288" w:lineRule="atLeast"/>
        <w:jc w:val="both"/>
        <w:textAlignment w:val="center"/>
        <w:rPr>
          <w:rFonts w:ascii="Arial" w:eastAsia="MS Mincho" w:hAnsi="Arial" w:cs="Arial"/>
          <w:iCs/>
          <w:lang w:eastAsia="es-CO"/>
        </w:rPr>
      </w:pPr>
      <w:r>
        <w:rPr>
          <w:rFonts w:ascii="Arial" w:eastAsia="MS Mincho" w:hAnsi="Arial" w:cs="Arial"/>
          <w:iCs/>
          <w:lang w:eastAsia="es-CO"/>
        </w:rPr>
        <w:t xml:space="preserve">La implementación del Acuerdo Final exige que las entidades territoriales cuenten con recursos adicionales a los </w:t>
      </w:r>
      <w:r w:rsidRPr="00BB5AF4">
        <w:rPr>
          <w:rFonts w:ascii="Arial" w:eastAsia="MS Mincho" w:hAnsi="Arial" w:cs="Arial"/>
          <w:iCs/>
          <w:lang w:eastAsia="es-CO"/>
        </w:rPr>
        <w:t>ya programados</w:t>
      </w:r>
      <w:r>
        <w:rPr>
          <w:rFonts w:ascii="Arial" w:eastAsia="MS Mincho" w:hAnsi="Arial" w:cs="Arial"/>
          <w:iCs/>
          <w:lang w:eastAsia="es-CO"/>
        </w:rPr>
        <w:t xml:space="preserve"> en sus planes de desarrollo, para destinarlos de manera concreta al logro de los puntos acordados.  A</w:t>
      </w:r>
      <w:r w:rsidRPr="004A64E7">
        <w:rPr>
          <w:rFonts w:ascii="Arial" w:eastAsia="MS Mincho" w:hAnsi="Arial" w:cs="Arial"/>
          <w:iCs/>
          <w:lang w:eastAsia="es-CO"/>
        </w:rPr>
        <w:t xml:space="preserve"> la vez, el logro de los compromisos de transformación del territorio incluidos en el Acuerdo</w:t>
      </w:r>
      <w:r>
        <w:rPr>
          <w:rFonts w:ascii="Arial" w:eastAsia="MS Mincho" w:hAnsi="Arial" w:cs="Arial"/>
          <w:iCs/>
          <w:lang w:eastAsia="es-CO"/>
        </w:rPr>
        <w:t xml:space="preserve"> Final</w:t>
      </w:r>
      <w:r w:rsidRPr="004A64E7">
        <w:rPr>
          <w:rFonts w:ascii="Arial" w:eastAsia="MS Mincho" w:hAnsi="Arial" w:cs="Arial"/>
          <w:iCs/>
          <w:lang w:eastAsia="es-CO"/>
        </w:rPr>
        <w:t xml:space="preserve">, </w:t>
      </w:r>
      <w:r>
        <w:rPr>
          <w:rFonts w:ascii="Arial" w:eastAsia="MS Mincho" w:hAnsi="Arial" w:cs="Arial"/>
          <w:iCs/>
          <w:lang w:eastAsia="es-CO"/>
        </w:rPr>
        <w:t>prevé</w:t>
      </w:r>
      <w:r w:rsidRPr="004A64E7">
        <w:rPr>
          <w:rFonts w:ascii="Arial" w:eastAsia="MS Mincho" w:hAnsi="Arial" w:cs="Arial"/>
          <w:iCs/>
          <w:lang w:eastAsia="es-CO"/>
        </w:rPr>
        <w:t xml:space="preserve"> que dichas inversiones sean más intensas y profundas en los territorios que han sufrido mayores afectaciones</w:t>
      </w:r>
      <w:r>
        <w:rPr>
          <w:rFonts w:ascii="Arial" w:eastAsia="MS Mincho" w:hAnsi="Arial" w:cs="Arial"/>
          <w:iCs/>
          <w:lang w:eastAsia="es-CO"/>
        </w:rPr>
        <w:t xml:space="preserve"> derivadas del conflicto armado.</w:t>
      </w:r>
    </w:p>
    <w:p w:rsidR="00AE001B" w:rsidRDefault="00AE001B" w:rsidP="00AE001B">
      <w:pPr>
        <w:spacing w:before="28" w:after="28" w:line="288" w:lineRule="atLeast"/>
        <w:jc w:val="both"/>
        <w:textAlignment w:val="center"/>
        <w:rPr>
          <w:rFonts w:ascii="Arial" w:eastAsia="MS Mincho" w:hAnsi="Arial" w:cs="Arial"/>
          <w:iCs/>
          <w:lang w:eastAsia="es-CO"/>
        </w:rPr>
      </w:pPr>
    </w:p>
    <w:p w:rsidR="00AE001B" w:rsidRPr="004A64E7" w:rsidRDefault="00AE001B" w:rsidP="00AE001B">
      <w:pPr>
        <w:spacing w:before="28" w:after="28" w:line="288" w:lineRule="atLeast"/>
        <w:jc w:val="both"/>
        <w:textAlignment w:val="center"/>
        <w:rPr>
          <w:rFonts w:ascii="Arial" w:eastAsia="MS Mincho" w:hAnsi="Arial" w:cs="Arial"/>
          <w:iCs/>
          <w:lang w:eastAsia="es-CO"/>
        </w:rPr>
      </w:pPr>
      <w:r>
        <w:rPr>
          <w:rFonts w:ascii="Arial" w:eastAsia="MS Mincho" w:hAnsi="Arial" w:cs="Arial"/>
          <w:iCs/>
          <w:lang w:eastAsia="es-CO"/>
        </w:rPr>
        <w:t xml:space="preserve">A la luz de lo anterior, el presente Acto legislativo </w:t>
      </w:r>
      <w:r w:rsidRPr="004A64E7">
        <w:rPr>
          <w:rFonts w:ascii="Arial" w:eastAsia="MS Mincho" w:hAnsi="Arial" w:cs="Arial"/>
          <w:iCs/>
          <w:lang w:eastAsia="es-CO"/>
        </w:rPr>
        <w:t xml:space="preserve">incluye una medida transitoria en el artículo 361 de la Constitución Política para que, durante los próximos veinte (20) años, se destine un 7% de los ingresos del SGR a una asignación especial para la implementación del Acuerdo Final. </w:t>
      </w:r>
    </w:p>
    <w:p w:rsidR="00AE001B" w:rsidRPr="004A64E7" w:rsidRDefault="00AE001B" w:rsidP="00AE001B">
      <w:pPr>
        <w:spacing w:before="28" w:after="28" w:line="288" w:lineRule="atLeast"/>
        <w:jc w:val="both"/>
        <w:textAlignment w:val="center"/>
        <w:rPr>
          <w:rFonts w:ascii="Arial" w:eastAsia="MS Mincho" w:hAnsi="Arial" w:cs="Arial"/>
          <w:iCs/>
          <w:lang w:eastAsia="es-CO"/>
        </w:rPr>
      </w:pPr>
    </w:p>
    <w:p w:rsidR="00AE001B" w:rsidRDefault="00AE001B" w:rsidP="00AE001B">
      <w:pPr>
        <w:jc w:val="both"/>
        <w:rPr>
          <w:rFonts w:ascii="Arial" w:hAnsi="Arial" w:cs="Arial"/>
          <w:color w:val="000000"/>
        </w:rPr>
      </w:pPr>
      <w:r>
        <w:rPr>
          <w:rFonts w:ascii="Arial" w:hAnsi="Arial" w:cs="Arial"/>
          <w:color w:val="000000"/>
        </w:rPr>
        <w:t>E</w:t>
      </w:r>
      <w:r w:rsidRPr="004A64E7">
        <w:rPr>
          <w:rFonts w:ascii="Arial" w:hAnsi="Arial" w:cs="Arial"/>
          <w:color w:val="000000"/>
        </w:rPr>
        <w:t xml:space="preserve">sta nueva asignación representaría un incremento efectivo en los niveles de inversión territorial, trasladando estos siete puntos porcentuales del SGR, del ahorro a la inversión.  </w:t>
      </w:r>
    </w:p>
    <w:p w:rsidR="00AE001B" w:rsidRDefault="00AE001B" w:rsidP="00AE001B">
      <w:pPr>
        <w:jc w:val="both"/>
        <w:rPr>
          <w:rFonts w:ascii="Arial" w:hAnsi="Arial" w:cs="Arial"/>
          <w:color w:val="000000"/>
        </w:rPr>
      </w:pPr>
      <w:r w:rsidRPr="004A64E7">
        <w:rPr>
          <w:rFonts w:ascii="Arial" w:hAnsi="Arial" w:cs="Arial"/>
          <w:color w:val="000000"/>
        </w:rPr>
        <w:t xml:space="preserve">Para ello, se propone que tres puntos sean absorbidos por una reducción de la asignación al ahorro pensional territorial, del </w:t>
      </w:r>
      <w:r>
        <w:rPr>
          <w:rFonts w:ascii="Arial" w:hAnsi="Arial" w:cs="Arial"/>
          <w:color w:val="000000"/>
        </w:rPr>
        <w:t>10% al 7% anual y, d</w:t>
      </w:r>
      <w:r w:rsidRPr="004A64E7">
        <w:rPr>
          <w:rFonts w:ascii="Arial" w:hAnsi="Arial" w:cs="Arial"/>
          <w:color w:val="000000"/>
        </w:rPr>
        <w:t>ejando todas las demás reglas de distribución inalteradas, los 4 puntos porcentuales adicionales requeridos para com</w:t>
      </w:r>
      <w:r>
        <w:rPr>
          <w:rFonts w:ascii="Arial" w:hAnsi="Arial" w:cs="Arial"/>
          <w:color w:val="000000"/>
        </w:rPr>
        <w:t>pletar la asignación especial</w:t>
      </w:r>
      <w:r w:rsidRPr="004A64E7">
        <w:rPr>
          <w:rFonts w:ascii="Arial" w:hAnsi="Arial" w:cs="Arial"/>
          <w:color w:val="000000"/>
        </w:rPr>
        <w:t xml:space="preserve">, serían cubiertos con un menor flujo de </w:t>
      </w:r>
      <w:r>
        <w:rPr>
          <w:rFonts w:ascii="Arial" w:hAnsi="Arial" w:cs="Arial"/>
          <w:color w:val="000000"/>
        </w:rPr>
        <w:t>ahorro en</w:t>
      </w:r>
      <w:r w:rsidRPr="004A64E7">
        <w:rPr>
          <w:rFonts w:ascii="Arial" w:hAnsi="Arial" w:cs="Arial"/>
          <w:color w:val="000000"/>
        </w:rPr>
        <w:t xml:space="preserve"> </w:t>
      </w:r>
      <w:r>
        <w:rPr>
          <w:rFonts w:ascii="Arial" w:hAnsi="Arial" w:cs="Arial"/>
          <w:color w:val="000000"/>
        </w:rPr>
        <w:t>e</w:t>
      </w:r>
      <w:r w:rsidRPr="004A64E7">
        <w:rPr>
          <w:rFonts w:ascii="Arial" w:hAnsi="Arial" w:cs="Arial"/>
          <w:color w:val="000000"/>
        </w:rPr>
        <w:t>l Fondo de Ahorro y Estabilización.</w:t>
      </w:r>
    </w:p>
    <w:p w:rsidR="00AE001B" w:rsidRPr="004A64E7" w:rsidRDefault="00AE001B" w:rsidP="00AE001B">
      <w:pPr>
        <w:jc w:val="both"/>
        <w:rPr>
          <w:rFonts w:ascii="Arial" w:hAnsi="Arial" w:cs="Arial"/>
          <w:color w:val="000000"/>
        </w:rPr>
      </w:pPr>
    </w:p>
    <w:p w:rsidR="00AE001B" w:rsidRPr="00B30577" w:rsidRDefault="00AE001B" w:rsidP="00AE001B">
      <w:pPr>
        <w:spacing w:after="0"/>
        <w:jc w:val="center"/>
        <w:rPr>
          <w:rFonts w:ascii="Arial" w:hAnsi="Arial" w:cs="Arial"/>
          <w:b/>
          <w:color w:val="000000"/>
        </w:rPr>
      </w:pPr>
      <w:r w:rsidRPr="00B30577">
        <w:rPr>
          <w:rFonts w:ascii="Arial" w:hAnsi="Arial" w:cs="Arial"/>
          <w:b/>
          <w:color w:val="000000"/>
        </w:rPr>
        <w:t>Cuadro 8</w:t>
      </w:r>
    </w:p>
    <w:p w:rsidR="00AE001B" w:rsidRPr="007B394F" w:rsidRDefault="00AE001B" w:rsidP="00AE001B">
      <w:pPr>
        <w:spacing w:after="0"/>
        <w:jc w:val="center"/>
        <w:rPr>
          <w:rFonts w:ascii="Arial" w:hAnsi="Arial" w:cs="Arial"/>
          <w:b/>
          <w:color w:val="000000"/>
        </w:rPr>
      </w:pPr>
      <w:r w:rsidRPr="00B30577">
        <w:rPr>
          <w:rFonts w:ascii="Arial" w:hAnsi="Arial" w:cs="Arial"/>
          <w:b/>
          <w:color w:val="000000"/>
        </w:rPr>
        <w:t>Comparación de la distribución anual de los ingresos del SGR</w:t>
      </w:r>
    </w:p>
    <w:tbl>
      <w:tblPr>
        <w:tblW w:w="8990" w:type="dxa"/>
        <w:jc w:val="center"/>
        <w:tblCellMar>
          <w:left w:w="70" w:type="dxa"/>
          <w:right w:w="70" w:type="dxa"/>
        </w:tblCellMar>
        <w:tblLook w:val="04A0" w:firstRow="1" w:lastRow="0" w:firstColumn="1" w:lastColumn="0" w:noHBand="0" w:noVBand="1"/>
      </w:tblPr>
      <w:tblGrid>
        <w:gridCol w:w="2765"/>
        <w:gridCol w:w="2162"/>
        <w:gridCol w:w="1234"/>
        <w:gridCol w:w="1752"/>
        <w:gridCol w:w="1077"/>
      </w:tblGrid>
      <w:tr w:rsidR="00AE001B" w:rsidRPr="00B30577" w:rsidTr="00E51EDD">
        <w:trPr>
          <w:trHeight w:val="475"/>
          <w:jc w:val="center"/>
        </w:trPr>
        <w:tc>
          <w:tcPr>
            <w:tcW w:w="2765" w:type="dxa"/>
            <w:vMerge w:val="restart"/>
            <w:tcBorders>
              <w:right w:val="single" w:sz="4" w:space="0" w:color="auto"/>
            </w:tcBorders>
            <w:shd w:val="clear" w:color="auto" w:fill="auto"/>
            <w:vAlign w:val="bottom"/>
            <w:hideMark/>
          </w:tcPr>
          <w:p w:rsidR="00AE001B" w:rsidRPr="00B30577" w:rsidRDefault="00AE001B" w:rsidP="00E51EDD">
            <w:pPr>
              <w:spacing w:after="0" w:line="240" w:lineRule="auto"/>
              <w:jc w:val="center"/>
              <w:rPr>
                <w:rFonts w:ascii="Arial" w:eastAsia="Times New Roman" w:hAnsi="Arial" w:cs="Arial"/>
                <w:b/>
                <w:bCs/>
                <w:color w:val="FF0000"/>
                <w:sz w:val="20"/>
                <w:szCs w:val="20"/>
                <w:lang w:eastAsia="es-CO"/>
              </w:rPr>
            </w:pPr>
            <w:r w:rsidRPr="00B30577">
              <w:rPr>
                <w:rFonts w:ascii="Arial" w:eastAsia="Times New Roman" w:hAnsi="Arial" w:cs="Arial"/>
                <w:b/>
                <w:bCs/>
                <w:color w:val="FF0000"/>
                <w:sz w:val="20"/>
                <w:szCs w:val="20"/>
                <w:lang w:eastAsia="es-CO"/>
              </w:rPr>
              <w:t> </w:t>
            </w:r>
          </w:p>
        </w:tc>
        <w:tc>
          <w:tcPr>
            <w:tcW w:w="2162" w:type="dxa"/>
            <w:vMerge w:val="restart"/>
            <w:tcBorders>
              <w:top w:val="single" w:sz="4" w:space="0" w:color="auto"/>
              <w:left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jc w:val="center"/>
              <w:rPr>
                <w:rFonts w:ascii="Arial" w:eastAsia="Times New Roman" w:hAnsi="Arial" w:cs="Arial"/>
                <w:b/>
                <w:bCs/>
                <w:color w:val="000000"/>
                <w:sz w:val="18"/>
                <w:szCs w:val="20"/>
                <w:lang w:eastAsia="es-CO"/>
              </w:rPr>
            </w:pPr>
            <w:r w:rsidRPr="00B30577">
              <w:rPr>
                <w:rFonts w:ascii="Arial" w:eastAsia="Times New Roman" w:hAnsi="Arial" w:cs="Arial"/>
                <w:b/>
                <w:bCs/>
                <w:color w:val="000000"/>
                <w:sz w:val="18"/>
                <w:szCs w:val="20"/>
                <w:lang w:eastAsia="es-CO"/>
              </w:rPr>
              <w:t>Regla distribución</w:t>
            </w:r>
          </w:p>
        </w:tc>
        <w:tc>
          <w:tcPr>
            <w:tcW w:w="1234" w:type="dxa"/>
            <w:tcBorders>
              <w:top w:val="single" w:sz="4" w:space="0" w:color="auto"/>
              <w:left w:val="nil"/>
              <w:bottom w:val="single" w:sz="4" w:space="0" w:color="auto"/>
              <w:right w:val="single" w:sz="4" w:space="0" w:color="auto"/>
            </w:tcBorders>
            <w:shd w:val="clear" w:color="000000" w:fill="FFFFFF"/>
            <w:vAlign w:val="center"/>
            <w:hideMark/>
          </w:tcPr>
          <w:p w:rsidR="00AE001B" w:rsidRPr="00B30577" w:rsidRDefault="00AE001B" w:rsidP="00E51EDD">
            <w:pPr>
              <w:spacing w:after="0" w:line="240" w:lineRule="auto"/>
              <w:jc w:val="center"/>
              <w:rPr>
                <w:rFonts w:ascii="Arial" w:eastAsia="Times New Roman" w:hAnsi="Arial" w:cs="Arial"/>
                <w:b/>
                <w:bCs/>
                <w:color w:val="000000"/>
                <w:sz w:val="18"/>
                <w:szCs w:val="20"/>
                <w:lang w:eastAsia="es-CO"/>
              </w:rPr>
            </w:pPr>
            <w:r w:rsidRPr="00B30577">
              <w:rPr>
                <w:rFonts w:ascii="Arial" w:eastAsia="Times New Roman" w:hAnsi="Arial" w:cs="Arial"/>
                <w:b/>
                <w:bCs/>
                <w:color w:val="000000"/>
                <w:sz w:val="18"/>
                <w:szCs w:val="20"/>
                <w:lang w:eastAsia="es-CO"/>
              </w:rPr>
              <w:t>Promedio anual actual*</w:t>
            </w:r>
          </w:p>
        </w:tc>
        <w:tc>
          <w:tcPr>
            <w:tcW w:w="1752" w:type="dxa"/>
            <w:tcBorders>
              <w:top w:val="single" w:sz="4" w:space="0" w:color="auto"/>
              <w:left w:val="nil"/>
              <w:bottom w:val="single" w:sz="4" w:space="0" w:color="auto"/>
              <w:right w:val="single" w:sz="4" w:space="0" w:color="auto"/>
            </w:tcBorders>
            <w:shd w:val="clear" w:color="000000" w:fill="FFFFFF"/>
            <w:vAlign w:val="center"/>
            <w:hideMark/>
          </w:tcPr>
          <w:p w:rsidR="00AE001B" w:rsidRPr="00B30577" w:rsidRDefault="00AE001B" w:rsidP="00E51EDD">
            <w:pPr>
              <w:spacing w:after="0" w:line="240" w:lineRule="auto"/>
              <w:jc w:val="center"/>
              <w:rPr>
                <w:rFonts w:ascii="Arial" w:eastAsia="Times New Roman" w:hAnsi="Arial" w:cs="Arial"/>
                <w:b/>
                <w:bCs/>
                <w:color w:val="000000"/>
                <w:sz w:val="18"/>
                <w:szCs w:val="20"/>
                <w:lang w:eastAsia="es-CO"/>
              </w:rPr>
            </w:pPr>
            <w:r w:rsidRPr="00B30577">
              <w:rPr>
                <w:rFonts w:ascii="Arial" w:eastAsia="Times New Roman" w:hAnsi="Arial" w:cs="Arial"/>
                <w:b/>
                <w:bCs/>
                <w:color w:val="000000"/>
                <w:sz w:val="18"/>
                <w:szCs w:val="20"/>
                <w:lang w:eastAsia="es-CO"/>
              </w:rPr>
              <w:t>Promedio anual con nueva asignación</w:t>
            </w:r>
          </w:p>
        </w:tc>
        <w:tc>
          <w:tcPr>
            <w:tcW w:w="1077" w:type="dxa"/>
            <w:tcBorders>
              <w:top w:val="single" w:sz="4" w:space="0" w:color="auto"/>
              <w:left w:val="nil"/>
              <w:bottom w:val="single" w:sz="4" w:space="0" w:color="auto"/>
              <w:right w:val="single" w:sz="4" w:space="0" w:color="auto"/>
            </w:tcBorders>
            <w:shd w:val="clear" w:color="000000" w:fill="FFFFFF"/>
            <w:vAlign w:val="center"/>
            <w:hideMark/>
          </w:tcPr>
          <w:p w:rsidR="00AE001B" w:rsidRPr="00B30577" w:rsidRDefault="00AE001B" w:rsidP="00E51EDD">
            <w:pPr>
              <w:spacing w:after="0" w:line="240" w:lineRule="auto"/>
              <w:jc w:val="center"/>
              <w:rPr>
                <w:rFonts w:ascii="Arial" w:eastAsia="Times New Roman" w:hAnsi="Arial" w:cs="Arial"/>
                <w:b/>
                <w:bCs/>
                <w:color w:val="000000"/>
                <w:sz w:val="18"/>
                <w:szCs w:val="20"/>
                <w:lang w:eastAsia="es-CO"/>
              </w:rPr>
            </w:pPr>
            <w:r w:rsidRPr="00B30577">
              <w:rPr>
                <w:rFonts w:ascii="Arial" w:eastAsia="Times New Roman" w:hAnsi="Arial" w:cs="Arial"/>
                <w:b/>
                <w:bCs/>
                <w:color w:val="000000"/>
                <w:sz w:val="18"/>
                <w:szCs w:val="20"/>
                <w:lang w:eastAsia="es-CO"/>
              </w:rPr>
              <w:t>Diferencia</w:t>
            </w:r>
          </w:p>
        </w:tc>
      </w:tr>
      <w:tr w:rsidR="00AE001B" w:rsidRPr="00B30577" w:rsidTr="00E51EDD">
        <w:trPr>
          <w:trHeight w:val="118"/>
          <w:jc w:val="center"/>
        </w:trPr>
        <w:tc>
          <w:tcPr>
            <w:tcW w:w="2765" w:type="dxa"/>
            <w:vMerge/>
            <w:tcBorders>
              <w:bottom w:val="single" w:sz="4" w:space="0" w:color="auto"/>
              <w:right w:val="single" w:sz="4" w:space="0" w:color="auto"/>
            </w:tcBorders>
            <w:shd w:val="clear" w:color="000000" w:fill="333F4F"/>
            <w:noWrap/>
            <w:vAlign w:val="center"/>
          </w:tcPr>
          <w:p w:rsidR="00AE001B" w:rsidRPr="00B30577" w:rsidRDefault="00AE001B" w:rsidP="00E51EDD">
            <w:pPr>
              <w:spacing w:after="0" w:line="240" w:lineRule="auto"/>
              <w:rPr>
                <w:rFonts w:ascii="Arial" w:eastAsia="Times New Roman" w:hAnsi="Arial" w:cs="Arial"/>
                <w:b/>
                <w:bCs/>
                <w:color w:val="FFFFFF"/>
                <w:sz w:val="20"/>
                <w:szCs w:val="20"/>
                <w:lang w:eastAsia="es-CO"/>
              </w:rPr>
            </w:pPr>
          </w:p>
        </w:tc>
        <w:tc>
          <w:tcPr>
            <w:tcW w:w="2162" w:type="dxa"/>
            <w:vMerge/>
            <w:tcBorders>
              <w:left w:val="single" w:sz="4" w:space="0" w:color="auto"/>
              <w:bottom w:val="single" w:sz="4" w:space="0" w:color="auto"/>
              <w:right w:val="single" w:sz="4" w:space="0" w:color="auto"/>
            </w:tcBorders>
            <w:shd w:val="clear" w:color="000000" w:fill="333F4F"/>
            <w:noWrap/>
            <w:vAlign w:val="center"/>
          </w:tcPr>
          <w:p w:rsidR="00AE001B" w:rsidRPr="00B30577" w:rsidRDefault="00AE001B" w:rsidP="00E51EDD">
            <w:pPr>
              <w:spacing w:after="0" w:line="240" w:lineRule="auto"/>
              <w:jc w:val="center"/>
              <w:rPr>
                <w:rFonts w:ascii="Arial" w:eastAsia="Times New Roman" w:hAnsi="Arial" w:cs="Arial"/>
                <w:b/>
                <w:bCs/>
                <w:color w:val="FFFFFF"/>
                <w:sz w:val="20"/>
                <w:szCs w:val="20"/>
                <w:lang w:eastAsia="es-CO"/>
              </w:rPr>
            </w:pPr>
          </w:p>
        </w:tc>
        <w:tc>
          <w:tcPr>
            <w:tcW w:w="4063" w:type="dxa"/>
            <w:gridSpan w:val="3"/>
            <w:tcBorders>
              <w:top w:val="nil"/>
              <w:left w:val="nil"/>
              <w:bottom w:val="single" w:sz="4" w:space="0" w:color="auto"/>
              <w:right w:val="single" w:sz="4" w:space="0" w:color="auto"/>
            </w:tcBorders>
            <w:shd w:val="clear" w:color="000000" w:fill="333F4F"/>
            <w:noWrap/>
            <w:vAlign w:val="center"/>
          </w:tcPr>
          <w:p w:rsidR="00AE001B" w:rsidRPr="00B30577" w:rsidRDefault="00AE001B" w:rsidP="00E51EDD">
            <w:pPr>
              <w:spacing w:after="0" w:line="240" w:lineRule="auto"/>
              <w:jc w:val="center"/>
              <w:rPr>
                <w:rFonts w:ascii="Arial" w:eastAsia="Times New Roman" w:hAnsi="Arial" w:cs="Arial"/>
                <w:b/>
                <w:bCs/>
                <w:color w:val="FFFFFF"/>
                <w:sz w:val="20"/>
                <w:szCs w:val="20"/>
                <w:lang w:eastAsia="es-CO"/>
              </w:rPr>
            </w:pPr>
            <w:r>
              <w:rPr>
                <w:rFonts w:ascii="Arial" w:eastAsia="Times New Roman" w:hAnsi="Arial" w:cs="Arial"/>
                <w:b/>
                <w:bCs/>
                <w:color w:val="FFFFFF"/>
                <w:sz w:val="20"/>
                <w:szCs w:val="20"/>
                <w:lang w:eastAsia="es-CO"/>
              </w:rPr>
              <w:t>(miles de millones de pesos)</w:t>
            </w:r>
          </w:p>
        </w:tc>
      </w:tr>
      <w:tr w:rsidR="00AE001B" w:rsidRPr="00B30577" w:rsidTr="00E51EDD">
        <w:trPr>
          <w:trHeight w:val="118"/>
          <w:jc w:val="center"/>
        </w:trPr>
        <w:tc>
          <w:tcPr>
            <w:tcW w:w="2765" w:type="dxa"/>
            <w:tcBorders>
              <w:left w:val="single" w:sz="4" w:space="0" w:color="auto"/>
              <w:bottom w:val="single" w:sz="4" w:space="0" w:color="auto"/>
              <w:right w:val="single" w:sz="4" w:space="0" w:color="auto"/>
            </w:tcBorders>
            <w:shd w:val="clear" w:color="000000" w:fill="333F4F"/>
            <w:noWrap/>
            <w:vAlign w:val="center"/>
            <w:hideMark/>
          </w:tcPr>
          <w:p w:rsidR="00AE001B" w:rsidRPr="00B30577" w:rsidRDefault="00AE001B" w:rsidP="00E51EDD">
            <w:pPr>
              <w:spacing w:after="0" w:line="240" w:lineRule="auto"/>
              <w:rPr>
                <w:rFonts w:ascii="Arial" w:eastAsia="Times New Roman" w:hAnsi="Arial" w:cs="Arial"/>
                <w:b/>
                <w:bCs/>
                <w:color w:val="FFFFFF"/>
                <w:sz w:val="20"/>
                <w:szCs w:val="20"/>
                <w:lang w:eastAsia="es-CO"/>
              </w:rPr>
            </w:pPr>
            <w:r w:rsidRPr="00B30577">
              <w:rPr>
                <w:rFonts w:ascii="Arial" w:eastAsia="Times New Roman" w:hAnsi="Arial" w:cs="Arial"/>
                <w:b/>
                <w:bCs/>
                <w:color w:val="FFFFFF"/>
                <w:sz w:val="20"/>
                <w:szCs w:val="20"/>
                <w:lang w:eastAsia="es-CO"/>
              </w:rPr>
              <w:t>Ingresos totales SGR</w:t>
            </w:r>
          </w:p>
        </w:tc>
        <w:tc>
          <w:tcPr>
            <w:tcW w:w="2162" w:type="dxa"/>
            <w:tcBorders>
              <w:top w:val="nil"/>
              <w:left w:val="nil"/>
              <w:bottom w:val="single" w:sz="4" w:space="0" w:color="auto"/>
              <w:right w:val="single" w:sz="4" w:space="0" w:color="auto"/>
            </w:tcBorders>
            <w:shd w:val="clear" w:color="000000" w:fill="333F4F"/>
            <w:noWrap/>
            <w:vAlign w:val="center"/>
            <w:hideMark/>
          </w:tcPr>
          <w:p w:rsidR="00AE001B" w:rsidRPr="00B30577" w:rsidRDefault="00AE001B" w:rsidP="00E51EDD">
            <w:pPr>
              <w:spacing w:after="0" w:line="240" w:lineRule="auto"/>
              <w:jc w:val="center"/>
              <w:rPr>
                <w:rFonts w:ascii="Arial" w:eastAsia="Times New Roman" w:hAnsi="Arial" w:cs="Arial"/>
                <w:b/>
                <w:bCs/>
                <w:color w:val="FFFFFF"/>
                <w:sz w:val="20"/>
                <w:szCs w:val="20"/>
                <w:lang w:eastAsia="es-CO"/>
              </w:rPr>
            </w:pPr>
            <w:r w:rsidRPr="00B30577">
              <w:rPr>
                <w:rFonts w:ascii="Arial" w:eastAsia="Times New Roman" w:hAnsi="Arial" w:cs="Arial"/>
                <w:b/>
                <w:bCs/>
                <w:color w:val="FFFFFF"/>
                <w:sz w:val="20"/>
                <w:szCs w:val="20"/>
                <w:lang w:eastAsia="es-CO"/>
              </w:rPr>
              <w:t>100%</w:t>
            </w:r>
          </w:p>
        </w:tc>
        <w:tc>
          <w:tcPr>
            <w:tcW w:w="1234" w:type="dxa"/>
            <w:tcBorders>
              <w:top w:val="nil"/>
              <w:left w:val="nil"/>
              <w:bottom w:val="single" w:sz="4" w:space="0" w:color="auto"/>
              <w:right w:val="single" w:sz="4" w:space="0" w:color="auto"/>
            </w:tcBorders>
            <w:shd w:val="clear" w:color="000000" w:fill="333F4F"/>
            <w:noWrap/>
            <w:vAlign w:val="center"/>
            <w:hideMark/>
          </w:tcPr>
          <w:p w:rsidR="00AE001B" w:rsidRPr="00B30577" w:rsidRDefault="00AE001B" w:rsidP="00E51EDD">
            <w:pPr>
              <w:spacing w:after="0" w:line="240" w:lineRule="auto"/>
              <w:jc w:val="center"/>
              <w:rPr>
                <w:rFonts w:ascii="Arial" w:eastAsia="Times New Roman" w:hAnsi="Arial" w:cs="Arial"/>
                <w:b/>
                <w:bCs/>
                <w:color w:val="FFFFFF"/>
                <w:sz w:val="20"/>
                <w:szCs w:val="20"/>
                <w:lang w:eastAsia="es-CO"/>
              </w:rPr>
            </w:pPr>
            <w:r w:rsidRPr="00B30577">
              <w:rPr>
                <w:rFonts w:ascii="Arial" w:eastAsia="Times New Roman" w:hAnsi="Arial" w:cs="Arial"/>
                <w:b/>
                <w:bCs/>
                <w:color w:val="FFFFFF"/>
                <w:sz w:val="20"/>
                <w:szCs w:val="20"/>
                <w:lang w:eastAsia="es-CO"/>
              </w:rPr>
              <w:t>6.017</w:t>
            </w:r>
          </w:p>
        </w:tc>
        <w:tc>
          <w:tcPr>
            <w:tcW w:w="1752" w:type="dxa"/>
            <w:tcBorders>
              <w:top w:val="nil"/>
              <w:left w:val="nil"/>
              <w:bottom w:val="single" w:sz="4" w:space="0" w:color="auto"/>
              <w:right w:val="single" w:sz="4" w:space="0" w:color="auto"/>
            </w:tcBorders>
            <w:shd w:val="clear" w:color="000000" w:fill="333F4F"/>
            <w:noWrap/>
            <w:vAlign w:val="center"/>
            <w:hideMark/>
          </w:tcPr>
          <w:p w:rsidR="00AE001B" w:rsidRPr="00B30577" w:rsidRDefault="00AE001B" w:rsidP="00E51EDD">
            <w:pPr>
              <w:spacing w:after="0" w:line="240" w:lineRule="auto"/>
              <w:jc w:val="center"/>
              <w:rPr>
                <w:rFonts w:ascii="Arial" w:eastAsia="Times New Roman" w:hAnsi="Arial" w:cs="Arial"/>
                <w:b/>
                <w:bCs/>
                <w:color w:val="FFFFFF"/>
                <w:sz w:val="20"/>
                <w:szCs w:val="20"/>
                <w:lang w:eastAsia="es-CO"/>
              </w:rPr>
            </w:pPr>
            <w:r w:rsidRPr="00B30577">
              <w:rPr>
                <w:rFonts w:ascii="Arial" w:eastAsia="Times New Roman" w:hAnsi="Arial" w:cs="Arial"/>
                <w:b/>
                <w:bCs/>
                <w:color w:val="FFFFFF"/>
                <w:sz w:val="20"/>
                <w:szCs w:val="20"/>
                <w:lang w:eastAsia="es-CO"/>
              </w:rPr>
              <w:t>6.017</w:t>
            </w:r>
          </w:p>
        </w:tc>
        <w:tc>
          <w:tcPr>
            <w:tcW w:w="1077" w:type="dxa"/>
            <w:tcBorders>
              <w:top w:val="nil"/>
              <w:left w:val="nil"/>
              <w:bottom w:val="single" w:sz="4" w:space="0" w:color="auto"/>
              <w:right w:val="single" w:sz="4" w:space="0" w:color="auto"/>
            </w:tcBorders>
            <w:shd w:val="clear" w:color="000000" w:fill="333F4F"/>
            <w:noWrap/>
            <w:vAlign w:val="center"/>
            <w:hideMark/>
          </w:tcPr>
          <w:p w:rsidR="00AE001B" w:rsidRPr="00B30577" w:rsidRDefault="00AE001B" w:rsidP="00E51EDD">
            <w:pPr>
              <w:spacing w:after="0" w:line="240" w:lineRule="auto"/>
              <w:jc w:val="center"/>
              <w:rPr>
                <w:rFonts w:ascii="Arial" w:eastAsia="Times New Roman" w:hAnsi="Arial" w:cs="Arial"/>
                <w:b/>
                <w:bCs/>
                <w:color w:val="FFFFFF"/>
                <w:sz w:val="20"/>
                <w:szCs w:val="20"/>
                <w:lang w:eastAsia="es-CO"/>
              </w:rPr>
            </w:pPr>
            <w:r w:rsidRPr="00B30577">
              <w:rPr>
                <w:rFonts w:ascii="Arial" w:eastAsia="Times New Roman" w:hAnsi="Arial" w:cs="Arial"/>
                <w:b/>
                <w:bCs/>
                <w:color w:val="FFFFFF"/>
                <w:sz w:val="20"/>
                <w:szCs w:val="20"/>
                <w:lang w:eastAsia="es-CO"/>
              </w:rPr>
              <w:t>-</w:t>
            </w:r>
          </w:p>
        </w:tc>
      </w:tr>
      <w:tr w:rsidR="00AE001B" w:rsidRPr="00B30577" w:rsidTr="00E51EDD">
        <w:trPr>
          <w:trHeight w:val="462"/>
          <w:jc w:val="center"/>
        </w:trPr>
        <w:tc>
          <w:tcPr>
            <w:tcW w:w="2765" w:type="dxa"/>
            <w:tcBorders>
              <w:top w:val="nil"/>
              <w:left w:val="single" w:sz="4" w:space="0" w:color="auto"/>
              <w:bottom w:val="single" w:sz="4" w:space="0" w:color="auto"/>
              <w:right w:val="single" w:sz="4" w:space="0" w:color="auto"/>
            </w:tcBorders>
            <w:shd w:val="clear" w:color="auto" w:fill="auto"/>
            <w:vAlign w:val="center"/>
            <w:hideMark/>
          </w:tcPr>
          <w:p w:rsidR="00AE001B" w:rsidRPr="00B30577" w:rsidRDefault="00AE001B" w:rsidP="00E51EDD">
            <w:pPr>
              <w:spacing w:after="0" w:line="240" w:lineRule="auto"/>
              <w:rPr>
                <w:rFonts w:ascii="Arial" w:eastAsia="Times New Roman" w:hAnsi="Arial" w:cs="Arial"/>
                <w:i/>
                <w:iCs/>
                <w:color w:val="000000"/>
                <w:sz w:val="20"/>
                <w:szCs w:val="20"/>
                <w:lang w:eastAsia="es-CO"/>
              </w:rPr>
            </w:pPr>
            <w:r w:rsidRPr="00B30577">
              <w:rPr>
                <w:rFonts w:ascii="Arial" w:eastAsia="Times New Roman" w:hAnsi="Arial" w:cs="Arial"/>
                <w:i/>
                <w:iCs/>
                <w:color w:val="000000"/>
                <w:sz w:val="20"/>
                <w:szCs w:val="20"/>
                <w:lang w:eastAsia="es-CO"/>
              </w:rPr>
              <w:t>Gastos de Administración + Río Magdalena y Canal del Dique</w:t>
            </w:r>
          </w:p>
        </w:tc>
        <w:tc>
          <w:tcPr>
            <w:tcW w:w="2162"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jc w:val="center"/>
              <w:rPr>
                <w:rFonts w:ascii="Arial" w:eastAsia="Times New Roman" w:hAnsi="Arial" w:cs="Arial"/>
                <w:i/>
                <w:iCs/>
                <w:color w:val="000000"/>
                <w:sz w:val="20"/>
                <w:szCs w:val="20"/>
                <w:lang w:eastAsia="es-CO"/>
              </w:rPr>
            </w:pPr>
            <w:r w:rsidRPr="00B30577">
              <w:rPr>
                <w:rFonts w:ascii="Arial" w:eastAsia="Times New Roman" w:hAnsi="Arial" w:cs="Arial"/>
                <w:i/>
                <w:iCs/>
                <w:color w:val="000000"/>
                <w:sz w:val="20"/>
                <w:szCs w:val="20"/>
                <w:lang w:eastAsia="es-CO"/>
              </w:rPr>
              <w:t>5,5%</w:t>
            </w:r>
          </w:p>
        </w:tc>
        <w:tc>
          <w:tcPr>
            <w:tcW w:w="1234"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jc w:val="center"/>
              <w:rPr>
                <w:rFonts w:ascii="Arial" w:eastAsia="Times New Roman" w:hAnsi="Arial" w:cs="Arial"/>
                <w:i/>
                <w:iCs/>
                <w:color w:val="000000"/>
                <w:sz w:val="20"/>
                <w:szCs w:val="20"/>
                <w:lang w:eastAsia="es-CO"/>
              </w:rPr>
            </w:pPr>
            <w:r w:rsidRPr="00B30577">
              <w:rPr>
                <w:rFonts w:ascii="Arial" w:eastAsia="Times New Roman" w:hAnsi="Arial" w:cs="Arial"/>
                <w:i/>
                <w:iCs/>
                <w:color w:val="000000"/>
                <w:sz w:val="20"/>
                <w:szCs w:val="20"/>
                <w:lang w:eastAsia="es-CO"/>
              </w:rPr>
              <w:t>331</w:t>
            </w:r>
          </w:p>
        </w:tc>
        <w:tc>
          <w:tcPr>
            <w:tcW w:w="1752"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jc w:val="center"/>
              <w:rPr>
                <w:rFonts w:ascii="Arial" w:eastAsia="Times New Roman" w:hAnsi="Arial" w:cs="Arial"/>
                <w:i/>
                <w:iCs/>
                <w:color w:val="000000"/>
                <w:sz w:val="20"/>
                <w:szCs w:val="20"/>
                <w:lang w:eastAsia="es-CO"/>
              </w:rPr>
            </w:pPr>
            <w:r w:rsidRPr="00B30577">
              <w:rPr>
                <w:rFonts w:ascii="Arial" w:eastAsia="Times New Roman" w:hAnsi="Arial" w:cs="Arial"/>
                <w:i/>
                <w:iCs/>
                <w:color w:val="000000"/>
                <w:sz w:val="20"/>
                <w:szCs w:val="20"/>
                <w:lang w:eastAsia="es-CO"/>
              </w:rPr>
              <w:t>331</w:t>
            </w:r>
          </w:p>
        </w:tc>
        <w:tc>
          <w:tcPr>
            <w:tcW w:w="1077"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jc w:val="center"/>
              <w:rPr>
                <w:rFonts w:ascii="Arial" w:eastAsia="Times New Roman" w:hAnsi="Arial" w:cs="Arial"/>
                <w:i/>
                <w:iCs/>
                <w:color w:val="000000"/>
                <w:sz w:val="20"/>
                <w:szCs w:val="20"/>
                <w:lang w:eastAsia="es-CO"/>
              </w:rPr>
            </w:pPr>
            <w:r w:rsidRPr="00B30577">
              <w:rPr>
                <w:rFonts w:ascii="Arial" w:eastAsia="Times New Roman" w:hAnsi="Arial" w:cs="Arial"/>
                <w:i/>
                <w:iCs/>
                <w:color w:val="000000"/>
                <w:sz w:val="20"/>
                <w:szCs w:val="20"/>
                <w:lang w:eastAsia="es-CO"/>
              </w:rPr>
              <w:t>-</w:t>
            </w:r>
          </w:p>
        </w:tc>
      </w:tr>
      <w:tr w:rsidR="00AE001B" w:rsidRPr="00B30577" w:rsidTr="00E51EDD">
        <w:trPr>
          <w:trHeight w:val="202"/>
          <w:jc w:val="center"/>
        </w:trPr>
        <w:tc>
          <w:tcPr>
            <w:tcW w:w="2765" w:type="dxa"/>
            <w:tcBorders>
              <w:top w:val="nil"/>
              <w:left w:val="single" w:sz="4" w:space="0" w:color="auto"/>
              <w:bottom w:val="single" w:sz="4" w:space="0" w:color="auto"/>
              <w:right w:val="single" w:sz="4" w:space="0" w:color="auto"/>
            </w:tcBorders>
            <w:shd w:val="clear" w:color="000000" w:fill="D9D9D9"/>
            <w:vAlign w:val="center"/>
            <w:hideMark/>
          </w:tcPr>
          <w:p w:rsidR="00AE001B" w:rsidRPr="00B30577" w:rsidRDefault="00AE001B" w:rsidP="00E51EDD">
            <w:pPr>
              <w:spacing w:after="0" w:line="240" w:lineRule="auto"/>
              <w:rPr>
                <w:rFonts w:ascii="Arial" w:eastAsia="Times New Roman" w:hAnsi="Arial" w:cs="Arial"/>
                <w:color w:val="000000"/>
                <w:sz w:val="20"/>
                <w:szCs w:val="20"/>
                <w:lang w:eastAsia="es-CO"/>
              </w:rPr>
            </w:pPr>
            <w:r w:rsidRPr="00B30577">
              <w:rPr>
                <w:rFonts w:ascii="Arial" w:eastAsia="Times New Roman" w:hAnsi="Arial" w:cs="Arial"/>
                <w:color w:val="000000"/>
                <w:sz w:val="20"/>
                <w:szCs w:val="20"/>
                <w:lang w:eastAsia="es-CO"/>
              </w:rPr>
              <w:t>Ingresos después de descuentos</w:t>
            </w:r>
          </w:p>
        </w:tc>
        <w:tc>
          <w:tcPr>
            <w:tcW w:w="2162" w:type="dxa"/>
            <w:tcBorders>
              <w:top w:val="nil"/>
              <w:left w:val="nil"/>
              <w:bottom w:val="single" w:sz="4" w:space="0" w:color="auto"/>
              <w:right w:val="single" w:sz="4" w:space="0" w:color="auto"/>
            </w:tcBorders>
            <w:shd w:val="clear" w:color="000000" w:fill="D9D9D9"/>
            <w:noWrap/>
            <w:vAlign w:val="center"/>
            <w:hideMark/>
          </w:tcPr>
          <w:p w:rsidR="00AE001B" w:rsidRPr="00B30577" w:rsidRDefault="00AE001B" w:rsidP="00E51EDD">
            <w:pPr>
              <w:spacing w:after="0" w:line="240" w:lineRule="auto"/>
              <w:jc w:val="center"/>
              <w:rPr>
                <w:rFonts w:ascii="Arial" w:eastAsia="Times New Roman" w:hAnsi="Arial" w:cs="Arial"/>
                <w:b/>
                <w:bCs/>
                <w:color w:val="000000"/>
                <w:sz w:val="20"/>
                <w:szCs w:val="20"/>
                <w:lang w:eastAsia="es-CO"/>
              </w:rPr>
            </w:pPr>
            <w:r w:rsidRPr="00B30577">
              <w:rPr>
                <w:rFonts w:ascii="Arial" w:eastAsia="Times New Roman" w:hAnsi="Arial" w:cs="Arial"/>
                <w:b/>
                <w:bCs/>
                <w:color w:val="000000"/>
                <w:sz w:val="20"/>
                <w:szCs w:val="20"/>
                <w:lang w:eastAsia="es-CO"/>
              </w:rPr>
              <w:t>94,5%</w:t>
            </w:r>
          </w:p>
        </w:tc>
        <w:tc>
          <w:tcPr>
            <w:tcW w:w="1234" w:type="dxa"/>
            <w:tcBorders>
              <w:top w:val="nil"/>
              <w:left w:val="nil"/>
              <w:bottom w:val="single" w:sz="4" w:space="0" w:color="auto"/>
              <w:right w:val="single" w:sz="4" w:space="0" w:color="auto"/>
            </w:tcBorders>
            <w:shd w:val="clear" w:color="000000" w:fill="D9D9D9"/>
            <w:noWrap/>
            <w:vAlign w:val="center"/>
            <w:hideMark/>
          </w:tcPr>
          <w:p w:rsidR="00AE001B" w:rsidRPr="00B30577" w:rsidRDefault="00AE001B" w:rsidP="00E51EDD">
            <w:pPr>
              <w:spacing w:after="0" w:line="240" w:lineRule="auto"/>
              <w:jc w:val="center"/>
              <w:rPr>
                <w:rFonts w:ascii="Arial" w:eastAsia="Times New Roman" w:hAnsi="Arial" w:cs="Arial"/>
                <w:b/>
                <w:bCs/>
                <w:color w:val="000000"/>
                <w:sz w:val="20"/>
                <w:szCs w:val="20"/>
                <w:lang w:eastAsia="es-CO"/>
              </w:rPr>
            </w:pPr>
            <w:r w:rsidRPr="00B30577">
              <w:rPr>
                <w:rFonts w:ascii="Arial" w:eastAsia="Times New Roman" w:hAnsi="Arial" w:cs="Arial"/>
                <w:b/>
                <w:bCs/>
                <w:color w:val="000000"/>
                <w:sz w:val="20"/>
                <w:szCs w:val="20"/>
                <w:lang w:eastAsia="es-CO"/>
              </w:rPr>
              <w:t>5.686</w:t>
            </w:r>
          </w:p>
        </w:tc>
        <w:tc>
          <w:tcPr>
            <w:tcW w:w="1752" w:type="dxa"/>
            <w:tcBorders>
              <w:top w:val="nil"/>
              <w:left w:val="nil"/>
              <w:bottom w:val="single" w:sz="4" w:space="0" w:color="auto"/>
              <w:right w:val="single" w:sz="4" w:space="0" w:color="auto"/>
            </w:tcBorders>
            <w:shd w:val="clear" w:color="000000" w:fill="D9D9D9"/>
            <w:noWrap/>
            <w:vAlign w:val="center"/>
            <w:hideMark/>
          </w:tcPr>
          <w:p w:rsidR="00AE001B" w:rsidRPr="00B30577" w:rsidRDefault="00AE001B" w:rsidP="00E51EDD">
            <w:pPr>
              <w:spacing w:after="0" w:line="240" w:lineRule="auto"/>
              <w:jc w:val="center"/>
              <w:rPr>
                <w:rFonts w:ascii="Arial" w:eastAsia="Times New Roman" w:hAnsi="Arial" w:cs="Arial"/>
                <w:b/>
                <w:bCs/>
                <w:color w:val="000000"/>
                <w:sz w:val="20"/>
                <w:szCs w:val="20"/>
                <w:lang w:eastAsia="es-CO"/>
              </w:rPr>
            </w:pPr>
            <w:r w:rsidRPr="00B30577">
              <w:rPr>
                <w:rFonts w:ascii="Arial" w:eastAsia="Times New Roman" w:hAnsi="Arial" w:cs="Arial"/>
                <w:b/>
                <w:bCs/>
                <w:color w:val="000000"/>
                <w:sz w:val="20"/>
                <w:szCs w:val="20"/>
                <w:lang w:eastAsia="es-CO"/>
              </w:rPr>
              <w:t>5.686</w:t>
            </w:r>
          </w:p>
        </w:tc>
        <w:tc>
          <w:tcPr>
            <w:tcW w:w="1077" w:type="dxa"/>
            <w:tcBorders>
              <w:top w:val="nil"/>
              <w:left w:val="nil"/>
              <w:bottom w:val="single" w:sz="4" w:space="0" w:color="auto"/>
              <w:right w:val="single" w:sz="4" w:space="0" w:color="auto"/>
            </w:tcBorders>
            <w:shd w:val="clear" w:color="000000" w:fill="D9D9D9"/>
            <w:noWrap/>
            <w:vAlign w:val="center"/>
            <w:hideMark/>
          </w:tcPr>
          <w:p w:rsidR="00AE001B" w:rsidRPr="00B30577" w:rsidRDefault="00AE001B" w:rsidP="00E51EDD">
            <w:pPr>
              <w:spacing w:after="0" w:line="240" w:lineRule="auto"/>
              <w:jc w:val="center"/>
              <w:rPr>
                <w:rFonts w:ascii="Arial" w:eastAsia="Times New Roman" w:hAnsi="Arial" w:cs="Arial"/>
                <w:b/>
                <w:bCs/>
                <w:color w:val="000000"/>
                <w:sz w:val="20"/>
                <w:szCs w:val="20"/>
                <w:lang w:eastAsia="es-CO"/>
              </w:rPr>
            </w:pPr>
            <w:r w:rsidRPr="00B30577">
              <w:rPr>
                <w:rFonts w:ascii="Arial" w:eastAsia="Times New Roman" w:hAnsi="Arial" w:cs="Arial"/>
                <w:b/>
                <w:bCs/>
                <w:color w:val="000000"/>
                <w:sz w:val="20"/>
                <w:szCs w:val="20"/>
                <w:lang w:eastAsia="es-CO"/>
              </w:rPr>
              <w:t>-</w:t>
            </w:r>
          </w:p>
        </w:tc>
      </w:tr>
      <w:tr w:rsidR="00AE001B" w:rsidRPr="00B30577" w:rsidTr="00E51EDD">
        <w:trPr>
          <w:trHeight w:val="402"/>
          <w:jc w:val="center"/>
        </w:trPr>
        <w:tc>
          <w:tcPr>
            <w:tcW w:w="2765" w:type="dxa"/>
            <w:tcBorders>
              <w:top w:val="nil"/>
              <w:left w:val="single" w:sz="4" w:space="0" w:color="auto"/>
              <w:bottom w:val="single" w:sz="4" w:space="0" w:color="auto"/>
              <w:right w:val="single" w:sz="4" w:space="0" w:color="auto"/>
            </w:tcBorders>
            <w:shd w:val="clear" w:color="auto" w:fill="auto"/>
            <w:vAlign w:val="center"/>
            <w:hideMark/>
          </w:tcPr>
          <w:p w:rsidR="00AE001B" w:rsidRPr="00B30577" w:rsidRDefault="00AE001B" w:rsidP="00E51EDD">
            <w:pPr>
              <w:spacing w:after="0" w:line="240" w:lineRule="auto"/>
              <w:rPr>
                <w:rFonts w:ascii="Arial" w:eastAsia="Times New Roman" w:hAnsi="Arial" w:cs="Arial"/>
                <w:color w:val="000000"/>
                <w:sz w:val="20"/>
                <w:szCs w:val="20"/>
                <w:lang w:eastAsia="es-CO"/>
              </w:rPr>
            </w:pPr>
            <w:r w:rsidRPr="00B30577">
              <w:rPr>
                <w:rFonts w:ascii="Arial" w:eastAsia="Times New Roman" w:hAnsi="Arial" w:cs="Arial"/>
                <w:color w:val="000000"/>
                <w:sz w:val="20"/>
                <w:szCs w:val="20"/>
                <w:lang w:eastAsia="es-CO"/>
              </w:rPr>
              <w:t>Fondo de Ciencia, Tecnología e Innovación -FCTI</w:t>
            </w:r>
          </w:p>
        </w:tc>
        <w:tc>
          <w:tcPr>
            <w:tcW w:w="2162" w:type="dxa"/>
            <w:tcBorders>
              <w:top w:val="nil"/>
              <w:left w:val="nil"/>
              <w:bottom w:val="single" w:sz="4" w:space="0" w:color="auto"/>
              <w:right w:val="single" w:sz="4" w:space="0" w:color="auto"/>
            </w:tcBorders>
            <w:shd w:val="clear" w:color="auto" w:fill="auto"/>
            <w:vAlign w:val="center"/>
            <w:hideMark/>
          </w:tcPr>
          <w:p w:rsidR="00AE001B" w:rsidRPr="00B30577" w:rsidRDefault="00AE001B" w:rsidP="00E51EDD">
            <w:pPr>
              <w:spacing w:after="0" w:line="240" w:lineRule="auto"/>
              <w:jc w:val="center"/>
              <w:rPr>
                <w:rFonts w:ascii="Arial" w:eastAsia="Times New Roman" w:hAnsi="Arial" w:cs="Arial"/>
                <w:color w:val="000000"/>
                <w:sz w:val="20"/>
                <w:szCs w:val="20"/>
                <w:lang w:eastAsia="es-CO"/>
              </w:rPr>
            </w:pPr>
            <w:r w:rsidRPr="00B30577">
              <w:rPr>
                <w:rFonts w:ascii="Arial" w:eastAsia="Times New Roman" w:hAnsi="Arial" w:cs="Arial"/>
                <w:color w:val="000000"/>
                <w:sz w:val="20"/>
                <w:szCs w:val="20"/>
                <w:lang w:eastAsia="es-CO"/>
              </w:rPr>
              <w:t>10%</w:t>
            </w:r>
          </w:p>
        </w:tc>
        <w:tc>
          <w:tcPr>
            <w:tcW w:w="1234"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jc w:val="center"/>
              <w:rPr>
                <w:rFonts w:ascii="Arial" w:eastAsia="Times New Roman" w:hAnsi="Arial" w:cs="Arial"/>
                <w:bCs/>
                <w:color w:val="000000"/>
                <w:sz w:val="20"/>
                <w:szCs w:val="20"/>
                <w:lang w:eastAsia="es-CO"/>
              </w:rPr>
            </w:pPr>
            <w:r w:rsidRPr="00B30577">
              <w:rPr>
                <w:rFonts w:ascii="Arial" w:eastAsia="Times New Roman" w:hAnsi="Arial" w:cs="Arial"/>
                <w:bCs/>
                <w:color w:val="000000"/>
                <w:sz w:val="20"/>
                <w:szCs w:val="20"/>
                <w:lang w:eastAsia="es-CO"/>
              </w:rPr>
              <w:t>569</w:t>
            </w:r>
          </w:p>
        </w:tc>
        <w:tc>
          <w:tcPr>
            <w:tcW w:w="1752"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jc w:val="center"/>
              <w:rPr>
                <w:rFonts w:ascii="Arial" w:eastAsia="Times New Roman" w:hAnsi="Arial" w:cs="Arial"/>
                <w:bCs/>
                <w:color w:val="000000"/>
                <w:sz w:val="20"/>
                <w:szCs w:val="20"/>
                <w:lang w:eastAsia="es-CO"/>
              </w:rPr>
            </w:pPr>
            <w:r w:rsidRPr="00B30577">
              <w:rPr>
                <w:rFonts w:ascii="Arial" w:eastAsia="Times New Roman" w:hAnsi="Arial" w:cs="Arial"/>
                <w:bCs/>
                <w:color w:val="000000"/>
                <w:sz w:val="20"/>
                <w:szCs w:val="20"/>
                <w:lang w:eastAsia="es-CO"/>
              </w:rPr>
              <w:t>569</w:t>
            </w:r>
          </w:p>
        </w:tc>
        <w:tc>
          <w:tcPr>
            <w:tcW w:w="1077"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jc w:val="center"/>
              <w:rPr>
                <w:rFonts w:ascii="Arial" w:eastAsia="Times New Roman" w:hAnsi="Arial" w:cs="Arial"/>
                <w:bCs/>
                <w:color w:val="000000"/>
                <w:sz w:val="20"/>
                <w:szCs w:val="20"/>
                <w:lang w:eastAsia="es-CO"/>
              </w:rPr>
            </w:pPr>
            <w:r w:rsidRPr="00B30577">
              <w:rPr>
                <w:rFonts w:ascii="Arial" w:eastAsia="Times New Roman" w:hAnsi="Arial" w:cs="Arial"/>
                <w:bCs/>
                <w:color w:val="000000"/>
                <w:sz w:val="20"/>
                <w:szCs w:val="20"/>
                <w:lang w:eastAsia="es-CO"/>
              </w:rPr>
              <w:t>-</w:t>
            </w:r>
          </w:p>
        </w:tc>
      </w:tr>
      <w:tr w:rsidR="00AE001B" w:rsidRPr="00B30577" w:rsidTr="00E51EDD">
        <w:trPr>
          <w:trHeight w:val="337"/>
          <w:jc w:val="center"/>
        </w:trPr>
        <w:tc>
          <w:tcPr>
            <w:tcW w:w="2765" w:type="dxa"/>
            <w:tcBorders>
              <w:top w:val="nil"/>
              <w:left w:val="single" w:sz="4" w:space="0" w:color="auto"/>
              <w:bottom w:val="single" w:sz="4" w:space="0" w:color="auto"/>
              <w:right w:val="single" w:sz="4" w:space="0" w:color="auto"/>
            </w:tcBorders>
            <w:shd w:val="clear" w:color="auto" w:fill="auto"/>
            <w:vAlign w:val="center"/>
            <w:hideMark/>
          </w:tcPr>
          <w:p w:rsidR="00AE001B" w:rsidRPr="00B30577" w:rsidRDefault="00AE001B" w:rsidP="00E51EDD">
            <w:pPr>
              <w:spacing w:after="0" w:line="240" w:lineRule="auto"/>
              <w:rPr>
                <w:rFonts w:ascii="Arial" w:eastAsia="Times New Roman" w:hAnsi="Arial" w:cs="Arial"/>
                <w:color w:val="FF0000"/>
                <w:sz w:val="20"/>
                <w:szCs w:val="20"/>
                <w:lang w:eastAsia="es-CO"/>
              </w:rPr>
            </w:pPr>
            <w:r w:rsidRPr="00B30577">
              <w:rPr>
                <w:rFonts w:ascii="Arial" w:eastAsia="Times New Roman" w:hAnsi="Arial" w:cs="Arial"/>
                <w:color w:val="FF0000"/>
                <w:sz w:val="20"/>
                <w:szCs w:val="20"/>
                <w:lang w:eastAsia="es-CO"/>
              </w:rPr>
              <w:t>Asignación para la implementación del Acuerdo</w:t>
            </w:r>
          </w:p>
        </w:tc>
        <w:tc>
          <w:tcPr>
            <w:tcW w:w="2162" w:type="dxa"/>
            <w:tcBorders>
              <w:top w:val="nil"/>
              <w:left w:val="nil"/>
              <w:bottom w:val="single" w:sz="4" w:space="0" w:color="auto"/>
              <w:right w:val="single" w:sz="4" w:space="0" w:color="auto"/>
            </w:tcBorders>
            <w:shd w:val="clear" w:color="auto" w:fill="auto"/>
            <w:vAlign w:val="center"/>
            <w:hideMark/>
          </w:tcPr>
          <w:p w:rsidR="00AE001B" w:rsidRPr="00B30577" w:rsidRDefault="00AE001B" w:rsidP="00E51EDD">
            <w:pPr>
              <w:spacing w:after="0" w:line="240" w:lineRule="auto"/>
              <w:jc w:val="center"/>
              <w:rPr>
                <w:rFonts w:ascii="Arial" w:eastAsia="Times New Roman" w:hAnsi="Arial" w:cs="Arial"/>
                <w:color w:val="FF0000"/>
                <w:sz w:val="20"/>
                <w:szCs w:val="20"/>
                <w:lang w:eastAsia="es-CO"/>
              </w:rPr>
            </w:pPr>
            <w:r w:rsidRPr="00B30577">
              <w:rPr>
                <w:rFonts w:ascii="Arial" w:eastAsia="Times New Roman" w:hAnsi="Arial" w:cs="Arial"/>
                <w:color w:val="FF0000"/>
                <w:sz w:val="20"/>
                <w:szCs w:val="20"/>
                <w:lang w:eastAsia="es-CO"/>
              </w:rPr>
              <w:t>7%</w:t>
            </w:r>
          </w:p>
        </w:tc>
        <w:tc>
          <w:tcPr>
            <w:tcW w:w="1234"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jc w:val="center"/>
              <w:rPr>
                <w:rFonts w:ascii="Arial" w:eastAsia="Times New Roman" w:hAnsi="Arial" w:cs="Arial"/>
                <w:bCs/>
                <w:color w:val="FF0000"/>
                <w:sz w:val="20"/>
                <w:szCs w:val="20"/>
                <w:lang w:eastAsia="es-CO"/>
              </w:rPr>
            </w:pPr>
            <w:r w:rsidRPr="00B30577">
              <w:rPr>
                <w:rFonts w:ascii="Arial" w:eastAsia="Times New Roman" w:hAnsi="Arial" w:cs="Arial"/>
                <w:bCs/>
                <w:color w:val="FF0000"/>
                <w:sz w:val="20"/>
                <w:szCs w:val="20"/>
                <w:lang w:eastAsia="es-CO"/>
              </w:rPr>
              <w:t>-</w:t>
            </w:r>
          </w:p>
        </w:tc>
        <w:tc>
          <w:tcPr>
            <w:tcW w:w="1752"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jc w:val="center"/>
              <w:rPr>
                <w:rFonts w:ascii="Arial" w:eastAsia="Times New Roman" w:hAnsi="Arial" w:cs="Arial"/>
                <w:bCs/>
                <w:color w:val="FF0000"/>
                <w:sz w:val="20"/>
                <w:szCs w:val="20"/>
                <w:lang w:eastAsia="es-CO"/>
              </w:rPr>
            </w:pPr>
            <w:r w:rsidRPr="00B30577">
              <w:rPr>
                <w:rFonts w:ascii="Arial" w:eastAsia="Times New Roman" w:hAnsi="Arial" w:cs="Arial"/>
                <w:bCs/>
                <w:color w:val="FF0000"/>
                <w:sz w:val="20"/>
                <w:szCs w:val="20"/>
                <w:lang w:eastAsia="es-CO"/>
              </w:rPr>
              <w:t>398</w:t>
            </w:r>
          </w:p>
        </w:tc>
        <w:tc>
          <w:tcPr>
            <w:tcW w:w="1077"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jc w:val="center"/>
              <w:rPr>
                <w:rFonts w:ascii="Arial" w:eastAsia="Times New Roman" w:hAnsi="Arial" w:cs="Arial"/>
                <w:bCs/>
                <w:color w:val="FF0000"/>
                <w:sz w:val="20"/>
                <w:szCs w:val="20"/>
                <w:lang w:eastAsia="es-CO"/>
              </w:rPr>
            </w:pPr>
            <w:r w:rsidRPr="00B30577">
              <w:rPr>
                <w:rFonts w:ascii="Arial" w:eastAsia="Times New Roman" w:hAnsi="Arial" w:cs="Arial"/>
                <w:bCs/>
                <w:color w:val="FF0000"/>
                <w:sz w:val="20"/>
                <w:szCs w:val="20"/>
                <w:lang w:eastAsia="es-CO"/>
              </w:rPr>
              <w:t>398</w:t>
            </w:r>
          </w:p>
        </w:tc>
      </w:tr>
      <w:tr w:rsidR="00AE001B" w:rsidRPr="00B30577" w:rsidTr="00E51EDD">
        <w:trPr>
          <w:trHeight w:val="300"/>
          <w:jc w:val="center"/>
        </w:trPr>
        <w:tc>
          <w:tcPr>
            <w:tcW w:w="2765" w:type="dxa"/>
            <w:tcBorders>
              <w:top w:val="nil"/>
              <w:left w:val="single" w:sz="4" w:space="0" w:color="auto"/>
              <w:bottom w:val="single" w:sz="4" w:space="0" w:color="auto"/>
              <w:right w:val="single" w:sz="4" w:space="0" w:color="auto"/>
            </w:tcBorders>
            <w:shd w:val="clear" w:color="auto" w:fill="auto"/>
            <w:vAlign w:val="center"/>
            <w:hideMark/>
          </w:tcPr>
          <w:p w:rsidR="00AE001B" w:rsidRPr="00B30577" w:rsidRDefault="00AE001B" w:rsidP="00E51EDD">
            <w:pPr>
              <w:spacing w:after="0" w:line="240" w:lineRule="auto"/>
              <w:rPr>
                <w:rFonts w:ascii="Arial" w:eastAsia="Times New Roman" w:hAnsi="Arial" w:cs="Arial"/>
                <w:sz w:val="20"/>
                <w:szCs w:val="20"/>
                <w:lang w:eastAsia="es-CO"/>
              </w:rPr>
            </w:pPr>
            <w:r w:rsidRPr="00B30577">
              <w:rPr>
                <w:rFonts w:ascii="Arial" w:eastAsia="Times New Roman" w:hAnsi="Arial" w:cs="Arial"/>
                <w:sz w:val="20"/>
                <w:szCs w:val="20"/>
                <w:lang w:eastAsia="es-CO"/>
              </w:rPr>
              <w:t>Ahorro pensional territorial</w:t>
            </w:r>
          </w:p>
        </w:tc>
        <w:tc>
          <w:tcPr>
            <w:tcW w:w="2162" w:type="dxa"/>
            <w:tcBorders>
              <w:top w:val="nil"/>
              <w:left w:val="nil"/>
              <w:bottom w:val="single" w:sz="4" w:space="0" w:color="auto"/>
              <w:right w:val="single" w:sz="4" w:space="0" w:color="auto"/>
            </w:tcBorders>
            <w:shd w:val="clear" w:color="auto" w:fill="auto"/>
            <w:vAlign w:val="center"/>
            <w:hideMark/>
          </w:tcPr>
          <w:p w:rsidR="00AE001B" w:rsidRPr="00B30577" w:rsidRDefault="00AE001B" w:rsidP="00E51EDD">
            <w:pPr>
              <w:spacing w:after="0" w:line="240" w:lineRule="auto"/>
              <w:jc w:val="center"/>
              <w:rPr>
                <w:rFonts w:ascii="Arial" w:eastAsia="Times New Roman" w:hAnsi="Arial" w:cs="Arial"/>
                <w:color w:val="FF0000"/>
                <w:sz w:val="20"/>
                <w:szCs w:val="20"/>
                <w:lang w:eastAsia="es-CO"/>
              </w:rPr>
            </w:pPr>
            <w:r w:rsidRPr="00B30577">
              <w:rPr>
                <w:rFonts w:ascii="Arial" w:eastAsia="Times New Roman" w:hAnsi="Arial" w:cs="Arial"/>
                <w:sz w:val="20"/>
                <w:szCs w:val="20"/>
                <w:lang w:eastAsia="es-CO"/>
              </w:rPr>
              <w:t xml:space="preserve">10% </w:t>
            </w:r>
            <w:r w:rsidRPr="00B30577">
              <w:rPr>
                <w:rFonts w:ascii="Arial" w:eastAsia="Times New Roman" w:hAnsi="Arial" w:cs="Arial"/>
                <w:color w:val="FF0000"/>
                <w:sz w:val="20"/>
                <w:szCs w:val="20"/>
                <w:lang w:eastAsia="es-CO"/>
              </w:rPr>
              <w:t>/ 7%</w:t>
            </w:r>
          </w:p>
        </w:tc>
        <w:tc>
          <w:tcPr>
            <w:tcW w:w="1234"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jc w:val="center"/>
              <w:rPr>
                <w:rFonts w:ascii="Arial" w:eastAsia="Times New Roman" w:hAnsi="Arial" w:cs="Arial"/>
                <w:bCs/>
                <w:sz w:val="20"/>
                <w:szCs w:val="20"/>
                <w:lang w:eastAsia="es-CO"/>
              </w:rPr>
            </w:pPr>
            <w:r w:rsidRPr="00B30577">
              <w:rPr>
                <w:rFonts w:ascii="Arial" w:eastAsia="Times New Roman" w:hAnsi="Arial" w:cs="Arial"/>
                <w:bCs/>
                <w:sz w:val="20"/>
                <w:szCs w:val="20"/>
                <w:lang w:eastAsia="es-CO"/>
              </w:rPr>
              <w:t>569</w:t>
            </w:r>
          </w:p>
        </w:tc>
        <w:tc>
          <w:tcPr>
            <w:tcW w:w="1752"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jc w:val="center"/>
              <w:rPr>
                <w:rFonts w:ascii="Arial" w:eastAsia="Times New Roman" w:hAnsi="Arial" w:cs="Arial"/>
                <w:bCs/>
                <w:color w:val="FF0000"/>
                <w:sz w:val="20"/>
                <w:szCs w:val="20"/>
                <w:lang w:eastAsia="es-CO"/>
              </w:rPr>
            </w:pPr>
            <w:r w:rsidRPr="00B30577">
              <w:rPr>
                <w:rFonts w:ascii="Arial" w:eastAsia="Times New Roman" w:hAnsi="Arial" w:cs="Arial"/>
                <w:bCs/>
                <w:color w:val="FF0000"/>
                <w:sz w:val="20"/>
                <w:szCs w:val="20"/>
                <w:lang w:eastAsia="es-CO"/>
              </w:rPr>
              <w:t>398</w:t>
            </w:r>
          </w:p>
        </w:tc>
        <w:tc>
          <w:tcPr>
            <w:tcW w:w="1077"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jc w:val="center"/>
              <w:rPr>
                <w:rFonts w:ascii="Arial" w:eastAsia="Times New Roman" w:hAnsi="Arial" w:cs="Arial"/>
                <w:bCs/>
                <w:color w:val="FF0000"/>
                <w:sz w:val="20"/>
                <w:szCs w:val="20"/>
                <w:lang w:eastAsia="es-CO"/>
              </w:rPr>
            </w:pPr>
            <w:r w:rsidRPr="00B30577">
              <w:rPr>
                <w:rFonts w:ascii="Arial" w:eastAsia="Times New Roman" w:hAnsi="Arial" w:cs="Arial"/>
                <w:bCs/>
                <w:color w:val="FF0000"/>
                <w:sz w:val="20"/>
                <w:szCs w:val="20"/>
                <w:lang w:eastAsia="es-CO"/>
              </w:rPr>
              <w:t>(171)</w:t>
            </w:r>
          </w:p>
        </w:tc>
      </w:tr>
      <w:tr w:rsidR="00AE001B" w:rsidRPr="00B30577" w:rsidTr="00E51EDD">
        <w:trPr>
          <w:trHeight w:val="520"/>
          <w:jc w:val="center"/>
        </w:trPr>
        <w:tc>
          <w:tcPr>
            <w:tcW w:w="2765" w:type="dxa"/>
            <w:tcBorders>
              <w:top w:val="nil"/>
              <w:left w:val="single" w:sz="4" w:space="0" w:color="auto"/>
              <w:bottom w:val="single" w:sz="4" w:space="0" w:color="auto"/>
              <w:right w:val="single" w:sz="4" w:space="0" w:color="auto"/>
            </w:tcBorders>
            <w:shd w:val="clear" w:color="auto" w:fill="auto"/>
            <w:vAlign w:val="center"/>
            <w:hideMark/>
          </w:tcPr>
          <w:p w:rsidR="00AE001B" w:rsidRPr="00B30577" w:rsidRDefault="00AE001B" w:rsidP="00E51EDD">
            <w:pPr>
              <w:spacing w:after="0" w:line="240" w:lineRule="auto"/>
              <w:rPr>
                <w:rFonts w:ascii="Arial" w:eastAsia="Times New Roman" w:hAnsi="Arial" w:cs="Arial"/>
                <w:sz w:val="20"/>
                <w:szCs w:val="20"/>
                <w:lang w:eastAsia="es-CO"/>
              </w:rPr>
            </w:pPr>
            <w:r w:rsidRPr="00B30577">
              <w:rPr>
                <w:rFonts w:ascii="Arial" w:eastAsia="Times New Roman" w:hAnsi="Arial" w:cs="Arial"/>
                <w:sz w:val="20"/>
                <w:szCs w:val="20"/>
                <w:lang w:eastAsia="es-CO"/>
              </w:rPr>
              <w:t xml:space="preserve">Inversión regional </w:t>
            </w:r>
            <w:r w:rsidRPr="00B30577">
              <w:rPr>
                <w:rFonts w:ascii="Arial" w:eastAsia="Times New Roman" w:hAnsi="Arial" w:cs="Arial"/>
                <w:sz w:val="20"/>
                <w:szCs w:val="20"/>
                <w:lang w:eastAsia="es-CO"/>
              </w:rPr>
              <w:br/>
              <w:t>(AD + FDR + FCR)</w:t>
            </w:r>
          </w:p>
        </w:tc>
        <w:tc>
          <w:tcPr>
            <w:tcW w:w="2162" w:type="dxa"/>
            <w:tcBorders>
              <w:top w:val="nil"/>
              <w:left w:val="nil"/>
              <w:bottom w:val="single" w:sz="4" w:space="0" w:color="auto"/>
              <w:right w:val="single" w:sz="4" w:space="0" w:color="auto"/>
            </w:tcBorders>
            <w:shd w:val="clear" w:color="auto" w:fill="auto"/>
            <w:vAlign w:val="center"/>
            <w:hideMark/>
          </w:tcPr>
          <w:p w:rsidR="00AE001B" w:rsidRPr="00B30577" w:rsidRDefault="00AE001B" w:rsidP="00E51EDD">
            <w:pPr>
              <w:spacing w:after="0" w:line="240" w:lineRule="auto"/>
              <w:jc w:val="center"/>
              <w:rPr>
                <w:rFonts w:ascii="Arial" w:eastAsia="Times New Roman" w:hAnsi="Arial" w:cs="Arial"/>
                <w:sz w:val="20"/>
                <w:szCs w:val="20"/>
                <w:lang w:eastAsia="es-CO"/>
              </w:rPr>
            </w:pPr>
            <w:r w:rsidRPr="00B30577">
              <w:rPr>
                <w:rFonts w:ascii="Arial" w:eastAsia="Times New Roman" w:hAnsi="Arial" w:cs="Arial"/>
                <w:sz w:val="20"/>
                <w:szCs w:val="20"/>
                <w:lang w:eastAsia="es-CO"/>
              </w:rPr>
              <w:t>crece a 1/2 de la tasa de crecimiento del ingreso</w:t>
            </w:r>
          </w:p>
        </w:tc>
        <w:tc>
          <w:tcPr>
            <w:tcW w:w="1234"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jc w:val="center"/>
              <w:rPr>
                <w:rFonts w:ascii="Arial" w:eastAsia="Times New Roman" w:hAnsi="Arial" w:cs="Arial"/>
                <w:bCs/>
                <w:sz w:val="20"/>
                <w:szCs w:val="20"/>
                <w:lang w:eastAsia="es-CO"/>
              </w:rPr>
            </w:pPr>
            <w:r w:rsidRPr="00B30577">
              <w:rPr>
                <w:rFonts w:ascii="Arial" w:eastAsia="Times New Roman" w:hAnsi="Arial" w:cs="Arial"/>
                <w:bCs/>
                <w:sz w:val="20"/>
                <w:szCs w:val="20"/>
                <w:lang w:eastAsia="es-CO"/>
              </w:rPr>
              <w:t>4.134</w:t>
            </w:r>
          </w:p>
        </w:tc>
        <w:tc>
          <w:tcPr>
            <w:tcW w:w="1752"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jc w:val="center"/>
              <w:rPr>
                <w:rFonts w:ascii="Arial" w:eastAsia="Times New Roman" w:hAnsi="Arial" w:cs="Arial"/>
                <w:bCs/>
                <w:sz w:val="20"/>
                <w:szCs w:val="20"/>
                <w:lang w:eastAsia="es-CO"/>
              </w:rPr>
            </w:pPr>
            <w:r w:rsidRPr="00B30577">
              <w:rPr>
                <w:rFonts w:ascii="Arial" w:eastAsia="Times New Roman" w:hAnsi="Arial" w:cs="Arial"/>
                <w:bCs/>
                <w:sz w:val="20"/>
                <w:szCs w:val="20"/>
                <w:lang w:eastAsia="es-CO"/>
              </w:rPr>
              <w:t>4.134</w:t>
            </w:r>
          </w:p>
        </w:tc>
        <w:tc>
          <w:tcPr>
            <w:tcW w:w="1077"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jc w:val="center"/>
              <w:rPr>
                <w:rFonts w:ascii="Arial" w:eastAsia="Times New Roman" w:hAnsi="Arial" w:cs="Arial"/>
                <w:bCs/>
                <w:color w:val="000000"/>
                <w:sz w:val="20"/>
                <w:szCs w:val="20"/>
                <w:lang w:eastAsia="es-CO"/>
              </w:rPr>
            </w:pPr>
            <w:r w:rsidRPr="00B30577">
              <w:rPr>
                <w:rFonts w:ascii="Arial" w:eastAsia="Times New Roman" w:hAnsi="Arial" w:cs="Arial"/>
                <w:bCs/>
                <w:color w:val="000000"/>
                <w:sz w:val="20"/>
                <w:szCs w:val="20"/>
                <w:lang w:eastAsia="es-CO"/>
              </w:rPr>
              <w:t>-</w:t>
            </w:r>
          </w:p>
        </w:tc>
      </w:tr>
      <w:tr w:rsidR="00AE001B" w:rsidRPr="00B30577" w:rsidTr="00E51EDD">
        <w:trPr>
          <w:trHeight w:val="600"/>
          <w:jc w:val="center"/>
        </w:trPr>
        <w:tc>
          <w:tcPr>
            <w:tcW w:w="2765" w:type="dxa"/>
            <w:tcBorders>
              <w:top w:val="nil"/>
              <w:left w:val="single" w:sz="4" w:space="0" w:color="auto"/>
              <w:bottom w:val="single" w:sz="4" w:space="0" w:color="auto"/>
              <w:right w:val="single" w:sz="4" w:space="0" w:color="auto"/>
            </w:tcBorders>
            <w:shd w:val="clear" w:color="auto" w:fill="auto"/>
            <w:vAlign w:val="center"/>
            <w:hideMark/>
          </w:tcPr>
          <w:p w:rsidR="00AE001B" w:rsidRPr="00B30577" w:rsidRDefault="00AE001B" w:rsidP="00E51EDD">
            <w:pPr>
              <w:spacing w:after="0" w:line="240" w:lineRule="auto"/>
              <w:rPr>
                <w:rFonts w:ascii="Arial" w:eastAsia="Times New Roman" w:hAnsi="Arial" w:cs="Arial"/>
                <w:sz w:val="20"/>
                <w:szCs w:val="20"/>
                <w:lang w:eastAsia="es-CO"/>
              </w:rPr>
            </w:pPr>
            <w:r w:rsidRPr="00B30577">
              <w:rPr>
                <w:rFonts w:ascii="Arial" w:eastAsia="Times New Roman" w:hAnsi="Arial" w:cs="Arial"/>
                <w:sz w:val="20"/>
                <w:szCs w:val="20"/>
                <w:lang w:eastAsia="es-CO"/>
              </w:rPr>
              <w:t>Fondo de Ahorro y Estabilización - FAE</w:t>
            </w:r>
          </w:p>
        </w:tc>
        <w:tc>
          <w:tcPr>
            <w:tcW w:w="2162" w:type="dxa"/>
            <w:tcBorders>
              <w:top w:val="nil"/>
              <w:left w:val="nil"/>
              <w:bottom w:val="single" w:sz="4" w:space="0" w:color="auto"/>
              <w:right w:val="single" w:sz="4" w:space="0" w:color="auto"/>
            </w:tcBorders>
            <w:shd w:val="clear" w:color="auto" w:fill="auto"/>
            <w:vAlign w:val="center"/>
            <w:hideMark/>
          </w:tcPr>
          <w:p w:rsidR="00AE001B" w:rsidRPr="00B30577" w:rsidRDefault="00AE001B" w:rsidP="00E51EDD">
            <w:pPr>
              <w:spacing w:after="0" w:line="240" w:lineRule="auto"/>
              <w:jc w:val="center"/>
              <w:rPr>
                <w:rFonts w:ascii="Arial" w:eastAsia="Times New Roman" w:hAnsi="Arial" w:cs="Arial"/>
                <w:color w:val="FF0000"/>
                <w:sz w:val="20"/>
                <w:szCs w:val="20"/>
                <w:lang w:eastAsia="es-CO"/>
              </w:rPr>
            </w:pPr>
            <w:r w:rsidRPr="00B30577">
              <w:rPr>
                <w:rFonts w:ascii="Arial" w:eastAsia="Times New Roman" w:hAnsi="Arial" w:cs="Arial"/>
                <w:sz w:val="20"/>
                <w:szCs w:val="20"/>
                <w:lang w:eastAsia="es-CO"/>
              </w:rPr>
              <w:t>Ingresos - todas las demás asignaciones</w:t>
            </w:r>
          </w:p>
        </w:tc>
        <w:tc>
          <w:tcPr>
            <w:tcW w:w="1234" w:type="dxa"/>
            <w:tcBorders>
              <w:top w:val="nil"/>
              <w:left w:val="nil"/>
              <w:bottom w:val="single" w:sz="4" w:space="0" w:color="auto"/>
              <w:right w:val="single" w:sz="4" w:space="0" w:color="auto"/>
            </w:tcBorders>
            <w:shd w:val="clear" w:color="000000" w:fill="FFFFFF"/>
            <w:noWrap/>
            <w:vAlign w:val="center"/>
            <w:hideMark/>
          </w:tcPr>
          <w:p w:rsidR="00AE001B" w:rsidRPr="00B30577" w:rsidRDefault="00AE001B" w:rsidP="00E51EDD">
            <w:pPr>
              <w:spacing w:after="0" w:line="240" w:lineRule="auto"/>
              <w:jc w:val="center"/>
              <w:rPr>
                <w:rFonts w:ascii="Arial" w:eastAsia="Times New Roman" w:hAnsi="Arial" w:cs="Arial"/>
                <w:bCs/>
                <w:sz w:val="20"/>
                <w:szCs w:val="20"/>
                <w:lang w:eastAsia="es-CO"/>
              </w:rPr>
            </w:pPr>
            <w:r w:rsidRPr="00B30577">
              <w:rPr>
                <w:rFonts w:ascii="Arial" w:eastAsia="Times New Roman" w:hAnsi="Arial" w:cs="Arial"/>
                <w:bCs/>
                <w:sz w:val="20"/>
                <w:szCs w:val="20"/>
                <w:lang w:eastAsia="es-CO"/>
              </w:rPr>
              <w:t>415</w:t>
            </w:r>
          </w:p>
        </w:tc>
        <w:tc>
          <w:tcPr>
            <w:tcW w:w="1752" w:type="dxa"/>
            <w:tcBorders>
              <w:top w:val="nil"/>
              <w:left w:val="nil"/>
              <w:bottom w:val="single" w:sz="4" w:space="0" w:color="auto"/>
              <w:right w:val="single" w:sz="4" w:space="0" w:color="auto"/>
            </w:tcBorders>
            <w:shd w:val="clear" w:color="000000" w:fill="FFFFFF"/>
            <w:noWrap/>
            <w:vAlign w:val="center"/>
            <w:hideMark/>
          </w:tcPr>
          <w:p w:rsidR="00AE001B" w:rsidRPr="00B30577" w:rsidRDefault="00AE001B" w:rsidP="00E51EDD">
            <w:pPr>
              <w:spacing w:after="0" w:line="240" w:lineRule="auto"/>
              <w:jc w:val="center"/>
              <w:rPr>
                <w:rFonts w:ascii="Arial" w:eastAsia="Times New Roman" w:hAnsi="Arial" w:cs="Arial"/>
                <w:bCs/>
                <w:color w:val="FF0000"/>
                <w:sz w:val="20"/>
                <w:szCs w:val="20"/>
                <w:lang w:eastAsia="es-CO"/>
              </w:rPr>
            </w:pPr>
            <w:r w:rsidRPr="00B30577">
              <w:rPr>
                <w:rFonts w:ascii="Arial" w:eastAsia="Times New Roman" w:hAnsi="Arial" w:cs="Arial"/>
                <w:bCs/>
                <w:color w:val="FF0000"/>
                <w:sz w:val="20"/>
                <w:szCs w:val="20"/>
                <w:lang w:eastAsia="es-CO"/>
              </w:rPr>
              <w:t>188</w:t>
            </w:r>
          </w:p>
        </w:tc>
        <w:tc>
          <w:tcPr>
            <w:tcW w:w="1077" w:type="dxa"/>
            <w:tcBorders>
              <w:top w:val="nil"/>
              <w:left w:val="nil"/>
              <w:bottom w:val="single" w:sz="4" w:space="0" w:color="auto"/>
              <w:right w:val="single" w:sz="4" w:space="0" w:color="auto"/>
            </w:tcBorders>
            <w:shd w:val="clear" w:color="000000" w:fill="FFFFFF"/>
            <w:noWrap/>
            <w:vAlign w:val="center"/>
            <w:hideMark/>
          </w:tcPr>
          <w:p w:rsidR="00AE001B" w:rsidRPr="00B30577" w:rsidRDefault="00AE001B" w:rsidP="00E51EDD">
            <w:pPr>
              <w:spacing w:after="0" w:line="240" w:lineRule="auto"/>
              <w:jc w:val="center"/>
              <w:rPr>
                <w:rFonts w:ascii="Arial" w:eastAsia="Times New Roman" w:hAnsi="Arial" w:cs="Arial"/>
                <w:bCs/>
                <w:color w:val="FF0000"/>
                <w:sz w:val="20"/>
                <w:szCs w:val="20"/>
                <w:lang w:eastAsia="es-CO"/>
              </w:rPr>
            </w:pPr>
            <w:r w:rsidRPr="00B30577">
              <w:rPr>
                <w:rFonts w:ascii="Arial" w:eastAsia="Times New Roman" w:hAnsi="Arial" w:cs="Arial"/>
                <w:bCs/>
                <w:color w:val="FF0000"/>
                <w:sz w:val="20"/>
                <w:szCs w:val="20"/>
                <w:lang w:eastAsia="es-CO"/>
              </w:rPr>
              <w:t>(227)</w:t>
            </w:r>
          </w:p>
        </w:tc>
      </w:tr>
    </w:tbl>
    <w:p w:rsidR="00AE001B" w:rsidRPr="00B30577" w:rsidRDefault="00AE001B" w:rsidP="00AE001B">
      <w:pPr>
        <w:spacing w:before="28" w:after="28" w:line="288" w:lineRule="atLeast"/>
        <w:jc w:val="both"/>
        <w:textAlignment w:val="center"/>
        <w:rPr>
          <w:rFonts w:ascii="Arial" w:eastAsia="MS Mincho" w:hAnsi="Arial" w:cs="Arial"/>
          <w:iCs/>
          <w:sz w:val="16"/>
          <w:lang w:eastAsia="es-CO"/>
        </w:rPr>
      </w:pPr>
      <w:r w:rsidRPr="00B30577">
        <w:rPr>
          <w:rFonts w:ascii="Arial" w:eastAsia="MS Mincho" w:hAnsi="Arial" w:cs="Arial"/>
          <w:iCs/>
          <w:sz w:val="16"/>
          <w:lang w:eastAsia="es-CO"/>
        </w:rPr>
        <w:t xml:space="preserve">  *Fuente: Plan de recursos del Sistema General de Regalías 2017-2026.</w:t>
      </w:r>
    </w:p>
    <w:p w:rsidR="00AE001B" w:rsidRPr="00B30577" w:rsidRDefault="00AE001B" w:rsidP="00AE001B">
      <w:pPr>
        <w:spacing w:before="28" w:after="28" w:line="288" w:lineRule="atLeast"/>
        <w:jc w:val="both"/>
        <w:textAlignment w:val="center"/>
        <w:rPr>
          <w:rFonts w:ascii="Arial" w:eastAsia="MS Mincho" w:hAnsi="Arial" w:cs="Arial"/>
          <w:iCs/>
          <w:sz w:val="24"/>
          <w:lang w:eastAsia="es-CO"/>
        </w:rPr>
      </w:pPr>
    </w:p>
    <w:p w:rsidR="00AE001B" w:rsidRDefault="00AE001B" w:rsidP="00AE001B">
      <w:pPr>
        <w:jc w:val="both"/>
        <w:rPr>
          <w:rFonts w:ascii="Arial" w:hAnsi="Arial" w:cs="Arial"/>
          <w:color w:val="000000"/>
        </w:rPr>
      </w:pPr>
      <w:r w:rsidRPr="00D20A3E">
        <w:rPr>
          <w:rFonts w:ascii="Arial" w:hAnsi="Arial" w:cs="Arial"/>
          <w:color w:val="000000"/>
        </w:rPr>
        <w:t xml:space="preserve">Como se ilustra en el Cuadro 8, ninguna de las demás asignaciones de inversión del SGR se </w:t>
      </w:r>
      <w:r>
        <w:rPr>
          <w:rFonts w:ascii="Arial" w:hAnsi="Arial" w:cs="Arial"/>
          <w:color w:val="000000"/>
        </w:rPr>
        <w:t>reducirá</w:t>
      </w:r>
      <w:r w:rsidRPr="00D20A3E">
        <w:rPr>
          <w:rFonts w:ascii="Arial" w:hAnsi="Arial" w:cs="Arial"/>
          <w:color w:val="000000"/>
        </w:rPr>
        <w:t xml:space="preserve"> a causa de este ajuste en la distribución de los ingresos.  Es relevante resaltar que, aún con un nivel de ingresos del SGR de 6 billones de pesos</w:t>
      </w:r>
      <w:r>
        <w:rPr>
          <w:rFonts w:ascii="Arial" w:hAnsi="Arial" w:cs="Arial"/>
          <w:color w:val="000000"/>
        </w:rPr>
        <w:t xml:space="preserve"> (</w:t>
      </w:r>
      <w:r w:rsidRPr="00D20A3E">
        <w:rPr>
          <w:rFonts w:ascii="Arial" w:hAnsi="Arial" w:cs="Arial"/>
          <w:color w:val="000000"/>
        </w:rPr>
        <w:t>un 30% menor que el percibido antes del desplome del precio de crudo en 2015</w:t>
      </w:r>
      <w:r>
        <w:rPr>
          <w:rFonts w:ascii="Arial" w:hAnsi="Arial" w:cs="Arial"/>
          <w:color w:val="000000"/>
        </w:rPr>
        <w:t>)</w:t>
      </w:r>
      <w:r w:rsidRPr="00D20A3E">
        <w:rPr>
          <w:rFonts w:ascii="Arial" w:hAnsi="Arial" w:cs="Arial"/>
          <w:color w:val="000000"/>
        </w:rPr>
        <w:t>, e incluyendo este nuevo concepto de gasto, se continuar</w:t>
      </w:r>
      <w:r>
        <w:rPr>
          <w:rFonts w:ascii="Arial" w:hAnsi="Arial" w:cs="Arial"/>
          <w:color w:val="000000"/>
        </w:rPr>
        <w:t>á</w:t>
      </w:r>
      <w:r w:rsidRPr="00D20A3E">
        <w:rPr>
          <w:rFonts w:ascii="Arial" w:hAnsi="Arial" w:cs="Arial"/>
          <w:color w:val="000000"/>
        </w:rPr>
        <w:t xml:space="preserve"> ahorrando </w:t>
      </w:r>
      <w:r>
        <w:rPr>
          <w:rFonts w:ascii="Arial" w:hAnsi="Arial" w:cs="Arial"/>
          <w:color w:val="000000"/>
        </w:rPr>
        <w:t xml:space="preserve">cerca de 200 mil millones de pesos anuales </w:t>
      </w:r>
      <w:r w:rsidRPr="00D20A3E">
        <w:rPr>
          <w:rFonts w:ascii="Arial" w:hAnsi="Arial" w:cs="Arial"/>
          <w:color w:val="000000"/>
        </w:rPr>
        <w:t xml:space="preserve">en el Fondo de Ahorro y Estabilización.  </w:t>
      </w:r>
    </w:p>
    <w:p w:rsidR="00AE001B" w:rsidRPr="00D20A3E" w:rsidRDefault="00AE001B" w:rsidP="00AE001B">
      <w:pPr>
        <w:jc w:val="both"/>
        <w:rPr>
          <w:rFonts w:ascii="Arial" w:hAnsi="Arial" w:cs="Arial"/>
          <w:color w:val="000000"/>
        </w:rPr>
      </w:pPr>
      <w:r w:rsidRPr="00D20A3E">
        <w:rPr>
          <w:rFonts w:ascii="Arial" w:hAnsi="Arial" w:cs="Arial"/>
          <w:color w:val="000000"/>
        </w:rPr>
        <w:t>Esto significa que el ahorro con el que hoy cuenta el SGR para estabilizar la inversión en el futuro, no sufriría afectación.</w:t>
      </w:r>
    </w:p>
    <w:p w:rsidR="00AE001B" w:rsidRPr="00D20A3E" w:rsidRDefault="00AE001B" w:rsidP="00AE001B">
      <w:pPr>
        <w:spacing w:before="28" w:after="28" w:line="288" w:lineRule="atLeast"/>
        <w:jc w:val="both"/>
        <w:textAlignment w:val="center"/>
        <w:rPr>
          <w:rFonts w:ascii="Arial" w:eastAsia="MS Mincho" w:hAnsi="Arial" w:cs="Arial"/>
          <w:iCs/>
          <w:lang w:eastAsia="es-CO"/>
        </w:rPr>
      </w:pPr>
      <w:r w:rsidRPr="00D20A3E">
        <w:rPr>
          <w:rFonts w:ascii="Arial" w:eastAsia="MS Mincho" w:hAnsi="Arial" w:cs="Arial"/>
          <w:iCs/>
          <w:lang w:eastAsia="es-CO"/>
        </w:rPr>
        <w:t xml:space="preserve">Asimismo, como se detallará en la sección a continuación, dado el estado de evolución en el cubrimiento del pasivo pensional territorial a través del FONPET, la propuesta de reducción </w:t>
      </w:r>
      <w:r>
        <w:rPr>
          <w:rFonts w:ascii="Arial" w:eastAsia="MS Mincho" w:hAnsi="Arial" w:cs="Arial"/>
          <w:iCs/>
          <w:lang w:eastAsia="es-CO"/>
        </w:rPr>
        <w:t xml:space="preserve">del </w:t>
      </w:r>
      <w:r w:rsidRPr="00D20A3E">
        <w:rPr>
          <w:rFonts w:ascii="Arial" w:eastAsia="MS Mincho" w:hAnsi="Arial" w:cs="Arial"/>
          <w:iCs/>
          <w:lang w:eastAsia="es-CO"/>
        </w:rPr>
        <w:t>aporte del SGR durante estos años, no genera riesgos para el cumplimiento del objetivo de fondeo de este pasivo pensional.</w:t>
      </w:r>
    </w:p>
    <w:p w:rsidR="00AE001B" w:rsidRPr="00D20A3E" w:rsidRDefault="00AE001B" w:rsidP="00AE001B">
      <w:pPr>
        <w:spacing w:before="28" w:after="28" w:line="288" w:lineRule="atLeast"/>
        <w:jc w:val="both"/>
        <w:textAlignment w:val="center"/>
        <w:rPr>
          <w:rFonts w:ascii="Arial" w:eastAsia="MS Mincho" w:hAnsi="Arial" w:cs="Arial"/>
          <w:iCs/>
          <w:lang w:eastAsia="es-CO"/>
        </w:rPr>
      </w:pPr>
    </w:p>
    <w:p w:rsidR="00AE001B" w:rsidRPr="00D20A3E" w:rsidRDefault="00AE001B" w:rsidP="00AE001B">
      <w:pPr>
        <w:spacing w:before="28" w:after="28" w:line="288" w:lineRule="atLeast"/>
        <w:jc w:val="both"/>
        <w:textAlignment w:val="center"/>
        <w:rPr>
          <w:rFonts w:ascii="Arial" w:eastAsia="MS Mincho" w:hAnsi="Arial" w:cs="Arial"/>
          <w:iCs/>
          <w:lang w:eastAsia="es-CO"/>
        </w:rPr>
      </w:pPr>
      <w:r>
        <w:rPr>
          <w:rFonts w:ascii="Arial" w:eastAsia="MS Mincho" w:hAnsi="Arial" w:cs="Arial"/>
          <w:iCs/>
          <w:lang w:eastAsia="es-CO"/>
        </w:rPr>
        <w:t>Como medida adicional, l</w:t>
      </w:r>
      <w:r w:rsidRPr="00D20A3E">
        <w:rPr>
          <w:rFonts w:ascii="Arial" w:eastAsia="MS Mincho" w:hAnsi="Arial" w:cs="Arial"/>
          <w:iCs/>
          <w:lang w:eastAsia="es-CO"/>
        </w:rPr>
        <w:t>os 398 mil millones de pesos anuales de los ingresos corrientes del SGR que de acuerdo con lo aquí previsto se destinar</w:t>
      </w:r>
      <w:r>
        <w:rPr>
          <w:rFonts w:ascii="Arial" w:eastAsia="MS Mincho" w:hAnsi="Arial" w:cs="Arial"/>
          <w:iCs/>
          <w:lang w:eastAsia="es-CO"/>
        </w:rPr>
        <w:t>án</w:t>
      </w:r>
      <w:r w:rsidRPr="00D20A3E">
        <w:rPr>
          <w:rFonts w:ascii="Arial" w:eastAsia="MS Mincho" w:hAnsi="Arial" w:cs="Arial"/>
          <w:iCs/>
          <w:lang w:eastAsia="es-CO"/>
        </w:rPr>
        <w:t xml:space="preserve"> a la implementación del Acuerdo Final, se </w:t>
      </w:r>
      <w:r>
        <w:rPr>
          <w:rFonts w:ascii="Arial" w:eastAsia="MS Mincho" w:hAnsi="Arial" w:cs="Arial"/>
          <w:iCs/>
          <w:lang w:eastAsia="es-CO"/>
        </w:rPr>
        <w:t>complementarán con la destinación</w:t>
      </w:r>
      <w:r w:rsidRPr="00D20A3E">
        <w:rPr>
          <w:rFonts w:ascii="Arial" w:eastAsia="MS Mincho" w:hAnsi="Arial" w:cs="Arial"/>
          <w:iCs/>
          <w:lang w:eastAsia="es-CO"/>
        </w:rPr>
        <w:t xml:space="preserve"> </w:t>
      </w:r>
      <w:r>
        <w:rPr>
          <w:rFonts w:ascii="Arial" w:eastAsia="MS Mincho" w:hAnsi="Arial" w:cs="Arial"/>
          <w:iCs/>
          <w:lang w:eastAsia="es-CO"/>
        </w:rPr>
        <w:t xml:space="preserve">de </w:t>
      </w:r>
      <w:r w:rsidRPr="00D20A3E">
        <w:rPr>
          <w:rFonts w:ascii="Arial" w:eastAsia="MS Mincho" w:hAnsi="Arial" w:cs="Arial"/>
          <w:iCs/>
          <w:lang w:eastAsia="es-CO"/>
        </w:rPr>
        <w:t>los rendimientos financieros que se generen en la Cuenta Única del SGR en este periodo, igualmente a este propósito.</w:t>
      </w:r>
    </w:p>
    <w:p w:rsidR="00AE001B" w:rsidRPr="00D20A3E" w:rsidRDefault="00AE001B" w:rsidP="00AE001B">
      <w:pPr>
        <w:spacing w:before="28" w:after="28" w:line="288" w:lineRule="atLeast"/>
        <w:jc w:val="both"/>
        <w:textAlignment w:val="center"/>
        <w:rPr>
          <w:rFonts w:ascii="Arial" w:eastAsia="MS Mincho" w:hAnsi="Arial" w:cs="Arial"/>
          <w:iCs/>
          <w:lang w:eastAsia="es-CO"/>
        </w:rPr>
      </w:pPr>
    </w:p>
    <w:p w:rsidR="00AE001B" w:rsidRPr="00D20A3E" w:rsidRDefault="00AE001B" w:rsidP="00AE001B">
      <w:pPr>
        <w:spacing w:before="28" w:after="28" w:line="288" w:lineRule="atLeast"/>
        <w:jc w:val="both"/>
        <w:textAlignment w:val="center"/>
        <w:rPr>
          <w:rFonts w:ascii="Arial" w:eastAsia="MS Mincho" w:hAnsi="Arial" w:cs="Arial"/>
          <w:iCs/>
          <w:lang w:eastAsia="es-CO"/>
        </w:rPr>
      </w:pPr>
      <w:r>
        <w:rPr>
          <w:rFonts w:ascii="Arial" w:eastAsia="MS Mincho" w:hAnsi="Arial" w:cs="Arial"/>
          <w:iCs/>
          <w:lang w:eastAsia="es-CO"/>
        </w:rPr>
        <w:t xml:space="preserve">La focalización adecuada de estos recursos es central para el cumplimiento de lo acordado, por lo que es necesario que la distribución de esta asignación entre entidades territoriales se lleve a cabo atendiendo </w:t>
      </w:r>
      <w:r w:rsidRPr="00D20A3E">
        <w:rPr>
          <w:rFonts w:ascii="Arial" w:eastAsia="MS Mincho" w:hAnsi="Arial" w:cs="Arial"/>
          <w:iCs/>
          <w:lang w:eastAsia="es-CO"/>
        </w:rPr>
        <w:t>los criterios de priorización establecidos en el Acuerdo</w:t>
      </w:r>
      <w:r>
        <w:rPr>
          <w:rFonts w:ascii="Arial" w:eastAsia="MS Mincho" w:hAnsi="Arial" w:cs="Arial"/>
          <w:iCs/>
          <w:lang w:eastAsia="es-CO"/>
        </w:rPr>
        <w:t xml:space="preserve"> y en el Acto Legislativo 01 de 2016</w:t>
      </w:r>
      <w:r w:rsidRPr="00D20A3E">
        <w:rPr>
          <w:rFonts w:ascii="Arial" w:eastAsia="MS Mincho" w:hAnsi="Arial" w:cs="Arial"/>
          <w:iCs/>
          <w:lang w:eastAsia="es-CO"/>
        </w:rPr>
        <w:t xml:space="preserve">: </w:t>
      </w:r>
      <w:r w:rsidRPr="00D20A3E">
        <w:rPr>
          <w:rFonts w:ascii="Arial" w:hAnsi="Arial" w:cs="Arial"/>
          <w:color w:val="000000"/>
        </w:rPr>
        <w:t>niveles de pobreza</w:t>
      </w:r>
      <w:r>
        <w:rPr>
          <w:rFonts w:ascii="Arial" w:hAnsi="Arial" w:cs="Arial"/>
          <w:color w:val="000000"/>
        </w:rPr>
        <w:t xml:space="preserve"> rural</w:t>
      </w:r>
      <w:r w:rsidRPr="00D20A3E">
        <w:rPr>
          <w:rFonts w:ascii="Arial" w:hAnsi="Arial" w:cs="Arial"/>
          <w:color w:val="000000"/>
        </w:rPr>
        <w:t xml:space="preserve"> y pobreza extrema, grado de afectación derivado del conflicto armado, debilidad institucional, presencia de cultivos de uso ilícito y de otras economías ilícitas.</w:t>
      </w:r>
    </w:p>
    <w:p w:rsidR="00AE001B" w:rsidRPr="00D20A3E" w:rsidRDefault="00AE001B" w:rsidP="00AE001B">
      <w:pPr>
        <w:spacing w:before="28" w:after="28" w:line="288" w:lineRule="atLeast"/>
        <w:jc w:val="both"/>
        <w:textAlignment w:val="center"/>
        <w:rPr>
          <w:rFonts w:ascii="Arial" w:eastAsia="MS Mincho" w:hAnsi="Arial" w:cs="Arial"/>
          <w:iCs/>
          <w:lang w:eastAsia="es-CO"/>
        </w:rPr>
      </w:pPr>
    </w:p>
    <w:p w:rsidR="00AE001B" w:rsidRPr="00D20A3E" w:rsidRDefault="00AE001B" w:rsidP="00AE001B">
      <w:pPr>
        <w:spacing w:before="28" w:after="28" w:line="288" w:lineRule="atLeast"/>
        <w:jc w:val="both"/>
        <w:textAlignment w:val="center"/>
        <w:rPr>
          <w:rFonts w:ascii="Arial" w:eastAsia="MS Mincho" w:hAnsi="Arial" w:cs="Arial"/>
          <w:iCs/>
          <w:lang w:eastAsia="es-CO"/>
        </w:rPr>
      </w:pPr>
      <w:r>
        <w:rPr>
          <w:rFonts w:ascii="Arial" w:eastAsia="MS Mincho" w:hAnsi="Arial" w:cs="Arial"/>
          <w:iCs/>
          <w:lang w:eastAsia="es-CO"/>
        </w:rPr>
        <w:t xml:space="preserve">El segundo elemento para garantizar la adecuada focalización de los recursos al plan de implementación del Acuerdo, es el diseño institucional para la toma de decisiones de inversión.  Alineado con los principios de Buen Gobierno del SGR y atendiendo el principio de construcción de la paz con la participación de todos los actores del territorio, </w:t>
      </w:r>
      <w:r w:rsidRPr="00D20A3E">
        <w:rPr>
          <w:rFonts w:ascii="Arial" w:eastAsia="MS Mincho" w:hAnsi="Arial" w:cs="Arial"/>
          <w:iCs/>
          <w:lang w:eastAsia="es-CO"/>
        </w:rPr>
        <w:t xml:space="preserve">se propone que los proyectos de inversión a ser financiados con </w:t>
      </w:r>
      <w:r>
        <w:rPr>
          <w:rFonts w:ascii="Arial" w:eastAsia="MS Mincho" w:hAnsi="Arial" w:cs="Arial"/>
          <w:iCs/>
          <w:lang w:eastAsia="es-CO"/>
        </w:rPr>
        <w:t xml:space="preserve">estas asignaciones especiales </w:t>
      </w:r>
      <w:r w:rsidRPr="00D20A3E">
        <w:rPr>
          <w:rFonts w:ascii="Arial" w:eastAsia="MS Mincho" w:hAnsi="Arial" w:cs="Arial"/>
          <w:iCs/>
          <w:lang w:eastAsia="es-CO"/>
        </w:rPr>
        <w:t>sean</w:t>
      </w:r>
      <w:r>
        <w:rPr>
          <w:rFonts w:ascii="Arial" w:eastAsia="MS Mincho" w:hAnsi="Arial" w:cs="Arial"/>
          <w:iCs/>
          <w:lang w:eastAsia="es-CO"/>
        </w:rPr>
        <w:t xml:space="preserve"> definidos </w:t>
      </w:r>
      <w:r w:rsidRPr="00D20A3E">
        <w:rPr>
          <w:rFonts w:ascii="Arial" w:eastAsia="MS Mincho" w:hAnsi="Arial" w:cs="Arial"/>
          <w:iCs/>
          <w:lang w:eastAsia="es-CO"/>
        </w:rPr>
        <w:t xml:space="preserve">por un </w:t>
      </w:r>
      <w:r>
        <w:rPr>
          <w:rFonts w:ascii="Arial" w:eastAsia="MS Mincho" w:hAnsi="Arial" w:cs="Arial"/>
          <w:iCs/>
          <w:lang w:eastAsia="es-CO"/>
        </w:rPr>
        <w:t xml:space="preserve">único </w:t>
      </w:r>
      <w:r w:rsidRPr="00D20A3E">
        <w:rPr>
          <w:rFonts w:ascii="Arial" w:eastAsia="MS Mincho" w:hAnsi="Arial" w:cs="Arial"/>
          <w:iCs/>
          <w:lang w:eastAsia="es-CO"/>
        </w:rPr>
        <w:t>órgano colegiado de administración y decisión (OCAD)</w:t>
      </w:r>
      <w:r>
        <w:rPr>
          <w:rFonts w:ascii="Arial" w:eastAsia="MS Mincho" w:hAnsi="Arial" w:cs="Arial"/>
          <w:iCs/>
          <w:lang w:eastAsia="es-CO"/>
        </w:rPr>
        <w:t xml:space="preserve"> y guardando concordancia con el componente específico para la Paz del Plan Nacional de Desarrollo y de los planes de desarrollo territoriales, en el marco del régimen de planeación vigente.</w:t>
      </w:r>
    </w:p>
    <w:p w:rsidR="00AE001B" w:rsidRPr="00D20A3E" w:rsidRDefault="00AE001B" w:rsidP="00AE001B">
      <w:pPr>
        <w:spacing w:before="28" w:after="28" w:line="288" w:lineRule="atLeast"/>
        <w:jc w:val="both"/>
        <w:textAlignment w:val="center"/>
        <w:rPr>
          <w:rFonts w:ascii="Arial" w:eastAsia="MS Mincho" w:hAnsi="Arial" w:cs="Arial"/>
          <w:iCs/>
          <w:lang w:eastAsia="es-CO"/>
        </w:rPr>
      </w:pPr>
    </w:p>
    <w:p w:rsidR="00AE001B" w:rsidRDefault="00AE001B" w:rsidP="00AE001B">
      <w:pPr>
        <w:spacing w:before="28" w:after="28" w:line="288" w:lineRule="atLeast"/>
        <w:jc w:val="both"/>
        <w:textAlignment w:val="center"/>
        <w:rPr>
          <w:rFonts w:ascii="Arial" w:eastAsia="MS Mincho" w:hAnsi="Arial" w:cs="Arial"/>
          <w:iCs/>
          <w:lang w:eastAsia="es-CO"/>
        </w:rPr>
      </w:pPr>
      <w:r w:rsidRPr="00D20A3E">
        <w:rPr>
          <w:rFonts w:ascii="Arial" w:eastAsia="MS Mincho" w:hAnsi="Arial" w:cs="Arial"/>
          <w:iCs/>
          <w:lang w:eastAsia="es-CO"/>
        </w:rPr>
        <w:t>En este OCAD, el Gobierno nacional estaría representado por el Ministro de Hacienda y Crédito Público o su delegado, un (1) representante del Organismo Nacional de Planeación, y un (1) representante del Presidente de la República, quien ejercerá la Secretaría Técnica; el Gobierno departamental, representado por dos (2) Gobernadores y el Gobierno municipal, representado por dos (2) alcaldes.</w:t>
      </w:r>
    </w:p>
    <w:p w:rsidR="00AE001B" w:rsidRDefault="00AE001B" w:rsidP="00AE001B">
      <w:pPr>
        <w:rPr>
          <w:rFonts w:ascii="Arial" w:eastAsia="MS Mincho" w:hAnsi="Arial" w:cs="Arial"/>
          <w:iCs/>
          <w:lang w:eastAsia="es-CO"/>
        </w:rPr>
      </w:pPr>
      <w:r>
        <w:rPr>
          <w:rFonts w:ascii="Arial" w:eastAsia="MS Mincho" w:hAnsi="Arial" w:cs="Arial"/>
          <w:iCs/>
          <w:lang w:eastAsia="es-CO"/>
        </w:rPr>
        <w:br w:type="page"/>
      </w:r>
    </w:p>
    <w:p w:rsidR="00AE001B" w:rsidRPr="009601E2" w:rsidRDefault="00AE001B" w:rsidP="00AE001B">
      <w:pPr>
        <w:pStyle w:val="Prrafodelista"/>
        <w:numPr>
          <w:ilvl w:val="0"/>
          <w:numId w:val="3"/>
        </w:numPr>
        <w:spacing w:before="28" w:after="28" w:line="288" w:lineRule="atLeast"/>
        <w:textAlignment w:val="center"/>
        <w:rPr>
          <w:rFonts w:ascii="Arial" w:hAnsi="Arial" w:cs="Arial"/>
          <w:b/>
          <w:lang w:eastAsia="es-CO"/>
        </w:rPr>
      </w:pPr>
      <w:r w:rsidRPr="009601E2">
        <w:rPr>
          <w:rFonts w:ascii="Arial" w:hAnsi="Arial" w:cs="Arial"/>
          <w:b/>
          <w:lang w:eastAsia="es-CO"/>
        </w:rPr>
        <w:lastRenderedPageBreak/>
        <w:t>CAJAS EXCEDENTARIAS DEL SISTEMA GENERAL DE REGALÍAS</w:t>
      </w:r>
    </w:p>
    <w:p w:rsidR="00AE001B" w:rsidRPr="009601E2" w:rsidRDefault="00AE001B" w:rsidP="00AE001B">
      <w:pPr>
        <w:spacing w:before="28" w:after="28" w:line="288" w:lineRule="atLeast"/>
        <w:textAlignment w:val="center"/>
        <w:rPr>
          <w:rFonts w:ascii="Arial" w:hAnsi="Arial" w:cs="Arial"/>
          <w:lang w:eastAsia="es-CO"/>
        </w:rPr>
      </w:pPr>
    </w:p>
    <w:p w:rsidR="00AE001B" w:rsidRPr="009601E2" w:rsidRDefault="00AE001B" w:rsidP="00AE001B">
      <w:pPr>
        <w:pStyle w:val="Prrafodelista"/>
        <w:numPr>
          <w:ilvl w:val="1"/>
          <w:numId w:val="3"/>
        </w:numPr>
        <w:spacing w:before="28" w:after="28" w:line="288" w:lineRule="atLeast"/>
        <w:textAlignment w:val="center"/>
        <w:rPr>
          <w:rFonts w:ascii="Arial" w:hAnsi="Arial" w:cs="Arial"/>
          <w:b/>
          <w:lang w:eastAsia="es-CO"/>
        </w:rPr>
      </w:pPr>
      <w:r w:rsidRPr="009601E2">
        <w:rPr>
          <w:rFonts w:ascii="Arial" w:hAnsi="Arial" w:cs="Arial"/>
          <w:b/>
          <w:lang w:eastAsia="es-CO"/>
        </w:rPr>
        <w:t>Excedentes del SGR en el FONPET de entidades territoriales que ya cumplieron el cubrimiento del pasivo pensional territorial</w:t>
      </w:r>
    </w:p>
    <w:p w:rsidR="00AE001B" w:rsidRPr="009601E2" w:rsidRDefault="00AE001B" w:rsidP="00AE001B">
      <w:pPr>
        <w:spacing w:before="28" w:after="28" w:line="288" w:lineRule="atLeast"/>
        <w:textAlignment w:val="center"/>
        <w:rPr>
          <w:rFonts w:ascii="Arial" w:hAnsi="Arial" w:cs="Arial"/>
          <w:lang w:eastAsia="es-CO"/>
        </w:rPr>
      </w:pPr>
    </w:p>
    <w:p w:rsidR="00AE001B" w:rsidRPr="009601E2" w:rsidRDefault="00AE001B" w:rsidP="00AE001B">
      <w:pPr>
        <w:spacing w:before="28" w:after="28" w:line="288" w:lineRule="atLeast"/>
        <w:jc w:val="both"/>
        <w:textAlignment w:val="center"/>
        <w:rPr>
          <w:rFonts w:ascii="Arial" w:eastAsia="MS Mincho" w:hAnsi="Arial" w:cs="Arial"/>
          <w:iCs/>
          <w:lang w:eastAsia="es-CO"/>
        </w:rPr>
      </w:pPr>
      <w:r w:rsidRPr="009601E2">
        <w:rPr>
          <w:rFonts w:ascii="Arial" w:eastAsia="MS Mincho" w:hAnsi="Arial" w:cs="Arial"/>
          <w:iCs/>
          <w:lang w:eastAsia="es-CO"/>
        </w:rPr>
        <w:t xml:space="preserve">La Ley 100 de 1993 creó el Sistema General de Pensiones con el objetivo de cubrir a todos los colombianos que no pertenecieran a regímenes especiales o exceptuados para proporcionar ingresos para la vejez. Su implementación implicó la finalización de los múltiples regímenes que coexistían y procuró la financiación de las pensiones a través de unos regímenes autofinanciados, esto es el régimen de ahorro individual con solidaridad, y el régimen de prima media con prestación definida. </w:t>
      </w:r>
    </w:p>
    <w:p w:rsidR="00AE001B" w:rsidRPr="009601E2" w:rsidRDefault="00AE001B" w:rsidP="00AE001B">
      <w:pPr>
        <w:spacing w:before="28" w:after="28" w:line="288" w:lineRule="atLeast"/>
        <w:jc w:val="both"/>
        <w:textAlignment w:val="center"/>
        <w:rPr>
          <w:rFonts w:ascii="Arial" w:eastAsia="MS Mincho" w:hAnsi="Arial" w:cs="Arial"/>
          <w:iCs/>
          <w:lang w:eastAsia="es-CO"/>
        </w:rPr>
      </w:pPr>
    </w:p>
    <w:p w:rsidR="00AE001B" w:rsidRPr="009601E2" w:rsidRDefault="00AE001B" w:rsidP="00AE001B">
      <w:pPr>
        <w:spacing w:before="28" w:after="28" w:line="288" w:lineRule="atLeast"/>
        <w:jc w:val="both"/>
        <w:textAlignment w:val="center"/>
        <w:rPr>
          <w:rFonts w:ascii="Arial" w:eastAsia="MS Mincho" w:hAnsi="Arial" w:cs="Arial"/>
          <w:iCs/>
          <w:lang w:eastAsia="es-CO"/>
        </w:rPr>
      </w:pPr>
      <w:r w:rsidRPr="009601E2">
        <w:rPr>
          <w:rFonts w:ascii="Arial" w:eastAsia="MS Mincho" w:hAnsi="Arial" w:cs="Arial"/>
          <w:iCs/>
          <w:lang w:eastAsia="es-CO"/>
        </w:rPr>
        <w:t xml:space="preserve">Con anterioridad a esta disposición las entidades territoriales acumulaban un pasivo pensional considerable para el tamaño de sus finanzas, el cual ascendía a $63 billones.  Ante esta situación, con el objeto de asegurar los beneficios pensionales ya adquiridos y la sostenibilidad de las finanzas públicas, en particular de las entidades territoriales, la Ley 549 de 1999 creó el Fondo Nacional de Pensiones de las Entidades Territoriales – FONPET, como un mecanismo de ahorro, con el objetivo de provisionar el valor de dichos pasivos y administrar los recursos de manera eficiente.  </w:t>
      </w:r>
    </w:p>
    <w:p w:rsidR="00AE001B" w:rsidRPr="009601E2" w:rsidRDefault="00AE001B" w:rsidP="00AE001B">
      <w:pPr>
        <w:spacing w:before="28" w:after="28" w:line="288" w:lineRule="atLeast"/>
        <w:jc w:val="both"/>
        <w:textAlignment w:val="center"/>
        <w:rPr>
          <w:rFonts w:ascii="Arial" w:eastAsia="MS Mincho" w:hAnsi="Arial" w:cs="Arial"/>
          <w:iCs/>
          <w:lang w:eastAsia="es-CO"/>
        </w:rPr>
      </w:pPr>
    </w:p>
    <w:p w:rsidR="00AE001B" w:rsidRPr="009601E2" w:rsidRDefault="00AE001B" w:rsidP="00AE001B">
      <w:pPr>
        <w:spacing w:before="28" w:after="28" w:line="288" w:lineRule="atLeast"/>
        <w:jc w:val="both"/>
        <w:textAlignment w:val="center"/>
        <w:rPr>
          <w:rFonts w:ascii="Arial" w:eastAsia="MS Mincho" w:hAnsi="Arial" w:cs="Arial"/>
          <w:iCs/>
          <w:lang w:eastAsia="es-CO"/>
        </w:rPr>
      </w:pPr>
      <w:r w:rsidRPr="009601E2">
        <w:rPr>
          <w:rFonts w:ascii="Arial" w:eastAsia="MS Mincho" w:hAnsi="Arial" w:cs="Arial"/>
          <w:iCs/>
          <w:lang w:eastAsia="es-CO"/>
        </w:rPr>
        <w:t>El FONPET cuenta con diez (10) fuentes de financiación, que consisten esencialmente en tres tipos de aporte: i) una porción de las transferencias constitucionales a que tienen derecho las entidades territoriales por el Sistema General de Participaciones, por los juegos de suerte y azar y por ingresos de regalías; ii) recursos de la Nación asignados por ley a esta finalidad, tales como una porción de las privatizaciones</w:t>
      </w:r>
      <w:r>
        <w:rPr>
          <w:rFonts w:ascii="Arial" w:eastAsia="MS Mincho" w:hAnsi="Arial" w:cs="Arial"/>
          <w:iCs/>
          <w:lang w:eastAsia="es-CO"/>
        </w:rPr>
        <w:t>;</w:t>
      </w:r>
      <w:r w:rsidRPr="009601E2">
        <w:rPr>
          <w:rFonts w:ascii="Arial" w:eastAsia="MS Mincho" w:hAnsi="Arial" w:cs="Arial"/>
          <w:iCs/>
          <w:lang w:eastAsia="es-CO"/>
        </w:rPr>
        <w:t xml:space="preserve"> iii) una porción de algunos recursos propios de las entidades territoriales.  </w:t>
      </w:r>
    </w:p>
    <w:p w:rsidR="00AE001B" w:rsidRPr="009601E2" w:rsidRDefault="00AE001B" w:rsidP="00AE001B">
      <w:pPr>
        <w:spacing w:before="28" w:after="28" w:line="288" w:lineRule="atLeast"/>
        <w:jc w:val="both"/>
        <w:textAlignment w:val="center"/>
        <w:rPr>
          <w:rFonts w:ascii="Arial" w:eastAsia="MS Mincho" w:hAnsi="Arial" w:cs="Arial"/>
          <w:iCs/>
          <w:lang w:eastAsia="es-CO"/>
        </w:rPr>
      </w:pPr>
    </w:p>
    <w:p w:rsidR="00AE001B" w:rsidRPr="009601E2" w:rsidRDefault="00AE001B" w:rsidP="00AE001B">
      <w:pPr>
        <w:spacing w:before="28" w:after="28" w:line="288" w:lineRule="atLeast"/>
        <w:jc w:val="both"/>
        <w:textAlignment w:val="center"/>
        <w:rPr>
          <w:rFonts w:ascii="Arial" w:eastAsia="MS Mincho" w:hAnsi="Arial" w:cs="Arial"/>
          <w:iCs/>
          <w:lang w:eastAsia="es-CO"/>
        </w:rPr>
      </w:pPr>
      <w:r w:rsidRPr="009601E2">
        <w:rPr>
          <w:rFonts w:ascii="Arial" w:eastAsia="MS Mincho" w:hAnsi="Arial" w:cs="Arial"/>
          <w:iCs/>
          <w:lang w:eastAsia="es-CO"/>
        </w:rPr>
        <w:t>Con la reforma constitucional que creó el Sistema General de Regalías –SGR, se estableció que el 10% de los ingresos del Sistema se debe destinar al ahorro pensional territorial, con lo cual se sustituyó la contribución proveniente de las regalías directas e indirectas que se había dispuesto en el artículo 48 de la Ley 863 de 2003</w:t>
      </w:r>
      <w:r w:rsidRPr="005D6603">
        <w:rPr>
          <w:rFonts w:ascii="Arial" w:eastAsia="MS Mincho" w:hAnsi="Arial" w:cs="Arial"/>
          <w:iCs/>
          <w:lang w:eastAsia="es-CO"/>
        </w:rPr>
        <w:footnoteReference w:id="7"/>
      </w:r>
      <w:r w:rsidRPr="009601E2">
        <w:rPr>
          <w:rFonts w:ascii="Arial" w:eastAsia="MS Mincho" w:hAnsi="Arial" w:cs="Arial"/>
          <w:iCs/>
          <w:lang w:eastAsia="es-CO"/>
        </w:rPr>
        <w:t>.</w:t>
      </w:r>
    </w:p>
    <w:p w:rsidR="00AE001B" w:rsidRPr="009601E2" w:rsidRDefault="00AE001B" w:rsidP="00AE001B">
      <w:pPr>
        <w:spacing w:before="28" w:after="28" w:line="288" w:lineRule="atLeast"/>
        <w:jc w:val="both"/>
        <w:textAlignment w:val="center"/>
        <w:rPr>
          <w:rFonts w:ascii="Arial" w:eastAsia="MS Mincho" w:hAnsi="Arial" w:cs="Arial"/>
          <w:iCs/>
          <w:lang w:eastAsia="es-CO"/>
        </w:rPr>
      </w:pPr>
    </w:p>
    <w:p w:rsidR="00AE001B" w:rsidRDefault="00AE001B" w:rsidP="00AE001B">
      <w:pPr>
        <w:spacing w:before="28" w:after="28" w:line="288" w:lineRule="atLeast"/>
        <w:jc w:val="both"/>
        <w:textAlignment w:val="center"/>
        <w:rPr>
          <w:rFonts w:ascii="Arial" w:eastAsia="MS Mincho" w:hAnsi="Arial" w:cs="Arial"/>
          <w:iCs/>
          <w:lang w:eastAsia="es-CO"/>
        </w:rPr>
      </w:pPr>
      <w:r w:rsidRPr="009601E2">
        <w:rPr>
          <w:rFonts w:ascii="Arial" w:eastAsia="MS Mincho" w:hAnsi="Arial" w:cs="Arial"/>
          <w:iCs/>
          <w:lang w:eastAsia="es-CO"/>
        </w:rPr>
        <w:t xml:space="preserve">La suma de las fuentes del FONPET ha contribuido al cubrimiento paulatino del pasivo pensional.  Al 31 de diciembre de 2016, el FONPET había acumulado cerca de $46 billones de pesos de los $63 billones del pasivo pensional (73%), con lo cual un gran número de entidades territoriales ha logrado el porcentaje de cubrimiento de su pasivo exigido por la norma.  </w:t>
      </w:r>
    </w:p>
    <w:p w:rsidR="00AE001B" w:rsidRDefault="00AE001B" w:rsidP="00AE001B">
      <w:pPr>
        <w:spacing w:before="28" w:after="28" w:line="288" w:lineRule="atLeast"/>
        <w:jc w:val="both"/>
        <w:textAlignment w:val="center"/>
        <w:rPr>
          <w:rFonts w:ascii="Arial" w:eastAsia="MS Mincho" w:hAnsi="Arial" w:cs="Arial"/>
          <w:iCs/>
          <w:lang w:eastAsia="es-CO"/>
        </w:rPr>
      </w:pPr>
    </w:p>
    <w:p w:rsidR="00AE001B" w:rsidRPr="009601E2" w:rsidRDefault="00AE001B" w:rsidP="00AE001B">
      <w:pPr>
        <w:spacing w:before="28" w:after="28" w:line="288" w:lineRule="atLeast"/>
        <w:jc w:val="both"/>
        <w:textAlignment w:val="center"/>
        <w:rPr>
          <w:rFonts w:ascii="Arial" w:eastAsia="MS Mincho" w:hAnsi="Arial" w:cs="Arial"/>
          <w:iCs/>
          <w:lang w:eastAsia="es-CO"/>
        </w:rPr>
      </w:pPr>
      <w:r w:rsidRPr="009601E2">
        <w:rPr>
          <w:rFonts w:ascii="Arial" w:eastAsia="MS Mincho" w:hAnsi="Arial" w:cs="Arial"/>
          <w:iCs/>
          <w:lang w:eastAsia="es-CO"/>
        </w:rPr>
        <w:t>En las condiciones actuales, 815 entidades ya alcanzaron el cubrimiento del pasivo en el sector propósito general, 1.117 entidades tienen cubierto su pasivo en el sector salud y 682 entidades en el sector educación.</w:t>
      </w:r>
    </w:p>
    <w:p w:rsidR="00AE001B" w:rsidRPr="009601E2" w:rsidRDefault="00AE001B" w:rsidP="00AE001B">
      <w:pPr>
        <w:spacing w:before="28" w:after="28" w:line="288" w:lineRule="atLeast"/>
        <w:jc w:val="both"/>
        <w:textAlignment w:val="center"/>
        <w:rPr>
          <w:rFonts w:ascii="Arial" w:eastAsia="MS Mincho" w:hAnsi="Arial" w:cs="Arial"/>
          <w:iCs/>
          <w:lang w:eastAsia="es-CO"/>
        </w:rPr>
      </w:pPr>
    </w:p>
    <w:p w:rsidR="00AE001B" w:rsidRPr="009601E2" w:rsidRDefault="00AE001B" w:rsidP="00AE001B">
      <w:pPr>
        <w:spacing w:before="28" w:after="28" w:line="288" w:lineRule="atLeast"/>
        <w:jc w:val="both"/>
        <w:textAlignment w:val="center"/>
        <w:rPr>
          <w:rFonts w:ascii="Arial" w:eastAsia="MS Mincho" w:hAnsi="Arial" w:cs="Arial"/>
          <w:iCs/>
          <w:lang w:eastAsia="es-CO"/>
        </w:rPr>
      </w:pPr>
      <w:r w:rsidRPr="009601E2">
        <w:rPr>
          <w:rFonts w:ascii="Arial" w:eastAsia="MS Mincho" w:hAnsi="Arial" w:cs="Arial"/>
          <w:iCs/>
          <w:lang w:eastAsia="es-CO"/>
        </w:rPr>
        <w:t>La Ley 549 de 1999 previó que el Fondo fuese un mecanismo para la provisión de las reservas de los pasivos pensionales, sin sustituir la responsabilidad de las entidades territoriales. Es así como el FONPET está constituido como un fondo con cuentas individuales a nombre de cada entidad territorial, a través de un esquema de ahorro obligatorio nutrido por las múltiples fuentes. Los recursos ingresan a las cuentas individuales conservando la trazabilidad de cada fuente y una vez en el Fondo, se realiza la gestión del portafolio de los recursos administrados a través de entidades fiduciarias, fondos de pensiones y aseguradoras habilitada</w:t>
      </w:r>
      <w:r>
        <w:rPr>
          <w:rFonts w:ascii="Arial" w:eastAsia="MS Mincho" w:hAnsi="Arial" w:cs="Arial"/>
          <w:iCs/>
          <w:lang w:eastAsia="es-CO"/>
        </w:rPr>
        <w:t>s para el efecto.</w:t>
      </w:r>
    </w:p>
    <w:p w:rsidR="00AE001B" w:rsidRPr="009601E2" w:rsidRDefault="00AE001B" w:rsidP="00AE001B">
      <w:pPr>
        <w:spacing w:before="28" w:after="28" w:line="288" w:lineRule="atLeast"/>
        <w:jc w:val="both"/>
        <w:textAlignment w:val="center"/>
        <w:rPr>
          <w:rFonts w:ascii="Arial" w:eastAsia="MS Mincho" w:hAnsi="Arial" w:cs="Arial"/>
          <w:iCs/>
          <w:lang w:eastAsia="es-CO"/>
        </w:rPr>
      </w:pPr>
    </w:p>
    <w:p w:rsidR="00AE001B" w:rsidRPr="009601E2" w:rsidRDefault="00AE001B" w:rsidP="00AE001B">
      <w:pPr>
        <w:spacing w:before="28" w:after="28" w:line="288" w:lineRule="atLeast"/>
        <w:jc w:val="both"/>
        <w:textAlignment w:val="center"/>
        <w:rPr>
          <w:rFonts w:ascii="Arial" w:eastAsia="MS Mincho" w:hAnsi="Arial" w:cs="Arial"/>
          <w:iCs/>
          <w:lang w:eastAsia="es-CO"/>
        </w:rPr>
      </w:pPr>
      <w:r w:rsidRPr="009601E2">
        <w:rPr>
          <w:rFonts w:ascii="Arial" w:eastAsia="MS Mincho" w:hAnsi="Arial" w:cs="Arial"/>
          <w:iCs/>
          <w:lang w:eastAsia="es-CO"/>
        </w:rPr>
        <w:t>Los recursos son destinados en primera instancia al fondeo de los pasivos pensionales de las entidades territoriales y en segundo lugar al pago de obligaciones pensionales.  Luego de estos dos usos, en caso de existir excedentes el artículo 6 de la Ley 549 de 1999 determinó la posibilidad de retirarlos, siempre y cuando se conserve la destinación de la fuente original, según las normas que la regulen.</w:t>
      </w:r>
    </w:p>
    <w:p w:rsidR="00AE001B" w:rsidRPr="009601E2" w:rsidRDefault="00AE001B" w:rsidP="00AE001B">
      <w:pPr>
        <w:spacing w:before="28" w:after="28" w:line="288" w:lineRule="atLeast"/>
        <w:jc w:val="both"/>
        <w:textAlignment w:val="center"/>
        <w:rPr>
          <w:rFonts w:ascii="Arial" w:eastAsia="MS Mincho" w:hAnsi="Arial" w:cs="Arial"/>
          <w:iCs/>
          <w:lang w:eastAsia="es-CO"/>
        </w:rPr>
      </w:pPr>
    </w:p>
    <w:p w:rsidR="00AE001B" w:rsidRPr="009601E2" w:rsidRDefault="00AE001B" w:rsidP="00AE001B">
      <w:pPr>
        <w:spacing w:before="28" w:after="28" w:line="288" w:lineRule="atLeast"/>
        <w:jc w:val="both"/>
        <w:textAlignment w:val="center"/>
        <w:rPr>
          <w:rFonts w:ascii="Arial" w:eastAsia="MS Mincho" w:hAnsi="Arial" w:cs="Arial"/>
          <w:iCs/>
          <w:lang w:eastAsia="es-CO"/>
        </w:rPr>
      </w:pPr>
      <w:r w:rsidRPr="009601E2">
        <w:rPr>
          <w:rFonts w:ascii="Arial" w:eastAsia="MS Mincho" w:hAnsi="Arial" w:cs="Arial"/>
          <w:iCs/>
          <w:lang w:eastAsia="es-CO"/>
        </w:rPr>
        <w:t xml:space="preserve">La mayor cobertura del pasivo pensional y el potencial de retiro de excedentes ha sido reglamentada por el Gobierno nacional, a través del Decreto 055 de 2009 y más recientemente con el Decreto 630 de 2016, en el cual se contempla la cobertura independiente de los sectores propósito general, educación y salud.   </w:t>
      </w:r>
    </w:p>
    <w:p w:rsidR="00AE001B" w:rsidRPr="009601E2" w:rsidRDefault="00AE001B" w:rsidP="00AE001B">
      <w:pPr>
        <w:spacing w:before="28" w:after="28" w:line="288" w:lineRule="atLeast"/>
        <w:jc w:val="both"/>
        <w:textAlignment w:val="center"/>
        <w:rPr>
          <w:rFonts w:ascii="Arial" w:eastAsia="MS Mincho" w:hAnsi="Arial" w:cs="Arial"/>
          <w:iCs/>
          <w:lang w:eastAsia="es-CO"/>
        </w:rPr>
      </w:pPr>
    </w:p>
    <w:p w:rsidR="00AE001B" w:rsidRDefault="00AE001B" w:rsidP="00AE001B">
      <w:pPr>
        <w:spacing w:before="28" w:after="28" w:line="288" w:lineRule="atLeast"/>
        <w:jc w:val="both"/>
        <w:textAlignment w:val="center"/>
        <w:rPr>
          <w:rFonts w:ascii="Arial" w:eastAsia="MS Mincho" w:hAnsi="Arial" w:cs="Arial"/>
          <w:iCs/>
          <w:color w:val="000000"/>
          <w:lang w:eastAsia="es-CO"/>
        </w:rPr>
      </w:pPr>
      <w:r w:rsidRPr="009601E2">
        <w:rPr>
          <w:rFonts w:ascii="Arial" w:eastAsia="MS Mincho" w:hAnsi="Arial" w:cs="Arial"/>
          <w:iCs/>
          <w:lang w:eastAsia="es-CO"/>
        </w:rPr>
        <w:t>Como se observa en la Gráfica 1, dado el ritmo de fondeo de los pasivos pensionales territoriales y a las necesidades que debe atender el fondo,</w:t>
      </w:r>
      <w:r w:rsidRPr="009601E2" w:rsidDel="00AB6B54">
        <w:rPr>
          <w:rFonts w:ascii="Arial" w:eastAsia="MS Mincho" w:hAnsi="Arial" w:cs="Arial"/>
          <w:iCs/>
          <w:lang w:eastAsia="es-CO"/>
        </w:rPr>
        <w:t xml:space="preserve"> </w:t>
      </w:r>
      <w:r w:rsidRPr="009601E2">
        <w:rPr>
          <w:rFonts w:ascii="Arial" w:eastAsia="MS Mincho" w:hAnsi="Arial" w:cs="Arial"/>
          <w:iCs/>
          <w:lang w:eastAsia="es-CO"/>
        </w:rPr>
        <w:t>un gran número de entidades territoriales ha accedido al desahorro de recursos del FONPET y el volumen de solicitudes de retiro se encuentra en ascenso.</w:t>
      </w:r>
    </w:p>
    <w:p w:rsidR="00AE001B" w:rsidRPr="009601E2" w:rsidRDefault="00AE001B" w:rsidP="00AE001B">
      <w:pPr>
        <w:pStyle w:val="Default"/>
        <w:jc w:val="both"/>
        <w:rPr>
          <w:rFonts w:ascii="Arial" w:eastAsia="MS Mincho" w:hAnsi="Arial" w:cs="Arial"/>
          <w:iCs/>
          <w:sz w:val="22"/>
          <w:szCs w:val="22"/>
          <w:lang w:eastAsia="es-CO"/>
        </w:rPr>
      </w:pPr>
    </w:p>
    <w:p w:rsidR="00AE001B" w:rsidRPr="00B30577" w:rsidRDefault="00AE001B" w:rsidP="00AE001B">
      <w:pPr>
        <w:pStyle w:val="Default"/>
        <w:jc w:val="center"/>
        <w:rPr>
          <w:rFonts w:ascii="Arial" w:eastAsia="MS Mincho" w:hAnsi="Arial" w:cs="Arial"/>
          <w:b/>
          <w:iCs/>
          <w:sz w:val="22"/>
          <w:szCs w:val="22"/>
          <w:lang w:eastAsia="es-CO"/>
        </w:rPr>
      </w:pPr>
      <w:r w:rsidRPr="00B30577">
        <w:rPr>
          <w:rFonts w:ascii="Arial" w:eastAsia="MS Mincho" w:hAnsi="Arial" w:cs="Arial"/>
          <w:b/>
          <w:iCs/>
          <w:sz w:val="22"/>
          <w:szCs w:val="22"/>
          <w:lang w:eastAsia="es-CO"/>
        </w:rPr>
        <w:t>Gráfica 1</w:t>
      </w:r>
    </w:p>
    <w:p w:rsidR="00AE001B" w:rsidRPr="00B30577" w:rsidRDefault="00AE001B" w:rsidP="00AE001B">
      <w:pPr>
        <w:pStyle w:val="Default"/>
        <w:jc w:val="center"/>
        <w:rPr>
          <w:rFonts w:ascii="Arial" w:eastAsia="MS Mincho" w:hAnsi="Arial" w:cs="Arial"/>
          <w:b/>
          <w:iCs/>
          <w:sz w:val="22"/>
          <w:szCs w:val="22"/>
          <w:lang w:eastAsia="es-CO"/>
        </w:rPr>
      </w:pPr>
      <w:r w:rsidRPr="00B30577">
        <w:rPr>
          <w:rFonts w:ascii="Arial" w:eastAsia="MS Mincho" w:hAnsi="Arial" w:cs="Arial"/>
          <w:b/>
          <w:iCs/>
          <w:sz w:val="22"/>
          <w:szCs w:val="22"/>
          <w:lang w:eastAsia="es-CO"/>
        </w:rPr>
        <w:t xml:space="preserve">Valor de retiro de excedentes de FONPET, según modalidad </w:t>
      </w:r>
    </w:p>
    <w:p w:rsidR="00AE001B" w:rsidRPr="00B30577" w:rsidRDefault="00AE001B" w:rsidP="00AE001B">
      <w:pPr>
        <w:pStyle w:val="Default"/>
        <w:jc w:val="center"/>
        <w:rPr>
          <w:rFonts w:ascii="Arial" w:eastAsia="MS Mincho" w:hAnsi="Arial" w:cs="Arial"/>
          <w:b/>
          <w:iCs/>
          <w:sz w:val="22"/>
          <w:szCs w:val="22"/>
          <w:lang w:eastAsia="es-CO"/>
        </w:rPr>
      </w:pPr>
      <w:r w:rsidRPr="00B30577">
        <w:rPr>
          <w:rFonts w:ascii="Arial" w:eastAsia="MS Mincho" w:hAnsi="Arial" w:cs="Arial"/>
          <w:b/>
          <w:iCs/>
          <w:sz w:val="22"/>
          <w:szCs w:val="22"/>
          <w:lang w:eastAsia="es-CO"/>
        </w:rPr>
        <w:t>(millones de pesos)</w:t>
      </w:r>
    </w:p>
    <w:p w:rsidR="00AE001B" w:rsidRPr="00B30577" w:rsidRDefault="00AE001B" w:rsidP="00AE001B">
      <w:pPr>
        <w:spacing w:after="0"/>
        <w:jc w:val="center"/>
        <w:rPr>
          <w:rFonts w:ascii="Arial" w:hAnsi="Arial" w:cs="Arial"/>
        </w:rPr>
      </w:pPr>
      <w:r w:rsidRPr="00B30577">
        <w:rPr>
          <w:rFonts w:ascii="Arial" w:hAnsi="Arial" w:cs="Arial"/>
          <w:noProof/>
          <w:lang w:val="en-US"/>
        </w:rPr>
        <w:drawing>
          <wp:inline distT="0" distB="0" distL="0" distR="0" wp14:anchorId="5E91E217" wp14:editId="1D9B63E0">
            <wp:extent cx="3770463" cy="2585489"/>
            <wp:effectExtent l="0" t="0" r="1905" b="571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8024" cy="2604388"/>
                    </a:xfrm>
                    <a:prstGeom prst="rect">
                      <a:avLst/>
                    </a:prstGeom>
                    <a:noFill/>
                  </pic:spPr>
                </pic:pic>
              </a:graphicData>
            </a:graphic>
          </wp:inline>
        </w:drawing>
      </w:r>
    </w:p>
    <w:p w:rsidR="00AE001B" w:rsidRPr="00B30577" w:rsidRDefault="00AE001B" w:rsidP="00AE001B">
      <w:pPr>
        <w:spacing w:after="0"/>
        <w:ind w:firstLine="708"/>
        <w:rPr>
          <w:rFonts w:ascii="Arial" w:hAnsi="Arial" w:cs="Arial"/>
          <w:sz w:val="20"/>
        </w:rPr>
      </w:pPr>
      <w:r w:rsidRPr="00B30577">
        <w:rPr>
          <w:rFonts w:ascii="Arial" w:hAnsi="Arial" w:cs="Arial"/>
          <w:sz w:val="20"/>
        </w:rPr>
        <w:t>Fuente</w:t>
      </w:r>
      <w:r>
        <w:rPr>
          <w:rFonts w:ascii="Arial" w:hAnsi="Arial" w:cs="Arial"/>
          <w:sz w:val="20"/>
        </w:rPr>
        <w:t xml:space="preserve">: </w:t>
      </w:r>
      <w:r w:rsidRPr="00B30577">
        <w:rPr>
          <w:rFonts w:ascii="Arial" w:hAnsi="Arial" w:cs="Arial"/>
          <w:sz w:val="20"/>
        </w:rPr>
        <w:t>S</w:t>
      </w:r>
      <w:r>
        <w:rPr>
          <w:rFonts w:ascii="Arial" w:hAnsi="Arial" w:cs="Arial"/>
          <w:sz w:val="20"/>
        </w:rPr>
        <w:t xml:space="preserve">istema de </w:t>
      </w:r>
      <w:r w:rsidRPr="00B30577">
        <w:rPr>
          <w:rFonts w:ascii="Arial" w:hAnsi="Arial" w:cs="Arial"/>
          <w:sz w:val="20"/>
        </w:rPr>
        <w:t>I</w:t>
      </w:r>
      <w:r>
        <w:rPr>
          <w:rFonts w:ascii="Arial" w:hAnsi="Arial" w:cs="Arial"/>
          <w:sz w:val="20"/>
        </w:rPr>
        <w:t xml:space="preserve">nformación del </w:t>
      </w:r>
      <w:proofErr w:type="spellStart"/>
      <w:r w:rsidRPr="00B30577">
        <w:rPr>
          <w:rFonts w:ascii="Arial" w:hAnsi="Arial" w:cs="Arial"/>
          <w:sz w:val="20"/>
        </w:rPr>
        <w:t>F</w:t>
      </w:r>
      <w:r>
        <w:rPr>
          <w:rFonts w:ascii="Arial" w:hAnsi="Arial" w:cs="Arial"/>
          <w:sz w:val="20"/>
        </w:rPr>
        <w:t>onpet</w:t>
      </w:r>
      <w:proofErr w:type="spellEnd"/>
      <w:r>
        <w:rPr>
          <w:rFonts w:ascii="Arial" w:hAnsi="Arial" w:cs="Arial"/>
          <w:sz w:val="20"/>
        </w:rPr>
        <w:t>-SIF</w:t>
      </w:r>
    </w:p>
    <w:p w:rsidR="00AE001B" w:rsidRPr="009601E2" w:rsidRDefault="00AE001B" w:rsidP="00AE001B">
      <w:pPr>
        <w:pStyle w:val="Default"/>
        <w:jc w:val="both"/>
        <w:rPr>
          <w:rFonts w:ascii="Arial" w:eastAsia="MS Mincho" w:hAnsi="Arial" w:cs="Arial"/>
          <w:iCs/>
          <w:sz w:val="20"/>
          <w:szCs w:val="22"/>
          <w:lang w:eastAsia="es-CO"/>
        </w:rPr>
      </w:pPr>
    </w:p>
    <w:p w:rsidR="00AE001B" w:rsidRDefault="00AE001B" w:rsidP="00AE001B">
      <w:pPr>
        <w:spacing w:before="28" w:after="28" w:line="288" w:lineRule="atLeast"/>
        <w:jc w:val="both"/>
        <w:textAlignment w:val="center"/>
        <w:rPr>
          <w:rFonts w:ascii="Arial" w:eastAsia="MS Mincho" w:hAnsi="Arial" w:cs="Arial"/>
          <w:iCs/>
          <w:lang w:eastAsia="es-CO"/>
        </w:rPr>
      </w:pPr>
      <w:r w:rsidRPr="009601E2">
        <w:rPr>
          <w:rFonts w:ascii="Arial" w:eastAsia="MS Mincho" w:hAnsi="Arial" w:cs="Arial"/>
          <w:iCs/>
          <w:lang w:eastAsia="es-CO"/>
        </w:rPr>
        <w:t xml:space="preserve">Es importante señalar que el pasivo pensional a cubrir por parte de las entidades territoriales corresponde a una población cerrada y a tiempos laborados en las entidades territoriales con anterioridad al establecimiento del Sistema General de Pensiones.  </w:t>
      </w:r>
    </w:p>
    <w:p w:rsidR="00AE001B" w:rsidRDefault="00AE001B" w:rsidP="00AE001B">
      <w:pPr>
        <w:spacing w:before="28" w:after="28" w:line="288" w:lineRule="atLeast"/>
        <w:jc w:val="both"/>
        <w:textAlignment w:val="center"/>
        <w:rPr>
          <w:rFonts w:ascii="Arial" w:eastAsia="MS Mincho" w:hAnsi="Arial" w:cs="Arial"/>
          <w:iCs/>
          <w:lang w:eastAsia="es-CO"/>
        </w:rPr>
      </w:pPr>
    </w:p>
    <w:p w:rsidR="00AE001B" w:rsidRDefault="00AE001B" w:rsidP="00AE001B">
      <w:pPr>
        <w:spacing w:before="28" w:after="28" w:line="288" w:lineRule="atLeast"/>
        <w:jc w:val="both"/>
        <w:textAlignment w:val="center"/>
        <w:rPr>
          <w:rFonts w:ascii="Arial" w:eastAsia="MS Mincho" w:hAnsi="Arial" w:cs="Arial"/>
          <w:iCs/>
          <w:lang w:eastAsia="es-CO"/>
        </w:rPr>
      </w:pPr>
      <w:r w:rsidRPr="009601E2">
        <w:rPr>
          <w:rFonts w:ascii="Arial" w:eastAsia="MS Mincho" w:hAnsi="Arial" w:cs="Arial"/>
          <w:iCs/>
          <w:lang w:eastAsia="es-CO"/>
        </w:rPr>
        <w:t xml:space="preserve">En esta medida, año a año el objetivo de fondeo por parte de las entidades territoriales se ha ido alcanzando; continúan ingresando recursos a las cuentas de FONPET de las entidades territoriales, y adicionalmente los aportes en las cuentas generan rendimientos financieros que contribuyen al incremento de los recursos disponibles. </w:t>
      </w:r>
    </w:p>
    <w:p w:rsidR="00AE001B" w:rsidRDefault="00AE001B" w:rsidP="00AE001B">
      <w:pPr>
        <w:spacing w:before="28" w:after="28" w:line="288" w:lineRule="atLeast"/>
        <w:jc w:val="both"/>
        <w:textAlignment w:val="center"/>
        <w:rPr>
          <w:rFonts w:ascii="Arial" w:eastAsia="MS Mincho" w:hAnsi="Arial" w:cs="Arial"/>
          <w:iCs/>
          <w:lang w:eastAsia="es-CO"/>
        </w:rPr>
      </w:pPr>
    </w:p>
    <w:p w:rsidR="00AE001B" w:rsidRPr="009601E2" w:rsidRDefault="00AE001B" w:rsidP="00AE001B">
      <w:pPr>
        <w:spacing w:before="28" w:after="28" w:line="288" w:lineRule="atLeast"/>
        <w:jc w:val="both"/>
        <w:textAlignment w:val="center"/>
        <w:rPr>
          <w:rFonts w:ascii="Arial" w:eastAsia="MS Mincho" w:hAnsi="Arial" w:cs="Arial"/>
          <w:iCs/>
          <w:lang w:eastAsia="es-CO"/>
        </w:rPr>
      </w:pPr>
      <w:r w:rsidRPr="009601E2">
        <w:rPr>
          <w:rFonts w:ascii="Arial" w:eastAsia="MS Mincho" w:hAnsi="Arial" w:cs="Arial"/>
          <w:iCs/>
          <w:lang w:eastAsia="es-CO"/>
        </w:rPr>
        <w:t xml:space="preserve">Esta realidad se ha traducido en la generación incremental de desahorros.  Atendiendo la vocación de inversión territorial de las distintas fuentes que alimentan el FONPET, este flujo excedentario de recursos se constituye en una oportunidad importante para que las entidades territoriales logren una mayor financiación de inversión regional y local. </w:t>
      </w:r>
    </w:p>
    <w:p w:rsidR="00AE001B" w:rsidRPr="009601E2" w:rsidRDefault="00AE001B" w:rsidP="00AE001B">
      <w:pPr>
        <w:spacing w:before="28" w:after="28" w:line="288" w:lineRule="atLeast"/>
        <w:jc w:val="both"/>
        <w:textAlignment w:val="center"/>
        <w:rPr>
          <w:rFonts w:ascii="Arial" w:eastAsia="MS Mincho" w:hAnsi="Arial" w:cs="Arial"/>
          <w:iCs/>
          <w:lang w:eastAsia="es-CO"/>
        </w:rPr>
      </w:pPr>
    </w:p>
    <w:p w:rsidR="00AE001B" w:rsidRPr="009601E2" w:rsidRDefault="00AE001B" w:rsidP="00AE001B">
      <w:pPr>
        <w:spacing w:before="28" w:after="28" w:line="288" w:lineRule="atLeast"/>
        <w:jc w:val="both"/>
        <w:textAlignment w:val="center"/>
        <w:rPr>
          <w:rFonts w:ascii="Arial" w:eastAsia="MS Mincho" w:hAnsi="Arial" w:cs="Arial"/>
          <w:iCs/>
          <w:lang w:eastAsia="es-CO"/>
        </w:rPr>
      </w:pPr>
      <w:r w:rsidRPr="009601E2">
        <w:rPr>
          <w:rFonts w:ascii="Arial" w:eastAsia="MS Mincho" w:hAnsi="Arial" w:cs="Arial"/>
          <w:iCs/>
          <w:lang w:eastAsia="es-CO"/>
        </w:rPr>
        <w:t xml:space="preserve">Bajo este contexto y de manera análoga a las demás fuentes, los aportes provenientes del SGR han generado y continuarán generando excedentes en las cuentas del FONPET de las entidades territoriales que ya cuentan con cubrimiento de su pasivo pensional.  Sin embargo, los excedentes generados por esta fuente no pueden ser destinados a algo distinto al mismo ahorro pensional territorial, pues la destinación original de estos recursos está definida así desde el artículo 361 de la Constitución Política. </w:t>
      </w:r>
    </w:p>
    <w:p w:rsidR="00AE001B" w:rsidRPr="009601E2" w:rsidRDefault="00AE001B" w:rsidP="00AE001B">
      <w:pPr>
        <w:spacing w:before="28" w:after="28" w:line="288" w:lineRule="atLeast"/>
        <w:jc w:val="both"/>
        <w:textAlignment w:val="center"/>
        <w:rPr>
          <w:rFonts w:ascii="Arial" w:eastAsia="MS Mincho" w:hAnsi="Arial" w:cs="Arial"/>
          <w:iCs/>
          <w:lang w:eastAsia="es-CO"/>
        </w:rPr>
      </w:pPr>
    </w:p>
    <w:p w:rsidR="00AE001B" w:rsidRPr="009601E2" w:rsidRDefault="00AE001B" w:rsidP="00AE001B">
      <w:pPr>
        <w:spacing w:before="28" w:after="28" w:line="288" w:lineRule="atLeast"/>
        <w:jc w:val="both"/>
        <w:textAlignment w:val="center"/>
        <w:rPr>
          <w:rFonts w:ascii="Arial" w:eastAsia="MS Mincho" w:hAnsi="Arial" w:cs="Arial"/>
          <w:iCs/>
          <w:lang w:eastAsia="es-CO"/>
        </w:rPr>
      </w:pPr>
      <w:r w:rsidRPr="005D6603">
        <w:rPr>
          <w:rFonts w:ascii="Arial" w:eastAsia="MS Mincho" w:hAnsi="Arial" w:cs="Arial"/>
          <w:iCs/>
          <w:lang w:eastAsia="es-CO"/>
        </w:rPr>
        <w:t xml:space="preserve">Por tanto, aun cuando la entidad territorial haya cubierto su pasivo pensional y en consecuencia no tenga la necesidad de seguir ahorrando para este fin, debe seguir destinando estos recursos a su ahorro pensional, conforme al mandato constitucional.  </w:t>
      </w:r>
      <w:r w:rsidRPr="009601E2">
        <w:rPr>
          <w:rFonts w:ascii="Arial" w:eastAsia="MS Mincho" w:hAnsi="Arial" w:cs="Arial"/>
          <w:iCs/>
          <w:lang w:eastAsia="es-CO"/>
        </w:rPr>
        <w:t>Año a año, este monto crece dado que las mismas entidades continúan recibiendo aportes de múltiples fuentes, que los aportes acumulados generan rendimientos financieros que igualmente acrecientan su cuenta individual en el FONPET, y también en la medida en que otras entidades territoriales alcancen los cubrimientos del pasivo pensional exigidos por la norma.</w:t>
      </w:r>
    </w:p>
    <w:p w:rsidR="00AE001B" w:rsidRDefault="00AE001B" w:rsidP="00AE001B">
      <w:pPr>
        <w:spacing w:before="28" w:after="28" w:line="288" w:lineRule="atLeast"/>
        <w:jc w:val="both"/>
        <w:textAlignment w:val="center"/>
        <w:rPr>
          <w:rFonts w:ascii="Arial" w:eastAsia="MS Mincho" w:hAnsi="Arial" w:cs="Arial"/>
          <w:iCs/>
          <w:lang w:eastAsia="es-CO"/>
        </w:rPr>
      </w:pPr>
    </w:p>
    <w:p w:rsidR="00AE001B" w:rsidRPr="009601E2" w:rsidRDefault="00AE001B" w:rsidP="00AE001B">
      <w:pPr>
        <w:spacing w:before="28" w:after="28" w:line="288" w:lineRule="atLeast"/>
        <w:jc w:val="both"/>
        <w:textAlignment w:val="center"/>
        <w:rPr>
          <w:rFonts w:ascii="Arial" w:eastAsia="MS Mincho" w:hAnsi="Arial" w:cs="Arial"/>
          <w:iCs/>
          <w:lang w:eastAsia="es-CO"/>
        </w:rPr>
      </w:pPr>
      <w:r w:rsidRPr="009601E2">
        <w:rPr>
          <w:rFonts w:ascii="Arial" w:eastAsia="MS Mincho" w:hAnsi="Arial" w:cs="Arial"/>
          <w:iCs/>
          <w:lang w:eastAsia="es-CO"/>
        </w:rPr>
        <w:t>De esta manera, es preciso que la norma constitucional contemple esta realidad del FONPET, en la cual la mayoría de entidades territoriales están empezando la etapa de desahorro, especialmente a la luz del esfuerzo de inversión adicional en los territorios que exige la implementación del Acuerdo final para la Terminación del Conflicto Armado y la Construcción de una Paz Estable y Duradera.</w:t>
      </w:r>
    </w:p>
    <w:p w:rsidR="00AE001B" w:rsidRDefault="00AE001B" w:rsidP="00AE001B">
      <w:pPr>
        <w:spacing w:before="28" w:after="28" w:line="288" w:lineRule="atLeast"/>
        <w:jc w:val="both"/>
        <w:textAlignment w:val="center"/>
        <w:rPr>
          <w:rFonts w:ascii="Arial" w:eastAsia="MS Mincho" w:hAnsi="Arial" w:cs="Arial"/>
          <w:iCs/>
          <w:lang w:eastAsia="es-CO"/>
        </w:rPr>
      </w:pPr>
    </w:p>
    <w:p w:rsidR="00AE001B" w:rsidRPr="009601E2" w:rsidRDefault="00AE001B" w:rsidP="00AE001B">
      <w:pPr>
        <w:spacing w:before="28" w:after="28" w:line="288" w:lineRule="atLeast"/>
        <w:jc w:val="both"/>
        <w:textAlignment w:val="center"/>
        <w:rPr>
          <w:rFonts w:ascii="Arial" w:eastAsia="MS Mincho" w:hAnsi="Arial" w:cs="Arial"/>
          <w:iCs/>
          <w:lang w:eastAsia="es-CO"/>
        </w:rPr>
      </w:pPr>
      <w:r w:rsidRPr="009601E2">
        <w:rPr>
          <w:rFonts w:ascii="Arial" w:eastAsia="MS Mincho" w:hAnsi="Arial" w:cs="Arial"/>
          <w:iCs/>
          <w:lang w:eastAsia="es-CO"/>
        </w:rPr>
        <w:t>Ante esta circunstancia, se proponen dos medidas de ajuste a lo dispuesto por la Constitución Política para el ahorro pensional territorial:</w:t>
      </w:r>
    </w:p>
    <w:p w:rsidR="00AE001B" w:rsidRDefault="00AE001B" w:rsidP="00AE001B">
      <w:pPr>
        <w:spacing w:before="28" w:after="28" w:line="288" w:lineRule="atLeast"/>
        <w:jc w:val="both"/>
        <w:textAlignment w:val="center"/>
        <w:rPr>
          <w:rFonts w:ascii="Arial" w:eastAsia="MS Mincho" w:hAnsi="Arial" w:cs="Arial"/>
          <w:iCs/>
          <w:lang w:eastAsia="es-CO"/>
        </w:rPr>
      </w:pPr>
    </w:p>
    <w:p w:rsidR="00AE001B" w:rsidRPr="009601E2" w:rsidRDefault="00AE001B" w:rsidP="00AE001B">
      <w:pPr>
        <w:spacing w:before="28" w:after="28" w:line="288" w:lineRule="atLeast"/>
        <w:jc w:val="both"/>
        <w:textAlignment w:val="center"/>
        <w:rPr>
          <w:rFonts w:ascii="Arial" w:eastAsia="MS Mincho" w:hAnsi="Arial" w:cs="Arial"/>
          <w:iCs/>
          <w:lang w:eastAsia="es-CO"/>
        </w:rPr>
      </w:pPr>
      <w:r w:rsidRPr="009601E2">
        <w:rPr>
          <w:rFonts w:ascii="Arial" w:eastAsia="MS Mincho" w:hAnsi="Arial" w:cs="Arial"/>
          <w:iCs/>
          <w:lang w:eastAsia="es-CO"/>
        </w:rPr>
        <w:t xml:space="preserve">La primera consiste en autorizar a las entidades territoriales que hayan cubierto su pasivo pensional, a destinar los excedentes que tengan en el FONPET provenientes del SGR, a la </w:t>
      </w:r>
      <w:r w:rsidRPr="009601E2">
        <w:rPr>
          <w:rFonts w:ascii="Arial" w:eastAsia="MS Mincho" w:hAnsi="Arial" w:cs="Arial"/>
          <w:iCs/>
          <w:lang w:eastAsia="es-CO"/>
        </w:rPr>
        <w:lastRenderedPageBreak/>
        <w:t xml:space="preserve">financiación de proyectos de inversión, que durante los 20 años siguientes deberán tener como objeto la implementación del </w:t>
      </w:r>
      <w:r>
        <w:rPr>
          <w:rFonts w:ascii="Arial" w:eastAsia="MS Mincho" w:hAnsi="Arial" w:cs="Arial"/>
          <w:iCs/>
          <w:lang w:eastAsia="es-CO"/>
        </w:rPr>
        <w:t>Acuerdo Final</w:t>
      </w:r>
      <w:r w:rsidRPr="009601E2">
        <w:rPr>
          <w:rFonts w:ascii="Arial" w:eastAsia="MS Mincho" w:hAnsi="Arial" w:cs="Arial"/>
          <w:iCs/>
          <w:lang w:eastAsia="es-CO"/>
        </w:rPr>
        <w:t>.</w:t>
      </w:r>
    </w:p>
    <w:p w:rsidR="00AE001B" w:rsidRDefault="00AE001B" w:rsidP="00AE001B">
      <w:pPr>
        <w:spacing w:before="28" w:after="28" w:line="288" w:lineRule="atLeast"/>
        <w:jc w:val="both"/>
        <w:textAlignment w:val="center"/>
        <w:rPr>
          <w:rFonts w:ascii="Arial" w:eastAsia="MS Mincho" w:hAnsi="Arial" w:cs="Arial"/>
          <w:iCs/>
          <w:lang w:eastAsia="es-CO"/>
        </w:rPr>
      </w:pPr>
    </w:p>
    <w:p w:rsidR="00AE001B" w:rsidRPr="009601E2" w:rsidRDefault="00AE001B" w:rsidP="00AE001B">
      <w:pPr>
        <w:spacing w:before="28" w:after="28" w:line="288" w:lineRule="atLeast"/>
        <w:jc w:val="both"/>
        <w:textAlignment w:val="center"/>
        <w:rPr>
          <w:rFonts w:ascii="Arial" w:eastAsia="MS Mincho" w:hAnsi="Arial" w:cs="Arial"/>
          <w:iCs/>
          <w:lang w:eastAsia="es-CO"/>
        </w:rPr>
      </w:pPr>
      <w:r w:rsidRPr="009601E2">
        <w:rPr>
          <w:rFonts w:ascii="Arial" w:eastAsia="MS Mincho" w:hAnsi="Arial" w:cs="Arial"/>
          <w:iCs/>
          <w:lang w:eastAsia="es-CO"/>
        </w:rPr>
        <w:t xml:space="preserve">Con esta disposición, se estima que más de 800 entidades territoriales que han alcanzado cobertura de su pasivo pensional contarían con recursos adicionales para inversión en la implementación del Acuerdo final, que, de lo contrario, </w:t>
      </w:r>
      <w:r>
        <w:rPr>
          <w:rFonts w:ascii="Arial" w:eastAsia="MS Mincho" w:hAnsi="Arial" w:cs="Arial"/>
          <w:iCs/>
          <w:lang w:eastAsia="es-CO"/>
        </w:rPr>
        <w:t>se mantendrían como excedentes</w:t>
      </w:r>
      <w:r w:rsidRPr="009601E2">
        <w:rPr>
          <w:rFonts w:ascii="Arial" w:eastAsia="MS Mincho" w:hAnsi="Arial" w:cs="Arial"/>
          <w:iCs/>
          <w:lang w:eastAsia="es-CO"/>
        </w:rPr>
        <w:t xml:space="preserve"> en sus cuentas del FONPET.</w:t>
      </w:r>
    </w:p>
    <w:p w:rsidR="00AE001B" w:rsidRDefault="00AE001B" w:rsidP="00AE001B">
      <w:pPr>
        <w:spacing w:before="28" w:after="28" w:line="288" w:lineRule="atLeast"/>
        <w:jc w:val="both"/>
        <w:textAlignment w:val="center"/>
        <w:rPr>
          <w:rFonts w:ascii="Arial" w:eastAsia="MS Mincho" w:hAnsi="Arial" w:cs="Arial"/>
          <w:iCs/>
          <w:lang w:eastAsia="es-CO"/>
        </w:rPr>
      </w:pPr>
    </w:p>
    <w:p w:rsidR="00AE001B" w:rsidRPr="009601E2" w:rsidRDefault="00AE001B" w:rsidP="00AE001B">
      <w:pPr>
        <w:spacing w:before="28" w:after="28" w:line="288" w:lineRule="atLeast"/>
        <w:jc w:val="both"/>
        <w:textAlignment w:val="center"/>
        <w:rPr>
          <w:rFonts w:ascii="Arial" w:eastAsia="MS Mincho" w:hAnsi="Arial" w:cs="Arial"/>
          <w:iCs/>
          <w:lang w:eastAsia="es-CO"/>
        </w:rPr>
      </w:pPr>
      <w:r w:rsidRPr="009601E2">
        <w:rPr>
          <w:rFonts w:ascii="Arial" w:eastAsia="MS Mincho" w:hAnsi="Arial" w:cs="Arial"/>
          <w:iCs/>
          <w:lang w:eastAsia="es-CO"/>
        </w:rPr>
        <w:t xml:space="preserve">Como segunda medida y como se señaló en la sección anterior, se propone que durante los veinte años </w:t>
      </w:r>
      <w:r>
        <w:rPr>
          <w:rFonts w:ascii="Arial" w:eastAsia="MS Mincho" w:hAnsi="Arial" w:cs="Arial"/>
          <w:iCs/>
          <w:lang w:eastAsia="es-CO"/>
        </w:rPr>
        <w:t>duren lo que se contará con</w:t>
      </w:r>
      <w:r w:rsidRPr="009601E2">
        <w:rPr>
          <w:rFonts w:ascii="Arial" w:eastAsia="MS Mincho" w:hAnsi="Arial" w:cs="Arial"/>
          <w:iCs/>
          <w:lang w:eastAsia="es-CO"/>
        </w:rPr>
        <w:t xml:space="preserve"> la asignación especial de 7% para la implementación del Acuerdo final, se reduzca el porcentaje destinado al ahorro pensional territorial, del 10% al 7%.</w:t>
      </w:r>
    </w:p>
    <w:p w:rsidR="00AE001B" w:rsidRDefault="00AE001B" w:rsidP="00AE001B">
      <w:pPr>
        <w:spacing w:before="28" w:after="28" w:line="288" w:lineRule="atLeast"/>
        <w:jc w:val="both"/>
        <w:textAlignment w:val="center"/>
        <w:rPr>
          <w:rFonts w:ascii="Arial" w:eastAsia="MS Mincho" w:hAnsi="Arial" w:cs="Arial"/>
          <w:iCs/>
          <w:lang w:eastAsia="es-CO"/>
        </w:rPr>
      </w:pPr>
    </w:p>
    <w:p w:rsidR="00AE001B" w:rsidRPr="005D6603" w:rsidRDefault="00AE001B" w:rsidP="00AE001B">
      <w:pPr>
        <w:spacing w:before="28" w:after="28" w:line="288" w:lineRule="atLeast"/>
        <w:jc w:val="both"/>
        <w:textAlignment w:val="center"/>
        <w:rPr>
          <w:rFonts w:ascii="Arial" w:eastAsia="MS Mincho" w:hAnsi="Arial" w:cs="Arial"/>
          <w:iCs/>
          <w:lang w:eastAsia="es-CO"/>
        </w:rPr>
      </w:pPr>
      <w:r w:rsidRPr="009601E2">
        <w:rPr>
          <w:rFonts w:ascii="Arial" w:eastAsia="MS Mincho" w:hAnsi="Arial" w:cs="Arial"/>
          <w:iCs/>
          <w:lang w:eastAsia="es-CO"/>
        </w:rPr>
        <w:t xml:space="preserve">La reducción propuesta tiene </w:t>
      </w:r>
      <w:r w:rsidRPr="005D6603">
        <w:rPr>
          <w:rFonts w:ascii="Arial" w:eastAsia="MS Mincho" w:hAnsi="Arial" w:cs="Arial"/>
          <w:iCs/>
          <w:lang w:eastAsia="es-CO"/>
        </w:rPr>
        <w:t xml:space="preserve">en cuenta no sólo el adecuado ritmo de acumulación que se está presentando, sino la generación de rendimientos financieros, que en el 2016 ascendieron a más de $5 billones de pesos, que contribuyen al crecimiento del stock de cada entidad territorial en el FONPET. </w:t>
      </w:r>
    </w:p>
    <w:p w:rsidR="00AE001B" w:rsidRDefault="00AE001B" w:rsidP="00AE001B">
      <w:pPr>
        <w:spacing w:before="28" w:after="28" w:line="288" w:lineRule="atLeast"/>
        <w:jc w:val="both"/>
        <w:textAlignment w:val="center"/>
        <w:rPr>
          <w:rFonts w:ascii="Arial" w:eastAsia="MS Mincho" w:hAnsi="Arial" w:cs="Arial"/>
          <w:iCs/>
          <w:lang w:eastAsia="es-CO"/>
        </w:rPr>
      </w:pPr>
    </w:p>
    <w:p w:rsidR="00AE001B" w:rsidRPr="005D6603" w:rsidRDefault="00AE001B" w:rsidP="00AE001B">
      <w:pPr>
        <w:spacing w:before="28" w:after="28" w:line="288" w:lineRule="atLeast"/>
        <w:jc w:val="both"/>
        <w:textAlignment w:val="center"/>
        <w:rPr>
          <w:rFonts w:ascii="Arial" w:eastAsia="MS Mincho" w:hAnsi="Arial" w:cs="Arial"/>
          <w:iCs/>
          <w:lang w:eastAsia="es-CO"/>
        </w:rPr>
      </w:pPr>
      <w:r w:rsidRPr="005D6603">
        <w:rPr>
          <w:rFonts w:ascii="Arial" w:eastAsia="MS Mincho" w:hAnsi="Arial" w:cs="Arial"/>
          <w:iCs/>
          <w:lang w:eastAsia="es-CO"/>
        </w:rPr>
        <w:t>El promedio anual de ingresos del SGR estimado en el Plan de recursos es de cerca de 6 billones de pesos; por lo que esta disminución de tres puntos del aporte del SGR al ahorro pensional territorial, asciende a aproximadamente 171 mil millones de pesos anuales. Dado el estado actual de cubrimiento del pasivo pensional territorial, esta reducción no genera un impacto significativo en su financiación, máxime cuando tan sólo los rendimientos financieros que generan los aportes realizados a la fecha por el SGR al FONPET, ascienden a cerca de $500 mil millones de pesos anuales.</w:t>
      </w:r>
    </w:p>
    <w:p w:rsidR="00AE001B" w:rsidRDefault="00AE001B" w:rsidP="00AE001B">
      <w:pPr>
        <w:spacing w:before="28" w:after="28" w:line="288" w:lineRule="atLeast"/>
        <w:jc w:val="both"/>
        <w:textAlignment w:val="center"/>
        <w:rPr>
          <w:rFonts w:ascii="Arial" w:eastAsia="MS Mincho" w:hAnsi="Arial" w:cs="Arial"/>
          <w:iCs/>
          <w:lang w:eastAsia="es-CO"/>
        </w:rPr>
      </w:pPr>
    </w:p>
    <w:p w:rsidR="00AE001B" w:rsidRDefault="00AE001B" w:rsidP="00AE001B">
      <w:pPr>
        <w:spacing w:before="28" w:after="28" w:line="288" w:lineRule="atLeast"/>
        <w:jc w:val="both"/>
        <w:textAlignment w:val="center"/>
        <w:rPr>
          <w:rFonts w:ascii="Arial" w:eastAsia="MS Mincho" w:hAnsi="Arial" w:cs="Arial"/>
          <w:iCs/>
          <w:lang w:eastAsia="es-CO"/>
        </w:rPr>
      </w:pPr>
      <w:r w:rsidRPr="009601E2">
        <w:rPr>
          <w:rFonts w:ascii="Arial" w:eastAsia="MS Mincho" w:hAnsi="Arial" w:cs="Arial"/>
          <w:iCs/>
          <w:lang w:eastAsia="es-CO"/>
        </w:rPr>
        <w:t>En conclusión, teniendo en cuenta la etapa de maduración en la que se encuentra el FONPET, la vocación de inversión territorial de los recursos que exceden los niveles de cubrimiento del pasivo pensional territorial y la responsabilidad de realizar los esfuerzos financieros necesarios para implementar el Acuerdo Final, estas dos medidas permitirán que durante los próximos veinte años, las entidades territoriales cuenten con importantes recursos adicionales para afrontar los retos del postconflicto, sin que se afecte el objetivo de fondeo de su pasivo pensional.</w:t>
      </w:r>
    </w:p>
    <w:p w:rsidR="00AE001B" w:rsidRPr="009601E2" w:rsidRDefault="00AE001B" w:rsidP="00AE001B">
      <w:pPr>
        <w:spacing w:before="28" w:after="28" w:line="288" w:lineRule="atLeast"/>
        <w:jc w:val="both"/>
        <w:textAlignment w:val="center"/>
        <w:rPr>
          <w:rFonts w:ascii="Arial" w:eastAsia="MS Mincho" w:hAnsi="Arial" w:cs="Arial"/>
          <w:iCs/>
          <w:lang w:eastAsia="es-CO"/>
        </w:rPr>
      </w:pPr>
    </w:p>
    <w:p w:rsidR="00AE001B" w:rsidRPr="009601E2" w:rsidRDefault="00AE001B" w:rsidP="00AE001B">
      <w:pPr>
        <w:spacing w:before="28" w:after="28" w:line="288" w:lineRule="atLeast"/>
        <w:jc w:val="both"/>
        <w:textAlignment w:val="center"/>
        <w:rPr>
          <w:rFonts w:ascii="Arial" w:eastAsia="MS Mincho" w:hAnsi="Arial" w:cs="Arial"/>
          <w:iCs/>
          <w:lang w:eastAsia="es-CO"/>
        </w:rPr>
      </w:pPr>
    </w:p>
    <w:p w:rsidR="00AE001B" w:rsidRPr="009601E2" w:rsidRDefault="00AE001B" w:rsidP="00AE001B">
      <w:pPr>
        <w:pStyle w:val="Prrafodelista"/>
        <w:numPr>
          <w:ilvl w:val="1"/>
          <w:numId w:val="3"/>
        </w:numPr>
        <w:spacing w:before="28" w:after="28" w:line="288" w:lineRule="atLeast"/>
        <w:textAlignment w:val="center"/>
        <w:rPr>
          <w:rFonts w:ascii="Arial" w:hAnsi="Arial" w:cs="Arial"/>
          <w:b/>
          <w:lang w:eastAsia="es-CO"/>
        </w:rPr>
      </w:pPr>
      <w:r>
        <w:rPr>
          <w:rFonts w:ascii="Arial" w:hAnsi="Arial" w:cs="Arial"/>
          <w:b/>
          <w:lang w:eastAsia="es-CO"/>
        </w:rPr>
        <w:t xml:space="preserve">Recursos disponibles </w:t>
      </w:r>
      <w:r w:rsidRPr="009601E2">
        <w:rPr>
          <w:rFonts w:ascii="Arial" w:hAnsi="Arial" w:cs="Arial"/>
          <w:b/>
          <w:lang w:eastAsia="es-CO"/>
        </w:rPr>
        <w:t>del Fondo de Ciencia, Tecnología e Innovación</w:t>
      </w:r>
    </w:p>
    <w:p w:rsidR="00AE001B" w:rsidRPr="009601E2" w:rsidRDefault="00AE001B" w:rsidP="00AE001B">
      <w:pPr>
        <w:spacing w:before="28" w:after="28" w:line="288" w:lineRule="atLeast"/>
        <w:textAlignment w:val="center"/>
        <w:rPr>
          <w:rFonts w:ascii="Arial" w:hAnsi="Arial" w:cs="Arial"/>
          <w:lang w:eastAsia="es-CO"/>
        </w:rPr>
      </w:pPr>
    </w:p>
    <w:p w:rsidR="00AE001B" w:rsidRPr="009601E2" w:rsidRDefault="00AE001B" w:rsidP="00AE001B">
      <w:pPr>
        <w:pStyle w:val="NormalWeb"/>
        <w:spacing w:before="0" w:beforeAutospacing="0" w:line="276" w:lineRule="auto"/>
        <w:jc w:val="both"/>
        <w:rPr>
          <w:rFonts w:ascii="Arial" w:hAnsi="Arial" w:cs="Arial"/>
          <w:sz w:val="22"/>
          <w:szCs w:val="22"/>
        </w:rPr>
      </w:pPr>
      <w:r w:rsidRPr="009601E2">
        <w:rPr>
          <w:rFonts w:ascii="Arial" w:hAnsi="Arial" w:cs="Arial"/>
          <w:sz w:val="22"/>
          <w:szCs w:val="22"/>
        </w:rPr>
        <w:t>Como se señaló anteriormente, el artículo 361 de la Constitución Política destina un 10% de los recursos del SGR al Fondo de Ciencia, Tecnología e Innovación (FCTI).  En virtud de este mandato, entre el 2012 y 2016, $3,8 billones de pesos de los ingresos efectivos del SGR se han asignado a este Fondo, distribuidos entre todos los departamentos del país y el Distrito Capital, según el artículo 29 de la Ley 1530 de 2012.</w:t>
      </w:r>
    </w:p>
    <w:p w:rsidR="00AE001B" w:rsidRDefault="00AE001B" w:rsidP="00AE001B">
      <w:pPr>
        <w:pStyle w:val="NormalWeb"/>
        <w:spacing w:before="0" w:beforeAutospacing="0" w:line="276" w:lineRule="auto"/>
        <w:jc w:val="both"/>
        <w:rPr>
          <w:rFonts w:ascii="Arial" w:hAnsi="Arial" w:cs="Arial"/>
          <w:sz w:val="22"/>
          <w:szCs w:val="22"/>
        </w:rPr>
      </w:pPr>
      <w:r w:rsidRPr="009601E2">
        <w:rPr>
          <w:rFonts w:ascii="Arial" w:hAnsi="Arial" w:cs="Arial"/>
          <w:sz w:val="22"/>
          <w:szCs w:val="22"/>
        </w:rPr>
        <w:lastRenderedPageBreak/>
        <w:t>Co</w:t>
      </w:r>
      <w:r>
        <w:rPr>
          <w:rFonts w:ascii="Arial" w:hAnsi="Arial" w:cs="Arial"/>
          <w:sz w:val="22"/>
          <w:szCs w:val="22"/>
        </w:rPr>
        <w:t>mo se observa en el Cuadro 9, co</w:t>
      </w:r>
      <w:r w:rsidRPr="009601E2">
        <w:rPr>
          <w:rFonts w:ascii="Arial" w:hAnsi="Arial" w:cs="Arial"/>
          <w:sz w:val="22"/>
          <w:szCs w:val="22"/>
        </w:rPr>
        <w:t xml:space="preserve">n cargo a este Fondo, </w:t>
      </w:r>
      <w:r>
        <w:rPr>
          <w:rFonts w:ascii="Arial" w:hAnsi="Arial" w:cs="Arial"/>
          <w:sz w:val="22"/>
          <w:szCs w:val="22"/>
        </w:rPr>
        <w:t xml:space="preserve">con corte al 31 de diciembre de 2016, </w:t>
      </w:r>
      <w:r w:rsidRPr="009601E2">
        <w:rPr>
          <w:rFonts w:ascii="Arial" w:hAnsi="Arial" w:cs="Arial"/>
          <w:sz w:val="22"/>
          <w:szCs w:val="22"/>
        </w:rPr>
        <w:t xml:space="preserve">se han aprobado proyectos por valor de $2,3 billones; quedando </w:t>
      </w:r>
      <w:r>
        <w:rPr>
          <w:rFonts w:ascii="Arial" w:hAnsi="Arial" w:cs="Arial"/>
          <w:sz w:val="22"/>
          <w:szCs w:val="22"/>
        </w:rPr>
        <w:t>recursos</w:t>
      </w:r>
      <w:r w:rsidRPr="009601E2">
        <w:rPr>
          <w:rFonts w:ascii="Arial" w:hAnsi="Arial" w:cs="Arial"/>
          <w:sz w:val="22"/>
          <w:szCs w:val="22"/>
        </w:rPr>
        <w:t xml:space="preserve"> </w:t>
      </w:r>
      <w:r>
        <w:rPr>
          <w:rFonts w:ascii="Arial" w:hAnsi="Arial" w:cs="Arial"/>
          <w:sz w:val="22"/>
          <w:szCs w:val="22"/>
        </w:rPr>
        <w:t xml:space="preserve">en caja </w:t>
      </w:r>
      <w:r w:rsidRPr="009601E2">
        <w:rPr>
          <w:rFonts w:ascii="Arial" w:hAnsi="Arial" w:cs="Arial"/>
          <w:sz w:val="22"/>
          <w:szCs w:val="22"/>
        </w:rPr>
        <w:t>por cerca de $1,5 billones de pesos</w:t>
      </w:r>
      <w:r>
        <w:rPr>
          <w:rFonts w:ascii="Arial" w:hAnsi="Arial" w:cs="Arial"/>
          <w:sz w:val="22"/>
          <w:szCs w:val="22"/>
        </w:rPr>
        <w:t xml:space="preserve"> con cargo a los cuales aún no se han aprobado proyectos</w:t>
      </w:r>
      <w:r w:rsidRPr="009601E2">
        <w:rPr>
          <w:rFonts w:ascii="Arial" w:hAnsi="Arial" w:cs="Arial"/>
          <w:sz w:val="22"/>
          <w:szCs w:val="22"/>
        </w:rPr>
        <w:t xml:space="preserve">. </w:t>
      </w:r>
    </w:p>
    <w:p w:rsidR="00AE001B" w:rsidRDefault="00AE001B" w:rsidP="00AE001B">
      <w:pPr>
        <w:pStyle w:val="NormalWeb"/>
        <w:spacing w:before="0" w:beforeAutospacing="0" w:line="276" w:lineRule="auto"/>
        <w:jc w:val="both"/>
        <w:rPr>
          <w:rFonts w:ascii="Arial" w:hAnsi="Arial" w:cs="Arial"/>
          <w:sz w:val="22"/>
          <w:szCs w:val="22"/>
        </w:rPr>
      </w:pPr>
      <w:r w:rsidRPr="009601E2">
        <w:rPr>
          <w:rFonts w:ascii="Arial" w:hAnsi="Arial" w:cs="Arial"/>
          <w:sz w:val="22"/>
          <w:szCs w:val="22"/>
        </w:rPr>
        <w:t xml:space="preserve">Es así como todos los proyectos que se han aprobado se encuentran financiados en su totalidad con los ingresos efectivos asignados al Fondo, y en todos los departamentos del país, se presenta un saldo de recursos en la Cuenta Única del SGR </w:t>
      </w:r>
      <w:r>
        <w:rPr>
          <w:rFonts w:ascii="Arial" w:hAnsi="Arial" w:cs="Arial"/>
          <w:sz w:val="22"/>
          <w:szCs w:val="22"/>
        </w:rPr>
        <w:t xml:space="preserve">por este concepto </w:t>
      </w:r>
      <w:r w:rsidRPr="009601E2">
        <w:rPr>
          <w:rFonts w:ascii="Arial" w:hAnsi="Arial" w:cs="Arial"/>
          <w:sz w:val="22"/>
          <w:szCs w:val="22"/>
        </w:rPr>
        <w:t>no comprometido en la financiación de proyectos.</w:t>
      </w:r>
    </w:p>
    <w:p w:rsidR="00AE001B" w:rsidRDefault="00AE001B" w:rsidP="00AE001B">
      <w:pPr>
        <w:pStyle w:val="NormalWeb"/>
        <w:spacing w:before="0" w:beforeAutospacing="0" w:after="0"/>
        <w:jc w:val="center"/>
        <w:rPr>
          <w:rFonts w:ascii="Arial" w:hAnsi="Arial" w:cs="Arial"/>
          <w:b/>
          <w:sz w:val="22"/>
          <w:szCs w:val="20"/>
          <w:lang w:val="es-CO"/>
        </w:rPr>
      </w:pPr>
    </w:p>
    <w:p w:rsidR="00AE001B" w:rsidRPr="00B30577" w:rsidRDefault="00AE001B" w:rsidP="00AE001B">
      <w:pPr>
        <w:pStyle w:val="NormalWeb"/>
        <w:spacing w:before="0" w:beforeAutospacing="0" w:after="0"/>
        <w:jc w:val="center"/>
        <w:rPr>
          <w:rFonts w:ascii="Arial" w:hAnsi="Arial" w:cs="Arial"/>
          <w:b/>
          <w:sz w:val="22"/>
          <w:szCs w:val="20"/>
          <w:lang w:val="es-CO"/>
        </w:rPr>
      </w:pPr>
      <w:r w:rsidRPr="00B30577">
        <w:rPr>
          <w:rFonts w:ascii="Arial" w:hAnsi="Arial" w:cs="Arial"/>
          <w:b/>
          <w:sz w:val="22"/>
          <w:szCs w:val="20"/>
          <w:lang w:val="es-CO"/>
        </w:rPr>
        <w:t>Cuadro 9</w:t>
      </w:r>
    </w:p>
    <w:p w:rsidR="00AE001B" w:rsidRDefault="00AE001B" w:rsidP="00AE001B">
      <w:pPr>
        <w:pStyle w:val="NormalWeb"/>
        <w:spacing w:before="0" w:beforeAutospacing="0" w:after="0"/>
        <w:jc w:val="center"/>
        <w:rPr>
          <w:rFonts w:ascii="Arial" w:hAnsi="Arial" w:cs="Arial"/>
          <w:b/>
          <w:sz w:val="22"/>
          <w:szCs w:val="20"/>
          <w:lang w:val="es-CO"/>
        </w:rPr>
      </w:pPr>
      <w:r w:rsidRPr="00B30577">
        <w:rPr>
          <w:rFonts w:ascii="Arial" w:hAnsi="Arial" w:cs="Arial"/>
          <w:b/>
          <w:sz w:val="22"/>
          <w:szCs w:val="20"/>
          <w:lang w:val="es-CO"/>
        </w:rPr>
        <w:t>Valor aprobado y saldos disponibles en el Fondo de CTI por departamento</w:t>
      </w:r>
      <w:r>
        <w:rPr>
          <w:rFonts w:ascii="Arial" w:hAnsi="Arial" w:cs="Arial"/>
          <w:b/>
          <w:sz w:val="22"/>
          <w:szCs w:val="20"/>
          <w:lang w:val="es-CO"/>
        </w:rPr>
        <w:t xml:space="preserve"> </w:t>
      </w:r>
    </w:p>
    <w:p w:rsidR="00AE001B" w:rsidRPr="00B30577" w:rsidRDefault="00AE001B" w:rsidP="00AE001B">
      <w:pPr>
        <w:pStyle w:val="NormalWeb"/>
        <w:spacing w:before="0" w:beforeAutospacing="0" w:after="0"/>
        <w:jc w:val="center"/>
        <w:rPr>
          <w:rFonts w:ascii="Arial" w:hAnsi="Arial" w:cs="Arial"/>
          <w:b/>
          <w:sz w:val="22"/>
          <w:szCs w:val="20"/>
          <w:lang w:val="es-CO"/>
        </w:rPr>
      </w:pPr>
      <w:r>
        <w:rPr>
          <w:rFonts w:ascii="Arial" w:hAnsi="Arial" w:cs="Arial"/>
          <w:b/>
          <w:sz w:val="22"/>
          <w:szCs w:val="20"/>
          <w:lang w:val="es-CO"/>
        </w:rPr>
        <w:t xml:space="preserve">al 31 de diciembre de 2016 - </w:t>
      </w:r>
      <w:r w:rsidRPr="00B30577">
        <w:rPr>
          <w:rFonts w:ascii="Arial" w:hAnsi="Arial" w:cs="Arial"/>
          <w:b/>
          <w:sz w:val="22"/>
          <w:szCs w:val="20"/>
          <w:lang w:val="es-CO"/>
        </w:rPr>
        <w:t>(millones de pesos)</w:t>
      </w:r>
    </w:p>
    <w:tbl>
      <w:tblPr>
        <w:tblW w:w="8642" w:type="dxa"/>
        <w:jc w:val="center"/>
        <w:tblCellMar>
          <w:left w:w="70" w:type="dxa"/>
          <w:right w:w="70" w:type="dxa"/>
        </w:tblCellMar>
        <w:tblLook w:val="04A0" w:firstRow="1" w:lastRow="0" w:firstColumn="1" w:lastColumn="0" w:noHBand="0" w:noVBand="1"/>
      </w:tblPr>
      <w:tblGrid>
        <w:gridCol w:w="1980"/>
        <w:gridCol w:w="1843"/>
        <w:gridCol w:w="2268"/>
        <w:gridCol w:w="2551"/>
      </w:tblGrid>
      <w:tr w:rsidR="00AE001B" w:rsidRPr="00B30577" w:rsidTr="00E51EDD">
        <w:trPr>
          <w:trHeight w:val="532"/>
          <w:jc w:val="center"/>
        </w:trPr>
        <w:tc>
          <w:tcPr>
            <w:tcW w:w="1980" w:type="dxa"/>
            <w:tcBorders>
              <w:top w:val="single" w:sz="4" w:space="0" w:color="auto"/>
              <w:left w:val="single" w:sz="4" w:space="0" w:color="auto"/>
              <w:bottom w:val="single" w:sz="4" w:space="0" w:color="auto"/>
              <w:right w:val="single" w:sz="4" w:space="0" w:color="auto"/>
            </w:tcBorders>
            <w:shd w:val="clear" w:color="000000" w:fill="44546A"/>
            <w:vAlign w:val="center"/>
            <w:hideMark/>
          </w:tcPr>
          <w:p w:rsidR="00AE001B" w:rsidRPr="00B30577" w:rsidRDefault="00AE001B" w:rsidP="00E51EDD">
            <w:pPr>
              <w:spacing w:after="0" w:line="240" w:lineRule="auto"/>
              <w:jc w:val="center"/>
              <w:rPr>
                <w:rFonts w:ascii="Arial" w:eastAsia="Times New Roman" w:hAnsi="Arial" w:cs="Arial"/>
                <w:b/>
                <w:bCs/>
                <w:color w:val="FFFFFF"/>
                <w:sz w:val="18"/>
                <w:szCs w:val="24"/>
                <w:lang w:eastAsia="es-CO"/>
              </w:rPr>
            </w:pPr>
            <w:r w:rsidRPr="00B30577">
              <w:rPr>
                <w:rFonts w:ascii="Arial" w:eastAsia="Times New Roman" w:hAnsi="Arial" w:cs="Arial"/>
                <w:b/>
                <w:bCs/>
                <w:color w:val="FFFFFF"/>
                <w:sz w:val="18"/>
                <w:szCs w:val="24"/>
                <w:lang w:eastAsia="es-CO"/>
              </w:rPr>
              <w:t>Departamento</w:t>
            </w:r>
          </w:p>
        </w:tc>
        <w:tc>
          <w:tcPr>
            <w:tcW w:w="1843" w:type="dxa"/>
            <w:tcBorders>
              <w:top w:val="single" w:sz="4" w:space="0" w:color="auto"/>
              <w:left w:val="nil"/>
              <w:bottom w:val="single" w:sz="4" w:space="0" w:color="auto"/>
              <w:right w:val="single" w:sz="4" w:space="0" w:color="auto"/>
            </w:tcBorders>
            <w:shd w:val="clear" w:color="000000" w:fill="44546A"/>
            <w:vAlign w:val="center"/>
            <w:hideMark/>
          </w:tcPr>
          <w:p w:rsidR="00AE001B" w:rsidRPr="00B30577" w:rsidRDefault="00AE001B" w:rsidP="00E51EDD">
            <w:pPr>
              <w:spacing w:after="0" w:line="240" w:lineRule="auto"/>
              <w:jc w:val="center"/>
              <w:rPr>
                <w:rFonts w:ascii="Arial" w:eastAsia="Times New Roman" w:hAnsi="Arial" w:cs="Arial"/>
                <w:b/>
                <w:bCs/>
                <w:color w:val="FFFFFF"/>
                <w:sz w:val="18"/>
                <w:szCs w:val="24"/>
                <w:lang w:eastAsia="es-CO"/>
              </w:rPr>
            </w:pPr>
            <w:r w:rsidRPr="00B30577">
              <w:rPr>
                <w:rFonts w:ascii="Arial" w:eastAsia="Times New Roman" w:hAnsi="Arial" w:cs="Arial"/>
                <w:b/>
                <w:bCs/>
                <w:color w:val="FFFFFF"/>
                <w:sz w:val="18"/>
                <w:szCs w:val="24"/>
                <w:lang w:eastAsia="es-CO"/>
              </w:rPr>
              <w:t>Recursos asignados 2012-2016*</w:t>
            </w:r>
          </w:p>
        </w:tc>
        <w:tc>
          <w:tcPr>
            <w:tcW w:w="2268" w:type="dxa"/>
            <w:tcBorders>
              <w:top w:val="single" w:sz="4" w:space="0" w:color="auto"/>
              <w:left w:val="nil"/>
              <w:bottom w:val="single" w:sz="4" w:space="0" w:color="auto"/>
              <w:right w:val="single" w:sz="4" w:space="0" w:color="auto"/>
            </w:tcBorders>
            <w:shd w:val="clear" w:color="000000" w:fill="44546A"/>
            <w:vAlign w:val="center"/>
            <w:hideMark/>
          </w:tcPr>
          <w:p w:rsidR="00AE001B" w:rsidRPr="00B30577" w:rsidRDefault="00AE001B" w:rsidP="00E51EDD">
            <w:pPr>
              <w:spacing w:after="0" w:line="240" w:lineRule="auto"/>
              <w:jc w:val="center"/>
              <w:rPr>
                <w:rFonts w:ascii="Arial" w:eastAsia="Times New Roman" w:hAnsi="Arial" w:cs="Arial"/>
                <w:b/>
                <w:bCs/>
                <w:color w:val="FFFFFF"/>
                <w:sz w:val="18"/>
                <w:szCs w:val="24"/>
                <w:lang w:eastAsia="es-CO"/>
              </w:rPr>
            </w:pPr>
            <w:r w:rsidRPr="00B30577">
              <w:rPr>
                <w:rFonts w:ascii="Arial" w:eastAsia="Times New Roman" w:hAnsi="Arial" w:cs="Arial"/>
                <w:b/>
                <w:bCs/>
                <w:color w:val="FFFFFF"/>
                <w:sz w:val="18"/>
                <w:szCs w:val="24"/>
                <w:lang w:eastAsia="es-CO"/>
              </w:rPr>
              <w:t>Valor proyectos aprobados 2012-2016**</w:t>
            </w:r>
          </w:p>
        </w:tc>
        <w:tc>
          <w:tcPr>
            <w:tcW w:w="2551" w:type="dxa"/>
            <w:tcBorders>
              <w:top w:val="single" w:sz="4" w:space="0" w:color="auto"/>
              <w:left w:val="nil"/>
              <w:bottom w:val="single" w:sz="4" w:space="0" w:color="auto"/>
              <w:right w:val="single" w:sz="4" w:space="0" w:color="auto"/>
            </w:tcBorders>
            <w:shd w:val="clear" w:color="000000" w:fill="44546A"/>
            <w:vAlign w:val="center"/>
            <w:hideMark/>
          </w:tcPr>
          <w:p w:rsidR="00AE001B" w:rsidRPr="00B30577" w:rsidRDefault="00AE001B" w:rsidP="00E51EDD">
            <w:pPr>
              <w:spacing w:after="0" w:line="240" w:lineRule="auto"/>
              <w:jc w:val="center"/>
              <w:rPr>
                <w:rFonts w:ascii="Arial" w:eastAsia="Times New Roman" w:hAnsi="Arial" w:cs="Arial"/>
                <w:b/>
                <w:bCs/>
                <w:color w:val="FFFFFF"/>
                <w:sz w:val="18"/>
                <w:szCs w:val="24"/>
                <w:lang w:eastAsia="es-CO"/>
              </w:rPr>
            </w:pPr>
            <w:r w:rsidRPr="00B30577">
              <w:rPr>
                <w:rFonts w:ascii="Arial" w:eastAsia="Times New Roman" w:hAnsi="Arial" w:cs="Arial"/>
                <w:b/>
                <w:bCs/>
                <w:color w:val="FFFFFF"/>
                <w:sz w:val="18"/>
                <w:szCs w:val="24"/>
                <w:lang w:eastAsia="es-CO"/>
              </w:rPr>
              <w:t>Recaudo con cargo al cual no se han aprobado proyectos</w:t>
            </w:r>
          </w:p>
        </w:tc>
      </w:tr>
      <w:tr w:rsidR="00AE001B" w:rsidRPr="00B30577" w:rsidTr="00E51EDD">
        <w:trPr>
          <w:trHeight w:val="132"/>
          <w:jc w:val="center"/>
        </w:trPr>
        <w:tc>
          <w:tcPr>
            <w:tcW w:w="1980" w:type="dxa"/>
            <w:tcBorders>
              <w:top w:val="nil"/>
              <w:left w:val="single" w:sz="4" w:space="0" w:color="auto"/>
              <w:bottom w:val="single" w:sz="4" w:space="0" w:color="auto"/>
              <w:right w:val="single" w:sz="4" w:space="0" w:color="auto"/>
            </w:tcBorders>
            <w:shd w:val="clear" w:color="FFFFFF" w:fill="FFFFFF"/>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ANTIOQUIA</w:t>
            </w:r>
          </w:p>
        </w:tc>
        <w:tc>
          <w:tcPr>
            <w:tcW w:w="1843"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259.267 </w:t>
            </w:r>
          </w:p>
        </w:tc>
        <w:tc>
          <w:tcPr>
            <w:tcW w:w="2268"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194.759 </w:t>
            </w:r>
          </w:p>
        </w:tc>
        <w:tc>
          <w:tcPr>
            <w:tcW w:w="255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 xml:space="preserve">                          64.508 </w:t>
            </w:r>
          </w:p>
        </w:tc>
      </w:tr>
      <w:tr w:rsidR="00AE001B" w:rsidRPr="00B30577" w:rsidTr="00E51EDD">
        <w:trPr>
          <w:trHeight w:val="278"/>
          <w:jc w:val="center"/>
        </w:trPr>
        <w:tc>
          <w:tcPr>
            <w:tcW w:w="1980" w:type="dxa"/>
            <w:tcBorders>
              <w:top w:val="nil"/>
              <w:left w:val="single" w:sz="4" w:space="0" w:color="auto"/>
              <w:bottom w:val="single" w:sz="4" w:space="0" w:color="auto"/>
              <w:right w:val="single" w:sz="4" w:space="0" w:color="auto"/>
            </w:tcBorders>
            <w:shd w:val="clear" w:color="FFFFFF" w:fill="FFFFFF"/>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ATLÁNTICO</w:t>
            </w:r>
          </w:p>
        </w:tc>
        <w:tc>
          <w:tcPr>
            <w:tcW w:w="1843"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119.348 </w:t>
            </w:r>
          </w:p>
        </w:tc>
        <w:tc>
          <w:tcPr>
            <w:tcW w:w="2268"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95.493 </w:t>
            </w:r>
          </w:p>
        </w:tc>
        <w:tc>
          <w:tcPr>
            <w:tcW w:w="255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 xml:space="preserve">                          23.854 </w:t>
            </w:r>
          </w:p>
        </w:tc>
      </w:tr>
      <w:tr w:rsidR="00AE001B" w:rsidRPr="00B30577" w:rsidTr="00E51EDD">
        <w:trPr>
          <w:trHeight w:val="140"/>
          <w:jc w:val="center"/>
        </w:trPr>
        <w:tc>
          <w:tcPr>
            <w:tcW w:w="1980" w:type="dxa"/>
            <w:tcBorders>
              <w:top w:val="nil"/>
              <w:left w:val="single" w:sz="4" w:space="0" w:color="auto"/>
              <w:bottom w:val="single" w:sz="4" w:space="0" w:color="auto"/>
              <w:right w:val="single" w:sz="4" w:space="0" w:color="auto"/>
            </w:tcBorders>
            <w:shd w:val="clear" w:color="FFFFFF" w:fill="FFFFFF"/>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BOGOTÁ D.C.</w:t>
            </w:r>
          </w:p>
        </w:tc>
        <w:tc>
          <w:tcPr>
            <w:tcW w:w="1843"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jc w:val="center"/>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91.963 </w:t>
            </w:r>
          </w:p>
        </w:tc>
        <w:tc>
          <w:tcPr>
            <w:tcW w:w="2268"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71.684 </w:t>
            </w:r>
          </w:p>
        </w:tc>
        <w:tc>
          <w:tcPr>
            <w:tcW w:w="255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 xml:space="preserve">                          20.278 </w:t>
            </w:r>
          </w:p>
        </w:tc>
      </w:tr>
      <w:tr w:rsidR="00AE001B" w:rsidRPr="00B30577" w:rsidTr="00E51EDD">
        <w:trPr>
          <w:trHeight w:val="144"/>
          <w:jc w:val="center"/>
        </w:trPr>
        <w:tc>
          <w:tcPr>
            <w:tcW w:w="1980" w:type="dxa"/>
            <w:tcBorders>
              <w:top w:val="nil"/>
              <w:left w:val="single" w:sz="4" w:space="0" w:color="auto"/>
              <w:bottom w:val="single" w:sz="4" w:space="0" w:color="auto"/>
              <w:right w:val="single" w:sz="4" w:space="0" w:color="auto"/>
            </w:tcBorders>
            <w:shd w:val="clear" w:color="FFFFFF" w:fill="FFFFFF"/>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BOLÍVAR</w:t>
            </w:r>
          </w:p>
        </w:tc>
        <w:tc>
          <w:tcPr>
            <w:tcW w:w="1843"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216.945 </w:t>
            </w:r>
          </w:p>
        </w:tc>
        <w:tc>
          <w:tcPr>
            <w:tcW w:w="2268"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63.823 </w:t>
            </w:r>
          </w:p>
        </w:tc>
        <w:tc>
          <w:tcPr>
            <w:tcW w:w="255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 xml:space="preserve">                        153.121 </w:t>
            </w:r>
          </w:p>
        </w:tc>
      </w:tr>
      <w:tr w:rsidR="00AE001B" w:rsidRPr="00B30577" w:rsidTr="00E51EDD">
        <w:trPr>
          <w:trHeight w:val="290"/>
          <w:jc w:val="center"/>
        </w:trPr>
        <w:tc>
          <w:tcPr>
            <w:tcW w:w="1980" w:type="dxa"/>
            <w:tcBorders>
              <w:top w:val="nil"/>
              <w:left w:val="single" w:sz="4" w:space="0" w:color="auto"/>
              <w:bottom w:val="single" w:sz="4" w:space="0" w:color="auto"/>
              <w:right w:val="single" w:sz="4" w:space="0" w:color="auto"/>
            </w:tcBorders>
            <w:shd w:val="clear" w:color="FFFFFF" w:fill="FFFFFF"/>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BOYACÁ</w:t>
            </w:r>
          </w:p>
        </w:tc>
        <w:tc>
          <w:tcPr>
            <w:tcW w:w="1843"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148.260 </w:t>
            </w:r>
          </w:p>
        </w:tc>
        <w:tc>
          <w:tcPr>
            <w:tcW w:w="2268"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60.536 </w:t>
            </w:r>
          </w:p>
        </w:tc>
        <w:tc>
          <w:tcPr>
            <w:tcW w:w="255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 xml:space="preserve">                          87.725 </w:t>
            </w:r>
          </w:p>
        </w:tc>
      </w:tr>
      <w:tr w:rsidR="00AE001B" w:rsidRPr="00B30577" w:rsidTr="00E51EDD">
        <w:trPr>
          <w:trHeight w:val="138"/>
          <w:jc w:val="center"/>
        </w:trPr>
        <w:tc>
          <w:tcPr>
            <w:tcW w:w="1980" w:type="dxa"/>
            <w:tcBorders>
              <w:top w:val="nil"/>
              <w:left w:val="single" w:sz="4" w:space="0" w:color="auto"/>
              <w:bottom w:val="single" w:sz="4" w:space="0" w:color="auto"/>
              <w:right w:val="single" w:sz="4" w:space="0" w:color="auto"/>
            </w:tcBorders>
            <w:shd w:val="clear" w:color="FFFFFF" w:fill="FFFFFF"/>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CALDAS</w:t>
            </w:r>
          </w:p>
        </w:tc>
        <w:tc>
          <w:tcPr>
            <w:tcW w:w="1843"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69.836 </w:t>
            </w:r>
          </w:p>
        </w:tc>
        <w:tc>
          <w:tcPr>
            <w:tcW w:w="2268"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43.799 </w:t>
            </w:r>
          </w:p>
        </w:tc>
        <w:tc>
          <w:tcPr>
            <w:tcW w:w="255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 xml:space="preserve">                          26.037 </w:t>
            </w:r>
          </w:p>
        </w:tc>
      </w:tr>
      <w:tr w:rsidR="00AE001B" w:rsidRPr="00B30577" w:rsidTr="00E51EDD">
        <w:trPr>
          <w:trHeight w:val="284"/>
          <w:jc w:val="center"/>
        </w:trPr>
        <w:tc>
          <w:tcPr>
            <w:tcW w:w="1980" w:type="dxa"/>
            <w:tcBorders>
              <w:top w:val="nil"/>
              <w:left w:val="single" w:sz="4" w:space="0" w:color="auto"/>
              <w:bottom w:val="single" w:sz="4" w:space="0" w:color="auto"/>
              <w:right w:val="single" w:sz="4" w:space="0" w:color="auto"/>
            </w:tcBorders>
            <w:shd w:val="clear" w:color="FFFFFF" w:fill="FFFFFF"/>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CAQUETÁ</w:t>
            </w:r>
          </w:p>
        </w:tc>
        <w:tc>
          <w:tcPr>
            <w:tcW w:w="1843"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91.575 </w:t>
            </w:r>
          </w:p>
        </w:tc>
        <w:tc>
          <w:tcPr>
            <w:tcW w:w="2268"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70.909 </w:t>
            </w:r>
          </w:p>
        </w:tc>
        <w:tc>
          <w:tcPr>
            <w:tcW w:w="255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 xml:space="preserve">                          20.666 </w:t>
            </w:r>
          </w:p>
        </w:tc>
      </w:tr>
      <w:tr w:rsidR="00AE001B" w:rsidRPr="00B30577" w:rsidTr="00E51EDD">
        <w:trPr>
          <w:trHeight w:val="261"/>
          <w:jc w:val="center"/>
        </w:trPr>
        <w:tc>
          <w:tcPr>
            <w:tcW w:w="1980" w:type="dxa"/>
            <w:tcBorders>
              <w:top w:val="nil"/>
              <w:left w:val="single" w:sz="4" w:space="0" w:color="auto"/>
              <w:bottom w:val="single" w:sz="4" w:space="0" w:color="auto"/>
              <w:right w:val="single" w:sz="4" w:space="0" w:color="auto"/>
            </w:tcBorders>
            <w:shd w:val="clear" w:color="FFFFFF" w:fill="FFFFFF"/>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CAUCA</w:t>
            </w:r>
          </w:p>
        </w:tc>
        <w:tc>
          <w:tcPr>
            <w:tcW w:w="1843"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184.228 </w:t>
            </w:r>
          </w:p>
        </w:tc>
        <w:tc>
          <w:tcPr>
            <w:tcW w:w="2268"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127.766 </w:t>
            </w:r>
          </w:p>
        </w:tc>
        <w:tc>
          <w:tcPr>
            <w:tcW w:w="255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 xml:space="preserve">                          56.462 </w:t>
            </w:r>
          </w:p>
        </w:tc>
      </w:tr>
      <w:tr w:rsidR="00AE001B" w:rsidRPr="00B30577" w:rsidTr="00E51EDD">
        <w:trPr>
          <w:trHeight w:val="122"/>
          <w:jc w:val="center"/>
        </w:trPr>
        <w:tc>
          <w:tcPr>
            <w:tcW w:w="1980" w:type="dxa"/>
            <w:tcBorders>
              <w:top w:val="nil"/>
              <w:left w:val="single" w:sz="4" w:space="0" w:color="auto"/>
              <w:bottom w:val="single" w:sz="4" w:space="0" w:color="auto"/>
              <w:right w:val="single" w:sz="4" w:space="0" w:color="auto"/>
            </w:tcBorders>
            <w:shd w:val="clear" w:color="FFFFFF" w:fill="FFFFFF"/>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CESAR</w:t>
            </w:r>
          </w:p>
        </w:tc>
        <w:tc>
          <w:tcPr>
            <w:tcW w:w="1843"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142.647 </w:t>
            </w:r>
          </w:p>
        </w:tc>
        <w:tc>
          <w:tcPr>
            <w:tcW w:w="2268"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83.763 </w:t>
            </w:r>
          </w:p>
        </w:tc>
        <w:tc>
          <w:tcPr>
            <w:tcW w:w="255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 xml:space="preserve">                          58.884 </w:t>
            </w:r>
          </w:p>
        </w:tc>
      </w:tr>
      <w:tr w:rsidR="00AE001B" w:rsidRPr="00B30577" w:rsidTr="00E51EDD">
        <w:trPr>
          <w:trHeight w:val="127"/>
          <w:jc w:val="center"/>
        </w:trPr>
        <w:tc>
          <w:tcPr>
            <w:tcW w:w="1980" w:type="dxa"/>
            <w:tcBorders>
              <w:top w:val="nil"/>
              <w:left w:val="single" w:sz="4" w:space="0" w:color="auto"/>
              <w:bottom w:val="single" w:sz="4" w:space="0" w:color="auto"/>
              <w:right w:val="single" w:sz="4" w:space="0" w:color="auto"/>
            </w:tcBorders>
            <w:shd w:val="clear" w:color="FFFFFF" w:fill="FFFFFF"/>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CÓRDOBA</w:t>
            </w:r>
          </w:p>
        </w:tc>
        <w:tc>
          <w:tcPr>
            <w:tcW w:w="1843"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249.940 </w:t>
            </w:r>
          </w:p>
        </w:tc>
        <w:tc>
          <w:tcPr>
            <w:tcW w:w="2268"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161.284 </w:t>
            </w:r>
          </w:p>
        </w:tc>
        <w:tc>
          <w:tcPr>
            <w:tcW w:w="255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 xml:space="preserve">                          88.655 </w:t>
            </w:r>
          </w:p>
        </w:tc>
      </w:tr>
      <w:tr w:rsidR="00AE001B" w:rsidRPr="00B30577" w:rsidTr="00E51EDD">
        <w:trPr>
          <w:trHeight w:val="144"/>
          <w:jc w:val="center"/>
        </w:trPr>
        <w:tc>
          <w:tcPr>
            <w:tcW w:w="1980" w:type="dxa"/>
            <w:tcBorders>
              <w:top w:val="nil"/>
              <w:left w:val="single" w:sz="4" w:space="0" w:color="auto"/>
              <w:bottom w:val="single" w:sz="4" w:space="0" w:color="auto"/>
              <w:right w:val="single" w:sz="4" w:space="0" w:color="auto"/>
            </w:tcBorders>
            <w:shd w:val="clear" w:color="FFFFFF" w:fill="FFFFFF"/>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CUNDINAMARCA</w:t>
            </w:r>
          </w:p>
        </w:tc>
        <w:tc>
          <w:tcPr>
            <w:tcW w:w="1843"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142.974 </w:t>
            </w:r>
          </w:p>
        </w:tc>
        <w:tc>
          <w:tcPr>
            <w:tcW w:w="2268"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98.944 </w:t>
            </w:r>
          </w:p>
        </w:tc>
        <w:tc>
          <w:tcPr>
            <w:tcW w:w="255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 xml:space="preserve">                          44.030 </w:t>
            </w:r>
          </w:p>
        </w:tc>
      </w:tr>
      <w:tr w:rsidR="00AE001B" w:rsidRPr="00B30577" w:rsidTr="00E51EDD">
        <w:trPr>
          <w:trHeight w:val="148"/>
          <w:jc w:val="center"/>
        </w:trPr>
        <w:tc>
          <w:tcPr>
            <w:tcW w:w="1980" w:type="dxa"/>
            <w:tcBorders>
              <w:top w:val="nil"/>
              <w:left w:val="single" w:sz="4" w:space="0" w:color="auto"/>
              <w:bottom w:val="single" w:sz="4" w:space="0" w:color="auto"/>
              <w:right w:val="single" w:sz="4" w:space="0" w:color="auto"/>
            </w:tcBorders>
            <w:shd w:val="clear" w:color="FFFFFF" w:fill="FFFFFF"/>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CHOCÓ</w:t>
            </w:r>
          </w:p>
        </w:tc>
        <w:tc>
          <w:tcPr>
            <w:tcW w:w="1843"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129.970 </w:t>
            </w:r>
          </w:p>
        </w:tc>
        <w:tc>
          <w:tcPr>
            <w:tcW w:w="2268"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85.939 </w:t>
            </w:r>
          </w:p>
        </w:tc>
        <w:tc>
          <w:tcPr>
            <w:tcW w:w="255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 xml:space="preserve">                          44.032 </w:t>
            </w:r>
          </w:p>
        </w:tc>
      </w:tr>
      <w:tr w:rsidR="00AE001B" w:rsidRPr="00B30577" w:rsidTr="00E51EDD">
        <w:trPr>
          <w:trHeight w:val="294"/>
          <w:jc w:val="center"/>
        </w:trPr>
        <w:tc>
          <w:tcPr>
            <w:tcW w:w="1980" w:type="dxa"/>
            <w:tcBorders>
              <w:top w:val="nil"/>
              <w:left w:val="single" w:sz="4" w:space="0" w:color="auto"/>
              <w:bottom w:val="single" w:sz="4" w:space="0" w:color="auto"/>
              <w:right w:val="single" w:sz="4" w:space="0" w:color="auto"/>
            </w:tcBorders>
            <w:shd w:val="clear" w:color="FFFFFF" w:fill="FFFFFF"/>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HUILA</w:t>
            </w:r>
          </w:p>
        </w:tc>
        <w:tc>
          <w:tcPr>
            <w:tcW w:w="1843"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139.817 </w:t>
            </w:r>
          </w:p>
        </w:tc>
        <w:tc>
          <w:tcPr>
            <w:tcW w:w="2268"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77.378 </w:t>
            </w:r>
          </w:p>
        </w:tc>
        <w:tc>
          <w:tcPr>
            <w:tcW w:w="255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 xml:space="preserve">                          62.440 </w:t>
            </w:r>
          </w:p>
        </w:tc>
      </w:tr>
      <w:tr w:rsidR="00AE001B" w:rsidRPr="00B30577" w:rsidTr="00E51EDD">
        <w:trPr>
          <w:trHeight w:val="129"/>
          <w:jc w:val="center"/>
        </w:trPr>
        <w:tc>
          <w:tcPr>
            <w:tcW w:w="1980" w:type="dxa"/>
            <w:tcBorders>
              <w:top w:val="nil"/>
              <w:left w:val="single" w:sz="4" w:space="0" w:color="auto"/>
              <w:bottom w:val="single" w:sz="4" w:space="0" w:color="auto"/>
              <w:right w:val="single" w:sz="4" w:space="0" w:color="auto"/>
            </w:tcBorders>
            <w:shd w:val="clear" w:color="FFFFFF" w:fill="FFFFFF"/>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LA GUAJIRA</w:t>
            </w:r>
          </w:p>
        </w:tc>
        <w:tc>
          <w:tcPr>
            <w:tcW w:w="1843"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173.928 </w:t>
            </w:r>
          </w:p>
        </w:tc>
        <w:tc>
          <w:tcPr>
            <w:tcW w:w="2268"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103.560 </w:t>
            </w:r>
          </w:p>
        </w:tc>
        <w:tc>
          <w:tcPr>
            <w:tcW w:w="255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 xml:space="preserve">                          70.367 </w:t>
            </w:r>
          </w:p>
        </w:tc>
      </w:tr>
      <w:tr w:rsidR="00AE001B" w:rsidRPr="00B30577" w:rsidTr="00E51EDD">
        <w:trPr>
          <w:trHeight w:val="146"/>
          <w:jc w:val="center"/>
        </w:trPr>
        <w:tc>
          <w:tcPr>
            <w:tcW w:w="1980" w:type="dxa"/>
            <w:tcBorders>
              <w:top w:val="nil"/>
              <w:left w:val="single" w:sz="4" w:space="0" w:color="auto"/>
              <w:bottom w:val="single" w:sz="4" w:space="0" w:color="auto"/>
              <w:right w:val="single" w:sz="4" w:space="0" w:color="auto"/>
            </w:tcBorders>
            <w:shd w:val="clear" w:color="FFFFFF" w:fill="FFFFFF"/>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MAGDALENA</w:t>
            </w:r>
          </w:p>
        </w:tc>
        <w:tc>
          <w:tcPr>
            <w:tcW w:w="1843"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167.615 </w:t>
            </w:r>
          </w:p>
        </w:tc>
        <w:tc>
          <w:tcPr>
            <w:tcW w:w="2268"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106.364 </w:t>
            </w:r>
          </w:p>
        </w:tc>
        <w:tc>
          <w:tcPr>
            <w:tcW w:w="255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 xml:space="preserve">                          61.251 </w:t>
            </w:r>
          </w:p>
        </w:tc>
      </w:tr>
      <w:tr w:rsidR="00AE001B" w:rsidRPr="00B30577" w:rsidTr="00E51EDD">
        <w:trPr>
          <w:trHeight w:val="150"/>
          <w:jc w:val="center"/>
        </w:trPr>
        <w:tc>
          <w:tcPr>
            <w:tcW w:w="1980" w:type="dxa"/>
            <w:tcBorders>
              <w:top w:val="nil"/>
              <w:left w:val="single" w:sz="4" w:space="0" w:color="auto"/>
              <w:bottom w:val="single" w:sz="4" w:space="0" w:color="auto"/>
              <w:right w:val="single" w:sz="4" w:space="0" w:color="auto"/>
            </w:tcBorders>
            <w:shd w:val="clear" w:color="FFFFFF" w:fill="FFFFFF"/>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META</w:t>
            </w:r>
          </w:p>
        </w:tc>
        <w:tc>
          <w:tcPr>
            <w:tcW w:w="1843"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75.406 </w:t>
            </w:r>
          </w:p>
        </w:tc>
        <w:tc>
          <w:tcPr>
            <w:tcW w:w="2268"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55.388 </w:t>
            </w:r>
          </w:p>
        </w:tc>
        <w:tc>
          <w:tcPr>
            <w:tcW w:w="255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 xml:space="preserve">                          20.018 </w:t>
            </w:r>
          </w:p>
        </w:tc>
      </w:tr>
      <w:tr w:rsidR="00AE001B" w:rsidRPr="00B30577" w:rsidTr="00E51EDD">
        <w:trPr>
          <w:trHeight w:val="154"/>
          <w:jc w:val="center"/>
        </w:trPr>
        <w:tc>
          <w:tcPr>
            <w:tcW w:w="1980" w:type="dxa"/>
            <w:tcBorders>
              <w:top w:val="nil"/>
              <w:left w:val="single" w:sz="4" w:space="0" w:color="auto"/>
              <w:bottom w:val="single" w:sz="4" w:space="0" w:color="auto"/>
              <w:right w:val="single" w:sz="4" w:space="0" w:color="auto"/>
            </w:tcBorders>
            <w:shd w:val="clear" w:color="FFFFFF" w:fill="FFFFFF"/>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NARIÑO</w:t>
            </w:r>
          </w:p>
        </w:tc>
        <w:tc>
          <w:tcPr>
            <w:tcW w:w="1843"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209.079</w:t>
            </w:r>
          </w:p>
        </w:tc>
        <w:tc>
          <w:tcPr>
            <w:tcW w:w="2268"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94.367 </w:t>
            </w:r>
          </w:p>
        </w:tc>
        <w:tc>
          <w:tcPr>
            <w:tcW w:w="255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 xml:space="preserve">                        114.712 </w:t>
            </w:r>
          </w:p>
        </w:tc>
      </w:tr>
      <w:tr w:rsidR="00AE001B" w:rsidRPr="00B30577" w:rsidTr="00E51EDD">
        <w:trPr>
          <w:trHeight w:val="53"/>
          <w:jc w:val="center"/>
        </w:trPr>
        <w:tc>
          <w:tcPr>
            <w:tcW w:w="1980" w:type="dxa"/>
            <w:tcBorders>
              <w:top w:val="nil"/>
              <w:left w:val="single" w:sz="4" w:space="0" w:color="auto"/>
              <w:bottom w:val="single" w:sz="4" w:space="0" w:color="auto"/>
              <w:right w:val="single" w:sz="4" w:space="0" w:color="auto"/>
            </w:tcBorders>
            <w:shd w:val="clear" w:color="FFFFFF" w:fill="FFFFFF"/>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N. SANTANDER</w:t>
            </w:r>
          </w:p>
        </w:tc>
        <w:tc>
          <w:tcPr>
            <w:tcW w:w="1843"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136.834</w:t>
            </w:r>
          </w:p>
        </w:tc>
        <w:tc>
          <w:tcPr>
            <w:tcW w:w="2268"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65.949 </w:t>
            </w:r>
          </w:p>
        </w:tc>
        <w:tc>
          <w:tcPr>
            <w:tcW w:w="255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 xml:space="preserve">                          70.885 </w:t>
            </w:r>
          </w:p>
        </w:tc>
      </w:tr>
      <w:tr w:rsidR="00AE001B" w:rsidRPr="00B30577" w:rsidTr="00E51EDD">
        <w:trPr>
          <w:trHeight w:val="162"/>
          <w:jc w:val="center"/>
        </w:trPr>
        <w:tc>
          <w:tcPr>
            <w:tcW w:w="1980" w:type="dxa"/>
            <w:tcBorders>
              <w:top w:val="nil"/>
              <w:left w:val="single" w:sz="4" w:space="0" w:color="auto"/>
              <w:bottom w:val="single" w:sz="4" w:space="0" w:color="auto"/>
              <w:right w:val="single" w:sz="4" w:space="0" w:color="auto"/>
            </w:tcBorders>
            <w:shd w:val="clear" w:color="FFFFFF" w:fill="FFFFFF"/>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QUINDÍO</w:t>
            </w:r>
          </w:p>
        </w:tc>
        <w:tc>
          <w:tcPr>
            <w:tcW w:w="1843"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31.415</w:t>
            </w:r>
          </w:p>
        </w:tc>
        <w:tc>
          <w:tcPr>
            <w:tcW w:w="2268"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19.010 </w:t>
            </w:r>
          </w:p>
        </w:tc>
        <w:tc>
          <w:tcPr>
            <w:tcW w:w="255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 xml:space="preserve">                          12.405 </w:t>
            </w:r>
          </w:p>
        </w:tc>
      </w:tr>
      <w:tr w:rsidR="00AE001B" w:rsidRPr="00B30577" w:rsidTr="00E51EDD">
        <w:trPr>
          <w:trHeight w:val="53"/>
          <w:jc w:val="center"/>
        </w:trPr>
        <w:tc>
          <w:tcPr>
            <w:tcW w:w="1980" w:type="dxa"/>
            <w:tcBorders>
              <w:top w:val="nil"/>
              <w:left w:val="single" w:sz="4" w:space="0" w:color="auto"/>
              <w:bottom w:val="single" w:sz="4" w:space="0" w:color="auto"/>
              <w:right w:val="single" w:sz="4" w:space="0" w:color="auto"/>
            </w:tcBorders>
            <w:shd w:val="clear" w:color="FFFFFF" w:fill="FFFFFF"/>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RISARALDA</w:t>
            </w:r>
          </w:p>
        </w:tc>
        <w:tc>
          <w:tcPr>
            <w:tcW w:w="1843"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59.462</w:t>
            </w:r>
          </w:p>
        </w:tc>
        <w:tc>
          <w:tcPr>
            <w:tcW w:w="2268"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50.248 </w:t>
            </w:r>
          </w:p>
        </w:tc>
        <w:tc>
          <w:tcPr>
            <w:tcW w:w="255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 xml:space="preserve">                             9.214 </w:t>
            </w:r>
          </w:p>
        </w:tc>
      </w:tr>
      <w:tr w:rsidR="00AE001B" w:rsidRPr="00B30577" w:rsidTr="00E51EDD">
        <w:trPr>
          <w:trHeight w:val="53"/>
          <w:jc w:val="center"/>
        </w:trPr>
        <w:tc>
          <w:tcPr>
            <w:tcW w:w="1980" w:type="dxa"/>
            <w:tcBorders>
              <w:top w:val="nil"/>
              <w:left w:val="single" w:sz="4" w:space="0" w:color="auto"/>
              <w:bottom w:val="single" w:sz="4" w:space="0" w:color="auto"/>
              <w:right w:val="single" w:sz="4" w:space="0" w:color="auto"/>
            </w:tcBorders>
            <w:shd w:val="clear" w:color="FFFFFF" w:fill="FFFFFF"/>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SANTANDER</w:t>
            </w:r>
          </w:p>
        </w:tc>
        <w:tc>
          <w:tcPr>
            <w:tcW w:w="1843"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115.380</w:t>
            </w:r>
          </w:p>
        </w:tc>
        <w:tc>
          <w:tcPr>
            <w:tcW w:w="2268"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98.180 </w:t>
            </w:r>
          </w:p>
        </w:tc>
        <w:tc>
          <w:tcPr>
            <w:tcW w:w="255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 xml:space="preserve">                          17.199 </w:t>
            </w:r>
          </w:p>
        </w:tc>
      </w:tr>
      <w:tr w:rsidR="00AE001B" w:rsidRPr="00B30577" w:rsidTr="00E51EDD">
        <w:trPr>
          <w:trHeight w:val="53"/>
          <w:jc w:val="center"/>
        </w:trPr>
        <w:tc>
          <w:tcPr>
            <w:tcW w:w="1980" w:type="dxa"/>
            <w:tcBorders>
              <w:top w:val="nil"/>
              <w:left w:val="single" w:sz="4" w:space="0" w:color="auto"/>
              <w:bottom w:val="single" w:sz="4" w:space="0" w:color="auto"/>
              <w:right w:val="single" w:sz="4" w:space="0" w:color="auto"/>
            </w:tcBorders>
            <w:shd w:val="clear" w:color="FFFFFF" w:fill="FFFFFF"/>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SUCRE</w:t>
            </w:r>
          </w:p>
        </w:tc>
        <w:tc>
          <w:tcPr>
            <w:tcW w:w="1843"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155.970</w:t>
            </w:r>
          </w:p>
        </w:tc>
        <w:tc>
          <w:tcPr>
            <w:tcW w:w="2268"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66.015 </w:t>
            </w:r>
          </w:p>
        </w:tc>
        <w:tc>
          <w:tcPr>
            <w:tcW w:w="255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 xml:space="preserve">                          89.956 </w:t>
            </w:r>
          </w:p>
        </w:tc>
      </w:tr>
      <w:tr w:rsidR="00AE001B" w:rsidRPr="00B30577" w:rsidTr="00E51EDD">
        <w:trPr>
          <w:trHeight w:val="53"/>
          <w:jc w:val="center"/>
        </w:trPr>
        <w:tc>
          <w:tcPr>
            <w:tcW w:w="1980" w:type="dxa"/>
            <w:tcBorders>
              <w:top w:val="nil"/>
              <w:left w:val="single" w:sz="4" w:space="0" w:color="auto"/>
              <w:bottom w:val="single" w:sz="4" w:space="0" w:color="auto"/>
              <w:right w:val="single" w:sz="4" w:space="0" w:color="auto"/>
            </w:tcBorders>
            <w:shd w:val="clear" w:color="FFFFFF" w:fill="FFFFFF"/>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TOLIMA</w:t>
            </w:r>
          </w:p>
        </w:tc>
        <w:tc>
          <w:tcPr>
            <w:tcW w:w="1843"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112.915</w:t>
            </w:r>
          </w:p>
        </w:tc>
        <w:tc>
          <w:tcPr>
            <w:tcW w:w="2268"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79.508 </w:t>
            </w:r>
          </w:p>
        </w:tc>
        <w:tc>
          <w:tcPr>
            <w:tcW w:w="255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 xml:space="preserve">                          33.407 </w:t>
            </w:r>
          </w:p>
        </w:tc>
      </w:tr>
      <w:tr w:rsidR="00AE001B" w:rsidRPr="00B30577" w:rsidTr="00E51EDD">
        <w:trPr>
          <w:trHeight w:val="182"/>
          <w:jc w:val="center"/>
        </w:trPr>
        <w:tc>
          <w:tcPr>
            <w:tcW w:w="1980" w:type="dxa"/>
            <w:tcBorders>
              <w:top w:val="nil"/>
              <w:left w:val="single" w:sz="4" w:space="0" w:color="auto"/>
              <w:bottom w:val="single" w:sz="4" w:space="0" w:color="auto"/>
              <w:right w:val="single" w:sz="4" w:space="0" w:color="auto"/>
            </w:tcBorders>
            <w:shd w:val="clear" w:color="FFFFFF" w:fill="FFFFFF"/>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VALLE DEL CAUCA</w:t>
            </w:r>
          </w:p>
        </w:tc>
        <w:tc>
          <w:tcPr>
            <w:tcW w:w="1843"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155.686</w:t>
            </w:r>
          </w:p>
        </w:tc>
        <w:tc>
          <w:tcPr>
            <w:tcW w:w="2268"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86.846 </w:t>
            </w:r>
          </w:p>
        </w:tc>
        <w:tc>
          <w:tcPr>
            <w:tcW w:w="255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 xml:space="preserve">                          68.840 </w:t>
            </w:r>
          </w:p>
        </w:tc>
      </w:tr>
      <w:tr w:rsidR="00AE001B" w:rsidRPr="00B30577" w:rsidTr="00E51EDD">
        <w:trPr>
          <w:trHeight w:val="53"/>
          <w:jc w:val="center"/>
        </w:trPr>
        <w:tc>
          <w:tcPr>
            <w:tcW w:w="1980" w:type="dxa"/>
            <w:tcBorders>
              <w:top w:val="nil"/>
              <w:left w:val="single" w:sz="4" w:space="0" w:color="auto"/>
              <w:bottom w:val="single" w:sz="4" w:space="0" w:color="auto"/>
              <w:right w:val="single" w:sz="4" w:space="0" w:color="auto"/>
            </w:tcBorders>
            <w:shd w:val="clear" w:color="FFFFFF" w:fill="FFFFFF"/>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ARAUCA</w:t>
            </w:r>
          </w:p>
        </w:tc>
        <w:tc>
          <w:tcPr>
            <w:tcW w:w="1843"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63.882</w:t>
            </w:r>
          </w:p>
        </w:tc>
        <w:tc>
          <w:tcPr>
            <w:tcW w:w="2268"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44.329 </w:t>
            </w:r>
          </w:p>
        </w:tc>
        <w:tc>
          <w:tcPr>
            <w:tcW w:w="255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 xml:space="preserve">                          19.553 </w:t>
            </w:r>
          </w:p>
        </w:tc>
      </w:tr>
      <w:tr w:rsidR="00AE001B" w:rsidRPr="00B30577" w:rsidTr="00E51EDD">
        <w:trPr>
          <w:trHeight w:val="53"/>
          <w:jc w:val="center"/>
        </w:trPr>
        <w:tc>
          <w:tcPr>
            <w:tcW w:w="1980" w:type="dxa"/>
            <w:tcBorders>
              <w:top w:val="nil"/>
              <w:left w:val="single" w:sz="4" w:space="0" w:color="auto"/>
              <w:bottom w:val="single" w:sz="4" w:space="0" w:color="auto"/>
              <w:right w:val="single" w:sz="4" w:space="0" w:color="auto"/>
            </w:tcBorders>
            <w:shd w:val="clear" w:color="FFFFFF" w:fill="FFFFFF"/>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CASANARE</w:t>
            </w:r>
          </w:p>
        </w:tc>
        <w:tc>
          <w:tcPr>
            <w:tcW w:w="1843"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71.144</w:t>
            </w:r>
          </w:p>
        </w:tc>
        <w:tc>
          <w:tcPr>
            <w:tcW w:w="2268"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40.918 </w:t>
            </w:r>
          </w:p>
        </w:tc>
        <w:tc>
          <w:tcPr>
            <w:tcW w:w="255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 xml:space="preserve">                          30.226 </w:t>
            </w:r>
          </w:p>
        </w:tc>
      </w:tr>
      <w:tr w:rsidR="00AE001B" w:rsidRPr="00B30577" w:rsidTr="00E51EDD">
        <w:trPr>
          <w:trHeight w:val="53"/>
          <w:jc w:val="center"/>
        </w:trPr>
        <w:tc>
          <w:tcPr>
            <w:tcW w:w="1980" w:type="dxa"/>
            <w:tcBorders>
              <w:top w:val="nil"/>
              <w:left w:val="single" w:sz="4" w:space="0" w:color="auto"/>
              <w:bottom w:val="single" w:sz="4" w:space="0" w:color="auto"/>
              <w:right w:val="single" w:sz="4" w:space="0" w:color="auto"/>
            </w:tcBorders>
            <w:shd w:val="clear" w:color="FFFFFF" w:fill="FFFFFF"/>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PUTUMAYO</w:t>
            </w:r>
          </w:p>
        </w:tc>
        <w:tc>
          <w:tcPr>
            <w:tcW w:w="1843"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76.191</w:t>
            </w:r>
          </w:p>
        </w:tc>
        <w:tc>
          <w:tcPr>
            <w:tcW w:w="2268"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24.142 </w:t>
            </w:r>
          </w:p>
        </w:tc>
        <w:tc>
          <w:tcPr>
            <w:tcW w:w="255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 xml:space="preserve">                          52.049 </w:t>
            </w:r>
          </w:p>
        </w:tc>
      </w:tr>
      <w:tr w:rsidR="00AE001B" w:rsidRPr="00B30577" w:rsidTr="00E51EDD">
        <w:trPr>
          <w:trHeight w:val="56"/>
          <w:jc w:val="center"/>
        </w:trPr>
        <w:tc>
          <w:tcPr>
            <w:tcW w:w="1980" w:type="dxa"/>
            <w:tcBorders>
              <w:top w:val="nil"/>
              <w:left w:val="single" w:sz="4" w:space="0" w:color="auto"/>
              <w:bottom w:val="single" w:sz="4" w:space="0" w:color="auto"/>
              <w:right w:val="single" w:sz="4" w:space="0" w:color="auto"/>
            </w:tcBorders>
            <w:shd w:val="clear" w:color="FFFFFF" w:fill="FFFFFF"/>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A. SAN ANDRÉS</w:t>
            </w:r>
          </w:p>
        </w:tc>
        <w:tc>
          <w:tcPr>
            <w:tcW w:w="1843"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35.357</w:t>
            </w:r>
          </w:p>
        </w:tc>
        <w:tc>
          <w:tcPr>
            <w:tcW w:w="2268"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   </w:t>
            </w:r>
          </w:p>
        </w:tc>
        <w:tc>
          <w:tcPr>
            <w:tcW w:w="255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 xml:space="preserve">                          35.357 </w:t>
            </w:r>
          </w:p>
        </w:tc>
      </w:tr>
      <w:tr w:rsidR="00AE001B" w:rsidRPr="00B30577" w:rsidTr="00E51EDD">
        <w:trPr>
          <w:trHeight w:val="60"/>
          <w:jc w:val="center"/>
        </w:trPr>
        <w:tc>
          <w:tcPr>
            <w:tcW w:w="1980" w:type="dxa"/>
            <w:tcBorders>
              <w:top w:val="nil"/>
              <w:left w:val="single" w:sz="4" w:space="0" w:color="auto"/>
              <w:bottom w:val="single" w:sz="4" w:space="0" w:color="auto"/>
              <w:right w:val="single" w:sz="4" w:space="0" w:color="auto"/>
            </w:tcBorders>
            <w:shd w:val="clear" w:color="FFFFFF" w:fill="FFFFFF"/>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AMAZONAS</w:t>
            </w:r>
          </w:p>
        </w:tc>
        <w:tc>
          <w:tcPr>
            <w:tcW w:w="1843"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35.665</w:t>
            </w:r>
          </w:p>
        </w:tc>
        <w:tc>
          <w:tcPr>
            <w:tcW w:w="2268"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26.443 </w:t>
            </w:r>
          </w:p>
        </w:tc>
        <w:tc>
          <w:tcPr>
            <w:tcW w:w="255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 xml:space="preserve">                             9.222 </w:t>
            </w:r>
          </w:p>
        </w:tc>
      </w:tr>
      <w:tr w:rsidR="00AE001B" w:rsidRPr="00B30577" w:rsidTr="00E51EDD">
        <w:trPr>
          <w:trHeight w:val="64"/>
          <w:jc w:val="center"/>
        </w:trPr>
        <w:tc>
          <w:tcPr>
            <w:tcW w:w="1980" w:type="dxa"/>
            <w:tcBorders>
              <w:top w:val="nil"/>
              <w:left w:val="single" w:sz="4" w:space="0" w:color="auto"/>
              <w:bottom w:val="single" w:sz="4" w:space="0" w:color="auto"/>
              <w:right w:val="single" w:sz="4" w:space="0" w:color="auto"/>
            </w:tcBorders>
            <w:shd w:val="clear" w:color="FFFFFF" w:fill="FFFFFF"/>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GUAINÍA</w:t>
            </w:r>
          </w:p>
        </w:tc>
        <w:tc>
          <w:tcPr>
            <w:tcW w:w="1843"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29.838</w:t>
            </w:r>
          </w:p>
        </w:tc>
        <w:tc>
          <w:tcPr>
            <w:tcW w:w="2268"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20.931 </w:t>
            </w:r>
          </w:p>
        </w:tc>
        <w:tc>
          <w:tcPr>
            <w:tcW w:w="255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 xml:space="preserve">                             8.907 </w:t>
            </w:r>
          </w:p>
        </w:tc>
      </w:tr>
      <w:tr w:rsidR="00AE001B" w:rsidRPr="00B30577" w:rsidTr="00E51EDD">
        <w:trPr>
          <w:trHeight w:val="53"/>
          <w:jc w:val="center"/>
        </w:trPr>
        <w:tc>
          <w:tcPr>
            <w:tcW w:w="1980" w:type="dxa"/>
            <w:tcBorders>
              <w:top w:val="nil"/>
              <w:left w:val="single" w:sz="4" w:space="0" w:color="auto"/>
              <w:bottom w:val="single" w:sz="4" w:space="0" w:color="auto"/>
              <w:right w:val="single" w:sz="4" w:space="0" w:color="auto"/>
            </w:tcBorders>
            <w:shd w:val="clear" w:color="FFFFFF" w:fill="FFFFFF"/>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GUAVIARE</w:t>
            </w:r>
          </w:p>
        </w:tc>
        <w:tc>
          <w:tcPr>
            <w:tcW w:w="1843"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43.418 </w:t>
            </w:r>
          </w:p>
        </w:tc>
        <w:tc>
          <w:tcPr>
            <w:tcW w:w="2268"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37.103 </w:t>
            </w:r>
          </w:p>
        </w:tc>
        <w:tc>
          <w:tcPr>
            <w:tcW w:w="255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 xml:space="preserve">                             6.315 </w:t>
            </w:r>
          </w:p>
        </w:tc>
      </w:tr>
      <w:tr w:rsidR="00AE001B" w:rsidRPr="00B30577" w:rsidTr="00E51EDD">
        <w:trPr>
          <w:trHeight w:val="72"/>
          <w:jc w:val="center"/>
        </w:trPr>
        <w:tc>
          <w:tcPr>
            <w:tcW w:w="1980" w:type="dxa"/>
            <w:tcBorders>
              <w:top w:val="nil"/>
              <w:left w:val="single" w:sz="4" w:space="0" w:color="auto"/>
              <w:bottom w:val="single" w:sz="4" w:space="0" w:color="auto"/>
              <w:right w:val="single" w:sz="4" w:space="0" w:color="auto"/>
            </w:tcBorders>
            <w:shd w:val="clear" w:color="FFFFFF" w:fill="FFFFFF"/>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VAUPÉS</w:t>
            </w:r>
          </w:p>
        </w:tc>
        <w:tc>
          <w:tcPr>
            <w:tcW w:w="1843"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30.054</w:t>
            </w:r>
          </w:p>
        </w:tc>
        <w:tc>
          <w:tcPr>
            <w:tcW w:w="2268"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7.490 </w:t>
            </w:r>
          </w:p>
        </w:tc>
        <w:tc>
          <w:tcPr>
            <w:tcW w:w="255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 xml:space="preserve">                          22.564 </w:t>
            </w:r>
          </w:p>
        </w:tc>
      </w:tr>
      <w:tr w:rsidR="00AE001B" w:rsidRPr="00B30577" w:rsidTr="00E51EDD">
        <w:trPr>
          <w:trHeight w:val="53"/>
          <w:jc w:val="center"/>
        </w:trPr>
        <w:tc>
          <w:tcPr>
            <w:tcW w:w="1980" w:type="dxa"/>
            <w:tcBorders>
              <w:top w:val="nil"/>
              <w:left w:val="single" w:sz="4" w:space="0" w:color="auto"/>
              <w:bottom w:val="single" w:sz="4" w:space="0" w:color="auto"/>
              <w:right w:val="single" w:sz="4" w:space="0" w:color="auto"/>
            </w:tcBorders>
            <w:shd w:val="clear" w:color="FFFFFF" w:fill="FFFFFF"/>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VICHADA</w:t>
            </w:r>
          </w:p>
        </w:tc>
        <w:tc>
          <w:tcPr>
            <w:tcW w:w="1843"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42.742</w:t>
            </w:r>
          </w:p>
        </w:tc>
        <w:tc>
          <w:tcPr>
            <w:tcW w:w="2268" w:type="dxa"/>
            <w:tcBorders>
              <w:top w:val="nil"/>
              <w:left w:val="nil"/>
              <w:bottom w:val="single" w:sz="4" w:space="0" w:color="auto"/>
              <w:right w:val="single" w:sz="4" w:space="0" w:color="auto"/>
            </w:tcBorders>
            <w:shd w:val="clear" w:color="auto" w:fill="auto"/>
            <w:noWrap/>
            <w:vAlign w:val="center"/>
            <w:hideMark/>
          </w:tcPr>
          <w:p w:rsidR="00AE001B" w:rsidRPr="00B30577" w:rsidRDefault="00AE001B" w:rsidP="00E51EDD">
            <w:pPr>
              <w:spacing w:after="0" w:line="240" w:lineRule="auto"/>
              <w:rPr>
                <w:rFonts w:ascii="Arial" w:eastAsia="Times New Roman" w:hAnsi="Arial" w:cs="Arial"/>
                <w:sz w:val="18"/>
                <w:szCs w:val="24"/>
                <w:lang w:eastAsia="es-CO"/>
              </w:rPr>
            </w:pPr>
            <w:r w:rsidRPr="00B30577">
              <w:rPr>
                <w:rFonts w:ascii="Arial" w:eastAsia="Times New Roman" w:hAnsi="Arial" w:cs="Arial"/>
                <w:sz w:val="18"/>
                <w:szCs w:val="24"/>
                <w:lang w:eastAsia="es-CO"/>
              </w:rPr>
              <w:t xml:space="preserve">                      30.893 </w:t>
            </w:r>
          </w:p>
        </w:tc>
        <w:tc>
          <w:tcPr>
            <w:tcW w:w="2551" w:type="dxa"/>
            <w:tcBorders>
              <w:top w:val="nil"/>
              <w:left w:val="nil"/>
              <w:bottom w:val="single" w:sz="4" w:space="0" w:color="auto"/>
              <w:right w:val="single" w:sz="4" w:space="0" w:color="auto"/>
            </w:tcBorders>
            <w:shd w:val="clear" w:color="auto" w:fill="auto"/>
            <w:noWrap/>
            <w:vAlign w:val="bottom"/>
            <w:hideMark/>
          </w:tcPr>
          <w:p w:rsidR="00AE001B" w:rsidRPr="00B30577" w:rsidRDefault="00AE001B" w:rsidP="00E51EDD">
            <w:pPr>
              <w:spacing w:after="0" w:line="240" w:lineRule="auto"/>
              <w:rPr>
                <w:rFonts w:ascii="Arial" w:eastAsia="Times New Roman" w:hAnsi="Arial" w:cs="Arial"/>
                <w:color w:val="000000"/>
                <w:sz w:val="18"/>
                <w:szCs w:val="24"/>
                <w:lang w:eastAsia="es-CO"/>
              </w:rPr>
            </w:pPr>
            <w:r w:rsidRPr="00B30577">
              <w:rPr>
                <w:rFonts w:ascii="Arial" w:eastAsia="Times New Roman" w:hAnsi="Arial" w:cs="Arial"/>
                <w:color w:val="000000"/>
                <w:sz w:val="18"/>
                <w:szCs w:val="24"/>
                <w:lang w:eastAsia="es-CO"/>
              </w:rPr>
              <w:t xml:space="preserve">                          11.849 </w:t>
            </w:r>
          </w:p>
        </w:tc>
      </w:tr>
      <w:tr w:rsidR="00AE001B" w:rsidRPr="00B30577" w:rsidTr="00E51EDD">
        <w:trPr>
          <w:trHeight w:val="53"/>
          <w:jc w:val="center"/>
        </w:trPr>
        <w:tc>
          <w:tcPr>
            <w:tcW w:w="1980" w:type="dxa"/>
            <w:tcBorders>
              <w:top w:val="nil"/>
              <w:left w:val="single" w:sz="4" w:space="0" w:color="auto"/>
              <w:bottom w:val="single" w:sz="4" w:space="0" w:color="auto"/>
              <w:right w:val="single" w:sz="4" w:space="0" w:color="auto"/>
            </w:tcBorders>
            <w:shd w:val="clear" w:color="000000" w:fill="44546A"/>
            <w:vAlign w:val="center"/>
            <w:hideMark/>
          </w:tcPr>
          <w:p w:rsidR="00AE001B" w:rsidRPr="00B30577" w:rsidRDefault="00AE001B" w:rsidP="00E51EDD">
            <w:pPr>
              <w:spacing w:after="0" w:line="240" w:lineRule="auto"/>
              <w:jc w:val="center"/>
              <w:rPr>
                <w:rFonts w:ascii="Arial" w:eastAsia="Times New Roman" w:hAnsi="Arial" w:cs="Arial"/>
                <w:b/>
                <w:bCs/>
                <w:color w:val="FFFFFF"/>
                <w:sz w:val="18"/>
                <w:szCs w:val="28"/>
                <w:lang w:eastAsia="es-CO"/>
              </w:rPr>
            </w:pPr>
            <w:r w:rsidRPr="00B30577">
              <w:rPr>
                <w:rFonts w:ascii="Arial" w:eastAsia="Times New Roman" w:hAnsi="Arial" w:cs="Arial"/>
                <w:b/>
                <w:bCs/>
                <w:color w:val="FFFFFF"/>
                <w:sz w:val="18"/>
                <w:szCs w:val="28"/>
                <w:lang w:eastAsia="es-CO"/>
              </w:rPr>
              <w:t>TOTAL</w:t>
            </w:r>
          </w:p>
        </w:tc>
        <w:tc>
          <w:tcPr>
            <w:tcW w:w="1843" w:type="dxa"/>
            <w:tcBorders>
              <w:top w:val="nil"/>
              <w:left w:val="nil"/>
              <w:bottom w:val="single" w:sz="4" w:space="0" w:color="auto"/>
              <w:right w:val="single" w:sz="4" w:space="0" w:color="auto"/>
            </w:tcBorders>
            <w:shd w:val="clear" w:color="000000" w:fill="44546A"/>
            <w:vAlign w:val="center"/>
            <w:hideMark/>
          </w:tcPr>
          <w:p w:rsidR="00AE001B" w:rsidRPr="00B30577" w:rsidRDefault="00AE001B" w:rsidP="00E51EDD">
            <w:pPr>
              <w:spacing w:after="0" w:line="240" w:lineRule="auto"/>
              <w:jc w:val="right"/>
              <w:rPr>
                <w:rFonts w:ascii="Arial" w:eastAsia="Times New Roman" w:hAnsi="Arial" w:cs="Arial"/>
                <w:b/>
                <w:bCs/>
                <w:color w:val="FFFFFF"/>
                <w:sz w:val="18"/>
                <w:szCs w:val="28"/>
                <w:lang w:eastAsia="es-CO"/>
              </w:rPr>
            </w:pPr>
            <w:r w:rsidRPr="00B30577">
              <w:rPr>
                <w:rFonts w:ascii="Arial" w:eastAsia="Times New Roman" w:hAnsi="Arial" w:cs="Arial"/>
                <w:b/>
                <w:bCs/>
                <w:color w:val="FFFFFF"/>
                <w:sz w:val="18"/>
                <w:szCs w:val="28"/>
                <w:lang w:eastAsia="es-CO"/>
              </w:rPr>
              <w:t xml:space="preserve">              3.808.751 </w:t>
            </w:r>
          </w:p>
        </w:tc>
        <w:tc>
          <w:tcPr>
            <w:tcW w:w="2268" w:type="dxa"/>
            <w:tcBorders>
              <w:top w:val="nil"/>
              <w:left w:val="nil"/>
              <w:bottom w:val="single" w:sz="4" w:space="0" w:color="auto"/>
              <w:right w:val="single" w:sz="4" w:space="0" w:color="auto"/>
            </w:tcBorders>
            <w:shd w:val="clear" w:color="000000" w:fill="44546A"/>
            <w:vAlign w:val="center"/>
            <w:hideMark/>
          </w:tcPr>
          <w:p w:rsidR="00AE001B" w:rsidRPr="00B30577" w:rsidRDefault="00AE001B" w:rsidP="00E51EDD">
            <w:pPr>
              <w:spacing w:after="0" w:line="240" w:lineRule="auto"/>
              <w:jc w:val="right"/>
              <w:rPr>
                <w:rFonts w:ascii="Arial" w:eastAsia="Times New Roman" w:hAnsi="Arial" w:cs="Arial"/>
                <w:b/>
                <w:bCs/>
                <w:color w:val="FFFFFF"/>
                <w:sz w:val="18"/>
                <w:szCs w:val="28"/>
                <w:lang w:eastAsia="es-CO"/>
              </w:rPr>
            </w:pPr>
            <w:r w:rsidRPr="00B30577">
              <w:rPr>
                <w:rFonts w:ascii="Arial" w:eastAsia="Times New Roman" w:hAnsi="Arial" w:cs="Arial"/>
                <w:b/>
                <w:bCs/>
                <w:color w:val="FFFFFF"/>
                <w:sz w:val="18"/>
                <w:szCs w:val="28"/>
                <w:lang w:eastAsia="es-CO"/>
              </w:rPr>
              <w:t xml:space="preserve">               2.293.763 </w:t>
            </w:r>
          </w:p>
        </w:tc>
        <w:tc>
          <w:tcPr>
            <w:tcW w:w="2551" w:type="dxa"/>
            <w:tcBorders>
              <w:top w:val="nil"/>
              <w:left w:val="nil"/>
              <w:bottom w:val="single" w:sz="4" w:space="0" w:color="auto"/>
              <w:right w:val="single" w:sz="4" w:space="0" w:color="auto"/>
            </w:tcBorders>
            <w:shd w:val="clear" w:color="000000" w:fill="44546A"/>
            <w:vAlign w:val="center"/>
            <w:hideMark/>
          </w:tcPr>
          <w:p w:rsidR="00AE001B" w:rsidRPr="00B30577" w:rsidRDefault="00AE001B" w:rsidP="00E51EDD">
            <w:pPr>
              <w:spacing w:after="0" w:line="240" w:lineRule="auto"/>
              <w:jc w:val="right"/>
              <w:rPr>
                <w:rFonts w:ascii="Arial" w:eastAsia="Times New Roman" w:hAnsi="Arial" w:cs="Arial"/>
                <w:b/>
                <w:bCs/>
                <w:color w:val="FFFFFF"/>
                <w:sz w:val="18"/>
                <w:szCs w:val="28"/>
                <w:lang w:eastAsia="es-CO"/>
              </w:rPr>
            </w:pPr>
            <w:r w:rsidRPr="00B30577">
              <w:rPr>
                <w:rFonts w:ascii="Arial" w:eastAsia="Times New Roman" w:hAnsi="Arial" w:cs="Arial"/>
                <w:b/>
                <w:bCs/>
                <w:color w:val="FFFFFF"/>
                <w:sz w:val="18"/>
                <w:szCs w:val="28"/>
                <w:lang w:eastAsia="es-CO"/>
              </w:rPr>
              <w:t xml:space="preserve">                   1.514.988 </w:t>
            </w:r>
          </w:p>
        </w:tc>
      </w:tr>
      <w:tr w:rsidR="00AE001B" w:rsidRPr="00B30577" w:rsidTr="00E51EDD">
        <w:trPr>
          <w:trHeight w:val="536"/>
          <w:jc w:val="center"/>
        </w:trPr>
        <w:tc>
          <w:tcPr>
            <w:tcW w:w="8642" w:type="dxa"/>
            <w:gridSpan w:val="4"/>
            <w:tcBorders>
              <w:top w:val="nil"/>
              <w:left w:val="nil"/>
              <w:bottom w:val="nil"/>
              <w:right w:val="nil"/>
            </w:tcBorders>
            <w:shd w:val="clear" w:color="auto" w:fill="auto"/>
            <w:vAlign w:val="bottom"/>
            <w:hideMark/>
          </w:tcPr>
          <w:p w:rsidR="00AE001B" w:rsidRPr="00B30577" w:rsidRDefault="00AE001B" w:rsidP="00E51EDD">
            <w:pPr>
              <w:spacing w:after="0" w:line="240" w:lineRule="auto"/>
              <w:rPr>
                <w:rFonts w:ascii="Arial" w:eastAsia="Times New Roman" w:hAnsi="Arial" w:cs="Arial"/>
                <w:color w:val="000000"/>
                <w:sz w:val="18"/>
                <w:szCs w:val="20"/>
                <w:lang w:eastAsia="es-CO"/>
              </w:rPr>
            </w:pPr>
            <w:r w:rsidRPr="00B30577">
              <w:rPr>
                <w:rFonts w:ascii="Arial" w:eastAsia="Times New Roman" w:hAnsi="Arial" w:cs="Arial"/>
                <w:color w:val="000000"/>
                <w:sz w:val="18"/>
                <w:szCs w:val="20"/>
                <w:lang w:eastAsia="es-CO"/>
              </w:rPr>
              <w:t xml:space="preserve">*Corresponde al recaudo corriente determinado en los decretos de cierre presupuestal del 2012 (D.1399 de 2013); del bienio 2013-2014 (Decreto 722 de 2015) y el presupuesto vigente del bienio 2015-2016, descontado el aplazamiento. </w:t>
            </w:r>
          </w:p>
        </w:tc>
      </w:tr>
      <w:tr w:rsidR="00AE001B" w:rsidRPr="00B30577" w:rsidTr="00E51EDD">
        <w:trPr>
          <w:trHeight w:val="63"/>
          <w:jc w:val="center"/>
        </w:trPr>
        <w:tc>
          <w:tcPr>
            <w:tcW w:w="8642" w:type="dxa"/>
            <w:gridSpan w:val="4"/>
            <w:tcBorders>
              <w:top w:val="nil"/>
              <w:left w:val="nil"/>
              <w:bottom w:val="nil"/>
              <w:right w:val="nil"/>
            </w:tcBorders>
            <w:shd w:val="clear" w:color="auto" w:fill="auto"/>
            <w:vAlign w:val="bottom"/>
            <w:hideMark/>
          </w:tcPr>
          <w:p w:rsidR="00AE001B" w:rsidRPr="00B30577" w:rsidRDefault="00AE001B" w:rsidP="00E51EDD">
            <w:pPr>
              <w:spacing w:after="0" w:line="240" w:lineRule="auto"/>
              <w:rPr>
                <w:rFonts w:ascii="Arial" w:eastAsia="Times New Roman" w:hAnsi="Arial" w:cs="Arial"/>
                <w:color w:val="000000"/>
                <w:sz w:val="18"/>
                <w:szCs w:val="20"/>
                <w:lang w:eastAsia="es-CO"/>
              </w:rPr>
            </w:pPr>
            <w:r w:rsidRPr="00B30577">
              <w:rPr>
                <w:rFonts w:ascii="Arial" w:eastAsia="Times New Roman" w:hAnsi="Arial" w:cs="Arial"/>
                <w:color w:val="000000"/>
                <w:sz w:val="18"/>
                <w:szCs w:val="20"/>
                <w:lang w:eastAsia="es-CO"/>
              </w:rPr>
              <w:t>**Fuente: Colciencias-Secretaría técnica del OCAD FCTI.</w:t>
            </w:r>
          </w:p>
        </w:tc>
      </w:tr>
    </w:tbl>
    <w:p w:rsidR="00AE001B" w:rsidRPr="00B30577" w:rsidRDefault="00AE001B" w:rsidP="00AE001B">
      <w:pPr>
        <w:pStyle w:val="NormalWeb"/>
        <w:spacing w:before="0" w:beforeAutospacing="0" w:line="276" w:lineRule="auto"/>
        <w:jc w:val="both"/>
        <w:rPr>
          <w:rFonts w:ascii="Arial" w:hAnsi="Arial" w:cs="Arial"/>
          <w:szCs w:val="22"/>
        </w:rPr>
      </w:pPr>
    </w:p>
    <w:p w:rsidR="00AE001B" w:rsidRPr="009601E2" w:rsidRDefault="00AE001B" w:rsidP="00AE001B">
      <w:pPr>
        <w:pStyle w:val="NormalWeb"/>
        <w:spacing w:before="0" w:beforeAutospacing="0" w:line="276" w:lineRule="auto"/>
        <w:jc w:val="both"/>
        <w:rPr>
          <w:rFonts w:ascii="Arial" w:hAnsi="Arial" w:cs="Arial"/>
          <w:sz w:val="22"/>
          <w:szCs w:val="22"/>
        </w:rPr>
      </w:pPr>
      <w:r w:rsidRPr="009601E2">
        <w:rPr>
          <w:rFonts w:ascii="Arial" w:hAnsi="Arial" w:cs="Arial"/>
          <w:sz w:val="22"/>
          <w:szCs w:val="22"/>
        </w:rPr>
        <w:lastRenderedPageBreak/>
        <w:t xml:space="preserve">Aunque en todos los Fondos y asignaciones de inversión del SGR, se presentan este tipo de saldos, la proporción de los recursos del FCTI sin comprometer en proyectos de inversión es sustancialmente mayor.  </w:t>
      </w:r>
    </w:p>
    <w:p w:rsidR="00AE001B" w:rsidRDefault="00AE001B" w:rsidP="00AE001B">
      <w:pPr>
        <w:pStyle w:val="NormalWeb"/>
        <w:spacing w:before="0" w:beforeAutospacing="0" w:line="276" w:lineRule="auto"/>
        <w:jc w:val="both"/>
        <w:rPr>
          <w:rFonts w:ascii="Arial" w:hAnsi="Arial" w:cs="Arial"/>
          <w:sz w:val="22"/>
          <w:szCs w:val="22"/>
        </w:rPr>
      </w:pPr>
      <w:r w:rsidRPr="009601E2">
        <w:rPr>
          <w:rFonts w:ascii="Arial" w:hAnsi="Arial" w:cs="Arial"/>
          <w:sz w:val="22"/>
          <w:szCs w:val="22"/>
        </w:rPr>
        <w:t>Como se observa en la gráfica 2, mientras que los saldos sin aprobaciones de los demás tipos de OCAD</w:t>
      </w:r>
      <w:r w:rsidRPr="009601E2">
        <w:rPr>
          <w:rStyle w:val="Refdenotaalpie"/>
          <w:rFonts w:ascii="Arial" w:hAnsi="Arial" w:cs="Arial"/>
          <w:sz w:val="22"/>
          <w:szCs w:val="22"/>
        </w:rPr>
        <w:footnoteReference w:id="8"/>
      </w:r>
      <w:r w:rsidRPr="009601E2">
        <w:rPr>
          <w:rFonts w:ascii="Arial" w:hAnsi="Arial" w:cs="Arial"/>
          <w:sz w:val="22"/>
          <w:szCs w:val="22"/>
        </w:rPr>
        <w:t xml:space="preserve"> oscilan entre un 13% y un 25% de los ingresos acumulados asignados; los saldos del FCTI representan un 40% de los recursos que ha tenido disponibles entre el 2012 y el 2016.</w:t>
      </w:r>
    </w:p>
    <w:p w:rsidR="00AE001B" w:rsidRDefault="00AE001B" w:rsidP="00AE001B">
      <w:pPr>
        <w:pStyle w:val="NormalWeb"/>
        <w:spacing w:before="0" w:beforeAutospacing="0" w:line="276" w:lineRule="auto"/>
        <w:jc w:val="both"/>
        <w:rPr>
          <w:rFonts w:ascii="Arial" w:hAnsi="Arial" w:cs="Arial"/>
          <w:sz w:val="22"/>
          <w:szCs w:val="22"/>
        </w:rPr>
      </w:pPr>
    </w:p>
    <w:p w:rsidR="00AE001B" w:rsidRPr="00B30577" w:rsidRDefault="00AE001B" w:rsidP="00AE001B">
      <w:pPr>
        <w:pStyle w:val="NormalWeb"/>
        <w:spacing w:before="0" w:beforeAutospacing="0" w:after="0" w:line="276" w:lineRule="auto"/>
        <w:jc w:val="center"/>
        <w:rPr>
          <w:rFonts w:ascii="Arial" w:hAnsi="Arial" w:cs="Arial"/>
          <w:b/>
          <w:sz w:val="22"/>
          <w:szCs w:val="22"/>
        </w:rPr>
      </w:pPr>
      <w:r>
        <w:rPr>
          <w:rFonts w:ascii="Arial" w:hAnsi="Arial" w:cs="Arial"/>
          <w:b/>
          <w:sz w:val="22"/>
          <w:szCs w:val="22"/>
        </w:rPr>
        <w:t>Gráfica</w:t>
      </w:r>
      <w:r w:rsidRPr="00B30577">
        <w:rPr>
          <w:rFonts w:ascii="Arial" w:hAnsi="Arial" w:cs="Arial"/>
          <w:b/>
          <w:sz w:val="22"/>
          <w:szCs w:val="22"/>
        </w:rPr>
        <w:t xml:space="preserve"> 2</w:t>
      </w:r>
    </w:p>
    <w:p w:rsidR="00AE001B" w:rsidRPr="00B30577" w:rsidRDefault="00AE001B" w:rsidP="00AE001B">
      <w:pPr>
        <w:pStyle w:val="NormalWeb"/>
        <w:spacing w:before="0" w:beforeAutospacing="0" w:after="0" w:line="276" w:lineRule="auto"/>
        <w:jc w:val="center"/>
        <w:rPr>
          <w:rFonts w:ascii="Arial" w:hAnsi="Arial" w:cs="Arial"/>
          <w:b/>
          <w:sz w:val="22"/>
          <w:szCs w:val="22"/>
        </w:rPr>
      </w:pPr>
      <w:r w:rsidRPr="00B30577">
        <w:rPr>
          <w:rFonts w:ascii="Arial" w:hAnsi="Arial" w:cs="Arial"/>
          <w:b/>
          <w:sz w:val="22"/>
          <w:szCs w:val="22"/>
        </w:rPr>
        <w:t>Valores aprobados y saldos por aprobar 2012-2016 por tipo de OCAD</w:t>
      </w:r>
    </w:p>
    <w:p w:rsidR="00AE001B" w:rsidRPr="00B30577" w:rsidRDefault="00AE001B" w:rsidP="00AE001B">
      <w:pPr>
        <w:pStyle w:val="NormalWeb"/>
        <w:spacing w:before="0" w:beforeAutospacing="0" w:after="0" w:line="276" w:lineRule="auto"/>
        <w:jc w:val="center"/>
        <w:rPr>
          <w:rFonts w:ascii="Arial" w:hAnsi="Arial" w:cs="Arial"/>
          <w:b/>
          <w:sz w:val="22"/>
          <w:szCs w:val="22"/>
        </w:rPr>
      </w:pPr>
      <w:r w:rsidRPr="00B30577">
        <w:rPr>
          <w:rFonts w:ascii="Arial" w:hAnsi="Arial" w:cs="Arial"/>
          <w:b/>
          <w:sz w:val="22"/>
          <w:szCs w:val="22"/>
        </w:rPr>
        <w:t>(</w:t>
      </w:r>
      <w:r>
        <w:rPr>
          <w:rFonts w:ascii="Arial" w:hAnsi="Arial" w:cs="Arial"/>
          <w:b/>
          <w:sz w:val="22"/>
          <w:szCs w:val="22"/>
        </w:rPr>
        <w:t xml:space="preserve">miles de </w:t>
      </w:r>
      <w:r w:rsidRPr="00B30577">
        <w:rPr>
          <w:rFonts w:ascii="Arial" w:hAnsi="Arial" w:cs="Arial"/>
          <w:b/>
          <w:sz w:val="22"/>
          <w:szCs w:val="22"/>
        </w:rPr>
        <w:t>millones de pesos)</w:t>
      </w:r>
    </w:p>
    <w:p w:rsidR="00AE001B" w:rsidRPr="00B30577" w:rsidRDefault="00AE001B" w:rsidP="00AE001B">
      <w:pPr>
        <w:pStyle w:val="NormalWeb"/>
        <w:spacing w:before="0" w:beforeAutospacing="0" w:line="276" w:lineRule="auto"/>
        <w:jc w:val="center"/>
        <w:rPr>
          <w:rFonts w:ascii="Arial" w:hAnsi="Arial" w:cs="Arial"/>
          <w:b/>
          <w:sz w:val="18"/>
          <w:szCs w:val="18"/>
        </w:rPr>
      </w:pPr>
      <w:r w:rsidRPr="00B30577">
        <w:rPr>
          <w:rFonts w:ascii="Arial" w:hAnsi="Arial" w:cs="Arial"/>
          <w:b/>
          <w:noProof/>
          <w:sz w:val="18"/>
          <w:szCs w:val="18"/>
          <w:lang w:val="en-US" w:eastAsia="en-US"/>
        </w:rPr>
        <w:drawing>
          <wp:inline distT="0" distB="0" distL="0" distR="0" wp14:anchorId="6D5341D8" wp14:editId="2E11E186">
            <wp:extent cx="5546936" cy="3408219"/>
            <wp:effectExtent l="19050" t="19050" r="15875" b="20955"/>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8308" cy="3445928"/>
                    </a:xfrm>
                    <a:prstGeom prst="rect">
                      <a:avLst/>
                    </a:prstGeom>
                    <a:noFill/>
                    <a:ln w="3175">
                      <a:solidFill>
                        <a:schemeClr val="accent5"/>
                      </a:solidFill>
                    </a:ln>
                  </pic:spPr>
                </pic:pic>
              </a:graphicData>
            </a:graphic>
          </wp:inline>
        </w:drawing>
      </w:r>
    </w:p>
    <w:p w:rsidR="00AE001B" w:rsidRPr="00B30577" w:rsidRDefault="00AE001B" w:rsidP="00AE001B">
      <w:pPr>
        <w:pStyle w:val="NormalWeb"/>
        <w:spacing w:before="0" w:beforeAutospacing="0" w:line="276" w:lineRule="auto"/>
        <w:ind w:firstLine="708"/>
        <w:jc w:val="both"/>
        <w:rPr>
          <w:rFonts w:ascii="Arial" w:hAnsi="Arial" w:cs="Arial"/>
          <w:b/>
          <w:sz w:val="16"/>
          <w:szCs w:val="18"/>
        </w:rPr>
      </w:pPr>
      <w:r w:rsidRPr="00B30577">
        <w:rPr>
          <w:rFonts w:ascii="Arial" w:hAnsi="Arial" w:cs="Arial"/>
          <w:sz w:val="16"/>
          <w:szCs w:val="18"/>
        </w:rPr>
        <w:t>Fuente: DNP-Gesproy proyectos aprobados a 31 de diciembre de 2016</w:t>
      </w:r>
      <w:r w:rsidRPr="00B30577">
        <w:rPr>
          <w:rFonts w:ascii="Arial" w:hAnsi="Arial" w:cs="Arial"/>
          <w:b/>
          <w:sz w:val="16"/>
          <w:szCs w:val="18"/>
        </w:rPr>
        <w:t xml:space="preserve"> </w:t>
      </w:r>
    </w:p>
    <w:p w:rsidR="00AE001B" w:rsidRPr="00B30577" w:rsidRDefault="00AE001B" w:rsidP="00AE001B">
      <w:pPr>
        <w:pStyle w:val="NormalWeb"/>
        <w:spacing w:before="0" w:beforeAutospacing="0" w:line="276" w:lineRule="auto"/>
        <w:jc w:val="both"/>
        <w:rPr>
          <w:rFonts w:ascii="Arial" w:hAnsi="Arial" w:cs="Arial"/>
        </w:rPr>
      </w:pPr>
    </w:p>
    <w:p w:rsidR="00AE001B" w:rsidRDefault="00AE001B" w:rsidP="00AE001B">
      <w:pPr>
        <w:pStyle w:val="NormalWeb"/>
        <w:spacing w:before="0" w:beforeAutospacing="0" w:line="276" w:lineRule="auto"/>
        <w:jc w:val="both"/>
        <w:rPr>
          <w:rFonts w:ascii="Arial" w:hAnsi="Arial" w:cs="Arial"/>
          <w:sz w:val="22"/>
        </w:rPr>
      </w:pPr>
      <w:r w:rsidRPr="009601E2">
        <w:rPr>
          <w:rFonts w:ascii="Arial" w:hAnsi="Arial" w:cs="Arial"/>
          <w:sz w:val="22"/>
        </w:rPr>
        <w:t>Lo anterior evidencia los mayores retos que ha presentado la estructuración, evaluación, aprobación y ejecución de proyectos regionales de Ciencia, Tecnología e Innovación (</w:t>
      </w:r>
      <w:proofErr w:type="spellStart"/>
      <w:r w:rsidRPr="009601E2">
        <w:rPr>
          <w:rFonts w:ascii="Arial" w:hAnsi="Arial" w:cs="Arial"/>
          <w:sz w:val="22"/>
        </w:rPr>
        <w:t>CTeI</w:t>
      </w:r>
      <w:proofErr w:type="spellEnd"/>
      <w:r w:rsidRPr="009601E2">
        <w:rPr>
          <w:rFonts w:ascii="Arial" w:hAnsi="Arial" w:cs="Arial"/>
          <w:sz w:val="22"/>
        </w:rPr>
        <w:t xml:space="preserve">).  </w:t>
      </w:r>
    </w:p>
    <w:p w:rsidR="00AE001B" w:rsidRPr="009601E2" w:rsidRDefault="00AE001B" w:rsidP="00AE001B">
      <w:pPr>
        <w:pStyle w:val="NormalWeb"/>
        <w:spacing w:before="0" w:beforeAutospacing="0" w:line="276" w:lineRule="auto"/>
        <w:jc w:val="both"/>
        <w:rPr>
          <w:rFonts w:ascii="Arial" w:hAnsi="Arial" w:cs="Arial"/>
          <w:sz w:val="22"/>
        </w:rPr>
      </w:pPr>
      <w:r w:rsidRPr="009601E2">
        <w:rPr>
          <w:rFonts w:ascii="Arial" w:hAnsi="Arial" w:cs="Arial"/>
          <w:sz w:val="22"/>
        </w:rPr>
        <w:t xml:space="preserve">Es así como la Ley 1753 de 2015, por la cual se expidió el Plan Nacional de Desarrollo 2014-2018, señaló la necesidad de emprender un proceso de planeación estratégica con los principales actores del Sistema de Competitividad, Ciencia, Tecnología e Innovación en </w:t>
      </w:r>
      <w:r w:rsidRPr="009601E2">
        <w:rPr>
          <w:rFonts w:ascii="Arial" w:hAnsi="Arial" w:cs="Arial"/>
          <w:sz w:val="22"/>
        </w:rPr>
        <w:lastRenderedPageBreak/>
        <w:t>cada departamento del país, para acordar una agenda de inversión regional en este sector; en el marco de la cual se formulen y presenten los proyectos de inversión al Fondo de Ciencia, Tecnología e Innovación del SGR.</w:t>
      </w:r>
    </w:p>
    <w:p w:rsidR="00AE001B" w:rsidRDefault="00AE001B" w:rsidP="00AE001B">
      <w:pPr>
        <w:pStyle w:val="NormalWeb"/>
        <w:spacing w:before="0" w:beforeAutospacing="0" w:line="276" w:lineRule="auto"/>
        <w:jc w:val="both"/>
        <w:rPr>
          <w:rFonts w:ascii="Arial" w:hAnsi="Arial" w:cs="Arial"/>
          <w:sz w:val="22"/>
        </w:rPr>
      </w:pPr>
      <w:r w:rsidRPr="009601E2">
        <w:rPr>
          <w:rFonts w:ascii="Arial" w:hAnsi="Arial" w:cs="Arial"/>
          <w:sz w:val="22"/>
        </w:rPr>
        <w:t xml:space="preserve">En su artículo 7, esta Ley define la estructuración de planes y acuerdos estratégicos departamentales en CTI de la siguiente manera: </w:t>
      </w:r>
    </w:p>
    <w:p w:rsidR="00AE001B" w:rsidRPr="009601E2" w:rsidRDefault="00AE001B" w:rsidP="00AE001B">
      <w:pPr>
        <w:pStyle w:val="NormalWeb"/>
        <w:spacing w:before="0" w:beforeAutospacing="0" w:line="276" w:lineRule="auto"/>
        <w:jc w:val="both"/>
        <w:rPr>
          <w:rFonts w:ascii="Arial" w:hAnsi="Arial" w:cs="Arial"/>
          <w:sz w:val="22"/>
        </w:rPr>
      </w:pPr>
    </w:p>
    <w:p w:rsidR="00AE001B" w:rsidRPr="0048566A" w:rsidRDefault="00AE001B" w:rsidP="00AE001B">
      <w:pPr>
        <w:pStyle w:val="NormalWeb"/>
        <w:spacing w:before="0" w:beforeAutospacing="0" w:line="276" w:lineRule="auto"/>
        <w:ind w:left="708"/>
        <w:jc w:val="both"/>
        <w:rPr>
          <w:rFonts w:ascii="Arial" w:hAnsi="Arial" w:cs="Arial"/>
          <w:i/>
          <w:sz w:val="22"/>
        </w:rPr>
      </w:pPr>
      <w:r w:rsidRPr="0048566A">
        <w:rPr>
          <w:rFonts w:ascii="Arial" w:hAnsi="Arial" w:cs="Arial"/>
          <w:i/>
          <w:sz w:val="22"/>
        </w:rPr>
        <w:t xml:space="preserve">“Artículo 7°. Acuerdos estratégicos de Ciencia, Tecnología e Innovación. </w:t>
      </w:r>
    </w:p>
    <w:p w:rsidR="00AE001B" w:rsidRPr="0048566A" w:rsidRDefault="00AE001B" w:rsidP="00AE001B">
      <w:pPr>
        <w:pStyle w:val="NormalWeb"/>
        <w:spacing w:before="0" w:beforeAutospacing="0" w:line="276" w:lineRule="auto"/>
        <w:ind w:left="708"/>
        <w:jc w:val="both"/>
        <w:rPr>
          <w:rFonts w:ascii="Arial" w:hAnsi="Arial" w:cs="Arial"/>
          <w:i/>
          <w:sz w:val="22"/>
        </w:rPr>
      </w:pPr>
      <w:r w:rsidRPr="0048566A">
        <w:rPr>
          <w:rFonts w:ascii="Arial" w:hAnsi="Arial" w:cs="Arial"/>
          <w:i/>
          <w:sz w:val="22"/>
        </w:rPr>
        <w:t xml:space="preserve">Colciencias, en coordinación con el Departamento Nacional de Planeación, los departamentos y el Distrito Capital, estructurarán planes y acuerdos estratégicos departamentales en Ciencia, Tecnología e Innovación, a los cuales se ajustarán los proyectos que se presentarán al Órgano Colegiado de Administración y Decisión del Fondo de Ciencia, Tecnología e Innovación del Sistema General de Regalías. </w:t>
      </w:r>
    </w:p>
    <w:p w:rsidR="00AE001B" w:rsidRPr="009601E2" w:rsidRDefault="00AE001B" w:rsidP="00AE001B">
      <w:pPr>
        <w:pStyle w:val="NormalWeb"/>
        <w:spacing w:before="0" w:beforeAutospacing="0" w:line="276" w:lineRule="auto"/>
        <w:ind w:left="708"/>
        <w:jc w:val="both"/>
        <w:rPr>
          <w:rFonts w:ascii="Arial" w:hAnsi="Arial" w:cs="Arial"/>
          <w:sz w:val="20"/>
        </w:rPr>
      </w:pPr>
      <w:r w:rsidRPr="0048566A">
        <w:rPr>
          <w:rFonts w:ascii="Arial" w:hAnsi="Arial" w:cs="Arial"/>
          <w:i/>
          <w:sz w:val="22"/>
        </w:rPr>
        <w:t>Para efectos de lo previsto en el presente artículo se podrá contar con la participación de los demás actores del Sistema de Competitividad, Ciencia, Tecnología e Innovación.”</w:t>
      </w:r>
      <w:r w:rsidRPr="009601E2">
        <w:rPr>
          <w:rFonts w:ascii="Arial" w:hAnsi="Arial" w:cs="Arial"/>
          <w:sz w:val="20"/>
        </w:rPr>
        <w:t xml:space="preserve">   </w:t>
      </w:r>
    </w:p>
    <w:p w:rsidR="00AE001B" w:rsidRDefault="00AE001B" w:rsidP="00AE001B">
      <w:pPr>
        <w:jc w:val="both"/>
        <w:rPr>
          <w:rFonts w:ascii="Arial" w:hAnsi="Arial" w:cs="Arial"/>
          <w:szCs w:val="24"/>
          <w:lang w:val="es-ES" w:eastAsia="es-CO"/>
        </w:rPr>
      </w:pPr>
    </w:p>
    <w:p w:rsidR="00AE001B" w:rsidRPr="009601E2" w:rsidRDefault="00AE001B" w:rsidP="00AE001B">
      <w:pPr>
        <w:jc w:val="both"/>
        <w:rPr>
          <w:rFonts w:ascii="Arial" w:hAnsi="Arial" w:cs="Arial"/>
          <w:szCs w:val="24"/>
          <w:lang w:val="es-ES" w:eastAsia="es-CO"/>
        </w:rPr>
      </w:pPr>
      <w:r w:rsidRPr="009601E2">
        <w:rPr>
          <w:rFonts w:ascii="Arial" w:hAnsi="Arial" w:cs="Arial"/>
          <w:szCs w:val="24"/>
          <w:lang w:val="es-ES" w:eastAsia="es-CO"/>
        </w:rPr>
        <w:t xml:space="preserve">A partir de este mandato, se han suscrito </w:t>
      </w:r>
      <w:r>
        <w:rPr>
          <w:rFonts w:ascii="Arial" w:hAnsi="Arial" w:cs="Arial"/>
          <w:szCs w:val="24"/>
          <w:lang w:val="es-ES" w:eastAsia="es-CO"/>
        </w:rPr>
        <w:t>30</w:t>
      </w:r>
      <w:r w:rsidRPr="009601E2">
        <w:rPr>
          <w:rFonts w:ascii="Arial" w:hAnsi="Arial" w:cs="Arial"/>
          <w:szCs w:val="24"/>
          <w:lang w:val="es-ES" w:eastAsia="es-CO"/>
        </w:rPr>
        <w:t xml:space="preserve"> planes y acuerdos estratégicos departamentales en </w:t>
      </w:r>
      <w:proofErr w:type="spellStart"/>
      <w:r w:rsidRPr="009601E2">
        <w:rPr>
          <w:rFonts w:ascii="Arial" w:hAnsi="Arial" w:cs="Arial"/>
          <w:szCs w:val="24"/>
          <w:lang w:val="es-ES" w:eastAsia="es-CO"/>
        </w:rPr>
        <w:t>CTeI</w:t>
      </w:r>
      <w:proofErr w:type="spellEnd"/>
      <w:r w:rsidRPr="009601E2">
        <w:rPr>
          <w:rFonts w:ascii="Arial" w:hAnsi="Arial" w:cs="Arial"/>
          <w:szCs w:val="24"/>
          <w:lang w:val="es-ES" w:eastAsia="es-CO"/>
        </w:rPr>
        <w:t xml:space="preserve"> (PAED), en los cuales se define la visión departamental en</w:t>
      </w:r>
      <w:r>
        <w:rPr>
          <w:rFonts w:ascii="Arial" w:hAnsi="Arial" w:cs="Arial"/>
          <w:szCs w:val="24"/>
          <w:lang w:val="es-ES" w:eastAsia="es-CO"/>
        </w:rPr>
        <w:t xml:space="preserve"> esta materia, así como</w:t>
      </w:r>
      <w:r w:rsidRPr="009601E2">
        <w:rPr>
          <w:rFonts w:ascii="Arial" w:hAnsi="Arial" w:cs="Arial"/>
          <w:szCs w:val="24"/>
          <w:lang w:val="es-ES" w:eastAsia="es-CO"/>
        </w:rPr>
        <w:t xml:space="preserve"> los focos, líneas programáticas y los proyectos estratégicos de cada departamento, alineados a las apuestas del país en </w:t>
      </w:r>
      <w:proofErr w:type="spellStart"/>
      <w:r w:rsidRPr="009601E2">
        <w:rPr>
          <w:rFonts w:ascii="Arial" w:hAnsi="Arial" w:cs="Arial"/>
          <w:szCs w:val="24"/>
          <w:lang w:val="es-ES" w:eastAsia="es-CO"/>
        </w:rPr>
        <w:t>CTeI</w:t>
      </w:r>
      <w:proofErr w:type="spellEnd"/>
      <w:r w:rsidRPr="009601E2">
        <w:rPr>
          <w:rFonts w:ascii="Arial" w:hAnsi="Arial" w:cs="Arial"/>
          <w:szCs w:val="24"/>
          <w:lang w:val="es-ES" w:eastAsia="es-CO"/>
        </w:rPr>
        <w:t>.</w:t>
      </w:r>
    </w:p>
    <w:p w:rsidR="00AE001B" w:rsidRDefault="00AE001B" w:rsidP="00AE001B">
      <w:pPr>
        <w:jc w:val="both"/>
        <w:rPr>
          <w:rFonts w:ascii="Arial" w:hAnsi="Arial" w:cs="Arial"/>
          <w:szCs w:val="24"/>
          <w:lang w:val="es-ES" w:eastAsia="es-CO"/>
        </w:rPr>
      </w:pPr>
      <w:r w:rsidRPr="009601E2">
        <w:rPr>
          <w:rFonts w:ascii="Arial" w:hAnsi="Arial" w:cs="Arial"/>
          <w:szCs w:val="24"/>
          <w:lang w:val="es-ES" w:eastAsia="es-CO"/>
        </w:rPr>
        <w:t xml:space="preserve">En el marco de estos planes, se han priorizado </w:t>
      </w:r>
      <w:r>
        <w:rPr>
          <w:rFonts w:ascii="Arial" w:hAnsi="Arial" w:cs="Arial"/>
          <w:szCs w:val="24"/>
          <w:lang w:val="es-ES" w:eastAsia="es-CO"/>
        </w:rPr>
        <w:t>más de 400</w:t>
      </w:r>
      <w:r w:rsidRPr="009601E2">
        <w:rPr>
          <w:rFonts w:ascii="Arial" w:hAnsi="Arial" w:cs="Arial"/>
          <w:szCs w:val="24"/>
          <w:lang w:val="es-ES" w:eastAsia="es-CO"/>
        </w:rPr>
        <w:t xml:space="preserve"> proyectos de inversión susceptibles de ser financiados o cofinanciados con recursos del FCTI del SGR</w:t>
      </w:r>
      <w:r w:rsidRPr="009601E2">
        <w:rPr>
          <w:rStyle w:val="Refdenotaalpie"/>
          <w:rFonts w:ascii="Arial" w:hAnsi="Arial" w:cs="Arial"/>
          <w:szCs w:val="24"/>
          <w:lang w:val="es-ES" w:eastAsia="es-CO"/>
        </w:rPr>
        <w:footnoteReference w:id="9"/>
      </w:r>
      <w:r w:rsidRPr="009601E2">
        <w:rPr>
          <w:rFonts w:ascii="Arial" w:hAnsi="Arial" w:cs="Arial"/>
          <w:szCs w:val="24"/>
          <w:lang w:val="es-ES" w:eastAsia="es-CO"/>
        </w:rPr>
        <w:t xml:space="preserve">, los cuales se encuentran en distintas etapas de maduración en cuanto a su estructuración y posterior presentación al OCAD del FCTI.  </w:t>
      </w:r>
    </w:p>
    <w:p w:rsidR="00AE001B" w:rsidRPr="009601E2" w:rsidRDefault="00AE001B" w:rsidP="00AE001B">
      <w:pPr>
        <w:jc w:val="both"/>
        <w:rPr>
          <w:rFonts w:ascii="Arial" w:hAnsi="Arial" w:cs="Arial"/>
          <w:szCs w:val="24"/>
          <w:lang w:val="es-ES" w:eastAsia="es-CO"/>
        </w:rPr>
      </w:pPr>
      <w:r>
        <w:rPr>
          <w:rFonts w:ascii="Arial" w:hAnsi="Arial" w:cs="Arial"/>
          <w:szCs w:val="24"/>
          <w:lang w:val="es-ES" w:eastAsia="es-CO"/>
        </w:rPr>
        <w:t xml:space="preserve">Es importante resaltar que </w:t>
      </w:r>
      <w:r w:rsidRPr="009601E2">
        <w:rPr>
          <w:rFonts w:ascii="Arial" w:hAnsi="Arial" w:cs="Arial"/>
          <w:szCs w:val="24"/>
          <w:lang w:val="es-ES" w:eastAsia="es-CO"/>
        </w:rPr>
        <w:t xml:space="preserve">el FCTI cuenta con un presupuesto nuevo para el 2017-2018 que asciende a $1,1 billones de pesos; </w:t>
      </w:r>
      <w:r>
        <w:rPr>
          <w:rFonts w:ascii="Arial" w:hAnsi="Arial" w:cs="Arial"/>
          <w:szCs w:val="24"/>
          <w:lang w:val="es-ES" w:eastAsia="es-CO"/>
        </w:rPr>
        <w:t xml:space="preserve">por lo que una parte importante de </w:t>
      </w:r>
      <w:r w:rsidRPr="009601E2">
        <w:rPr>
          <w:rFonts w:ascii="Arial" w:hAnsi="Arial" w:cs="Arial"/>
          <w:szCs w:val="24"/>
          <w:lang w:val="es-ES" w:eastAsia="es-CO"/>
        </w:rPr>
        <w:t>las inversiones previstas</w:t>
      </w:r>
      <w:r>
        <w:rPr>
          <w:rFonts w:ascii="Arial" w:hAnsi="Arial" w:cs="Arial"/>
          <w:szCs w:val="24"/>
          <w:lang w:val="es-ES" w:eastAsia="es-CO"/>
        </w:rPr>
        <w:t>,</w:t>
      </w:r>
      <w:r w:rsidRPr="009601E2">
        <w:rPr>
          <w:rFonts w:ascii="Arial" w:hAnsi="Arial" w:cs="Arial"/>
          <w:szCs w:val="24"/>
          <w:lang w:val="es-ES" w:eastAsia="es-CO"/>
        </w:rPr>
        <w:t xml:space="preserve"> podrían ser financiadas</w:t>
      </w:r>
      <w:r>
        <w:rPr>
          <w:rFonts w:ascii="Arial" w:hAnsi="Arial" w:cs="Arial"/>
          <w:szCs w:val="24"/>
          <w:lang w:val="es-ES" w:eastAsia="es-CO"/>
        </w:rPr>
        <w:t xml:space="preserve"> con el nuevo flujo de recursos.</w:t>
      </w:r>
    </w:p>
    <w:p w:rsidR="00AE001B" w:rsidRPr="009601E2" w:rsidRDefault="00AE001B" w:rsidP="00AE001B">
      <w:pPr>
        <w:jc w:val="both"/>
        <w:rPr>
          <w:rFonts w:ascii="Arial" w:hAnsi="Arial" w:cs="Arial"/>
          <w:szCs w:val="24"/>
          <w:lang w:val="es-ES" w:eastAsia="es-CO"/>
        </w:rPr>
      </w:pPr>
      <w:r>
        <w:rPr>
          <w:rFonts w:ascii="Arial" w:hAnsi="Arial" w:cs="Arial"/>
          <w:szCs w:val="24"/>
          <w:lang w:val="es-ES" w:eastAsia="es-CO"/>
        </w:rPr>
        <w:t>L</w:t>
      </w:r>
      <w:r w:rsidRPr="009601E2">
        <w:rPr>
          <w:rFonts w:ascii="Arial" w:hAnsi="Arial" w:cs="Arial"/>
          <w:szCs w:val="24"/>
          <w:lang w:val="es-ES" w:eastAsia="es-CO"/>
        </w:rPr>
        <w:t>os proyectos del FCTI, además de requerir un mayor tiempo de formulación y estructuración, tienen horizontes de ejecución mayores que el promedio de los proyectos del SGR aprobados en otros sectores de inversión; por lo que el flujo de caja requerido para los mismos también se extiende en el tiempo.</w:t>
      </w:r>
    </w:p>
    <w:p w:rsidR="00AE001B" w:rsidRPr="009601E2" w:rsidRDefault="00AE001B" w:rsidP="00AE001B">
      <w:pPr>
        <w:jc w:val="both"/>
        <w:rPr>
          <w:rFonts w:ascii="Arial" w:hAnsi="Arial" w:cs="Arial"/>
          <w:szCs w:val="24"/>
        </w:rPr>
      </w:pPr>
      <w:r w:rsidRPr="009601E2">
        <w:rPr>
          <w:rFonts w:ascii="Arial" w:hAnsi="Arial" w:cs="Arial"/>
          <w:szCs w:val="24"/>
        </w:rPr>
        <w:t>Es así como un 85% de los proyectos del FCTI que se han aprobado desde el 2012, que representan el 89% del valor aprobado con cargo al Fondo, aún se encuentra en ejecución.</w:t>
      </w:r>
    </w:p>
    <w:p w:rsidR="00AE001B" w:rsidRPr="00B30577" w:rsidRDefault="00AE001B" w:rsidP="00AE001B">
      <w:pPr>
        <w:spacing w:after="0"/>
        <w:jc w:val="center"/>
        <w:rPr>
          <w:rFonts w:ascii="Arial" w:hAnsi="Arial" w:cs="Arial"/>
          <w:b/>
          <w:sz w:val="20"/>
        </w:rPr>
      </w:pPr>
    </w:p>
    <w:p w:rsidR="00AE001B" w:rsidRDefault="00AE001B" w:rsidP="00AE001B">
      <w:pPr>
        <w:rPr>
          <w:rFonts w:ascii="Arial" w:hAnsi="Arial" w:cs="Arial"/>
          <w:b/>
        </w:rPr>
      </w:pPr>
      <w:r>
        <w:rPr>
          <w:rFonts w:ascii="Arial" w:hAnsi="Arial" w:cs="Arial"/>
          <w:b/>
        </w:rPr>
        <w:br w:type="page"/>
      </w:r>
    </w:p>
    <w:p w:rsidR="00AE001B" w:rsidRPr="00B30577" w:rsidRDefault="00AE001B" w:rsidP="00AE001B">
      <w:pPr>
        <w:spacing w:after="0"/>
        <w:jc w:val="center"/>
        <w:rPr>
          <w:rFonts w:ascii="Arial" w:hAnsi="Arial" w:cs="Arial"/>
          <w:b/>
        </w:rPr>
      </w:pPr>
      <w:r w:rsidRPr="00B30577">
        <w:rPr>
          <w:rFonts w:ascii="Arial" w:hAnsi="Arial" w:cs="Arial"/>
          <w:b/>
        </w:rPr>
        <w:lastRenderedPageBreak/>
        <w:t>Gráfico 3</w:t>
      </w:r>
    </w:p>
    <w:p w:rsidR="00AE001B" w:rsidRPr="00B30577" w:rsidRDefault="00AE001B" w:rsidP="00AE001B">
      <w:pPr>
        <w:spacing w:after="0"/>
        <w:jc w:val="center"/>
        <w:rPr>
          <w:rFonts w:ascii="Arial" w:hAnsi="Arial" w:cs="Arial"/>
          <w:b/>
        </w:rPr>
      </w:pPr>
      <w:r w:rsidRPr="00B30577">
        <w:rPr>
          <w:rFonts w:ascii="Arial" w:hAnsi="Arial" w:cs="Arial"/>
          <w:b/>
        </w:rPr>
        <w:t xml:space="preserve">Estado de ejecución de los proyectos FCTI aprobados </w:t>
      </w:r>
    </w:p>
    <w:p w:rsidR="00AE001B" w:rsidRPr="00B30577" w:rsidRDefault="00AE001B" w:rsidP="00AE001B">
      <w:pPr>
        <w:spacing w:after="0"/>
        <w:jc w:val="center"/>
        <w:rPr>
          <w:rFonts w:ascii="Arial" w:hAnsi="Arial" w:cs="Arial"/>
          <w:b/>
        </w:rPr>
      </w:pPr>
      <w:r w:rsidRPr="00B30577">
        <w:rPr>
          <w:rFonts w:ascii="Arial" w:hAnsi="Arial" w:cs="Arial"/>
          <w:b/>
        </w:rPr>
        <w:t xml:space="preserve">por número de proyectos y valor aprobado </w:t>
      </w:r>
    </w:p>
    <w:p w:rsidR="00AE001B" w:rsidRPr="00B30577" w:rsidRDefault="00AE001B" w:rsidP="00AE001B">
      <w:pPr>
        <w:rPr>
          <w:rFonts w:ascii="Arial" w:hAnsi="Arial" w:cs="Arial"/>
          <w:sz w:val="14"/>
        </w:rPr>
      </w:pPr>
      <w:r w:rsidRPr="00B30577">
        <w:rPr>
          <w:rFonts w:ascii="Arial" w:hAnsi="Arial" w:cs="Arial"/>
          <w:noProof/>
          <w:lang w:val="en-US"/>
        </w:rPr>
        <w:drawing>
          <wp:inline distT="0" distB="0" distL="0" distR="0" wp14:anchorId="7F059470" wp14:editId="141C86D3">
            <wp:extent cx="5675950" cy="2416629"/>
            <wp:effectExtent l="0" t="0" r="1270" b="3175"/>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5939" cy="2459201"/>
                    </a:xfrm>
                    <a:prstGeom prst="rect">
                      <a:avLst/>
                    </a:prstGeom>
                    <a:noFill/>
                  </pic:spPr>
                </pic:pic>
              </a:graphicData>
            </a:graphic>
          </wp:inline>
        </w:drawing>
      </w:r>
      <w:r w:rsidRPr="00B30577">
        <w:rPr>
          <w:rFonts w:ascii="Arial" w:hAnsi="Arial" w:cs="Arial"/>
          <w:sz w:val="14"/>
        </w:rPr>
        <w:t>Fuente: DNP-Base Gesproy de proyectos aprobados a 31 de diciembre de 2016.</w:t>
      </w:r>
    </w:p>
    <w:p w:rsidR="00AE001B" w:rsidRDefault="00AE001B" w:rsidP="00AE001B">
      <w:pPr>
        <w:jc w:val="both"/>
        <w:rPr>
          <w:rFonts w:ascii="Arial" w:hAnsi="Arial" w:cs="Arial"/>
          <w:lang w:val="es-ES" w:eastAsia="es-CO"/>
        </w:rPr>
      </w:pPr>
    </w:p>
    <w:p w:rsidR="00AE001B" w:rsidRDefault="00AE001B" w:rsidP="00AE001B">
      <w:pPr>
        <w:jc w:val="both"/>
        <w:rPr>
          <w:rFonts w:ascii="Arial" w:hAnsi="Arial" w:cs="Arial"/>
        </w:rPr>
      </w:pPr>
      <w:r w:rsidRPr="009601E2">
        <w:rPr>
          <w:rFonts w:ascii="Arial" w:hAnsi="Arial" w:cs="Arial"/>
          <w:lang w:val="es-ES" w:eastAsia="es-CO"/>
        </w:rPr>
        <w:t xml:space="preserve">En efecto, el </w:t>
      </w:r>
      <w:r w:rsidRPr="009601E2">
        <w:rPr>
          <w:rFonts w:ascii="Arial" w:hAnsi="Arial" w:cs="Arial"/>
        </w:rPr>
        <w:t xml:space="preserve">horizonte de los proyectos del FCTI se encuentra entre 3 y 6 años; lo que se ilustra en el Gráfico 4 con el estado de los proyectos por año de aprobación.  </w:t>
      </w:r>
    </w:p>
    <w:p w:rsidR="00AE001B" w:rsidRDefault="00AE001B" w:rsidP="00AE001B">
      <w:pPr>
        <w:jc w:val="both"/>
        <w:rPr>
          <w:rFonts w:ascii="Arial" w:hAnsi="Arial" w:cs="Arial"/>
        </w:rPr>
      </w:pPr>
      <w:r w:rsidRPr="009601E2">
        <w:rPr>
          <w:rFonts w:ascii="Arial" w:hAnsi="Arial" w:cs="Arial"/>
        </w:rPr>
        <w:t>El 86% de los proyectos del FCTI aprobados en el 2012, un 87% de los aprobados en 2013 y en 2014 y un 83% de los aprobados en 2015 se encuentran aún en ejecución.</w:t>
      </w:r>
    </w:p>
    <w:p w:rsidR="00AE001B" w:rsidRDefault="00AE001B" w:rsidP="00AE001B">
      <w:pPr>
        <w:spacing w:after="0" w:line="240" w:lineRule="auto"/>
        <w:jc w:val="center"/>
        <w:rPr>
          <w:rFonts w:ascii="Arial" w:hAnsi="Arial" w:cs="Arial"/>
          <w:b/>
          <w:lang w:val="es-ES" w:eastAsia="es-CO"/>
        </w:rPr>
      </w:pPr>
    </w:p>
    <w:p w:rsidR="00AE001B" w:rsidRPr="00B30577" w:rsidRDefault="00AE001B" w:rsidP="00AE001B">
      <w:pPr>
        <w:spacing w:after="0" w:line="240" w:lineRule="auto"/>
        <w:jc w:val="center"/>
        <w:rPr>
          <w:rFonts w:ascii="Arial" w:hAnsi="Arial" w:cs="Arial"/>
          <w:b/>
          <w:lang w:val="es-ES" w:eastAsia="es-CO"/>
        </w:rPr>
      </w:pPr>
      <w:r w:rsidRPr="00B30577">
        <w:rPr>
          <w:rFonts w:ascii="Arial" w:hAnsi="Arial" w:cs="Arial"/>
          <w:b/>
          <w:lang w:val="es-ES" w:eastAsia="es-CO"/>
        </w:rPr>
        <w:t>Gráfico 4</w:t>
      </w:r>
    </w:p>
    <w:p w:rsidR="00AE001B" w:rsidRPr="00B30577" w:rsidRDefault="00AE001B" w:rsidP="00AE001B">
      <w:pPr>
        <w:spacing w:after="0" w:line="240" w:lineRule="auto"/>
        <w:jc w:val="center"/>
        <w:rPr>
          <w:rFonts w:ascii="Arial" w:hAnsi="Arial" w:cs="Arial"/>
          <w:b/>
          <w:lang w:val="es-ES" w:eastAsia="es-CO"/>
        </w:rPr>
      </w:pPr>
      <w:r w:rsidRPr="00B30577">
        <w:rPr>
          <w:rFonts w:ascii="Arial" w:hAnsi="Arial" w:cs="Arial"/>
          <w:b/>
          <w:lang w:val="es-ES" w:eastAsia="es-CO"/>
        </w:rPr>
        <w:t>Estado de los proyectos del FCTI por año de aprobación</w:t>
      </w:r>
    </w:p>
    <w:p w:rsidR="00AE001B" w:rsidRPr="00B30577" w:rsidRDefault="00AE001B" w:rsidP="00AE001B">
      <w:pPr>
        <w:spacing w:after="0"/>
        <w:jc w:val="center"/>
        <w:rPr>
          <w:rFonts w:ascii="Arial" w:hAnsi="Arial" w:cs="Arial"/>
          <w:lang w:val="es-ES" w:eastAsia="es-CO"/>
        </w:rPr>
      </w:pPr>
      <w:r w:rsidRPr="00B30577">
        <w:rPr>
          <w:rFonts w:ascii="Arial" w:hAnsi="Arial" w:cs="Arial"/>
          <w:noProof/>
          <w:lang w:val="en-US"/>
        </w:rPr>
        <w:drawing>
          <wp:inline distT="0" distB="0" distL="0" distR="0" wp14:anchorId="256D0321" wp14:editId="621DBE7C">
            <wp:extent cx="4759474" cy="3176649"/>
            <wp:effectExtent l="0" t="0" r="3175" b="508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E001B" w:rsidRPr="00B30577" w:rsidRDefault="00AE001B" w:rsidP="00AE001B">
      <w:pPr>
        <w:spacing w:after="0"/>
        <w:jc w:val="center"/>
        <w:rPr>
          <w:rFonts w:ascii="Arial" w:hAnsi="Arial" w:cs="Arial"/>
          <w:lang w:val="es-ES" w:eastAsia="es-CO"/>
        </w:rPr>
      </w:pPr>
      <w:r w:rsidRPr="00B30577">
        <w:rPr>
          <w:rFonts w:ascii="Arial" w:hAnsi="Arial" w:cs="Arial"/>
          <w:sz w:val="14"/>
        </w:rPr>
        <w:t>Fuente: DNP-Base Gesproy de proyectos aprobados a 31 de diciembre de 2016</w:t>
      </w:r>
    </w:p>
    <w:p w:rsidR="00AE001B" w:rsidRPr="00B30577" w:rsidRDefault="00AE001B" w:rsidP="00AE001B">
      <w:pPr>
        <w:jc w:val="both"/>
        <w:rPr>
          <w:rFonts w:ascii="Arial" w:hAnsi="Arial" w:cs="Arial"/>
          <w:sz w:val="18"/>
          <w:lang w:val="es-ES" w:eastAsia="es-CO"/>
        </w:rPr>
      </w:pPr>
    </w:p>
    <w:p w:rsidR="00AE001B" w:rsidRDefault="00AE001B" w:rsidP="00AE001B">
      <w:pPr>
        <w:jc w:val="both"/>
        <w:rPr>
          <w:rFonts w:ascii="Arial" w:hAnsi="Arial" w:cs="Arial"/>
          <w:lang w:val="es-ES" w:eastAsia="es-CO"/>
        </w:rPr>
      </w:pPr>
    </w:p>
    <w:p w:rsidR="00AE001B" w:rsidRPr="00C662D1" w:rsidRDefault="00AE001B" w:rsidP="00AE001B">
      <w:pPr>
        <w:jc w:val="both"/>
        <w:rPr>
          <w:rFonts w:ascii="Arial" w:hAnsi="Arial" w:cs="Arial"/>
          <w:lang w:val="es-ES" w:eastAsia="es-CO"/>
        </w:rPr>
      </w:pPr>
      <w:r w:rsidRPr="00C662D1">
        <w:rPr>
          <w:rFonts w:ascii="Arial" w:hAnsi="Arial" w:cs="Arial"/>
          <w:lang w:val="es-ES" w:eastAsia="es-CO"/>
        </w:rPr>
        <w:t>De esta manera, los proyectos ya aprobados</w:t>
      </w:r>
      <w:r>
        <w:rPr>
          <w:rFonts w:ascii="Arial" w:hAnsi="Arial" w:cs="Arial"/>
          <w:lang w:val="es-ES" w:eastAsia="es-CO"/>
        </w:rPr>
        <w:t xml:space="preserve">, que ya </w:t>
      </w:r>
      <w:r w:rsidRPr="00C662D1">
        <w:rPr>
          <w:rFonts w:ascii="Arial" w:hAnsi="Arial" w:cs="Arial"/>
          <w:lang w:val="es-ES" w:eastAsia="es-CO"/>
        </w:rPr>
        <w:t>cuentan con respaldo del 100% de su valor en la caja acumulada del Fondo</w:t>
      </w:r>
      <w:r>
        <w:rPr>
          <w:rFonts w:ascii="Arial" w:hAnsi="Arial" w:cs="Arial"/>
          <w:lang w:val="es-ES" w:eastAsia="es-CO"/>
        </w:rPr>
        <w:t>, no</w:t>
      </w:r>
      <w:r w:rsidRPr="00C662D1">
        <w:rPr>
          <w:rFonts w:ascii="Arial" w:hAnsi="Arial" w:cs="Arial"/>
          <w:lang w:val="es-ES" w:eastAsia="es-CO"/>
        </w:rPr>
        <w:t xml:space="preserve"> requieren </w:t>
      </w:r>
      <w:r>
        <w:rPr>
          <w:rFonts w:ascii="Arial" w:hAnsi="Arial" w:cs="Arial"/>
          <w:lang w:val="es-ES" w:eastAsia="es-CO"/>
        </w:rPr>
        <w:t xml:space="preserve">su disponibilidad total en </w:t>
      </w:r>
      <w:r w:rsidRPr="00C662D1">
        <w:rPr>
          <w:rFonts w:ascii="Arial" w:hAnsi="Arial" w:cs="Arial"/>
          <w:lang w:val="es-ES" w:eastAsia="es-CO"/>
        </w:rPr>
        <w:t>el presente año</w:t>
      </w:r>
      <w:r>
        <w:rPr>
          <w:rFonts w:ascii="Arial" w:hAnsi="Arial" w:cs="Arial"/>
          <w:lang w:val="es-ES" w:eastAsia="es-CO"/>
        </w:rPr>
        <w:t xml:space="preserve">.  Esto significa que </w:t>
      </w:r>
      <w:r w:rsidRPr="00C662D1">
        <w:rPr>
          <w:rFonts w:ascii="Arial" w:hAnsi="Arial" w:cs="Arial"/>
          <w:lang w:val="es-ES" w:eastAsia="es-CO"/>
        </w:rPr>
        <w:t>nuevos proyectos que se aprueben con cargo al presupuesto del bienio 2017-2018 tendrían espacio en caja para iniciar su ejecución, si así lo requieren.</w:t>
      </w:r>
    </w:p>
    <w:p w:rsidR="00AE001B" w:rsidRDefault="00AE001B" w:rsidP="00AE001B">
      <w:pPr>
        <w:jc w:val="both"/>
        <w:rPr>
          <w:rFonts w:ascii="Arial" w:hAnsi="Arial" w:cs="Arial"/>
          <w:lang w:val="es-ES" w:eastAsia="es-CO"/>
        </w:rPr>
      </w:pPr>
      <w:r w:rsidRPr="00C662D1">
        <w:rPr>
          <w:rFonts w:ascii="Arial" w:hAnsi="Arial" w:cs="Arial"/>
          <w:lang w:val="es-ES" w:eastAsia="es-CO"/>
        </w:rPr>
        <w:t xml:space="preserve">Con base en lo anterior, el presente Acto Legislativo propone que, por una única vez, se autorice trasladar </w:t>
      </w:r>
      <w:r>
        <w:rPr>
          <w:rFonts w:ascii="Arial" w:hAnsi="Arial" w:cs="Arial"/>
          <w:lang w:val="es-ES" w:eastAsia="es-CO"/>
        </w:rPr>
        <w:t>recursos</w:t>
      </w:r>
      <w:r w:rsidRPr="00C662D1">
        <w:rPr>
          <w:rFonts w:ascii="Arial" w:hAnsi="Arial" w:cs="Arial"/>
          <w:lang w:val="es-ES" w:eastAsia="es-CO"/>
        </w:rPr>
        <w:t xml:space="preserve"> del Fondo de Ciencia, Tecnología e Innovación, </w:t>
      </w:r>
      <w:proofErr w:type="gramStart"/>
      <w:r w:rsidRPr="00C662D1">
        <w:rPr>
          <w:rFonts w:ascii="Arial" w:hAnsi="Arial" w:cs="Arial"/>
          <w:lang w:val="es-ES" w:eastAsia="es-CO"/>
        </w:rPr>
        <w:t>que</w:t>
      </w:r>
      <w:proofErr w:type="gramEnd"/>
      <w:r w:rsidRPr="00C662D1">
        <w:rPr>
          <w:rFonts w:ascii="Arial" w:hAnsi="Arial" w:cs="Arial"/>
          <w:lang w:val="es-ES" w:eastAsia="es-CO"/>
        </w:rPr>
        <w:t xml:space="preserve"> </w:t>
      </w:r>
      <w:r>
        <w:rPr>
          <w:rFonts w:ascii="Arial" w:hAnsi="Arial" w:cs="Arial"/>
          <w:lang w:val="es-ES" w:eastAsia="es-CO"/>
        </w:rPr>
        <w:t xml:space="preserve">al 31 de diciembre de 2016, no hayan sido destinados a la financiación de </w:t>
      </w:r>
      <w:r w:rsidRPr="00C662D1">
        <w:rPr>
          <w:rFonts w:ascii="Arial" w:hAnsi="Arial" w:cs="Arial"/>
          <w:lang w:val="es-ES" w:eastAsia="es-CO"/>
        </w:rPr>
        <w:t>proyectos de inversión aprobados por el Órgano Colegiado de Administración y Decisión de este Fondo, a la asignación especial para</w:t>
      </w:r>
      <w:r>
        <w:rPr>
          <w:rFonts w:ascii="Arial" w:hAnsi="Arial" w:cs="Arial"/>
          <w:lang w:val="es-ES" w:eastAsia="es-CO"/>
        </w:rPr>
        <w:t xml:space="preserve"> la implementación del Acuerdo F</w:t>
      </w:r>
      <w:r w:rsidRPr="00C662D1">
        <w:rPr>
          <w:rFonts w:ascii="Arial" w:hAnsi="Arial" w:cs="Arial"/>
          <w:lang w:val="es-ES" w:eastAsia="es-CO"/>
        </w:rPr>
        <w:t>inal.</w:t>
      </w:r>
    </w:p>
    <w:p w:rsidR="00AE001B" w:rsidRDefault="00AE001B" w:rsidP="00AE001B">
      <w:pPr>
        <w:jc w:val="both"/>
        <w:rPr>
          <w:rFonts w:ascii="Arial" w:hAnsi="Arial" w:cs="Arial"/>
          <w:lang w:val="es-ES" w:eastAsia="es-CO"/>
        </w:rPr>
      </w:pPr>
      <w:r w:rsidRPr="00C662D1">
        <w:rPr>
          <w:rFonts w:ascii="Arial" w:hAnsi="Arial" w:cs="Arial"/>
          <w:lang w:val="es-ES" w:eastAsia="es-CO"/>
        </w:rPr>
        <w:t>Es importante precisar que este traslado respetará la asignación departamental del saldo</w:t>
      </w:r>
      <w:r>
        <w:rPr>
          <w:rFonts w:ascii="Arial" w:hAnsi="Arial" w:cs="Arial"/>
          <w:lang w:val="es-ES" w:eastAsia="es-CO"/>
        </w:rPr>
        <w:t xml:space="preserve"> en el Fondo de Ciencia, Tecnología e Innovación </w:t>
      </w:r>
      <w:r w:rsidRPr="00C662D1">
        <w:rPr>
          <w:rFonts w:ascii="Arial" w:hAnsi="Arial" w:cs="Arial"/>
          <w:lang w:val="es-ES" w:eastAsia="es-CO"/>
        </w:rPr>
        <w:t xml:space="preserve">que le dio origen, por lo que ninguna entidad territorial verá sus recursos sacrificados o disminuidos en virtud de lo aquí dispuesto. </w:t>
      </w:r>
    </w:p>
    <w:p w:rsidR="00AE001B" w:rsidRDefault="00AE001B" w:rsidP="00AE001B">
      <w:pPr>
        <w:jc w:val="both"/>
        <w:rPr>
          <w:rFonts w:ascii="Arial" w:hAnsi="Arial" w:cs="Arial"/>
          <w:lang w:val="es-ES" w:eastAsia="es-CO"/>
        </w:rPr>
      </w:pPr>
      <w:r w:rsidRPr="00C662D1">
        <w:rPr>
          <w:rFonts w:ascii="Arial" w:hAnsi="Arial" w:cs="Arial"/>
          <w:lang w:val="es-ES" w:eastAsia="es-CO"/>
        </w:rPr>
        <w:t xml:space="preserve">Por otro lado, </w:t>
      </w:r>
      <w:r>
        <w:rPr>
          <w:rFonts w:ascii="Arial" w:hAnsi="Arial" w:cs="Arial"/>
          <w:lang w:val="es-ES" w:eastAsia="es-CO"/>
        </w:rPr>
        <w:t xml:space="preserve">la medida propuesta </w:t>
      </w:r>
      <w:r w:rsidRPr="00C662D1">
        <w:rPr>
          <w:rFonts w:ascii="Arial" w:hAnsi="Arial" w:cs="Arial"/>
          <w:lang w:val="es-ES" w:eastAsia="es-CO"/>
        </w:rPr>
        <w:t>en ningún momento dejará desfinanciados proyectos de Ciencia, Tecnología e Innovación que ya se encuentren comprometidos con cargo a estos recursos.</w:t>
      </w:r>
    </w:p>
    <w:p w:rsidR="00AE001B" w:rsidRPr="00C662D1" w:rsidRDefault="00AE001B" w:rsidP="00AE001B">
      <w:pPr>
        <w:jc w:val="both"/>
        <w:rPr>
          <w:rFonts w:ascii="Arial" w:hAnsi="Arial" w:cs="Arial"/>
          <w:lang w:val="es-ES" w:eastAsia="es-CO"/>
        </w:rPr>
      </w:pPr>
      <w:r>
        <w:rPr>
          <w:rFonts w:ascii="Arial" w:hAnsi="Arial" w:cs="Arial"/>
          <w:lang w:val="es-ES" w:eastAsia="es-CO"/>
        </w:rPr>
        <w:t xml:space="preserve">Finalmente, para garantizar la adecuada focalización de las inversiones, los recursos que se trasladen del FCTI a la asignación especial para la implementación del Acuerdo Final, también serán administrados por el OCAD creado para este propósito. </w:t>
      </w:r>
    </w:p>
    <w:p w:rsidR="00AE001B" w:rsidRDefault="00AE001B" w:rsidP="00AE001B">
      <w:pPr>
        <w:rPr>
          <w:rFonts w:ascii="Arial" w:hAnsi="Arial" w:cs="Arial"/>
          <w:lang w:eastAsia="es-CO"/>
        </w:rPr>
      </w:pPr>
      <w:r>
        <w:rPr>
          <w:rFonts w:ascii="Arial" w:hAnsi="Arial" w:cs="Arial"/>
          <w:lang w:eastAsia="es-CO"/>
        </w:rPr>
        <w:br w:type="page"/>
      </w:r>
    </w:p>
    <w:p w:rsidR="00AE001B" w:rsidRPr="00E6257F" w:rsidRDefault="00AE001B" w:rsidP="00AE001B">
      <w:pPr>
        <w:pStyle w:val="Prrafodelista"/>
        <w:numPr>
          <w:ilvl w:val="0"/>
          <w:numId w:val="3"/>
        </w:numPr>
        <w:spacing w:before="28" w:after="28" w:line="288" w:lineRule="atLeast"/>
        <w:textAlignment w:val="center"/>
        <w:rPr>
          <w:rFonts w:ascii="Arial" w:hAnsi="Arial" w:cs="Arial"/>
          <w:b/>
          <w:lang w:eastAsia="es-CO"/>
        </w:rPr>
      </w:pPr>
      <w:r w:rsidRPr="00E6257F">
        <w:rPr>
          <w:rFonts w:ascii="Arial" w:hAnsi="Arial" w:cs="Arial"/>
          <w:b/>
          <w:lang w:eastAsia="es-CO"/>
        </w:rPr>
        <w:lastRenderedPageBreak/>
        <w:t>IMPACTO DE LA PROPUESTA DE MODIFICACIÓN DEL SGR PARA LA IMPLEMENTACIÓN DEL ACUERDO FINAL</w:t>
      </w:r>
    </w:p>
    <w:p w:rsidR="00AE001B" w:rsidRDefault="00AE001B" w:rsidP="00AE001B">
      <w:pPr>
        <w:jc w:val="both"/>
        <w:rPr>
          <w:rFonts w:ascii="Arial" w:hAnsi="Arial" w:cs="Arial"/>
          <w:lang w:val="es-ES" w:eastAsia="es-CO"/>
        </w:rPr>
      </w:pPr>
    </w:p>
    <w:p w:rsidR="00AE001B" w:rsidRDefault="00AE001B" w:rsidP="00AE001B">
      <w:pPr>
        <w:jc w:val="both"/>
        <w:rPr>
          <w:rFonts w:ascii="Arial" w:hAnsi="Arial" w:cs="Arial"/>
          <w:lang w:val="es-ES" w:eastAsia="es-CO"/>
        </w:rPr>
      </w:pPr>
      <w:r>
        <w:rPr>
          <w:rFonts w:ascii="Arial" w:hAnsi="Arial" w:cs="Arial"/>
          <w:lang w:val="es-ES" w:eastAsia="es-CO"/>
        </w:rPr>
        <w:t>El conjunto de medidas propuestas en el presente Acto legislativo, permitirán que las entidades territoriales cuenten con cerca de 18 billones de pesos adicionales para adelantar las inversiones del Acuerdo Final en los próximos veinte años.</w:t>
      </w:r>
    </w:p>
    <w:p w:rsidR="00AE001B" w:rsidRDefault="00AE001B" w:rsidP="00AE001B">
      <w:pPr>
        <w:jc w:val="both"/>
        <w:rPr>
          <w:rFonts w:ascii="Arial" w:hAnsi="Arial" w:cs="Arial"/>
          <w:lang w:val="es-ES" w:eastAsia="es-CO"/>
        </w:rPr>
      </w:pPr>
      <w:r>
        <w:rPr>
          <w:rFonts w:ascii="Arial" w:hAnsi="Arial" w:cs="Arial"/>
          <w:lang w:val="es-ES" w:eastAsia="es-CO"/>
        </w:rPr>
        <w:t>Sin contar con los recursos del FCTI que se asignarán una única vez; la inversión del SGR se verá incrementada en 848 mil millones anuales, que representan un incremento del 20% de los recursos anuales destinados a la inversión regional, esto es, la suma de las asignaciones directas y los Fondos de Desarrollo y Compensación Regional, que hoy asciende a 4,1 billones.</w:t>
      </w:r>
    </w:p>
    <w:p w:rsidR="00AE001B" w:rsidRDefault="00AE001B" w:rsidP="00AE001B">
      <w:pPr>
        <w:spacing w:after="0"/>
        <w:jc w:val="center"/>
        <w:rPr>
          <w:rFonts w:ascii="Arial" w:hAnsi="Arial" w:cs="Arial"/>
          <w:b/>
          <w:lang w:val="es-ES" w:eastAsia="es-CO"/>
        </w:rPr>
      </w:pPr>
    </w:p>
    <w:p w:rsidR="00AE001B" w:rsidRPr="00873933" w:rsidRDefault="00AE001B" w:rsidP="00AE001B">
      <w:pPr>
        <w:spacing w:after="0"/>
        <w:jc w:val="center"/>
        <w:rPr>
          <w:rFonts w:ascii="Arial" w:hAnsi="Arial" w:cs="Arial"/>
          <w:b/>
          <w:sz w:val="20"/>
          <w:lang w:val="es-ES" w:eastAsia="es-CO"/>
        </w:rPr>
      </w:pPr>
      <w:r w:rsidRPr="00873933">
        <w:rPr>
          <w:rFonts w:ascii="Arial" w:hAnsi="Arial" w:cs="Arial"/>
          <w:b/>
          <w:sz w:val="20"/>
          <w:lang w:val="es-ES" w:eastAsia="es-CO"/>
        </w:rPr>
        <w:t>Cuadro 10</w:t>
      </w:r>
    </w:p>
    <w:p w:rsidR="00AE001B" w:rsidRPr="00873933" w:rsidRDefault="00AE001B" w:rsidP="00AE001B">
      <w:pPr>
        <w:spacing w:after="0"/>
        <w:jc w:val="center"/>
        <w:rPr>
          <w:rFonts w:ascii="Arial" w:hAnsi="Arial" w:cs="Arial"/>
          <w:b/>
          <w:sz w:val="20"/>
          <w:lang w:val="es-ES" w:eastAsia="es-CO"/>
        </w:rPr>
      </w:pPr>
      <w:r w:rsidRPr="00873933">
        <w:rPr>
          <w:rFonts w:ascii="Arial" w:hAnsi="Arial" w:cs="Arial"/>
          <w:b/>
          <w:sz w:val="20"/>
          <w:lang w:val="es-ES" w:eastAsia="es-CO"/>
        </w:rPr>
        <w:t>Recursos de inversión adicionales para la Implementación del Acuerdo Final</w:t>
      </w:r>
    </w:p>
    <w:p w:rsidR="00AE001B" w:rsidRPr="00873933" w:rsidRDefault="00AE001B" w:rsidP="00AE001B">
      <w:pPr>
        <w:spacing w:after="0"/>
        <w:jc w:val="center"/>
        <w:rPr>
          <w:rFonts w:ascii="Arial" w:hAnsi="Arial" w:cs="Arial"/>
          <w:b/>
          <w:sz w:val="20"/>
          <w:lang w:val="es-ES" w:eastAsia="es-CO"/>
        </w:rPr>
      </w:pPr>
      <w:r w:rsidRPr="00873933">
        <w:rPr>
          <w:rFonts w:ascii="Arial" w:hAnsi="Arial" w:cs="Arial"/>
          <w:b/>
          <w:sz w:val="20"/>
          <w:lang w:val="es-ES" w:eastAsia="es-CO"/>
        </w:rPr>
        <w:t>(millones)</w:t>
      </w:r>
    </w:p>
    <w:tbl>
      <w:tblPr>
        <w:tblW w:w="8789" w:type="dxa"/>
        <w:jc w:val="center"/>
        <w:tblCellMar>
          <w:left w:w="70" w:type="dxa"/>
          <w:right w:w="70" w:type="dxa"/>
        </w:tblCellMar>
        <w:tblLook w:val="04A0" w:firstRow="1" w:lastRow="0" w:firstColumn="1" w:lastColumn="0" w:noHBand="0" w:noVBand="1"/>
      </w:tblPr>
      <w:tblGrid>
        <w:gridCol w:w="4395"/>
        <w:gridCol w:w="2126"/>
        <w:gridCol w:w="2268"/>
      </w:tblGrid>
      <w:tr w:rsidR="00AE001B" w:rsidRPr="00A3452F" w:rsidTr="00E51EDD">
        <w:trPr>
          <w:trHeight w:val="420"/>
          <w:jc w:val="center"/>
        </w:trPr>
        <w:tc>
          <w:tcPr>
            <w:tcW w:w="4395" w:type="dxa"/>
            <w:tcBorders>
              <w:top w:val="nil"/>
              <w:left w:val="nil"/>
              <w:bottom w:val="nil"/>
              <w:right w:val="nil"/>
            </w:tcBorders>
            <w:shd w:val="clear" w:color="auto" w:fill="auto"/>
            <w:vAlign w:val="center"/>
            <w:hideMark/>
          </w:tcPr>
          <w:p w:rsidR="00AE001B" w:rsidRPr="00A3452F" w:rsidRDefault="00AE001B" w:rsidP="00E51EDD">
            <w:pPr>
              <w:spacing w:after="0" w:line="240" w:lineRule="auto"/>
              <w:rPr>
                <w:rFonts w:ascii="Arial" w:eastAsia="Times New Roman" w:hAnsi="Arial" w:cs="Arial"/>
                <w:lang w:eastAsia="es-CO"/>
              </w:rPr>
            </w:pPr>
          </w:p>
        </w:tc>
        <w:tc>
          <w:tcPr>
            <w:tcW w:w="2126" w:type="dxa"/>
            <w:tcBorders>
              <w:top w:val="single" w:sz="4" w:space="0" w:color="auto"/>
              <w:left w:val="nil"/>
              <w:bottom w:val="nil"/>
              <w:right w:val="single" w:sz="4" w:space="0" w:color="auto"/>
            </w:tcBorders>
            <w:shd w:val="clear" w:color="000000" w:fill="44546A"/>
            <w:vAlign w:val="center"/>
            <w:hideMark/>
          </w:tcPr>
          <w:p w:rsidR="00AE001B" w:rsidRPr="00A3452F" w:rsidRDefault="00AE001B" w:rsidP="00E51EDD">
            <w:pPr>
              <w:spacing w:after="0" w:line="240" w:lineRule="auto"/>
              <w:jc w:val="center"/>
              <w:rPr>
                <w:rFonts w:ascii="Arial" w:eastAsia="Times New Roman" w:hAnsi="Arial" w:cs="Arial"/>
                <w:b/>
                <w:bCs/>
                <w:color w:val="FFFFFF"/>
                <w:lang w:eastAsia="es-CO"/>
              </w:rPr>
            </w:pPr>
            <w:r w:rsidRPr="00A3452F">
              <w:rPr>
                <w:rFonts w:ascii="Arial" w:eastAsia="Times New Roman" w:hAnsi="Arial" w:cs="Arial"/>
                <w:b/>
                <w:bCs/>
                <w:color w:val="FFFFFF"/>
                <w:lang w:eastAsia="es-CO"/>
              </w:rPr>
              <w:t>Promedio anual</w:t>
            </w:r>
          </w:p>
        </w:tc>
        <w:tc>
          <w:tcPr>
            <w:tcW w:w="2268" w:type="dxa"/>
            <w:tcBorders>
              <w:top w:val="single" w:sz="4" w:space="0" w:color="auto"/>
              <w:left w:val="nil"/>
              <w:bottom w:val="nil"/>
              <w:right w:val="single" w:sz="4" w:space="0" w:color="auto"/>
            </w:tcBorders>
            <w:shd w:val="clear" w:color="000000" w:fill="44546A"/>
            <w:vAlign w:val="center"/>
            <w:hideMark/>
          </w:tcPr>
          <w:p w:rsidR="00AE001B" w:rsidRPr="00A3452F" w:rsidRDefault="00AE001B" w:rsidP="00E51EDD">
            <w:pPr>
              <w:spacing w:after="0" w:line="240" w:lineRule="auto"/>
              <w:jc w:val="center"/>
              <w:rPr>
                <w:rFonts w:ascii="Arial" w:eastAsia="Times New Roman" w:hAnsi="Arial" w:cs="Arial"/>
                <w:b/>
                <w:bCs/>
                <w:color w:val="FFFFFF"/>
                <w:lang w:eastAsia="es-CO"/>
              </w:rPr>
            </w:pPr>
            <w:r w:rsidRPr="00A3452F">
              <w:rPr>
                <w:rFonts w:ascii="Arial" w:eastAsia="Times New Roman" w:hAnsi="Arial" w:cs="Arial"/>
                <w:b/>
                <w:bCs/>
                <w:color w:val="FFFFFF"/>
                <w:lang w:eastAsia="es-CO"/>
              </w:rPr>
              <w:t>TOTAL 20 AÑOS</w:t>
            </w:r>
          </w:p>
        </w:tc>
      </w:tr>
      <w:tr w:rsidR="00AE001B" w:rsidRPr="00A3452F" w:rsidTr="00E51EDD">
        <w:trPr>
          <w:trHeight w:val="212"/>
          <w:jc w:val="center"/>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01B" w:rsidRPr="00A3452F" w:rsidRDefault="00AE001B" w:rsidP="00E51EDD">
            <w:pPr>
              <w:spacing w:after="0" w:line="240" w:lineRule="auto"/>
              <w:rPr>
                <w:rFonts w:ascii="Arial" w:eastAsia="Times New Roman" w:hAnsi="Arial" w:cs="Arial"/>
                <w:color w:val="000000"/>
                <w:lang w:eastAsia="es-CO"/>
              </w:rPr>
            </w:pPr>
            <w:r w:rsidRPr="00A3452F">
              <w:rPr>
                <w:rFonts w:ascii="Arial" w:eastAsia="Times New Roman" w:hAnsi="Arial" w:cs="Arial"/>
                <w:color w:val="000000"/>
                <w:lang w:eastAsia="es-CO"/>
              </w:rPr>
              <w:t>7% de los ingresos del SGR</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E001B" w:rsidRPr="00A3452F" w:rsidRDefault="00AE001B" w:rsidP="00E51EDD">
            <w:pPr>
              <w:spacing w:after="0" w:line="240" w:lineRule="auto"/>
              <w:jc w:val="center"/>
              <w:rPr>
                <w:rFonts w:ascii="Arial" w:eastAsia="Times New Roman" w:hAnsi="Arial" w:cs="Arial"/>
                <w:color w:val="000000"/>
                <w:lang w:eastAsia="es-CO"/>
              </w:rPr>
            </w:pPr>
            <w:r w:rsidRPr="00A3452F">
              <w:rPr>
                <w:rFonts w:ascii="Arial" w:eastAsia="Times New Roman" w:hAnsi="Arial" w:cs="Arial"/>
                <w:color w:val="000000"/>
                <w:lang w:eastAsia="es-CO"/>
              </w:rPr>
              <w:t>398.054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E001B" w:rsidRPr="00A3452F" w:rsidRDefault="00AE001B" w:rsidP="00E51EDD">
            <w:pPr>
              <w:spacing w:after="0" w:line="240" w:lineRule="auto"/>
              <w:jc w:val="center"/>
              <w:rPr>
                <w:rFonts w:ascii="Arial" w:eastAsia="Times New Roman" w:hAnsi="Arial" w:cs="Arial"/>
                <w:color w:val="000000"/>
                <w:lang w:eastAsia="es-CO"/>
              </w:rPr>
            </w:pPr>
            <w:r w:rsidRPr="00A3452F">
              <w:rPr>
                <w:rFonts w:ascii="Arial" w:eastAsia="Times New Roman" w:hAnsi="Arial" w:cs="Arial"/>
                <w:color w:val="000000"/>
                <w:lang w:eastAsia="es-CO"/>
              </w:rPr>
              <w:t>7.961.078</w:t>
            </w:r>
          </w:p>
        </w:tc>
      </w:tr>
      <w:tr w:rsidR="00AE001B" w:rsidRPr="00A3452F" w:rsidTr="00E51EDD">
        <w:trPr>
          <w:trHeight w:val="188"/>
          <w:jc w:val="center"/>
        </w:trPr>
        <w:tc>
          <w:tcPr>
            <w:tcW w:w="4395" w:type="dxa"/>
            <w:tcBorders>
              <w:top w:val="nil"/>
              <w:left w:val="single" w:sz="4" w:space="0" w:color="auto"/>
              <w:bottom w:val="single" w:sz="4" w:space="0" w:color="auto"/>
              <w:right w:val="single" w:sz="4" w:space="0" w:color="auto"/>
            </w:tcBorders>
            <w:shd w:val="clear" w:color="000000" w:fill="FFFFFF"/>
            <w:vAlign w:val="bottom"/>
            <w:hideMark/>
          </w:tcPr>
          <w:p w:rsidR="00AE001B" w:rsidRPr="00A3452F" w:rsidRDefault="00AE001B" w:rsidP="00E51EDD">
            <w:pPr>
              <w:spacing w:after="0" w:line="240" w:lineRule="auto"/>
              <w:rPr>
                <w:rFonts w:ascii="Arial" w:eastAsia="Times New Roman" w:hAnsi="Arial" w:cs="Arial"/>
                <w:color w:val="000000"/>
                <w:lang w:eastAsia="es-CO"/>
              </w:rPr>
            </w:pPr>
            <w:r w:rsidRPr="00A3452F">
              <w:rPr>
                <w:rFonts w:ascii="Arial" w:eastAsia="Times New Roman" w:hAnsi="Arial" w:cs="Arial"/>
                <w:color w:val="000000"/>
                <w:lang w:eastAsia="es-CO"/>
              </w:rPr>
              <w:t>Rendimientos financieros del SGR</w:t>
            </w:r>
          </w:p>
        </w:tc>
        <w:tc>
          <w:tcPr>
            <w:tcW w:w="2126" w:type="dxa"/>
            <w:tcBorders>
              <w:top w:val="nil"/>
              <w:left w:val="nil"/>
              <w:bottom w:val="single" w:sz="4" w:space="0" w:color="auto"/>
              <w:right w:val="single" w:sz="4" w:space="0" w:color="auto"/>
            </w:tcBorders>
            <w:shd w:val="clear" w:color="000000" w:fill="FFFFFF"/>
            <w:vAlign w:val="center"/>
            <w:hideMark/>
          </w:tcPr>
          <w:p w:rsidR="00AE001B" w:rsidRPr="00A3452F" w:rsidRDefault="00AE001B" w:rsidP="00E51EDD">
            <w:pPr>
              <w:spacing w:after="0" w:line="240" w:lineRule="auto"/>
              <w:jc w:val="center"/>
              <w:rPr>
                <w:rFonts w:ascii="Arial" w:eastAsia="Times New Roman" w:hAnsi="Arial" w:cs="Arial"/>
                <w:color w:val="000000"/>
                <w:lang w:eastAsia="es-CO"/>
              </w:rPr>
            </w:pPr>
            <w:r w:rsidRPr="00A3452F">
              <w:rPr>
                <w:rFonts w:ascii="Arial" w:eastAsia="Times New Roman" w:hAnsi="Arial" w:cs="Arial"/>
                <w:color w:val="000000"/>
                <w:lang w:eastAsia="es-CO"/>
              </w:rPr>
              <w:t>300.000</w:t>
            </w:r>
          </w:p>
        </w:tc>
        <w:tc>
          <w:tcPr>
            <w:tcW w:w="2268" w:type="dxa"/>
            <w:tcBorders>
              <w:top w:val="nil"/>
              <w:left w:val="nil"/>
              <w:bottom w:val="single" w:sz="4" w:space="0" w:color="auto"/>
              <w:right w:val="single" w:sz="4" w:space="0" w:color="auto"/>
            </w:tcBorders>
            <w:shd w:val="clear" w:color="000000" w:fill="FFFFFF"/>
            <w:vAlign w:val="center"/>
            <w:hideMark/>
          </w:tcPr>
          <w:p w:rsidR="00AE001B" w:rsidRPr="00A3452F" w:rsidRDefault="00AE001B" w:rsidP="00E51EDD">
            <w:pPr>
              <w:spacing w:after="0" w:line="240" w:lineRule="auto"/>
              <w:jc w:val="center"/>
              <w:rPr>
                <w:rFonts w:ascii="Arial" w:eastAsia="Times New Roman" w:hAnsi="Arial" w:cs="Arial"/>
                <w:color w:val="000000"/>
                <w:lang w:eastAsia="es-CO"/>
              </w:rPr>
            </w:pPr>
            <w:r w:rsidRPr="00A3452F">
              <w:rPr>
                <w:rFonts w:ascii="Arial" w:eastAsia="Times New Roman" w:hAnsi="Arial" w:cs="Arial"/>
                <w:color w:val="000000"/>
                <w:lang w:eastAsia="es-CO"/>
              </w:rPr>
              <w:t>6.000.000</w:t>
            </w:r>
          </w:p>
        </w:tc>
      </w:tr>
      <w:tr w:rsidR="00AE001B" w:rsidRPr="00A3452F" w:rsidTr="00E51EDD">
        <w:trPr>
          <w:trHeight w:val="31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AE001B" w:rsidRPr="00A3452F" w:rsidRDefault="00AE001B" w:rsidP="00E51EDD">
            <w:pPr>
              <w:spacing w:after="0" w:line="240" w:lineRule="auto"/>
              <w:rPr>
                <w:rFonts w:ascii="Arial" w:eastAsia="Times New Roman" w:hAnsi="Arial" w:cs="Arial"/>
                <w:color w:val="000000"/>
                <w:lang w:eastAsia="es-CO"/>
              </w:rPr>
            </w:pPr>
            <w:r w:rsidRPr="00A3452F">
              <w:rPr>
                <w:rFonts w:ascii="Arial" w:eastAsia="Times New Roman" w:hAnsi="Arial" w:cs="Arial"/>
                <w:color w:val="000000"/>
                <w:lang w:eastAsia="es-CO"/>
              </w:rPr>
              <w:t>Excedentes en el FONPET provenientes del SGR</w:t>
            </w:r>
          </w:p>
        </w:tc>
        <w:tc>
          <w:tcPr>
            <w:tcW w:w="2126" w:type="dxa"/>
            <w:tcBorders>
              <w:top w:val="nil"/>
              <w:left w:val="nil"/>
              <w:bottom w:val="single" w:sz="4" w:space="0" w:color="auto"/>
              <w:right w:val="single" w:sz="4" w:space="0" w:color="auto"/>
            </w:tcBorders>
            <w:shd w:val="clear" w:color="auto" w:fill="auto"/>
            <w:vAlign w:val="center"/>
            <w:hideMark/>
          </w:tcPr>
          <w:p w:rsidR="00AE001B" w:rsidRPr="00A3452F" w:rsidRDefault="00AE001B" w:rsidP="00E51EDD">
            <w:pPr>
              <w:spacing w:after="0" w:line="240" w:lineRule="auto"/>
              <w:jc w:val="center"/>
              <w:rPr>
                <w:rFonts w:ascii="Arial" w:eastAsia="Times New Roman" w:hAnsi="Arial" w:cs="Arial"/>
                <w:color w:val="000000"/>
                <w:lang w:eastAsia="es-CO"/>
              </w:rPr>
            </w:pPr>
            <w:r w:rsidRPr="00A3452F">
              <w:rPr>
                <w:rFonts w:ascii="Arial" w:eastAsia="Times New Roman" w:hAnsi="Arial" w:cs="Arial"/>
                <w:color w:val="000000"/>
                <w:lang w:eastAsia="es-CO"/>
              </w:rPr>
              <w:t>150.000</w:t>
            </w:r>
          </w:p>
        </w:tc>
        <w:tc>
          <w:tcPr>
            <w:tcW w:w="2268" w:type="dxa"/>
            <w:tcBorders>
              <w:top w:val="nil"/>
              <w:left w:val="nil"/>
              <w:bottom w:val="single" w:sz="4" w:space="0" w:color="auto"/>
              <w:right w:val="single" w:sz="4" w:space="0" w:color="auto"/>
            </w:tcBorders>
            <w:shd w:val="clear" w:color="auto" w:fill="auto"/>
            <w:vAlign w:val="center"/>
            <w:hideMark/>
          </w:tcPr>
          <w:p w:rsidR="00AE001B" w:rsidRPr="00A3452F" w:rsidRDefault="00AE001B" w:rsidP="00E51EDD">
            <w:pPr>
              <w:spacing w:after="0" w:line="240" w:lineRule="auto"/>
              <w:jc w:val="center"/>
              <w:rPr>
                <w:rFonts w:ascii="Arial" w:eastAsia="Times New Roman" w:hAnsi="Arial" w:cs="Arial"/>
                <w:color w:val="000000"/>
                <w:lang w:eastAsia="es-CO"/>
              </w:rPr>
            </w:pPr>
            <w:r w:rsidRPr="00A3452F">
              <w:rPr>
                <w:rFonts w:ascii="Arial" w:eastAsia="Times New Roman" w:hAnsi="Arial" w:cs="Arial"/>
                <w:color w:val="000000"/>
                <w:lang w:eastAsia="es-CO"/>
              </w:rPr>
              <w:t>3.000.000</w:t>
            </w:r>
          </w:p>
        </w:tc>
      </w:tr>
      <w:tr w:rsidR="00AE001B" w:rsidRPr="00A3452F" w:rsidTr="00E51EDD">
        <w:trPr>
          <w:trHeight w:val="315"/>
          <w:jc w:val="center"/>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AE001B" w:rsidRPr="00A3452F" w:rsidRDefault="00AE001B" w:rsidP="00E51EDD">
            <w:pPr>
              <w:spacing w:after="0" w:line="240" w:lineRule="auto"/>
              <w:rPr>
                <w:rFonts w:ascii="Arial" w:eastAsia="Times New Roman" w:hAnsi="Arial" w:cs="Arial"/>
                <w:color w:val="000000"/>
                <w:lang w:eastAsia="es-CO"/>
              </w:rPr>
            </w:pPr>
            <w:r w:rsidRPr="00A3452F">
              <w:rPr>
                <w:rFonts w:ascii="Arial" w:eastAsia="Times New Roman" w:hAnsi="Arial" w:cs="Arial"/>
                <w:color w:val="000000"/>
                <w:lang w:eastAsia="es-CO"/>
              </w:rPr>
              <w:t>Traslado de recursos sin aprobar del FCTI</w:t>
            </w:r>
          </w:p>
        </w:tc>
        <w:tc>
          <w:tcPr>
            <w:tcW w:w="2126" w:type="dxa"/>
            <w:tcBorders>
              <w:top w:val="nil"/>
              <w:left w:val="nil"/>
              <w:bottom w:val="single" w:sz="4" w:space="0" w:color="auto"/>
              <w:right w:val="single" w:sz="4" w:space="0" w:color="auto"/>
            </w:tcBorders>
            <w:shd w:val="clear" w:color="auto" w:fill="auto"/>
            <w:vAlign w:val="center"/>
            <w:hideMark/>
          </w:tcPr>
          <w:p w:rsidR="00AE001B" w:rsidRPr="00A3452F" w:rsidRDefault="00AE001B" w:rsidP="00E51EDD">
            <w:pPr>
              <w:spacing w:after="0" w:line="240" w:lineRule="auto"/>
              <w:jc w:val="center"/>
              <w:rPr>
                <w:rFonts w:ascii="Arial" w:eastAsia="Times New Roman" w:hAnsi="Arial" w:cs="Arial"/>
                <w:color w:val="000000"/>
                <w:lang w:eastAsia="es-CO"/>
              </w:rPr>
            </w:pPr>
            <w:r w:rsidRPr="00A3452F">
              <w:rPr>
                <w:rFonts w:ascii="Arial" w:eastAsia="Times New Roman" w:hAnsi="Arial" w:cs="Arial"/>
                <w:color w:val="000000"/>
                <w:lang w:eastAsia="es-CO"/>
              </w:rPr>
              <w:t> </w:t>
            </w:r>
          </w:p>
        </w:tc>
        <w:tc>
          <w:tcPr>
            <w:tcW w:w="2268" w:type="dxa"/>
            <w:tcBorders>
              <w:top w:val="nil"/>
              <w:left w:val="nil"/>
              <w:bottom w:val="single" w:sz="4" w:space="0" w:color="auto"/>
              <w:right w:val="single" w:sz="4" w:space="0" w:color="auto"/>
            </w:tcBorders>
            <w:shd w:val="clear" w:color="auto" w:fill="auto"/>
            <w:vAlign w:val="center"/>
            <w:hideMark/>
          </w:tcPr>
          <w:p w:rsidR="00AE001B" w:rsidRPr="00A3452F" w:rsidRDefault="00AE001B" w:rsidP="00E51EDD">
            <w:pPr>
              <w:spacing w:after="0" w:line="240" w:lineRule="auto"/>
              <w:jc w:val="center"/>
              <w:rPr>
                <w:rFonts w:ascii="Arial" w:eastAsia="Times New Roman" w:hAnsi="Arial" w:cs="Arial"/>
                <w:color w:val="000000"/>
                <w:lang w:eastAsia="es-CO"/>
              </w:rPr>
            </w:pPr>
            <w:r w:rsidRPr="00A3452F">
              <w:rPr>
                <w:rFonts w:ascii="Arial" w:eastAsia="Times New Roman" w:hAnsi="Arial" w:cs="Arial"/>
                <w:color w:val="000000"/>
                <w:lang w:eastAsia="es-CO"/>
              </w:rPr>
              <w:t>1.000.000</w:t>
            </w:r>
          </w:p>
        </w:tc>
      </w:tr>
      <w:tr w:rsidR="00AE001B" w:rsidRPr="00A3452F" w:rsidTr="00E51EDD">
        <w:trPr>
          <w:trHeight w:val="375"/>
          <w:jc w:val="center"/>
        </w:trPr>
        <w:tc>
          <w:tcPr>
            <w:tcW w:w="4395" w:type="dxa"/>
            <w:tcBorders>
              <w:top w:val="nil"/>
              <w:left w:val="single" w:sz="4" w:space="0" w:color="auto"/>
              <w:bottom w:val="single" w:sz="4" w:space="0" w:color="auto"/>
              <w:right w:val="single" w:sz="4" w:space="0" w:color="auto"/>
            </w:tcBorders>
            <w:shd w:val="clear" w:color="000000" w:fill="44546A"/>
            <w:vAlign w:val="center"/>
            <w:hideMark/>
          </w:tcPr>
          <w:p w:rsidR="00AE001B" w:rsidRPr="00A3452F" w:rsidRDefault="00AE001B" w:rsidP="00E51EDD">
            <w:pPr>
              <w:spacing w:after="0" w:line="240" w:lineRule="auto"/>
              <w:jc w:val="center"/>
              <w:rPr>
                <w:rFonts w:ascii="Arial" w:eastAsia="Times New Roman" w:hAnsi="Arial" w:cs="Arial"/>
                <w:b/>
                <w:bCs/>
                <w:color w:val="FFFFFF"/>
                <w:lang w:eastAsia="es-CO"/>
              </w:rPr>
            </w:pPr>
            <w:r w:rsidRPr="00A3452F">
              <w:rPr>
                <w:rFonts w:ascii="Arial" w:eastAsia="Times New Roman" w:hAnsi="Arial" w:cs="Arial"/>
                <w:b/>
                <w:bCs/>
                <w:color w:val="FFFFFF"/>
                <w:lang w:eastAsia="es-CO"/>
              </w:rPr>
              <w:t>TOTAL</w:t>
            </w:r>
          </w:p>
        </w:tc>
        <w:tc>
          <w:tcPr>
            <w:tcW w:w="2126" w:type="dxa"/>
            <w:tcBorders>
              <w:top w:val="nil"/>
              <w:left w:val="nil"/>
              <w:bottom w:val="single" w:sz="4" w:space="0" w:color="auto"/>
              <w:right w:val="single" w:sz="4" w:space="0" w:color="auto"/>
            </w:tcBorders>
            <w:shd w:val="clear" w:color="000000" w:fill="44546A"/>
            <w:vAlign w:val="center"/>
            <w:hideMark/>
          </w:tcPr>
          <w:p w:rsidR="00AE001B" w:rsidRPr="00A3452F" w:rsidRDefault="00AE001B" w:rsidP="00E51EDD">
            <w:pPr>
              <w:spacing w:after="0" w:line="240" w:lineRule="auto"/>
              <w:jc w:val="center"/>
              <w:rPr>
                <w:rFonts w:ascii="Arial" w:eastAsia="Times New Roman" w:hAnsi="Arial" w:cs="Arial"/>
                <w:b/>
                <w:bCs/>
                <w:color w:val="FFFFFF"/>
                <w:lang w:eastAsia="es-CO"/>
              </w:rPr>
            </w:pPr>
            <w:r w:rsidRPr="00A3452F">
              <w:rPr>
                <w:rFonts w:ascii="Arial" w:eastAsia="Times New Roman" w:hAnsi="Arial" w:cs="Arial"/>
                <w:b/>
                <w:bCs/>
                <w:color w:val="FFFFFF"/>
                <w:lang w:eastAsia="es-CO"/>
              </w:rPr>
              <w:t>848.054</w:t>
            </w:r>
          </w:p>
        </w:tc>
        <w:tc>
          <w:tcPr>
            <w:tcW w:w="2268" w:type="dxa"/>
            <w:tcBorders>
              <w:top w:val="nil"/>
              <w:left w:val="nil"/>
              <w:bottom w:val="single" w:sz="4" w:space="0" w:color="auto"/>
              <w:right w:val="single" w:sz="4" w:space="0" w:color="auto"/>
            </w:tcBorders>
            <w:shd w:val="clear" w:color="000000" w:fill="44546A"/>
            <w:vAlign w:val="center"/>
            <w:hideMark/>
          </w:tcPr>
          <w:p w:rsidR="00AE001B" w:rsidRPr="00A3452F" w:rsidRDefault="00AE001B" w:rsidP="00E51EDD">
            <w:pPr>
              <w:spacing w:after="0" w:line="240" w:lineRule="auto"/>
              <w:jc w:val="center"/>
              <w:rPr>
                <w:rFonts w:ascii="Arial" w:eastAsia="Times New Roman" w:hAnsi="Arial" w:cs="Arial"/>
                <w:b/>
                <w:bCs/>
                <w:color w:val="FFFFFF"/>
                <w:lang w:eastAsia="es-CO"/>
              </w:rPr>
            </w:pPr>
            <w:r w:rsidRPr="00A3452F">
              <w:rPr>
                <w:rFonts w:ascii="Arial" w:eastAsia="Times New Roman" w:hAnsi="Arial" w:cs="Arial"/>
                <w:b/>
                <w:bCs/>
                <w:color w:val="FFFFFF"/>
                <w:lang w:eastAsia="es-CO"/>
              </w:rPr>
              <w:t>17.961.078</w:t>
            </w:r>
          </w:p>
        </w:tc>
      </w:tr>
    </w:tbl>
    <w:p w:rsidR="00AE001B" w:rsidRDefault="00AE001B" w:rsidP="00AE001B">
      <w:pPr>
        <w:jc w:val="both"/>
        <w:rPr>
          <w:rFonts w:ascii="Arial" w:hAnsi="Arial" w:cs="Arial"/>
          <w:sz w:val="18"/>
          <w:lang w:val="es-ES" w:eastAsia="es-CO"/>
        </w:rPr>
      </w:pPr>
      <w:r w:rsidRPr="00A3452F">
        <w:rPr>
          <w:rFonts w:ascii="Arial" w:hAnsi="Arial" w:cs="Arial"/>
          <w:sz w:val="18"/>
          <w:lang w:val="es-ES" w:eastAsia="es-CO"/>
        </w:rPr>
        <w:t>*Fuente: estimaciones MHCP con base en comportamiento histórico y Plan de recursos del SGR 2017-2026.</w:t>
      </w:r>
    </w:p>
    <w:p w:rsidR="00AE001B" w:rsidRDefault="00AE001B" w:rsidP="00AE001B">
      <w:pPr>
        <w:spacing w:after="0" w:line="288" w:lineRule="atLeast"/>
        <w:jc w:val="both"/>
        <w:textAlignment w:val="center"/>
        <w:rPr>
          <w:rFonts w:ascii="Arial" w:eastAsia="Times New Roman" w:hAnsi="Arial" w:cs="Arial"/>
          <w:color w:val="000000"/>
          <w:lang w:val="es-ES_tradnl" w:eastAsia="es-CO"/>
        </w:rPr>
      </w:pPr>
    </w:p>
    <w:p w:rsidR="00AE001B" w:rsidRPr="00B30577" w:rsidRDefault="00AE001B" w:rsidP="00AE001B">
      <w:pPr>
        <w:spacing w:after="0" w:line="288" w:lineRule="atLeast"/>
        <w:jc w:val="both"/>
        <w:textAlignment w:val="center"/>
        <w:rPr>
          <w:rFonts w:ascii="Arial" w:eastAsia="Times New Roman" w:hAnsi="Arial" w:cs="Arial"/>
          <w:color w:val="000000"/>
          <w:lang w:eastAsia="es-CO"/>
        </w:rPr>
      </w:pPr>
      <w:r w:rsidRPr="00B30577">
        <w:rPr>
          <w:rFonts w:ascii="Arial" w:eastAsia="Times New Roman" w:hAnsi="Arial" w:cs="Arial"/>
          <w:color w:val="000000"/>
          <w:lang w:val="es-ES_tradnl" w:eastAsia="es-CO"/>
        </w:rPr>
        <w:t>Atentamente,</w:t>
      </w:r>
    </w:p>
    <w:p w:rsidR="00AE001B" w:rsidRPr="00B30577" w:rsidRDefault="00AE001B" w:rsidP="00AE001B">
      <w:pPr>
        <w:spacing w:after="0" w:line="288" w:lineRule="atLeast"/>
        <w:jc w:val="both"/>
        <w:textAlignment w:val="center"/>
        <w:rPr>
          <w:rFonts w:ascii="Arial" w:eastAsia="Times New Roman" w:hAnsi="Arial" w:cs="Arial"/>
          <w:i/>
          <w:iCs/>
          <w:color w:val="000000"/>
          <w:lang w:val="es-ES_tradnl" w:eastAsia="es-CO"/>
        </w:rPr>
      </w:pPr>
    </w:p>
    <w:p w:rsidR="00AE001B" w:rsidRDefault="00AE001B" w:rsidP="00AE001B">
      <w:pPr>
        <w:spacing w:after="0" w:line="288" w:lineRule="atLeast"/>
        <w:jc w:val="both"/>
        <w:textAlignment w:val="center"/>
        <w:rPr>
          <w:rFonts w:ascii="Arial" w:eastAsia="Times New Roman" w:hAnsi="Arial" w:cs="Arial"/>
          <w:i/>
          <w:iCs/>
          <w:color w:val="000000"/>
          <w:lang w:val="es-ES_tradnl" w:eastAsia="es-CO"/>
        </w:rPr>
      </w:pPr>
    </w:p>
    <w:p w:rsidR="00AE001B" w:rsidRDefault="00AE001B" w:rsidP="00AE001B">
      <w:pPr>
        <w:spacing w:after="0" w:line="288" w:lineRule="atLeast"/>
        <w:jc w:val="both"/>
        <w:textAlignment w:val="center"/>
        <w:rPr>
          <w:rFonts w:ascii="Arial" w:eastAsia="Times New Roman" w:hAnsi="Arial" w:cs="Arial"/>
          <w:i/>
          <w:iCs/>
          <w:color w:val="000000"/>
          <w:lang w:val="es-ES_tradnl" w:eastAsia="es-CO"/>
        </w:rPr>
      </w:pPr>
    </w:p>
    <w:p w:rsidR="00AE001B" w:rsidRDefault="00AE001B" w:rsidP="00AE001B">
      <w:pPr>
        <w:spacing w:after="0" w:line="288" w:lineRule="atLeast"/>
        <w:jc w:val="both"/>
        <w:textAlignment w:val="center"/>
        <w:rPr>
          <w:rFonts w:ascii="Arial" w:eastAsia="Times New Roman" w:hAnsi="Arial" w:cs="Arial"/>
          <w:i/>
          <w:iCs/>
          <w:color w:val="000000"/>
          <w:lang w:val="es-ES_tradnl" w:eastAsia="es-CO"/>
        </w:rPr>
      </w:pPr>
    </w:p>
    <w:p w:rsidR="00AE001B" w:rsidRDefault="00AE001B" w:rsidP="00AE001B">
      <w:pPr>
        <w:spacing w:after="0" w:line="288" w:lineRule="atLeast"/>
        <w:jc w:val="both"/>
        <w:textAlignment w:val="center"/>
        <w:rPr>
          <w:rFonts w:ascii="Arial" w:eastAsia="Times New Roman" w:hAnsi="Arial" w:cs="Arial"/>
          <w:color w:val="000000"/>
          <w:lang w:val="es-ES_tradnl" w:eastAsia="es-CO"/>
        </w:rPr>
      </w:pPr>
      <w:r w:rsidRPr="00AC4828">
        <w:rPr>
          <w:rFonts w:ascii="Arial" w:eastAsia="Times New Roman" w:hAnsi="Arial" w:cs="Arial"/>
          <w:b/>
          <w:i/>
          <w:iCs/>
          <w:color w:val="000000"/>
          <w:lang w:val="es-ES_tradnl" w:eastAsia="es-CO"/>
        </w:rPr>
        <w:t>MAURICIO CÁRDENAS SANTAMARÍA</w:t>
      </w:r>
      <w:r w:rsidRPr="00B30577">
        <w:rPr>
          <w:rFonts w:ascii="Arial" w:eastAsia="Times New Roman" w:hAnsi="Arial" w:cs="Arial"/>
          <w:color w:val="000000"/>
          <w:lang w:val="es-ES_tradnl" w:eastAsia="es-CO"/>
        </w:rPr>
        <w:t> </w:t>
      </w:r>
      <w:r>
        <w:rPr>
          <w:rFonts w:ascii="Arial" w:eastAsia="Times New Roman" w:hAnsi="Arial" w:cs="Arial"/>
          <w:color w:val="000000"/>
          <w:lang w:val="es-ES_tradnl" w:eastAsia="es-CO"/>
        </w:rPr>
        <w:tab/>
      </w:r>
      <w:r>
        <w:rPr>
          <w:rFonts w:ascii="Arial" w:eastAsia="Times New Roman" w:hAnsi="Arial" w:cs="Arial"/>
          <w:color w:val="000000"/>
          <w:lang w:val="es-ES_tradnl" w:eastAsia="es-CO"/>
        </w:rPr>
        <w:tab/>
      </w:r>
      <w:r>
        <w:rPr>
          <w:rFonts w:ascii="Arial" w:eastAsia="Times New Roman" w:hAnsi="Arial" w:cs="Arial"/>
          <w:color w:val="000000"/>
          <w:lang w:val="es-ES_tradnl" w:eastAsia="es-CO"/>
        </w:rPr>
        <w:tab/>
      </w:r>
      <w:r w:rsidRPr="00AC4828">
        <w:rPr>
          <w:rFonts w:ascii="Arial" w:eastAsia="Times New Roman" w:hAnsi="Arial" w:cs="Arial"/>
          <w:b/>
          <w:i/>
          <w:color w:val="000000"/>
          <w:lang w:val="es-ES_tradnl" w:eastAsia="es-CO"/>
        </w:rPr>
        <w:t>GERMÁN ARCE ZAPATA</w:t>
      </w:r>
      <w:r w:rsidRPr="00B30577">
        <w:rPr>
          <w:rFonts w:ascii="Arial" w:eastAsia="Times New Roman" w:hAnsi="Arial" w:cs="Arial"/>
          <w:color w:val="000000"/>
          <w:lang w:val="es-ES_tradnl" w:eastAsia="es-CO"/>
        </w:rPr>
        <w:t> </w:t>
      </w:r>
    </w:p>
    <w:p w:rsidR="00AE001B" w:rsidRDefault="00AE001B" w:rsidP="00AE001B">
      <w:pPr>
        <w:spacing w:after="0" w:line="288" w:lineRule="atLeast"/>
        <w:jc w:val="both"/>
        <w:textAlignment w:val="center"/>
        <w:rPr>
          <w:rFonts w:ascii="Arial" w:eastAsia="Times New Roman" w:hAnsi="Arial" w:cs="Arial"/>
          <w:color w:val="000000"/>
          <w:lang w:val="es-ES_tradnl" w:eastAsia="es-CO"/>
        </w:rPr>
      </w:pPr>
      <w:r>
        <w:rPr>
          <w:rFonts w:ascii="Arial" w:eastAsia="Times New Roman" w:hAnsi="Arial" w:cs="Arial"/>
          <w:color w:val="000000"/>
          <w:lang w:val="es-ES_tradnl" w:eastAsia="es-CO"/>
        </w:rPr>
        <w:t>M</w:t>
      </w:r>
      <w:r w:rsidRPr="00B30577">
        <w:rPr>
          <w:rFonts w:ascii="Arial" w:eastAsia="Times New Roman" w:hAnsi="Arial" w:cs="Arial"/>
          <w:color w:val="000000"/>
          <w:lang w:val="es-ES_tradnl" w:eastAsia="es-CO"/>
        </w:rPr>
        <w:t>inistro de H</w:t>
      </w:r>
      <w:r>
        <w:rPr>
          <w:rFonts w:ascii="Arial" w:eastAsia="Times New Roman" w:hAnsi="Arial" w:cs="Arial"/>
          <w:color w:val="000000"/>
          <w:lang w:val="es-ES_tradnl" w:eastAsia="es-CO"/>
        </w:rPr>
        <w:t>acienda y Crédito Público</w:t>
      </w:r>
      <w:r>
        <w:rPr>
          <w:rFonts w:ascii="Arial" w:eastAsia="Times New Roman" w:hAnsi="Arial" w:cs="Arial"/>
          <w:color w:val="000000"/>
          <w:lang w:val="es-ES_tradnl" w:eastAsia="es-CO"/>
        </w:rPr>
        <w:tab/>
      </w:r>
      <w:r>
        <w:rPr>
          <w:rFonts w:ascii="Arial" w:eastAsia="Times New Roman" w:hAnsi="Arial" w:cs="Arial"/>
          <w:color w:val="000000"/>
          <w:lang w:val="es-ES_tradnl" w:eastAsia="es-CO"/>
        </w:rPr>
        <w:tab/>
      </w:r>
      <w:r>
        <w:rPr>
          <w:rFonts w:ascii="Arial" w:eastAsia="Times New Roman" w:hAnsi="Arial" w:cs="Arial"/>
          <w:color w:val="000000"/>
          <w:lang w:val="es-ES_tradnl" w:eastAsia="es-CO"/>
        </w:rPr>
        <w:tab/>
        <w:t>Ministro de Minas y Energía</w:t>
      </w:r>
    </w:p>
    <w:p w:rsidR="00AE001B" w:rsidRPr="00B30577" w:rsidRDefault="00AE001B" w:rsidP="00AE001B">
      <w:pPr>
        <w:tabs>
          <w:tab w:val="left" w:pos="5910"/>
        </w:tabs>
        <w:spacing w:after="0" w:line="288" w:lineRule="atLeast"/>
        <w:jc w:val="both"/>
        <w:textAlignment w:val="center"/>
        <w:rPr>
          <w:rFonts w:ascii="Arial" w:eastAsia="Times New Roman" w:hAnsi="Arial" w:cs="Arial"/>
          <w:color w:val="000000"/>
          <w:lang w:val="es-ES_tradnl" w:eastAsia="es-CO"/>
        </w:rPr>
      </w:pPr>
    </w:p>
    <w:p w:rsidR="00AE001B" w:rsidRDefault="00AE001B" w:rsidP="00AE001B">
      <w:pPr>
        <w:spacing w:after="0" w:line="288" w:lineRule="atLeast"/>
        <w:jc w:val="both"/>
        <w:textAlignment w:val="center"/>
        <w:rPr>
          <w:rFonts w:ascii="Arial" w:eastAsia="Times New Roman" w:hAnsi="Arial" w:cs="Arial"/>
          <w:i/>
          <w:color w:val="000000"/>
          <w:lang w:val="es-ES_tradnl" w:eastAsia="es-CO"/>
        </w:rPr>
      </w:pPr>
    </w:p>
    <w:p w:rsidR="00AE001B" w:rsidRDefault="00AE001B" w:rsidP="00AE001B">
      <w:pPr>
        <w:spacing w:after="0" w:line="288" w:lineRule="atLeast"/>
        <w:jc w:val="both"/>
        <w:textAlignment w:val="center"/>
        <w:rPr>
          <w:rFonts w:ascii="Arial" w:eastAsia="Times New Roman" w:hAnsi="Arial" w:cs="Arial"/>
          <w:i/>
          <w:color w:val="000000"/>
          <w:lang w:val="es-ES_tradnl" w:eastAsia="es-CO"/>
        </w:rPr>
      </w:pPr>
    </w:p>
    <w:p w:rsidR="00AE001B" w:rsidRDefault="00AE001B" w:rsidP="00AE001B">
      <w:pPr>
        <w:spacing w:after="0" w:line="288" w:lineRule="atLeast"/>
        <w:jc w:val="both"/>
        <w:textAlignment w:val="center"/>
        <w:rPr>
          <w:rFonts w:ascii="Arial" w:eastAsia="Times New Roman" w:hAnsi="Arial" w:cs="Arial"/>
          <w:i/>
          <w:color w:val="000000"/>
          <w:lang w:val="es-ES_tradnl" w:eastAsia="es-CO"/>
        </w:rPr>
      </w:pPr>
    </w:p>
    <w:p w:rsidR="00AE001B" w:rsidRPr="00AC4828" w:rsidRDefault="00AE001B" w:rsidP="00AE001B">
      <w:pPr>
        <w:spacing w:after="0" w:line="288" w:lineRule="atLeast"/>
        <w:jc w:val="both"/>
        <w:textAlignment w:val="center"/>
        <w:rPr>
          <w:rFonts w:ascii="Arial" w:eastAsia="Times New Roman" w:hAnsi="Arial" w:cs="Arial"/>
          <w:b/>
          <w:color w:val="000000"/>
          <w:lang w:val="es-ES_tradnl" w:eastAsia="es-CO"/>
        </w:rPr>
      </w:pPr>
      <w:r w:rsidRPr="00AC4828">
        <w:rPr>
          <w:rFonts w:ascii="Arial" w:eastAsia="Times New Roman" w:hAnsi="Arial" w:cs="Arial"/>
          <w:b/>
          <w:i/>
          <w:color w:val="000000"/>
          <w:lang w:val="es-ES_tradnl" w:eastAsia="es-CO"/>
        </w:rPr>
        <w:t>SIMÓN GAVIRIA MUÑOZ</w:t>
      </w:r>
    </w:p>
    <w:p w:rsidR="00AE001B" w:rsidRDefault="00AE001B" w:rsidP="00AE001B">
      <w:pPr>
        <w:spacing w:after="0" w:line="288" w:lineRule="atLeast"/>
        <w:jc w:val="both"/>
        <w:textAlignment w:val="center"/>
        <w:rPr>
          <w:rFonts w:ascii="Arial" w:eastAsia="Times New Roman" w:hAnsi="Arial" w:cs="Arial"/>
          <w:color w:val="000000"/>
          <w:lang w:val="es-ES_tradnl" w:eastAsia="es-CO"/>
        </w:rPr>
      </w:pPr>
      <w:r>
        <w:rPr>
          <w:rFonts w:ascii="Arial" w:eastAsia="Times New Roman" w:hAnsi="Arial" w:cs="Arial"/>
          <w:color w:val="000000"/>
          <w:lang w:val="es-ES_tradnl" w:eastAsia="es-CO"/>
        </w:rPr>
        <w:t>Director Departamento Nacional de Planeación</w:t>
      </w:r>
    </w:p>
    <w:p w:rsidR="00AE001B" w:rsidRPr="00A3452F" w:rsidRDefault="00AE001B" w:rsidP="00AE001B">
      <w:pPr>
        <w:jc w:val="both"/>
        <w:rPr>
          <w:rFonts w:ascii="Arial" w:hAnsi="Arial" w:cs="Arial"/>
          <w:sz w:val="18"/>
          <w:lang w:val="es-ES" w:eastAsia="es-CO"/>
        </w:rPr>
      </w:pPr>
    </w:p>
    <w:p w:rsidR="00FE31E4" w:rsidRDefault="00FE31E4"/>
    <w:sectPr w:rsidR="00FE31E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034" w:rsidRDefault="00132034" w:rsidP="00AE001B">
      <w:pPr>
        <w:spacing w:after="0" w:line="240" w:lineRule="auto"/>
      </w:pPr>
      <w:r>
        <w:separator/>
      </w:r>
    </w:p>
  </w:endnote>
  <w:endnote w:type="continuationSeparator" w:id="0">
    <w:p w:rsidR="00132034" w:rsidRDefault="00132034" w:rsidP="00AE0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034" w:rsidRDefault="00132034" w:rsidP="00AE001B">
      <w:pPr>
        <w:spacing w:after="0" w:line="240" w:lineRule="auto"/>
      </w:pPr>
      <w:r>
        <w:separator/>
      </w:r>
    </w:p>
  </w:footnote>
  <w:footnote w:type="continuationSeparator" w:id="0">
    <w:p w:rsidR="00132034" w:rsidRDefault="00132034" w:rsidP="00AE001B">
      <w:pPr>
        <w:spacing w:after="0" w:line="240" w:lineRule="auto"/>
      </w:pPr>
      <w:r>
        <w:continuationSeparator/>
      </w:r>
    </w:p>
  </w:footnote>
  <w:footnote w:id="1">
    <w:p w:rsidR="00AE001B" w:rsidRPr="00B9452A" w:rsidRDefault="00AE001B" w:rsidP="00AE001B">
      <w:pPr>
        <w:pStyle w:val="Textonotapie"/>
        <w:jc w:val="both"/>
        <w:rPr>
          <w:sz w:val="14"/>
        </w:rPr>
      </w:pPr>
      <w:r>
        <w:rPr>
          <w:rStyle w:val="Refdenotaalpie"/>
        </w:rPr>
        <w:footnoteRef/>
      </w:r>
      <w:r>
        <w:t xml:space="preserve"> </w:t>
      </w:r>
      <w:r>
        <w:rPr>
          <w:rFonts w:eastAsia="Times New Roman" w:cs="Arial"/>
          <w:sz w:val="16"/>
          <w:szCs w:val="22"/>
        </w:rPr>
        <w:t>E</w:t>
      </w:r>
      <w:r w:rsidRPr="00B9452A">
        <w:rPr>
          <w:rFonts w:eastAsia="Times New Roman" w:cs="Arial"/>
          <w:sz w:val="16"/>
          <w:szCs w:val="22"/>
        </w:rPr>
        <w:t>l Gobierno nacional suscribió el 24 de noviembre de 2016, con el grupo armado Fuerzas Armadas Revolucionarias de Colombia, Ejercito del Pueblo (FARC-EP)</w:t>
      </w:r>
      <w:r>
        <w:rPr>
          <w:rFonts w:eastAsia="Times New Roman" w:cs="Arial"/>
          <w:sz w:val="16"/>
          <w:szCs w:val="22"/>
        </w:rPr>
        <w:t>,</w:t>
      </w:r>
      <w:r w:rsidRPr="00B9452A">
        <w:rPr>
          <w:rFonts w:eastAsia="Times New Roman" w:cs="Arial"/>
          <w:sz w:val="16"/>
          <w:szCs w:val="22"/>
        </w:rPr>
        <w:t xml:space="preserve"> un nuevo Acuerdo Final para la Terminación del Conflicto y la Construcción de una Paz Estable y Duradera</w:t>
      </w:r>
      <w:r>
        <w:rPr>
          <w:rFonts w:eastAsia="Times New Roman" w:cs="Arial"/>
          <w:sz w:val="16"/>
          <w:szCs w:val="22"/>
        </w:rPr>
        <w:t>.</w:t>
      </w:r>
    </w:p>
  </w:footnote>
  <w:footnote w:id="2">
    <w:p w:rsidR="00AE001B" w:rsidRPr="00B9452A" w:rsidRDefault="00AE001B" w:rsidP="00AE001B">
      <w:pPr>
        <w:pStyle w:val="Textonotapie"/>
        <w:rPr>
          <w:rFonts w:eastAsia="Times New Roman" w:cs="Arial"/>
          <w:sz w:val="16"/>
          <w:szCs w:val="22"/>
        </w:rPr>
      </w:pPr>
      <w:r>
        <w:rPr>
          <w:rStyle w:val="Refdenotaalpie"/>
        </w:rPr>
        <w:footnoteRef/>
      </w:r>
      <w:r>
        <w:t xml:space="preserve"> </w:t>
      </w:r>
      <w:r>
        <w:rPr>
          <w:rFonts w:eastAsia="Times New Roman" w:cs="Arial"/>
          <w:sz w:val="16"/>
          <w:szCs w:val="22"/>
        </w:rPr>
        <w:t>E</w:t>
      </w:r>
      <w:r w:rsidRPr="00B9452A">
        <w:rPr>
          <w:rFonts w:eastAsia="Times New Roman" w:cs="Arial"/>
          <w:sz w:val="16"/>
          <w:szCs w:val="22"/>
        </w:rPr>
        <w:t>l 30 de noviembre de 2016, el Congreso de la República adoptó la decisión política de refrendar el Acuerdo Final para la Terminación del Conflicto y la Construcción de una Paz Estable y Duradera.</w:t>
      </w:r>
    </w:p>
  </w:footnote>
  <w:footnote w:id="3">
    <w:p w:rsidR="00AE001B" w:rsidRDefault="00AE001B" w:rsidP="00AE001B">
      <w:pPr>
        <w:pStyle w:val="Textonotapie"/>
      </w:pPr>
      <w:r>
        <w:rPr>
          <w:rStyle w:val="Refdenotaalpie"/>
        </w:rPr>
        <w:footnoteRef/>
      </w:r>
      <w:r>
        <w:t xml:space="preserve"> </w:t>
      </w:r>
      <w:r w:rsidRPr="002F50AC">
        <w:rPr>
          <w:sz w:val="18"/>
        </w:rPr>
        <w:t xml:space="preserve">Principio de Priorización del Punto 1 del Acuerdo final. P.12 </w:t>
      </w:r>
    </w:p>
  </w:footnote>
  <w:footnote w:id="4">
    <w:p w:rsidR="00AE001B" w:rsidRDefault="00AE001B" w:rsidP="00AE001B">
      <w:pPr>
        <w:pStyle w:val="Textonotapie"/>
        <w:jc w:val="both"/>
      </w:pPr>
      <w:r>
        <w:rPr>
          <w:rStyle w:val="Refdenotaalpie"/>
        </w:rPr>
        <w:footnoteRef/>
      </w:r>
      <w:r>
        <w:t xml:space="preserve"> </w:t>
      </w:r>
      <w:r w:rsidRPr="00887550">
        <w:rPr>
          <w:sz w:val="16"/>
        </w:rPr>
        <w:t>Seis (6) municipios no cuentan con asignación del SGR para el bienio</w:t>
      </w:r>
      <w:r>
        <w:rPr>
          <w:sz w:val="16"/>
        </w:rPr>
        <w:t xml:space="preserve"> 2017-2018: Sabaneta, Antioquia; Soledad, Atlántico; Cota, Facatativá y Funza; Cundinamarca y Dosquebradas;</w:t>
      </w:r>
      <w:r w:rsidRPr="00887550">
        <w:rPr>
          <w:sz w:val="16"/>
        </w:rPr>
        <w:t xml:space="preserve"> Risaralda.  Estos municipios no son productores </w:t>
      </w:r>
      <w:r>
        <w:rPr>
          <w:sz w:val="16"/>
        </w:rPr>
        <w:t xml:space="preserve">o portuarios </w:t>
      </w:r>
      <w:r w:rsidRPr="00887550">
        <w:rPr>
          <w:sz w:val="16"/>
        </w:rPr>
        <w:t>y tampoco beneficiarios del FCR40% por no ser de categoría 4,</w:t>
      </w:r>
      <w:r>
        <w:rPr>
          <w:sz w:val="16"/>
        </w:rPr>
        <w:t xml:space="preserve"> </w:t>
      </w:r>
      <w:r w:rsidRPr="00887550">
        <w:rPr>
          <w:sz w:val="16"/>
        </w:rPr>
        <w:t xml:space="preserve">5 y 6 y no tener NBI mayores al 35%. </w:t>
      </w:r>
      <w:r>
        <w:rPr>
          <w:sz w:val="16"/>
        </w:rPr>
        <w:t xml:space="preserve"> </w:t>
      </w:r>
      <w:r w:rsidRPr="00887550">
        <w:rPr>
          <w:sz w:val="16"/>
        </w:rPr>
        <w:t xml:space="preserve">Sin embargo, estos municipios pueden presentar proyectos de inversión al OCAD Regional, OCAD del FCTI o los OCAD departamentales respectivos y acceder a estos recursos.  </w:t>
      </w:r>
    </w:p>
  </w:footnote>
  <w:footnote w:id="5">
    <w:p w:rsidR="00AE001B" w:rsidRDefault="00AE001B" w:rsidP="00AE001B">
      <w:pPr>
        <w:pStyle w:val="Textonotapie"/>
        <w:jc w:val="both"/>
      </w:pPr>
      <w:r>
        <w:rPr>
          <w:rStyle w:val="Refdenotaalpie"/>
        </w:rPr>
        <w:footnoteRef/>
      </w:r>
      <w:r w:rsidRPr="000333BB">
        <w:rPr>
          <w:sz w:val="18"/>
        </w:rPr>
        <w:t xml:space="preserve"> El índice de incidencia del conflicto armado, construido por el DNP</w:t>
      </w:r>
      <w:r>
        <w:rPr>
          <w:sz w:val="18"/>
        </w:rPr>
        <w:t>, tiene el objetivo de evaluar</w:t>
      </w:r>
      <w:r w:rsidRPr="000333BB">
        <w:rPr>
          <w:sz w:val="18"/>
        </w:rPr>
        <w:t xml:space="preserve"> los </w:t>
      </w:r>
      <w:r>
        <w:rPr>
          <w:sz w:val="18"/>
        </w:rPr>
        <w:t>territorios</w:t>
      </w:r>
      <w:r w:rsidRPr="000333BB">
        <w:rPr>
          <w:sz w:val="18"/>
        </w:rPr>
        <w:t xml:space="preserve"> colombianos según su afectación por conflicto en el período 2002-2013</w:t>
      </w:r>
      <w:r>
        <w:rPr>
          <w:sz w:val="18"/>
        </w:rPr>
        <w:t xml:space="preserve">.  Se construye </w:t>
      </w:r>
      <w:r w:rsidRPr="000333BB">
        <w:rPr>
          <w:sz w:val="18"/>
        </w:rPr>
        <w:t xml:space="preserve">a partir de seis (6) variables: i) Acciones armadas; ii) homicidios, iii) Secuestros, iv) </w:t>
      </w:r>
      <w:r>
        <w:rPr>
          <w:sz w:val="18"/>
        </w:rPr>
        <w:t>víctimas de m</w:t>
      </w:r>
      <w:r w:rsidRPr="000333BB">
        <w:rPr>
          <w:sz w:val="18"/>
        </w:rPr>
        <w:t xml:space="preserve">inas antipersonas, v) desplazamiento </w:t>
      </w:r>
      <w:r>
        <w:rPr>
          <w:sz w:val="18"/>
        </w:rPr>
        <w:t xml:space="preserve">forzado según </w:t>
      </w:r>
      <w:proofErr w:type="spellStart"/>
      <w:r>
        <w:rPr>
          <w:sz w:val="18"/>
        </w:rPr>
        <w:t>orígen</w:t>
      </w:r>
      <w:proofErr w:type="spellEnd"/>
      <w:r>
        <w:rPr>
          <w:sz w:val="18"/>
        </w:rPr>
        <w:t xml:space="preserve"> y vi) cultivos de coca, y el índice final es un promedio simple del valor del índice durante el periodo 2002 a 2013.</w:t>
      </w:r>
      <w:r>
        <w:t xml:space="preserve"> </w:t>
      </w:r>
    </w:p>
  </w:footnote>
  <w:footnote w:id="6">
    <w:p w:rsidR="00AE001B" w:rsidRDefault="00AE001B" w:rsidP="00AE001B">
      <w:pPr>
        <w:pStyle w:val="Textonotapie"/>
        <w:jc w:val="both"/>
      </w:pPr>
      <w:r>
        <w:rPr>
          <w:rStyle w:val="Refdenotaalpie"/>
        </w:rPr>
        <w:footnoteRef/>
      </w:r>
      <w:r>
        <w:t xml:space="preserve"> </w:t>
      </w:r>
      <w:r w:rsidRPr="00AF7AC9">
        <w:rPr>
          <w:sz w:val="18"/>
        </w:rPr>
        <w:t>CONPES 3867 de 2016: Estrategia de preparación institucional para la Paz y el Postconflicto. Consejo Nacional de Política Económica y Social, 23 de septiembre de 2016.</w:t>
      </w:r>
    </w:p>
  </w:footnote>
  <w:footnote w:id="7">
    <w:p w:rsidR="00AE001B" w:rsidRPr="005938AD" w:rsidRDefault="00AE001B" w:rsidP="00AE001B">
      <w:pPr>
        <w:pStyle w:val="NormalWeb"/>
        <w:shd w:val="clear" w:color="auto" w:fill="FFFFFF"/>
        <w:spacing w:before="0" w:beforeAutospacing="0" w:after="0"/>
        <w:jc w:val="both"/>
        <w:rPr>
          <w:rFonts w:eastAsia="Times New Roman"/>
          <w:sz w:val="18"/>
          <w:szCs w:val="18"/>
        </w:rPr>
      </w:pPr>
      <w:r w:rsidRPr="005938AD">
        <w:rPr>
          <w:rStyle w:val="Refdenotaalpie"/>
          <w:sz w:val="18"/>
          <w:szCs w:val="18"/>
        </w:rPr>
        <w:footnoteRef/>
      </w:r>
      <w:r w:rsidRPr="005938AD">
        <w:rPr>
          <w:sz w:val="18"/>
          <w:szCs w:val="18"/>
        </w:rPr>
        <w:t xml:space="preserve"> </w:t>
      </w:r>
      <w:sdt>
        <w:sdtPr>
          <w:rPr>
            <w:rFonts w:eastAsia="Times New Roman"/>
            <w:bCs/>
            <w:sz w:val="18"/>
            <w:szCs w:val="18"/>
          </w:rPr>
          <w:id w:val="-353565257"/>
          <w:citation/>
        </w:sdtPr>
        <w:sdtEndPr/>
        <w:sdtContent>
          <w:r w:rsidRPr="005938AD">
            <w:rPr>
              <w:rFonts w:eastAsia="Times New Roman"/>
              <w:bCs/>
              <w:sz w:val="18"/>
              <w:szCs w:val="18"/>
            </w:rPr>
            <w:fldChar w:fldCharType="begin"/>
          </w:r>
          <w:r w:rsidRPr="005938AD">
            <w:rPr>
              <w:rFonts w:eastAsia="Times New Roman"/>
              <w:bCs/>
              <w:sz w:val="18"/>
              <w:szCs w:val="18"/>
            </w:rPr>
            <w:instrText xml:space="preserve"> CITATION Ley03 \l 3082 </w:instrText>
          </w:r>
          <w:r w:rsidRPr="005938AD">
            <w:rPr>
              <w:rFonts w:eastAsia="Times New Roman"/>
              <w:bCs/>
              <w:sz w:val="18"/>
              <w:szCs w:val="18"/>
            </w:rPr>
            <w:fldChar w:fldCharType="separate"/>
          </w:r>
          <w:r w:rsidRPr="005938AD">
            <w:rPr>
              <w:rFonts w:eastAsia="Times New Roman"/>
              <w:bCs/>
              <w:noProof/>
              <w:sz w:val="18"/>
              <w:szCs w:val="18"/>
            </w:rPr>
            <w:t xml:space="preserve"> </w:t>
          </w:r>
          <w:r w:rsidRPr="005938AD">
            <w:rPr>
              <w:rFonts w:eastAsia="Times New Roman"/>
              <w:noProof/>
              <w:sz w:val="18"/>
              <w:szCs w:val="18"/>
            </w:rPr>
            <w:t>(Ley 863 de 2003, 2003)</w:t>
          </w:r>
          <w:r w:rsidRPr="005938AD">
            <w:rPr>
              <w:rFonts w:eastAsia="Times New Roman"/>
              <w:bCs/>
              <w:sz w:val="18"/>
              <w:szCs w:val="18"/>
            </w:rPr>
            <w:fldChar w:fldCharType="end"/>
          </w:r>
        </w:sdtContent>
      </w:sdt>
      <w:r w:rsidRPr="005938AD">
        <w:rPr>
          <w:rFonts w:eastAsia="Times New Roman"/>
          <w:bCs/>
          <w:sz w:val="18"/>
          <w:szCs w:val="18"/>
        </w:rPr>
        <w:t xml:space="preserve"> Por la cual se establecen normas tributarias, aduaneras, fiscales y de control para estimular el crecimiento económico y el saneamiento de las finanzas públicas.</w:t>
      </w:r>
    </w:p>
  </w:footnote>
  <w:footnote w:id="8">
    <w:p w:rsidR="00AE001B" w:rsidRDefault="00AE001B" w:rsidP="00AE001B">
      <w:pPr>
        <w:pStyle w:val="Textonotapie"/>
        <w:jc w:val="both"/>
      </w:pPr>
      <w:r w:rsidRPr="000F6852">
        <w:rPr>
          <w:rStyle w:val="Refdenotaalpie"/>
          <w:sz w:val="18"/>
        </w:rPr>
        <w:footnoteRef/>
      </w:r>
      <w:r w:rsidRPr="000F6852">
        <w:rPr>
          <w:sz w:val="18"/>
        </w:rPr>
        <w:t xml:space="preserve"> </w:t>
      </w:r>
      <w:r w:rsidRPr="00B13F1F">
        <w:rPr>
          <w:sz w:val="16"/>
        </w:rPr>
        <w:t xml:space="preserve">Los OCAD Regionales deciden sobre la suma del Fondo de Desarrollo Regional y el 60% del Fondo de Compensación Regional que se distribuye a nivel departamental.  Los OCAD departamentales deciden sobre las asignaciones directas de los respectivos departamentos. Los OCAD municipales deciden sobre las asignaciones directas y el 40% del Fondo de Compensación Regional que se distribuye entre municipios. Los OCAD de las Car deciden sobre los recursos asignados a la Corporación respectiva.  </w:t>
      </w:r>
    </w:p>
  </w:footnote>
  <w:footnote w:id="9">
    <w:p w:rsidR="00AE001B" w:rsidRPr="00D76640" w:rsidRDefault="00AE001B" w:rsidP="00AE001B">
      <w:pPr>
        <w:pStyle w:val="Textonotapie"/>
        <w:rPr>
          <w:sz w:val="18"/>
        </w:rPr>
      </w:pPr>
      <w:r w:rsidRPr="00D76640">
        <w:rPr>
          <w:rStyle w:val="Refdenotaalpie"/>
          <w:sz w:val="18"/>
        </w:rPr>
        <w:footnoteRef/>
      </w:r>
      <w:r w:rsidRPr="00D76640">
        <w:rPr>
          <w:sz w:val="18"/>
        </w:rPr>
        <w:t xml:space="preserve"> Fuente: Informe de Colciencias a la Comisión Rectora del SGR, febrero de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1333"/>
    <w:multiLevelType w:val="hybridMultilevel"/>
    <w:tmpl w:val="C5C0D470"/>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3C53961"/>
    <w:multiLevelType w:val="hybridMultilevel"/>
    <w:tmpl w:val="52E6C81E"/>
    <w:lvl w:ilvl="0" w:tplc="240A001B">
      <w:start w:val="1"/>
      <w:numFmt w:val="lowerRoman"/>
      <w:lvlText w:val="%1."/>
      <w:lvlJc w:val="righ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63965E7"/>
    <w:multiLevelType w:val="hybridMultilevel"/>
    <w:tmpl w:val="FAFC4DC4"/>
    <w:lvl w:ilvl="0" w:tplc="0150CCAC">
      <w:start w:val="1"/>
      <w:numFmt w:val="bullet"/>
      <w:lvlText w:val="•"/>
      <w:lvlJc w:val="left"/>
      <w:pPr>
        <w:tabs>
          <w:tab w:val="num" w:pos="720"/>
        </w:tabs>
        <w:ind w:left="720" w:hanging="360"/>
      </w:pPr>
      <w:rPr>
        <w:rFonts w:ascii="Arial" w:hAnsi="Arial" w:hint="default"/>
      </w:rPr>
    </w:lvl>
    <w:lvl w:ilvl="1" w:tplc="8E861A66" w:tentative="1">
      <w:start w:val="1"/>
      <w:numFmt w:val="bullet"/>
      <w:lvlText w:val="•"/>
      <w:lvlJc w:val="left"/>
      <w:pPr>
        <w:tabs>
          <w:tab w:val="num" w:pos="1440"/>
        </w:tabs>
        <w:ind w:left="1440" w:hanging="360"/>
      </w:pPr>
      <w:rPr>
        <w:rFonts w:ascii="Arial" w:hAnsi="Arial" w:hint="default"/>
      </w:rPr>
    </w:lvl>
    <w:lvl w:ilvl="2" w:tplc="1674D440" w:tentative="1">
      <w:start w:val="1"/>
      <w:numFmt w:val="bullet"/>
      <w:lvlText w:val="•"/>
      <w:lvlJc w:val="left"/>
      <w:pPr>
        <w:tabs>
          <w:tab w:val="num" w:pos="2160"/>
        </w:tabs>
        <w:ind w:left="2160" w:hanging="360"/>
      </w:pPr>
      <w:rPr>
        <w:rFonts w:ascii="Arial" w:hAnsi="Arial" w:hint="default"/>
      </w:rPr>
    </w:lvl>
    <w:lvl w:ilvl="3" w:tplc="2CBEC49A" w:tentative="1">
      <w:start w:val="1"/>
      <w:numFmt w:val="bullet"/>
      <w:lvlText w:val="•"/>
      <w:lvlJc w:val="left"/>
      <w:pPr>
        <w:tabs>
          <w:tab w:val="num" w:pos="2880"/>
        </w:tabs>
        <w:ind w:left="2880" w:hanging="360"/>
      </w:pPr>
      <w:rPr>
        <w:rFonts w:ascii="Arial" w:hAnsi="Arial" w:hint="default"/>
      </w:rPr>
    </w:lvl>
    <w:lvl w:ilvl="4" w:tplc="C8921C66" w:tentative="1">
      <w:start w:val="1"/>
      <w:numFmt w:val="bullet"/>
      <w:lvlText w:val="•"/>
      <w:lvlJc w:val="left"/>
      <w:pPr>
        <w:tabs>
          <w:tab w:val="num" w:pos="3600"/>
        </w:tabs>
        <w:ind w:left="3600" w:hanging="360"/>
      </w:pPr>
      <w:rPr>
        <w:rFonts w:ascii="Arial" w:hAnsi="Arial" w:hint="default"/>
      </w:rPr>
    </w:lvl>
    <w:lvl w:ilvl="5" w:tplc="DAC2076C" w:tentative="1">
      <w:start w:val="1"/>
      <w:numFmt w:val="bullet"/>
      <w:lvlText w:val="•"/>
      <w:lvlJc w:val="left"/>
      <w:pPr>
        <w:tabs>
          <w:tab w:val="num" w:pos="4320"/>
        </w:tabs>
        <w:ind w:left="4320" w:hanging="360"/>
      </w:pPr>
      <w:rPr>
        <w:rFonts w:ascii="Arial" w:hAnsi="Arial" w:hint="default"/>
      </w:rPr>
    </w:lvl>
    <w:lvl w:ilvl="6" w:tplc="F678015A" w:tentative="1">
      <w:start w:val="1"/>
      <w:numFmt w:val="bullet"/>
      <w:lvlText w:val="•"/>
      <w:lvlJc w:val="left"/>
      <w:pPr>
        <w:tabs>
          <w:tab w:val="num" w:pos="5040"/>
        </w:tabs>
        <w:ind w:left="5040" w:hanging="360"/>
      </w:pPr>
      <w:rPr>
        <w:rFonts w:ascii="Arial" w:hAnsi="Arial" w:hint="default"/>
      </w:rPr>
    </w:lvl>
    <w:lvl w:ilvl="7" w:tplc="54D264A8" w:tentative="1">
      <w:start w:val="1"/>
      <w:numFmt w:val="bullet"/>
      <w:lvlText w:val="•"/>
      <w:lvlJc w:val="left"/>
      <w:pPr>
        <w:tabs>
          <w:tab w:val="num" w:pos="5760"/>
        </w:tabs>
        <w:ind w:left="5760" w:hanging="360"/>
      </w:pPr>
      <w:rPr>
        <w:rFonts w:ascii="Arial" w:hAnsi="Arial" w:hint="default"/>
      </w:rPr>
    </w:lvl>
    <w:lvl w:ilvl="8" w:tplc="F588FE2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CC353D"/>
    <w:multiLevelType w:val="hybridMultilevel"/>
    <w:tmpl w:val="562064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C841D42"/>
    <w:multiLevelType w:val="hybridMultilevel"/>
    <w:tmpl w:val="24C26F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20FA4153"/>
    <w:multiLevelType w:val="hybridMultilevel"/>
    <w:tmpl w:val="5BD8CE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7978F9"/>
    <w:multiLevelType w:val="hybridMultilevel"/>
    <w:tmpl w:val="562E85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7A064AD"/>
    <w:multiLevelType w:val="multilevel"/>
    <w:tmpl w:val="A476E1B2"/>
    <w:lvl w:ilvl="0">
      <w:start w:val="1"/>
      <w:numFmt w:val="upperRoman"/>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83E17B6"/>
    <w:multiLevelType w:val="hybridMultilevel"/>
    <w:tmpl w:val="9126C926"/>
    <w:lvl w:ilvl="0" w:tplc="4D10C91A">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32B46CCB"/>
    <w:multiLevelType w:val="hybridMultilevel"/>
    <w:tmpl w:val="C76284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96E7EF5"/>
    <w:multiLevelType w:val="multilevel"/>
    <w:tmpl w:val="C4EC1B0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034EC6"/>
    <w:multiLevelType w:val="hybridMultilevel"/>
    <w:tmpl w:val="9DBE30DA"/>
    <w:lvl w:ilvl="0" w:tplc="240A000F">
      <w:start w:val="1"/>
      <w:numFmt w:val="decimal"/>
      <w:lvlText w:val="%1."/>
      <w:lvlJc w:val="left"/>
      <w:pPr>
        <w:ind w:left="785" w:hanging="360"/>
      </w:p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12" w15:restartNumberingAfterBreak="0">
    <w:nsid w:val="62C86D09"/>
    <w:multiLevelType w:val="hybridMultilevel"/>
    <w:tmpl w:val="8342EE5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6A697E5D"/>
    <w:multiLevelType w:val="hybridMultilevel"/>
    <w:tmpl w:val="363AC29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B06131E"/>
    <w:multiLevelType w:val="multilevel"/>
    <w:tmpl w:val="A794781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6D4C399C"/>
    <w:multiLevelType w:val="hybridMultilevel"/>
    <w:tmpl w:val="C54EC37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6D5A60B7"/>
    <w:multiLevelType w:val="hybridMultilevel"/>
    <w:tmpl w:val="27E291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71A47D95"/>
    <w:multiLevelType w:val="hybridMultilevel"/>
    <w:tmpl w:val="F81030A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2481785"/>
    <w:multiLevelType w:val="hybridMultilevel"/>
    <w:tmpl w:val="8FA672F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8"/>
  </w:num>
  <w:num w:numId="2">
    <w:abstractNumId w:val="14"/>
  </w:num>
  <w:num w:numId="3">
    <w:abstractNumId w:val="7"/>
  </w:num>
  <w:num w:numId="4">
    <w:abstractNumId w:val="2"/>
  </w:num>
  <w:num w:numId="5">
    <w:abstractNumId w:val="13"/>
  </w:num>
  <w:num w:numId="6">
    <w:abstractNumId w:val="0"/>
  </w:num>
  <w:num w:numId="7">
    <w:abstractNumId w:val="4"/>
  </w:num>
  <w:num w:numId="8">
    <w:abstractNumId w:val="16"/>
  </w:num>
  <w:num w:numId="9">
    <w:abstractNumId w:val="12"/>
  </w:num>
  <w:num w:numId="10">
    <w:abstractNumId w:val="1"/>
  </w:num>
  <w:num w:numId="11">
    <w:abstractNumId w:val="8"/>
  </w:num>
  <w:num w:numId="12">
    <w:abstractNumId w:val="17"/>
  </w:num>
  <w:num w:numId="13">
    <w:abstractNumId w:val="5"/>
  </w:num>
  <w:num w:numId="14">
    <w:abstractNumId w:val="3"/>
  </w:num>
  <w:num w:numId="15">
    <w:abstractNumId w:val="9"/>
  </w:num>
  <w:num w:numId="16">
    <w:abstractNumId w:val="15"/>
  </w:num>
  <w:num w:numId="17">
    <w:abstractNumId w:val="6"/>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01B"/>
    <w:rsid w:val="00132034"/>
    <w:rsid w:val="004A7B0F"/>
    <w:rsid w:val="005A4B32"/>
    <w:rsid w:val="00613AFB"/>
    <w:rsid w:val="00AE001B"/>
    <w:rsid w:val="00FE31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FBCF"/>
  <w15:chartTrackingRefBased/>
  <w15:docId w15:val="{98A31C70-B5E2-4E7B-A2BE-529CD748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0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AE001B"/>
    <w:pPr>
      <w:spacing w:before="100" w:beforeAutospacing="1" w:after="119" w:line="240" w:lineRule="auto"/>
    </w:pPr>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AE001B"/>
    <w:pPr>
      <w:ind w:left="720"/>
      <w:contextualSpacing/>
    </w:pPr>
  </w:style>
  <w:style w:type="character" w:styleId="Refdecomentario">
    <w:name w:val="annotation reference"/>
    <w:basedOn w:val="Fuentedeprrafopredeter"/>
    <w:uiPriority w:val="99"/>
    <w:semiHidden/>
    <w:unhideWhenUsed/>
    <w:rsid w:val="00AE001B"/>
    <w:rPr>
      <w:sz w:val="16"/>
      <w:szCs w:val="16"/>
    </w:rPr>
  </w:style>
  <w:style w:type="paragraph" w:styleId="Textocomentario">
    <w:name w:val="annotation text"/>
    <w:basedOn w:val="Normal"/>
    <w:link w:val="TextocomentarioCar"/>
    <w:uiPriority w:val="99"/>
    <w:unhideWhenUsed/>
    <w:rsid w:val="00AE001B"/>
    <w:pPr>
      <w:spacing w:line="240" w:lineRule="auto"/>
    </w:pPr>
    <w:rPr>
      <w:sz w:val="20"/>
      <w:szCs w:val="20"/>
    </w:rPr>
  </w:style>
  <w:style w:type="character" w:customStyle="1" w:styleId="TextocomentarioCar">
    <w:name w:val="Texto comentario Car"/>
    <w:basedOn w:val="Fuentedeprrafopredeter"/>
    <w:link w:val="Textocomentario"/>
    <w:uiPriority w:val="99"/>
    <w:rsid w:val="00AE001B"/>
    <w:rPr>
      <w:sz w:val="20"/>
      <w:szCs w:val="20"/>
    </w:rPr>
  </w:style>
  <w:style w:type="paragraph" w:styleId="Asuntodelcomentario">
    <w:name w:val="annotation subject"/>
    <w:basedOn w:val="Textocomentario"/>
    <w:next w:val="Textocomentario"/>
    <w:link w:val="AsuntodelcomentarioCar"/>
    <w:uiPriority w:val="99"/>
    <w:semiHidden/>
    <w:unhideWhenUsed/>
    <w:rsid w:val="00AE001B"/>
    <w:rPr>
      <w:b/>
      <w:bCs/>
    </w:rPr>
  </w:style>
  <w:style w:type="character" w:customStyle="1" w:styleId="AsuntodelcomentarioCar">
    <w:name w:val="Asunto del comentario Car"/>
    <w:basedOn w:val="TextocomentarioCar"/>
    <w:link w:val="Asuntodelcomentario"/>
    <w:uiPriority w:val="99"/>
    <w:semiHidden/>
    <w:rsid w:val="00AE001B"/>
    <w:rPr>
      <w:b/>
      <w:bCs/>
      <w:sz w:val="20"/>
      <w:szCs w:val="20"/>
    </w:rPr>
  </w:style>
  <w:style w:type="paragraph" w:styleId="Textodeglobo">
    <w:name w:val="Balloon Text"/>
    <w:basedOn w:val="Normal"/>
    <w:link w:val="TextodegloboCar"/>
    <w:uiPriority w:val="99"/>
    <w:semiHidden/>
    <w:unhideWhenUsed/>
    <w:rsid w:val="00AE00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01B"/>
    <w:rPr>
      <w:rFonts w:ascii="Segoe UI" w:hAnsi="Segoe UI" w:cs="Segoe UI"/>
      <w:sz w:val="18"/>
      <w:szCs w:val="18"/>
    </w:rPr>
  </w:style>
  <w:style w:type="paragraph" w:styleId="Encabezado">
    <w:name w:val="header"/>
    <w:basedOn w:val="Normal"/>
    <w:link w:val="EncabezadoCar"/>
    <w:uiPriority w:val="99"/>
    <w:unhideWhenUsed/>
    <w:rsid w:val="00AE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001B"/>
  </w:style>
  <w:style w:type="paragraph" w:styleId="Piedepgina">
    <w:name w:val="footer"/>
    <w:basedOn w:val="Normal"/>
    <w:link w:val="PiedepginaCar"/>
    <w:uiPriority w:val="99"/>
    <w:unhideWhenUsed/>
    <w:rsid w:val="00AE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001B"/>
  </w:style>
  <w:style w:type="paragraph" w:customStyle="1" w:styleId="Default">
    <w:name w:val="Default"/>
    <w:rsid w:val="00AE001B"/>
    <w:pPr>
      <w:autoSpaceDE w:val="0"/>
      <w:autoSpaceDN w:val="0"/>
      <w:adjustRightInd w:val="0"/>
      <w:spacing w:after="0" w:line="240" w:lineRule="auto"/>
    </w:pPr>
    <w:rPr>
      <w:rFonts w:ascii="Times New Roman" w:hAnsi="Times New Roman" w:cs="Times New Roman"/>
      <w:color w:val="000000"/>
      <w:sz w:val="24"/>
      <w:szCs w:val="24"/>
    </w:rPr>
  </w:style>
  <w:style w:type="paragraph" w:styleId="Textonotapie">
    <w:name w:val="footnote text"/>
    <w:aliases w:val="Ref. de nota al pie1,referencia nota al pie,Texto de nota al pie,Car Car,Footnote Text Char Char Char Char Char,Footnote Text Char Char Char Char,Footnote reference,FA Fu,texto de nota al pie,Car,Car Car Car Car, Car, Car Car Car,ft Car,f"/>
    <w:basedOn w:val="Normal"/>
    <w:link w:val="TextonotapieCar"/>
    <w:uiPriority w:val="99"/>
    <w:unhideWhenUsed/>
    <w:qFormat/>
    <w:rsid w:val="00AE001B"/>
    <w:pPr>
      <w:spacing w:after="0" w:line="240" w:lineRule="auto"/>
    </w:pPr>
    <w:rPr>
      <w:sz w:val="20"/>
      <w:szCs w:val="20"/>
    </w:rPr>
  </w:style>
  <w:style w:type="character" w:customStyle="1" w:styleId="TextonotapieCar">
    <w:name w:val="Texto nota pie Car"/>
    <w:aliases w:val="Ref. de nota al pie1 Car,referencia nota al pie Car,Texto de nota al pie Car,Car Car Car,Footnote Text Char Char Char Char Char Car,Footnote Text Char Char Char Char Car,Footnote reference Car,FA Fu Car,texto de nota al pie Car,f Car"/>
    <w:basedOn w:val="Fuentedeprrafopredeter"/>
    <w:link w:val="Textonotapie"/>
    <w:uiPriority w:val="99"/>
    <w:rsid w:val="00AE001B"/>
    <w:rPr>
      <w:sz w:val="20"/>
      <w:szCs w:val="20"/>
    </w:rPr>
  </w:style>
  <w:style w:type="character" w:styleId="Refdenotaalpie">
    <w:name w:val="footnote reference"/>
    <w:aliases w:val="Texto nota pie Car2,Car Car Car1,Car Car2,Footnote Text Char Char Char Char Char Car1,Footnote Text Char Char Char Char Car1,Footnote reference Car1,FA Fu Car1,texto de nota al pie Car1,Ref. de nota al pie2,Ref,de nota al pie,BVI fnr"/>
    <w:basedOn w:val="Fuentedeprrafopredeter"/>
    <w:uiPriority w:val="99"/>
    <w:unhideWhenUsed/>
    <w:rsid w:val="00AE001B"/>
    <w:rPr>
      <w:vertAlign w:val="superscript"/>
    </w:rPr>
  </w:style>
  <w:style w:type="character" w:styleId="Textoennegrita">
    <w:name w:val="Strong"/>
    <w:uiPriority w:val="22"/>
    <w:qFormat/>
    <w:rsid w:val="00AE001B"/>
    <w:rPr>
      <w:b/>
      <w:bCs/>
    </w:rPr>
  </w:style>
  <w:style w:type="paragraph" w:customStyle="1" w:styleId="CM9">
    <w:name w:val="CM9"/>
    <w:basedOn w:val="Default"/>
    <w:next w:val="Default"/>
    <w:uiPriority w:val="99"/>
    <w:rsid w:val="00AE001B"/>
    <w:rPr>
      <w:rFonts w:ascii="Arial" w:hAnsi="Arial" w:cs="Arial"/>
      <w:color w:val="auto"/>
    </w:rPr>
  </w:style>
  <w:style w:type="paragraph" w:customStyle="1" w:styleId="CM105">
    <w:name w:val="CM105"/>
    <w:basedOn w:val="Default"/>
    <w:next w:val="Default"/>
    <w:uiPriority w:val="99"/>
    <w:rsid w:val="00AE001B"/>
    <w:rPr>
      <w:rFonts w:ascii="Arial" w:hAnsi="Arial" w:cs="Arial"/>
      <w:color w:val="auto"/>
    </w:rPr>
  </w:style>
  <w:style w:type="table" w:styleId="Tablaconcuadrcula">
    <w:name w:val="Table Grid"/>
    <w:basedOn w:val="Tablanormal"/>
    <w:uiPriority w:val="39"/>
    <w:rsid w:val="00AE0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
    <w:name w:val="CM7"/>
    <w:basedOn w:val="Default"/>
    <w:next w:val="Default"/>
    <w:uiPriority w:val="99"/>
    <w:rsid w:val="00AE001B"/>
    <w:pPr>
      <w:spacing w:line="291" w:lineRule="atLeast"/>
    </w:pPr>
    <w:rPr>
      <w:rFonts w:ascii="Arial" w:hAnsi="Arial" w:cs="Arial"/>
      <w:color w:val="auto"/>
    </w:rPr>
  </w:style>
  <w:style w:type="paragraph" w:customStyle="1" w:styleId="CM8">
    <w:name w:val="CM8"/>
    <w:basedOn w:val="Default"/>
    <w:next w:val="Default"/>
    <w:uiPriority w:val="99"/>
    <w:rsid w:val="00AE001B"/>
    <w:pPr>
      <w:spacing w:line="293" w:lineRule="atLeast"/>
    </w:pPr>
    <w:rPr>
      <w:rFonts w:ascii="Arial" w:hAnsi="Arial" w:cs="Arial"/>
      <w:color w:val="auto"/>
    </w:rPr>
  </w:style>
  <w:style w:type="paragraph" w:customStyle="1" w:styleId="CM14">
    <w:name w:val="CM14"/>
    <w:basedOn w:val="Default"/>
    <w:next w:val="Default"/>
    <w:uiPriority w:val="99"/>
    <w:rsid w:val="00AE001B"/>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oleObject" Target="file:///D:\2_Participaci&#243;n%20OCAD\Seguimiento%20aprobaciones\EJECUCION%20FCTI%20(00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stacked"/>
        <c:varyColors val="0"/>
        <c:ser>
          <c:idx val="0"/>
          <c:order val="0"/>
          <c:tx>
            <c:strRef>
              <c:f>'Tabla FCTI'!$J$38</c:f>
              <c:strCache>
                <c:ptCount val="1"/>
                <c:pt idx="0">
                  <c:v>ENTREGADO</c:v>
                </c:pt>
              </c:strCache>
            </c:strRef>
          </c:tx>
          <c:spPr>
            <a:solidFill>
              <a:schemeClr val="accent5">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'Tabla FCTI'!$I$39:$I$43</c:f>
              <c:numCache>
                <c:formatCode>General</c:formatCode>
                <c:ptCount val="4"/>
                <c:pt idx="0">
                  <c:v>2012</c:v>
                </c:pt>
                <c:pt idx="1">
                  <c:v>2013</c:v>
                </c:pt>
                <c:pt idx="2">
                  <c:v>2014</c:v>
                </c:pt>
                <c:pt idx="3">
                  <c:v>2015</c:v>
                </c:pt>
              </c:numCache>
            </c:numRef>
          </c:cat>
          <c:val>
            <c:numRef>
              <c:f>'Tabla FCTI'!$J$39:$J$43</c:f>
              <c:numCache>
                <c:formatCode>0%</c:formatCode>
                <c:ptCount val="4"/>
                <c:pt idx="0">
                  <c:v>0.14035087719298245</c:v>
                </c:pt>
                <c:pt idx="1">
                  <c:v>0.109375</c:v>
                </c:pt>
                <c:pt idx="2">
                  <c:v>7.407407407407407E-2</c:v>
                </c:pt>
                <c:pt idx="3">
                  <c:v>3.4482758620689655E-2</c:v>
                </c:pt>
              </c:numCache>
            </c:numRef>
          </c:val>
          <c:extLst>
            <c:ext xmlns:c16="http://schemas.microsoft.com/office/drawing/2014/chart" uri="{C3380CC4-5D6E-409C-BE32-E72D297353CC}">
              <c16:uniqueId val="{00000000-53B4-476C-867D-D7638F70EBE6}"/>
            </c:ext>
          </c:extLst>
        </c:ser>
        <c:ser>
          <c:idx val="1"/>
          <c:order val="1"/>
          <c:tx>
            <c:strRef>
              <c:f>'Tabla FCTI'!$K$38</c:f>
              <c:strCache>
                <c:ptCount val="1"/>
                <c:pt idx="0">
                  <c:v>CONTRATADO</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'Tabla FCTI'!$I$39:$I$43</c:f>
              <c:numCache>
                <c:formatCode>General</c:formatCode>
                <c:ptCount val="4"/>
                <c:pt idx="0">
                  <c:v>2012</c:v>
                </c:pt>
                <c:pt idx="1">
                  <c:v>2013</c:v>
                </c:pt>
                <c:pt idx="2">
                  <c:v>2014</c:v>
                </c:pt>
                <c:pt idx="3">
                  <c:v>2015</c:v>
                </c:pt>
              </c:numCache>
            </c:numRef>
          </c:cat>
          <c:val>
            <c:numRef>
              <c:f>'Tabla FCTI'!$K$39:$K$43</c:f>
              <c:numCache>
                <c:formatCode>0%</c:formatCode>
                <c:ptCount val="4"/>
                <c:pt idx="0">
                  <c:v>0.85964912280701755</c:v>
                </c:pt>
                <c:pt idx="1">
                  <c:v>0.8671875</c:v>
                </c:pt>
                <c:pt idx="2">
                  <c:v>0.87037037037037035</c:v>
                </c:pt>
                <c:pt idx="3">
                  <c:v>0.82758620689655171</c:v>
                </c:pt>
              </c:numCache>
            </c:numRef>
          </c:val>
          <c:extLst>
            <c:ext xmlns:c16="http://schemas.microsoft.com/office/drawing/2014/chart" uri="{C3380CC4-5D6E-409C-BE32-E72D297353CC}">
              <c16:uniqueId val="{00000001-53B4-476C-867D-D7638F70EBE6}"/>
            </c:ext>
          </c:extLst>
        </c:ser>
        <c:ser>
          <c:idx val="2"/>
          <c:order val="2"/>
          <c:tx>
            <c:strRef>
              <c:f>'Tabla FCTI'!$L$38</c:f>
              <c:strCache>
                <c:ptCount val="1"/>
                <c:pt idx="0">
                  <c:v>SIN INICIO</c:v>
                </c:pt>
              </c:strCache>
            </c:strRef>
          </c:tx>
          <c:spPr>
            <a:solidFill>
              <a:schemeClr val="accent5">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'Tabla FCTI'!$I$39:$I$43</c:f>
              <c:numCache>
                <c:formatCode>General</c:formatCode>
                <c:ptCount val="4"/>
                <c:pt idx="0">
                  <c:v>2012</c:v>
                </c:pt>
                <c:pt idx="1">
                  <c:v>2013</c:v>
                </c:pt>
                <c:pt idx="2">
                  <c:v>2014</c:v>
                </c:pt>
                <c:pt idx="3">
                  <c:v>2015</c:v>
                </c:pt>
              </c:numCache>
            </c:numRef>
          </c:cat>
          <c:val>
            <c:numRef>
              <c:f>'Tabla FCTI'!$L$39:$L$43</c:f>
              <c:numCache>
                <c:formatCode>0%</c:formatCode>
                <c:ptCount val="4"/>
                <c:pt idx="0">
                  <c:v>0</c:v>
                </c:pt>
                <c:pt idx="1">
                  <c:v>2.34375E-2</c:v>
                </c:pt>
                <c:pt idx="2">
                  <c:v>5.5555555555555552E-2</c:v>
                </c:pt>
                <c:pt idx="3">
                  <c:v>0.13793103448275862</c:v>
                </c:pt>
              </c:numCache>
            </c:numRef>
          </c:val>
          <c:extLst>
            <c:ext xmlns:c16="http://schemas.microsoft.com/office/drawing/2014/chart" uri="{C3380CC4-5D6E-409C-BE32-E72D297353CC}">
              <c16:uniqueId val="{00000002-53B4-476C-867D-D7638F70EBE6}"/>
            </c:ext>
          </c:extLst>
        </c:ser>
        <c:dLbls>
          <c:dLblPos val="ctr"/>
          <c:showLegendKey val="0"/>
          <c:showVal val="1"/>
          <c:showCatName val="0"/>
          <c:showSerName val="0"/>
          <c:showPercent val="0"/>
          <c:showBubbleSize val="0"/>
        </c:dLbls>
        <c:gapWidth val="150"/>
        <c:overlap val="100"/>
        <c:axId val="832725232"/>
        <c:axId val="832731760"/>
      </c:barChart>
      <c:catAx>
        <c:axId val="832725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832731760"/>
        <c:crosses val="autoZero"/>
        <c:auto val="1"/>
        <c:lblAlgn val="ctr"/>
        <c:lblOffset val="100"/>
        <c:noMultiLvlLbl val="0"/>
      </c:catAx>
      <c:valAx>
        <c:axId val="832731760"/>
        <c:scaling>
          <c:orientation val="minMax"/>
          <c:max val="1"/>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832725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3175" cap="flat" cmpd="sng" algn="ctr">
      <a:solidFill>
        <a:schemeClr val="accent5"/>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9939</Words>
  <Characters>56655</Characters>
  <Application>Microsoft Office Word</Application>
  <DocSecurity>0</DocSecurity>
  <Lines>472</Lines>
  <Paragraphs>132</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Crèdito Pùblico</Company>
  <LinksUpToDate>false</LinksUpToDate>
  <CharactersWithSpaces>66462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SGR-MHCP</dc:creator>
  <cp:keywords/>
  <dc:description/>
  <cp:lastModifiedBy>Maria Alejandra Guerra Perez</cp:lastModifiedBy>
  <cp:revision>2</cp:revision>
  <dcterms:created xsi:type="dcterms:W3CDTF">2017-03-22T19:47:00Z</dcterms:created>
  <dcterms:modified xsi:type="dcterms:W3CDTF">2017-03-22T19:47:00Z</dcterms:modified>
</cp:coreProperties>
</file>