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F9" w:rsidRPr="0080044C" w:rsidRDefault="00AC1CF9" w:rsidP="00AC1CF9">
      <w:pPr>
        <w:pStyle w:val="Default"/>
        <w:jc w:val="center"/>
        <w:rPr>
          <w:b/>
          <w:color w:val="auto"/>
        </w:rPr>
      </w:pPr>
      <w:bookmarkStart w:id="0" w:name="_GoBack"/>
      <w:bookmarkEnd w:id="0"/>
      <w:r w:rsidRPr="0080044C">
        <w:rPr>
          <w:b/>
        </w:rPr>
        <w:t xml:space="preserve">TEXTO APROBADO EN COMISIÓN PRIMERA DE LA CÁMARA DE REPRESENTANTES AL </w:t>
      </w:r>
      <w:r w:rsidRPr="0080044C">
        <w:rPr>
          <w:b/>
          <w:color w:val="auto"/>
        </w:rPr>
        <w:t>PROYECTO DE LEY N</w:t>
      </w:r>
      <w:r w:rsidR="00D86B14" w:rsidRPr="0080044C">
        <w:rPr>
          <w:b/>
          <w:color w:val="auto"/>
        </w:rPr>
        <w:t>°</w:t>
      </w:r>
      <w:r w:rsidRPr="0080044C">
        <w:rPr>
          <w:b/>
          <w:color w:val="auto"/>
        </w:rPr>
        <w:t xml:space="preserve"> 232/2015</w:t>
      </w:r>
      <w:r w:rsidR="009943CA" w:rsidRPr="0080044C">
        <w:rPr>
          <w:b/>
          <w:color w:val="auto"/>
        </w:rPr>
        <w:t xml:space="preserve"> CÁMARA y 115/2014 SENADO</w:t>
      </w:r>
      <w:r w:rsidRPr="0080044C">
        <w:rPr>
          <w:b/>
          <w:color w:val="auto"/>
        </w:rPr>
        <w:t xml:space="preserve"> "</w:t>
      </w:r>
      <w:r w:rsidRPr="0080044C">
        <w:rPr>
          <w:b/>
        </w:rPr>
        <w:t xml:space="preserve"> POR MEDIO DE LA CUAL SE MODIFICA PARCIALMENTE LA LEY 906 DE 2004 EN RELACIÓN CON LAS MEDIDAS DE ASEGURAMIENTO PRIVATIVAS DE LA LIBERTAD</w:t>
      </w:r>
      <w:r w:rsidRPr="0080044C">
        <w:rPr>
          <w:b/>
          <w:color w:val="auto"/>
        </w:rPr>
        <w:t>.”</w:t>
      </w:r>
    </w:p>
    <w:p w:rsidR="00AC1CF9" w:rsidRPr="0080044C" w:rsidRDefault="00AC1CF9" w:rsidP="002324A1">
      <w:pPr>
        <w:pStyle w:val="Sinespaciado"/>
        <w:jc w:val="center"/>
        <w:rPr>
          <w:rFonts w:ascii="Arial" w:hAnsi="Arial" w:cs="Arial"/>
          <w:b/>
          <w:sz w:val="24"/>
          <w:szCs w:val="24"/>
        </w:rPr>
      </w:pPr>
    </w:p>
    <w:p w:rsidR="002324A1" w:rsidRPr="0080044C" w:rsidRDefault="002324A1" w:rsidP="002324A1">
      <w:pPr>
        <w:pStyle w:val="Sinespaciado"/>
        <w:jc w:val="center"/>
        <w:rPr>
          <w:rFonts w:ascii="Arial" w:hAnsi="Arial" w:cs="Arial"/>
          <w:b/>
          <w:sz w:val="24"/>
          <w:szCs w:val="24"/>
        </w:rPr>
      </w:pPr>
      <w:r w:rsidRPr="0080044C">
        <w:rPr>
          <w:rFonts w:ascii="Arial" w:hAnsi="Arial" w:cs="Arial"/>
          <w:b/>
          <w:sz w:val="24"/>
          <w:szCs w:val="24"/>
        </w:rPr>
        <w:t>El Congreso de la República de Colombia</w:t>
      </w:r>
    </w:p>
    <w:p w:rsidR="00AC1CF9" w:rsidRPr="0080044C" w:rsidRDefault="00AC1CF9" w:rsidP="002324A1">
      <w:pPr>
        <w:pStyle w:val="Sinespaciado"/>
        <w:jc w:val="center"/>
        <w:rPr>
          <w:rFonts w:ascii="Arial" w:hAnsi="Arial" w:cs="Arial"/>
          <w:b/>
          <w:sz w:val="24"/>
          <w:szCs w:val="24"/>
        </w:rPr>
      </w:pPr>
    </w:p>
    <w:p w:rsidR="002324A1" w:rsidRPr="0080044C" w:rsidRDefault="002324A1" w:rsidP="002324A1">
      <w:pPr>
        <w:pStyle w:val="Sinespaciado"/>
        <w:jc w:val="center"/>
        <w:rPr>
          <w:rFonts w:ascii="Arial" w:hAnsi="Arial" w:cs="Arial"/>
          <w:b/>
          <w:sz w:val="24"/>
          <w:szCs w:val="24"/>
        </w:rPr>
      </w:pPr>
      <w:r w:rsidRPr="0080044C">
        <w:rPr>
          <w:rFonts w:ascii="Arial" w:hAnsi="Arial" w:cs="Arial"/>
          <w:b/>
          <w:sz w:val="24"/>
          <w:szCs w:val="24"/>
        </w:rPr>
        <w:t>DECRETA:</w:t>
      </w:r>
    </w:p>
    <w:p w:rsidR="002324A1" w:rsidRPr="0080044C" w:rsidRDefault="002324A1" w:rsidP="002324A1">
      <w:pPr>
        <w:pStyle w:val="Sinespaciado"/>
        <w:jc w:val="center"/>
        <w:rPr>
          <w:rFonts w:ascii="Arial" w:hAnsi="Arial" w:cs="Arial"/>
          <w:b/>
          <w:sz w:val="24"/>
          <w:szCs w:val="24"/>
        </w:rPr>
      </w:pPr>
    </w:p>
    <w:p w:rsidR="002324A1" w:rsidRPr="0080044C" w:rsidRDefault="002324A1" w:rsidP="002324A1">
      <w:pPr>
        <w:pStyle w:val="Sinespaciado"/>
        <w:jc w:val="both"/>
        <w:rPr>
          <w:rFonts w:ascii="Arial" w:hAnsi="Arial" w:cs="Arial"/>
          <w:sz w:val="24"/>
          <w:szCs w:val="24"/>
        </w:rPr>
      </w:pPr>
      <w:r w:rsidRPr="0080044C">
        <w:rPr>
          <w:rFonts w:ascii="Arial" w:hAnsi="Arial" w:cs="Arial"/>
          <w:b/>
          <w:sz w:val="24"/>
          <w:szCs w:val="24"/>
        </w:rPr>
        <w:t>Artículo 1.</w:t>
      </w:r>
      <w:r w:rsidRPr="0080044C">
        <w:rPr>
          <w:rFonts w:ascii="Arial" w:hAnsi="Arial" w:cs="Arial"/>
          <w:sz w:val="24"/>
          <w:szCs w:val="24"/>
        </w:rPr>
        <w:t xml:space="preserve"> Adiciónanse dos parágrafos al artículo 307 de la Ley 906 de 2004, del siguiente tenor:</w:t>
      </w:r>
    </w:p>
    <w:p w:rsidR="009943CA" w:rsidRPr="00B407CD" w:rsidRDefault="009943CA" w:rsidP="002324A1">
      <w:pPr>
        <w:pStyle w:val="Sinespaciado"/>
        <w:jc w:val="both"/>
        <w:rPr>
          <w:rFonts w:ascii="Arial" w:hAnsi="Arial" w:cs="Arial"/>
          <w:sz w:val="12"/>
          <w:szCs w:val="24"/>
        </w:rPr>
      </w:pPr>
    </w:p>
    <w:p w:rsidR="009943CA" w:rsidRPr="0080044C" w:rsidRDefault="009943CA" w:rsidP="002324A1">
      <w:pPr>
        <w:pStyle w:val="Sinespaciado"/>
        <w:jc w:val="both"/>
        <w:rPr>
          <w:rFonts w:ascii="Arial" w:hAnsi="Arial" w:cs="Arial"/>
          <w:sz w:val="24"/>
          <w:szCs w:val="24"/>
        </w:rPr>
      </w:pPr>
      <w:r w:rsidRPr="0080044C">
        <w:rPr>
          <w:rFonts w:ascii="Arial" w:hAnsi="Arial" w:cs="Arial"/>
          <w:sz w:val="24"/>
          <w:szCs w:val="24"/>
        </w:rPr>
        <w:t>(…)</w:t>
      </w:r>
    </w:p>
    <w:p w:rsidR="002324A1" w:rsidRPr="00B407CD" w:rsidRDefault="002324A1" w:rsidP="002324A1">
      <w:pPr>
        <w:pStyle w:val="Sinespaciado"/>
        <w:jc w:val="both"/>
        <w:rPr>
          <w:rFonts w:ascii="Arial" w:hAnsi="Arial" w:cs="Arial"/>
          <w:sz w:val="16"/>
          <w:szCs w:val="24"/>
        </w:rPr>
      </w:pPr>
    </w:p>
    <w:p w:rsidR="002324A1" w:rsidRPr="0080044C" w:rsidRDefault="002324A1" w:rsidP="002324A1">
      <w:pPr>
        <w:pStyle w:val="Sinespaciado"/>
        <w:jc w:val="both"/>
        <w:rPr>
          <w:rFonts w:ascii="Arial" w:hAnsi="Arial" w:cs="Arial"/>
          <w:sz w:val="24"/>
          <w:szCs w:val="24"/>
        </w:rPr>
      </w:pPr>
      <w:r w:rsidRPr="0080044C">
        <w:rPr>
          <w:rFonts w:ascii="Arial" w:hAnsi="Arial" w:cs="Arial"/>
          <w:sz w:val="24"/>
          <w:szCs w:val="24"/>
        </w:rPr>
        <w:t xml:space="preserve">Parágrafo 1º.-. Salvo lo previsto en los parágrafos 2 y 3 del artículo 317 del Código de Procedimiento Penal (Ley 906 de 2004), el término de las medidas de aseguramiento privativas de la libertad no podrá exceder de un (1) año. Cuando el proceso se surta ante la justicia penal especializada, o sean tres (3) o más los acusados contra quienes estuviere vigente la detención preventiva, o se trate de investigación o juicio de actos de corrupción de los que trata la Ley 1474 de 2011, dicho término podrá prorrogarse, a solicitud del fiscal o del apoderado de la víctima, hasta </w:t>
      </w:r>
      <w:r w:rsidR="00247892" w:rsidRPr="0080044C">
        <w:rPr>
          <w:rFonts w:ascii="Arial" w:hAnsi="Arial" w:cs="Arial"/>
          <w:sz w:val="24"/>
          <w:szCs w:val="24"/>
        </w:rPr>
        <w:t>tres veces</w:t>
      </w:r>
      <w:r w:rsidR="00247892" w:rsidRPr="0080044C">
        <w:rPr>
          <w:rFonts w:ascii="Arial" w:hAnsi="Arial" w:cs="Arial"/>
          <w:b/>
          <w:sz w:val="24"/>
          <w:szCs w:val="24"/>
        </w:rPr>
        <w:t xml:space="preserve"> </w:t>
      </w:r>
      <w:r w:rsidR="00BB5EBB" w:rsidRPr="0080044C">
        <w:rPr>
          <w:rFonts w:ascii="Arial" w:hAnsi="Arial" w:cs="Arial"/>
          <w:sz w:val="24"/>
          <w:szCs w:val="24"/>
        </w:rPr>
        <w:t xml:space="preserve">el </w:t>
      </w:r>
      <w:r w:rsidRPr="0080044C">
        <w:rPr>
          <w:rFonts w:ascii="Arial" w:hAnsi="Arial" w:cs="Arial"/>
          <w:sz w:val="24"/>
          <w:szCs w:val="24"/>
        </w:rPr>
        <w:t>mismo término inicial. Vencido el término, el juez de control de garantías, a petición de la fiscalía o del apoderado de la víctima podrá sustituir la medida de aseguramiento privativa de la libertad de que se trate, por otra u otras medidas de aseguramiento de que trata el presente artículo.</w:t>
      </w:r>
    </w:p>
    <w:p w:rsidR="002324A1" w:rsidRPr="00B407CD" w:rsidRDefault="002324A1" w:rsidP="002324A1">
      <w:pPr>
        <w:pStyle w:val="Sinespaciado"/>
        <w:jc w:val="both"/>
        <w:rPr>
          <w:rFonts w:ascii="Arial" w:hAnsi="Arial" w:cs="Arial"/>
          <w:sz w:val="14"/>
          <w:szCs w:val="24"/>
        </w:rPr>
      </w:pPr>
    </w:p>
    <w:p w:rsidR="002324A1" w:rsidRPr="0080044C" w:rsidRDefault="002324A1" w:rsidP="002324A1">
      <w:pPr>
        <w:pStyle w:val="Sinespaciado"/>
        <w:jc w:val="both"/>
        <w:rPr>
          <w:rFonts w:ascii="Arial" w:hAnsi="Arial" w:cs="Arial"/>
          <w:sz w:val="24"/>
          <w:szCs w:val="24"/>
        </w:rPr>
      </w:pPr>
      <w:r w:rsidRPr="0080044C">
        <w:rPr>
          <w:rFonts w:ascii="Arial" w:hAnsi="Arial" w:cs="Arial"/>
          <w:sz w:val="24"/>
          <w:szCs w:val="24"/>
        </w:rPr>
        <w:t>Parágrafo 2º.- Las medidas de aseguramiento privativas de la libertad sólo podrán imponerse, cuando quien las solicita pruebe ante el Juez de Control de Garantías que las no privativas de la libertad resultan insuficientes para garantizar el cumplimiento de los fines de la medida de aseguramiento</w:t>
      </w:r>
      <w:r w:rsidR="009943CA" w:rsidRPr="0080044C">
        <w:rPr>
          <w:rFonts w:ascii="Arial" w:hAnsi="Arial" w:cs="Arial"/>
          <w:sz w:val="24"/>
          <w:szCs w:val="24"/>
        </w:rPr>
        <w:t>.</w:t>
      </w:r>
    </w:p>
    <w:p w:rsidR="002324A1" w:rsidRPr="00B407CD" w:rsidRDefault="002324A1" w:rsidP="002324A1">
      <w:pPr>
        <w:pStyle w:val="Sinespaciado"/>
        <w:jc w:val="both"/>
        <w:rPr>
          <w:rFonts w:ascii="Arial" w:hAnsi="Arial" w:cs="Arial"/>
          <w:sz w:val="20"/>
          <w:szCs w:val="24"/>
        </w:rPr>
      </w:pPr>
    </w:p>
    <w:p w:rsidR="002324A1" w:rsidRPr="0080044C" w:rsidRDefault="002324A1" w:rsidP="002324A1">
      <w:pPr>
        <w:pStyle w:val="Sinespaciado"/>
        <w:jc w:val="both"/>
        <w:rPr>
          <w:rFonts w:ascii="Arial" w:hAnsi="Arial" w:cs="Arial"/>
          <w:sz w:val="24"/>
          <w:szCs w:val="24"/>
        </w:rPr>
      </w:pPr>
      <w:r w:rsidRPr="0080044C">
        <w:rPr>
          <w:rFonts w:ascii="Arial" w:hAnsi="Arial" w:cs="Arial"/>
          <w:b/>
          <w:sz w:val="24"/>
          <w:szCs w:val="24"/>
        </w:rPr>
        <w:t>Artículo 2.</w:t>
      </w:r>
      <w:r w:rsidRPr="0080044C">
        <w:rPr>
          <w:rFonts w:ascii="Arial" w:hAnsi="Arial" w:cs="Arial"/>
          <w:sz w:val="24"/>
          <w:szCs w:val="24"/>
        </w:rPr>
        <w:t xml:space="preserve"> Adiciónase un parágrafo al artículo 308 de la Ley 906 de 2004, del siguiente tenor:</w:t>
      </w:r>
    </w:p>
    <w:p w:rsidR="002324A1" w:rsidRPr="00B407CD" w:rsidRDefault="002324A1" w:rsidP="002324A1">
      <w:pPr>
        <w:pStyle w:val="Sinespaciado"/>
        <w:jc w:val="both"/>
        <w:rPr>
          <w:rFonts w:ascii="Arial" w:hAnsi="Arial" w:cs="Arial"/>
          <w:sz w:val="14"/>
          <w:szCs w:val="24"/>
        </w:rPr>
      </w:pPr>
    </w:p>
    <w:p w:rsidR="00A2755B" w:rsidRPr="00B407CD" w:rsidRDefault="00A2755B" w:rsidP="00A2755B">
      <w:pPr>
        <w:pStyle w:val="Sinespaciado"/>
        <w:jc w:val="both"/>
        <w:rPr>
          <w:rFonts w:ascii="Arial" w:hAnsi="Arial" w:cs="Arial"/>
          <w:szCs w:val="24"/>
        </w:rPr>
      </w:pPr>
      <w:r w:rsidRPr="0080044C">
        <w:rPr>
          <w:rFonts w:ascii="Arial" w:hAnsi="Arial" w:cs="Arial"/>
          <w:sz w:val="24"/>
          <w:szCs w:val="24"/>
        </w:rPr>
        <w:t>(…)</w:t>
      </w:r>
    </w:p>
    <w:p w:rsidR="00A2755B" w:rsidRPr="00B407CD" w:rsidRDefault="00A2755B" w:rsidP="002324A1">
      <w:pPr>
        <w:pStyle w:val="Sinespaciado"/>
        <w:jc w:val="both"/>
        <w:rPr>
          <w:rFonts w:ascii="Arial" w:hAnsi="Arial" w:cs="Arial"/>
          <w:sz w:val="16"/>
          <w:szCs w:val="24"/>
        </w:rPr>
      </w:pPr>
    </w:p>
    <w:p w:rsidR="002324A1" w:rsidRPr="0080044C" w:rsidRDefault="002324A1" w:rsidP="002324A1">
      <w:pPr>
        <w:pStyle w:val="Sinespaciado"/>
        <w:jc w:val="both"/>
        <w:rPr>
          <w:rFonts w:ascii="Arial" w:hAnsi="Arial" w:cs="Arial"/>
          <w:sz w:val="24"/>
          <w:szCs w:val="24"/>
        </w:rPr>
      </w:pPr>
      <w:r w:rsidRPr="0080044C">
        <w:rPr>
          <w:rFonts w:ascii="Arial" w:hAnsi="Arial" w:cs="Arial"/>
          <w:sz w:val="24"/>
          <w:szCs w:val="24"/>
        </w:rPr>
        <w:t>Parágrafo.- La calificación jurídica provisional contra el procesado no será, en sí misma, determinante para inferir el riesgo de obstrucción de la justicia, el peligro para la seguridad de la sociedad o de la víctima y la probabilidad de que el imputado no comparezca al proceso o de que no cumplirá la sentencia. El juez de control de garantías deberá valorar de manera suficiente si a futuro se configurarán los requisitos para decretar la medida de aseguramiento, sin tener en consideración exclusivamente la con</w:t>
      </w:r>
      <w:r w:rsidR="00A2755B" w:rsidRPr="0080044C">
        <w:rPr>
          <w:rFonts w:ascii="Arial" w:hAnsi="Arial" w:cs="Arial"/>
          <w:sz w:val="24"/>
          <w:szCs w:val="24"/>
        </w:rPr>
        <w:t>ducta punible que se investiga.</w:t>
      </w:r>
    </w:p>
    <w:p w:rsidR="002324A1" w:rsidRPr="0080044C" w:rsidRDefault="002324A1" w:rsidP="002324A1">
      <w:pPr>
        <w:pStyle w:val="Sinespaciado"/>
        <w:jc w:val="both"/>
        <w:rPr>
          <w:rFonts w:ascii="Arial" w:hAnsi="Arial" w:cs="Arial"/>
          <w:sz w:val="24"/>
          <w:szCs w:val="24"/>
        </w:rPr>
      </w:pPr>
    </w:p>
    <w:p w:rsidR="002324A1" w:rsidRPr="0080044C" w:rsidRDefault="002324A1" w:rsidP="002324A1">
      <w:pPr>
        <w:pStyle w:val="Sinespaciado"/>
        <w:jc w:val="both"/>
        <w:rPr>
          <w:rFonts w:ascii="Arial" w:hAnsi="Arial" w:cs="Arial"/>
          <w:sz w:val="24"/>
          <w:szCs w:val="24"/>
        </w:rPr>
      </w:pPr>
      <w:r w:rsidRPr="0080044C">
        <w:rPr>
          <w:rFonts w:ascii="Arial" w:hAnsi="Arial" w:cs="Arial"/>
          <w:b/>
          <w:sz w:val="24"/>
          <w:szCs w:val="24"/>
        </w:rPr>
        <w:t>Artículo 3.</w:t>
      </w:r>
      <w:r w:rsidRPr="0080044C">
        <w:rPr>
          <w:rFonts w:ascii="Arial" w:hAnsi="Arial" w:cs="Arial"/>
          <w:sz w:val="24"/>
          <w:szCs w:val="24"/>
        </w:rPr>
        <w:t xml:space="preserve"> </w:t>
      </w:r>
      <w:r w:rsidRPr="0080044C">
        <w:rPr>
          <w:rFonts w:ascii="Arial" w:hAnsi="Arial" w:cs="Arial"/>
          <w:bCs/>
          <w:sz w:val="24"/>
          <w:szCs w:val="24"/>
        </w:rPr>
        <w:t>Modifícase el artículo 310 de la Ley 906 de 2004, el cual quedará así</w:t>
      </w:r>
      <w:r w:rsidRPr="0080044C">
        <w:rPr>
          <w:rFonts w:ascii="Arial" w:hAnsi="Arial" w:cs="Arial"/>
          <w:sz w:val="24"/>
          <w:szCs w:val="24"/>
        </w:rPr>
        <w:t>:</w:t>
      </w:r>
    </w:p>
    <w:p w:rsidR="002324A1" w:rsidRPr="00B407CD" w:rsidRDefault="002324A1" w:rsidP="002324A1">
      <w:pPr>
        <w:pStyle w:val="Sinespaciado"/>
        <w:jc w:val="both"/>
        <w:rPr>
          <w:rFonts w:ascii="Arial" w:eastAsia="Times New Roman" w:hAnsi="Arial" w:cs="Arial"/>
          <w:sz w:val="14"/>
          <w:szCs w:val="24"/>
          <w:lang w:eastAsia="es-CO"/>
        </w:rPr>
      </w:pPr>
    </w:p>
    <w:p w:rsidR="002324A1" w:rsidRPr="0080044C" w:rsidRDefault="002324A1" w:rsidP="002324A1">
      <w:pPr>
        <w:pStyle w:val="Sinespaciado"/>
        <w:jc w:val="both"/>
        <w:rPr>
          <w:rFonts w:ascii="Arial" w:eastAsia="Times New Roman" w:hAnsi="Arial" w:cs="Arial"/>
          <w:sz w:val="24"/>
          <w:szCs w:val="24"/>
          <w:lang w:eastAsia="es-CO"/>
        </w:rPr>
      </w:pPr>
      <w:bookmarkStart w:id="1" w:name="310"/>
      <w:r w:rsidRPr="0080044C">
        <w:rPr>
          <w:rFonts w:ascii="Arial" w:hAnsi="Arial" w:cs="Arial"/>
          <w:b/>
          <w:bCs/>
          <w:sz w:val="24"/>
          <w:szCs w:val="24"/>
        </w:rPr>
        <w:t>ARTÍCULO 310. PELIGRO PARA LA COMUNIDAD</w:t>
      </w:r>
      <w:r w:rsidRPr="0080044C">
        <w:rPr>
          <w:rFonts w:ascii="Arial" w:hAnsi="Arial" w:cs="Arial"/>
          <w:bCs/>
          <w:sz w:val="24"/>
          <w:szCs w:val="24"/>
        </w:rPr>
        <w:t>.</w:t>
      </w:r>
      <w:bookmarkEnd w:id="1"/>
      <w:r w:rsidRPr="0080044C">
        <w:rPr>
          <w:rFonts w:ascii="Arial" w:eastAsia="Times New Roman" w:hAnsi="Arial" w:cs="Arial"/>
          <w:iCs/>
          <w:sz w:val="24"/>
          <w:szCs w:val="24"/>
          <w:lang w:val="es-ES_tradnl" w:eastAsia="es-CO"/>
        </w:rPr>
        <w:t>Para estimar si la libertad del imputado representa un peligro futuro para la seguridad de la comunidad, </w:t>
      </w:r>
      <w:r w:rsidRPr="0080044C">
        <w:rPr>
          <w:rFonts w:ascii="Arial" w:eastAsia="Times New Roman" w:hAnsi="Arial" w:cs="Arial"/>
          <w:sz w:val="24"/>
          <w:szCs w:val="24"/>
          <w:lang w:val="es-ES_tradnl" w:eastAsia="es-CO"/>
        </w:rPr>
        <w:t>además</w:t>
      </w:r>
      <w:r w:rsidRPr="0080044C">
        <w:rPr>
          <w:rFonts w:ascii="Arial" w:eastAsia="Times New Roman" w:hAnsi="Arial" w:cs="Arial"/>
          <w:sz w:val="24"/>
          <w:szCs w:val="24"/>
          <w:u w:val="single"/>
          <w:lang w:val="es-ES_tradnl" w:eastAsia="es-CO"/>
        </w:rPr>
        <w:t xml:space="preserve"> </w:t>
      </w:r>
      <w:r w:rsidRPr="0080044C">
        <w:rPr>
          <w:rFonts w:ascii="Arial" w:eastAsia="Times New Roman" w:hAnsi="Arial" w:cs="Arial"/>
          <w:sz w:val="24"/>
          <w:szCs w:val="24"/>
          <w:lang w:val="es-ES_tradnl" w:eastAsia="es-CO"/>
        </w:rPr>
        <w:t>de la gravedad y modalidad de la conducta punible y la pena imponible, </w:t>
      </w:r>
      <w:r w:rsidRPr="0080044C">
        <w:rPr>
          <w:rFonts w:ascii="Arial" w:eastAsia="Times New Roman" w:hAnsi="Arial" w:cs="Arial"/>
          <w:iCs/>
          <w:sz w:val="24"/>
          <w:szCs w:val="24"/>
          <w:lang w:val="es-ES_tradnl" w:eastAsia="es-CO"/>
        </w:rPr>
        <w:t>el juez deberá valorar las siguientes circunstancias:</w:t>
      </w:r>
    </w:p>
    <w:p w:rsidR="00B407CD" w:rsidRPr="00B407CD" w:rsidRDefault="00B407CD" w:rsidP="002324A1">
      <w:pPr>
        <w:pStyle w:val="Sinespaciado"/>
        <w:jc w:val="both"/>
        <w:rPr>
          <w:rFonts w:ascii="Arial" w:eastAsia="Times New Roman" w:hAnsi="Arial" w:cs="Arial"/>
          <w:iCs/>
          <w:sz w:val="18"/>
          <w:szCs w:val="24"/>
          <w:lang w:val="es-ES_tradnl" w:eastAsia="es-CO"/>
        </w:rPr>
      </w:pPr>
    </w:p>
    <w:p w:rsidR="002324A1" w:rsidRPr="0080044C" w:rsidRDefault="002324A1" w:rsidP="002324A1">
      <w:pPr>
        <w:pStyle w:val="Sinespaciado"/>
        <w:jc w:val="both"/>
        <w:rPr>
          <w:rFonts w:ascii="Arial" w:eastAsia="Times New Roman" w:hAnsi="Arial" w:cs="Arial"/>
          <w:sz w:val="24"/>
          <w:szCs w:val="24"/>
          <w:lang w:eastAsia="es-CO"/>
        </w:rPr>
      </w:pPr>
      <w:r w:rsidRPr="0080044C">
        <w:rPr>
          <w:rFonts w:ascii="Arial" w:eastAsia="Times New Roman" w:hAnsi="Arial" w:cs="Arial"/>
          <w:iCs/>
          <w:sz w:val="24"/>
          <w:szCs w:val="24"/>
          <w:lang w:val="es-ES" w:eastAsia="es-CO"/>
        </w:rPr>
        <w:t>1. La continuación de la actividad delictiva o su probable vinculación con organizaciones criminales.</w:t>
      </w:r>
    </w:p>
    <w:p w:rsidR="002324A1" w:rsidRPr="0080044C" w:rsidRDefault="002324A1" w:rsidP="002324A1">
      <w:pPr>
        <w:pStyle w:val="Sinespaciado"/>
        <w:jc w:val="both"/>
        <w:rPr>
          <w:rFonts w:ascii="Arial" w:eastAsia="Times New Roman" w:hAnsi="Arial" w:cs="Arial"/>
          <w:sz w:val="24"/>
          <w:szCs w:val="24"/>
          <w:lang w:eastAsia="es-CO"/>
        </w:rPr>
      </w:pPr>
      <w:r w:rsidRPr="0080044C">
        <w:rPr>
          <w:rFonts w:ascii="Arial" w:eastAsia="Times New Roman" w:hAnsi="Arial" w:cs="Arial"/>
          <w:iCs/>
          <w:sz w:val="24"/>
          <w:szCs w:val="24"/>
          <w:lang w:val="es-ES" w:eastAsia="es-CO"/>
        </w:rPr>
        <w:t>2. El número de delitos que se le imputan y la naturaleza de los mismos.</w:t>
      </w:r>
    </w:p>
    <w:p w:rsidR="002324A1" w:rsidRPr="0080044C" w:rsidRDefault="002324A1" w:rsidP="002324A1">
      <w:pPr>
        <w:pStyle w:val="Sinespaciado"/>
        <w:jc w:val="both"/>
        <w:rPr>
          <w:rFonts w:ascii="Arial" w:eastAsia="Times New Roman" w:hAnsi="Arial" w:cs="Arial"/>
          <w:sz w:val="24"/>
          <w:szCs w:val="24"/>
          <w:lang w:eastAsia="es-CO"/>
        </w:rPr>
      </w:pPr>
      <w:r w:rsidRPr="0080044C">
        <w:rPr>
          <w:rFonts w:ascii="Arial" w:eastAsia="Times New Roman" w:hAnsi="Arial" w:cs="Arial"/>
          <w:iCs/>
          <w:sz w:val="24"/>
          <w:szCs w:val="24"/>
          <w:lang w:val="es-ES" w:eastAsia="es-CO"/>
        </w:rPr>
        <w:t>3. El hecho de estar disfrutando de un mecanismo sustitutivo de la pena privativa de la libertad, por delito doloso o preterintencional.</w:t>
      </w:r>
    </w:p>
    <w:p w:rsidR="002324A1" w:rsidRPr="0080044C" w:rsidRDefault="002324A1" w:rsidP="002324A1">
      <w:pPr>
        <w:pStyle w:val="Sinespaciado"/>
        <w:jc w:val="both"/>
        <w:rPr>
          <w:rFonts w:ascii="Arial" w:eastAsia="Times New Roman" w:hAnsi="Arial" w:cs="Arial"/>
          <w:sz w:val="24"/>
          <w:szCs w:val="24"/>
          <w:lang w:eastAsia="es-CO"/>
        </w:rPr>
      </w:pPr>
      <w:r w:rsidRPr="0080044C">
        <w:rPr>
          <w:rFonts w:ascii="Arial" w:eastAsia="Times New Roman" w:hAnsi="Arial" w:cs="Arial"/>
          <w:iCs/>
          <w:sz w:val="24"/>
          <w:szCs w:val="24"/>
          <w:lang w:val="es-ES" w:eastAsia="es-CO"/>
        </w:rPr>
        <w:t>4. La existencia de sentencias condenatorias vigentes por delito doloso o preterintencional.</w:t>
      </w:r>
    </w:p>
    <w:p w:rsidR="002324A1" w:rsidRPr="0080044C" w:rsidRDefault="002324A1" w:rsidP="002324A1">
      <w:pPr>
        <w:pStyle w:val="Sinespaciado"/>
        <w:jc w:val="both"/>
        <w:rPr>
          <w:rFonts w:ascii="Arial" w:eastAsia="Times New Roman" w:hAnsi="Arial" w:cs="Arial"/>
          <w:sz w:val="24"/>
          <w:szCs w:val="24"/>
          <w:lang w:eastAsia="es-CO"/>
        </w:rPr>
      </w:pPr>
      <w:r w:rsidRPr="0080044C">
        <w:rPr>
          <w:rFonts w:ascii="Arial" w:eastAsia="Times New Roman" w:hAnsi="Arial" w:cs="Arial"/>
          <w:iCs/>
          <w:sz w:val="24"/>
          <w:szCs w:val="24"/>
          <w:lang w:val="es-ES" w:eastAsia="es-CO"/>
        </w:rPr>
        <w:t>5. Cuando se utilicen armas de fuego o armas blancas.</w:t>
      </w:r>
    </w:p>
    <w:p w:rsidR="002324A1" w:rsidRPr="0080044C" w:rsidRDefault="002324A1" w:rsidP="002324A1">
      <w:pPr>
        <w:pStyle w:val="Sinespaciado"/>
        <w:jc w:val="both"/>
        <w:rPr>
          <w:rFonts w:ascii="Arial" w:eastAsia="Times New Roman" w:hAnsi="Arial" w:cs="Arial"/>
          <w:sz w:val="24"/>
          <w:szCs w:val="24"/>
          <w:lang w:eastAsia="es-CO"/>
        </w:rPr>
      </w:pPr>
      <w:r w:rsidRPr="0080044C">
        <w:rPr>
          <w:rFonts w:ascii="Arial" w:eastAsia="Times New Roman" w:hAnsi="Arial" w:cs="Arial"/>
          <w:iCs/>
          <w:sz w:val="24"/>
          <w:szCs w:val="24"/>
          <w:lang w:val="es-ES" w:eastAsia="es-CO"/>
        </w:rPr>
        <w:t>6. Cuando el punible sea por abuso sexual con menor de 14 años.</w:t>
      </w:r>
    </w:p>
    <w:p w:rsidR="002324A1" w:rsidRPr="0080044C" w:rsidRDefault="002324A1" w:rsidP="002324A1">
      <w:pPr>
        <w:pStyle w:val="Sinespaciado"/>
        <w:jc w:val="both"/>
        <w:rPr>
          <w:rFonts w:ascii="Arial" w:eastAsia="Times New Roman" w:hAnsi="Arial" w:cs="Arial"/>
          <w:sz w:val="24"/>
          <w:szCs w:val="24"/>
          <w:lang w:eastAsia="es-CO"/>
        </w:rPr>
      </w:pPr>
      <w:r w:rsidRPr="0080044C">
        <w:rPr>
          <w:rFonts w:ascii="Arial" w:eastAsia="Times New Roman" w:hAnsi="Arial" w:cs="Arial"/>
          <w:iCs/>
          <w:sz w:val="24"/>
          <w:szCs w:val="24"/>
          <w:lang w:val="es-ES" w:eastAsia="es-CO"/>
        </w:rPr>
        <w:t>7. Cuando hagan parte o pertenezca a un gru</w:t>
      </w:r>
      <w:r w:rsidR="00A2755B" w:rsidRPr="0080044C">
        <w:rPr>
          <w:rFonts w:ascii="Arial" w:eastAsia="Times New Roman" w:hAnsi="Arial" w:cs="Arial"/>
          <w:iCs/>
          <w:sz w:val="24"/>
          <w:szCs w:val="24"/>
          <w:lang w:val="es-ES" w:eastAsia="es-CO"/>
        </w:rPr>
        <w:t>po de delincuencia organizada.</w:t>
      </w:r>
    </w:p>
    <w:p w:rsidR="002324A1" w:rsidRPr="0080044C" w:rsidRDefault="002324A1" w:rsidP="002324A1">
      <w:pPr>
        <w:pStyle w:val="Sinespaciado"/>
        <w:jc w:val="both"/>
        <w:rPr>
          <w:rFonts w:ascii="Arial" w:hAnsi="Arial" w:cs="Arial"/>
          <w:sz w:val="24"/>
          <w:szCs w:val="24"/>
        </w:rPr>
      </w:pPr>
    </w:p>
    <w:p w:rsidR="002324A1" w:rsidRPr="0080044C" w:rsidRDefault="002324A1" w:rsidP="002324A1">
      <w:pPr>
        <w:pStyle w:val="Sinespaciado"/>
        <w:jc w:val="both"/>
        <w:rPr>
          <w:rFonts w:ascii="Arial" w:hAnsi="Arial" w:cs="Arial"/>
          <w:sz w:val="24"/>
          <w:szCs w:val="24"/>
        </w:rPr>
      </w:pPr>
      <w:r w:rsidRPr="0080044C">
        <w:rPr>
          <w:rFonts w:ascii="Arial" w:hAnsi="Arial" w:cs="Arial"/>
          <w:b/>
          <w:sz w:val="24"/>
          <w:szCs w:val="24"/>
        </w:rPr>
        <w:t>Artículo 4.</w:t>
      </w:r>
      <w:r w:rsidRPr="0080044C">
        <w:rPr>
          <w:rFonts w:ascii="Arial" w:hAnsi="Arial" w:cs="Arial"/>
          <w:sz w:val="24"/>
          <w:szCs w:val="24"/>
        </w:rPr>
        <w:t xml:space="preserve"> Modifícase el artículo 317 de la Ley 906 de 2004, el cual quedará así:</w:t>
      </w:r>
    </w:p>
    <w:p w:rsidR="00A2755B" w:rsidRPr="00B407CD" w:rsidRDefault="00A2755B" w:rsidP="002324A1">
      <w:pPr>
        <w:pStyle w:val="Sinespaciado"/>
        <w:jc w:val="both"/>
        <w:rPr>
          <w:rFonts w:ascii="Arial" w:hAnsi="Arial" w:cs="Arial"/>
          <w:sz w:val="14"/>
          <w:szCs w:val="24"/>
        </w:rPr>
      </w:pPr>
    </w:p>
    <w:p w:rsidR="002324A1" w:rsidRPr="0080044C" w:rsidRDefault="002324A1" w:rsidP="002324A1">
      <w:pPr>
        <w:pStyle w:val="Sinespaciado"/>
        <w:jc w:val="both"/>
        <w:rPr>
          <w:rFonts w:ascii="Arial" w:eastAsia="Times New Roman" w:hAnsi="Arial" w:cs="Arial"/>
          <w:sz w:val="24"/>
          <w:szCs w:val="24"/>
          <w:lang w:eastAsia="es-ES"/>
        </w:rPr>
      </w:pPr>
      <w:r w:rsidRPr="0080044C">
        <w:rPr>
          <w:rFonts w:ascii="Arial" w:eastAsia="Times New Roman" w:hAnsi="Arial" w:cs="Arial"/>
          <w:b/>
          <w:bCs/>
          <w:sz w:val="24"/>
          <w:szCs w:val="24"/>
          <w:lang w:eastAsia="es-ES"/>
        </w:rPr>
        <w:t>ARTÍCULO 317. CAUSALES DE LIBERTAD</w:t>
      </w:r>
      <w:r w:rsidRPr="0080044C">
        <w:rPr>
          <w:rFonts w:ascii="Arial" w:eastAsia="Times New Roman" w:hAnsi="Arial" w:cs="Arial"/>
          <w:bCs/>
          <w:sz w:val="24"/>
          <w:szCs w:val="24"/>
          <w:lang w:eastAsia="es-ES"/>
        </w:rPr>
        <w:t>.</w:t>
      </w:r>
      <w:bookmarkStart w:id="2" w:name="317"/>
      <w:bookmarkEnd w:id="2"/>
      <w:r w:rsidRPr="0080044C">
        <w:rPr>
          <w:rFonts w:ascii="Arial" w:eastAsia="Times New Roman" w:hAnsi="Arial" w:cs="Arial"/>
          <w:sz w:val="24"/>
          <w:szCs w:val="24"/>
          <w:lang w:eastAsia="es-ES"/>
        </w:rPr>
        <w:t> Las medidas de aseguramiento indicadas en los anteriores artículos tendrán vigencia durante toda la actuación, sin perjuicio de lo establecido en el parágrafo 1 del artículo 307 del presente código sobre las medidas de aseguramiento privativas de la libertad. La libertad del imputado o acusado se cumplirá de inmediato y solo procederá en los siguientes eventos:</w:t>
      </w:r>
    </w:p>
    <w:p w:rsidR="002324A1" w:rsidRPr="0080044C" w:rsidRDefault="002324A1" w:rsidP="002324A1">
      <w:pPr>
        <w:pStyle w:val="Sinespaciado"/>
        <w:jc w:val="both"/>
        <w:rPr>
          <w:rFonts w:ascii="Arial" w:eastAsia="Times New Roman" w:hAnsi="Arial" w:cs="Arial"/>
          <w:sz w:val="24"/>
          <w:szCs w:val="24"/>
          <w:lang w:eastAsia="es-ES"/>
        </w:rPr>
      </w:pPr>
    </w:p>
    <w:p w:rsidR="002324A1" w:rsidRPr="0080044C" w:rsidRDefault="002324A1" w:rsidP="002324A1">
      <w:pPr>
        <w:pStyle w:val="Sinespaciado"/>
        <w:jc w:val="both"/>
        <w:rPr>
          <w:rFonts w:ascii="Arial" w:hAnsi="Arial" w:cs="Arial"/>
          <w:sz w:val="24"/>
          <w:szCs w:val="24"/>
        </w:rPr>
      </w:pPr>
      <w:r w:rsidRPr="0080044C">
        <w:rPr>
          <w:rFonts w:ascii="Arial" w:hAnsi="Arial" w:cs="Arial"/>
          <w:b/>
          <w:sz w:val="24"/>
          <w:szCs w:val="24"/>
        </w:rPr>
        <w:t>1.</w:t>
      </w:r>
      <w:r w:rsidRPr="0080044C">
        <w:rPr>
          <w:rFonts w:ascii="Arial" w:hAnsi="Arial" w:cs="Arial"/>
          <w:sz w:val="24"/>
          <w:szCs w:val="24"/>
        </w:rPr>
        <w:t xml:space="preserve"> Cuando se haya cumplido la pena según la determinación anticipada que para este efecto se haga, o se haya decretado la preclusión, o se haya absuelto al acusado.</w:t>
      </w:r>
    </w:p>
    <w:p w:rsidR="002324A1" w:rsidRPr="0080044C" w:rsidRDefault="002324A1" w:rsidP="002324A1">
      <w:pPr>
        <w:pStyle w:val="Sinespaciado"/>
        <w:jc w:val="both"/>
        <w:rPr>
          <w:rFonts w:ascii="Arial" w:hAnsi="Arial" w:cs="Arial"/>
          <w:sz w:val="24"/>
          <w:szCs w:val="24"/>
        </w:rPr>
      </w:pPr>
      <w:r w:rsidRPr="0080044C">
        <w:rPr>
          <w:rFonts w:ascii="Arial" w:hAnsi="Arial" w:cs="Arial"/>
          <w:b/>
          <w:sz w:val="24"/>
          <w:szCs w:val="24"/>
        </w:rPr>
        <w:t>2.</w:t>
      </w:r>
      <w:r w:rsidRPr="0080044C">
        <w:rPr>
          <w:rFonts w:ascii="Arial" w:hAnsi="Arial" w:cs="Arial"/>
          <w:sz w:val="24"/>
          <w:szCs w:val="24"/>
        </w:rPr>
        <w:t xml:space="preserve"> Como consecuencia de la aplicación del Principio de Oportunidad.</w:t>
      </w:r>
    </w:p>
    <w:p w:rsidR="002324A1" w:rsidRPr="0080044C" w:rsidRDefault="002324A1" w:rsidP="002324A1">
      <w:pPr>
        <w:pStyle w:val="Sinespaciado"/>
        <w:jc w:val="both"/>
        <w:rPr>
          <w:rFonts w:ascii="Arial" w:hAnsi="Arial" w:cs="Arial"/>
          <w:sz w:val="24"/>
          <w:szCs w:val="24"/>
        </w:rPr>
      </w:pPr>
      <w:r w:rsidRPr="0080044C">
        <w:rPr>
          <w:rFonts w:ascii="Arial" w:hAnsi="Arial" w:cs="Arial"/>
          <w:b/>
          <w:sz w:val="24"/>
          <w:szCs w:val="24"/>
        </w:rPr>
        <w:t>3.</w:t>
      </w:r>
      <w:r w:rsidRPr="0080044C">
        <w:rPr>
          <w:rFonts w:ascii="Arial" w:hAnsi="Arial" w:cs="Arial"/>
          <w:sz w:val="24"/>
          <w:szCs w:val="24"/>
        </w:rPr>
        <w:t xml:space="preserve"> Como consecuencia de las cláusulas del acuerdo cuando haya sido aceptado por el Juez de Conocimiento.</w:t>
      </w:r>
    </w:p>
    <w:p w:rsidR="002324A1" w:rsidRPr="0080044C" w:rsidRDefault="002324A1" w:rsidP="002324A1">
      <w:pPr>
        <w:pStyle w:val="Sinespaciado"/>
        <w:jc w:val="both"/>
        <w:rPr>
          <w:rFonts w:ascii="Arial" w:hAnsi="Arial" w:cs="Arial"/>
          <w:sz w:val="24"/>
          <w:szCs w:val="24"/>
        </w:rPr>
      </w:pPr>
      <w:r w:rsidRPr="0080044C">
        <w:rPr>
          <w:rFonts w:ascii="Arial" w:hAnsi="Arial" w:cs="Arial"/>
          <w:b/>
          <w:sz w:val="24"/>
          <w:szCs w:val="24"/>
        </w:rPr>
        <w:t>4.</w:t>
      </w:r>
      <w:r w:rsidRPr="0080044C">
        <w:rPr>
          <w:rFonts w:ascii="Arial" w:hAnsi="Arial" w:cs="Arial"/>
          <w:sz w:val="24"/>
          <w:szCs w:val="24"/>
        </w:rPr>
        <w:t xml:space="preserve"> Cuando transcurridos sesenta (60) días contados a partir de la fecha de imputación no se hubiere presentado el escrito de acusación o solicitado la preclusión, conforme a lo dispuesto en el artículo 294.</w:t>
      </w:r>
    </w:p>
    <w:p w:rsidR="002324A1" w:rsidRPr="0080044C" w:rsidRDefault="002324A1" w:rsidP="002324A1">
      <w:pPr>
        <w:pStyle w:val="Sinespaciado"/>
        <w:jc w:val="both"/>
        <w:rPr>
          <w:rFonts w:ascii="Arial" w:eastAsia="Times New Roman" w:hAnsi="Arial" w:cs="Arial"/>
          <w:sz w:val="24"/>
          <w:szCs w:val="24"/>
          <w:lang w:eastAsia="es-ES"/>
        </w:rPr>
      </w:pPr>
      <w:r w:rsidRPr="0080044C">
        <w:rPr>
          <w:rFonts w:ascii="Arial" w:hAnsi="Arial" w:cs="Arial"/>
          <w:b/>
          <w:sz w:val="24"/>
          <w:szCs w:val="24"/>
        </w:rPr>
        <w:t>5.</w:t>
      </w:r>
      <w:r w:rsidRPr="0080044C">
        <w:rPr>
          <w:rFonts w:ascii="Arial" w:hAnsi="Arial" w:cs="Arial"/>
          <w:sz w:val="24"/>
          <w:szCs w:val="24"/>
        </w:rPr>
        <w:t xml:space="preserve"> </w:t>
      </w:r>
      <w:r w:rsidRPr="0080044C">
        <w:rPr>
          <w:rFonts w:ascii="Arial" w:eastAsia="Times New Roman" w:hAnsi="Arial" w:cs="Arial"/>
          <w:sz w:val="24"/>
          <w:szCs w:val="24"/>
          <w:lang w:eastAsia="es-ES"/>
        </w:rPr>
        <w:t>Cuando transcurridos ciento veinte (120) días contados a partir de la fecha de presentación del escrito de acusación, no se haya dado inicio a la audiencia de juicio.</w:t>
      </w:r>
    </w:p>
    <w:p w:rsidR="002324A1" w:rsidRPr="0080044C" w:rsidRDefault="002324A1" w:rsidP="002324A1">
      <w:pPr>
        <w:pStyle w:val="Sinespaciado"/>
        <w:jc w:val="both"/>
        <w:rPr>
          <w:rFonts w:ascii="Arial" w:hAnsi="Arial" w:cs="Arial"/>
          <w:sz w:val="24"/>
          <w:szCs w:val="24"/>
        </w:rPr>
      </w:pPr>
      <w:r w:rsidRPr="0080044C">
        <w:rPr>
          <w:rFonts w:ascii="Arial" w:hAnsi="Arial" w:cs="Arial"/>
          <w:b/>
          <w:sz w:val="24"/>
          <w:szCs w:val="24"/>
        </w:rPr>
        <w:t>6.</w:t>
      </w:r>
      <w:r w:rsidRPr="0080044C">
        <w:rPr>
          <w:rFonts w:ascii="Arial" w:hAnsi="Arial" w:cs="Arial"/>
          <w:sz w:val="24"/>
          <w:szCs w:val="24"/>
        </w:rPr>
        <w:t xml:space="preserve"> Cuando transcurridos ciento cincuenta (150) días contados a partir de la fecha de inicio de la audiencia de juicio, no se haya celebrado la audiencia de lectura de fallo o su equivalente.</w:t>
      </w:r>
    </w:p>
    <w:p w:rsidR="002324A1" w:rsidRPr="00B407CD" w:rsidRDefault="002324A1" w:rsidP="002324A1">
      <w:pPr>
        <w:pStyle w:val="Sinespaciado"/>
        <w:jc w:val="both"/>
        <w:rPr>
          <w:rFonts w:ascii="Arial" w:hAnsi="Arial" w:cs="Arial"/>
          <w:sz w:val="18"/>
          <w:szCs w:val="24"/>
        </w:rPr>
      </w:pPr>
    </w:p>
    <w:p w:rsidR="002324A1" w:rsidRPr="0080044C" w:rsidRDefault="002324A1" w:rsidP="002324A1">
      <w:pPr>
        <w:pStyle w:val="Sinespaciado"/>
        <w:jc w:val="both"/>
        <w:rPr>
          <w:rFonts w:ascii="Arial" w:hAnsi="Arial" w:cs="Arial"/>
          <w:sz w:val="24"/>
          <w:szCs w:val="24"/>
        </w:rPr>
      </w:pPr>
      <w:r w:rsidRPr="0080044C">
        <w:rPr>
          <w:rFonts w:ascii="Arial" w:hAnsi="Arial" w:cs="Arial"/>
          <w:sz w:val="24"/>
          <w:szCs w:val="24"/>
        </w:rPr>
        <w:t>Parágrafo 1º.-  Los términos dispuestos en los numerales 4, 5 y 6 del presente artículo se incrementarán por el mismo término inicial cuando el proceso se surta ante la justicia penal especializada, o sean tres (3) o más los imputados o acusados, o se trate de investigación o juicio de actos de corrupción de que trata la Ley 1474 de 2011.</w:t>
      </w:r>
    </w:p>
    <w:p w:rsidR="002324A1" w:rsidRPr="00B407CD" w:rsidRDefault="002324A1" w:rsidP="002324A1">
      <w:pPr>
        <w:pStyle w:val="Sinespaciado"/>
        <w:jc w:val="both"/>
        <w:rPr>
          <w:rFonts w:ascii="Arial" w:hAnsi="Arial" w:cs="Arial"/>
          <w:sz w:val="20"/>
          <w:szCs w:val="24"/>
        </w:rPr>
      </w:pPr>
    </w:p>
    <w:p w:rsidR="002324A1" w:rsidRPr="0080044C" w:rsidRDefault="002324A1" w:rsidP="002324A1">
      <w:pPr>
        <w:pStyle w:val="Sinespaciado"/>
        <w:jc w:val="both"/>
        <w:rPr>
          <w:rFonts w:ascii="Arial" w:hAnsi="Arial" w:cs="Arial"/>
          <w:sz w:val="24"/>
          <w:szCs w:val="24"/>
          <w:u w:val="single"/>
        </w:rPr>
      </w:pPr>
      <w:r w:rsidRPr="0080044C">
        <w:rPr>
          <w:rFonts w:ascii="Arial" w:hAnsi="Arial" w:cs="Arial"/>
          <w:sz w:val="24"/>
          <w:szCs w:val="24"/>
        </w:rPr>
        <w:t>Parágrafo. 2º.- En los numerales 4º y 5º se restablecerán los términos cuando hubiere improbación de la aceptación de cargos, de los preacuerdos o de la aplicación del principio de oportunidad.</w:t>
      </w:r>
    </w:p>
    <w:p w:rsidR="002324A1" w:rsidRPr="00B407CD" w:rsidRDefault="002324A1" w:rsidP="002324A1">
      <w:pPr>
        <w:pStyle w:val="Sinespaciado"/>
        <w:jc w:val="both"/>
        <w:rPr>
          <w:rFonts w:ascii="Arial" w:hAnsi="Arial" w:cs="Arial"/>
          <w:sz w:val="18"/>
          <w:szCs w:val="24"/>
        </w:rPr>
      </w:pPr>
    </w:p>
    <w:p w:rsidR="002324A1" w:rsidRPr="0080044C" w:rsidRDefault="002324A1" w:rsidP="002324A1">
      <w:pPr>
        <w:pStyle w:val="Sinespaciado"/>
        <w:jc w:val="both"/>
        <w:rPr>
          <w:rFonts w:ascii="Arial" w:hAnsi="Arial" w:cs="Arial"/>
          <w:sz w:val="24"/>
          <w:szCs w:val="24"/>
        </w:rPr>
      </w:pPr>
      <w:r w:rsidRPr="0080044C">
        <w:rPr>
          <w:rFonts w:ascii="Arial" w:hAnsi="Arial" w:cs="Arial"/>
          <w:sz w:val="24"/>
          <w:szCs w:val="24"/>
        </w:rPr>
        <w:t>Parágrafo. 3º.- Cuando la audiencia de juicio oral no se haya podido iniciar o terminar por maniobras dilatorias del acusado o su defensor, no se contabilizarán dentro de los términos contenidos en los numerales 5 y 6 de este artículo, los días empleados en ellas.</w:t>
      </w:r>
    </w:p>
    <w:p w:rsidR="002324A1" w:rsidRPr="0080044C" w:rsidRDefault="002324A1" w:rsidP="002324A1">
      <w:pPr>
        <w:pStyle w:val="Sinespaciado"/>
        <w:jc w:val="both"/>
        <w:rPr>
          <w:rFonts w:ascii="Arial" w:hAnsi="Arial" w:cs="Arial"/>
          <w:sz w:val="24"/>
          <w:szCs w:val="24"/>
        </w:rPr>
      </w:pPr>
      <w:r w:rsidRPr="0080044C">
        <w:rPr>
          <w:rFonts w:ascii="Arial" w:hAnsi="Arial" w:cs="Arial"/>
          <w:sz w:val="24"/>
          <w:szCs w:val="24"/>
        </w:rPr>
        <w:t>Cuando la audiencia de juicio oral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317.</w:t>
      </w:r>
    </w:p>
    <w:p w:rsidR="002324A1" w:rsidRPr="00B407CD" w:rsidRDefault="002324A1" w:rsidP="002324A1">
      <w:pPr>
        <w:pStyle w:val="Sinespaciado"/>
        <w:jc w:val="both"/>
        <w:rPr>
          <w:rFonts w:ascii="Arial" w:hAnsi="Arial" w:cs="Arial"/>
          <w:sz w:val="14"/>
          <w:szCs w:val="24"/>
          <w:u w:val="single"/>
        </w:rPr>
      </w:pPr>
    </w:p>
    <w:p w:rsidR="002324A1" w:rsidRPr="0080044C" w:rsidRDefault="002324A1" w:rsidP="002324A1">
      <w:pPr>
        <w:pStyle w:val="Sinespaciado"/>
        <w:jc w:val="both"/>
        <w:rPr>
          <w:rFonts w:ascii="Arial" w:hAnsi="Arial" w:cs="Arial"/>
          <w:sz w:val="24"/>
          <w:szCs w:val="24"/>
        </w:rPr>
      </w:pPr>
      <w:r w:rsidRPr="0080044C">
        <w:rPr>
          <w:rFonts w:ascii="Arial" w:hAnsi="Arial" w:cs="Arial"/>
          <w:sz w:val="24"/>
          <w:szCs w:val="24"/>
        </w:rPr>
        <w:t>Artículo 5. La presente ley rige a partir de la fecha de su promulgación, salvo el artículo 1</w:t>
      </w:r>
      <w:r w:rsidR="006776C4" w:rsidRPr="0080044C">
        <w:rPr>
          <w:rFonts w:ascii="Arial" w:hAnsi="Arial" w:cs="Arial"/>
          <w:sz w:val="24"/>
          <w:szCs w:val="24"/>
        </w:rPr>
        <w:t xml:space="preserve">º </w:t>
      </w:r>
      <w:r w:rsidRPr="0080044C">
        <w:rPr>
          <w:rFonts w:ascii="Arial" w:hAnsi="Arial" w:cs="Arial"/>
          <w:sz w:val="24"/>
          <w:szCs w:val="24"/>
        </w:rPr>
        <w:t>y el numeral 6º del artículo 4º, los cuales entrarán a regir en un (1) año contado a partir de la fecha de su promulgación, y deroga todas las disposiciones que le sean contrarias.</w:t>
      </w:r>
    </w:p>
    <w:p w:rsidR="002324A1" w:rsidRPr="00B407CD" w:rsidRDefault="002324A1" w:rsidP="00294A6E">
      <w:pPr>
        <w:spacing w:after="0" w:line="240" w:lineRule="auto"/>
        <w:rPr>
          <w:rFonts w:ascii="Arial" w:hAnsi="Arial" w:cs="Arial"/>
          <w:sz w:val="16"/>
          <w:szCs w:val="24"/>
        </w:rPr>
      </w:pPr>
    </w:p>
    <w:p w:rsidR="00E81F75" w:rsidRPr="0080044C" w:rsidRDefault="00E81F75" w:rsidP="00E81F75">
      <w:pPr>
        <w:jc w:val="both"/>
        <w:rPr>
          <w:rFonts w:ascii="Arial" w:hAnsi="Arial" w:cs="Arial"/>
          <w:sz w:val="24"/>
          <w:szCs w:val="24"/>
        </w:rPr>
      </w:pPr>
      <w:r w:rsidRPr="0080044C">
        <w:rPr>
          <w:rFonts w:ascii="Arial" w:hAnsi="Arial" w:cs="Arial"/>
          <w:sz w:val="24"/>
          <w:szCs w:val="24"/>
        </w:rPr>
        <w:t xml:space="preserve">En los anteriores términos fue aprobado el presente </w:t>
      </w:r>
      <w:r w:rsidR="00D72D8F" w:rsidRPr="0080044C">
        <w:rPr>
          <w:rFonts w:ascii="Arial" w:hAnsi="Arial" w:cs="Arial"/>
          <w:sz w:val="24"/>
          <w:szCs w:val="24"/>
        </w:rPr>
        <w:t>P</w:t>
      </w:r>
      <w:r w:rsidRPr="0080044C">
        <w:rPr>
          <w:rFonts w:ascii="Arial" w:hAnsi="Arial" w:cs="Arial"/>
          <w:sz w:val="24"/>
          <w:szCs w:val="24"/>
        </w:rPr>
        <w:t xml:space="preserve">royecto de </w:t>
      </w:r>
      <w:r w:rsidR="00D72D8F" w:rsidRPr="0080044C">
        <w:rPr>
          <w:rFonts w:ascii="Arial" w:hAnsi="Arial" w:cs="Arial"/>
          <w:sz w:val="24"/>
          <w:szCs w:val="24"/>
        </w:rPr>
        <w:t>L</w:t>
      </w:r>
      <w:r w:rsidRPr="0080044C">
        <w:rPr>
          <w:rFonts w:ascii="Arial" w:hAnsi="Arial" w:cs="Arial"/>
          <w:sz w:val="24"/>
          <w:szCs w:val="24"/>
        </w:rPr>
        <w:t xml:space="preserve">ey </w:t>
      </w:r>
      <w:r w:rsidR="00D72D8F" w:rsidRPr="0080044C">
        <w:rPr>
          <w:rFonts w:ascii="Arial" w:hAnsi="Arial" w:cs="Arial"/>
          <w:sz w:val="24"/>
          <w:szCs w:val="24"/>
        </w:rPr>
        <w:t>sin</w:t>
      </w:r>
      <w:r w:rsidRPr="0080044C">
        <w:rPr>
          <w:rFonts w:ascii="Arial" w:hAnsi="Arial" w:cs="Arial"/>
          <w:sz w:val="24"/>
          <w:szCs w:val="24"/>
        </w:rPr>
        <w:t xml:space="preserve"> modificaciones, el día 0</w:t>
      </w:r>
      <w:r w:rsidR="00D72D8F" w:rsidRPr="0080044C">
        <w:rPr>
          <w:rFonts w:ascii="Arial" w:hAnsi="Arial" w:cs="Arial"/>
          <w:sz w:val="24"/>
          <w:szCs w:val="24"/>
        </w:rPr>
        <w:t>4</w:t>
      </w:r>
      <w:r w:rsidRPr="0080044C">
        <w:rPr>
          <w:rFonts w:ascii="Arial" w:hAnsi="Arial" w:cs="Arial"/>
          <w:sz w:val="24"/>
          <w:szCs w:val="24"/>
        </w:rPr>
        <w:t xml:space="preserve"> de Junio de 2015, según consta en el Acta N° 5</w:t>
      </w:r>
      <w:r w:rsidR="00D72D8F" w:rsidRPr="0080044C">
        <w:rPr>
          <w:rFonts w:ascii="Arial" w:hAnsi="Arial" w:cs="Arial"/>
          <w:sz w:val="24"/>
          <w:szCs w:val="24"/>
        </w:rPr>
        <w:t>7</w:t>
      </w:r>
      <w:r w:rsidRPr="0080044C">
        <w:rPr>
          <w:rFonts w:ascii="Arial" w:hAnsi="Arial" w:cs="Arial"/>
          <w:sz w:val="24"/>
          <w:szCs w:val="24"/>
        </w:rPr>
        <w:t xml:space="preserve"> de esa fecha; así mismo fue anunciado para discusión y votación el día </w:t>
      </w:r>
      <w:r w:rsidR="00D72D8F" w:rsidRPr="0080044C">
        <w:rPr>
          <w:rFonts w:ascii="Arial" w:hAnsi="Arial" w:cs="Arial"/>
          <w:sz w:val="24"/>
          <w:szCs w:val="24"/>
        </w:rPr>
        <w:t>03</w:t>
      </w:r>
      <w:r w:rsidRPr="0080044C">
        <w:rPr>
          <w:rFonts w:ascii="Arial" w:hAnsi="Arial" w:cs="Arial"/>
          <w:sz w:val="24"/>
          <w:szCs w:val="24"/>
        </w:rPr>
        <w:t xml:space="preserve"> de </w:t>
      </w:r>
      <w:r w:rsidR="00D72D8F" w:rsidRPr="0080044C">
        <w:rPr>
          <w:rFonts w:ascii="Arial" w:hAnsi="Arial" w:cs="Arial"/>
          <w:sz w:val="24"/>
          <w:szCs w:val="24"/>
        </w:rPr>
        <w:t xml:space="preserve">junio </w:t>
      </w:r>
      <w:r w:rsidRPr="0080044C">
        <w:rPr>
          <w:rFonts w:ascii="Arial" w:hAnsi="Arial" w:cs="Arial"/>
          <w:sz w:val="24"/>
          <w:szCs w:val="24"/>
        </w:rPr>
        <w:t>de 2015, según consta en el acta N° 5</w:t>
      </w:r>
      <w:r w:rsidR="00D72D8F" w:rsidRPr="0080044C">
        <w:rPr>
          <w:rFonts w:ascii="Arial" w:hAnsi="Arial" w:cs="Arial"/>
          <w:sz w:val="24"/>
          <w:szCs w:val="24"/>
        </w:rPr>
        <w:t>6</w:t>
      </w:r>
      <w:r w:rsidRPr="0080044C">
        <w:rPr>
          <w:rFonts w:ascii="Arial" w:hAnsi="Arial" w:cs="Arial"/>
          <w:sz w:val="24"/>
          <w:szCs w:val="24"/>
        </w:rPr>
        <w:t xml:space="preserve"> de esa misma fecha.</w:t>
      </w:r>
    </w:p>
    <w:p w:rsidR="008E38EB" w:rsidRPr="0080044C" w:rsidRDefault="008E38EB" w:rsidP="00294A6E">
      <w:pPr>
        <w:spacing w:after="0" w:line="240" w:lineRule="auto"/>
        <w:jc w:val="both"/>
        <w:rPr>
          <w:rFonts w:ascii="Arial" w:hAnsi="Arial" w:cs="Arial"/>
          <w:b/>
          <w:sz w:val="24"/>
          <w:szCs w:val="24"/>
        </w:rPr>
      </w:pPr>
    </w:p>
    <w:p w:rsidR="00294A6E" w:rsidRPr="00B407CD" w:rsidRDefault="00294A6E" w:rsidP="00294A6E">
      <w:pPr>
        <w:spacing w:after="0" w:line="240" w:lineRule="auto"/>
        <w:jc w:val="both"/>
        <w:rPr>
          <w:rFonts w:ascii="Arial" w:hAnsi="Arial" w:cs="Arial"/>
          <w:b/>
          <w:sz w:val="40"/>
          <w:szCs w:val="24"/>
        </w:rPr>
      </w:pPr>
    </w:p>
    <w:p w:rsidR="00294A6E" w:rsidRPr="00AC1CF9" w:rsidRDefault="00294A6E" w:rsidP="00294A6E">
      <w:pPr>
        <w:spacing w:after="0" w:line="240" w:lineRule="auto"/>
        <w:jc w:val="both"/>
        <w:rPr>
          <w:rFonts w:ascii="Arial" w:hAnsi="Arial" w:cs="Arial"/>
          <w:b/>
          <w:sz w:val="24"/>
          <w:szCs w:val="24"/>
        </w:rPr>
      </w:pPr>
    </w:p>
    <w:p w:rsidR="008E38EB" w:rsidRPr="00D86B14" w:rsidRDefault="008E38EB" w:rsidP="00294A6E">
      <w:pPr>
        <w:spacing w:after="0" w:line="240" w:lineRule="auto"/>
        <w:jc w:val="both"/>
        <w:rPr>
          <w:rFonts w:ascii="Arial" w:hAnsi="Arial" w:cs="Arial"/>
          <w:b/>
        </w:rPr>
      </w:pPr>
      <w:r w:rsidRPr="00D86B14">
        <w:rPr>
          <w:rFonts w:ascii="Arial" w:hAnsi="Arial" w:cs="Arial"/>
          <w:b/>
        </w:rPr>
        <w:t xml:space="preserve">H.R. MIGUEL ÁNGEL PINTO </w:t>
      </w:r>
      <w:r w:rsidR="00B804A2" w:rsidRPr="00D86B14">
        <w:rPr>
          <w:rFonts w:ascii="Arial" w:hAnsi="Arial" w:cs="Arial"/>
          <w:b/>
        </w:rPr>
        <w:t>HERNANDEZ</w:t>
      </w:r>
      <w:r w:rsidR="00E81F75" w:rsidRPr="00D86B14">
        <w:rPr>
          <w:rFonts w:ascii="Arial" w:hAnsi="Arial" w:cs="Arial"/>
          <w:b/>
        </w:rPr>
        <w:tab/>
      </w:r>
      <w:r w:rsidR="00E81F75" w:rsidRPr="00D86B14">
        <w:rPr>
          <w:rFonts w:ascii="Arial" w:hAnsi="Arial" w:cs="Arial"/>
          <w:b/>
        </w:rPr>
        <w:tab/>
        <w:t>JAIME BUENAHORA FEBRES</w:t>
      </w:r>
    </w:p>
    <w:p w:rsidR="008E38EB" w:rsidRPr="00955E6A" w:rsidRDefault="0080044C" w:rsidP="00294A6E">
      <w:pPr>
        <w:spacing w:after="0" w:line="240" w:lineRule="auto"/>
        <w:jc w:val="both"/>
        <w:rPr>
          <w:rFonts w:ascii="Arial" w:hAnsi="Arial" w:cs="Arial"/>
          <w:sz w:val="20"/>
          <w:szCs w:val="20"/>
        </w:rPr>
      </w:pPr>
      <w:r>
        <w:rPr>
          <w:rFonts w:ascii="Arial" w:hAnsi="Arial" w:cs="Arial"/>
          <w:sz w:val="20"/>
          <w:szCs w:val="20"/>
        </w:rPr>
        <w:t>Ponente</w:t>
      </w:r>
      <w:r>
        <w:rPr>
          <w:rFonts w:ascii="Arial" w:hAnsi="Arial" w:cs="Arial"/>
          <w:sz w:val="20"/>
          <w:szCs w:val="20"/>
        </w:rPr>
        <w:tab/>
      </w:r>
      <w:r>
        <w:rPr>
          <w:rFonts w:ascii="Arial" w:hAnsi="Arial" w:cs="Arial"/>
          <w:sz w:val="20"/>
          <w:szCs w:val="20"/>
        </w:rPr>
        <w:tab/>
      </w:r>
      <w:r w:rsidR="00955E6A" w:rsidRPr="00955E6A">
        <w:rPr>
          <w:rFonts w:ascii="Arial" w:hAnsi="Arial" w:cs="Arial"/>
          <w:sz w:val="20"/>
          <w:szCs w:val="20"/>
        </w:rPr>
        <w:tab/>
      </w:r>
      <w:r w:rsidR="00955E6A" w:rsidRPr="00955E6A">
        <w:rPr>
          <w:rFonts w:ascii="Arial" w:hAnsi="Arial" w:cs="Arial"/>
          <w:sz w:val="20"/>
          <w:szCs w:val="20"/>
        </w:rPr>
        <w:tab/>
      </w:r>
      <w:r w:rsidR="00955E6A" w:rsidRPr="00955E6A">
        <w:rPr>
          <w:rFonts w:ascii="Arial" w:hAnsi="Arial" w:cs="Arial"/>
          <w:sz w:val="20"/>
          <w:szCs w:val="20"/>
        </w:rPr>
        <w:tab/>
      </w:r>
      <w:r w:rsidR="00955E6A" w:rsidRPr="00955E6A">
        <w:rPr>
          <w:rFonts w:ascii="Arial" w:hAnsi="Arial" w:cs="Arial"/>
          <w:sz w:val="20"/>
          <w:szCs w:val="20"/>
        </w:rPr>
        <w:tab/>
      </w:r>
      <w:r w:rsidR="00955E6A">
        <w:rPr>
          <w:rFonts w:ascii="Arial" w:hAnsi="Arial" w:cs="Arial"/>
          <w:sz w:val="20"/>
          <w:szCs w:val="20"/>
        </w:rPr>
        <w:tab/>
      </w:r>
      <w:r w:rsidR="00955E6A" w:rsidRPr="00955E6A">
        <w:rPr>
          <w:rFonts w:ascii="Arial" w:hAnsi="Arial" w:cs="Arial"/>
          <w:sz w:val="20"/>
          <w:szCs w:val="20"/>
        </w:rPr>
        <w:t>Presidente</w:t>
      </w:r>
    </w:p>
    <w:p w:rsidR="00E81F75" w:rsidRDefault="00E81F75" w:rsidP="00294A6E">
      <w:pPr>
        <w:spacing w:after="0" w:line="240" w:lineRule="auto"/>
        <w:jc w:val="both"/>
        <w:rPr>
          <w:rFonts w:ascii="Arial" w:hAnsi="Arial" w:cs="Arial"/>
          <w:b/>
          <w:sz w:val="24"/>
          <w:szCs w:val="24"/>
        </w:rPr>
      </w:pPr>
    </w:p>
    <w:p w:rsidR="00A844F2" w:rsidRDefault="00A844F2" w:rsidP="00E81F75">
      <w:pPr>
        <w:spacing w:after="0" w:line="240" w:lineRule="auto"/>
        <w:jc w:val="center"/>
        <w:rPr>
          <w:rFonts w:ascii="Arial" w:hAnsi="Arial" w:cs="Arial"/>
          <w:b/>
          <w:sz w:val="20"/>
          <w:szCs w:val="20"/>
        </w:rPr>
      </w:pPr>
    </w:p>
    <w:p w:rsidR="00D86B14" w:rsidRPr="00B407CD" w:rsidRDefault="00D86B14" w:rsidP="00E81F75">
      <w:pPr>
        <w:spacing w:after="0" w:line="240" w:lineRule="auto"/>
        <w:jc w:val="center"/>
        <w:rPr>
          <w:rFonts w:ascii="Arial" w:hAnsi="Arial" w:cs="Arial"/>
          <w:b/>
          <w:sz w:val="52"/>
          <w:szCs w:val="20"/>
        </w:rPr>
      </w:pPr>
    </w:p>
    <w:p w:rsidR="00E81F75" w:rsidRPr="00D86B14" w:rsidRDefault="00E81F75" w:rsidP="00E81F75">
      <w:pPr>
        <w:spacing w:after="0" w:line="240" w:lineRule="auto"/>
        <w:jc w:val="center"/>
        <w:rPr>
          <w:rFonts w:ascii="Arial" w:hAnsi="Arial" w:cs="Arial"/>
          <w:b/>
        </w:rPr>
      </w:pPr>
      <w:r w:rsidRPr="00D86B14">
        <w:rPr>
          <w:rFonts w:ascii="Arial" w:hAnsi="Arial" w:cs="Arial"/>
          <w:b/>
        </w:rPr>
        <w:t>AMPARO YANETH CALDERON PERDOMO</w:t>
      </w:r>
    </w:p>
    <w:p w:rsidR="00955E6A" w:rsidRPr="006D7FC9" w:rsidRDefault="00955E6A" w:rsidP="00955E6A">
      <w:pPr>
        <w:spacing w:after="0" w:line="240" w:lineRule="auto"/>
        <w:jc w:val="center"/>
        <w:rPr>
          <w:rFonts w:ascii="Arial" w:hAnsi="Arial" w:cs="Arial"/>
          <w:bCs/>
          <w:sz w:val="20"/>
          <w:szCs w:val="20"/>
        </w:rPr>
      </w:pPr>
      <w:r w:rsidRPr="006D7FC9">
        <w:rPr>
          <w:rFonts w:ascii="Arial" w:hAnsi="Arial" w:cs="Arial"/>
          <w:bCs/>
          <w:sz w:val="20"/>
          <w:szCs w:val="20"/>
        </w:rPr>
        <w:t>Secretaria General</w:t>
      </w:r>
    </w:p>
    <w:sectPr w:rsidR="00955E6A" w:rsidRPr="006D7FC9" w:rsidSect="00000A9B">
      <w:footerReference w:type="default" r:id="rId9"/>
      <w:pgSz w:w="12240" w:h="15840"/>
      <w:pgMar w:top="249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D05" w:rsidRDefault="00690D05" w:rsidP="000C4E54">
      <w:pPr>
        <w:spacing w:after="0" w:line="240" w:lineRule="auto"/>
      </w:pPr>
      <w:r>
        <w:separator/>
      </w:r>
    </w:p>
  </w:endnote>
  <w:endnote w:type="continuationSeparator" w:id="0">
    <w:p w:rsidR="00690D05" w:rsidRDefault="00690D05" w:rsidP="000C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922867"/>
      <w:docPartObj>
        <w:docPartGallery w:val="Page Numbers (Bottom of Page)"/>
        <w:docPartUnique/>
      </w:docPartObj>
    </w:sdtPr>
    <w:sdtEndPr/>
    <w:sdtContent>
      <w:p w:rsidR="00000A9B" w:rsidRDefault="00000A9B">
        <w:pPr>
          <w:pStyle w:val="Piedepgina"/>
          <w:jc w:val="right"/>
        </w:pPr>
        <w:r>
          <w:fldChar w:fldCharType="begin"/>
        </w:r>
        <w:r>
          <w:instrText>PAGE   \* MERGEFORMAT</w:instrText>
        </w:r>
        <w:r>
          <w:fldChar w:fldCharType="separate"/>
        </w:r>
        <w:r w:rsidR="00690D05" w:rsidRPr="00690D05">
          <w:rPr>
            <w:noProof/>
            <w:lang w:val="es-ES"/>
          </w:rPr>
          <w:t>1</w:t>
        </w:r>
        <w:r>
          <w:fldChar w:fldCharType="end"/>
        </w:r>
      </w:p>
    </w:sdtContent>
  </w:sdt>
  <w:p w:rsidR="00000A9B" w:rsidRDefault="00000A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D05" w:rsidRDefault="00690D05" w:rsidP="000C4E54">
      <w:pPr>
        <w:spacing w:after="0" w:line="240" w:lineRule="auto"/>
      </w:pPr>
      <w:r>
        <w:separator/>
      </w:r>
    </w:p>
  </w:footnote>
  <w:footnote w:type="continuationSeparator" w:id="0">
    <w:p w:rsidR="00690D05" w:rsidRDefault="00690D05" w:rsidP="000C4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505"/>
    <w:multiLevelType w:val="hybridMultilevel"/>
    <w:tmpl w:val="D38E9AD8"/>
    <w:lvl w:ilvl="0" w:tplc="B8AAD716">
      <w:start w:val="1"/>
      <w:numFmt w:val="decimal"/>
      <w:lvlText w:val="%1."/>
      <w:lvlJc w:val="left"/>
      <w:pPr>
        <w:tabs>
          <w:tab w:val="num" w:pos="900"/>
        </w:tabs>
        <w:ind w:left="180" w:firstLine="720"/>
      </w:pPr>
      <w:rPr>
        <w:rFonts w:ascii="Cambria" w:hAnsi="Cambria" w:hint="default"/>
        <w:b w:val="0"/>
        <w:i w:val="0"/>
        <w:color w:val="auto"/>
        <w:sz w:val="20"/>
        <w:szCs w:val="20"/>
        <w:lang w:val="es-U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3F7B9E"/>
    <w:multiLevelType w:val="hybridMultilevel"/>
    <w:tmpl w:val="07769BF4"/>
    <w:lvl w:ilvl="0" w:tplc="D1227A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8C28D5"/>
    <w:multiLevelType w:val="hybridMultilevel"/>
    <w:tmpl w:val="F212675E"/>
    <w:lvl w:ilvl="0" w:tplc="74521084">
      <w:start w:val="1"/>
      <w:numFmt w:val="bullet"/>
      <w:lvlText w:val=""/>
      <w:lvlJc w:val="left"/>
      <w:pPr>
        <w:ind w:left="720" w:hanging="360"/>
      </w:pPr>
      <w:rPr>
        <w:rFonts w:ascii="Symbol" w:eastAsiaTheme="minorHAnsi" w:hAnsi="Symbol" w:cs="Arial" w:hint="default"/>
        <w:color w:val="1A1A1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12F17E5"/>
    <w:multiLevelType w:val="hybridMultilevel"/>
    <w:tmpl w:val="D67CEAC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nsid w:val="64960953"/>
    <w:multiLevelType w:val="hybridMultilevel"/>
    <w:tmpl w:val="05561568"/>
    <w:lvl w:ilvl="0" w:tplc="AB7424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DEF3E7A"/>
    <w:multiLevelType w:val="hybridMultilevel"/>
    <w:tmpl w:val="0BCC1696"/>
    <w:lvl w:ilvl="0" w:tplc="794E0D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F3A1A6A"/>
    <w:multiLevelType w:val="hybridMultilevel"/>
    <w:tmpl w:val="9252BA80"/>
    <w:lvl w:ilvl="0" w:tplc="AD6C96A4">
      <w:start w:val="1"/>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54"/>
    <w:rsid w:val="00000A9B"/>
    <w:rsid w:val="000C4E54"/>
    <w:rsid w:val="00157EE8"/>
    <w:rsid w:val="001668F8"/>
    <w:rsid w:val="001C1C96"/>
    <w:rsid w:val="002324A1"/>
    <w:rsid w:val="00237196"/>
    <w:rsid w:val="00247892"/>
    <w:rsid w:val="00256C71"/>
    <w:rsid w:val="00294A6E"/>
    <w:rsid w:val="002C3CB1"/>
    <w:rsid w:val="003555AC"/>
    <w:rsid w:val="00370DE2"/>
    <w:rsid w:val="00375761"/>
    <w:rsid w:val="003A4713"/>
    <w:rsid w:val="003C72FE"/>
    <w:rsid w:val="003F092B"/>
    <w:rsid w:val="00450750"/>
    <w:rsid w:val="004A3B14"/>
    <w:rsid w:val="004D1A98"/>
    <w:rsid w:val="006147DE"/>
    <w:rsid w:val="006776C4"/>
    <w:rsid w:val="00690D05"/>
    <w:rsid w:val="006D2846"/>
    <w:rsid w:val="00704E67"/>
    <w:rsid w:val="00725E56"/>
    <w:rsid w:val="00743694"/>
    <w:rsid w:val="0080044C"/>
    <w:rsid w:val="00890D7E"/>
    <w:rsid w:val="008E38EB"/>
    <w:rsid w:val="008E7AC5"/>
    <w:rsid w:val="00950D09"/>
    <w:rsid w:val="00955E6A"/>
    <w:rsid w:val="009943CA"/>
    <w:rsid w:val="009B3708"/>
    <w:rsid w:val="009D7461"/>
    <w:rsid w:val="00A2755B"/>
    <w:rsid w:val="00A844F2"/>
    <w:rsid w:val="00A848A4"/>
    <w:rsid w:val="00AC1CF9"/>
    <w:rsid w:val="00AF134A"/>
    <w:rsid w:val="00AF59A8"/>
    <w:rsid w:val="00B166F4"/>
    <w:rsid w:val="00B21FC9"/>
    <w:rsid w:val="00B407CD"/>
    <w:rsid w:val="00B447B4"/>
    <w:rsid w:val="00B5020C"/>
    <w:rsid w:val="00B804A2"/>
    <w:rsid w:val="00B93FCE"/>
    <w:rsid w:val="00BB5EBB"/>
    <w:rsid w:val="00CE10BE"/>
    <w:rsid w:val="00D14DE2"/>
    <w:rsid w:val="00D47C3D"/>
    <w:rsid w:val="00D72D8F"/>
    <w:rsid w:val="00D86B14"/>
    <w:rsid w:val="00DB7BDB"/>
    <w:rsid w:val="00E54CE7"/>
    <w:rsid w:val="00E81F75"/>
    <w:rsid w:val="00EA3C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5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E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E54"/>
  </w:style>
  <w:style w:type="paragraph" w:styleId="Piedepgina">
    <w:name w:val="footer"/>
    <w:basedOn w:val="Normal"/>
    <w:link w:val="PiedepginaCar"/>
    <w:uiPriority w:val="99"/>
    <w:unhideWhenUsed/>
    <w:rsid w:val="000C4E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E54"/>
  </w:style>
  <w:style w:type="paragraph" w:customStyle="1" w:styleId="Default">
    <w:name w:val="Default"/>
    <w:rsid w:val="000C4E54"/>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SinespaciadoCar">
    <w:name w:val="Sin espaciado Car"/>
    <w:link w:val="Sinespaciado"/>
    <w:uiPriority w:val="1"/>
    <w:locked/>
    <w:rsid w:val="000C4E54"/>
  </w:style>
  <w:style w:type="paragraph" w:styleId="Sinespaciado">
    <w:name w:val="No Spacing"/>
    <w:link w:val="SinespaciadoCar"/>
    <w:uiPriority w:val="1"/>
    <w:qFormat/>
    <w:rsid w:val="000C4E54"/>
    <w:pPr>
      <w:spacing w:after="0" w:line="240" w:lineRule="auto"/>
    </w:pPr>
  </w:style>
  <w:style w:type="character" w:styleId="Refdenotaalpie">
    <w:name w:val="footnote reference"/>
    <w:aliases w:val="Footnotes refss,Texto de nota al pie,referencia nota al pie,BVI fnr,Appel note de bas de page,Footnote symbol,Footnote,Footnote number,f,Ref. de nota al pie.,4_G,16 Point,Superscript 6 Point,Texto nota al pie,Ref. de nota al pi,Ref"/>
    <w:basedOn w:val="Fuentedeprrafopredeter"/>
    <w:link w:val="Appelnotedebasde"/>
    <w:uiPriority w:val="99"/>
    <w:unhideWhenUsed/>
    <w:qFormat/>
    <w:rsid w:val="000C4E54"/>
    <w:rPr>
      <w:vertAlign w:val="superscript"/>
    </w:rPr>
  </w:style>
  <w:style w:type="paragraph" w:styleId="Textoindependiente2">
    <w:name w:val="Body Text 2"/>
    <w:basedOn w:val="Normal"/>
    <w:link w:val="Textoindependiente2Car"/>
    <w:uiPriority w:val="99"/>
    <w:rsid w:val="000C4E54"/>
    <w:pPr>
      <w:overflowPunct w:val="0"/>
      <w:autoSpaceDE w:val="0"/>
      <w:autoSpaceDN w:val="0"/>
      <w:adjustRightInd w:val="0"/>
      <w:spacing w:after="0" w:line="240" w:lineRule="auto"/>
      <w:ind w:right="10"/>
      <w:jc w:val="both"/>
    </w:pPr>
    <w:rPr>
      <w:rFonts w:ascii="Times New Roman" w:eastAsia="Times New Roman" w:hAnsi="Times New Roman" w:cs="Times New Roman"/>
      <w:sz w:val="28"/>
      <w:szCs w:val="20"/>
      <w:lang w:eastAsia="es-ES"/>
    </w:rPr>
  </w:style>
  <w:style w:type="character" w:customStyle="1" w:styleId="Textoindependiente2Car">
    <w:name w:val="Texto independiente 2 Car"/>
    <w:basedOn w:val="Fuentedeprrafopredeter"/>
    <w:link w:val="Textoindependiente2"/>
    <w:uiPriority w:val="99"/>
    <w:rsid w:val="000C4E54"/>
    <w:rPr>
      <w:rFonts w:ascii="Times New Roman" w:eastAsia="Times New Roman" w:hAnsi="Times New Roman" w:cs="Times New Roman"/>
      <w:sz w:val="28"/>
      <w:szCs w:val="20"/>
      <w:lang w:eastAsia="es-ES"/>
    </w:rPr>
  </w:style>
  <w:style w:type="table" w:styleId="Tablaconcuadrcula">
    <w:name w:val="Table Grid"/>
    <w:basedOn w:val="Tablanormal"/>
    <w:uiPriority w:val="39"/>
    <w:rsid w:val="000C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C4E54"/>
    <w:rPr>
      <w:color w:val="0000FF" w:themeColor="hyperlink"/>
      <w:u w:val="single"/>
    </w:rPr>
  </w:style>
  <w:style w:type="paragraph" w:styleId="Prrafodelista">
    <w:name w:val="List Paragraph"/>
    <w:aliases w:val="List,Segundo nivel de viñetas,List Paragraph1,titulo 3,Bullets,Llista Nivell1,Párrafo de lista1,Ha,Párrafo de lista2,Lista vistosa - Énfasis 11,Cuadrícula clara - Énfasis 31"/>
    <w:basedOn w:val="Normal"/>
    <w:link w:val="PrrafodelistaCar"/>
    <w:uiPriority w:val="34"/>
    <w:qFormat/>
    <w:rsid w:val="000C4E54"/>
    <w:pPr>
      <w:spacing w:after="200" w:line="276" w:lineRule="auto"/>
      <w:ind w:left="720"/>
      <w:contextualSpacing/>
    </w:pPr>
  </w:style>
  <w:style w:type="paragraph" w:styleId="Textonotapie">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TextonotapieCar"/>
    <w:uiPriority w:val="99"/>
    <w:unhideWhenUsed/>
    <w:qFormat/>
    <w:rsid w:val="00B447B4"/>
    <w:pPr>
      <w:spacing w:after="0" w:line="240" w:lineRule="auto"/>
    </w:pPr>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Texto nota pie [MM] Car,FA Fußnotentext Car,FA Fuﬂnotentext Car,ft Car, Car1 Car,Ca Car"/>
    <w:basedOn w:val="Fuentedeprrafopredeter"/>
    <w:link w:val="Textonotapie"/>
    <w:uiPriority w:val="99"/>
    <w:rsid w:val="00B447B4"/>
    <w:rPr>
      <w:sz w:val="20"/>
      <w:szCs w:val="20"/>
    </w:rPr>
  </w:style>
  <w:style w:type="character" w:customStyle="1" w:styleId="PrrafodelistaCar">
    <w:name w:val="Párrafo de lista Car"/>
    <w:aliases w:val="List Car,Segundo nivel de viñetas Car,List Paragraph1 Car,titulo 3 Car,Bullets Car,Llista Nivell1 Car,Párrafo de lista1 Car,Ha Car,Párrafo de lista2 Car,Lista vistosa - Énfasis 11 Car,Cuadrícula clara - Énfasis 31 Car"/>
    <w:link w:val="Prrafodelista"/>
    <w:uiPriority w:val="34"/>
    <w:locked/>
    <w:rsid w:val="00B447B4"/>
  </w:style>
  <w:style w:type="paragraph" w:customStyle="1" w:styleId="Appelnotedebasde">
    <w:name w:val="Appel note de bas de..."/>
    <w:basedOn w:val="Normal"/>
    <w:link w:val="Refdenotaalpie"/>
    <w:uiPriority w:val="99"/>
    <w:rsid w:val="00B447B4"/>
    <w:pPr>
      <w:spacing w:line="240" w:lineRule="exact"/>
    </w:pPr>
    <w:rPr>
      <w:vertAlign w:val="superscript"/>
    </w:rPr>
  </w:style>
  <w:style w:type="character" w:customStyle="1" w:styleId="apple-converted-space">
    <w:name w:val="apple-converted-space"/>
    <w:basedOn w:val="Fuentedeprrafopredeter"/>
    <w:rsid w:val="002324A1"/>
  </w:style>
  <w:style w:type="paragraph" w:styleId="Textodeglobo">
    <w:name w:val="Balloon Text"/>
    <w:basedOn w:val="Normal"/>
    <w:link w:val="TextodegloboCar"/>
    <w:uiPriority w:val="99"/>
    <w:semiHidden/>
    <w:unhideWhenUsed/>
    <w:rsid w:val="003555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5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5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E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E54"/>
  </w:style>
  <w:style w:type="paragraph" w:styleId="Piedepgina">
    <w:name w:val="footer"/>
    <w:basedOn w:val="Normal"/>
    <w:link w:val="PiedepginaCar"/>
    <w:uiPriority w:val="99"/>
    <w:unhideWhenUsed/>
    <w:rsid w:val="000C4E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E54"/>
  </w:style>
  <w:style w:type="paragraph" w:customStyle="1" w:styleId="Default">
    <w:name w:val="Default"/>
    <w:rsid w:val="000C4E54"/>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SinespaciadoCar">
    <w:name w:val="Sin espaciado Car"/>
    <w:link w:val="Sinespaciado"/>
    <w:uiPriority w:val="1"/>
    <w:locked/>
    <w:rsid w:val="000C4E54"/>
  </w:style>
  <w:style w:type="paragraph" w:styleId="Sinespaciado">
    <w:name w:val="No Spacing"/>
    <w:link w:val="SinespaciadoCar"/>
    <w:uiPriority w:val="1"/>
    <w:qFormat/>
    <w:rsid w:val="000C4E54"/>
    <w:pPr>
      <w:spacing w:after="0" w:line="240" w:lineRule="auto"/>
    </w:pPr>
  </w:style>
  <w:style w:type="character" w:styleId="Refdenotaalpie">
    <w:name w:val="footnote reference"/>
    <w:aliases w:val="Footnotes refss,Texto de nota al pie,referencia nota al pie,BVI fnr,Appel note de bas de page,Footnote symbol,Footnote,Footnote number,f,Ref. de nota al pie.,4_G,16 Point,Superscript 6 Point,Texto nota al pie,Ref. de nota al pi,Ref"/>
    <w:basedOn w:val="Fuentedeprrafopredeter"/>
    <w:link w:val="Appelnotedebasde"/>
    <w:uiPriority w:val="99"/>
    <w:unhideWhenUsed/>
    <w:qFormat/>
    <w:rsid w:val="000C4E54"/>
    <w:rPr>
      <w:vertAlign w:val="superscript"/>
    </w:rPr>
  </w:style>
  <w:style w:type="paragraph" w:styleId="Textoindependiente2">
    <w:name w:val="Body Text 2"/>
    <w:basedOn w:val="Normal"/>
    <w:link w:val="Textoindependiente2Car"/>
    <w:uiPriority w:val="99"/>
    <w:rsid w:val="000C4E54"/>
    <w:pPr>
      <w:overflowPunct w:val="0"/>
      <w:autoSpaceDE w:val="0"/>
      <w:autoSpaceDN w:val="0"/>
      <w:adjustRightInd w:val="0"/>
      <w:spacing w:after="0" w:line="240" w:lineRule="auto"/>
      <w:ind w:right="10"/>
      <w:jc w:val="both"/>
    </w:pPr>
    <w:rPr>
      <w:rFonts w:ascii="Times New Roman" w:eastAsia="Times New Roman" w:hAnsi="Times New Roman" w:cs="Times New Roman"/>
      <w:sz w:val="28"/>
      <w:szCs w:val="20"/>
      <w:lang w:eastAsia="es-ES"/>
    </w:rPr>
  </w:style>
  <w:style w:type="character" w:customStyle="1" w:styleId="Textoindependiente2Car">
    <w:name w:val="Texto independiente 2 Car"/>
    <w:basedOn w:val="Fuentedeprrafopredeter"/>
    <w:link w:val="Textoindependiente2"/>
    <w:uiPriority w:val="99"/>
    <w:rsid w:val="000C4E54"/>
    <w:rPr>
      <w:rFonts w:ascii="Times New Roman" w:eastAsia="Times New Roman" w:hAnsi="Times New Roman" w:cs="Times New Roman"/>
      <w:sz w:val="28"/>
      <w:szCs w:val="20"/>
      <w:lang w:eastAsia="es-ES"/>
    </w:rPr>
  </w:style>
  <w:style w:type="table" w:styleId="Tablaconcuadrcula">
    <w:name w:val="Table Grid"/>
    <w:basedOn w:val="Tablanormal"/>
    <w:uiPriority w:val="39"/>
    <w:rsid w:val="000C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C4E54"/>
    <w:rPr>
      <w:color w:val="0000FF" w:themeColor="hyperlink"/>
      <w:u w:val="single"/>
    </w:rPr>
  </w:style>
  <w:style w:type="paragraph" w:styleId="Prrafodelista">
    <w:name w:val="List Paragraph"/>
    <w:aliases w:val="List,Segundo nivel de viñetas,List Paragraph1,titulo 3,Bullets,Llista Nivell1,Párrafo de lista1,Ha,Párrafo de lista2,Lista vistosa - Énfasis 11,Cuadrícula clara - Énfasis 31"/>
    <w:basedOn w:val="Normal"/>
    <w:link w:val="PrrafodelistaCar"/>
    <w:uiPriority w:val="34"/>
    <w:qFormat/>
    <w:rsid w:val="000C4E54"/>
    <w:pPr>
      <w:spacing w:after="200" w:line="276" w:lineRule="auto"/>
      <w:ind w:left="720"/>
      <w:contextualSpacing/>
    </w:pPr>
  </w:style>
  <w:style w:type="paragraph" w:styleId="Textonotapie">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TextonotapieCar"/>
    <w:uiPriority w:val="99"/>
    <w:unhideWhenUsed/>
    <w:qFormat/>
    <w:rsid w:val="00B447B4"/>
    <w:pPr>
      <w:spacing w:after="0" w:line="240" w:lineRule="auto"/>
    </w:pPr>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Texto nota pie [MM] Car,FA Fußnotentext Car,FA Fuﬂnotentext Car,ft Car, Car1 Car,Ca Car"/>
    <w:basedOn w:val="Fuentedeprrafopredeter"/>
    <w:link w:val="Textonotapie"/>
    <w:uiPriority w:val="99"/>
    <w:rsid w:val="00B447B4"/>
    <w:rPr>
      <w:sz w:val="20"/>
      <w:szCs w:val="20"/>
    </w:rPr>
  </w:style>
  <w:style w:type="character" w:customStyle="1" w:styleId="PrrafodelistaCar">
    <w:name w:val="Párrafo de lista Car"/>
    <w:aliases w:val="List Car,Segundo nivel de viñetas Car,List Paragraph1 Car,titulo 3 Car,Bullets Car,Llista Nivell1 Car,Párrafo de lista1 Car,Ha Car,Párrafo de lista2 Car,Lista vistosa - Énfasis 11 Car,Cuadrícula clara - Énfasis 31 Car"/>
    <w:link w:val="Prrafodelista"/>
    <w:uiPriority w:val="34"/>
    <w:locked/>
    <w:rsid w:val="00B447B4"/>
  </w:style>
  <w:style w:type="paragraph" w:customStyle="1" w:styleId="Appelnotedebasde">
    <w:name w:val="Appel note de bas de..."/>
    <w:basedOn w:val="Normal"/>
    <w:link w:val="Refdenotaalpie"/>
    <w:uiPriority w:val="99"/>
    <w:rsid w:val="00B447B4"/>
    <w:pPr>
      <w:spacing w:line="240" w:lineRule="exact"/>
    </w:pPr>
    <w:rPr>
      <w:vertAlign w:val="superscript"/>
    </w:rPr>
  </w:style>
  <w:style w:type="character" w:customStyle="1" w:styleId="apple-converted-space">
    <w:name w:val="apple-converted-space"/>
    <w:basedOn w:val="Fuentedeprrafopredeter"/>
    <w:rsid w:val="002324A1"/>
  </w:style>
  <w:style w:type="paragraph" w:styleId="Textodeglobo">
    <w:name w:val="Balloon Text"/>
    <w:basedOn w:val="Normal"/>
    <w:link w:val="TextodegloboCar"/>
    <w:uiPriority w:val="99"/>
    <w:semiHidden/>
    <w:unhideWhenUsed/>
    <w:rsid w:val="003555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5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8DCED78-3DCF-4675-8E3C-B1CAACBC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5521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JOSÉ CELEDÓN RUIZ</dc:creator>
  <cp:lastModifiedBy>usuario</cp:lastModifiedBy>
  <cp:revision>2</cp:revision>
  <cp:lastPrinted>2015-06-04T17:08:00Z</cp:lastPrinted>
  <dcterms:created xsi:type="dcterms:W3CDTF">2015-06-04T20:38:00Z</dcterms:created>
  <dcterms:modified xsi:type="dcterms:W3CDTF">2015-06-04T20:38:00Z</dcterms:modified>
</cp:coreProperties>
</file>