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DF49C" w14:textId="77777777" w:rsidR="00C3298B" w:rsidRPr="00C3298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PROYECTO DE LEY N.° __________________________ DE 2023</w:t>
      </w:r>
    </w:p>
    <w:p w14:paraId="158E0F4B"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p>
    <w:p w14:paraId="05ED6539"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“POR MEDIO DE LA CUAL SE DEFINE Y REGULA LA INTELIGENCIA ARTIFICIAL, SE ESTABLECEN LÍMITES FRENTE A SU DESARROLLO, USO E IMPLEMENTACIÓN Y SE DICTAN OTRAS DISPOSICIONES”</w:t>
      </w:r>
    </w:p>
    <w:p w14:paraId="7F50FF4A"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EL CONGRESO DE COLOMBIA,</w:t>
      </w:r>
    </w:p>
    <w:p w14:paraId="615EB3F0"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DECRETA:</w:t>
      </w:r>
    </w:p>
    <w:p w14:paraId="0929FA59"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T Í T U L O   I</w:t>
      </w:r>
    </w:p>
    <w:p w14:paraId="2A75DAFC" w14:textId="77777777" w:rsidR="00C3298B" w:rsidRPr="00C3298B" w:rsidRDefault="00C3298B" w:rsidP="00C3298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C3298B">
        <w:rPr>
          <w:rFonts w:ascii="Bookman Old Style" w:eastAsia="Bookman Old Style" w:hAnsi="Bookman Old Style" w:cs="Bookman Old Style"/>
          <w:b/>
          <w:color w:val="000000"/>
          <w:sz w:val="24"/>
          <w:szCs w:val="24"/>
        </w:rPr>
        <w:t>D I S P O S I C I O</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N E S   G</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E</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N</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E</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R</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A</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L</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E</w:t>
      </w:r>
      <w:r w:rsid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b/>
          <w:color w:val="000000"/>
          <w:sz w:val="24"/>
          <w:szCs w:val="24"/>
        </w:rPr>
        <w:t>S</w:t>
      </w:r>
    </w:p>
    <w:p w14:paraId="065EC74C"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bookmarkStart w:id="0" w:name="bookmark=id.30j0zll" w:colFirst="0" w:colLast="0"/>
      <w:bookmarkEnd w:id="0"/>
      <w:r w:rsidRPr="00456A27">
        <w:rPr>
          <w:rFonts w:ascii="Bookman Old Style" w:eastAsia="Bookman Old Style" w:hAnsi="Bookman Old Style" w:cs="Bookman Old Style"/>
          <w:b/>
          <w:color w:val="000000"/>
          <w:sz w:val="24"/>
          <w:szCs w:val="24"/>
        </w:rPr>
        <w:t>ARTÍCULO 1. OBJETO.</w:t>
      </w:r>
      <w:r w:rsidRPr="00C3298B">
        <w:rPr>
          <w:rFonts w:ascii="Bookman Old Style" w:eastAsia="Bookman Old Style" w:hAnsi="Bookman Old Style" w:cs="Bookman Old Style"/>
          <w:color w:val="000000"/>
          <w:sz w:val="24"/>
          <w:szCs w:val="24"/>
        </w:rPr>
        <w:t> </w:t>
      </w:r>
      <w:r w:rsidR="00C3298B" w:rsidRPr="00C3298B">
        <w:rPr>
          <w:rFonts w:ascii="Bookman Old Style" w:eastAsia="Bookman Old Style" w:hAnsi="Bookman Old Style" w:cs="Bookman Old Style"/>
          <w:color w:val="000000"/>
          <w:sz w:val="24"/>
          <w:szCs w:val="24"/>
        </w:rPr>
        <w:t xml:space="preserve">La presente ley tiene por objeto ajustar a estándares de respeto y garantía de los derechos humanos a la inteligencia artificial, regular y promover su desarrollo y establecer límites frente a su uso, implementación y evaluación por parte de personas naturales y jurídicas </w:t>
      </w:r>
    </w:p>
    <w:p w14:paraId="7D10689A"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2. ÁMBITO DE APLICACIÓN.</w:t>
      </w:r>
      <w:r w:rsidRPr="00C3298B">
        <w:rPr>
          <w:rFonts w:ascii="Bookman Old Style" w:eastAsia="Bookman Old Style" w:hAnsi="Bookman Old Style" w:cs="Bookman Old Style"/>
          <w:color w:val="000000"/>
          <w:sz w:val="24"/>
          <w:szCs w:val="24"/>
        </w:rPr>
        <w:t> </w:t>
      </w:r>
      <w:r w:rsidR="00C3298B" w:rsidRPr="00C3298B">
        <w:rPr>
          <w:rFonts w:ascii="Bookman Old Style" w:eastAsia="Bookman Old Style" w:hAnsi="Bookman Old Style" w:cs="Bookman Old Style"/>
          <w:color w:val="000000"/>
          <w:sz w:val="24"/>
          <w:szCs w:val="24"/>
        </w:rPr>
        <w:t>Los principios y disposiciones contenidos en la presente ley serán aplicables a la información y datos personales objeto de tratamiento por parte de entidades públicas y privadas, con la finalidad de realizar análisis, desarrollar algoritmos y crear programas informáticos para la ejecución de tareas asemejables al razonamiento o el aprendizaje humano</w:t>
      </w:r>
    </w:p>
    <w:p w14:paraId="7989CC69"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3. DEFINICIONES.</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 xml:space="preserve">Para efectos de la aplicación e interpretación de la presente ley se establecen las siguientes definiciones: </w:t>
      </w:r>
    </w:p>
    <w:p w14:paraId="3673CAB6"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Dato personal:</w:t>
      </w:r>
      <w:r w:rsidRPr="00C3298B">
        <w:rPr>
          <w:rFonts w:ascii="Bookman Old Style" w:eastAsia="Bookman Old Style" w:hAnsi="Bookman Old Style" w:cs="Bookman Old Style"/>
          <w:color w:val="000000"/>
          <w:sz w:val="24"/>
          <w:szCs w:val="24"/>
        </w:rPr>
        <w:t> Cualquier información asociada a una o varias personas naturales determinadas o determinables que permita desarrollar algoritmos y crear programas informáticos.</w:t>
      </w:r>
    </w:p>
    <w:p w14:paraId="1334779F"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Inteligencia Artificial:</w:t>
      </w:r>
      <w:r w:rsidRPr="00C3298B">
        <w:rPr>
          <w:rFonts w:ascii="Bookman Old Style" w:eastAsia="Bookman Old Style" w:hAnsi="Bookman Old Style" w:cs="Bookman Old Style"/>
          <w:color w:val="000000"/>
          <w:sz w:val="24"/>
          <w:szCs w:val="24"/>
        </w:rPr>
        <w:t xml:space="preserve"> Conjunto de técnicas informáticas, sistema de programación, sistema computacional, maquinas físicas  o procesos tecnológicos que permiten desarrollar algoritmos y crear programas informáticos para ejecutar objetivos definidos por humanos, hacer predicciones, recomendaciones, tomar decisiones crear nuevo conocimiento </w:t>
      </w:r>
      <w:r w:rsidRPr="00C3298B">
        <w:rPr>
          <w:rFonts w:ascii="Bookman Old Style" w:eastAsia="Bookman Old Style" w:hAnsi="Bookman Old Style" w:cs="Bookman Old Style"/>
          <w:color w:val="000000"/>
          <w:sz w:val="24"/>
          <w:szCs w:val="24"/>
        </w:rPr>
        <w:lastRenderedPageBreak/>
        <w:t>y/o completar tareas cognitivas y científico-técnicas a partir de la extracción, selección, recorte y organización de la información disponible o cualquier tarea que requiera inteligencia como el razonamiento o el aprendizaje.</w:t>
      </w:r>
    </w:p>
    <w:p w14:paraId="5EDDB785"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E</w:t>
      </w:r>
      <w:r w:rsidR="00C3298B" w:rsidRPr="00456A27">
        <w:rPr>
          <w:rFonts w:ascii="Bookman Old Style" w:eastAsia="Bookman Old Style" w:hAnsi="Bookman Old Style" w:cs="Bookman Old Style"/>
          <w:b/>
          <w:color w:val="000000"/>
          <w:sz w:val="24"/>
          <w:szCs w:val="24"/>
        </w:rPr>
        <w:t>ncargado del tratamiento:</w:t>
      </w:r>
      <w:r w:rsidR="00C3298B" w:rsidRPr="00C3298B">
        <w:rPr>
          <w:rFonts w:ascii="Bookman Old Style" w:eastAsia="Bookman Old Style" w:hAnsi="Bookman Old Style" w:cs="Bookman Old Style"/>
          <w:color w:val="000000"/>
          <w:sz w:val="24"/>
          <w:szCs w:val="24"/>
        </w:rPr>
        <w:t xml:space="preserve"> Persona natural o jurídica, pública o privada, que por sí misma o en asocio con otros, realice el Tratamiento de datos personales por cuenta del Responsable del Tratamiento, para el desarrollo, uso o implementación de sistemas de inteligencia artificial. </w:t>
      </w:r>
    </w:p>
    <w:p w14:paraId="7AD66253" w14:textId="77777777" w:rsid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R</w:t>
      </w:r>
      <w:r w:rsidR="00C3298B" w:rsidRPr="00456A27">
        <w:rPr>
          <w:rFonts w:ascii="Bookman Old Style" w:eastAsia="Bookman Old Style" w:hAnsi="Bookman Old Style" w:cs="Bookman Old Style"/>
          <w:b/>
          <w:color w:val="000000"/>
          <w:sz w:val="24"/>
          <w:szCs w:val="24"/>
        </w:rPr>
        <w:t>esponsable del tratamiento:</w:t>
      </w:r>
      <w:r w:rsidR="00C3298B" w:rsidRPr="00C3298B">
        <w:rPr>
          <w:rFonts w:ascii="Bookman Old Style" w:eastAsia="Bookman Old Style" w:hAnsi="Bookman Old Style" w:cs="Bookman Old Style"/>
          <w:color w:val="000000"/>
          <w:sz w:val="24"/>
          <w:szCs w:val="24"/>
        </w:rPr>
        <w:t xml:space="preserve"> Persona natural o jurídica, pública o privada, que por sí misma o en asocio con otros, decida sobre la base de datos y/o el tratamiento de los datos destinados al desarrollo, uso o implementación de sistemas de inteligencia artificial. El responsable del tratamiento deberá certificar estudios de diplomado de 120 horas o superiores en derechos humanos y fundamentales.</w:t>
      </w:r>
    </w:p>
    <w:p w14:paraId="0D86F168" w14:textId="77777777" w:rsidR="00456A27"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p>
    <w:p w14:paraId="0CE7E1F3"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4. PRINCIPIOS.</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 xml:space="preserve">El desarrollo, interpretación y aplicación de la presente ley se realizará con arreglo a los siguientes principios: </w:t>
      </w:r>
    </w:p>
    <w:p w14:paraId="36D3DF79"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respeto:</w:t>
      </w:r>
      <w:r w:rsidR="00C3298B" w:rsidRPr="00C3298B">
        <w:rPr>
          <w:rFonts w:ascii="Bookman Old Style" w:eastAsia="Bookman Old Style" w:hAnsi="Bookman Old Style" w:cs="Bookman Old Style"/>
          <w:color w:val="000000"/>
          <w:sz w:val="24"/>
          <w:szCs w:val="24"/>
        </w:rPr>
        <w:t xml:space="preserve"> El desarrollo de la inteligencia artificial estará limitado por la preservación irrestricta de la dignidad humana y los derechos fundamentales.</w:t>
      </w:r>
    </w:p>
    <w:p w14:paraId="793107A2"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bienestar integral:</w:t>
      </w:r>
      <w:r w:rsidR="00C3298B" w:rsidRPr="00C3298B">
        <w:rPr>
          <w:rFonts w:ascii="Bookman Old Style" w:eastAsia="Bookman Old Style" w:hAnsi="Bookman Old Style" w:cs="Bookman Old Style"/>
          <w:color w:val="000000"/>
          <w:sz w:val="24"/>
          <w:szCs w:val="24"/>
        </w:rPr>
        <w:t xml:space="preserve"> El desarrollo de la inteligencia artificial estará orientado al mejoramiento de la calidad de vida de las personas, reconociendo sus riesgos y potenciales impactos negativos.</w:t>
      </w:r>
    </w:p>
    <w:p w14:paraId="68FEDA85"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responsabilidad:</w:t>
      </w:r>
      <w:r w:rsidR="00C3298B" w:rsidRPr="00C3298B">
        <w:rPr>
          <w:rFonts w:ascii="Bookman Old Style" w:eastAsia="Bookman Old Style" w:hAnsi="Bookman Old Style" w:cs="Bookman Old Style"/>
          <w:color w:val="000000"/>
          <w:sz w:val="24"/>
          <w:szCs w:val="24"/>
        </w:rPr>
        <w:t xml:space="preserve"> Las personas que se vean perjudicadas con ocasión de los impactos negativos del desarrollo de la inteligencia artificial, tendrán garantizado el derecho a reclamar indemnización o reparación a la que haya lugar ante las entidades públicas o privadas responsables.</w:t>
      </w:r>
    </w:p>
    <w:p w14:paraId="14120626"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 xml:space="preserve">rincipio de </w:t>
      </w:r>
      <w:r w:rsidRPr="00456A27">
        <w:rPr>
          <w:rFonts w:ascii="Bookman Old Style" w:eastAsia="Bookman Old Style" w:hAnsi="Bookman Old Style" w:cs="Bookman Old Style"/>
          <w:b/>
          <w:color w:val="000000"/>
          <w:sz w:val="24"/>
          <w:szCs w:val="24"/>
        </w:rPr>
        <w:t>supervisión y</w:t>
      </w:r>
      <w:r w:rsidR="00C3298B" w:rsidRPr="00456A27">
        <w:rPr>
          <w:rFonts w:ascii="Bookman Old Style" w:eastAsia="Bookman Old Style" w:hAnsi="Bookman Old Style" w:cs="Bookman Old Style"/>
          <w:b/>
          <w:color w:val="000000"/>
          <w:sz w:val="24"/>
          <w:szCs w:val="24"/>
        </w:rPr>
        <w:t xml:space="preserve"> prevalencia de la inteligencia humana:</w:t>
      </w:r>
      <w:r w:rsidR="00C3298B" w:rsidRPr="00C3298B">
        <w:rPr>
          <w:rFonts w:ascii="Bookman Old Style" w:eastAsia="Bookman Old Style" w:hAnsi="Bookman Old Style" w:cs="Bookman Old Style"/>
          <w:color w:val="000000"/>
          <w:sz w:val="24"/>
          <w:szCs w:val="24"/>
        </w:rPr>
        <w:t xml:space="preserve"> Se preferirá la decisión humana respecto de los resultados derivados de la Inteligencia Artificial. Toda decisión tomada por las inteligencias artificiales será susceptible de revisión humana y será responsabilidad ética y legal de personas naturales y jurídicas.</w:t>
      </w:r>
    </w:p>
    <w:p w14:paraId="12828D84"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lastRenderedPageBreak/>
        <w:t>principio de privacidad y confidencialidad: El uso e implementación de la inteligencia artificial propenderá por la no intrusión y perturbación de los asuntos privados de las personas.</w:t>
      </w:r>
    </w:p>
    <w:p w14:paraId="357BACCA"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seguridad y protección:</w:t>
      </w:r>
      <w:r w:rsidR="00C3298B" w:rsidRPr="00C3298B">
        <w:rPr>
          <w:rFonts w:ascii="Bookman Old Style" w:eastAsia="Bookman Old Style" w:hAnsi="Bookman Old Style" w:cs="Bookman Old Style"/>
          <w:color w:val="000000"/>
          <w:sz w:val="24"/>
          <w:szCs w:val="24"/>
        </w:rPr>
        <w:t xml:space="preserve"> La información que permita desarrollar algoritmos y crear programas informáticos deberá gozar de confidencialidad e integridad.</w:t>
      </w:r>
    </w:p>
    <w:p w14:paraId="64A07ED2"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desarrollo sostenible:</w:t>
      </w:r>
      <w:r w:rsidR="00C3298B" w:rsidRPr="00C3298B">
        <w:rPr>
          <w:rFonts w:ascii="Bookman Old Style" w:eastAsia="Bookman Old Style" w:hAnsi="Bookman Old Style" w:cs="Bookman Old Style"/>
          <w:color w:val="000000"/>
          <w:sz w:val="24"/>
          <w:szCs w:val="24"/>
        </w:rPr>
        <w:t xml:space="preserve"> El uso e implementación de la inteligencia artificial estará orientado a potenciar el desarrollo de la tecnología con consideraciones sociales y medioambientales.</w:t>
      </w:r>
    </w:p>
    <w:p w14:paraId="7C2E3C64"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P</w:t>
      </w:r>
      <w:r w:rsidR="00C3298B" w:rsidRPr="00456A27">
        <w:rPr>
          <w:rFonts w:ascii="Bookman Old Style" w:eastAsia="Bookman Old Style" w:hAnsi="Bookman Old Style" w:cs="Bookman Old Style"/>
          <w:b/>
          <w:color w:val="000000"/>
          <w:sz w:val="24"/>
          <w:szCs w:val="24"/>
        </w:rPr>
        <w:t>rincipio de inclusión:</w:t>
      </w:r>
      <w:r w:rsidR="00C3298B" w:rsidRPr="00C3298B">
        <w:rPr>
          <w:rFonts w:ascii="Bookman Old Style" w:eastAsia="Bookman Old Style" w:hAnsi="Bookman Old Style" w:cs="Bookman Old Style"/>
          <w:color w:val="000000"/>
          <w:sz w:val="24"/>
          <w:szCs w:val="24"/>
        </w:rPr>
        <w:t xml:space="preserve"> La información que permita el uso e implementación de la inteligencia artificial no debe discriminar a ningún grupo, ni ser utilizada en perjuicio de este, y el desarrollo de la inteligencia artificial se realizará con perspectiva de género y diversidad sexual. </w:t>
      </w:r>
    </w:p>
    <w:p w14:paraId="14CFBD12"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456A27" w:rsidRPr="00456A27">
        <w:rPr>
          <w:rFonts w:ascii="Bookman Old Style" w:eastAsia="Bookman Old Style" w:hAnsi="Bookman Old Style" w:cs="Bookman Old Style"/>
          <w:b/>
          <w:color w:val="000000"/>
          <w:sz w:val="24"/>
          <w:szCs w:val="24"/>
        </w:rPr>
        <w:t>rincipio de proporcionalidad o inocuidad</w:t>
      </w:r>
      <w:r w:rsidRPr="00456A27">
        <w:rPr>
          <w:rFonts w:ascii="Bookman Old Style" w:eastAsia="Bookman Old Style" w:hAnsi="Bookman Old Style" w:cs="Bookman Old Style"/>
          <w:b/>
          <w:color w:val="000000"/>
          <w:sz w:val="24"/>
          <w:szCs w:val="24"/>
        </w:rPr>
        <w:t>:</w:t>
      </w:r>
      <w:r w:rsidRPr="00C3298B">
        <w:rPr>
          <w:rFonts w:ascii="Bookman Old Style" w:eastAsia="Bookman Old Style" w:hAnsi="Bookman Old Style" w:cs="Bookman Old Style"/>
          <w:color w:val="000000"/>
          <w:sz w:val="24"/>
          <w:szCs w:val="24"/>
        </w:rPr>
        <w:t xml:space="preserve">  El desarrollo de inteligencias </w:t>
      </w:r>
      <w:r w:rsidR="00456A27" w:rsidRPr="00C3298B">
        <w:rPr>
          <w:rFonts w:ascii="Bookman Old Style" w:eastAsia="Bookman Old Style" w:hAnsi="Bookman Old Style" w:cs="Bookman Old Style"/>
          <w:color w:val="000000"/>
          <w:sz w:val="24"/>
          <w:szCs w:val="24"/>
        </w:rPr>
        <w:t>artificiales estará</w:t>
      </w:r>
      <w:r w:rsidRPr="00C3298B">
        <w:rPr>
          <w:rFonts w:ascii="Bookman Old Style" w:eastAsia="Bookman Old Style" w:hAnsi="Bookman Old Style" w:cs="Bookman Old Style"/>
          <w:color w:val="000000"/>
          <w:sz w:val="24"/>
          <w:szCs w:val="24"/>
        </w:rPr>
        <w:t xml:space="preserve"> justificado a través de evidencia científica robusta que garantice la conveniencia de su desarrollo y aplicación en beneficio de las personas, la humanidad y el ambiente. Quedarán prohibidos los desarrollos de Inteligencias artificiales que atenten contra los Derechos Humanos.</w:t>
      </w:r>
    </w:p>
    <w:p w14:paraId="00950F05"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456A27" w:rsidRPr="00456A27">
        <w:rPr>
          <w:rFonts w:ascii="Bookman Old Style" w:eastAsia="Bookman Old Style" w:hAnsi="Bookman Old Style" w:cs="Bookman Old Style"/>
          <w:b/>
          <w:color w:val="000000"/>
          <w:sz w:val="24"/>
          <w:szCs w:val="24"/>
        </w:rPr>
        <w:t>rincipio de transparencia y explicabilidad</w:t>
      </w:r>
      <w:r w:rsidRPr="00456A27">
        <w:rPr>
          <w:rFonts w:ascii="Bookman Old Style" w:eastAsia="Bookman Old Style" w:hAnsi="Bookman Old Style" w:cs="Bookman Old Style"/>
          <w:b/>
          <w:color w:val="000000"/>
          <w:sz w:val="24"/>
          <w:szCs w:val="24"/>
        </w:rPr>
        <w:t>:</w:t>
      </w:r>
      <w:r w:rsidRPr="00C3298B">
        <w:rPr>
          <w:rFonts w:ascii="Bookman Old Style" w:eastAsia="Bookman Old Style" w:hAnsi="Bookman Old Style" w:cs="Bookman Old Style"/>
          <w:color w:val="000000"/>
          <w:sz w:val="24"/>
          <w:szCs w:val="24"/>
        </w:rPr>
        <w:t xml:space="preserve"> Los desarrollos, resultados y subprocesos de las Inteligencias artificiales serán inteligibles, trazables, explicables y comprensibles. La ciudadanía deberá conocer la entrada, salida y funcionamiento de cada componente algorítmico y la forma en que contribuye a los resultados de los sistemas, para saber los motivos por los que la Inteligencia Artificial llega a una u otra conclusión o decisión. </w:t>
      </w:r>
    </w:p>
    <w:p w14:paraId="716DDE1F"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456A27" w:rsidRPr="00456A27">
        <w:rPr>
          <w:rFonts w:ascii="Bookman Old Style" w:eastAsia="Bookman Old Style" w:hAnsi="Bookman Old Style" w:cs="Bookman Old Style"/>
          <w:b/>
          <w:color w:val="000000"/>
          <w:sz w:val="24"/>
          <w:szCs w:val="24"/>
        </w:rPr>
        <w:t>rincipio de responsabilidad y rendición de cuentas</w:t>
      </w:r>
      <w:r w:rsidRPr="00456A27">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color w:val="000000"/>
          <w:sz w:val="24"/>
          <w:szCs w:val="24"/>
        </w:rPr>
        <w:t>Los creadores de inteligencias artificiales e intermediarios deben asumir las consecuencias éticas y jurídicas por las tecnologías que diseñen e implementen de conformidad con el ordenamiento jurídico vigente. El sector público tendrá la obligación de rendir cuentas y crear mecanismos de supervisión a lo largo de todas las etapas que sean auditables y trazables.</w:t>
      </w:r>
    </w:p>
    <w:p w14:paraId="1EEF4B05" w14:textId="77777777" w:rsidR="00C3298B" w:rsidRPr="00456A27"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b/>
          <w:color w:val="000000"/>
          <w:sz w:val="24"/>
          <w:szCs w:val="24"/>
        </w:rPr>
      </w:pPr>
      <w:r w:rsidRPr="00456A27">
        <w:rPr>
          <w:rFonts w:ascii="Bookman Old Style" w:eastAsia="Bookman Old Style" w:hAnsi="Bookman Old Style" w:cs="Bookman Old Style"/>
          <w:b/>
          <w:color w:val="000000"/>
          <w:sz w:val="24"/>
          <w:szCs w:val="24"/>
        </w:rPr>
        <w:t xml:space="preserve">ARTICULO 5: VALORES. </w:t>
      </w:r>
    </w:p>
    <w:p w14:paraId="5D1DB24A"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R</w:t>
      </w:r>
      <w:r w:rsidR="00456A27" w:rsidRPr="00456A27">
        <w:rPr>
          <w:rFonts w:ascii="Bookman Old Style" w:eastAsia="Bookman Old Style" w:hAnsi="Bookman Old Style" w:cs="Bookman Old Style"/>
          <w:b/>
          <w:color w:val="000000"/>
          <w:sz w:val="24"/>
          <w:szCs w:val="24"/>
        </w:rPr>
        <w:t>espeto, protección y promoción de los derechos humanos, las libertades fundamentales y la dignidad humana</w:t>
      </w:r>
      <w:r w:rsidR="00456A27">
        <w:rPr>
          <w:rFonts w:ascii="Bookman Old Style" w:eastAsia="Bookman Old Style" w:hAnsi="Bookman Old Style" w:cs="Bookman Old Style"/>
          <w:color w:val="000000"/>
          <w:sz w:val="24"/>
          <w:szCs w:val="24"/>
        </w:rPr>
        <w:t>:</w:t>
      </w:r>
      <w:r w:rsidRPr="00C3298B">
        <w:rPr>
          <w:rFonts w:ascii="Bookman Old Style" w:eastAsia="Bookman Old Style" w:hAnsi="Bookman Old Style" w:cs="Bookman Old Style"/>
          <w:color w:val="000000"/>
          <w:sz w:val="24"/>
          <w:szCs w:val="24"/>
        </w:rPr>
        <w:t xml:space="preserve"> Los creadores e </w:t>
      </w:r>
      <w:r w:rsidRPr="00C3298B">
        <w:rPr>
          <w:rFonts w:ascii="Bookman Old Style" w:eastAsia="Bookman Old Style" w:hAnsi="Bookman Old Style" w:cs="Bookman Old Style"/>
          <w:color w:val="000000"/>
          <w:sz w:val="24"/>
          <w:szCs w:val="24"/>
        </w:rPr>
        <w:lastRenderedPageBreak/>
        <w:t>implementadores de inteligencias artificiales serán responsables de que el desarrollo tecnológico garantice el respeto, protección y promoción de los derechos humanos, las libertades fundamentales y la dignidad humana. Ninguna persona o comunidad podrá sufrir daños o sometimiento como consecuencia del desarrollo y uso la inteligencia artificial.</w:t>
      </w:r>
    </w:p>
    <w:p w14:paraId="574DB8EB"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Construcción de una sociedad pacífica y justa</w:t>
      </w:r>
      <w:r>
        <w:rPr>
          <w:rFonts w:ascii="Bookman Old Style" w:eastAsia="Bookman Old Style" w:hAnsi="Bookman Old Style" w:cs="Bookman Old Style"/>
          <w:b/>
          <w:color w:val="000000"/>
          <w:sz w:val="24"/>
          <w:szCs w:val="24"/>
        </w:rPr>
        <w:t>:</w:t>
      </w:r>
      <w:r w:rsidR="00C3298B" w:rsidRPr="00C3298B">
        <w:rPr>
          <w:rFonts w:ascii="Bookman Old Style" w:eastAsia="Bookman Old Style" w:hAnsi="Bookman Old Style" w:cs="Bookman Old Style"/>
          <w:color w:val="000000"/>
          <w:sz w:val="24"/>
          <w:szCs w:val="24"/>
        </w:rPr>
        <w:t xml:space="preserve"> Los creadores e implementadores de inteligencias artificiales velarán porque el desarrollo tecnológico no afecte la paz y justicia en la sociedad. Las inteligencias artificiales no podrán dividir y enfrentar entre si a las personas ni promover la violencia.</w:t>
      </w:r>
    </w:p>
    <w:p w14:paraId="5BBBE8C2"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D</w:t>
      </w:r>
      <w:r w:rsidR="00456A27" w:rsidRPr="00456A27">
        <w:rPr>
          <w:rFonts w:ascii="Bookman Old Style" w:eastAsia="Bookman Old Style" w:hAnsi="Bookman Old Style" w:cs="Bookman Old Style"/>
          <w:b/>
          <w:color w:val="000000"/>
          <w:sz w:val="24"/>
          <w:szCs w:val="24"/>
        </w:rPr>
        <w:t>iversidad e inclusión:</w:t>
      </w:r>
      <w:r w:rsidRPr="00C3298B">
        <w:rPr>
          <w:rFonts w:ascii="Bookman Old Style" w:eastAsia="Bookman Old Style" w:hAnsi="Bookman Old Style" w:cs="Bookman Old Style"/>
          <w:color w:val="000000"/>
          <w:sz w:val="24"/>
          <w:szCs w:val="24"/>
        </w:rPr>
        <w:t xml:space="preserve"> Los creadores e implementadores de las inteligencias artificiales garantizarán el respeto, ´protección y promoción de la diversidad e inclusión activa de todos los grupos y personas con independencia de su raza, color, ascendencia, genero edad, idioma, religión, opiniones políticas, origen regional, étnico o social, condicione económica, discapacidad o cualquier otro motivo, respetando especialmente la diversidad en las elecciones de estilos de vida, creencias, opiniones o expresiones individuales.</w:t>
      </w:r>
    </w:p>
    <w:p w14:paraId="52DD4F10"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w:t>
      </w:r>
      <w:r w:rsidR="00456A27" w:rsidRPr="00456A27">
        <w:rPr>
          <w:rFonts w:ascii="Bookman Old Style" w:eastAsia="Bookman Old Style" w:hAnsi="Bookman Old Style" w:cs="Bookman Old Style"/>
          <w:b/>
          <w:color w:val="000000"/>
          <w:sz w:val="24"/>
          <w:szCs w:val="24"/>
        </w:rPr>
        <w:t>rosperidad del medio ambiente y los ecosistemas:</w:t>
      </w:r>
      <w:r w:rsidRPr="00C3298B">
        <w:rPr>
          <w:rFonts w:ascii="Bookman Old Style" w:eastAsia="Bookman Old Style" w:hAnsi="Bookman Old Style" w:cs="Bookman Old Style"/>
          <w:color w:val="000000"/>
          <w:sz w:val="24"/>
          <w:szCs w:val="24"/>
        </w:rPr>
        <w:t xml:space="preserve"> Los creadores e implementadores de las inteligencias artificiales impedirán que las tecnologías afecten los ecosistemas, los seres vivos y el ambiente en el marco de la constitución y la ley. Propenderán por reducir la huella de carbono, minimizar el cambio climático, los factores de riesgo ambiental y prevenir la explotación, utilización y transformación no sostenible de recursos naturales. </w:t>
      </w:r>
    </w:p>
    <w:p w14:paraId="0F2F0AEE" w14:textId="77777777" w:rsidR="00C3298B" w:rsidRPr="00456A27" w:rsidRDefault="00C3298B" w:rsidP="00456A27">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456A27">
        <w:rPr>
          <w:rFonts w:ascii="Bookman Old Style" w:eastAsia="Bookman Old Style" w:hAnsi="Bookman Old Style" w:cs="Bookman Old Style"/>
          <w:b/>
          <w:color w:val="000000"/>
          <w:sz w:val="24"/>
          <w:szCs w:val="24"/>
        </w:rPr>
        <w:t>T Í T U L O   II</w:t>
      </w:r>
    </w:p>
    <w:p w14:paraId="1AC31871" w14:textId="77777777" w:rsidR="00C3298B" w:rsidRPr="00456A27" w:rsidRDefault="00C3298B" w:rsidP="00456A27">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456A27">
        <w:rPr>
          <w:rFonts w:ascii="Bookman Old Style" w:eastAsia="Bookman Old Style" w:hAnsi="Bookman Old Style" w:cs="Bookman Old Style"/>
          <w:b/>
          <w:color w:val="000000"/>
          <w:sz w:val="24"/>
          <w:szCs w:val="24"/>
        </w:rPr>
        <w:t>CONDICIONES PARA EL DESARROLLO, USO E IMPLEMENTACIÓN DE LA INTELIGENCIA ARTIFICIAL</w:t>
      </w:r>
    </w:p>
    <w:p w14:paraId="498D6192"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6. CLASIFICACIÓN DEL RIESGO DE LOS SISTEMAS DE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Los sistemas o programas informáticos que usen e implementen la inteligencia artificial serán identificados según el riesgo de la siguiente manera:</w:t>
      </w:r>
    </w:p>
    <w:p w14:paraId="4FE4F28F"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lastRenderedPageBreak/>
        <w:t>R</w:t>
      </w:r>
      <w:r w:rsidR="00C3298B" w:rsidRPr="00456A27">
        <w:rPr>
          <w:rFonts w:ascii="Bookman Old Style" w:eastAsia="Bookman Old Style" w:hAnsi="Bookman Old Style" w:cs="Bookman Old Style"/>
          <w:b/>
          <w:color w:val="000000"/>
          <w:sz w:val="24"/>
          <w:szCs w:val="24"/>
        </w:rPr>
        <w:t>iesgo inaceptable:</w:t>
      </w:r>
      <w:r w:rsidR="00C3298B" w:rsidRPr="00C3298B">
        <w:rPr>
          <w:rFonts w:ascii="Bookman Old Style" w:eastAsia="Bookman Old Style" w:hAnsi="Bookman Old Style" w:cs="Bookman Old Style"/>
          <w:color w:val="000000"/>
          <w:sz w:val="24"/>
          <w:szCs w:val="24"/>
        </w:rPr>
        <w:t xml:space="preserve"> Constituye riesgo inaceptable aquel que genera afectación a la seguridad, la subsistencia y los derechos humanos y fundamentales, y por tanto está proscrito.</w:t>
      </w:r>
    </w:p>
    <w:p w14:paraId="1D3A2D98"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w:t>
      </w:r>
      <w:r w:rsidR="00C3298B" w:rsidRPr="00456A27">
        <w:rPr>
          <w:rFonts w:ascii="Bookman Old Style" w:eastAsia="Bookman Old Style" w:hAnsi="Bookman Old Style" w:cs="Bookman Old Style"/>
          <w:b/>
          <w:color w:val="000000"/>
          <w:sz w:val="24"/>
          <w:szCs w:val="24"/>
        </w:rPr>
        <w:t>lto riesgo:</w:t>
      </w:r>
      <w:r w:rsidR="00C3298B" w:rsidRPr="00C3298B">
        <w:rPr>
          <w:rFonts w:ascii="Bookman Old Style" w:eastAsia="Bookman Old Style" w:hAnsi="Bookman Old Style" w:cs="Bookman Old Style"/>
          <w:color w:val="000000"/>
          <w:sz w:val="24"/>
          <w:szCs w:val="24"/>
        </w:rPr>
        <w:t xml:space="preserve"> Constituye alto riesgo aquel </w:t>
      </w:r>
      <w:r w:rsidRPr="00C3298B">
        <w:rPr>
          <w:rFonts w:ascii="Bookman Old Style" w:eastAsia="Bookman Old Style" w:hAnsi="Bookman Old Style" w:cs="Bookman Old Style"/>
          <w:color w:val="000000"/>
          <w:sz w:val="24"/>
          <w:szCs w:val="24"/>
        </w:rPr>
        <w:t>que,</w:t>
      </w:r>
      <w:r w:rsidR="00C3298B" w:rsidRPr="00C3298B">
        <w:rPr>
          <w:rFonts w:ascii="Bookman Old Style" w:eastAsia="Bookman Old Style" w:hAnsi="Bookman Old Style" w:cs="Bookman Old Style"/>
          <w:color w:val="000000"/>
          <w:sz w:val="24"/>
          <w:szCs w:val="24"/>
        </w:rPr>
        <w:t xml:space="preserve"> no siendo inaceptable, corresponde a actividades susceptibles de automatización admisibles bajo el mantenimiento de la calidad de los datos y facilidad de supervisión humana pero que eventualmente puede limitar algunos derechos humanos y fundamentales. </w:t>
      </w:r>
    </w:p>
    <w:p w14:paraId="5BF3EB4C" w14:textId="77777777" w:rsidR="00C3298B"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R</w:t>
      </w:r>
      <w:r w:rsidR="00C3298B" w:rsidRPr="00456A27">
        <w:rPr>
          <w:rFonts w:ascii="Bookman Old Style" w:eastAsia="Bookman Old Style" w:hAnsi="Bookman Old Style" w:cs="Bookman Old Style"/>
          <w:b/>
          <w:color w:val="000000"/>
          <w:sz w:val="24"/>
          <w:szCs w:val="24"/>
        </w:rPr>
        <w:t>iesgo limitado:</w:t>
      </w:r>
      <w:r w:rsidR="00C3298B" w:rsidRPr="00C3298B">
        <w:rPr>
          <w:rFonts w:ascii="Bookman Old Style" w:eastAsia="Bookman Old Style" w:hAnsi="Bookman Old Style" w:cs="Bookman Old Style"/>
          <w:color w:val="000000"/>
          <w:sz w:val="24"/>
          <w:szCs w:val="24"/>
        </w:rPr>
        <w:t xml:space="preserve"> Constituye riesgo limitado aquel que se deriva del uso e implementación de chatbots o robots conversacionales sujetos a los principios establecidos en el artículo 4° de la presente ley.</w:t>
      </w:r>
    </w:p>
    <w:p w14:paraId="37969C99" w14:textId="77777777" w:rsid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R</w:t>
      </w:r>
      <w:r w:rsidR="00C3298B" w:rsidRPr="00456A27">
        <w:rPr>
          <w:rFonts w:ascii="Bookman Old Style" w:eastAsia="Bookman Old Style" w:hAnsi="Bookman Old Style" w:cs="Bookman Old Style"/>
          <w:b/>
          <w:color w:val="000000"/>
          <w:sz w:val="24"/>
          <w:szCs w:val="24"/>
        </w:rPr>
        <w:t>iesgo nulo:</w:t>
      </w:r>
      <w:r w:rsidR="00C3298B" w:rsidRPr="00C3298B">
        <w:rPr>
          <w:rFonts w:ascii="Bookman Old Style" w:eastAsia="Bookman Old Style" w:hAnsi="Bookman Old Style" w:cs="Bookman Old Style"/>
          <w:color w:val="000000"/>
          <w:sz w:val="24"/>
          <w:szCs w:val="24"/>
        </w:rPr>
        <w:t xml:space="preserve"> Constituye riesgo nulo aquel derivado del uso e implementación de sistemas que no afectan los derechos y la seguridad de los usuarios.</w:t>
      </w:r>
    </w:p>
    <w:p w14:paraId="28027931" w14:textId="77777777" w:rsidR="00456A27" w:rsidRPr="00C3298B" w:rsidRDefault="00456A27"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p>
    <w:p w14:paraId="01F01DF4"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7. USO DE LA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Las entidades públicas y privadas podrán usar e implementar programas informáticos y procesos de automatización que faciliten la eficacia y eficiencia de su gestión, siempre que se dé cumplimiento a los principios previstos en el artículo 4° de la presente ley.</w:t>
      </w:r>
    </w:p>
    <w:p w14:paraId="73B9C240"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8. AFECTACIONES DERIVADAS DE LA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Las personas que resulten afectadas en sus derechos fundamentales con ocasión del uso e implementación de sistemas de inteligencia artificial podrán solicitar la revisión por parte de una persona natural, presentar reclamaciones y solicitudes de revocatoria ante la autoridad competente y solicitar medidas cautelares para prevenir mayores afectaciones.</w:t>
      </w:r>
    </w:p>
    <w:p w14:paraId="385DFC53"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9. TRANSPARENCIA EN EL USO DE LA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Las personas naturales o jurídicas que pretendan usar e implementar sistemas de inteligencia artificial deberán publicar una evaluación sobre los riesgos y el impacto que pudieran llegar a sufrir los derechos humanos y fundamentales, antes de desplegar dichos sistemas.</w:t>
      </w:r>
    </w:p>
    <w:p w14:paraId="08A5DC4A"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lastRenderedPageBreak/>
        <w:t>ARTÍCULO 10. CONSENTIMIENTO INFORMADO.</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En el uso de los sistemas de inteligencia artificial los usuarios deberán manifestar de manera informada, libre y voluntaria su consentimiento para asumir el riesgo que llegare a representar para sus derechos humanos y fundamentales y para el tratamiento de sus datos personales.</w:t>
      </w:r>
    </w:p>
    <w:p w14:paraId="5E00B815"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Parágrafo:</w:t>
      </w:r>
      <w:r w:rsidRPr="00C3298B">
        <w:rPr>
          <w:rFonts w:ascii="Bookman Old Style" w:eastAsia="Bookman Old Style" w:hAnsi="Bookman Old Style" w:cs="Bookman Old Style"/>
          <w:color w:val="000000"/>
          <w:sz w:val="24"/>
          <w:szCs w:val="24"/>
        </w:rPr>
        <w:t xml:space="preserve"> Los responsables en el uso, desarrollo e implementación de la Inteligencia Artificial deberán comunicar a los titulares de los datos que los mismos están interactuando con un sistema de IA y la manera en que lo está haciendo. </w:t>
      </w:r>
    </w:p>
    <w:p w14:paraId="5CA2D61E"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456A27">
        <w:rPr>
          <w:rFonts w:ascii="Bookman Old Style" w:eastAsia="Bookman Old Style" w:hAnsi="Bookman Old Style" w:cs="Bookman Old Style"/>
          <w:b/>
          <w:color w:val="000000"/>
          <w:sz w:val="24"/>
          <w:szCs w:val="24"/>
        </w:rPr>
        <w:t>ARTÍCULO 11. CAPACIDAD PARA EL USO E IMPLEMENTACIÓN DE LA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 xml:space="preserve">La edad mínima para el uso e implementación de los sistemas de inteligencia artificial es de dieciocho (18) años. </w:t>
      </w:r>
    </w:p>
    <w:p w14:paraId="6DFD2A97"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El uso e implementación de los sistemas de inteligencia artificial precisa de capacidad de ejercicio, de tal manera que tratándose de menores de edad se encuentra proscrito.</w:t>
      </w:r>
    </w:p>
    <w:p w14:paraId="2457E010"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12. GARANTÍA DE ESTABILIDAD LABORAL.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 xml:space="preserve">Las empresas públicas o privadas que con ocasión del uso e implementación de los sistemas de inteligencia artificial supriman puestos de trabajo, deberán ubicar al trabajador desfavorecido en un puesto de trabajo de iguales o superiores condiciones por un término no inferior a seis (6) meses, vencidos los cuales procederá lo correspondiente conforme a la legislación laboral vigente. </w:t>
      </w:r>
    </w:p>
    <w:p w14:paraId="5A3B8D5E" w14:textId="77777777" w:rsid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bookmarkStart w:id="1" w:name="_heading=h.gjdgxs" w:colFirst="0" w:colLast="0"/>
      <w:bookmarkEnd w:id="1"/>
      <w:r w:rsidRPr="005968AB">
        <w:rPr>
          <w:rFonts w:ascii="Bookman Old Style" w:eastAsia="Bookman Old Style" w:hAnsi="Bookman Old Style" w:cs="Bookman Old Style"/>
          <w:b/>
          <w:color w:val="000000"/>
          <w:sz w:val="24"/>
          <w:szCs w:val="24"/>
        </w:rPr>
        <w:t>ARTÍCULO 13. ACTIVIDADES EXCLUIDAS DE LOS SISTEMAS DE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Serán excluidas del uso e implementación de los sistemas de inteligencia artificial conforme a la clasificación de los riesgos prevista en el artículo 5° de la presente ley, las siguientes actividades:</w:t>
      </w:r>
    </w:p>
    <w:p w14:paraId="39AB3AE5"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w:t>
      </w:r>
      <w:r w:rsidRPr="005968AB">
        <w:rPr>
          <w:rFonts w:ascii="Bookman Old Style" w:eastAsia="Bookman Old Style" w:hAnsi="Bookman Old Style" w:cs="Bookman Old Style"/>
          <w:color w:val="000000"/>
          <w:sz w:val="24"/>
          <w:szCs w:val="24"/>
        </w:rPr>
        <w:tab/>
        <w:t>Manipulación del comportamiento</w:t>
      </w:r>
    </w:p>
    <w:p w14:paraId="78FF44AC"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2.</w:t>
      </w:r>
      <w:r w:rsidRPr="005968AB">
        <w:rPr>
          <w:rFonts w:ascii="Bookman Old Style" w:eastAsia="Bookman Old Style" w:hAnsi="Bookman Old Style" w:cs="Bookman Old Style"/>
          <w:color w:val="000000"/>
          <w:sz w:val="24"/>
          <w:szCs w:val="24"/>
        </w:rPr>
        <w:tab/>
        <w:t>Explotación de la vulnerabilidad de grupos o personas</w:t>
      </w:r>
    </w:p>
    <w:p w14:paraId="73FA6062"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3.</w:t>
      </w:r>
      <w:r w:rsidRPr="005968AB">
        <w:rPr>
          <w:rFonts w:ascii="Bookman Old Style" w:eastAsia="Bookman Old Style" w:hAnsi="Bookman Old Style" w:cs="Bookman Old Style"/>
          <w:color w:val="000000"/>
          <w:sz w:val="24"/>
          <w:szCs w:val="24"/>
        </w:rPr>
        <w:tab/>
        <w:t>Calificación de perfiles para el otorgamiento de créditos</w:t>
      </w:r>
    </w:p>
    <w:p w14:paraId="67509100"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4.</w:t>
      </w:r>
      <w:r w:rsidRPr="005968AB">
        <w:rPr>
          <w:rFonts w:ascii="Bookman Old Style" w:eastAsia="Bookman Old Style" w:hAnsi="Bookman Old Style" w:cs="Bookman Old Style"/>
          <w:color w:val="000000"/>
          <w:sz w:val="24"/>
          <w:szCs w:val="24"/>
        </w:rPr>
        <w:tab/>
        <w:t>Predicción policiva de conductas delictivas a partir de perfiles, ubicación o comportamientos pasados</w:t>
      </w:r>
    </w:p>
    <w:p w14:paraId="18D7A184"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lastRenderedPageBreak/>
        <w:t>5.</w:t>
      </w:r>
      <w:r w:rsidRPr="005968AB">
        <w:rPr>
          <w:rFonts w:ascii="Bookman Old Style" w:eastAsia="Bookman Old Style" w:hAnsi="Bookman Old Style" w:cs="Bookman Old Style"/>
          <w:color w:val="000000"/>
          <w:sz w:val="24"/>
          <w:szCs w:val="24"/>
        </w:rPr>
        <w:tab/>
        <w:t>Reconocimiento de emociones</w:t>
      </w:r>
    </w:p>
    <w:p w14:paraId="235C09BD"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6.</w:t>
      </w:r>
      <w:r w:rsidRPr="005968AB">
        <w:rPr>
          <w:rFonts w:ascii="Bookman Old Style" w:eastAsia="Bookman Old Style" w:hAnsi="Bookman Old Style" w:cs="Bookman Old Style"/>
          <w:color w:val="000000"/>
          <w:sz w:val="24"/>
          <w:szCs w:val="24"/>
        </w:rPr>
        <w:tab/>
        <w:t>Extracción no dirigida de imágenes faciales de internet para la creación de bases de datos de reconocimiento facial</w:t>
      </w:r>
    </w:p>
    <w:p w14:paraId="1CEE67C3"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7.</w:t>
      </w:r>
      <w:r w:rsidRPr="005968AB">
        <w:rPr>
          <w:rFonts w:ascii="Bookman Old Style" w:eastAsia="Bookman Old Style" w:hAnsi="Bookman Old Style" w:cs="Bookman Old Style"/>
          <w:color w:val="000000"/>
          <w:sz w:val="24"/>
          <w:szCs w:val="24"/>
        </w:rPr>
        <w:tab/>
        <w:t>Vigilancia e identificación biométrica remota en tiempo real</w:t>
      </w:r>
    </w:p>
    <w:p w14:paraId="010F5DFD"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8.</w:t>
      </w:r>
      <w:r w:rsidRPr="005968AB">
        <w:rPr>
          <w:rFonts w:ascii="Bookman Old Style" w:eastAsia="Bookman Old Style" w:hAnsi="Bookman Old Style" w:cs="Bookman Old Style"/>
          <w:color w:val="000000"/>
          <w:sz w:val="24"/>
          <w:szCs w:val="24"/>
        </w:rPr>
        <w:tab/>
        <w:t>Identificación biométrica para persecución de delitos graves sin autorización judicial</w:t>
      </w:r>
    </w:p>
    <w:p w14:paraId="45956496"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9.</w:t>
      </w:r>
      <w:r w:rsidRPr="005968AB">
        <w:rPr>
          <w:rFonts w:ascii="Bookman Old Style" w:eastAsia="Bookman Old Style" w:hAnsi="Bookman Old Style" w:cs="Bookman Old Style"/>
          <w:color w:val="000000"/>
          <w:sz w:val="24"/>
          <w:szCs w:val="24"/>
        </w:rPr>
        <w:tab/>
        <w:t xml:space="preserve">Categorización biométrica basada en género, raza, etnia, etc. </w:t>
      </w:r>
    </w:p>
    <w:p w14:paraId="0F40B8BF"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10.</w:t>
      </w:r>
      <w:r w:rsidRPr="005968AB">
        <w:rPr>
          <w:rFonts w:ascii="Bookman Old Style" w:eastAsia="Bookman Old Style" w:hAnsi="Bookman Old Style" w:cs="Bookman Old Style"/>
          <w:color w:val="000000"/>
          <w:sz w:val="24"/>
          <w:szCs w:val="24"/>
        </w:rPr>
        <w:tab/>
        <w:t>Realización de puntuación social o reputacional</w:t>
      </w:r>
    </w:p>
    <w:p w14:paraId="40FC25B1"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11.</w:t>
      </w:r>
      <w:r w:rsidRPr="005968AB">
        <w:rPr>
          <w:rFonts w:ascii="Bookman Old Style" w:eastAsia="Bookman Old Style" w:hAnsi="Bookman Old Style" w:cs="Bookman Old Style"/>
          <w:color w:val="000000"/>
          <w:sz w:val="24"/>
          <w:szCs w:val="24"/>
        </w:rPr>
        <w:tab/>
        <w:t>Influencia en votantes y resultados de procesos electorales</w:t>
      </w:r>
    </w:p>
    <w:p w14:paraId="243EDAE2"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12.</w:t>
      </w:r>
      <w:r w:rsidRPr="005968AB">
        <w:rPr>
          <w:rFonts w:ascii="Bookman Old Style" w:eastAsia="Bookman Old Style" w:hAnsi="Bookman Old Style" w:cs="Bookman Old Style"/>
          <w:color w:val="000000"/>
          <w:sz w:val="24"/>
          <w:szCs w:val="24"/>
        </w:rPr>
        <w:tab/>
        <w:t>Definición de sentencias y decisiones judiciales.</w:t>
      </w:r>
    </w:p>
    <w:p w14:paraId="1A5FD2F1" w14:textId="77777777" w:rsidR="005968AB" w:rsidRPr="005968A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13.</w:t>
      </w:r>
      <w:r w:rsidRPr="005968AB">
        <w:rPr>
          <w:rFonts w:ascii="Bookman Old Style" w:eastAsia="Bookman Old Style" w:hAnsi="Bookman Old Style" w:cs="Bookman Old Style"/>
          <w:color w:val="000000"/>
          <w:sz w:val="24"/>
          <w:szCs w:val="24"/>
        </w:rPr>
        <w:tab/>
        <w:t>Limitar la libertad de expresión</w:t>
      </w:r>
    </w:p>
    <w:p w14:paraId="692C1BEC" w14:textId="77777777" w:rsidR="005968AB" w:rsidRPr="00C3298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color w:val="000000"/>
          <w:sz w:val="24"/>
          <w:szCs w:val="24"/>
        </w:rPr>
        <w:t>14.</w:t>
      </w:r>
      <w:r w:rsidRPr="005968AB">
        <w:rPr>
          <w:rFonts w:ascii="Bookman Old Style" w:eastAsia="Bookman Old Style" w:hAnsi="Bookman Old Style" w:cs="Bookman Old Style"/>
          <w:color w:val="000000"/>
          <w:sz w:val="24"/>
          <w:szCs w:val="24"/>
        </w:rPr>
        <w:tab/>
        <w:t>Cualquier otra actividad que suponga un daño significativo para la vida, la salud, la seguridad, los derechos humanos y fundamentales o el medio ambiente, asi como dividir y enfrentar entre sí a las personas y los grupos y amenazar la coexistencia armoniosa entre los seres humanos.</w:t>
      </w:r>
    </w:p>
    <w:p w14:paraId="5C382BA9"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14. RESPONSABILIDAD LEGAL EN MATERIA DE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 xml:space="preserve">En el uso e implementación de los sistemas de inteligencia artificial la responsabilidad legal no radica en los algoritmos sino en las empresas públicas o privadas que los desarrollan y la entidad pública o privada que las contrata, quienes ostentan la capacidad de contraer obligaciones. </w:t>
      </w:r>
    </w:p>
    <w:p w14:paraId="71EFE70E"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15. RESPONSABILIDAD SOCIO AMBIENTAL.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En el uso e implementación de los sistemas de inteligencia artificial las empresas públicas o privadas que los desarrollan, propenderán por la lucha contra el cambio climático.</w:t>
      </w:r>
    </w:p>
    <w:p w14:paraId="1B7FFD2C"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T Í T U L O   III</w:t>
      </w:r>
    </w:p>
    <w:p w14:paraId="182048D8"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INSPECCIÓN, CONTROL Y VIGILANCIA EN MATERIA DE INTELIGENCIA ARTIFICIAL</w:t>
      </w:r>
    </w:p>
    <w:p w14:paraId="2997415D" w14:textId="77777777" w:rsidR="00C3298B" w:rsidRPr="005968A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lastRenderedPageBreak/>
        <w:t xml:space="preserve">ARTÍCULO 16. </w:t>
      </w:r>
      <w:r w:rsidR="00C3298B" w:rsidRPr="005968AB">
        <w:rPr>
          <w:rFonts w:ascii="Bookman Old Style" w:eastAsia="Bookman Old Style" w:hAnsi="Bookman Old Style" w:cs="Bookman Old Style"/>
          <w:b/>
          <w:color w:val="000000"/>
          <w:sz w:val="24"/>
          <w:szCs w:val="24"/>
        </w:rPr>
        <w:t>Modifíquese el artículo 19 de la Ley 1581 de 2012, el cual quedará así:</w:t>
      </w:r>
    </w:p>
    <w:p w14:paraId="2AB35DC9"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19. autoridad de protección de datos.</w:t>
      </w:r>
      <w:r w:rsidRPr="00C3298B">
        <w:rPr>
          <w:rFonts w:ascii="Bookman Old Style" w:eastAsia="Bookman Old Style" w:hAnsi="Bookman Old Style" w:cs="Bookman Old Style"/>
          <w:color w:val="000000"/>
          <w:sz w:val="24"/>
          <w:szCs w:val="24"/>
        </w:rPr>
        <w:t xml:space="preserve"> La Superintendencia de Industria y Comercio, a través de la Delegatura para la Protección de Datos Personales, ejercerá la vigilancia para garantizar que en el Tratamiento de datos personales y en el desarrollo, uso e implementación de los sistemas de inteligencia artificial, se respeten los principios, derechos, garantías y procedimientos previstos en la constitución y la presente ley.</w:t>
      </w:r>
    </w:p>
    <w:p w14:paraId="3E21A90F" w14:textId="77777777" w:rsidR="00C3298B" w:rsidRPr="00C3298B" w:rsidRDefault="005968A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P</w:t>
      </w:r>
      <w:r w:rsidR="009B2FCA">
        <w:rPr>
          <w:rFonts w:ascii="Bookman Old Style" w:eastAsia="Bookman Old Style" w:hAnsi="Bookman Old Style" w:cs="Bookman Old Style"/>
          <w:b/>
          <w:color w:val="000000"/>
          <w:sz w:val="24"/>
          <w:szCs w:val="24"/>
        </w:rPr>
        <w:t>arágrafo.</w:t>
      </w:r>
      <w:r w:rsidR="00C3298B" w:rsidRPr="00C3298B">
        <w:rPr>
          <w:rFonts w:ascii="Bookman Old Style" w:eastAsia="Bookman Old Style" w:hAnsi="Bookman Old Style" w:cs="Bookman Old Style"/>
          <w:color w:val="000000"/>
          <w:sz w:val="24"/>
          <w:szCs w:val="24"/>
        </w:rPr>
        <w:t xml:space="preserve"> El Gobierno Nacional en el plazo de seis (6) meses contados a partir de la fecha de entrada en vigencia de la presente ley modificará el Decreto 4886 de 2011 e incorporará dentro de las funciones de la Superintendencia de Industria y Comercio la inspección control y vigilancia en materia de desarrollo, uso e implementación de los sistemas de inteligencia artificial, así como la administración de la Plataforma de Certificación de Sistemas de Inteligencia Artificial.</w:t>
      </w:r>
    </w:p>
    <w:p w14:paraId="2C5F7167" w14:textId="77777777" w:rsidR="00C3298B" w:rsidRPr="005968AB" w:rsidRDefault="005968AB" w:rsidP="005968AB">
      <w:pPr>
        <w:pBdr>
          <w:top w:val="nil"/>
          <w:left w:val="nil"/>
          <w:bottom w:val="nil"/>
          <w:right w:val="nil"/>
          <w:between w:val="nil"/>
        </w:pBdr>
        <w:spacing w:before="280" w:after="280"/>
        <w:jc w:val="both"/>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 xml:space="preserve">ARTÍCULO 17. </w:t>
      </w:r>
      <w:r w:rsidR="00C3298B" w:rsidRPr="005968AB">
        <w:rPr>
          <w:rFonts w:ascii="Bookman Old Style" w:eastAsia="Bookman Old Style" w:hAnsi="Bookman Old Style" w:cs="Bookman Old Style"/>
          <w:b/>
          <w:color w:val="000000"/>
          <w:sz w:val="24"/>
          <w:szCs w:val="24"/>
        </w:rPr>
        <w:t>Modifíquese el literal a, el literal d y el literal h del artículo 21 de la Ley 1581 de 2012, el cual quedará así:</w:t>
      </w:r>
    </w:p>
    <w:p w14:paraId="648E44CC"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21. funciones.</w:t>
      </w:r>
      <w:r w:rsidRPr="00C3298B">
        <w:rPr>
          <w:rFonts w:ascii="Bookman Old Style" w:eastAsia="Bookman Old Style" w:hAnsi="Bookman Old Style" w:cs="Bookman Old Style"/>
          <w:color w:val="000000"/>
          <w:sz w:val="24"/>
          <w:szCs w:val="24"/>
        </w:rPr>
        <w:t> La Superintendencia de Industria y Comercio ejercerá las siguientes funciones:</w:t>
      </w:r>
    </w:p>
    <w:p w14:paraId="40F231C8"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a) Velar por el cumplimiento de la legislación en materia de protección de datos personales e inteligencia artificial;</w:t>
      </w:r>
    </w:p>
    <w:p w14:paraId="266CA02C"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b) Adelantar las investigaciones del caso, de oficio o a petición de parte y, como resultado de ellas, ordenar las medidas que sean necesarias para hacer efectivo el derecho de hábeas data. Para el efecto, siempre que se desconozca el derecho, podrá disponer que se conceda el acceso y suministro de los datos, la rectificación, actualización o supresión de los mismos;</w:t>
      </w:r>
    </w:p>
    <w:p w14:paraId="30497BA5"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c) Disponer el bloqueo temporal de los datos cuando, de la solicitud y de las pruebas aportadas por el Titular, se identifique un riesgo cierto de vulneración de sus derechos fundamentales, y dicho bloqueo sea necesario para protegerlos mientras se adopta una decisión definitiva;</w:t>
      </w:r>
    </w:p>
    <w:p w14:paraId="0E19439C"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lastRenderedPageBreak/>
        <w:t>d) Promover y divulgar los derechos de las personas en relación con el Tratamiento de datos personales e implementará campañas pedagógicas para capacitar e informar a los ciudadanos acerca del ejercicio y garantía del derecho fundamental a la protección de datos y de los riesgos del desarrollo, uso e implementación de la inteligencia artificial;</w:t>
      </w:r>
    </w:p>
    <w:p w14:paraId="7A4362E7"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e) Impartir instrucciones sobre las medidas y procedimientos necesarios para la adecuación de las operaciones de los Responsables del Tratamiento y Encargados del Tratamiento a las disposiciones previstas en la presente ley;</w:t>
      </w:r>
    </w:p>
    <w:p w14:paraId="063630B5"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f) Solicitar a los Responsables del Tratamiento y Encargados del Tratamiento la información que sea necesaria para el ejercicio efectivo de sus funciones.</w:t>
      </w:r>
    </w:p>
    <w:p w14:paraId="67F73BBC"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g) Proferir las declaraciones de conformidad sobre las transferencias internacionales de datos;</w:t>
      </w:r>
    </w:p>
    <w:p w14:paraId="12BB8D0B"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h) Administrar el Registro Nacional Público de Bases de Datos y la Plataforma de Certificación de Sistemas de Inteligencia Artificial, y emitir las órdenes y los actos necesarios para su administración y funcionamiento;</w:t>
      </w:r>
    </w:p>
    <w:p w14:paraId="401E8822"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i) Sugerir o recomendar los ajustes, correctivos o adecuaciones a la normatividad que resulten acordes con la evolución tecnológica, informática o comunicacional;</w:t>
      </w:r>
    </w:p>
    <w:p w14:paraId="6E594F79"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j) Requerir la colaboración de entidades internacionales o extranjeras cuando se afecten los derechos de los Titulares fuera del territorio colombiano con ocasión, entre otras, de la recolección internacional de datos personajes;</w:t>
      </w:r>
    </w:p>
    <w:p w14:paraId="734ACDF7" w14:textId="77777777" w:rsidR="00C3298B" w:rsidRPr="00C3298B" w:rsidRDefault="00C3298B" w:rsidP="005968AB">
      <w:pPr>
        <w:pBdr>
          <w:top w:val="nil"/>
          <w:left w:val="nil"/>
          <w:bottom w:val="nil"/>
          <w:right w:val="nil"/>
          <w:between w:val="nil"/>
        </w:pBdr>
        <w:spacing w:before="280" w:after="280"/>
        <w:ind w:left="70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k) Las demás que le sean asignadas por ley.</w:t>
      </w:r>
    </w:p>
    <w:p w14:paraId="17CC640F"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18. AUDITORÍA DE ALGORITMOS.</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La Superintendencia de Industria y Comercio implementará procesos de auditoría de los algoritmos utilizados por los sistemas de inteligencia artificial, para garantizar la protección de los datos personales de los usuarios y el cumplimiento de lo previsto en la presente ley.</w:t>
      </w:r>
    </w:p>
    <w:p w14:paraId="17275983"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lastRenderedPageBreak/>
        <w:t>ARTÍCULO 19.</w:t>
      </w:r>
      <w:r w:rsidRPr="00C3298B">
        <w:rPr>
          <w:rFonts w:ascii="Bookman Old Style" w:eastAsia="Bookman Old Style" w:hAnsi="Bookman Old Style" w:cs="Bookman Old Style"/>
          <w:color w:val="000000"/>
          <w:sz w:val="24"/>
          <w:szCs w:val="24"/>
        </w:rPr>
        <w:t xml:space="preserve"> </w:t>
      </w:r>
      <w:r w:rsidRPr="005968AB">
        <w:rPr>
          <w:rFonts w:ascii="Bookman Old Style" w:eastAsia="Bookman Old Style" w:hAnsi="Bookman Old Style" w:cs="Bookman Old Style"/>
          <w:b/>
          <w:color w:val="000000"/>
          <w:sz w:val="24"/>
          <w:szCs w:val="24"/>
        </w:rPr>
        <w:t>PLATAFORMA DE CERTIFICACIÓN DE SISTEMAS DE INTELIGENCIA ARTIFICIAL.</w:t>
      </w:r>
      <w:r w:rsidR="00C3298B" w:rsidRPr="005968AB">
        <w:rPr>
          <w:rFonts w:ascii="Bookman Old Style" w:eastAsia="Bookman Old Style" w:hAnsi="Bookman Old Style" w:cs="Bookman Old Style"/>
          <w:b/>
          <w:color w:val="000000"/>
          <w:sz w:val="24"/>
          <w:szCs w:val="24"/>
        </w:rPr>
        <w:t xml:space="preserve"> </w:t>
      </w:r>
      <w:r w:rsidR="00C3298B" w:rsidRPr="00C3298B">
        <w:rPr>
          <w:rFonts w:ascii="Bookman Old Style" w:eastAsia="Bookman Old Style" w:hAnsi="Bookman Old Style" w:cs="Bookman Old Style"/>
          <w:color w:val="000000"/>
          <w:sz w:val="24"/>
          <w:szCs w:val="24"/>
        </w:rPr>
        <w:t>Las empresas públicas o privadas que desarrollen sistemas de inteligencia artificial deberán registrar sus modelos en la plataforma de certificación que administrará la Superintendencia de Industria y Comercio, quien certificará que se encuentren ajustados a derechos humanos y fundamentales y autorizará su viabilidad.</w:t>
      </w:r>
    </w:p>
    <w:p w14:paraId="5BA1A3B2"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20.</w:t>
      </w:r>
      <w:r w:rsidRPr="00C3298B">
        <w:rPr>
          <w:rFonts w:ascii="Bookman Old Style" w:eastAsia="Bookman Old Style" w:hAnsi="Bookman Old Style" w:cs="Bookman Old Style"/>
          <w:color w:val="000000"/>
          <w:sz w:val="24"/>
          <w:szCs w:val="24"/>
        </w:rPr>
        <w:t xml:space="preserve"> </w:t>
      </w:r>
      <w:r w:rsidRPr="005968AB">
        <w:rPr>
          <w:rFonts w:ascii="Bookman Old Style" w:eastAsia="Bookman Old Style" w:hAnsi="Bookman Old Style" w:cs="Bookman Old Style"/>
          <w:b/>
          <w:color w:val="000000"/>
          <w:sz w:val="24"/>
          <w:szCs w:val="24"/>
        </w:rPr>
        <w:t>PROHIBICIÓN DE TRANSFERENCIA DE INFORMACIÓN.</w:t>
      </w:r>
      <w:r w:rsidR="00C3298B" w:rsidRPr="00C3298B">
        <w:rPr>
          <w:rFonts w:ascii="Bookman Old Style" w:eastAsia="Bookman Old Style" w:hAnsi="Bookman Old Style" w:cs="Bookman Old Style"/>
          <w:color w:val="000000"/>
          <w:sz w:val="24"/>
          <w:szCs w:val="24"/>
        </w:rPr>
        <w:t xml:space="preserve"> Las empresas públicas o privadas que desarrollen sistemas de inteligencia artificial, ostentan prohibición para transferir e intercambiar datos personales destinados al uso e implementación de estos sistemas, salvo que el riesgo que comporte sea nulo y se encuentre excluido de lo previsto en el artículo 13 de la presente ley.</w:t>
      </w:r>
    </w:p>
    <w:p w14:paraId="6311CAD7"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21. PROCEDIMIENTO Y SANCIONES.</w:t>
      </w:r>
      <w:r w:rsidR="00C3298B" w:rsidRPr="00C3298B">
        <w:rPr>
          <w:rFonts w:ascii="Bookman Old Style" w:eastAsia="Bookman Old Style" w:hAnsi="Bookman Old Style" w:cs="Bookman Old Style"/>
          <w:color w:val="000000"/>
          <w:sz w:val="24"/>
          <w:szCs w:val="24"/>
        </w:rPr>
        <w:t xml:space="preserve"> La Superintendencia de Industria y Comercio determinará el incumplimiento de lo dispuesto en la presente ley y adoptará las medidas o impondrá las sanciones correspondientes conforme al Capítulo II del Título VII de la Ley 1581 de 2012.</w:t>
      </w:r>
    </w:p>
    <w:p w14:paraId="3C9F7884"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T Í T U L O   IV</w:t>
      </w:r>
    </w:p>
    <w:p w14:paraId="4CDF34B2"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MEDIDAS PARA EL APOYO Y PROMOCIÓN DE LA INTELIGENCIA ARTIFICIAL</w:t>
      </w:r>
    </w:p>
    <w:p w14:paraId="29F57B37"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22. FORMACIÓN EN MATERIA DE INTELIGENCIA ARTIFICIAL.</w:t>
      </w:r>
      <w:r w:rsidR="00C3298B" w:rsidRPr="00C3298B">
        <w:rPr>
          <w:rFonts w:ascii="Bookman Old Style" w:eastAsia="Bookman Old Style" w:hAnsi="Bookman Old Style" w:cs="Bookman Old Style"/>
          <w:color w:val="000000"/>
          <w:sz w:val="24"/>
          <w:szCs w:val="24"/>
        </w:rPr>
        <w:t xml:space="preserve"> El gobierno nacional a través del Ministerio de tecnologías de la información y las comunicaciones adoptará medidas para que la sociedad conozca las implicaciones y riesgos para los derechos humanos y fundamentales del desarrollo, uso e implementación de la inteligencia artificial, especialmente a través de la formación de los servidores públicos sobre la materia.</w:t>
      </w:r>
    </w:p>
    <w:p w14:paraId="4984ABB2"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23. APRENDIZAJE DE LA INTELIGENCIA ARTIFICIAL.</w:t>
      </w:r>
      <w:r w:rsidRPr="00C3298B">
        <w:rPr>
          <w:rFonts w:ascii="Bookman Old Style" w:eastAsia="Bookman Old Style" w:hAnsi="Bookman Old Style" w:cs="Bookman Old Style"/>
          <w:color w:val="000000"/>
          <w:sz w:val="24"/>
          <w:szCs w:val="24"/>
        </w:rPr>
        <w:t xml:space="preserve"> </w:t>
      </w:r>
      <w:r w:rsidR="00C3298B" w:rsidRPr="00C3298B">
        <w:rPr>
          <w:rFonts w:ascii="Bookman Old Style" w:eastAsia="Bookman Old Style" w:hAnsi="Bookman Old Style" w:cs="Bookman Old Style"/>
          <w:color w:val="000000"/>
          <w:sz w:val="24"/>
          <w:szCs w:val="24"/>
        </w:rPr>
        <w:t>El gobierno nacional a través del Ministerio de tecnologías de la información y las comunicaciones promoverá el desarrollo de campañas de prevención y capacitación sobre los riesgos del uso e implementación de la inteligencia artificial para los estudiantes de las instituciones públicas y privadas.</w:t>
      </w:r>
    </w:p>
    <w:p w14:paraId="01BBA6C8" w14:textId="77777777" w:rsidR="00C3298B" w:rsidRPr="00C3298B" w:rsidRDefault="00C3298B" w:rsidP="00C3298B">
      <w:pPr>
        <w:pBdr>
          <w:top w:val="nil"/>
          <w:left w:val="nil"/>
          <w:bottom w:val="nil"/>
          <w:right w:val="nil"/>
          <w:between w:val="nil"/>
        </w:pBdr>
        <w:spacing w:before="280" w:after="280"/>
        <w:jc w:val="both"/>
        <w:rPr>
          <w:rFonts w:ascii="Bookman Old Style" w:eastAsia="Bookman Old Style" w:hAnsi="Bookman Old Style" w:cs="Bookman Old Style"/>
          <w:bCs/>
          <w:color w:val="000000"/>
          <w:sz w:val="24"/>
          <w:szCs w:val="24"/>
        </w:rPr>
      </w:pPr>
      <w:r w:rsidRPr="005968AB">
        <w:rPr>
          <w:rFonts w:ascii="Bookman Old Style" w:eastAsia="Bookman Old Style" w:hAnsi="Bookman Old Style" w:cs="Bookman Old Style"/>
          <w:b/>
          <w:color w:val="000000"/>
          <w:sz w:val="24"/>
          <w:szCs w:val="24"/>
        </w:rPr>
        <w:t>ARTICULO 24. PROMOCIÓN E INCENTIVO AL DESARROLLO E IMPLEMENTACION DE LA INTELIGENCIA ARTIFICIAL:</w:t>
      </w:r>
      <w:r w:rsidRPr="00C3298B">
        <w:rPr>
          <w:rFonts w:ascii="Bookman Old Style" w:eastAsia="Bookman Old Style" w:hAnsi="Bookman Old Style" w:cs="Bookman Old Style"/>
          <w:bCs/>
          <w:color w:val="000000"/>
          <w:sz w:val="24"/>
          <w:szCs w:val="24"/>
        </w:rPr>
        <w:t xml:space="preserve"> </w:t>
      </w:r>
      <w:r w:rsidRPr="00C3298B">
        <w:rPr>
          <w:rFonts w:ascii="Bookman Old Style" w:eastAsia="Bookman Old Style" w:hAnsi="Bookman Old Style" w:cs="Bookman Old Style"/>
          <w:color w:val="000000"/>
          <w:sz w:val="24"/>
          <w:szCs w:val="24"/>
        </w:rPr>
        <w:t xml:space="preserve">El gobierno </w:t>
      </w:r>
      <w:r w:rsidRPr="00C3298B">
        <w:rPr>
          <w:rFonts w:ascii="Bookman Old Style" w:eastAsia="Bookman Old Style" w:hAnsi="Bookman Old Style" w:cs="Bookman Old Style"/>
          <w:color w:val="000000"/>
          <w:sz w:val="24"/>
          <w:szCs w:val="24"/>
        </w:rPr>
        <w:lastRenderedPageBreak/>
        <w:t>nacional a través del Ministerio de tecnologías de la información y las comunicaciones promoverá el desarrollo, uso e implementación de las inteligencias artificiales y procesos de automatización para promover la educación, la ciencia, la identidad y diversidad culturales y facilitar los procesos al interior de las entidades estatales para la organización de información.</w:t>
      </w:r>
    </w:p>
    <w:p w14:paraId="16F9F557"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T Í T U L O   V</w:t>
      </w:r>
    </w:p>
    <w:p w14:paraId="0E45C44E" w14:textId="77777777" w:rsidR="00C3298B" w:rsidRPr="005968AB" w:rsidRDefault="00C3298B" w:rsidP="005968AB">
      <w:pPr>
        <w:pBdr>
          <w:top w:val="nil"/>
          <w:left w:val="nil"/>
          <w:bottom w:val="nil"/>
          <w:right w:val="nil"/>
          <w:between w:val="nil"/>
        </w:pBdr>
        <w:spacing w:before="280" w:after="280"/>
        <w:jc w:val="center"/>
        <w:rPr>
          <w:rFonts w:ascii="Bookman Old Style" w:eastAsia="Bookman Old Style" w:hAnsi="Bookman Old Style" w:cs="Bookman Old Style"/>
          <w:b/>
          <w:color w:val="000000"/>
          <w:sz w:val="24"/>
          <w:szCs w:val="24"/>
        </w:rPr>
      </w:pPr>
      <w:r w:rsidRPr="005968AB">
        <w:rPr>
          <w:rFonts w:ascii="Bookman Old Style" w:eastAsia="Bookman Old Style" w:hAnsi="Bookman Old Style" w:cs="Bookman Old Style"/>
          <w:b/>
          <w:color w:val="000000"/>
          <w:sz w:val="24"/>
          <w:szCs w:val="24"/>
        </w:rPr>
        <w:t>OTRAS DISPOSICIONES</w:t>
      </w:r>
    </w:p>
    <w:p w14:paraId="2588A992"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 xml:space="preserve">ARTÍCULO 25. RÉGIMEN DE TRANSICIÓN. </w:t>
      </w:r>
      <w:r w:rsidR="00C3298B" w:rsidRPr="00C3298B">
        <w:rPr>
          <w:rFonts w:ascii="Bookman Old Style" w:eastAsia="Bookman Old Style" w:hAnsi="Bookman Old Style" w:cs="Bookman Old Style"/>
          <w:color w:val="000000"/>
          <w:sz w:val="24"/>
          <w:szCs w:val="24"/>
        </w:rPr>
        <w:t>Las empresas públicas o privadas que a la fecha de entrada en vigencia de la presente ley desarrollen, usen o implementen sistemas de inteligencia artificial o alguna de las actividades acá reguladas tendrán un plazo de hasta seis (6) meses para adecuarse a las disposiciones contempladas en esta ley.</w:t>
      </w:r>
    </w:p>
    <w:p w14:paraId="06DE1997" w14:textId="77777777" w:rsidR="00C3298B" w:rsidRP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26. REGLAMENTACIÓN.</w:t>
      </w:r>
      <w:r w:rsidR="00C3298B" w:rsidRPr="00C3298B">
        <w:rPr>
          <w:rFonts w:ascii="Bookman Old Style" w:eastAsia="Bookman Old Style" w:hAnsi="Bookman Old Style" w:cs="Bookman Old Style"/>
          <w:color w:val="000000"/>
          <w:sz w:val="24"/>
          <w:szCs w:val="24"/>
        </w:rPr>
        <w:t xml:space="preserve"> El Gobierno Nacional reglamentará dentro del año siguiente a la promulgación de la presente ley todos los asuntos que para efectos de aplicación de la presente ley sean de su competencia, especialmente, lo concerniente a la ejecución de las auditorías de algoritmos y los términos de funcionamiento de la plataforma de certificación de sistemas de inteligencia artificial.</w:t>
      </w:r>
    </w:p>
    <w:p w14:paraId="11885747" w14:textId="77777777" w:rsidR="00C3298B" w:rsidRDefault="005968AB" w:rsidP="00C3298B">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5968AB">
        <w:rPr>
          <w:rFonts w:ascii="Bookman Old Style" w:eastAsia="Bookman Old Style" w:hAnsi="Bookman Old Style" w:cs="Bookman Old Style"/>
          <w:b/>
          <w:color w:val="000000"/>
          <w:sz w:val="24"/>
          <w:szCs w:val="24"/>
        </w:rPr>
        <w:t>ARTÍCULO 27. VIGENCIA Y DEROGACIONES.</w:t>
      </w:r>
      <w:r w:rsidR="00C3298B" w:rsidRPr="00C3298B">
        <w:rPr>
          <w:rFonts w:ascii="Bookman Old Style" w:eastAsia="Bookman Old Style" w:hAnsi="Bookman Old Style" w:cs="Bookman Old Style"/>
          <w:color w:val="000000"/>
          <w:sz w:val="24"/>
          <w:szCs w:val="24"/>
        </w:rPr>
        <w:t xml:space="preserve"> La presente ley rige a partir de su sanción y publicación en el Diario Oficial y deroga todas las disposiciones legales o reglamentarias que le sean contrarias.</w:t>
      </w:r>
    </w:p>
    <w:p w14:paraId="3688F2B8" w14:textId="77777777" w:rsidR="009B2FCA" w:rsidRDefault="009B2FCA" w:rsidP="009B2FCA">
      <w:pPr>
        <w:spacing w:after="0"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Cordialmente, </w:t>
      </w:r>
    </w:p>
    <w:p w14:paraId="3ED451F6" w14:textId="77777777" w:rsidR="00303F84" w:rsidRPr="009B2FCA" w:rsidRDefault="00303F84" w:rsidP="009B2FCA">
      <w:pPr>
        <w:spacing w:after="0" w:line="240" w:lineRule="auto"/>
        <w:jc w:val="both"/>
        <w:rPr>
          <w:rFonts w:ascii="Bookman Old Style" w:eastAsia="Bookman Old Style" w:hAnsi="Bookman Old Style" w:cs="Bookman Old Style"/>
          <w:sz w:val="24"/>
          <w:szCs w:val="24"/>
        </w:rPr>
      </w:pPr>
    </w:p>
    <w:tbl>
      <w:tblPr>
        <w:tblpPr w:leftFromText="141" w:rightFromText="141" w:vertAnchor="text" w:tblpY="65"/>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B2FCA" w14:paraId="461BBEA2" w14:textId="77777777" w:rsidTr="00947218">
        <w:tc>
          <w:tcPr>
            <w:tcW w:w="4414" w:type="dxa"/>
          </w:tcPr>
          <w:p w14:paraId="72593164" w14:textId="77777777" w:rsidR="009B2FCA" w:rsidRDefault="009B2FCA" w:rsidP="00947218">
            <w:pPr>
              <w:jc w:val="center"/>
              <w:rPr>
                <w:rFonts w:ascii="Bookman Old Style" w:eastAsia="Bookman Old Style" w:hAnsi="Bookman Old Style" w:cs="Bookman Old Style"/>
                <w:b/>
              </w:rPr>
            </w:pPr>
          </w:p>
          <w:p w14:paraId="62C8C02A" w14:textId="77777777" w:rsidR="009B2FCA" w:rsidRDefault="009B2FCA" w:rsidP="00947218">
            <w:pPr>
              <w:jc w:val="center"/>
              <w:rPr>
                <w:rFonts w:ascii="Bookman Old Style" w:eastAsia="Bookman Old Style" w:hAnsi="Bookman Old Style" w:cs="Bookman Old Style"/>
                <w:b/>
              </w:rPr>
            </w:pPr>
          </w:p>
          <w:p w14:paraId="4A80E865" w14:textId="77777777" w:rsidR="009B2FCA" w:rsidRDefault="009B2FCA" w:rsidP="009B2FCA">
            <w:pPr>
              <w:contextualSpacing/>
              <w:jc w:val="center"/>
              <w:rPr>
                <w:rFonts w:ascii="Bookman Old Style" w:eastAsia="Bookman Old Style" w:hAnsi="Bookman Old Style" w:cs="Bookman Old Style"/>
                <w:b/>
              </w:rPr>
            </w:pPr>
            <w:r>
              <w:rPr>
                <w:rFonts w:ascii="Bookman Old Style" w:eastAsia="Bookman Old Style" w:hAnsi="Bookman Old Style" w:cs="Bookman Old Style"/>
                <w:b/>
              </w:rPr>
              <w:t>KARYME COTES MARTÍNEZ</w:t>
            </w:r>
          </w:p>
          <w:p w14:paraId="4E603C10" w14:textId="77777777" w:rsidR="009B2FCA" w:rsidRDefault="009B2FCA" w:rsidP="009B2FCA">
            <w:pPr>
              <w:contextualSpacing/>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tc>
        <w:tc>
          <w:tcPr>
            <w:tcW w:w="4414" w:type="dxa"/>
          </w:tcPr>
          <w:p w14:paraId="5CED15B1" w14:textId="77777777" w:rsidR="009B2FCA" w:rsidRDefault="009B2FCA" w:rsidP="00947218">
            <w:pPr>
              <w:jc w:val="both"/>
              <w:rPr>
                <w:rFonts w:ascii="Bookman Old Style" w:eastAsia="Bookman Old Style" w:hAnsi="Bookman Old Style" w:cs="Bookman Old Style"/>
              </w:rPr>
            </w:pPr>
          </w:p>
          <w:p w14:paraId="0E660603" w14:textId="77777777" w:rsidR="009B2FCA" w:rsidRDefault="009B2FCA" w:rsidP="00947218">
            <w:pPr>
              <w:jc w:val="both"/>
              <w:rPr>
                <w:rFonts w:ascii="Bookman Old Style" w:eastAsia="Bookman Old Style" w:hAnsi="Bookman Old Style" w:cs="Bookman Old Style"/>
              </w:rPr>
            </w:pPr>
          </w:p>
          <w:p w14:paraId="7B016B57" w14:textId="77777777" w:rsidR="009B2FCA" w:rsidRDefault="009B2FCA" w:rsidP="009B2FCA">
            <w:pPr>
              <w:contextualSpacing/>
              <w:jc w:val="center"/>
              <w:rPr>
                <w:rFonts w:ascii="Bookman Old Style" w:eastAsia="Bookman Old Style" w:hAnsi="Bookman Old Style" w:cs="Bookman Old Style"/>
              </w:rPr>
            </w:pPr>
            <w:r>
              <w:rPr>
                <w:rFonts w:ascii="Bookman Old Style" w:eastAsia="Bookman Old Style" w:hAnsi="Bookman Old Style" w:cs="Bookman Old Style"/>
                <w:b/>
              </w:rPr>
              <w:t>ALIRIO URIBE MUÑÓZ</w:t>
            </w:r>
          </w:p>
          <w:p w14:paraId="007FE909" w14:textId="77777777" w:rsidR="009B2FCA" w:rsidRPr="009B2FCA" w:rsidRDefault="009B2FCA" w:rsidP="009B2FCA">
            <w:pPr>
              <w:contextualSpacing/>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tc>
      </w:tr>
      <w:tr w:rsidR="009B2FCA" w14:paraId="04FF9B6C" w14:textId="77777777" w:rsidTr="009B2FCA">
        <w:trPr>
          <w:trHeight w:val="1240"/>
        </w:trPr>
        <w:tc>
          <w:tcPr>
            <w:tcW w:w="4414" w:type="dxa"/>
          </w:tcPr>
          <w:p w14:paraId="316D27D1" w14:textId="77777777" w:rsidR="009B2FCA" w:rsidRDefault="009B2FCA" w:rsidP="00947218">
            <w:pPr>
              <w:jc w:val="center"/>
              <w:rPr>
                <w:rFonts w:ascii="Bookman Old Style" w:eastAsia="Bookman Old Style" w:hAnsi="Bookman Old Style" w:cs="Bookman Old Style"/>
                <w:b/>
              </w:rPr>
            </w:pPr>
          </w:p>
        </w:tc>
        <w:tc>
          <w:tcPr>
            <w:tcW w:w="4414" w:type="dxa"/>
          </w:tcPr>
          <w:p w14:paraId="439D4F7F" w14:textId="77777777" w:rsidR="009B2FCA" w:rsidRDefault="009B2FCA" w:rsidP="00947218">
            <w:pPr>
              <w:jc w:val="both"/>
              <w:rPr>
                <w:rFonts w:ascii="Bookman Old Style" w:eastAsia="Bookman Old Style" w:hAnsi="Bookman Old Style" w:cs="Bookman Old Style"/>
              </w:rPr>
            </w:pPr>
          </w:p>
        </w:tc>
      </w:tr>
    </w:tbl>
    <w:p w14:paraId="5CFA415E" w14:textId="77777777" w:rsidR="009B2FCA" w:rsidRPr="00C3298B" w:rsidRDefault="009B2FCA" w:rsidP="00C3298B">
      <w:pPr>
        <w:rPr>
          <w:rFonts w:ascii="Bookman Old Style" w:eastAsia="Bookman Old Style" w:hAnsi="Bookman Old Style" w:cs="Bookman Old Style"/>
          <w:b/>
          <w:sz w:val="24"/>
          <w:szCs w:val="24"/>
        </w:rPr>
      </w:pPr>
    </w:p>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8"/>
        <w:gridCol w:w="4458"/>
      </w:tblGrid>
      <w:tr w:rsidR="009B2FCA" w14:paraId="5035DE88" w14:textId="77777777" w:rsidTr="00947218">
        <w:trPr>
          <w:trHeight w:val="1363"/>
        </w:trPr>
        <w:tc>
          <w:tcPr>
            <w:tcW w:w="4458" w:type="dxa"/>
          </w:tcPr>
          <w:p w14:paraId="07AAA9C4" w14:textId="77777777" w:rsidR="009B2FCA" w:rsidRDefault="009B2FCA" w:rsidP="00947218">
            <w:pPr>
              <w:jc w:val="both"/>
              <w:rPr>
                <w:rFonts w:ascii="Bookman Old Style" w:eastAsia="Bookman Old Style" w:hAnsi="Bookman Old Style" w:cs="Bookman Old Style"/>
              </w:rPr>
            </w:pPr>
          </w:p>
        </w:tc>
        <w:tc>
          <w:tcPr>
            <w:tcW w:w="4458" w:type="dxa"/>
          </w:tcPr>
          <w:p w14:paraId="393F65EC" w14:textId="77777777" w:rsidR="009B2FCA" w:rsidRDefault="009B2FCA" w:rsidP="00947218">
            <w:pPr>
              <w:jc w:val="both"/>
              <w:rPr>
                <w:rFonts w:ascii="Bookman Old Style" w:eastAsia="Bookman Old Style" w:hAnsi="Bookman Old Style" w:cs="Bookman Old Style"/>
              </w:rPr>
            </w:pPr>
          </w:p>
        </w:tc>
      </w:tr>
      <w:tr w:rsidR="009B2FCA" w14:paraId="6024A34D" w14:textId="77777777" w:rsidTr="00947218">
        <w:trPr>
          <w:trHeight w:val="1439"/>
        </w:trPr>
        <w:tc>
          <w:tcPr>
            <w:tcW w:w="4458" w:type="dxa"/>
          </w:tcPr>
          <w:p w14:paraId="3DA6F268" w14:textId="77777777" w:rsidR="009B2FCA" w:rsidRDefault="009B2FCA" w:rsidP="00947218">
            <w:pPr>
              <w:jc w:val="both"/>
              <w:rPr>
                <w:rFonts w:ascii="Bookman Old Style" w:eastAsia="Bookman Old Style" w:hAnsi="Bookman Old Style" w:cs="Bookman Old Style"/>
              </w:rPr>
            </w:pPr>
          </w:p>
        </w:tc>
        <w:tc>
          <w:tcPr>
            <w:tcW w:w="4458" w:type="dxa"/>
          </w:tcPr>
          <w:p w14:paraId="48AE41F1" w14:textId="77777777" w:rsidR="009B2FCA" w:rsidRDefault="009B2FCA" w:rsidP="00947218">
            <w:pPr>
              <w:jc w:val="both"/>
              <w:rPr>
                <w:rFonts w:ascii="Bookman Old Style" w:eastAsia="Bookman Old Style" w:hAnsi="Bookman Old Style" w:cs="Bookman Old Style"/>
              </w:rPr>
            </w:pPr>
          </w:p>
        </w:tc>
      </w:tr>
      <w:tr w:rsidR="009B2FCA" w14:paraId="599099E7" w14:textId="77777777" w:rsidTr="00947218">
        <w:trPr>
          <w:trHeight w:val="1363"/>
        </w:trPr>
        <w:tc>
          <w:tcPr>
            <w:tcW w:w="4458" w:type="dxa"/>
          </w:tcPr>
          <w:p w14:paraId="78999843" w14:textId="77777777" w:rsidR="009B2FCA" w:rsidRDefault="009B2FCA" w:rsidP="00947218">
            <w:pPr>
              <w:jc w:val="both"/>
              <w:rPr>
                <w:rFonts w:ascii="Bookman Old Style" w:eastAsia="Bookman Old Style" w:hAnsi="Bookman Old Style" w:cs="Bookman Old Style"/>
              </w:rPr>
            </w:pPr>
          </w:p>
        </w:tc>
        <w:tc>
          <w:tcPr>
            <w:tcW w:w="4458" w:type="dxa"/>
          </w:tcPr>
          <w:p w14:paraId="377333A2" w14:textId="77777777" w:rsidR="009B2FCA" w:rsidRDefault="009B2FCA" w:rsidP="00947218">
            <w:pPr>
              <w:jc w:val="both"/>
              <w:rPr>
                <w:rFonts w:ascii="Bookman Old Style" w:eastAsia="Bookman Old Style" w:hAnsi="Bookman Old Style" w:cs="Bookman Old Style"/>
              </w:rPr>
            </w:pPr>
          </w:p>
        </w:tc>
      </w:tr>
      <w:tr w:rsidR="009B2FCA" w14:paraId="3D0C24C0" w14:textId="77777777" w:rsidTr="00947218">
        <w:trPr>
          <w:trHeight w:val="1439"/>
        </w:trPr>
        <w:tc>
          <w:tcPr>
            <w:tcW w:w="4458" w:type="dxa"/>
          </w:tcPr>
          <w:p w14:paraId="1B6D1AC5" w14:textId="77777777" w:rsidR="009B2FCA" w:rsidRDefault="009B2FCA" w:rsidP="00947218">
            <w:pPr>
              <w:jc w:val="both"/>
              <w:rPr>
                <w:rFonts w:ascii="Bookman Old Style" w:eastAsia="Bookman Old Style" w:hAnsi="Bookman Old Style" w:cs="Bookman Old Style"/>
              </w:rPr>
            </w:pPr>
          </w:p>
        </w:tc>
        <w:tc>
          <w:tcPr>
            <w:tcW w:w="4458" w:type="dxa"/>
          </w:tcPr>
          <w:p w14:paraId="43A8C7F7" w14:textId="77777777" w:rsidR="009B2FCA" w:rsidRDefault="009B2FCA" w:rsidP="00947218">
            <w:pPr>
              <w:jc w:val="both"/>
              <w:rPr>
                <w:rFonts w:ascii="Bookman Old Style" w:eastAsia="Bookman Old Style" w:hAnsi="Bookman Old Style" w:cs="Bookman Old Style"/>
              </w:rPr>
            </w:pPr>
          </w:p>
        </w:tc>
      </w:tr>
      <w:tr w:rsidR="009B2FCA" w14:paraId="273E1C1D" w14:textId="77777777" w:rsidTr="00947218">
        <w:trPr>
          <w:trHeight w:val="1363"/>
        </w:trPr>
        <w:tc>
          <w:tcPr>
            <w:tcW w:w="4458" w:type="dxa"/>
          </w:tcPr>
          <w:p w14:paraId="15EAA14F" w14:textId="77777777" w:rsidR="009B2FCA" w:rsidRDefault="009B2FCA" w:rsidP="00947218">
            <w:pPr>
              <w:jc w:val="both"/>
              <w:rPr>
                <w:rFonts w:ascii="Bookman Old Style" w:eastAsia="Bookman Old Style" w:hAnsi="Bookman Old Style" w:cs="Bookman Old Style"/>
              </w:rPr>
            </w:pPr>
          </w:p>
        </w:tc>
        <w:tc>
          <w:tcPr>
            <w:tcW w:w="4458" w:type="dxa"/>
          </w:tcPr>
          <w:p w14:paraId="653B1915" w14:textId="77777777" w:rsidR="009B2FCA" w:rsidRDefault="009B2FCA" w:rsidP="00947218">
            <w:pPr>
              <w:jc w:val="both"/>
              <w:rPr>
                <w:rFonts w:ascii="Bookman Old Style" w:eastAsia="Bookman Old Style" w:hAnsi="Bookman Old Style" w:cs="Bookman Old Style"/>
              </w:rPr>
            </w:pPr>
          </w:p>
        </w:tc>
      </w:tr>
      <w:tr w:rsidR="009B2FCA" w14:paraId="69B156A0" w14:textId="77777777" w:rsidTr="00947218">
        <w:trPr>
          <w:trHeight w:val="1439"/>
        </w:trPr>
        <w:tc>
          <w:tcPr>
            <w:tcW w:w="4458" w:type="dxa"/>
          </w:tcPr>
          <w:p w14:paraId="14C94414" w14:textId="77777777" w:rsidR="009B2FCA" w:rsidRDefault="009B2FCA" w:rsidP="00947218">
            <w:pPr>
              <w:jc w:val="both"/>
              <w:rPr>
                <w:rFonts w:ascii="Bookman Old Style" w:eastAsia="Bookman Old Style" w:hAnsi="Bookman Old Style" w:cs="Bookman Old Style"/>
              </w:rPr>
            </w:pPr>
          </w:p>
        </w:tc>
        <w:tc>
          <w:tcPr>
            <w:tcW w:w="4458" w:type="dxa"/>
          </w:tcPr>
          <w:p w14:paraId="084567F2" w14:textId="77777777" w:rsidR="009B2FCA" w:rsidRDefault="009B2FCA" w:rsidP="00947218">
            <w:pPr>
              <w:jc w:val="both"/>
              <w:rPr>
                <w:rFonts w:ascii="Bookman Old Style" w:eastAsia="Bookman Old Style" w:hAnsi="Bookman Old Style" w:cs="Bookman Old Style"/>
              </w:rPr>
            </w:pPr>
          </w:p>
        </w:tc>
      </w:tr>
      <w:tr w:rsidR="009B2FCA" w14:paraId="3E2117B8" w14:textId="77777777" w:rsidTr="00947218">
        <w:trPr>
          <w:trHeight w:val="1363"/>
        </w:trPr>
        <w:tc>
          <w:tcPr>
            <w:tcW w:w="4458" w:type="dxa"/>
          </w:tcPr>
          <w:p w14:paraId="53551C4E" w14:textId="77777777" w:rsidR="009B2FCA" w:rsidRDefault="009B2FCA" w:rsidP="00947218">
            <w:pPr>
              <w:jc w:val="both"/>
              <w:rPr>
                <w:rFonts w:ascii="Bookman Old Style" w:eastAsia="Bookman Old Style" w:hAnsi="Bookman Old Style" w:cs="Bookman Old Style"/>
              </w:rPr>
            </w:pPr>
          </w:p>
        </w:tc>
        <w:tc>
          <w:tcPr>
            <w:tcW w:w="4458" w:type="dxa"/>
          </w:tcPr>
          <w:p w14:paraId="032BB08F" w14:textId="77777777" w:rsidR="009B2FCA" w:rsidRDefault="009B2FCA" w:rsidP="00947218">
            <w:pPr>
              <w:jc w:val="both"/>
              <w:rPr>
                <w:rFonts w:ascii="Bookman Old Style" w:eastAsia="Bookman Old Style" w:hAnsi="Bookman Old Style" w:cs="Bookman Old Style"/>
              </w:rPr>
            </w:pPr>
          </w:p>
        </w:tc>
      </w:tr>
      <w:tr w:rsidR="009B2FCA" w14:paraId="73C3840E" w14:textId="77777777" w:rsidTr="00947218">
        <w:trPr>
          <w:trHeight w:val="1363"/>
        </w:trPr>
        <w:tc>
          <w:tcPr>
            <w:tcW w:w="4458" w:type="dxa"/>
          </w:tcPr>
          <w:p w14:paraId="1697C969" w14:textId="77777777" w:rsidR="009B2FCA" w:rsidRDefault="009B2FCA" w:rsidP="00947218">
            <w:pPr>
              <w:jc w:val="both"/>
              <w:rPr>
                <w:rFonts w:ascii="Bookman Old Style" w:eastAsia="Bookman Old Style" w:hAnsi="Bookman Old Style" w:cs="Bookman Old Style"/>
              </w:rPr>
            </w:pPr>
          </w:p>
        </w:tc>
        <w:tc>
          <w:tcPr>
            <w:tcW w:w="4458" w:type="dxa"/>
          </w:tcPr>
          <w:p w14:paraId="58168A46" w14:textId="77777777" w:rsidR="009B2FCA" w:rsidRDefault="009B2FCA" w:rsidP="00947218">
            <w:pPr>
              <w:jc w:val="both"/>
              <w:rPr>
                <w:rFonts w:ascii="Bookman Old Style" w:eastAsia="Bookman Old Style" w:hAnsi="Bookman Old Style" w:cs="Bookman Old Style"/>
              </w:rPr>
            </w:pPr>
          </w:p>
        </w:tc>
      </w:tr>
    </w:tbl>
    <w:p w14:paraId="2EAE0B1E" w14:textId="77777777" w:rsidR="00C3298B" w:rsidRPr="00C3298B" w:rsidRDefault="00C3298B" w:rsidP="00C3298B">
      <w:pPr>
        <w:rPr>
          <w:rFonts w:ascii="Bookman Old Style" w:eastAsia="Bookman Old Style" w:hAnsi="Bookman Old Style" w:cs="Bookman Old Style"/>
          <w:b/>
          <w:sz w:val="24"/>
          <w:szCs w:val="24"/>
        </w:rPr>
      </w:pPr>
    </w:p>
    <w:p w14:paraId="65ED4574" w14:textId="77777777" w:rsidR="00C3298B" w:rsidRPr="00C3298B" w:rsidRDefault="00C3298B" w:rsidP="00C3298B">
      <w:pPr>
        <w:spacing w:after="0"/>
        <w:jc w:val="both"/>
        <w:rPr>
          <w:rFonts w:ascii="Bookman Old Style" w:eastAsia="Bookman Old Style" w:hAnsi="Bookman Old Style" w:cs="Bookman Old Style"/>
          <w:b/>
          <w:smallCaps/>
          <w:sz w:val="24"/>
          <w:szCs w:val="24"/>
        </w:rPr>
      </w:pPr>
    </w:p>
    <w:p w14:paraId="5A8E5EE3" w14:textId="77777777" w:rsidR="00C3298B" w:rsidRPr="00C3298B" w:rsidRDefault="00C3298B" w:rsidP="00C3298B">
      <w:pPr>
        <w:spacing w:after="0"/>
        <w:jc w:val="both"/>
        <w:rPr>
          <w:rFonts w:ascii="Bookman Old Style" w:eastAsia="Bookman Old Style" w:hAnsi="Bookman Old Style" w:cs="Bookman Old Style"/>
          <w:b/>
          <w:smallCaps/>
          <w:sz w:val="24"/>
          <w:szCs w:val="24"/>
        </w:rPr>
      </w:pPr>
    </w:p>
    <w:p w14:paraId="22DB0BF3" w14:textId="77777777" w:rsidR="00C3298B" w:rsidRPr="009B2FCA" w:rsidRDefault="00303F84" w:rsidP="009B2FCA">
      <w:pPr>
        <w:jc w:val="center"/>
        <w:rPr>
          <w:rFonts w:ascii="Bookman Old Style" w:hAnsi="Bookman Old Style"/>
          <w:b/>
          <w:sz w:val="24"/>
        </w:rPr>
      </w:pPr>
      <w:r w:rsidRPr="009B2FCA">
        <w:rPr>
          <w:rFonts w:ascii="Bookman Old Style" w:hAnsi="Bookman Old Style"/>
          <w:b/>
          <w:sz w:val="24"/>
        </w:rPr>
        <w:lastRenderedPageBreak/>
        <w:t>E X P O S I C I O N   DE   M O T I V O S</w:t>
      </w:r>
    </w:p>
    <w:p w14:paraId="486628D1" w14:textId="77777777" w:rsidR="00C3298B" w:rsidRPr="00C3298B" w:rsidRDefault="00C3298B" w:rsidP="00C3298B">
      <w:pPr>
        <w:spacing w:before="11" w:after="6" w:line="240" w:lineRule="auto"/>
        <w:ind w:firstLine="283"/>
        <w:jc w:val="center"/>
        <w:rPr>
          <w:rFonts w:ascii="Bookman Old Style" w:eastAsia="Bookman Old Style" w:hAnsi="Bookman Old Style" w:cs="Bookman Old Style"/>
          <w:b/>
          <w:smallCaps/>
          <w:sz w:val="24"/>
          <w:szCs w:val="24"/>
        </w:rPr>
      </w:pPr>
    </w:p>
    <w:p w14:paraId="1238B4F7" w14:textId="77777777" w:rsidR="00C3298B" w:rsidRPr="00303F84" w:rsidRDefault="009B2FCA" w:rsidP="00303F84">
      <w:pPr>
        <w:pStyle w:val="Prrafodelista"/>
        <w:numPr>
          <w:ilvl w:val="0"/>
          <w:numId w:val="6"/>
        </w:numPr>
        <w:rPr>
          <w:rFonts w:ascii="Bookman Old Style" w:hAnsi="Bookman Old Style"/>
          <w:b/>
          <w:sz w:val="24"/>
        </w:rPr>
      </w:pPr>
      <w:r w:rsidRPr="00303F84">
        <w:rPr>
          <w:rFonts w:ascii="Bookman Old Style" w:hAnsi="Bookman Old Style"/>
          <w:b/>
          <w:sz w:val="24"/>
        </w:rPr>
        <w:t>OBJETO DEL PROYECTO</w:t>
      </w:r>
    </w:p>
    <w:p w14:paraId="248335CF"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b/>
          <w:smallCaps/>
          <w:sz w:val="24"/>
          <w:szCs w:val="24"/>
        </w:rPr>
      </w:pPr>
    </w:p>
    <w:p w14:paraId="58B40404" w14:textId="77777777" w:rsidR="00C3298B" w:rsidRPr="00C3298B" w:rsidRDefault="00C3298B" w:rsidP="00C3298B">
      <w:pPr>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El proyecto de ley estatutaria tiene por objeto ajustar a estándares de respeto y garantía de los derechos humanos la inteligencia artificial, regular su desarrollo y establecer límites frente a su uso e implementación por parte de personas naturales y jurídicas. En esa medida, pretende establecer un marco jurídico seguro para el desarrollo tecnológico sin que represente cargas administrativas innecesarias para las pymes y las empresas emergentes, pero basado en consideraciones éticas y en el respeto de los derechos humanos y fundamentales; para tal efecto, propugna por la adaptación, aplicación y ejecución de las normas ya existentes en materia de protección de datos personales.</w:t>
      </w:r>
    </w:p>
    <w:p w14:paraId="0D0AE1AD" w14:textId="77777777" w:rsidR="00C3298B" w:rsidRPr="00C3298B" w:rsidRDefault="00C3298B" w:rsidP="00C3298B">
      <w:pPr>
        <w:pBdr>
          <w:top w:val="nil"/>
          <w:left w:val="nil"/>
          <w:bottom w:val="nil"/>
          <w:right w:val="nil"/>
          <w:between w:val="nil"/>
        </w:pBdr>
        <w:spacing w:before="11" w:after="6" w:line="240" w:lineRule="auto"/>
        <w:ind w:left="643"/>
        <w:jc w:val="both"/>
        <w:rPr>
          <w:rFonts w:ascii="Bookman Old Style" w:eastAsia="Bookman Old Style" w:hAnsi="Bookman Old Style" w:cs="Bookman Old Style"/>
          <w:b/>
          <w:smallCaps/>
          <w:sz w:val="24"/>
          <w:szCs w:val="24"/>
        </w:rPr>
      </w:pPr>
    </w:p>
    <w:p w14:paraId="7580639D" w14:textId="77777777" w:rsidR="00C3298B" w:rsidRPr="00303F84" w:rsidRDefault="009B2FCA" w:rsidP="00303F84">
      <w:pPr>
        <w:pStyle w:val="Prrafodelista"/>
        <w:numPr>
          <w:ilvl w:val="0"/>
          <w:numId w:val="6"/>
        </w:numPr>
        <w:rPr>
          <w:rFonts w:ascii="Bookman Old Style" w:hAnsi="Bookman Old Style"/>
          <w:b/>
          <w:sz w:val="24"/>
        </w:rPr>
      </w:pPr>
      <w:r w:rsidRPr="00303F84">
        <w:rPr>
          <w:rFonts w:ascii="Bookman Old Style" w:hAnsi="Bookman Old Style"/>
          <w:b/>
          <w:sz w:val="24"/>
        </w:rPr>
        <w:t>JUSTIFICACIÓN DEL PROYECTO</w:t>
      </w:r>
    </w:p>
    <w:p w14:paraId="597A7FF6"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mallCaps/>
          <w:sz w:val="24"/>
          <w:szCs w:val="24"/>
        </w:rPr>
      </w:pPr>
    </w:p>
    <w:p w14:paraId="4B8BD90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mallCaps/>
          <w:sz w:val="24"/>
          <w:szCs w:val="24"/>
        </w:rPr>
      </w:pPr>
    </w:p>
    <w:p w14:paraId="4F10F6FF"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highlight w:val="white"/>
        </w:rPr>
        <w:t>La realidad mundial demuestra que la inteligencia artificial (IA) hoy constituye una industria que viene creciendo a niveles acelerados, dadas las altas inversiones que están haciendo las empresas para ser mas competitivas en el mercado. No obstante, los sistemas de inteligencia artificial al parecer comportan una amenaza para los derechos fundamentales teniendo en cuenta que los algoritmos que permiten el desarrollo, uso e implementación de estos sistemas, se basan en conjuntos masivos de datos personales que son recopilados, procesados y almacenados sin sujeción a los regímenes de protección de datos personales.</w:t>
      </w:r>
    </w:p>
    <w:p w14:paraId="58E0633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334BE364"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El rápido avance de la tecnología, el campo cyber y la Inteligencia Artificial le pone grandes retos a la legislación, a la justicia y a la garantía de los Derechos Humanos en nuestro país. Colombia cuenta con importantes avances en la protección de datos y en la elaboración de herramientas legales que nos ponen junto a Uruguay y Brasil en la punta del liderazgo continental para crear un clima adecuado en materia de Inteligencia Artificial desde los más altos niveles según el Índice Latinoamericano de Inteligencia Artificial (Ilia), elaborado por el Centro Nacional de Inteligencia Artificial de Chile (Cenia). </w:t>
      </w:r>
      <w:r w:rsidR="009B2FCA">
        <w:rPr>
          <w:rFonts w:ascii="Bookman Old Style" w:eastAsia="Bookman Old Style" w:hAnsi="Bookman Old Style" w:cs="Bookman Old Style"/>
          <w:sz w:val="24"/>
          <w:szCs w:val="24"/>
        </w:rPr>
        <w:t xml:space="preserve">Sin embargo, </w:t>
      </w:r>
      <w:r w:rsidRPr="00C3298B">
        <w:rPr>
          <w:rFonts w:ascii="Bookman Old Style" w:eastAsia="Bookman Old Style" w:hAnsi="Bookman Old Style" w:cs="Bookman Old Style"/>
          <w:sz w:val="24"/>
          <w:szCs w:val="24"/>
        </w:rPr>
        <w:t>debemos partir de que no todo desarrollo tecnológico necesariamente es beneficioso para la humanidad.</w:t>
      </w:r>
    </w:p>
    <w:p w14:paraId="015F5111"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40B5B591"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lastRenderedPageBreak/>
        <w:t>Desde que se empezó a utilizar la IA hemos visto sus beneficios, pero también los riesgos para los derechos humanos que supone su uso indiscriminado, como una consecuencia natural, a veces inevitable, y tolerable a cambio de los beneficios que ofrece la inteligencia artificial como la agilidad y la eficiencia en las relaciones. con la administración pública, gestión documental, detección de errores procesales, etc. Sin embargo, se ha observado que los derechos humanos corren un riesgo considerable. Por ejemplo, en el ámbito de la salud, la inteligencia artificial puede realizar diagnósticos y predicción de riesgos, prescripción de tratamientos, cirugía robótica, asistencia médica remota, procesamiento de imágenes, mapas sanitarios, control de transmisión de enfermedades, etc. Sin embargo, existen riesgos claros en términos de impactar el derecho a la integridad personal, el procesamiento de datos personales altamente sensibles, la autonomía del paciente, el consentimiento y el control humano sobre la toma de decisiones finales del sistema. En el ámbito de la seguridad civil, la Inteligencia Artificial puede resultar muy útil en identificación biométrica, registro de actividades, análisis de comportamiento, interceptación y análisis de comunicaciones, búsqueda de personas desaparecidas, etc. Sin embargo, se volvió a llamar la atención sobre los riesgos del uso indebido de datos personales, en particular la preocupación por la dependencia de sesgos discriminatorios en la inteligencia prospectiva con fines de vigilancia policial predictiva</w:t>
      </w:r>
      <w:r w:rsidRPr="00C3298B">
        <w:rPr>
          <w:rStyle w:val="Refdenotaalpie"/>
          <w:rFonts w:ascii="Bookman Old Style" w:eastAsia="Bookman Old Style" w:hAnsi="Bookman Old Style" w:cs="Bookman Old Style"/>
          <w:sz w:val="24"/>
          <w:szCs w:val="24"/>
        </w:rPr>
        <w:footnoteReference w:id="1"/>
      </w:r>
      <w:r w:rsidRPr="00C3298B">
        <w:rPr>
          <w:rFonts w:ascii="Bookman Old Style" w:eastAsia="Bookman Old Style" w:hAnsi="Bookman Old Style" w:cs="Bookman Old Style"/>
          <w:sz w:val="24"/>
          <w:szCs w:val="24"/>
        </w:rPr>
        <w:t>.</w:t>
      </w:r>
    </w:p>
    <w:p w14:paraId="160364F4"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1B44AB73"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En el ámbito judicial, la inteligencia artificial facilita la sistematización y búsqueda de información jurídica útil para jueces, abogados y la sociedad en su conjunto, y permite predicciones basadas en decisiones judiciales que se han dictado y pueden ser reproducidas, pero no tiene capacidad de argumentación y garantiza imparcialidad, precisión y decisión adecuada, lo que la hace vulnerable a "resultados inexactos, discriminatorios, sesgos implícitos o inherentes"</w:t>
      </w:r>
      <w:r w:rsidRPr="00C3298B">
        <w:rPr>
          <w:rStyle w:val="Refdenotaalpie"/>
          <w:rFonts w:ascii="Bookman Old Style" w:eastAsia="Bookman Old Style" w:hAnsi="Bookman Old Style" w:cs="Bookman Old Style"/>
          <w:sz w:val="24"/>
          <w:szCs w:val="24"/>
        </w:rPr>
        <w:footnoteReference w:id="2"/>
      </w:r>
      <w:r w:rsidRPr="00C3298B">
        <w:rPr>
          <w:rFonts w:ascii="Bookman Old Style" w:eastAsia="Bookman Old Style" w:hAnsi="Bookman Old Style" w:cs="Bookman Old Style"/>
          <w:sz w:val="24"/>
          <w:szCs w:val="24"/>
        </w:rPr>
        <w:t>. Acelerar el acceso a la justicia no conducirá a una sociedad más justa si no se garantiza que las decisiones del sistema sean justas, correctas y ajustadas a derecho.</w:t>
      </w:r>
    </w:p>
    <w:p w14:paraId="34722735"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1A56DA39"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Considerando lo anterior, cada vez con más fuerza nos acercamos al consenso de la necesidad de crear unos marcos regulatorios para el desarrollo y uso de Inteligencias Artificiales de manera acorde con los Derechos Humanos y Fundamentales. En el mundo, cada vez más los </w:t>
      </w:r>
      <w:r w:rsidRPr="00C3298B">
        <w:rPr>
          <w:rFonts w:ascii="Bookman Old Style" w:eastAsia="Bookman Old Style" w:hAnsi="Bookman Old Style" w:cs="Bookman Old Style"/>
          <w:sz w:val="24"/>
          <w:szCs w:val="24"/>
        </w:rPr>
        <w:lastRenderedPageBreak/>
        <w:t xml:space="preserve">Estados se alejan de los principios de “soft law” o leyes blandas que dejan a la ética de los desarrolladores el control sobre la Inteligencia Artificial y se acercan más a la creación de estándares legales que regulen la temática. </w:t>
      </w:r>
    </w:p>
    <w:p w14:paraId="10FE7881"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0D619E65"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75063EA3"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r w:rsidRPr="00C3298B">
        <w:rPr>
          <w:rFonts w:ascii="Bookman Old Style" w:eastAsia="Bookman Old Style" w:hAnsi="Bookman Old Style" w:cs="Bookman Old Style"/>
          <w:sz w:val="24"/>
          <w:szCs w:val="24"/>
          <w:highlight w:val="white"/>
        </w:rPr>
        <w:t>En términos del parlamento europeo el desarrollo de la inteligencia artificial comprende la cuarta revolución industrial, cuyo impacto acelerado en la tecnología ya implementada por la administración pública, el comercio electrónico, el sector servicios, entre otros, hace necesaria la regulación del proceso de transformación digital que está sufriendo la sociedad con énfasis en el pleno respeto de los derechos fundamentales y en el verdadero servicio a la humanidad; en efecto, para el 2030 se prevé que la inteligencia artificial contribuirá con más de 12 billones de dólares a la economía mundial, siendo la economía digital la puerta de entrada de nuevos productos y servicios que incrementará las alternativas que tienen los consumidores para satisfacer sus necesidades</w:t>
      </w:r>
      <w:r w:rsidRPr="00C3298B">
        <w:rPr>
          <w:rFonts w:ascii="Bookman Old Style" w:eastAsia="Bookman Old Style" w:hAnsi="Bookman Old Style" w:cs="Bookman Old Style"/>
          <w:sz w:val="24"/>
          <w:szCs w:val="24"/>
          <w:vertAlign w:val="superscript"/>
        </w:rPr>
        <w:footnoteReference w:id="3"/>
      </w:r>
      <w:r w:rsidRPr="00C3298B">
        <w:rPr>
          <w:rFonts w:ascii="Bookman Old Style" w:eastAsia="Bookman Old Style" w:hAnsi="Bookman Old Style" w:cs="Bookman Old Style"/>
          <w:sz w:val="24"/>
          <w:szCs w:val="24"/>
          <w:highlight w:val="white"/>
        </w:rPr>
        <w:t>.</w:t>
      </w:r>
    </w:p>
    <w:p w14:paraId="0B9DEB07"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p>
    <w:p w14:paraId="444E301A"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r w:rsidRPr="00C3298B">
        <w:rPr>
          <w:rFonts w:ascii="Bookman Old Style" w:eastAsia="Bookman Old Style" w:hAnsi="Bookman Old Style" w:cs="Bookman Old Style"/>
          <w:sz w:val="24"/>
          <w:szCs w:val="24"/>
          <w:highlight w:val="white"/>
        </w:rPr>
        <w:t xml:space="preserve">En ese orden de ideas, dado el riesgo de reducción de la intervención humana, el reemplazo de la autonomía humana, la pérdida de libertad individual, y la gran cantidad de datos personales que usan y fluyen a través de los sistemas de inteligencia artificial, se justifica la generación de herramientas que permitan el avance de la tecnología y el crecimiento de la economía de manera segura. Países como China desde hace una década viene destacando el uso de la inteligencia artificial en el mejoramiento de las capacidades militares y promueve </w:t>
      </w:r>
      <w:r w:rsidRPr="00C3298B">
        <w:rPr>
          <w:rFonts w:ascii="Bookman Old Style" w:eastAsia="Bookman Old Style" w:hAnsi="Bookman Old Style" w:cs="Bookman Old Style"/>
          <w:sz w:val="24"/>
          <w:szCs w:val="24"/>
        </w:rPr>
        <w:t>las asociaciones internacionales de IA como una forma de exportar sus propias prácticas de vigilancia basadas en la IA, su sistema de puntuación ciudadana y sus estrategias de censura, de tal manera que su planteamiento está basado en el despliegue de la IA basadas en normas correspondientes con la ideología del gobierno. Tanto Estados Unidos como China has venido acelerando el uso de la IA en el sector público y en el sector privado, a tal punto que sus inversiones representan más del 80 % de las inversiones anuales de capital en IA y tecnología de cadena de bloques.</w:t>
      </w:r>
    </w:p>
    <w:p w14:paraId="06983701"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p>
    <w:p w14:paraId="1882E7E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highlight w:val="white"/>
        </w:rPr>
        <w:t>Resulta por tanto preciso regular la IA, fundamentalmente porque las empresas públicas y privadas la están usando para tomar decisiones que impactan la vida de las personas, las cuales generan unas responsabilidades que deben ser asumidas por tales empresas, siendo plausible el establecimiento de una legislación que le permita a las personas recurrir a las autoridades para garantizar sus derechos fundamentales.</w:t>
      </w:r>
      <w:r w:rsidRPr="00C3298B">
        <w:rPr>
          <w:rFonts w:ascii="Bookman Old Style" w:eastAsia="Bookman Old Style" w:hAnsi="Bookman Old Style" w:cs="Bookman Old Style"/>
          <w:sz w:val="24"/>
          <w:szCs w:val="24"/>
        </w:rPr>
        <w:t xml:space="preserve"> En el caso de Estados Unidos se han aprobado proyectos de ley para regular </w:t>
      </w:r>
      <w:r w:rsidRPr="00C3298B">
        <w:rPr>
          <w:rFonts w:ascii="Bookman Old Style" w:eastAsia="Bookman Old Style" w:hAnsi="Bookman Old Style" w:cs="Bookman Old Style"/>
          <w:sz w:val="24"/>
          <w:szCs w:val="24"/>
        </w:rPr>
        <w:lastRenderedPageBreak/>
        <w:t xml:space="preserve">asuntos específicos de la inteligencia artificial como la tecnología de reconocimiento facial, y así mismo, la Casa Blanca publicó diez principios para la regulación de la inteligencia artificial. </w:t>
      </w:r>
    </w:p>
    <w:p w14:paraId="71062CED"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14F674EA"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r w:rsidRPr="00C3298B">
        <w:rPr>
          <w:rFonts w:ascii="Bookman Old Style" w:eastAsia="Bookman Old Style" w:hAnsi="Bookman Old Style" w:cs="Bookman Old Style"/>
          <w:sz w:val="24"/>
          <w:szCs w:val="24"/>
        </w:rPr>
        <w:t>No obstante, la iniciativa más ambiciosa la ha hecho la Unión Europea y se fundamenta en el riesgo que los sistemas de inteligencia artificial representen para las libertades individuales. Igualmente ha habido iniciativas multilaterales para desarrollar directrices y normas para un uso ético y responsable de la IA, como los principios de la OCDE sobre la IA que Colombia acogió conforme lo manifestó el Ministerio de las TIC.</w:t>
      </w:r>
      <w:r w:rsidRPr="00C3298B">
        <w:rPr>
          <w:rFonts w:ascii="Bookman Old Style" w:eastAsia="Bookman Old Style" w:hAnsi="Bookman Old Style" w:cs="Bookman Old Style"/>
          <w:sz w:val="24"/>
          <w:szCs w:val="24"/>
          <w:vertAlign w:val="superscript"/>
        </w:rPr>
        <w:footnoteReference w:id="4"/>
      </w:r>
      <w:r w:rsidRPr="00C3298B">
        <w:rPr>
          <w:rFonts w:ascii="Bookman Old Style" w:eastAsia="Bookman Old Style" w:hAnsi="Bookman Old Style" w:cs="Bookman Old Style"/>
          <w:sz w:val="24"/>
          <w:szCs w:val="24"/>
        </w:rPr>
        <w:t>, la Alianza Mundial sobre la IA, la Recomendación sobre la ética de la IA de la Unesco que Colombia también adoptó según manifestó el Ministerio de las TIC</w:t>
      </w:r>
      <w:r w:rsidRPr="00C3298B">
        <w:rPr>
          <w:rFonts w:ascii="Bookman Old Style" w:eastAsia="Bookman Old Style" w:hAnsi="Bookman Old Style" w:cs="Bookman Old Style"/>
          <w:sz w:val="24"/>
          <w:szCs w:val="24"/>
          <w:vertAlign w:val="superscript"/>
        </w:rPr>
        <w:footnoteReference w:id="5"/>
      </w:r>
      <w:r w:rsidRPr="00C3298B">
        <w:rPr>
          <w:rFonts w:ascii="Bookman Old Style" w:eastAsia="Bookman Old Style" w:hAnsi="Bookman Old Style" w:cs="Bookman Old Style"/>
          <w:sz w:val="24"/>
          <w:szCs w:val="24"/>
        </w:rPr>
        <w:t xml:space="preserve">, las recomendaciones del Consejo de Europa sobre un posible marco jurídico en materia de IA y las orientaciones políticas de UNICEF sobre la IA para los niños. Pero respecto a iniciativas de regulación sobre la materia tenemos otros países como Chile (Decreto 20 del 3 de diciembre de 2021 sobre </w:t>
      </w:r>
      <w:r w:rsidRPr="00C3298B">
        <w:rPr>
          <w:rFonts w:ascii="Bookman Old Style" w:eastAsia="Bookman Old Style" w:hAnsi="Bookman Old Style" w:cs="Bookman Old Style"/>
          <w:sz w:val="24"/>
          <w:szCs w:val="24"/>
          <w:highlight w:val="white"/>
        </w:rPr>
        <w:t>la Política Nacional de Inteligencia Artificial), Argentina (</w:t>
      </w:r>
      <w:r w:rsidRPr="00C3298B">
        <w:rPr>
          <w:rFonts w:ascii="Bookman Old Style" w:eastAsia="Bookman Old Style" w:hAnsi="Bookman Old Style" w:cs="Bookman Old Style"/>
          <w:sz w:val="24"/>
          <w:szCs w:val="24"/>
        </w:rPr>
        <w:t>Plan Nacional de IA de agosto de 2018), Uruguay (Ley de protección de datos de 2008, Art. 16), México (</w:t>
      </w:r>
      <w:r w:rsidRPr="00C3298B">
        <w:rPr>
          <w:rFonts w:ascii="Bookman Old Style" w:eastAsia="Bookman Old Style" w:hAnsi="Bookman Old Style" w:cs="Bookman Old Style"/>
          <w:sz w:val="24"/>
          <w:szCs w:val="24"/>
          <w:highlight w:val="white"/>
        </w:rPr>
        <w:t xml:space="preserve">Ley Federal de Telecomunicaciones y Radiodifusión - 2014, Decreto Ejecutivo Nacional de Ventanilla Única - 2015, y el Decreto Ejecutivo sobre Datos Abiertos - 2015), Brasil (Decreto Ejecutivo N.° 9.854 del 25 de junio de 2019, Decreto Ejecutivo N.° 9.319, del 21 de marzo de 2018, Ley General de Protección de Datos Personales de Brasil, Ley de Derechos de Internet de Brasil - Marco Civil de Internet, Decreto No. 8.771 de 2016). </w:t>
      </w:r>
    </w:p>
    <w:p w14:paraId="4DEFEF6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highlight w:val="white"/>
        </w:rPr>
      </w:pPr>
    </w:p>
    <w:p w14:paraId="08BF22D3"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Tratándose de Colombia la inteligencia artificial ha tenido avances a partir del Documento CONPES 3975 del 8 de noviembre de 2019 que definió la inteligencia artificial como “un campo de la informática dedicado a resolver problemas cognitivos comúnmente asociados con la inteligencia humana o seres inteligentes, entendidos como aquellos que pueden adaptarse a situaciones cambiantes. Su base es el desarrollo de sistemas informáticos, la disponibilidad de datos y los algoritmos”; sin embargo, más allá de este documento su importancia no se ha visto reflejada en el desarrollo legislativo local, ni a nivel regional, comoquiera que no existe una legislación específicamente diseñada para regular el uso de la inteligencia artificial, sino que se ha implementado a partir de normativas existentes en materia de </w:t>
      </w:r>
      <w:r w:rsidRPr="00C3298B">
        <w:rPr>
          <w:rFonts w:ascii="Bookman Old Style" w:eastAsia="Bookman Old Style" w:hAnsi="Bookman Old Style" w:cs="Bookman Old Style"/>
          <w:sz w:val="24"/>
          <w:szCs w:val="24"/>
        </w:rPr>
        <w:lastRenderedPageBreak/>
        <w:t>protección de datos, de protección de los consumidores y de competencia empresarial. Así mismo, la Unesco ha formulado recomendaciones de ética para el sector público y privado en materia de inteligencia artificial para la región, que Colombia acogió y se circunscriben la</w:t>
      </w:r>
      <w:r w:rsidRPr="00C3298B">
        <w:rPr>
          <w:rFonts w:ascii="Bookman Old Style" w:eastAsia="Bookman Old Style" w:hAnsi="Bookman Old Style" w:cs="Bookman Old Style"/>
          <w:color w:val="000000"/>
          <w:sz w:val="24"/>
          <w:szCs w:val="24"/>
        </w:rPr>
        <w:t xml:space="preserve"> a</w:t>
      </w:r>
      <w:r w:rsidRPr="00C3298B">
        <w:rPr>
          <w:rFonts w:ascii="Bookman Old Style" w:eastAsia="Bookman Old Style" w:hAnsi="Bookman Old Style" w:cs="Bookman Old Style"/>
          <w:color w:val="000000"/>
          <w:sz w:val="24"/>
          <w:szCs w:val="24"/>
          <w:highlight w:val="white"/>
        </w:rPr>
        <w:t xml:space="preserve">plicación de principios éticos como: transparencia, explicación, privacidad, control humano de las decisiones, seguridad, responsabilidad, no discriminación, inclusión, prevalencia de los derechos de niños, </w:t>
      </w:r>
      <w:r w:rsidRPr="00C3298B">
        <w:rPr>
          <w:rFonts w:ascii="Bookman Old Style" w:eastAsia="Bookman Old Style" w:hAnsi="Bookman Old Style" w:cs="Bookman Old Style"/>
          <w:sz w:val="24"/>
          <w:szCs w:val="24"/>
          <w:highlight w:val="white"/>
        </w:rPr>
        <w:t>niñas y adolescentes y beneficio social.</w:t>
      </w:r>
      <w:r w:rsidRPr="00C3298B">
        <w:rPr>
          <w:rFonts w:ascii="Bookman Old Style" w:eastAsia="Bookman Old Style" w:hAnsi="Bookman Old Style" w:cs="Bookman Old Style"/>
          <w:sz w:val="24"/>
          <w:szCs w:val="24"/>
        </w:rPr>
        <w:t xml:space="preserve">  </w:t>
      </w:r>
    </w:p>
    <w:p w14:paraId="27A7B02D"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671E78AD" w14:textId="77777777" w:rsidR="00C3298B" w:rsidRPr="009B2FCA"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b/>
          <w:sz w:val="24"/>
          <w:szCs w:val="24"/>
        </w:rPr>
      </w:pPr>
      <w:r w:rsidRPr="009B2FCA">
        <w:rPr>
          <w:rFonts w:ascii="Bookman Old Style" w:eastAsia="Bookman Old Style" w:hAnsi="Bookman Old Style" w:cs="Bookman Old Style"/>
          <w:b/>
          <w:sz w:val="24"/>
          <w:szCs w:val="24"/>
        </w:rPr>
        <w:t>2.1. Experiencia internacional</w:t>
      </w:r>
    </w:p>
    <w:p w14:paraId="170865E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38394B3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La inteligencia artificial está generando debates de índole éticos y jurídicos muy interesantes en el ámbito internacional debido a los riesgos que genera su propia existencia, la necesidad de que avance con una regulación clara y la necesidad de que esta eventual regulación garantice un enfoque de derechos humanos. En la vanguardia de estos debates han estado la Unión Europea y Naciones Unidas quienes han contribuido a construir dos modelos internacionales de regulación con dos enfoques diferentes y complementarios. </w:t>
      </w:r>
    </w:p>
    <w:p w14:paraId="09068A9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AFEA88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La propuesta de las Naciones Unidas por medio de la UNESCO, en 2021, fijó el primer acuerdo internacional sobre la ética de la inteligencia artificial. Este acuerdo insiste en la estricta protección a los datos personales y el control de los mismos por las personas, en la estricta prohibición del uso de la Inteligencia Artificial para la clasificación social y la vigilancia masiva y también el acuerdo marca la necesidad de supervisar  y evaluar la Inteligencia Artificial y sus impactos en las personas, la sociedad y el medio ambiente.</w:t>
      </w:r>
    </w:p>
    <w:p w14:paraId="76932FCE"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079DF4F7"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Estas recomendaciones recogen exigencias de índole ético para que sean acogidas por los distintos países que le apuesten a regular la materia en la Recomendación sobre la Ética de la Inteligencia Artificial. Sus objetivos por una parte son (i) brindar un marco universal de valores, principios y acciones para orientar a los Estados en la formulación de leyes y políticas, (ii) orientar a las personas que participan en los sistemas de Inteligencia Artificial en una perspectiva ética, (iii) promover el respeto a los derechos humanos, (iv) fomentar el diálogo multidisciplinario sobre cuestiones éticas de la inteligencia artificial y (v) impulsar el acceso equitativo sobre beneficios y avances de la inteligencia artificial. </w:t>
      </w:r>
    </w:p>
    <w:p w14:paraId="51CB5669"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00BEDA35"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La recomendación se divide entre valores (de un contenido más ideal), principios (de un contenido más concreto) y exigencias más concretas que se agrupan en un ámbito de acción política y aplicación:</w:t>
      </w:r>
    </w:p>
    <w:p w14:paraId="34C5D17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24025EA9" w14:textId="77777777" w:rsidR="00C3298B" w:rsidRPr="00C3298B" w:rsidRDefault="00C3298B" w:rsidP="00C3298B">
      <w:pPr>
        <w:pStyle w:val="Prrafodelista"/>
        <w:numPr>
          <w:ilvl w:val="0"/>
          <w:numId w:val="4"/>
        </w:num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lastRenderedPageBreak/>
        <w:t xml:space="preserve">Hay cuatro valores que son (i) el respeto, protección y promoción de los derechos humanos, libertades fundamentales y la dignidad humana, (ii) prosperidad del medio ambiente y los ecosistemas, (iii) garantizar la diversidad y la inclusión y (iv) vivir en sociedades pacíficas justas e interconectadas. </w:t>
      </w:r>
    </w:p>
    <w:p w14:paraId="09F64BDB" w14:textId="77777777" w:rsidR="00C3298B" w:rsidRPr="00C3298B" w:rsidRDefault="00C3298B" w:rsidP="00C3298B">
      <w:pPr>
        <w:pStyle w:val="Prrafodelista"/>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48C8D335" w14:textId="77777777" w:rsidR="00C3298B" w:rsidRPr="00C3298B" w:rsidRDefault="00C3298B" w:rsidP="00C3298B">
      <w:pPr>
        <w:pStyle w:val="Prrafodelista"/>
        <w:numPr>
          <w:ilvl w:val="0"/>
          <w:numId w:val="4"/>
        </w:num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Los principios enunciados son (i) el de proporcionalidad e inocuidad, (ii) seguridad y protección, (iii) equidad y no discriminación, (iv) sostenibilidad, (v) derecho a la intimidad y protección de datos, (vi) supervisión y decisión humanas, (vii) transparencia y explicabilidad, (vii) responsabilidad y rendición de cuentas, (viii) sensibilización y educación y (ix) gobernanza y colaboración adaptativas y de múltiples partes interesadas.</w:t>
      </w:r>
    </w:p>
    <w:p w14:paraId="5B5B74C0" w14:textId="77777777" w:rsidR="00C3298B" w:rsidRPr="00C3298B" w:rsidRDefault="00C3298B" w:rsidP="00C3298B">
      <w:pPr>
        <w:pStyle w:val="Prrafodelista"/>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E9ADFD6" w14:textId="77777777" w:rsidR="00C3298B" w:rsidRPr="00C3298B" w:rsidRDefault="00C3298B" w:rsidP="00C3298B">
      <w:pPr>
        <w:pStyle w:val="Prrafodelista"/>
        <w:numPr>
          <w:ilvl w:val="0"/>
          <w:numId w:val="4"/>
        </w:num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Los ámbitos de acción política que se proponen en el proyecto son una forma en que la UNESCO propone materializar valores y principios y son once: (i) Evaluación del impacto ético, (ii) gobernanza y administración éticas, (iii) política de datos, (iv) desarrollo y cooperación internacional, (v) medio ambiente y ecosistemas, (vi) género, (vii) cultura, (viii) educación e investigación, (ix) comunicación e información, (x) economía y trabajo y (xi) salud y bienestar social.</w:t>
      </w:r>
    </w:p>
    <w:p w14:paraId="7689F8C5"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26198A37"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3CD82225"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Es así que esta propuesta legislativa, recoge los principios y valores sugeridos por la UNESCO en esta propuesta de reglamentación. Por otro lado, dentro del contenido destacado de esta declaración está el reconocimiento de un enfoque de derechos amplio, promoviendo que todo desarrollo debe ser un avance para la humanidad,  insistiendo en que no exista brechas en la seguridad y protección de las personas y sus datos, que haya una constante auditoria y supervisión, así como que haya transparencia sobre los algoritmos de Inteligencia Artificial cuando toman determinada decisión. De la misma manera, al reconocerse un ámbito amplio de acción política se describen acciones concomitantes que se deben tomar al momento de regular un fenómeno como el de la inteligencia artificial, por lo que la UNESCO hace un llamado a que si bien un instrumento para reglamentar la inteligencia artificial es necesario, hay muchos temas con reglamentaciones propias que deben ser tenidas en cuenta.    </w:t>
      </w:r>
    </w:p>
    <w:p w14:paraId="4AA2A7D4"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D0D474E"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i/>
          <w:iCs/>
          <w:sz w:val="24"/>
          <w:szCs w:val="24"/>
        </w:rPr>
      </w:pPr>
      <w:r w:rsidRPr="00C3298B">
        <w:rPr>
          <w:rFonts w:ascii="Bookman Old Style" w:eastAsia="Bookman Old Style" w:hAnsi="Bookman Old Style" w:cs="Bookman Old Style"/>
          <w:sz w:val="24"/>
          <w:szCs w:val="24"/>
        </w:rPr>
        <w:t xml:space="preserve">También la Organización para la Cooperación y el Desarrollo Económicos  -OCDE- ha fijado algunos parámetros para la el desarrollo de la inteligencia artificial, entre otros son de resaltar las recomendaciones que dio la OCDE para los Gobiernos en América Latina y el Caribe. Señala la OCDE que  los Gobiernos precisan </w:t>
      </w:r>
      <w:r w:rsidRPr="00C3298B">
        <w:rPr>
          <w:rFonts w:ascii="Bookman Old Style" w:eastAsia="Bookman Old Style" w:hAnsi="Bookman Old Style" w:cs="Bookman Old Style"/>
          <w:i/>
          <w:iCs/>
          <w:sz w:val="24"/>
          <w:szCs w:val="24"/>
        </w:rPr>
        <w:t xml:space="preserve">desarrollar un enfoque responsable, fiable y centrado en </w:t>
      </w:r>
      <w:r w:rsidRPr="00C3298B">
        <w:rPr>
          <w:rFonts w:ascii="Bookman Old Style" w:eastAsia="Bookman Old Style" w:hAnsi="Bookman Old Style" w:cs="Bookman Old Style"/>
          <w:i/>
          <w:iCs/>
          <w:sz w:val="24"/>
          <w:szCs w:val="24"/>
        </w:rPr>
        <w:lastRenderedPageBreak/>
        <w:t xml:space="preserve">el ser humano, que comprenda la ética de datos, garantice la imparcialidad y la atenuación del sesgo, contemple la transparencia y la explicabilidad de los algoritmos, impulse la seguridad y la protección, instituya mecanismos de rendición de cuentas, y aplique un enfoque inclusivo y orientado al usuario. </w:t>
      </w:r>
    </w:p>
    <w:p w14:paraId="61756CA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70D5288A"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Lo anterior quiere decir que la Inteligencia Artificial debe centrarse en el ser humano, en el respeto a sus derechos, a la libertad, a la dignidad, a la justicia la no discriminación, a la protección de sus datos entre muchas otras medidas que protegen los derechos humanos y fundamentales.  </w:t>
      </w:r>
    </w:p>
    <w:p w14:paraId="3C811DF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40681D18"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Por otro lado, el impacto de la inteligencia artificial en los derechos humanos ha sido profundamente debatido en la Unión Europea en los últimos años, y este resultado se refleja en numerosos documentos del Grupo de Expertos de Alto Nivel sobre Inteligencia Artificial y en informes de la Comisión de Libertades Civiles, Justicia y Asuntos de Interior. y Comisión de Asuntos Jurídicos, Fundación de Propuestas Parlamentarias y de Comisiones. En este camino se pueden distinguir dos fases, la primera con la prioridad de establecer un marco ético que complemente la legislación existente, y la segunda con la elección explícita de un marco legal innovador claramente concebido para la Inteligencia Artificial.</w:t>
      </w:r>
    </w:p>
    <w:p w14:paraId="753105A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74B37D29"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El marco legal en comento son dos reglamentos; El primero propone un marco regulatorio para la IA, traduciendo los principios éticos en obligaciones legales, ya que “los principios morales compartidos sólo son válidos si se basan en la ley” y los códigos de ética son un buen punto de partida, pero no garantizan que los desarrolladores, implementadores y usuarios actúen de manera justa o que las personas y sus derechos fundmentales estén protegidos de manera efectiva. Dentro de este marco legal, el respeto a la dignidad humana, la autodeterminación humana, la prevención del daño, la equidad, la inclusión y la transparencia, la eliminación de la discriminación y los prejuicios, y como servicio técnico a las personas, la seguridad, transparencia y rendición de cuentas del sistema se convertirá en una obligación legal,  ajustada a derecho y compatible con “todos los regímenes jurídicos aplicables”, en particular el Derecho internacional humanitario y el Derecho internacional de los derechos humanos, y por supuestos que sea conforme a la legislación, los principios y los valores de la Unión.</w:t>
      </w:r>
    </w:p>
    <w:p w14:paraId="24D57A78"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2CC808B7"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El segundo reglamento propone el establecimiento de un régimen de respon-</w:t>
      </w:r>
    </w:p>
    <w:p w14:paraId="11031406" w14:textId="77777777" w:rsidR="00C3298B" w:rsidRPr="00C3298B" w:rsidRDefault="00C3298B" w:rsidP="00C3298B">
      <w:pPr>
        <w:pBdr>
          <w:top w:val="nil"/>
          <w:left w:val="nil"/>
          <w:bottom w:val="nil"/>
          <w:right w:val="nil"/>
          <w:between w:val="nil"/>
        </w:pBdr>
        <w:tabs>
          <w:tab w:val="left" w:pos="5400"/>
        </w:tabs>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sabilidad civil, objetiva y subjetiva, con el propósito de que pueda ser reclamado cualquier daño, moral, material e inmaterial, derivado del uso de</w:t>
      </w:r>
    </w:p>
    <w:p w14:paraId="3E23DEDB"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lastRenderedPageBreak/>
        <w:t>la Inteligencia Artificial, incluyendo los derivados de “las violaciones de derechos importantes, jurí dicamente protegidos, a la vida, la salud, la integridad física y la propiedad”</w:t>
      </w:r>
      <w:r w:rsidRPr="00C3298B">
        <w:rPr>
          <w:rStyle w:val="Refdenotaalpie"/>
          <w:rFonts w:ascii="Bookman Old Style" w:eastAsia="Bookman Old Style" w:hAnsi="Bookman Old Style" w:cs="Bookman Old Style"/>
          <w:sz w:val="24"/>
          <w:szCs w:val="24"/>
        </w:rPr>
        <w:footnoteReference w:id="6"/>
      </w:r>
      <w:r w:rsidRPr="00C3298B">
        <w:rPr>
          <w:rFonts w:ascii="Bookman Old Style" w:eastAsia="Bookman Old Style" w:hAnsi="Bookman Old Style" w:cs="Bookman Old Style"/>
          <w:sz w:val="24"/>
          <w:szCs w:val="24"/>
        </w:rPr>
        <w:t xml:space="preserve">. </w:t>
      </w:r>
    </w:p>
    <w:p w14:paraId="012945A3"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b/>
          <w:smallCaps/>
          <w:color w:val="000000"/>
          <w:sz w:val="24"/>
          <w:szCs w:val="24"/>
        </w:rPr>
      </w:pPr>
    </w:p>
    <w:p w14:paraId="27613C08"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848D320" w14:textId="77777777" w:rsidR="00C3298B" w:rsidRPr="009B2FCA" w:rsidRDefault="009B2FCA" w:rsidP="00303F84">
      <w:pPr>
        <w:pStyle w:val="Sinespaciado"/>
        <w:numPr>
          <w:ilvl w:val="0"/>
          <w:numId w:val="6"/>
        </w:numPr>
        <w:rPr>
          <w:rFonts w:ascii="Bookman Old Style" w:hAnsi="Bookman Old Style"/>
          <w:b/>
          <w:sz w:val="24"/>
        </w:rPr>
      </w:pPr>
      <w:r w:rsidRPr="009B2FCA">
        <w:rPr>
          <w:rFonts w:ascii="Bookman Old Style" w:hAnsi="Bookman Old Style"/>
          <w:b/>
          <w:sz w:val="24"/>
        </w:rPr>
        <w:t xml:space="preserve">CONTENIDO DEL PROYECTO </w:t>
      </w:r>
    </w:p>
    <w:p w14:paraId="7CD85E4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13A4F43A"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Para efectos del presente proyecto, se define la inteligencia artificial como un “Conjunto de técnicas informáticas o sistema computacional que permiten desarrollar algoritmos y crear programas informáticos para ejecutar objetivos definidos por humanos, hacer predicciones, recomendaciones, tomar decisiones o cualquier tarea que requiera inteligencia como el razonamiento o el aprendizaje”. A partir de allí, se pretende generar un marco normativo basado en los siguientes deberes:</w:t>
      </w:r>
    </w:p>
    <w:p w14:paraId="3A3A1E6D"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62AE0EC4" w14:textId="77777777" w:rsidR="00C3298B" w:rsidRPr="00C3298B" w:rsidRDefault="00C3298B" w:rsidP="00C3298B">
      <w:pPr>
        <w:numPr>
          <w:ilvl w:val="0"/>
          <w:numId w:val="3"/>
        </w:numPr>
        <w:pBdr>
          <w:top w:val="nil"/>
          <w:left w:val="nil"/>
          <w:bottom w:val="nil"/>
          <w:right w:val="nil"/>
          <w:between w:val="nil"/>
        </w:pBdr>
        <w:spacing w:before="11" w:after="6" w:line="240" w:lineRule="auto"/>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highlight w:val="white"/>
        </w:rPr>
        <w:t>Prohibir las tecnologías que violan derechos fundamentales, como la vigilancia masiva biométrica o los sistemas de policía predictiva, sin que se incluyan excepciones que permitan que las empresas o a las autoridades públicas las empleen "bajo ciertas condiciones".</w:t>
      </w:r>
    </w:p>
    <w:p w14:paraId="4A7966DE"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2E6C418B" w14:textId="77777777" w:rsidR="00C3298B" w:rsidRPr="00C3298B" w:rsidRDefault="00C3298B" w:rsidP="00C3298B">
      <w:pPr>
        <w:numPr>
          <w:ilvl w:val="0"/>
          <w:numId w:val="3"/>
        </w:numPr>
        <w:pBdr>
          <w:top w:val="nil"/>
          <w:left w:val="nil"/>
          <w:bottom w:val="nil"/>
          <w:right w:val="nil"/>
          <w:between w:val="nil"/>
        </w:pBdr>
        <w:spacing w:before="11" w:after="6" w:line="240" w:lineRule="auto"/>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highlight w:val="white"/>
        </w:rPr>
        <w:t>Establecer la información que las empresas tienen que hacer pública acerca de sus productos, como los datos que utiliza, el proceso de desarrollo, la finalidad del sistema y dónde y quién lo utiliza.</w:t>
      </w:r>
    </w:p>
    <w:p w14:paraId="0A1B44BF"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328FF4B" w14:textId="77777777" w:rsidR="00C3298B" w:rsidRPr="00C3298B" w:rsidRDefault="00C3298B" w:rsidP="00C3298B">
      <w:pPr>
        <w:numPr>
          <w:ilvl w:val="0"/>
          <w:numId w:val="3"/>
        </w:numPr>
        <w:pBdr>
          <w:top w:val="nil"/>
          <w:left w:val="nil"/>
          <w:bottom w:val="nil"/>
          <w:right w:val="nil"/>
          <w:between w:val="nil"/>
        </w:pBdr>
        <w:spacing w:before="11" w:after="6" w:line="240" w:lineRule="auto"/>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highlight w:val="white"/>
        </w:rPr>
        <w:t>Establecer un marco para que las personas puedan determinar responsabilidades en cabeza de las entidades públicas y privadas en caso de que se presenten problemas, comoquiera que las decisiones son tomadas por un algoritmo y no por el usuario.</w:t>
      </w:r>
    </w:p>
    <w:p w14:paraId="66D6CB04"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937526F" w14:textId="77777777" w:rsidR="00C3298B" w:rsidRPr="00C3298B" w:rsidRDefault="00C3298B" w:rsidP="00C3298B">
      <w:pPr>
        <w:numPr>
          <w:ilvl w:val="0"/>
          <w:numId w:val="3"/>
        </w:numPr>
        <w:pBdr>
          <w:top w:val="nil"/>
          <w:left w:val="nil"/>
          <w:bottom w:val="nil"/>
          <w:right w:val="nil"/>
          <w:between w:val="nil"/>
        </w:pBdr>
        <w:spacing w:before="11" w:after="6" w:line="240" w:lineRule="auto"/>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highlight w:val="white"/>
        </w:rPr>
        <w:t>Garantizar la existencia de una autoridad de vigilancia y control, con autonomía presupuestal y administrativa, que verifique el cumplimiento de las normas por parte de las entidades públicas y privadas.</w:t>
      </w:r>
    </w:p>
    <w:p w14:paraId="3A62617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6B40DBDA" w14:textId="77777777" w:rsidR="00C3298B" w:rsidRPr="00C3298B" w:rsidRDefault="00C3298B" w:rsidP="00C3298B">
      <w:pPr>
        <w:numPr>
          <w:ilvl w:val="0"/>
          <w:numId w:val="3"/>
        </w:numPr>
        <w:pBdr>
          <w:top w:val="nil"/>
          <w:left w:val="nil"/>
          <w:bottom w:val="nil"/>
          <w:right w:val="nil"/>
          <w:between w:val="nil"/>
        </w:pBdr>
        <w:spacing w:before="11" w:after="6" w:line="240" w:lineRule="auto"/>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highlight w:val="white"/>
        </w:rPr>
        <w:t>Establecer un sistema que permita que las personas que se han visto perjudicadas por sistemas de inteligencia artificial puedan ejercer su derecho de defensa para garantizar sus derechos.</w:t>
      </w:r>
    </w:p>
    <w:p w14:paraId="323F360E"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3E09744E"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Considerando que Colombia suscribió la recomendación para la implementación de la Inteligencia Artificial del Consejo de Inteligencia </w:t>
      </w:r>
      <w:r w:rsidRPr="00C3298B">
        <w:rPr>
          <w:rFonts w:ascii="Bookman Old Style" w:eastAsia="Bookman Old Style" w:hAnsi="Bookman Old Style" w:cs="Bookman Old Style"/>
          <w:sz w:val="24"/>
          <w:szCs w:val="24"/>
        </w:rPr>
        <w:lastRenderedPageBreak/>
        <w:t>Artificial</w:t>
      </w:r>
      <w:r w:rsidRPr="00C3298B">
        <w:rPr>
          <w:rFonts w:ascii="Bookman Old Style" w:eastAsia="Bookman Old Style" w:hAnsi="Bookman Old Style" w:cs="Bookman Old Style"/>
          <w:sz w:val="24"/>
          <w:szCs w:val="24"/>
          <w:vertAlign w:val="superscript"/>
        </w:rPr>
        <w:footnoteReference w:id="7"/>
      </w:r>
      <w:r w:rsidRPr="00C3298B">
        <w:rPr>
          <w:rFonts w:ascii="Bookman Old Style" w:eastAsia="Bookman Old Style" w:hAnsi="Bookman Old Style" w:cs="Bookman Old Style"/>
          <w:sz w:val="24"/>
          <w:szCs w:val="24"/>
        </w:rPr>
        <w:t xml:space="preserve"> y adoptó la recomendación sobre la ética de la IA de la Unesco</w:t>
      </w:r>
      <w:r w:rsidRPr="00C3298B">
        <w:rPr>
          <w:rFonts w:ascii="Bookman Old Style" w:eastAsia="Bookman Old Style" w:hAnsi="Bookman Old Style" w:cs="Bookman Old Style"/>
          <w:sz w:val="24"/>
          <w:szCs w:val="24"/>
          <w:vertAlign w:val="superscript"/>
        </w:rPr>
        <w:footnoteReference w:id="8"/>
      </w:r>
      <w:r w:rsidRPr="00C3298B">
        <w:rPr>
          <w:rFonts w:ascii="Bookman Old Style" w:eastAsia="Bookman Old Style" w:hAnsi="Bookman Old Style" w:cs="Bookman Old Style"/>
          <w:sz w:val="24"/>
          <w:szCs w:val="24"/>
        </w:rPr>
        <w:t>, se tiene que los principios establecidos por tales instrumentos fueron incorporados en el articulado con el fin de materializarlos en virtud de la normatividad que se pretende integrar al ordenamiento jurídico colombiano por medio de esta iniciativa; lo anterior, es concordante con lo planteado por el parlamento europeo que ha sugerido que la legislación digital debe basarse en principios y con un enfoque basado en el riesgo y en el respeto de los derechos fundamentales.</w:t>
      </w:r>
    </w:p>
    <w:p w14:paraId="0BBF972D"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50174DB9"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La regulación de la inteligencia artificial que se planeta está basada en colocar al ser humano en el centro y a los derechos fundamentales como límite material y formal al desarrollo, uso e implementación de estos sistemas, de manera que el desarrollo tecnológico permita a las entidades públicas ser más eficientes y a las privadas más competitivas, en un marco seguro y sujeto a consideraciones éticas y humanas, y sin que represente cargas administrativas innecesarias para las pymes y las empresas emergentes, pues procura la adaptación, aplicación y ejecución de la legislación vigente sobre protección de datos personales.</w:t>
      </w:r>
    </w:p>
    <w:p w14:paraId="290D8AC6"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07919C3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El proyecto está dividido en cinco títulos y contiene 24 artículos además de la vigencia, los cuales se describen a continuación:</w:t>
      </w:r>
    </w:p>
    <w:p w14:paraId="78235627"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7EAD0462"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color w:val="000000"/>
          <w:sz w:val="24"/>
          <w:szCs w:val="24"/>
          <w:highlight w:val="white"/>
        </w:rPr>
        <w:t>El </w:t>
      </w:r>
      <w:r w:rsidRPr="00C3298B">
        <w:rPr>
          <w:rFonts w:ascii="Bookman Old Style" w:eastAsia="Bookman Old Style" w:hAnsi="Bookman Old Style" w:cs="Bookman Old Style"/>
          <w:b/>
          <w:color w:val="000000"/>
          <w:sz w:val="24"/>
          <w:szCs w:val="24"/>
          <w:highlight w:val="white"/>
        </w:rPr>
        <w:t>Título I</w:t>
      </w:r>
      <w:r w:rsidRPr="00C3298B">
        <w:rPr>
          <w:rFonts w:ascii="Bookman Old Style" w:eastAsia="Bookman Old Style" w:hAnsi="Bookman Old Style" w:cs="Bookman Old Style"/>
          <w:color w:val="000000"/>
          <w:sz w:val="24"/>
          <w:szCs w:val="24"/>
          <w:highlight w:val="white"/>
        </w:rPr>
        <w:t xml:space="preserve"> hace referencia al objeto, ámbito de aplicación, definiciones y principios rectores del Proyecto de Ley Estatutaria por medio de la cual </w:t>
      </w:r>
      <w:r w:rsidRPr="00C3298B">
        <w:rPr>
          <w:rFonts w:ascii="Bookman Old Style" w:eastAsia="Bookman Old Style" w:hAnsi="Bookman Old Style" w:cs="Bookman Old Style"/>
          <w:sz w:val="24"/>
          <w:szCs w:val="24"/>
        </w:rPr>
        <w:t>se define y regula la Inteligencia Artificial, se establecen límites frente a su desarrollo, uso e implementación y se dictan otras disposiciones.</w:t>
      </w:r>
    </w:p>
    <w:p w14:paraId="4E8E2B4C"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3F1FDAA7"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color w:val="000000"/>
          <w:sz w:val="24"/>
          <w:szCs w:val="24"/>
        </w:rPr>
        <w:t>Determinar el objeto y el ámbito de aplicación tiene como finalidad definir el propósito concreto de la regulación para que quede plenamente identificado el carácter no absoluto de esta y los eventos en los cuales se considera el desarrollo, uso e implementación de la IA</w:t>
      </w:r>
      <w:r w:rsidRPr="00C3298B">
        <w:rPr>
          <w:rFonts w:ascii="Bookman Old Style" w:eastAsia="Bookman Old Style" w:hAnsi="Bookman Old Style" w:cs="Bookman Old Style"/>
          <w:b/>
          <w:color w:val="000000"/>
          <w:sz w:val="24"/>
          <w:szCs w:val="24"/>
        </w:rPr>
        <w:t xml:space="preserve">. </w:t>
      </w:r>
      <w:r w:rsidRPr="00C3298B">
        <w:rPr>
          <w:rFonts w:ascii="Bookman Old Style" w:eastAsia="Bookman Old Style" w:hAnsi="Bookman Old Style" w:cs="Bookman Old Style"/>
          <w:color w:val="000000"/>
          <w:sz w:val="24"/>
          <w:szCs w:val="24"/>
        </w:rPr>
        <w:t>Así mismo, se incluye un artículo de definiciones que permite entender las prescripciones establecidas en el proyecto de ley, y otro artículo que contiene los principios que irradian la normatividad y sirvieron de fundamento para su construcción.</w:t>
      </w:r>
    </w:p>
    <w:p w14:paraId="4413FC8E"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color w:val="000000"/>
          <w:sz w:val="24"/>
          <w:szCs w:val="24"/>
        </w:rPr>
      </w:pPr>
    </w:p>
    <w:p w14:paraId="4DCC9CCA"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color w:val="000000"/>
          <w:sz w:val="24"/>
          <w:szCs w:val="24"/>
        </w:rPr>
      </w:pPr>
      <w:r w:rsidRPr="00C3298B">
        <w:rPr>
          <w:rFonts w:ascii="Bookman Old Style" w:eastAsia="Bookman Old Style" w:hAnsi="Bookman Old Style" w:cs="Bookman Old Style"/>
          <w:sz w:val="24"/>
          <w:szCs w:val="24"/>
        </w:rPr>
        <w:t xml:space="preserve">El </w:t>
      </w:r>
      <w:r w:rsidRPr="00C3298B">
        <w:rPr>
          <w:rFonts w:ascii="Bookman Old Style" w:eastAsia="Bookman Old Style" w:hAnsi="Bookman Old Style" w:cs="Bookman Old Style"/>
          <w:b/>
          <w:sz w:val="24"/>
          <w:szCs w:val="24"/>
        </w:rPr>
        <w:t xml:space="preserve">Título II </w:t>
      </w:r>
      <w:r w:rsidRPr="00C3298B">
        <w:rPr>
          <w:rFonts w:ascii="Bookman Old Style" w:eastAsia="Bookman Old Style" w:hAnsi="Bookman Old Style" w:cs="Bookman Old Style"/>
          <w:sz w:val="24"/>
          <w:szCs w:val="24"/>
        </w:rPr>
        <w:t xml:space="preserve">contiene las denominadas </w:t>
      </w:r>
      <w:r w:rsidRPr="00C3298B">
        <w:rPr>
          <w:rFonts w:ascii="Bookman Old Style" w:eastAsia="Bookman Old Style" w:hAnsi="Bookman Old Style" w:cs="Bookman Old Style"/>
          <w:smallCaps/>
          <w:sz w:val="24"/>
          <w:szCs w:val="24"/>
        </w:rPr>
        <w:t xml:space="preserve">condiciones para el desarrollo, uso e implementación de la inteligencia artificial </w:t>
      </w:r>
      <w:r w:rsidRPr="00C3298B">
        <w:rPr>
          <w:rFonts w:ascii="Bookman Old Style" w:eastAsia="Bookman Old Style" w:hAnsi="Bookman Old Style" w:cs="Bookman Old Style"/>
          <w:sz w:val="24"/>
          <w:szCs w:val="24"/>
        </w:rPr>
        <w:t xml:space="preserve">y hace referencia a los límites </w:t>
      </w:r>
      <w:r w:rsidRPr="00C3298B">
        <w:rPr>
          <w:rFonts w:ascii="Bookman Old Style" w:eastAsia="Bookman Old Style" w:hAnsi="Bookman Old Style" w:cs="Bookman Old Style"/>
          <w:sz w:val="24"/>
          <w:szCs w:val="24"/>
        </w:rPr>
        <w:lastRenderedPageBreak/>
        <w:t>concretos a partir de los cuales se pueden desarrollar, usar e implementar los sistemas de inteligencia artificial. En ese sentido, establece los riesgos que comporta el uso e implementación de la IA y desarrolla requisitos y exigencias que condicionan la existencia de estos sistemas computacionales; igualmente, se establecen de manera no taxativa una serie de actividades proscritas del uso e implementación de la IA.</w:t>
      </w:r>
    </w:p>
    <w:p w14:paraId="3DA7DCFB"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color w:val="000000"/>
          <w:sz w:val="24"/>
          <w:szCs w:val="24"/>
        </w:rPr>
      </w:pPr>
    </w:p>
    <w:p w14:paraId="6BD55CBA"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El </w:t>
      </w:r>
      <w:r w:rsidRPr="00C3298B">
        <w:rPr>
          <w:rFonts w:ascii="Bookman Old Style" w:eastAsia="Bookman Old Style" w:hAnsi="Bookman Old Style" w:cs="Bookman Old Style"/>
          <w:b/>
          <w:sz w:val="24"/>
          <w:szCs w:val="24"/>
        </w:rPr>
        <w:t xml:space="preserve">Título III </w:t>
      </w:r>
      <w:r w:rsidRPr="00C3298B">
        <w:rPr>
          <w:rFonts w:ascii="Bookman Old Style" w:eastAsia="Bookman Old Style" w:hAnsi="Bookman Old Style" w:cs="Bookman Old Style"/>
          <w:sz w:val="24"/>
          <w:szCs w:val="24"/>
        </w:rPr>
        <w:t xml:space="preserve">denominado </w:t>
      </w:r>
      <w:r w:rsidRPr="00C3298B">
        <w:rPr>
          <w:rFonts w:ascii="Bookman Old Style" w:eastAsia="Bookman Old Style" w:hAnsi="Bookman Old Style" w:cs="Bookman Old Style"/>
          <w:smallCaps/>
          <w:sz w:val="24"/>
          <w:szCs w:val="24"/>
        </w:rPr>
        <w:t xml:space="preserve">inspección, control y vigilancia en materia de inteligencia artificial </w:t>
      </w:r>
      <w:r w:rsidRPr="00C3298B">
        <w:rPr>
          <w:rFonts w:ascii="Bookman Old Style" w:eastAsia="Bookman Old Style" w:hAnsi="Bookman Old Style" w:cs="Bookman Old Style"/>
          <w:sz w:val="24"/>
          <w:szCs w:val="24"/>
        </w:rPr>
        <w:t>define la autoridad encargada de garantizar el respeto de los principios y derechos humanos que puedan verse afectados con ocasión del desarrollo, uso e implementación de los sistemas de inteligencia artificial. Igualmente se establecen herramientas que le permiten ejercer a la autoridad la inspección, control y vigilancia de manera eficiente, así como también, se prevé lo concerniente al procedimiento y sanciones frente a la transgresión de la ley.</w:t>
      </w:r>
    </w:p>
    <w:p w14:paraId="735339B6"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sz w:val="24"/>
          <w:szCs w:val="24"/>
        </w:rPr>
      </w:pPr>
    </w:p>
    <w:p w14:paraId="5AD9FBEB"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color w:val="000000"/>
          <w:sz w:val="24"/>
          <w:szCs w:val="24"/>
          <w:highlight w:val="yellow"/>
        </w:rPr>
      </w:pPr>
      <w:r w:rsidRPr="00C3298B">
        <w:rPr>
          <w:rFonts w:ascii="Bookman Old Style" w:eastAsia="Bookman Old Style" w:hAnsi="Bookman Old Style" w:cs="Bookman Old Style"/>
          <w:sz w:val="24"/>
          <w:szCs w:val="24"/>
        </w:rPr>
        <w:t xml:space="preserve">El </w:t>
      </w:r>
      <w:r w:rsidRPr="00C3298B">
        <w:rPr>
          <w:rFonts w:ascii="Bookman Old Style" w:eastAsia="Bookman Old Style" w:hAnsi="Bookman Old Style" w:cs="Bookman Old Style"/>
          <w:b/>
          <w:sz w:val="24"/>
          <w:szCs w:val="24"/>
        </w:rPr>
        <w:t xml:space="preserve">Título IV </w:t>
      </w:r>
      <w:r w:rsidRPr="00C3298B">
        <w:rPr>
          <w:rFonts w:ascii="Bookman Old Style" w:eastAsia="Bookman Old Style" w:hAnsi="Bookman Old Style" w:cs="Bookman Old Style"/>
          <w:sz w:val="24"/>
          <w:szCs w:val="24"/>
        </w:rPr>
        <w:t xml:space="preserve">contiene </w:t>
      </w:r>
      <w:r w:rsidRPr="00C3298B">
        <w:rPr>
          <w:rFonts w:ascii="Bookman Old Style" w:eastAsia="Bookman Old Style" w:hAnsi="Bookman Old Style" w:cs="Bookman Old Style"/>
          <w:smallCaps/>
          <w:sz w:val="24"/>
          <w:szCs w:val="24"/>
        </w:rPr>
        <w:t xml:space="preserve">medidas para el apoyo y promoción de la inteligencia artificial </w:t>
      </w:r>
      <w:r w:rsidRPr="00C3298B">
        <w:rPr>
          <w:rFonts w:ascii="Bookman Old Style" w:eastAsia="Bookman Old Style" w:hAnsi="Bookman Old Style" w:cs="Bookman Old Style"/>
          <w:sz w:val="24"/>
          <w:szCs w:val="24"/>
        </w:rPr>
        <w:t>al establecer responsabilidades a cargo del gobierno nacional para la difusión de la información relacionada con el desarrollo, uso e implementación de la inteligencia artificial, así como sus implicaciones y riesgos.</w:t>
      </w:r>
    </w:p>
    <w:p w14:paraId="77A24980" w14:textId="77777777" w:rsidR="00C3298B" w:rsidRPr="00C3298B" w:rsidRDefault="00C3298B" w:rsidP="00C3298B">
      <w:pPr>
        <w:pBdr>
          <w:top w:val="nil"/>
          <w:left w:val="nil"/>
          <w:bottom w:val="nil"/>
          <w:right w:val="nil"/>
          <w:between w:val="nil"/>
        </w:pBdr>
        <w:spacing w:before="11" w:after="6" w:line="240" w:lineRule="auto"/>
        <w:jc w:val="both"/>
        <w:rPr>
          <w:rFonts w:ascii="Bookman Old Style" w:eastAsia="Bookman Old Style" w:hAnsi="Bookman Old Style" w:cs="Bookman Old Style"/>
          <w:sz w:val="24"/>
          <w:szCs w:val="24"/>
        </w:rPr>
      </w:pPr>
    </w:p>
    <w:p w14:paraId="27EA9941" w14:textId="77777777" w:rsidR="00C3298B" w:rsidRPr="00C3298B" w:rsidRDefault="00C3298B" w:rsidP="00C3298B">
      <w:pPr>
        <w:shd w:val="clear" w:color="auto" w:fill="FFFFFF"/>
        <w:spacing w:before="28" w:after="28"/>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El </w:t>
      </w:r>
      <w:r w:rsidRPr="00C3298B">
        <w:rPr>
          <w:rFonts w:ascii="Bookman Old Style" w:eastAsia="Bookman Old Style" w:hAnsi="Bookman Old Style" w:cs="Bookman Old Style"/>
          <w:b/>
          <w:sz w:val="24"/>
          <w:szCs w:val="24"/>
        </w:rPr>
        <w:t xml:space="preserve">Título IV </w:t>
      </w:r>
      <w:r w:rsidRPr="00C3298B">
        <w:rPr>
          <w:rFonts w:ascii="Bookman Old Style" w:eastAsia="Bookman Old Style" w:hAnsi="Bookman Old Style" w:cs="Bookman Old Style"/>
          <w:sz w:val="24"/>
          <w:szCs w:val="24"/>
        </w:rPr>
        <w:t xml:space="preserve">denominado </w:t>
      </w:r>
      <w:r w:rsidRPr="00C3298B">
        <w:rPr>
          <w:rFonts w:ascii="Bookman Old Style" w:eastAsia="Bookman Old Style" w:hAnsi="Bookman Old Style" w:cs="Bookman Old Style"/>
          <w:smallCaps/>
          <w:sz w:val="24"/>
          <w:szCs w:val="24"/>
        </w:rPr>
        <w:t xml:space="preserve">otras disposiciones </w:t>
      </w:r>
      <w:r w:rsidRPr="00C3298B">
        <w:rPr>
          <w:rFonts w:ascii="Bookman Old Style" w:eastAsia="Bookman Old Style" w:hAnsi="Bookman Old Style" w:cs="Bookman Old Style"/>
          <w:sz w:val="24"/>
          <w:szCs w:val="24"/>
        </w:rPr>
        <w:t>contiene un régimen de transición para que las entidades públicas y privadas puedan adecuarse a las disposiciones contenidas en la ley, y el gobierno nacional pueda expedir las reglamentación correspondiente y necesaria para garantizar la aplicación de la normatividad.</w:t>
      </w:r>
    </w:p>
    <w:p w14:paraId="6E061FDD" w14:textId="77777777" w:rsidR="00C3298B" w:rsidRPr="009B2FCA" w:rsidRDefault="00C3298B" w:rsidP="00C3298B">
      <w:pPr>
        <w:shd w:val="clear" w:color="auto" w:fill="FFFFFF"/>
        <w:spacing w:before="28" w:after="28"/>
        <w:jc w:val="both"/>
        <w:rPr>
          <w:rFonts w:ascii="Bookman Old Style" w:eastAsia="Bookman Old Style" w:hAnsi="Bookman Old Style" w:cs="Bookman Old Style"/>
          <w:b/>
          <w:sz w:val="24"/>
          <w:szCs w:val="24"/>
        </w:rPr>
      </w:pPr>
    </w:p>
    <w:p w14:paraId="7C014589" w14:textId="77777777" w:rsidR="00C3298B" w:rsidRPr="009B2FCA" w:rsidRDefault="009B2FCA" w:rsidP="00C3298B">
      <w:pPr>
        <w:spacing w:line="240" w:lineRule="auto"/>
        <w:jc w:val="both"/>
        <w:rPr>
          <w:rFonts w:ascii="Bookman Old Style" w:eastAsia="Bookman Old Style" w:hAnsi="Bookman Old Style" w:cs="Bookman Old Style"/>
          <w:b/>
          <w:sz w:val="24"/>
          <w:szCs w:val="24"/>
        </w:rPr>
      </w:pPr>
      <w:r w:rsidRPr="009B2FCA">
        <w:rPr>
          <w:rFonts w:ascii="Bookman Old Style" w:eastAsia="Bookman Old Style" w:hAnsi="Bookman Old Style" w:cs="Bookman Old Style"/>
          <w:b/>
          <w:sz w:val="24"/>
          <w:szCs w:val="24"/>
        </w:rPr>
        <w:t>4.</w:t>
      </w:r>
      <w:r w:rsidRPr="009B2FCA">
        <w:rPr>
          <w:rFonts w:ascii="Bookman Old Style" w:eastAsia="Bookman Old Style" w:hAnsi="Bookman Old Style" w:cs="Bookman Old Style"/>
          <w:b/>
          <w:sz w:val="24"/>
          <w:szCs w:val="24"/>
        </w:rPr>
        <w:tab/>
        <w:t>TRÁMITE</w:t>
      </w:r>
    </w:p>
    <w:p w14:paraId="57D59A78" w14:textId="77777777" w:rsidR="00C3298B" w:rsidRPr="00C3298B" w:rsidRDefault="00C3298B" w:rsidP="00C3298B">
      <w:pPr>
        <w:spacing w:line="240" w:lineRule="auto"/>
        <w:jc w:val="both"/>
        <w:rPr>
          <w:rFonts w:ascii="Bookman Old Style" w:eastAsia="Bookman Old Style" w:hAnsi="Bookman Old Style" w:cs="Bookman Old Style"/>
          <w:sz w:val="24"/>
          <w:szCs w:val="24"/>
          <w:highlight w:val="white"/>
        </w:rPr>
      </w:pPr>
      <w:r w:rsidRPr="00C3298B">
        <w:rPr>
          <w:rFonts w:ascii="Bookman Old Style" w:eastAsia="Bookman Old Style" w:hAnsi="Bookman Old Style" w:cs="Bookman Old Style"/>
          <w:sz w:val="24"/>
          <w:szCs w:val="24"/>
          <w:highlight w:val="white"/>
        </w:rPr>
        <w:t>El artículo 207 de la Ley 5° de 1992 determina las materias que se tramitan como proyectos de ley estatutaria, a saber:</w:t>
      </w:r>
    </w:p>
    <w:p w14:paraId="3893D79E" w14:textId="77777777" w:rsidR="00C3298B" w:rsidRPr="00C3298B" w:rsidRDefault="00C3298B" w:rsidP="00C3298B">
      <w:pPr>
        <w:shd w:val="clear" w:color="auto" w:fill="FFFFFF"/>
        <w:spacing w:before="280" w:after="280" w:line="240" w:lineRule="auto"/>
        <w:jc w:val="both"/>
        <w:rPr>
          <w:rFonts w:ascii="Bookman Old Style" w:eastAsia="Bookman Old Style" w:hAnsi="Bookman Old Style" w:cs="Bookman Old Style"/>
          <w:i/>
          <w:sz w:val="24"/>
          <w:szCs w:val="24"/>
        </w:rPr>
      </w:pPr>
      <w:r w:rsidRPr="00C3298B">
        <w:rPr>
          <w:rFonts w:ascii="Bookman Old Style" w:eastAsia="Bookman Old Style" w:hAnsi="Bookman Old Style" w:cs="Bookman Old Style"/>
          <w:i/>
          <w:sz w:val="24"/>
          <w:szCs w:val="24"/>
        </w:rPr>
        <w:t xml:space="preserve">1. </w:t>
      </w:r>
      <w:r w:rsidRPr="00C3298B">
        <w:rPr>
          <w:rFonts w:ascii="Bookman Old Style" w:eastAsia="Bookman Old Style" w:hAnsi="Bookman Old Style" w:cs="Bookman Old Style"/>
          <w:i/>
          <w:sz w:val="24"/>
          <w:szCs w:val="24"/>
          <w:u w:val="single"/>
        </w:rPr>
        <w:t>Derechos y deberes fundamentales de las personas y los procedimientos y recursos para su protección</w:t>
      </w:r>
      <w:r w:rsidRPr="00C3298B">
        <w:rPr>
          <w:rFonts w:ascii="Bookman Old Style" w:eastAsia="Bookman Old Style" w:hAnsi="Bookman Old Style" w:cs="Bookman Old Style"/>
          <w:i/>
          <w:sz w:val="24"/>
          <w:szCs w:val="24"/>
        </w:rPr>
        <w:t>.</w:t>
      </w:r>
    </w:p>
    <w:p w14:paraId="1AC3A310" w14:textId="77777777" w:rsidR="00C3298B" w:rsidRPr="00C3298B" w:rsidRDefault="00C3298B" w:rsidP="00C3298B">
      <w:pPr>
        <w:shd w:val="clear" w:color="auto" w:fill="FFFFFF"/>
        <w:spacing w:before="280" w:after="280" w:line="240" w:lineRule="auto"/>
        <w:jc w:val="both"/>
        <w:rPr>
          <w:rFonts w:ascii="Bookman Old Style" w:eastAsia="Bookman Old Style" w:hAnsi="Bookman Old Style" w:cs="Bookman Old Style"/>
          <w:i/>
          <w:sz w:val="24"/>
          <w:szCs w:val="24"/>
        </w:rPr>
      </w:pPr>
      <w:r w:rsidRPr="00C3298B">
        <w:rPr>
          <w:rFonts w:ascii="Bookman Old Style" w:eastAsia="Bookman Old Style" w:hAnsi="Bookman Old Style" w:cs="Bookman Old Style"/>
          <w:i/>
          <w:sz w:val="24"/>
          <w:szCs w:val="24"/>
        </w:rPr>
        <w:t>2. Administración de justicia. 3. Organización y régimen de los partidos y movimientos políticos.</w:t>
      </w:r>
    </w:p>
    <w:p w14:paraId="5E536E68" w14:textId="77777777" w:rsidR="00C3298B" w:rsidRPr="00C3298B" w:rsidRDefault="00C3298B" w:rsidP="00C3298B">
      <w:pPr>
        <w:shd w:val="clear" w:color="auto" w:fill="FFFFFF"/>
        <w:spacing w:before="280" w:after="280" w:line="240" w:lineRule="auto"/>
        <w:jc w:val="both"/>
        <w:rPr>
          <w:rFonts w:ascii="Bookman Old Style" w:eastAsia="Bookman Old Style" w:hAnsi="Bookman Old Style" w:cs="Bookman Old Style"/>
          <w:i/>
          <w:sz w:val="24"/>
          <w:szCs w:val="24"/>
        </w:rPr>
      </w:pPr>
      <w:r w:rsidRPr="00C3298B">
        <w:rPr>
          <w:rFonts w:ascii="Bookman Old Style" w:eastAsia="Bookman Old Style" w:hAnsi="Bookman Old Style" w:cs="Bookman Old Style"/>
          <w:i/>
          <w:sz w:val="24"/>
          <w:szCs w:val="24"/>
        </w:rPr>
        <w:t>4. Estatuto de la oposición y funciones electorales, reglamentando la participación de las minorías (art. 112 inc. 3 constitucional).</w:t>
      </w:r>
    </w:p>
    <w:p w14:paraId="41BF8491" w14:textId="77777777" w:rsidR="00C3298B" w:rsidRPr="00C3298B" w:rsidRDefault="00C3298B" w:rsidP="00C3298B">
      <w:pPr>
        <w:shd w:val="clear" w:color="auto" w:fill="FFFFFF"/>
        <w:spacing w:before="280" w:after="280" w:line="240" w:lineRule="auto"/>
        <w:jc w:val="both"/>
        <w:rPr>
          <w:rFonts w:ascii="Bookman Old Style" w:eastAsia="Bookman Old Style" w:hAnsi="Bookman Old Style" w:cs="Bookman Old Style"/>
          <w:i/>
          <w:sz w:val="24"/>
          <w:szCs w:val="24"/>
        </w:rPr>
      </w:pPr>
      <w:r w:rsidRPr="00C3298B">
        <w:rPr>
          <w:rFonts w:ascii="Bookman Old Style" w:eastAsia="Bookman Old Style" w:hAnsi="Bookman Old Style" w:cs="Bookman Old Style"/>
          <w:i/>
          <w:sz w:val="24"/>
          <w:szCs w:val="24"/>
        </w:rPr>
        <w:lastRenderedPageBreak/>
        <w:t>5. Instituciones y mecanismos de participación ciudadana.</w:t>
      </w:r>
    </w:p>
    <w:p w14:paraId="6B4D8105" w14:textId="77777777" w:rsidR="00C3298B" w:rsidRPr="00C3298B" w:rsidRDefault="00C3298B" w:rsidP="00C3298B">
      <w:pPr>
        <w:shd w:val="clear" w:color="auto" w:fill="FFFFFF"/>
        <w:spacing w:before="280" w:after="280" w:line="240" w:lineRule="auto"/>
        <w:jc w:val="both"/>
        <w:rPr>
          <w:rFonts w:ascii="Bookman Old Style" w:eastAsia="Bookman Old Style" w:hAnsi="Bookman Old Style" w:cs="Bookman Old Style"/>
          <w:i/>
          <w:sz w:val="24"/>
          <w:szCs w:val="24"/>
        </w:rPr>
      </w:pPr>
      <w:r w:rsidRPr="00C3298B">
        <w:rPr>
          <w:rFonts w:ascii="Bookman Old Style" w:eastAsia="Bookman Old Style" w:hAnsi="Bookman Old Style" w:cs="Bookman Old Style"/>
          <w:i/>
          <w:sz w:val="24"/>
          <w:szCs w:val="24"/>
        </w:rPr>
        <w:t>6. Estados de excepción, regulando las facultades que de ellos se originan (art. 214 ord. 2 constitucional).</w:t>
      </w:r>
    </w:p>
    <w:p w14:paraId="175B8E8F" w14:textId="77777777" w:rsidR="00C3298B" w:rsidRPr="00C3298B" w:rsidRDefault="00C3298B" w:rsidP="00C3298B">
      <w:pPr>
        <w:spacing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En ese orden de ideas y considerando que la materia objeto del proyecto involucra tratamiento de datos personales y derechos fundamentales, este se debe tramitar de acuerdo a las reglas de una Ley Estatutaria.</w:t>
      </w:r>
    </w:p>
    <w:p w14:paraId="2E78D399" w14:textId="77777777" w:rsidR="00C3298B" w:rsidRDefault="00C3298B" w:rsidP="00C3298B">
      <w:pPr>
        <w:spacing w:line="240" w:lineRule="auto"/>
        <w:jc w:val="both"/>
        <w:rPr>
          <w:rFonts w:ascii="Bookman Old Style" w:eastAsia="Bookman Old Style" w:hAnsi="Bookman Old Style" w:cs="Bookman Old Style"/>
          <w:sz w:val="24"/>
          <w:szCs w:val="24"/>
        </w:rPr>
      </w:pPr>
      <w:r w:rsidRPr="00C3298B">
        <w:rPr>
          <w:rFonts w:ascii="Bookman Old Style" w:eastAsia="Bookman Old Style" w:hAnsi="Bookman Old Style" w:cs="Bookman Old Style"/>
          <w:sz w:val="24"/>
          <w:szCs w:val="24"/>
        </w:rPr>
        <w:t xml:space="preserve">Por las consideraciones anteriormente expuestas, se presenta a consideración del Honorable Congreso de la República el proyecto de ley estatutaria </w:t>
      </w:r>
      <w:r w:rsidRPr="00C3298B">
        <w:rPr>
          <w:rFonts w:ascii="Bookman Old Style" w:eastAsia="Bookman Old Style" w:hAnsi="Bookman Old Style" w:cs="Bookman Old Style"/>
          <w:color w:val="000000"/>
          <w:sz w:val="24"/>
          <w:szCs w:val="24"/>
          <w:highlight w:val="white"/>
        </w:rPr>
        <w:t xml:space="preserve">por medio de la cual </w:t>
      </w:r>
      <w:r w:rsidRPr="00C3298B">
        <w:rPr>
          <w:rFonts w:ascii="Bookman Old Style" w:eastAsia="Bookman Old Style" w:hAnsi="Bookman Old Style" w:cs="Bookman Old Style"/>
          <w:sz w:val="24"/>
          <w:szCs w:val="24"/>
        </w:rPr>
        <w:t xml:space="preserve">se define y regula la Inteligencia Artificial, se establecen límites frente a su desarrollo, uso e implementación y se dictan otras disposiciones, con el fin de adoptar las decisiones legislativas y políticas que garanticen el desarrollo, uso e implementación de la Inteligencia Artificial en Colombia, dentro de un marco seguro y respetuoso para los derechos fundamentales. </w:t>
      </w:r>
    </w:p>
    <w:p w14:paraId="6C5A71A4" w14:textId="77777777" w:rsidR="009B2FCA" w:rsidRDefault="009B2FCA" w:rsidP="00C3298B">
      <w:pPr>
        <w:spacing w:line="240" w:lineRule="auto"/>
        <w:jc w:val="both"/>
        <w:rPr>
          <w:rFonts w:ascii="Bookman Old Style" w:eastAsia="Bookman Old Style" w:hAnsi="Bookman Old Style" w:cs="Bookman Old Style"/>
          <w:sz w:val="24"/>
          <w:szCs w:val="24"/>
        </w:rPr>
      </w:pPr>
    </w:p>
    <w:p w14:paraId="64C69158" w14:textId="77777777" w:rsidR="009B2FCA" w:rsidRPr="009B2FCA" w:rsidRDefault="009B2FCA" w:rsidP="009B2FCA">
      <w:pPr>
        <w:pStyle w:val="Prrafodelista"/>
        <w:numPr>
          <w:ilvl w:val="0"/>
          <w:numId w:val="5"/>
        </w:numPr>
        <w:spacing w:line="240" w:lineRule="auto"/>
        <w:jc w:val="both"/>
        <w:rPr>
          <w:rFonts w:ascii="Bookman Old Style" w:eastAsia="Bookman Old Style" w:hAnsi="Bookman Old Style" w:cs="Bookman Old Style"/>
          <w:b/>
          <w:sz w:val="24"/>
          <w:szCs w:val="24"/>
        </w:rPr>
      </w:pPr>
      <w:r w:rsidRPr="009B2FCA">
        <w:rPr>
          <w:rFonts w:ascii="Bookman Old Style" w:eastAsia="Bookman Old Style" w:hAnsi="Bookman Old Style" w:cs="Bookman Old Style"/>
          <w:b/>
          <w:sz w:val="24"/>
          <w:szCs w:val="24"/>
        </w:rPr>
        <w:t>CONFLICTO DE INTERESES</w:t>
      </w:r>
    </w:p>
    <w:p w14:paraId="30C2C50C" w14:textId="77777777" w:rsidR="009B2FCA" w:rsidRDefault="009B2FCA" w:rsidP="009B2FCA">
      <w:pPr>
        <w:pStyle w:val="Prrafodelista"/>
        <w:spacing w:line="240" w:lineRule="auto"/>
        <w:ind w:left="643"/>
        <w:jc w:val="both"/>
        <w:rPr>
          <w:rFonts w:ascii="Bookman Old Style" w:eastAsia="Bookman Old Style" w:hAnsi="Bookman Old Style" w:cs="Bookman Old Style"/>
          <w:b/>
          <w:sz w:val="24"/>
          <w:szCs w:val="24"/>
        </w:rPr>
      </w:pPr>
    </w:p>
    <w:p w14:paraId="3B0E1C4D" w14:textId="77777777" w:rsidR="009B2FCA" w:rsidRPr="009B2FCA" w:rsidRDefault="009B2FCA" w:rsidP="009B2FCA">
      <w:pPr>
        <w:pStyle w:val="Prrafodelista"/>
        <w:tabs>
          <w:tab w:val="left" w:pos="7680"/>
        </w:tabs>
        <w:spacing w:line="276" w:lineRule="auto"/>
        <w:ind w:left="0"/>
        <w:jc w:val="both"/>
        <w:rPr>
          <w:rFonts w:ascii="Bookman Old Style" w:eastAsia="Bookman Old Style" w:hAnsi="Bookman Old Style" w:cs="Bookman Old Style"/>
          <w:sz w:val="24"/>
          <w:szCs w:val="24"/>
        </w:rPr>
      </w:pPr>
      <w:r w:rsidRPr="009B2FCA">
        <w:rPr>
          <w:rFonts w:ascii="Bookman Old Style" w:eastAsia="Bookman Old Style" w:hAnsi="Bookman Old Style" w:cs="Bookman Old Style"/>
          <w:sz w:val="24"/>
          <w:szCs w:val="24"/>
        </w:rPr>
        <w:t xml:space="preserve">De acuerdo con 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27607FA1" w14:textId="77777777" w:rsidR="009B2FCA" w:rsidRPr="009B2FCA" w:rsidRDefault="009B2FCA" w:rsidP="009B2FCA">
      <w:pPr>
        <w:pStyle w:val="Prrafodelista"/>
        <w:tabs>
          <w:tab w:val="left" w:pos="7680"/>
        </w:tabs>
        <w:spacing w:line="276" w:lineRule="auto"/>
        <w:ind w:left="643"/>
        <w:jc w:val="both"/>
        <w:rPr>
          <w:rFonts w:ascii="Bookman Old Style" w:eastAsia="Bookman Old Style" w:hAnsi="Bookman Old Style" w:cs="Bookman Old Style"/>
          <w:sz w:val="24"/>
          <w:szCs w:val="24"/>
        </w:rPr>
      </w:pPr>
    </w:p>
    <w:p w14:paraId="3C0D0C2B" w14:textId="77777777" w:rsidR="009B2FCA" w:rsidRPr="009B2FCA" w:rsidRDefault="009B2FCA" w:rsidP="009B2FCA">
      <w:pPr>
        <w:pStyle w:val="Prrafodelista"/>
        <w:tabs>
          <w:tab w:val="left" w:pos="7680"/>
        </w:tabs>
        <w:spacing w:line="276" w:lineRule="auto"/>
        <w:ind w:left="0"/>
        <w:jc w:val="both"/>
        <w:rPr>
          <w:rFonts w:ascii="Bookman Old Style" w:eastAsia="Bookman Old Style" w:hAnsi="Bookman Old Style" w:cs="Bookman Old Style"/>
          <w:sz w:val="24"/>
          <w:szCs w:val="24"/>
        </w:rPr>
      </w:pPr>
      <w:r w:rsidRPr="009B2FCA">
        <w:rPr>
          <w:rFonts w:ascii="Bookman Old Style" w:eastAsia="Bookman Old Style" w:hAnsi="Bookman Old Style" w:cs="Bookman Old Style"/>
          <w:sz w:val="24"/>
          <w:szCs w:val="24"/>
        </w:rPr>
        <w:t xml:space="preserve">De igual manera,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 </w:t>
      </w:r>
    </w:p>
    <w:p w14:paraId="5B98AECD" w14:textId="77777777" w:rsidR="009B2FCA" w:rsidRPr="009B2FCA" w:rsidRDefault="009B2FCA" w:rsidP="009B2FCA">
      <w:pPr>
        <w:pStyle w:val="Prrafodelista"/>
        <w:tabs>
          <w:tab w:val="left" w:pos="7680"/>
        </w:tabs>
        <w:spacing w:line="276" w:lineRule="auto"/>
        <w:ind w:left="0"/>
        <w:jc w:val="both"/>
        <w:rPr>
          <w:rFonts w:ascii="Bookman Old Style" w:eastAsia="Bookman Old Style" w:hAnsi="Bookman Old Style" w:cs="Bookman Old Style"/>
          <w:sz w:val="24"/>
          <w:szCs w:val="24"/>
        </w:rPr>
      </w:pPr>
    </w:p>
    <w:p w14:paraId="0B76DEDE" w14:textId="77777777" w:rsidR="009B2FCA" w:rsidRPr="009B2FCA" w:rsidRDefault="009B2FCA" w:rsidP="009B2FCA">
      <w:pPr>
        <w:pStyle w:val="Prrafodelista"/>
        <w:tabs>
          <w:tab w:val="left" w:pos="7680"/>
        </w:tabs>
        <w:spacing w:line="276" w:lineRule="auto"/>
        <w:ind w:left="0"/>
        <w:jc w:val="both"/>
        <w:rPr>
          <w:rFonts w:ascii="Bookman Old Style" w:eastAsia="Bookman Old Style" w:hAnsi="Bookman Old Style" w:cs="Bookman Old Style"/>
          <w:sz w:val="24"/>
          <w:szCs w:val="24"/>
        </w:rPr>
      </w:pPr>
      <w:r w:rsidRPr="009B2FCA">
        <w:rPr>
          <w:rFonts w:ascii="Bookman Old Style" w:eastAsia="Bookman Old Style" w:hAnsi="Bookman Old Style" w:cs="Bookman Old Style"/>
          <w:sz w:val="24"/>
          <w:szCs w:val="24"/>
        </w:rPr>
        <w:t>Con base en lo anterior y, de acuerdo al carácter abstracto e impersonal de la norma, tenemos que en esta iniciativa legislativa</w:t>
      </w:r>
      <w:r w:rsidRPr="009B2FCA">
        <w:rPr>
          <w:rFonts w:ascii="Bookman Old Style" w:eastAsia="Bookman Old Style" w:hAnsi="Bookman Old Style" w:cs="Bookman Old Style"/>
          <w:sz w:val="24"/>
          <w:szCs w:val="24"/>
          <w:u w:val="single"/>
        </w:rPr>
        <w:t xml:space="preserve"> no se evidencia</w:t>
      </w:r>
      <w:r w:rsidRPr="009B2FCA">
        <w:rPr>
          <w:rFonts w:ascii="Bookman Old Style" w:eastAsia="Bookman Old Style" w:hAnsi="Bookman Old Style" w:cs="Bookman Old Style"/>
          <w:sz w:val="24"/>
          <w:szCs w:val="24"/>
        </w:rPr>
        <w:t xml:space="preserve"> que los congresistas puedan incurrir en posibles conflictos de interés, toda vez que tampoco puede predicarse un beneficio particular, actual y directo que les </w:t>
      </w:r>
      <w:r w:rsidRPr="009B2FCA">
        <w:rPr>
          <w:rFonts w:ascii="Bookman Old Style" w:eastAsia="Bookman Old Style" w:hAnsi="Bookman Old Style" w:cs="Bookman Old Style"/>
          <w:sz w:val="24"/>
          <w:szCs w:val="24"/>
        </w:rPr>
        <w:lastRenderedPageBreak/>
        <w:t>impida participar de la discusión y votación de este proyecto. 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6A50AFCE" w14:textId="77777777" w:rsidR="009B2FCA" w:rsidRPr="009B2FCA" w:rsidRDefault="009B2FCA" w:rsidP="009B2FCA">
      <w:pPr>
        <w:spacing w:line="240" w:lineRule="auto"/>
        <w:jc w:val="both"/>
        <w:rPr>
          <w:rFonts w:ascii="Bookman Old Style" w:eastAsia="Bookman Old Style" w:hAnsi="Bookman Old Style" w:cs="Bookman Old Style"/>
          <w:b/>
          <w:sz w:val="24"/>
          <w:szCs w:val="24"/>
        </w:rPr>
      </w:pPr>
    </w:p>
    <w:p w14:paraId="347564C7" w14:textId="77777777" w:rsidR="00C3298B" w:rsidRPr="009B2FCA" w:rsidRDefault="00C3298B" w:rsidP="00C3298B">
      <w:pPr>
        <w:spacing w:after="0" w:line="240" w:lineRule="auto"/>
        <w:jc w:val="both"/>
        <w:rPr>
          <w:rFonts w:ascii="Bookman Old Style" w:eastAsia="Bookman Old Style" w:hAnsi="Bookman Old Style" w:cs="Bookman Old Style"/>
          <w:sz w:val="24"/>
          <w:szCs w:val="24"/>
        </w:rPr>
      </w:pPr>
    </w:p>
    <w:p w14:paraId="16A7F233" w14:textId="77777777" w:rsidR="00C3298B" w:rsidRPr="009B2FCA" w:rsidRDefault="00C3298B" w:rsidP="00C3298B">
      <w:pPr>
        <w:spacing w:after="0" w:line="240" w:lineRule="auto"/>
        <w:jc w:val="both"/>
        <w:rPr>
          <w:rFonts w:ascii="Bookman Old Style" w:eastAsia="Bookman Old Style" w:hAnsi="Bookman Old Style" w:cs="Bookman Old Style"/>
          <w:sz w:val="24"/>
          <w:szCs w:val="24"/>
        </w:rPr>
      </w:pPr>
      <w:r w:rsidRPr="009B2FCA">
        <w:rPr>
          <w:rFonts w:ascii="Bookman Old Style" w:eastAsia="Bookman Old Style" w:hAnsi="Bookman Old Style" w:cs="Bookman Old Style"/>
          <w:sz w:val="24"/>
          <w:szCs w:val="24"/>
        </w:rPr>
        <w:t xml:space="preserve">Cordialmente, </w:t>
      </w:r>
    </w:p>
    <w:p w14:paraId="44034214" w14:textId="77777777" w:rsidR="00C3298B" w:rsidRDefault="00C3298B" w:rsidP="00C3298B">
      <w:pPr>
        <w:spacing w:after="0" w:line="240" w:lineRule="auto"/>
        <w:jc w:val="both"/>
        <w:rPr>
          <w:rFonts w:ascii="Bookman Old Style" w:eastAsia="Bookman Old Style" w:hAnsi="Bookman Old Style" w:cs="Bookman Old Style"/>
          <w:sz w:val="24"/>
          <w:szCs w:val="24"/>
        </w:rPr>
      </w:pPr>
    </w:p>
    <w:p w14:paraId="4C0AD1E8" w14:textId="77777777" w:rsidR="00303F84" w:rsidRPr="00C3298B" w:rsidRDefault="00303F84" w:rsidP="00C3298B">
      <w:pPr>
        <w:spacing w:after="0" w:line="240" w:lineRule="auto"/>
        <w:jc w:val="both"/>
        <w:rPr>
          <w:rFonts w:ascii="Bookman Old Style" w:eastAsia="Bookman Old Style" w:hAnsi="Bookman Old Style" w:cs="Bookman Old Style"/>
          <w:sz w:val="24"/>
          <w:szCs w:val="24"/>
        </w:rPr>
      </w:pPr>
    </w:p>
    <w:tbl>
      <w:tblPr>
        <w:tblpPr w:leftFromText="141" w:rightFromText="141" w:vertAnchor="text" w:tblpY="65"/>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B2FCA" w14:paraId="686BA940" w14:textId="77777777" w:rsidTr="00947218">
        <w:tc>
          <w:tcPr>
            <w:tcW w:w="4414" w:type="dxa"/>
          </w:tcPr>
          <w:p w14:paraId="5623868C" w14:textId="77777777" w:rsidR="009B2FCA" w:rsidRDefault="009B2FCA" w:rsidP="00947218">
            <w:pPr>
              <w:jc w:val="center"/>
              <w:rPr>
                <w:rFonts w:ascii="Bookman Old Style" w:eastAsia="Bookman Old Style" w:hAnsi="Bookman Old Style" w:cs="Bookman Old Style"/>
                <w:b/>
              </w:rPr>
            </w:pPr>
          </w:p>
          <w:p w14:paraId="2BED9DD3" w14:textId="77777777" w:rsidR="009B2FCA" w:rsidRDefault="009B2FCA" w:rsidP="00947218">
            <w:pPr>
              <w:jc w:val="center"/>
              <w:rPr>
                <w:rFonts w:ascii="Bookman Old Style" w:eastAsia="Bookman Old Style" w:hAnsi="Bookman Old Style" w:cs="Bookman Old Style"/>
                <w:b/>
              </w:rPr>
            </w:pPr>
          </w:p>
          <w:p w14:paraId="55CC6FE2" w14:textId="77777777" w:rsidR="009B2FCA" w:rsidRDefault="009B2FCA" w:rsidP="00947218">
            <w:pPr>
              <w:contextualSpacing/>
              <w:jc w:val="center"/>
              <w:rPr>
                <w:rFonts w:ascii="Bookman Old Style" w:eastAsia="Bookman Old Style" w:hAnsi="Bookman Old Style" w:cs="Bookman Old Style"/>
                <w:b/>
              </w:rPr>
            </w:pPr>
            <w:r>
              <w:rPr>
                <w:rFonts w:ascii="Bookman Old Style" w:eastAsia="Bookman Old Style" w:hAnsi="Bookman Old Style" w:cs="Bookman Old Style"/>
                <w:b/>
              </w:rPr>
              <w:t>KARYME COTES MARTÍNEZ</w:t>
            </w:r>
          </w:p>
          <w:p w14:paraId="1EED0ED7" w14:textId="77777777" w:rsidR="009B2FCA" w:rsidRDefault="009B2FCA" w:rsidP="00947218">
            <w:pPr>
              <w:contextualSpacing/>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tc>
        <w:tc>
          <w:tcPr>
            <w:tcW w:w="4414" w:type="dxa"/>
          </w:tcPr>
          <w:p w14:paraId="075F0A80" w14:textId="77777777" w:rsidR="009B2FCA" w:rsidRDefault="009B2FCA" w:rsidP="00947218">
            <w:pPr>
              <w:jc w:val="both"/>
              <w:rPr>
                <w:rFonts w:ascii="Bookman Old Style" w:eastAsia="Bookman Old Style" w:hAnsi="Bookman Old Style" w:cs="Bookman Old Style"/>
              </w:rPr>
            </w:pPr>
          </w:p>
          <w:p w14:paraId="64229369" w14:textId="77777777" w:rsidR="009B2FCA" w:rsidRDefault="009B2FCA" w:rsidP="00947218">
            <w:pPr>
              <w:jc w:val="both"/>
              <w:rPr>
                <w:rFonts w:ascii="Bookman Old Style" w:eastAsia="Bookman Old Style" w:hAnsi="Bookman Old Style" w:cs="Bookman Old Style"/>
              </w:rPr>
            </w:pPr>
          </w:p>
          <w:p w14:paraId="1D7E04DA" w14:textId="77777777" w:rsidR="009B2FCA" w:rsidRDefault="009B2FCA" w:rsidP="00947218">
            <w:pPr>
              <w:contextualSpacing/>
              <w:jc w:val="center"/>
              <w:rPr>
                <w:rFonts w:ascii="Bookman Old Style" w:eastAsia="Bookman Old Style" w:hAnsi="Bookman Old Style" w:cs="Bookman Old Style"/>
              </w:rPr>
            </w:pPr>
            <w:r>
              <w:rPr>
                <w:rFonts w:ascii="Bookman Old Style" w:eastAsia="Bookman Old Style" w:hAnsi="Bookman Old Style" w:cs="Bookman Old Style"/>
                <w:b/>
              </w:rPr>
              <w:t>ALIRIO URIBE MUÑÓZ</w:t>
            </w:r>
          </w:p>
          <w:p w14:paraId="068CF3A5" w14:textId="77777777" w:rsidR="009B2FCA" w:rsidRPr="009B2FCA" w:rsidRDefault="009B2FCA" w:rsidP="00947218">
            <w:pPr>
              <w:contextualSpacing/>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tc>
      </w:tr>
      <w:tr w:rsidR="009B2FCA" w14:paraId="5201AB7A" w14:textId="77777777" w:rsidTr="00947218">
        <w:trPr>
          <w:trHeight w:val="1240"/>
        </w:trPr>
        <w:tc>
          <w:tcPr>
            <w:tcW w:w="4414" w:type="dxa"/>
          </w:tcPr>
          <w:p w14:paraId="0548F1D1" w14:textId="77777777" w:rsidR="009B2FCA" w:rsidRDefault="009B2FCA" w:rsidP="00947218">
            <w:pPr>
              <w:jc w:val="center"/>
              <w:rPr>
                <w:rFonts w:ascii="Bookman Old Style" w:eastAsia="Bookman Old Style" w:hAnsi="Bookman Old Style" w:cs="Bookman Old Style"/>
                <w:b/>
              </w:rPr>
            </w:pPr>
          </w:p>
        </w:tc>
        <w:tc>
          <w:tcPr>
            <w:tcW w:w="4414" w:type="dxa"/>
          </w:tcPr>
          <w:p w14:paraId="5A71922D" w14:textId="77777777" w:rsidR="009B2FCA" w:rsidRDefault="009B2FCA" w:rsidP="00947218">
            <w:pPr>
              <w:jc w:val="both"/>
              <w:rPr>
                <w:rFonts w:ascii="Bookman Old Style" w:eastAsia="Bookman Old Style" w:hAnsi="Bookman Old Style" w:cs="Bookman Old Style"/>
              </w:rPr>
            </w:pPr>
          </w:p>
        </w:tc>
      </w:tr>
      <w:tr w:rsidR="009B2FCA" w14:paraId="3D71BFAE" w14:textId="77777777" w:rsidTr="00947218">
        <w:trPr>
          <w:trHeight w:val="1240"/>
        </w:trPr>
        <w:tc>
          <w:tcPr>
            <w:tcW w:w="4414" w:type="dxa"/>
          </w:tcPr>
          <w:p w14:paraId="251C4D13" w14:textId="77777777" w:rsidR="009B2FCA" w:rsidRDefault="009B2FCA" w:rsidP="00947218">
            <w:pPr>
              <w:jc w:val="center"/>
              <w:rPr>
                <w:rFonts w:ascii="Bookman Old Style" w:eastAsia="Bookman Old Style" w:hAnsi="Bookman Old Style" w:cs="Bookman Old Style"/>
                <w:b/>
              </w:rPr>
            </w:pPr>
          </w:p>
        </w:tc>
        <w:tc>
          <w:tcPr>
            <w:tcW w:w="4414" w:type="dxa"/>
          </w:tcPr>
          <w:p w14:paraId="49C59F01" w14:textId="77777777" w:rsidR="009B2FCA" w:rsidRDefault="009B2FCA" w:rsidP="00947218">
            <w:pPr>
              <w:jc w:val="both"/>
              <w:rPr>
                <w:rFonts w:ascii="Bookman Old Style" w:eastAsia="Bookman Old Style" w:hAnsi="Bookman Old Style" w:cs="Bookman Old Style"/>
              </w:rPr>
            </w:pPr>
          </w:p>
        </w:tc>
      </w:tr>
      <w:tr w:rsidR="009B2FCA" w14:paraId="22BFF216" w14:textId="77777777" w:rsidTr="00947218">
        <w:trPr>
          <w:trHeight w:val="1240"/>
        </w:trPr>
        <w:tc>
          <w:tcPr>
            <w:tcW w:w="4414" w:type="dxa"/>
          </w:tcPr>
          <w:p w14:paraId="4FD359A4" w14:textId="77777777" w:rsidR="009B2FCA" w:rsidRDefault="009B2FCA" w:rsidP="00947218">
            <w:pPr>
              <w:jc w:val="center"/>
              <w:rPr>
                <w:rFonts w:ascii="Bookman Old Style" w:eastAsia="Bookman Old Style" w:hAnsi="Bookman Old Style" w:cs="Bookman Old Style"/>
                <w:b/>
              </w:rPr>
            </w:pPr>
          </w:p>
        </w:tc>
        <w:tc>
          <w:tcPr>
            <w:tcW w:w="4414" w:type="dxa"/>
          </w:tcPr>
          <w:p w14:paraId="7A22C3D6" w14:textId="77777777" w:rsidR="009B2FCA" w:rsidRDefault="009B2FCA" w:rsidP="00947218">
            <w:pPr>
              <w:jc w:val="both"/>
              <w:rPr>
                <w:rFonts w:ascii="Bookman Old Style" w:eastAsia="Bookman Old Style" w:hAnsi="Bookman Old Style" w:cs="Bookman Old Style"/>
              </w:rPr>
            </w:pPr>
          </w:p>
        </w:tc>
      </w:tr>
      <w:tr w:rsidR="00303F84" w14:paraId="4A047AF4" w14:textId="77777777" w:rsidTr="00947218">
        <w:trPr>
          <w:trHeight w:val="1240"/>
        </w:trPr>
        <w:tc>
          <w:tcPr>
            <w:tcW w:w="4414" w:type="dxa"/>
          </w:tcPr>
          <w:p w14:paraId="38B70DE2" w14:textId="77777777" w:rsidR="00303F84" w:rsidRDefault="00303F84" w:rsidP="00947218">
            <w:pPr>
              <w:jc w:val="center"/>
              <w:rPr>
                <w:rFonts w:ascii="Bookman Old Style" w:eastAsia="Bookman Old Style" w:hAnsi="Bookman Old Style" w:cs="Bookman Old Style"/>
                <w:b/>
              </w:rPr>
            </w:pPr>
          </w:p>
        </w:tc>
        <w:tc>
          <w:tcPr>
            <w:tcW w:w="4414" w:type="dxa"/>
          </w:tcPr>
          <w:p w14:paraId="619C7369" w14:textId="77777777" w:rsidR="00303F84" w:rsidRDefault="00303F84" w:rsidP="00947218">
            <w:pPr>
              <w:jc w:val="both"/>
              <w:rPr>
                <w:rFonts w:ascii="Bookman Old Style" w:eastAsia="Bookman Old Style" w:hAnsi="Bookman Old Style" w:cs="Bookman Old Style"/>
              </w:rPr>
            </w:pPr>
          </w:p>
        </w:tc>
      </w:tr>
      <w:tr w:rsidR="00303F84" w14:paraId="4BD93DA1" w14:textId="77777777" w:rsidTr="00947218">
        <w:trPr>
          <w:trHeight w:val="1240"/>
        </w:trPr>
        <w:tc>
          <w:tcPr>
            <w:tcW w:w="4414" w:type="dxa"/>
          </w:tcPr>
          <w:p w14:paraId="28EDCD7D" w14:textId="77777777" w:rsidR="00303F84" w:rsidRDefault="00303F84" w:rsidP="00947218">
            <w:pPr>
              <w:jc w:val="center"/>
              <w:rPr>
                <w:rFonts w:ascii="Bookman Old Style" w:eastAsia="Bookman Old Style" w:hAnsi="Bookman Old Style" w:cs="Bookman Old Style"/>
                <w:b/>
              </w:rPr>
            </w:pPr>
          </w:p>
        </w:tc>
        <w:tc>
          <w:tcPr>
            <w:tcW w:w="4414" w:type="dxa"/>
          </w:tcPr>
          <w:p w14:paraId="45F10F00" w14:textId="77777777" w:rsidR="00303F84" w:rsidRDefault="00303F84" w:rsidP="00947218">
            <w:pPr>
              <w:jc w:val="both"/>
              <w:rPr>
                <w:rFonts w:ascii="Bookman Old Style" w:eastAsia="Bookman Old Style" w:hAnsi="Bookman Old Style" w:cs="Bookman Old Style"/>
              </w:rPr>
            </w:pPr>
          </w:p>
        </w:tc>
      </w:tr>
    </w:tbl>
    <w:p w14:paraId="681E2007" w14:textId="77777777" w:rsidR="003667E2" w:rsidRDefault="003667E2">
      <w:pPr>
        <w:rPr>
          <w:rFonts w:ascii="Bookman Old Style" w:eastAsia="Bookman Old Style" w:hAnsi="Bookman Old Style" w:cs="Bookman Old Style"/>
          <w:b/>
          <w:color w:val="000000"/>
          <w:sz w:val="24"/>
          <w:szCs w:val="24"/>
        </w:rPr>
      </w:pPr>
    </w:p>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8"/>
        <w:gridCol w:w="4458"/>
      </w:tblGrid>
      <w:tr w:rsidR="00303F84" w14:paraId="677BC351" w14:textId="77777777" w:rsidTr="00947218">
        <w:trPr>
          <w:trHeight w:val="1363"/>
        </w:trPr>
        <w:tc>
          <w:tcPr>
            <w:tcW w:w="4458" w:type="dxa"/>
          </w:tcPr>
          <w:p w14:paraId="66BFA4E0" w14:textId="77777777" w:rsidR="00303F84" w:rsidRDefault="00303F84" w:rsidP="00947218">
            <w:pPr>
              <w:jc w:val="both"/>
              <w:rPr>
                <w:rFonts w:ascii="Bookman Old Style" w:eastAsia="Bookman Old Style" w:hAnsi="Bookman Old Style" w:cs="Bookman Old Style"/>
              </w:rPr>
            </w:pPr>
          </w:p>
        </w:tc>
        <w:tc>
          <w:tcPr>
            <w:tcW w:w="4458" w:type="dxa"/>
          </w:tcPr>
          <w:p w14:paraId="61251AA3" w14:textId="77777777" w:rsidR="00303F84" w:rsidRDefault="00303F84" w:rsidP="00947218">
            <w:pPr>
              <w:jc w:val="both"/>
              <w:rPr>
                <w:rFonts w:ascii="Bookman Old Style" w:eastAsia="Bookman Old Style" w:hAnsi="Bookman Old Style" w:cs="Bookman Old Style"/>
              </w:rPr>
            </w:pPr>
          </w:p>
        </w:tc>
      </w:tr>
      <w:tr w:rsidR="00303F84" w14:paraId="768BB4A6" w14:textId="77777777" w:rsidTr="00947218">
        <w:trPr>
          <w:trHeight w:val="1439"/>
        </w:trPr>
        <w:tc>
          <w:tcPr>
            <w:tcW w:w="4458" w:type="dxa"/>
          </w:tcPr>
          <w:p w14:paraId="1200EE0B" w14:textId="77777777" w:rsidR="00303F84" w:rsidRDefault="00303F84" w:rsidP="00947218">
            <w:pPr>
              <w:jc w:val="both"/>
              <w:rPr>
                <w:rFonts w:ascii="Bookman Old Style" w:eastAsia="Bookman Old Style" w:hAnsi="Bookman Old Style" w:cs="Bookman Old Style"/>
              </w:rPr>
            </w:pPr>
          </w:p>
        </w:tc>
        <w:tc>
          <w:tcPr>
            <w:tcW w:w="4458" w:type="dxa"/>
          </w:tcPr>
          <w:p w14:paraId="48B8D9E3" w14:textId="77777777" w:rsidR="00303F84" w:rsidRDefault="00303F84" w:rsidP="00947218">
            <w:pPr>
              <w:jc w:val="both"/>
              <w:rPr>
                <w:rFonts w:ascii="Bookman Old Style" w:eastAsia="Bookman Old Style" w:hAnsi="Bookman Old Style" w:cs="Bookman Old Style"/>
              </w:rPr>
            </w:pPr>
          </w:p>
        </w:tc>
      </w:tr>
      <w:tr w:rsidR="00303F84" w14:paraId="77A44FC5" w14:textId="77777777" w:rsidTr="00947218">
        <w:trPr>
          <w:trHeight w:val="1363"/>
        </w:trPr>
        <w:tc>
          <w:tcPr>
            <w:tcW w:w="4458" w:type="dxa"/>
          </w:tcPr>
          <w:p w14:paraId="689E46AE" w14:textId="77777777" w:rsidR="00303F84" w:rsidRDefault="00303F84" w:rsidP="00947218">
            <w:pPr>
              <w:jc w:val="both"/>
              <w:rPr>
                <w:rFonts w:ascii="Bookman Old Style" w:eastAsia="Bookman Old Style" w:hAnsi="Bookman Old Style" w:cs="Bookman Old Style"/>
              </w:rPr>
            </w:pPr>
          </w:p>
        </w:tc>
        <w:tc>
          <w:tcPr>
            <w:tcW w:w="4458" w:type="dxa"/>
          </w:tcPr>
          <w:p w14:paraId="1B0A5D27" w14:textId="77777777" w:rsidR="00303F84" w:rsidRDefault="00303F84" w:rsidP="00947218">
            <w:pPr>
              <w:jc w:val="both"/>
              <w:rPr>
                <w:rFonts w:ascii="Bookman Old Style" w:eastAsia="Bookman Old Style" w:hAnsi="Bookman Old Style" w:cs="Bookman Old Style"/>
              </w:rPr>
            </w:pPr>
          </w:p>
        </w:tc>
      </w:tr>
      <w:tr w:rsidR="00303F84" w14:paraId="38254D97" w14:textId="77777777" w:rsidTr="00947218">
        <w:trPr>
          <w:trHeight w:val="1439"/>
        </w:trPr>
        <w:tc>
          <w:tcPr>
            <w:tcW w:w="4458" w:type="dxa"/>
          </w:tcPr>
          <w:p w14:paraId="75953804" w14:textId="77777777" w:rsidR="00303F84" w:rsidRDefault="00303F84" w:rsidP="00947218">
            <w:pPr>
              <w:jc w:val="both"/>
              <w:rPr>
                <w:rFonts w:ascii="Bookman Old Style" w:eastAsia="Bookman Old Style" w:hAnsi="Bookman Old Style" w:cs="Bookman Old Style"/>
              </w:rPr>
            </w:pPr>
          </w:p>
        </w:tc>
        <w:tc>
          <w:tcPr>
            <w:tcW w:w="4458" w:type="dxa"/>
          </w:tcPr>
          <w:p w14:paraId="7892F09A" w14:textId="77777777" w:rsidR="00303F84" w:rsidRDefault="00303F84" w:rsidP="00947218">
            <w:pPr>
              <w:jc w:val="both"/>
              <w:rPr>
                <w:rFonts w:ascii="Bookman Old Style" w:eastAsia="Bookman Old Style" w:hAnsi="Bookman Old Style" w:cs="Bookman Old Style"/>
              </w:rPr>
            </w:pPr>
          </w:p>
        </w:tc>
      </w:tr>
      <w:tr w:rsidR="00303F84" w14:paraId="0D4D23C9" w14:textId="77777777" w:rsidTr="00947218">
        <w:trPr>
          <w:trHeight w:val="1363"/>
        </w:trPr>
        <w:tc>
          <w:tcPr>
            <w:tcW w:w="4458" w:type="dxa"/>
          </w:tcPr>
          <w:p w14:paraId="0A1E6743" w14:textId="77777777" w:rsidR="00303F84" w:rsidRDefault="00303F84" w:rsidP="00947218">
            <w:pPr>
              <w:jc w:val="both"/>
              <w:rPr>
                <w:rFonts w:ascii="Bookman Old Style" w:eastAsia="Bookman Old Style" w:hAnsi="Bookman Old Style" w:cs="Bookman Old Style"/>
              </w:rPr>
            </w:pPr>
          </w:p>
        </w:tc>
        <w:tc>
          <w:tcPr>
            <w:tcW w:w="4458" w:type="dxa"/>
          </w:tcPr>
          <w:p w14:paraId="4B6C1ACE" w14:textId="77777777" w:rsidR="00303F84" w:rsidRDefault="00303F84" w:rsidP="00947218">
            <w:pPr>
              <w:jc w:val="both"/>
              <w:rPr>
                <w:rFonts w:ascii="Bookman Old Style" w:eastAsia="Bookman Old Style" w:hAnsi="Bookman Old Style" w:cs="Bookman Old Style"/>
              </w:rPr>
            </w:pPr>
          </w:p>
        </w:tc>
      </w:tr>
      <w:tr w:rsidR="00303F84" w14:paraId="7B306652" w14:textId="77777777" w:rsidTr="00947218">
        <w:trPr>
          <w:trHeight w:val="1439"/>
        </w:trPr>
        <w:tc>
          <w:tcPr>
            <w:tcW w:w="4458" w:type="dxa"/>
          </w:tcPr>
          <w:p w14:paraId="63628C6A" w14:textId="77777777" w:rsidR="00303F84" w:rsidRDefault="00303F84" w:rsidP="00947218">
            <w:pPr>
              <w:jc w:val="both"/>
              <w:rPr>
                <w:rFonts w:ascii="Bookman Old Style" w:eastAsia="Bookman Old Style" w:hAnsi="Bookman Old Style" w:cs="Bookman Old Style"/>
              </w:rPr>
            </w:pPr>
          </w:p>
        </w:tc>
        <w:tc>
          <w:tcPr>
            <w:tcW w:w="4458" w:type="dxa"/>
          </w:tcPr>
          <w:p w14:paraId="56B1B9C4" w14:textId="77777777" w:rsidR="00303F84" w:rsidRDefault="00303F84" w:rsidP="00947218">
            <w:pPr>
              <w:jc w:val="both"/>
              <w:rPr>
                <w:rFonts w:ascii="Bookman Old Style" w:eastAsia="Bookman Old Style" w:hAnsi="Bookman Old Style" w:cs="Bookman Old Style"/>
              </w:rPr>
            </w:pPr>
          </w:p>
        </w:tc>
      </w:tr>
      <w:tr w:rsidR="00303F84" w14:paraId="777794CC" w14:textId="77777777" w:rsidTr="00947218">
        <w:trPr>
          <w:trHeight w:val="1363"/>
        </w:trPr>
        <w:tc>
          <w:tcPr>
            <w:tcW w:w="4458" w:type="dxa"/>
          </w:tcPr>
          <w:p w14:paraId="0AD25AFE" w14:textId="77777777" w:rsidR="00303F84" w:rsidRDefault="00303F84" w:rsidP="00947218">
            <w:pPr>
              <w:jc w:val="both"/>
              <w:rPr>
                <w:rFonts w:ascii="Bookman Old Style" w:eastAsia="Bookman Old Style" w:hAnsi="Bookman Old Style" w:cs="Bookman Old Style"/>
              </w:rPr>
            </w:pPr>
          </w:p>
        </w:tc>
        <w:tc>
          <w:tcPr>
            <w:tcW w:w="4458" w:type="dxa"/>
          </w:tcPr>
          <w:p w14:paraId="42F977D9" w14:textId="77777777" w:rsidR="00303F84" w:rsidRDefault="00303F84" w:rsidP="00947218">
            <w:pPr>
              <w:jc w:val="both"/>
              <w:rPr>
                <w:rFonts w:ascii="Bookman Old Style" w:eastAsia="Bookman Old Style" w:hAnsi="Bookman Old Style" w:cs="Bookman Old Style"/>
              </w:rPr>
            </w:pPr>
          </w:p>
        </w:tc>
      </w:tr>
      <w:tr w:rsidR="00303F84" w14:paraId="7DF81EA6" w14:textId="77777777" w:rsidTr="00947218">
        <w:trPr>
          <w:trHeight w:val="1363"/>
        </w:trPr>
        <w:tc>
          <w:tcPr>
            <w:tcW w:w="4458" w:type="dxa"/>
          </w:tcPr>
          <w:p w14:paraId="41945590" w14:textId="77777777" w:rsidR="00303F84" w:rsidRDefault="00303F84" w:rsidP="00947218">
            <w:pPr>
              <w:jc w:val="both"/>
              <w:rPr>
                <w:rFonts w:ascii="Bookman Old Style" w:eastAsia="Bookman Old Style" w:hAnsi="Bookman Old Style" w:cs="Bookman Old Style"/>
              </w:rPr>
            </w:pPr>
          </w:p>
        </w:tc>
        <w:tc>
          <w:tcPr>
            <w:tcW w:w="4458" w:type="dxa"/>
          </w:tcPr>
          <w:p w14:paraId="72A34E1A" w14:textId="77777777" w:rsidR="00303F84" w:rsidRDefault="00303F84" w:rsidP="00947218">
            <w:pPr>
              <w:jc w:val="both"/>
              <w:rPr>
                <w:rFonts w:ascii="Bookman Old Style" w:eastAsia="Bookman Old Style" w:hAnsi="Bookman Old Style" w:cs="Bookman Old Style"/>
              </w:rPr>
            </w:pPr>
          </w:p>
        </w:tc>
      </w:tr>
    </w:tbl>
    <w:p w14:paraId="32BCB307" w14:textId="77777777" w:rsidR="00303F84" w:rsidRPr="00C3298B" w:rsidRDefault="00303F84">
      <w:pPr>
        <w:rPr>
          <w:rFonts w:ascii="Bookman Old Style" w:hAnsi="Bookman Old Style"/>
          <w:sz w:val="24"/>
          <w:szCs w:val="24"/>
        </w:rPr>
      </w:pPr>
    </w:p>
    <w:sectPr w:rsidR="00303F84" w:rsidRPr="00C3298B" w:rsidSect="00806B8A">
      <w:headerReference w:type="even" r:id="rId7"/>
      <w:headerReference w:type="default" r:id="rId8"/>
      <w:footerReference w:type="default" r:id="rId9"/>
      <w:headerReference w:type="first" r:id="rId10"/>
      <w:pgSz w:w="12240" w:h="15840" w:code="1"/>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C596" w14:textId="77777777" w:rsidR="00E40868" w:rsidRDefault="00E40868">
      <w:pPr>
        <w:spacing w:after="0" w:line="240" w:lineRule="auto"/>
      </w:pPr>
      <w:r>
        <w:separator/>
      </w:r>
    </w:p>
  </w:endnote>
  <w:endnote w:type="continuationSeparator" w:id="0">
    <w:p w14:paraId="65B06C8E" w14:textId="77777777" w:rsidR="00E40868" w:rsidRDefault="00E40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8EF4" w14:textId="77777777" w:rsidR="00000000" w:rsidRPr="00924A6E" w:rsidRDefault="00DC1BB6" w:rsidP="00806B8A">
    <w:pPr>
      <w:pStyle w:val="Piedepgina"/>
      <w:jc w:val="center"/>
      <w:rPr>
        <w:rFonts w:ascii="Century Gothic" w:hAnsi="Century Gothic"/>
        <w:sz w:val="18"/>
        <w:szCs w:val="18"/>
      </w:rPr>
    </w:pPr>
    <w:r w:rsidRPr="00924A6E">
      <w:rPr>
        <w:rFonts w:ascii="Century Gothic" w:hAnsi="Century Gothic"/>
        <w:sz w:val="18"/>
        <w:szCs w:val="18"/>
      </w:rPr>
      <w:t>Cra 7ª N° 8 – 68 Edf. Nuevo del Congreso</w:t>
    </w:r>
  </w:p>
  <w:p w14:paraId="26B20234" w14:textId="77777777" w:rsidR="00000000" w:rsidRDefault="00DC1BB6" w:rsidP="00806B8A">
    <w:pPr>
      <w:pStyle w:val="Piedepgina"/>
      <w:jc w:val="center"/>
      <w:rPr>
        <w:rFonts w:ascii="Century Gothic" w:hAnsi="Century Gothic"/>
        <w:sz w:val="18"/>
        <w:szCs w:val="18"/>
      </w:rPr>
    </w:pPr>
    <w:r w:rsidRPr="00924A6E">
      <w:rPr>
        <w:rFonts w:ascii="Century Gothic" w:hAnsi="Century Gothic"/>
        <w:sz w:val="18"/>
        <w:szCs w:val="18"/>
      </w:rPr>
      <w:t>PBX: 6013904050 Ext. 3371- 3372</w:t>
    </w:r>
    <w:r w:rsidR="00C3298B">
      <w:rPr>
        <w:rFonts w:ascii="Century Gothic" w:hAnsi="Century Gothic"/>
        <w:sz w:val="18"/>
        <w:szCs w:val="18"/>
      </w:rPr>
      <w:t xml:space="preserve"> / 3457 - 3458</w:t>
    </w:r>
  </w:p>
  <w:p w14:paraId="160B5D62" w14:textId="77777777" w:rsidR="00000000" w:rsidRPr="00924A6E" w:rsidRDefault="00DC1BB6" w:rsidP="00806B8A">
    <w:pPr>
      <w:pStyle w:val="Piedepgina"/>
      <w:jc w:val="center"/>
      <w:rPr>
        <w:rFonts w:ascii="Century Gothic" w:hAnsi="Century Gothic"/>
        <w:sz w:val="18"/>
        <w:szCs w:val="18"/>
      </w:rPr>
    </w:pPr>
    <w:r>
      <w:rPr>
        <w:rFonts w:ascii="Century Gothic" w:hAnsi="Century Gothic"/>
        <w:sz w:val="18"/>
        <w:szCs w:val="18"/>
      </w:rPr>
      <w:t>Bogotá D.C.</w:t>
    </w:r>
  </w:p>
  <w:p w14:paraId="4D0A3FEF" w14:textId="77777777" w:rsidR="00000000" w:rsidRPr="00924A6E" w:rsidRDefault="00000000" w:rsidP="00806B8A">
    <w:pPr>
      <w:pStyle w:val="Piedepgina"/>
      <w:ind w:left="720"/>
      <w:rPr>
        <w:rFonts w:ascii="Century Gothic"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061A" w14:textId="77777777" w:rsidR="00E40868" w:rsidRDefault="00E40868">
      <w:pPr>
        <w:spacing w:after="0" w:line="240" w:lineRule="auto"/>
      </w:pPr>
      <w:r>
        <w:separator/>
      </w:r>
    </w:p>
  </w:footnote>
  <w:footnote w:type="continuationSeparator" w:id="0">
    <w:p w14:paraId="10E2EFE3" w14:textId="77777777" w:rsidR="00E40868" w:rsidRDefault="00E40868">
      <w:pPr>
        <w:spacing w:after="0" w:line="240" w:lineRule="auto"/>
      </w:pPr>
      <w:r>
        <w:continuationSeparator/>
      </w:r>
    </w:p>
  </w:footnote>
  <w:footnote w:id="1">
    <w:p w14:paraId="2CC3001F" w14:textId="77777777" w:rsidR="00C3298B" w:rsidRPr="00947218" w:rsidRDefault="00C3298B" w:rsidP="00C3298B">
      <w:pPr>
        <w:pStyle w:val="Textonotapie"/>
        <w:rPr>
          <w:lang w:val="es-ES"/>
        </w:rPr>
      </w:pPr>
      <w:r>
        <w:rPr>
          <w:rStyle w:val="Refdenotaalpie"/>
        </w:rPr>
        <w:footnoteRef/>
      </w:r>
      <w:r>
        <w:t xml:space="preserve"> </w:t>
      </w:r>
      <w:r>
        <w:rPr>
          <w:lang w:val="es-ES"/>
        </w:rPr>
        <w:t>P</w:t>
      </w:r>
      <w:r w:rsidRPr="00273A08">
        <w:rPr>
          <w:lang w:val="es-ES"/>
        </w:rPr>
        <w:t>arlamento Europeo</w:t>
      </w:r>
      <w:r>
        <w:rPr>
          <w:lang w:val="es-ES"/>
        </w:rPr>
        <w:t>, Considerandos de</w:t>
      </w:r>
      <w:r w:rsidRPr="00273A08">
        <w:rPr>
          <w:lang w:val="es-ES"/>
        </w:rPr>
        <w:t xml:space="preserve"> la Resolución de 6 de octubre de 2021,</w:t>
      </w:r>
      <w:r>
        <w:rPr>
          <w:lang w:val="es-ES"/>
        </w:rPr>
        <w:t xml:space="preserve"> </w:t>
      </w:r>
      <w:r w:rsidRPr="00273A08">
        <w:rPr>
          <w:lang w:val="es-ES"/>
        </w:rPr>
        <w:t xml:space="preserve">sobre la inteligencia </w:t>
      </w:r>
      <w:r>
        <w:rPr>
          <w:lang w:val="es-ES"/>
        </w:rPr>
        <w:t xml:space="preserve"> a</w:t>
      </w:r>
      <w:r w:rsidRPr="00273A08">
        <w:rPr>
          <w:lang w:val="es-ES"/>
        </w:rPr>
        <w:t>rtificial en el Derecho penal y su utilización por las autoridades policiales y judiciales en asuntos penales (2020/2016(INI)),</w:t>
      </w:r>
    </w:p>
  </w:footnote>
  <w:footnote w:id="2">
    <w:p w14:paraId="4FE87D74" w14:textId="77777777" w:rsidR="00C3298B" w:rsidRPr="00947218" w:rsidRDefault="00C3298B" w:rsidP="00C3298B">
      <w:pPr>
        <w:pStyle w:val="Textonotapie"/>
        <w:rPr>
          <w:lang w:val="es-ES"/>
        </w:rPr>
      </w:pPr>
      <w:r>
        <w:rPr>
          <w:rStyle w:val="Refdenotaalpie"/>
        </w:rPr>
        <w:footnoteRef/>
      </w:r>
      <w:r>
        <w:t xml:space="preserve"> Grupo de Trabajo UNESCO, Estudio preliminar sobre la ética de la Inteligencia Artificial, cit., n. 50. Vid. San Miguel Caso, C., “La aplicación de la Inteligencia Artificial en el proceso: ¿un nuevo reto para las garantías procesales?, Ius et Scientia vol. 7, nº 1, 2021, pp. 286-303; De Asís Pulido, M., “La incidencia de las nuevas tecnologías en el derecho al debido proceso”, Ius et Scientia vol. 6, nº 2, 2020, pp. 186-199</w:t>
      </w:r>
    </w:p>
  </w:footnote>
  <w:footnote w:id="3">
    <w:p w14:paraId="25219CF7" w14:textId="77777777" w:rsidR="00C3298B" w:rsidRDefault="00C3298B" w:rsidP="00C3298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 xml:space="preserve">PARLAMENTO EUROPEO, Resolución del Parlamento Europeo, de 3 de mayo de 2022, sobre la inteligencia artificial en la era digital, Disponible en: </w:t>
      </w:r>
      <w:hyperlink r:id="rId1">
        <w:r>
          <w:rPr>
            <w:color w:val="4472C4"/>
            <w:sz w:val="18"/>
            <w:szCs w:val="18"/>
            <w:u w:val="single"/>
          </w:rPr>
          <w:t>https://www.europarl.europa.eu/doceo/document/TA-9-2022-0140_ES.pdf</w:t>
        </w:r>
      </w:hyperlink>
    </w:p>
  </w:footnote>
  <w:footnote w:id="4">
    <w:p w14:paraId="158F70B2" w14:textId="77777777" w:rsidR="00C3298B" w:rsidRDefault="00C3298B" w:rsidP="00C3298B">
      <w:pPr>
        <w:jc w:val="both"/>
        <w:rPr>
          <w:color w:val="4472C4"/>
          <w:sz w:val="18"/>
          <w:szCs w:val="18"/>
        </w:rPr>
      </w:pPr>
      <w:r>
        <w:rPr>
          <w:vertAlign w:val="superscript"/>
        </w:rPr>
        <w:footnoteRef/>
      </w:r>
      <w:r>
        <w:rPr>
          <w:sz w:val="18"/>
          <w:szCs w:val="18"/>
        </w:rPr>
        <w:t xml:space="preserve"> </w:t>
      </w:r>
      <w:r>
        <w:rPr>
          <w:smallCaps/>
          <w:color w:val="000000"/>
          <w:sz w:val="18"/>
          <w:szCs w:val="18"/>
        </w:rPr>
        <w:t>República de Colombia, Ministerio de las TIC</w:t>
      </w:r>
      <w:r>
        <w:rPr>
          <w:sz w:val="18"/>
          <w:szCs w:val="18"/>
        </w:rPr>
        <w:t xml:space="preserve">, Colombia se adhiere a acuerdo sobre Inteligencias Artificial ante los países de la OCDE.  Mayo 22 de 2019. Disponible en: </w:t>
      </w:r>
      <w:hyperlink r:id="rId2">
        <w:r>
          <w:rPr>
            <w:color w:val="4472C4"/>
            <w:sz w:val="18"/>
            <w:szCs w:val="18"/>
            <w:u w:val="single"/>
          </w:rPr>
          <w:t>https://www.mintic.gov.co/portal/inicio/Sala-de-Prensa/Noticias/100683:Colombia-se-adhiere-a-acuerdo-sobre-Inteligencia-Artificial-ante-los-paises-de-la-OCDE</w:t>
        </w:r>
      </w:hyperlink>
    </w:p>
  </w:footnote>
  <w:footnote w:id="5">
    <w:p w14:paraId="3AE322A6" w14:textId="77777777" w:rsidR="00C3298B" w:rsidRDefault="00C3298B" w:rsidP="00C3298B">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20"/>
          <w:szCs w:val="20"/>
        </w:rPr>
        <w:t xml:space="preserve"> </w:t>
      </w:r>
      <w:r>
        <w:rPr>
          <w:smallCaps/>
          <w:color w:val="000000"/>
          <w:sz w:val="18"/>
          <w:szCs w:val="18"/>
        </w:rPr>
        <w:t>República de Colombia, Ministerio de las TIC</w:t>
      </w:r>
      <w:r>
        <w:rPr>
          <w:color w:val="000000"/>
          <w:sz w:val="18"/>
          <w:szCs w:val="18"/>
        </w:rPr>
        <w:t xml:space="preserve">, Colombia adopta de forma temprana recomendaciones de ética en inteligencia artificial de la Unesco para la región.  Mayo 2 de 2022. Disponible en: </w:t>
      </w:r>
      <w:hyperlink r:id="rId3">
        <w:r>
          <w:rPr>
            <w:color w:val="4472C4"/>
            <w:sz w:val="18"/>
            <w:szCs w:val="18"/>
            <w:u w:val="single"/>
          </w:rPr>
          <w:t>https://mintic.gov.co/portal/inicio/Sala-de-prensa/Noticias/208109:Colombia-adopta-de-forma-temprana-recomendaciones-de-etica-en-Inteligencia-Artificial-de-la-Unesco-para-la-region</w:t>
        </w:r>
      </w:hyperlink>
    </w:p>
  </w:footnote>
  <w:footnote w:id="6">
    <w:p w14:paraId="36B506CF" w14:textId="77777777" w:rsidR="00C3298B" w:rsidRPr="0094242E" w:rsidRDefault="00C3298B" w:rsidP="00C3298B">
      <w:pPr>
        <w:pStyle w:val="Textonotapie"/>
        <w:rPr>
          <w:lang w:val="es-ES"/>
        </w:rPr>
      </w:pPr>
      <w:r>
        <w:rPr>
          <w:rStyle w:val="Refdenotaalpie"/>
        </w:rPr>
        <w:footnoteRef/>
      </w:r>
      <w:r>
        <w:t xml:space="preserve"> </w:t>
      </w:r>
      <w:r>
        <w:rPr>
          <w:lang w:val="es-ES"/>
        </w:rPr>
        <w:t>Unión Europea, R</w:t>
      </w:r>
      <w:r w:rsidRPr="0094242E">
        <w:rPr>
          <w:lang w:val="es-ES"/>
        </w:rPr>
        <w:t>esolución 20 de octubre de 2020, con recomendaciones destinadas a la Comisión sobre</w:t>
      </w:r>
    </w:p>
    <w:p w14:paraId="59D2F822" w14:textId="77777777" w:rsidR="00C3298B" w:rsidRPr="008E417E" w:rsidRDefault="00C3298B" w:rsidP="00C3298B">
      <w:pPr>
        <w:pStyle w:val="Textonotapie"/>
        <w:rPr>
          <w:lang w:val="es-ES"/>
        </w:rPr>
      </w:pPr>
      <w:r w:rsidRPr="0094242E">
        <w:rPr>
          <w:lang w:val="es-ES"/>
        </w:rPr>
        <w:t>un régimen de responsabilidad civil en materia de inteligencia artificial (2020/2014(INL)).</w:t>
      </w:r>
    </w:p>
  </w:footnote>
  <w:footnote w:id="7">
    <w:p w14:paraId="0D860E64" w14:textId="77777777" w:rsidR="00C3298B" w:rsidRDefault="00C3298B" w:rsidP="00C3298B">
      <w:pPr>
        <w:jc w:val="both"/>
        <w:rPr>
          <w:sz w:val="18"/>
          <w:szCs w:val="18"/>
        </w:rPr>
      </w:pPr>
      <w:r>
        <w:rPr>
          <w:vertAlign w:val="superscript"/>
        </w:rPr>
        <w:footnoteRef/>
      </w:r>
      <w:r>
        <w:rPr>
          <w:sz w:val="18"/>
          <w:szCs w:val="18"/>
        </w:rPr>
        <w:t xml:space="preserve"> </w:t>
      </w:r>
      <w:r>
        <w:rPr>
          <w:smallCaps/>
          <w:color w:val="000000"/>
          <w:sz w:val="18"/>
          <w:szCs w:val="18"/>
        </w:rPr>
        <w:t>Organización de Cooperación y Desarrollo Económicos</w:t>
      </w:r>
      <w:r>
        <w:rPr>
          <w:color w:val="000000"/>
          <w:sz w:val="18"/>
          <w:szCs w:val="18"/>
        </w:rPr>
        <w:t>, O</w:t>
      </w:r>
      <w:r>
        <w:rPr>
          <w:sz w:val="18"/>
          <w:szCs w:val="18"/>
        </w:rPr>
        <w:t xml:space="preserve">CDE, </w:t>
      </w:r>
      <w:r>
        <w:rPr>
          <w:color w:val="1A2126"/>
          <w:sz w:val="18"/>
          <w:szCs w:val="18"/>
        </w:rPr>
        <w:t xml:space="preserve">Recomendación del Consejo de Inteligencia Artificial, </w:t>
      </w:r>
      <w:r>
        <w:rPr>
          <w:color w:val="000000"/>
          <w:sz w:val="18"/>
          <w:szCs w:val="18"/>
        </w:rPr>
        <w:t>Adoptado el:  21/05/2019, Disponible en</w:t>
      </w:r>
      <w:r>
        <w:rPr>
          <w:color w:val="4472C4"/>
          <w:sz w:val="18"/>
          <w:szCs w:val="18"/>
        </w:rPr>
        <w:t>:</w:t>
      </w:r>
      <w:hyperlink r:id="rId4">
        <w:r>
          <w:rPr>
            <w:color w:val="4472C4"/>
            <w:sz w:val="18"/>
            <w:szCs w:val="18"/>
            <w:u w:val="single"/>
          </w:rPr>
          <w:t>https://legalinstruments.oecd.org/en/instruments/OECD-LEGAL-0449</w:t>
        </w:r>
      </w:hyperlink>
    </w:p>
  </w:footnote>
  <w:footnote w:id="8">
    <w:p w14:paraId="6AE2C43A" w14:textId="77777777" w:rsidR="00C3298B" w:rsidRDefault="00C3298B" w:rsidP="00C3298B">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20"/>
          <w:szCs w:val="20"/>
        </w:rPr>
        <w:t xml:space="preserve"> </w:t>
      </w:r>
      <w:r>
        <w:rPr>
          <w:smallCaps/>
          <w:color w:val="000000"/>
          <w:sz w:val="18"/>
          <w:szCs w:val="18"/>
        </w:rPr>
        <w:t>Unesco</w:t>
      </w:r>
      <w:r>
        <w:rPr>
          <w:color w:val="000000"/>
          <w:sz w:val="18"/>
          <w:szCs w:val="18"/>
        </w:rPr>
        <w:t xml:space="preserve">, </w:t>
      </w:r>
      <w:r>
        <w:rPr>
          <w:color w:val="1A2126"/>
          <w:sz w:val="18"/>
          <w:szCs w:val="18"/>
        </w:rPr>
        <w:t xml:space="preserve">Recomendación sobre la ética de la Inteligencia Artificial, </w:t>
      </w:r>
      <w:r>
        <w:rPr>
          <w:color w:val="000000"/>
          <w:sz w:val="18"/>
          <w:szCs w:val="18"/>
        </w:rPr>
        <w:t xml:space="preserve">Disponible en: </w:t>
      </w:r>
      <w:hyperlink r:id="rId5">
        <w:r>
          <w:rPr>
            <w:color w:val="4472C4"/>
            <w:sz w:val="18"/>
            <w:szCs w:val="18"/>
            <w:u w:val="single"/>
          </w:rPr>
          <w:t>https://unesdoc.unesco.org/ark:/48223/pf0000380455_spa</w:t>
        </w:r>
      </w:hyperlink>
    </w:p>
    <w:p w14:paraId="188EE43A" w14:textId="77777777" w:rsidR="00C3298B" w:rsidRDefault="00C3298B" w:rsidP="00C3298B">
      <w:pPr>
        <w:pBdr>
          <w:top w:val="nil"/>
          <w:left w:val="nil"/>
          <w:bottom w:val="nil"/>
          <w:right w:val="nil"/>
          <w:between w:val="nil"/>
        </w:pBdr>
        <w:spacing w:after="0" w:line="240" w:lineRule="auto"/>
        <w:jc w:val="both"/>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8DB1" w14:textId="77777777" w:rsidR="00000000" w:rsidRDefault="00000000">
    <w:pPr>
      <w:pStyle w:val="Encabezado"/>
    </w:pPr>
    <w:r>
      <w:rPr>
        <w:noProof/>
      </w:rPr>
      <w:pict w14:anchorId="2398B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4813" o:spid="_x0000_s1029" type="#_x0000_t75" style="position:absolute;margin-left:0;margin-top:0;width:268.8pt;height:268.8pt;z-index:-251657216;mso-position-horizontal:center;mso-position-horizontal-relative:margin;mso-position-vertical:center;mso-position-vertical-relative:margin" o:allowincell="f">
          <v:imagedata r:id="rId1" o:title="Cámara_de_Representantes_de_Colombi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1CE3" w14:textId="77777777" w:rsidR="00000000" w:rsidRDefault="00000000">
    <w:pPr>
      <w:pStyle w:val="Encabezado"/>
      <w:rPr>
        <w:noProof/>
      </w:rPr>
    </w:pPr>
    <w:r>
      <w:rPr>
        <w:noProof/>
      </w:rPr>
      <w:pict w14:anchorId="34807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4814" o:spid="_x0000_s1030" type="#_x0000_t75" style="position:absolute;margin-left:0;margin-top:0;width:268.8pt;height:268.8pt;z-index:-251656192;mso-position-horizontal:center;mso-position-horizontal-relative:margin;mso-position-vertical:center;mso-position-vertical-relative:margin" o:allowincell="f">
          <v:imagedata r:id="rId1" o:title="Cámara_de_Representantes_de_Colombia" gain="19661f" blacklevel="22938f"/>
          <w10:wrap anchorx="margin" anchory="margin"/>
        </v:shape>
      </w:pict>
    </w:r>
    <w:r w:rsidR="009D5AC3">
      <w:rPr>
        <w:noProof/>
      </w:rPr>
      <w:drawing>
        <wp:inline distT="0" distB="0" distL="0" distR="0" wp14:anchorId="4099F7AB" wp14:editId="6DBF3D6D">
          <wp:extent cx="2384755" cy="7200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84755" cy="720090"/>
                  </a:xfrm>
                  <a:prstGeom prst="rect">
                    <a:avLst/>
                  </a:prstGeom>
                </pic:spPr>
              </pic:pic>
            </a:graphicData>
          </a:graphic>
        </wp:inline>
      </w:drawing>
    </w:r>
    <w:r w:rsidR="009D5AC3" w:rsidRPr="009D5A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D5AC3">
      <w:t xml:space="preserve">     </w:t>
    </w:r>
    <w:r w:rsidR="009D5AC3">
      <w:rPr>
        <w:noProof/>
      </w:rPr>
      <w:t xml:space="preserve"> </w:t>
    </w:r>
    <w:r w:rsidR="00205569" w:rsidRPr="00205569">
      <w:rPr>
        <w:noProof/>
      </w:rPr>
      <w:drawing>
        <wp:inline distT="0" distB="0" distL="0" distR="0" wp14:anchorId="5CA4646C" wp14:editId="29AD7DBE">
          <wp:extent cx="2971800" cy="644380"/>
          <wp:effectExtent l="0" t="0" r="0" b="381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
                  <a:stretch>
                    <a:fillRect/>
                  </a:stretch>
                </pic:blipFill>
                <pic:spPr>
                  <a:xfrm>
                    <a:off x="0" y="0"/>
                    <a:ext cx="2977694" cy="645658"/>
                  </a:xfrm>
                  <a:prstGeom prst="rect">
                    <a:avLst/>
                  </a:prstGeom>
                </pic:spPr>
              </pic:pic>
            </a:graphicData>
          </a:graphic>
        </wp:inline>
      </w:drawing>
    </w:r>
  </w:p>
  <w:p w14:paraId="5C50D913" w14:textId="77777777" w:rsidR="00C3298B" w:rsidRDefault="00C3298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899A" w14:textId="77777777" w:rsidR="00000000" w:rsidRDefault="00000000">
    <w:pPr>
      <w:pStyle w:val="Encabezado"/>
    </w:pPr>
    <w:r>
      <w:rPr>
        <w:noProof/>
      </w:rPr>
      <w:pict w14:anchorId="7FBDB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4812" o:spid="_x0000_s1028" type="#_x0000_t75" style="position:absolute;margin-left:0;margin-top:0;width:268.8pt;height:268.8pt;z-index:-251658240;mso-position-horizontal:center;mso-position-horizontal-relative:margin;mso-position-vertical:center;mso-position-vertical-relative:margin" o:allowincell="f">
          <v:imagedata r:id="rId1" o:title="Cámara_de_Representantes_de_Colombi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B71CC"/>
    <w:multiLevelType w:val="multilevel"/>
    <w:tmpl w:val="D0A25364"/>
    <w:lvl w:ilvl="0">
      <w:start w:val="1"/>
      <w:numFmt w:val="decimal"/>
      <w:lvlText w:val="%1."/>
      <w:lvlJc w:val="left"/>
      <w:pPr>
        <w:ind w:left="643" w:hanging="360"/>
      </w:pPr>
      <w:rPr>
        <w:rFonts w:ascii="Times New Roman" w:eastAsia="Times New Roman" w:hAnsi="Times New Roman" w:cs="Times New Roman"/>
        <w:b/>
      </w:rPr>
    </w:lvl>
    <w:lvl w:ilvl="1">
      <w:start w:val="1"/>
      <w:numFmt w:val="decimal"/>
      <w:lvlText w:val="%1.%2"/>
      <w:lvlJc w:val="left"/>
      <w:pPr>
        <w:ind w:left="927" w:hanging="360"/>
      </w:pPr>
    </w:lvl>
    <w:lvl w:ilvl="2">
      <w:start w:val="1"/>
      <w:numFmt w:val="decimal"/>
      <w:lvlText w:val="%1.%2.%3"/>
      <w:lvlJc w:val="left"/>
      <w:pPr>
        <w:ind w:left="1571" w:hanging="720"/>
      </w:pPr>
    </w:lvl>
    <w:lvl w:ilvl="3">
      <w:start w:val="1"/>
      <w:numFmt w:val="decimal"/>
      <w:lvlText w:val="%1.%2.%3.%4"/>
      <w:lvlJc w:val="left"/>
      <w:pPr>
        <w:ind w:left="1855" w:hanging="720"/>
      </w:pPr>
    </w:lvl>
    <w:lvl w:ilvl="4">
      <w:start w:val="1"/>
      <w:numFmt w:val="decimal"/>
      <w:lvlText w:val="%1.%2.%3.%4.%5"/>
      <w:lvlJc w:val="left"/>
      <w:pPr>
        <w:ind w:left="2499" w:hanging="1080"/>
      </w:pPr>
    </w:lvl>
    <w:lvl w:ilvl="5">
      <w:start w:val="1"/>
      <w:numFmt w:val="decimal"/>
      <w:lvlText w:val="%1.%2.%3.%4.%5.%6"/>
      <w:lvlJc w:val="left"/>
      <w:pPr>
        <w:ind w:left="2783" w:hanging="1080"/>
      </w:pPr>
    </w:lvl>
    <w:lvl w:ilvl="6">
      <w:start w:val="1"/>
      <w:numFmt w:val="decimal"/>
      <w:lvlText w:val="%1.%2.%3.%4.%5.%6.%7"/>
      <w:lvlJc w:val="left"/>
      <w:pPr>
        <w:ind w:left="3427" w:hanging="1440"/>
      </w:pPr>
    </w:lvl>
    <w:lvl w:ilvl="7">
      <w:start w:val="1"/>
      <w:numFmt w:val="decimal"/>
      <w:lvlText w:val="%1.%2.%3.%4.%5.%6.%7.%8"/>
      <w:lvlJc w:val="left"/>
      <w:pPr>
        <w:ind w:left="3711" w:hanging="1440"/>
      </w:pPr>
    </w:lvl>
    <w:lvl w:ilvl="8">
      <w:start w:val="1"/>
      <w:numFmt w:val="decimal"/>
      <w:lvlText w:val="%1.%2.%3.%4.%5.%6.%7.%8.%9"/>
      <w:lvlJc w:val="left"/>
      <w:pPr>
        <w:ind w:left="4355" w:hanging="1800"/>
      </w:pPr>
    </w:lvl>
  </w:abstractNum>
  <w:abstractNum w:abstractNumId="1" w15:restartNumberingAfterBreak="0">
    <w:nsid w:val="598338E7"/>
    <w:multiLevelType w:val="multilevel"/>
    <w:tmpl w:val="5C04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7D1CD4"/>
    <w:multiLevelType w:val="hybridMultilevel"/>
    <w:tmpl w:val="D4E277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55E685A"/>
    <w:multiLevelType w:val="hybridMultilevel"/>
    <w:tmpl w:val="442E0590"/>
    <w:lvl w:ilvl="0" w:tplc="469AEF20">
      <w:start w:val="3"/>
      <w:numFmt w:val="bullet"/>
      <w:lvlText w:val="-"/>
      <w:lvlJc w:val="left"/>
      <w:pPr>
        <w:ind w:left="720" w:hanging="360"/>
      </w:pPr>
      <w:rPr>
        <w:rFonts w:ascii="Bookman Old Style" w:eastAsia="Bookman Old Style" w:hAnsi="Bookman Old Style" w:cs="Bookman Old Sty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6DF1069"/>
    <w:multiLevelType w:val="multilevel"/>
    <w:tmpl w:val="9AD21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D91859"/>
    <w:multiLevelType w:val="hybridMultilevel"/>
    <w:tmpl w:val="E4367D44"/>
    <w:lvl w:ilvl="0" w:tplc="16C60DFC">
      <w:start w:val="5"/>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num w:numId="1" w16cid:durableId="1086267999">
    <w:abstractNumId w:val="4"/>
  </w:num>
  <w:num w:numId="2" w16cid:durableId="2010332800">
    <w:abstractNumId w:val="0"/>
  </w:num>
  <w:num w:numId="3" w16cid:durableId="1993174499">
    <w:abstractNumId w:val="1"/>
  </w:num>
  <w:num w:numId="4" w16cid:durableId="895970707">
    <w:abstractNumId w:val="3"/>
  </w:num>
  <w:num w:numId="5" w16cid:durableId="297105234">
    <w:abstractNumId w:val="5"/>
  </w:num>
  <w:num w:numId="6" w16cid:durableId="1450007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BB6"/>
    <w:rsid w:val="00205569"/>
    <w:rsid w:val="00303F84"/>
    <w:rsid w:val="003667E2"/>
    <w:rsid w:val="00456A27"/>
    <w:rsid w:val="004818D5"/>
    <w:rsid w:val="005968AB"/>
    <w:rsid w:val="006F6543"/>
    <w:rsid w:val="007A015E"/>
    <w:rsid w:val="008819BE"/>
    <w:rsid w:val="009B2FCA"/>
    <w:rsid w:val="009D5AC3"/>
    <w:rsid w:val="00BE3122"/>
    <w:rsid w:val="00C3298B"/>
    <w:rsid w:val="00DC1BB6"/>
    <w:rsid w:val="00E40868"/>
    <w:rsid w:val="00EC260F"/>
    <w:rsid w:val="00ED79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F182"/>
  <w15:chartTrackingRefBased/>
  <w15:docId w15:val="{F4ED6849-1E38-43F3-A0BA-6F5735C8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8B"/>
    <w:rPr>
      <w:rFonts w:ascii="Calibri" w:eastAsia="Calibri" w:hAnsi="Calibri" w:cs="Calibri"/>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1B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BB6"/>
  </w:style>
  <w:style w:type="paragraph" w:styleId="Piedepgina">
    <w:name w:val="footer"/>
    <w:basedOn w:val="Normal"/>
    <w:link w:val="PiedepginaCar"/>
    <w:uiPriority w:val="99"/>
    <w:unhideWhenUsed/>
    <w:rsid w:val="00DC1B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BB6"/>
  </w:style>
  <w:style w:type="table" w:styleId="Tablaconcuadrcula">
    <w:name w:val="Table Grid"/>
    <w:basedOn w:val="Tablanormal"/>
    <w:uiPriority w:val="39"/>
    <w:rsid w:val="00DC1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1BB6"/>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667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67E2"/>
    <w:rPr>
      <w:rFonts w:ascii="Segoe UI" w:hAnsi="Segoe UI" w:cs="Segoe UI"/>
      <w:sz w:val="18"/>
      <w:szCs w:val="18"/>
    </w:rPr>
  </w:style>
  <w:style w:type="character" w:styleId="Refdecomentario">
    <w:name w:val="annotation reference"/>
    <w:basedOn w:val="Fuentedeprrafopredeter"/>
    <w:uiPriority w:val="99"/>
    <w:semiHidden/>
    <w:unhideWhenUsed/>
    <w:rsid w:val="00C3298B"/>
    <w:rPr>
      <w:sz w:val="16"/>
      <w:szCs w:val="16"/>
    </w:rPr>
  </w:style>
  <w:style w:type="paragraph" w:styleId="Textocomentario">
    <w:name w:val="annotation text"/>
    <w:basedOn w:val="Normal"/>
    <w:link w:val="TextocomentarioCar"/>
    <w:uiPriority w:val="99"/>
    <w:semiHidden/>
    <w:unhideWhenUsed/>
    <w:rsid w:val="00C329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3298B"/>
    <w:rPr>
      <w:rFonts w:ascii="Calibri" w:eastAsia="Calibri" w:hAnsi="Calibri" w:cs="Calibri"/>
      <w:sz w:val="20"/>
      <w:szCs w:val="20"/>
      <w:lang w:eastAsia="es-CO"/>
    </w:rPr>
  </w:style>
  <w:style w:type="paragraph" w:styleId="Prrafodelista">
    <w:name w:val="List Paragraph"/>
    <w:basedOn w:val="Normal"/>
    <w:uiPriority w:val="34"/>
    <w:qFormat/>
    <w:rsid w:val="00C3298B"/>
    <w:pPr>
      <w:ind w:left="720"/>
      <w:contextualSpacing/>
    </w:pPr>
  </w:style>
  <w:style w:type="paragraph" w:styleId="Textonotapie">
    <w:name w:val="footnote text"/>
    <w:basedOn w:val="Normal"/>
    <w:link w:val="TextonotapieCar"/>
    <w:uiPriority w:val="99"/>
    <w:semiHidden/>
    <w:unhideWhenUsed/>
    <w:rsid w:val="00C329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298B"/>
    <w:rPr>
      <w:rFonts w:ascii="Calibri" w:eastAsia="Calibri" w:hAnsi="Calibri" w:cs="Calibri"/>
      <w:sz w:val="20"/>
      <w:szCs w:val="20"/>
      <w:lang w:eastAsia="es-CO"/>
    </w:rPr>
  </w:style>
  <w:style w:type="character" w:styleId="Refdenotaalpie">
    <w:name w:val="footnote reference"/>
    <w:basedOn w:val="Fuentedeprrafopredeter"/>
    <w:uiPriority w:val="99"/>
    <w:semiHidden/>
    <w:unhideWhenUsed/>
    <w:rsid w:val="00C3298B"/>
    <w:rPr>
      <w:vertAlign w:val="superscript"/>
    </w:rPr>
  </w:style>
  <w:style w:type="paragraph" w:styleId="Sinespaciado">
    <w:name w:val="No Spacing"/>
    <w:uiPriority w:val="1"/>
    <w:qFormat/>
    <w:rsid w:val="009B2FCA"/>
    <w:pPr>
      <w:spacing w:after="0" w:line="240" w:lineRule="auto"/>
    </w:pPr>
    <w:rPr>
      <w:rFonts w:ascii="Calibri" w:eastAsia="Calibri"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mintic.gov.co/portal/inicio/Sala-de-prensa/Noticias/208109:Colombia-adopta-de-forma-temprana-recomendaciones-de-etica-en-Inteligencia-Artificial-de-la-Unesco-para-la-region" TargetMode="External"/><Relationship Id="rId2" Type="http://schemas.openxmlformats.org/officeDocument/2006/relationships/hyperlink" Target="https://www.mintic.gov.co/portal/inicio/Sala-de-Prensa/Noticias/100683:Colombia-se-adhiere-a-acuerdo-sobre-Inteligencia-Artificial-ante-los-paises-de-la-OCDE" TargetMode="External"/><Relationship Id="rId1" Type="http://schemas.openxmlformats.org/officeDocument/2006/relationships/hyperlink" Target="https://www.europarl.europa.eu/doceo/document/TA-9-2022-0140_ES.pdf" TargetMode="External"/><Relationship Id="rId5" Type="http://schemas.openxmlformats.org/officeDocument/2006/relationships/hyperlink" Target="https://unesdoc.unesco.org/ark:/48223/pf0000380455_spa" TargetMode="External"/><Relationship Id="rId4" Type="http://schemas.openxmlformats.org/officeDocument/2006/relationships/hyperlink" Target="https://legalinstruments.oecd.org/en/instruments/OECD-LEGAL-0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7258</Words>
  <Characters>39920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Atencia</dc:creator>
  <cp:keywords/>
  <dc:description/>
  <cp:lastModifiedBy>ANDREA CAROLINA VARGAS LAVERDE</cp:lastModifiedBy>
  <cp:revision>2</cp:revision>
  <cp:lastPrinted>2023-09-05T21:44:00Z</cp:lastPrinted>
  <dcterms:created xsi:type="dcterms:W3CDTF">2023-09-13T18:59:00Z</dcterms:created>
  <dcterms:modified xsi:type="dcterms:W3CDTF">2023-09-13T18:59:00Z</dcterms:modified>
</cp:coreProperties>
</file>