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E61" w:rsidRDefault="008A3E61">
      <w:pPr>
        <w:widowControl w:val="0"/>
        <w:pBdr>
          <w:top w:val="nil"/>
          <w:left w:val="nil"/>
          <w:bottom w:val="nil"/>
          <w:right w:val="nil"/>
          <w:between w:val="nil"/>
        </w:pBdr>
        <w:spacing w:line="276" w:lineRule="auto"/>
      </w:pPr>
    </w:p>
    <w:p w:rsidR="008A3E61" w:rsidRDefault="00937B3B">
      <w:pPr>
        <w:jc w:val="center"/>
        <w:rPr>
          <w:rFonts w:ascii="Bookman Old Style" w:eastAsia="Bookman Old Style" w:hAnsi="Bookman Old Style" w:cs="Bookman Old Style"/>
          <w:b/>
        </w:rPr>
      </w:pPr>
      <w:r>
        <w:rPr>
          <w:rFonts w:ascii="Bookman Old Style" w:eastAsia="Bookman Old Style" w:hAnsi="Bookman Old Style" w:cs="Bookman Old Style"/>
          <w:b/>
        </w:rPr>
        <w:t>PROYECTO DE LEY _______________ 2023</w:t>
      </w:r>
    </w:p>
    <w:p w:rsidR="008A3E61" w:rsidRDefault="00937B3B">
      <w:pPr>
        <w:jc w:val="both"/>
        <w:rPr>
          <w:rFonts w:ascii="Bookman Old Style" w:eastAsia="Bookman Old Style" w:hAnsi="Bookman Old Style" w:cs="Bookman Old Style"/>
          <w:i/>
        </w:rPr>
      </w:pPr>
      <w:r>
        <w:rPr>
          <w:rFonts w:ascii="Bookman Old Style" w:eastAsia="Bookman Old Style" w:hAnsi="Bookman Old Style" w:cs="Bookman Old Style"/>
          <w:i/>
        </w:rPr>
        <w:t xml:space="preserve"> </w:t>
      </w:r>
    </w:p>
    <w:p w:rsidR="008A3E61" w:rsidRDefault="00937B3B">
      <w:pPr>
        <w:jc w:val="center"/>
        <w:rPr>
          <w:rFonts w:ascii="Bookman Old Style" w:eastAsia="Bookman Old Style" w:hAnsi="Bookman Old Style" w:cs="Bookman Old Style"/>
          <w:b/>
        </w:rPr>
      </w:pPr>
      <w:r>
        <w:rPr>
          <w:rFonts w:ascii="Bookman Old Style" w:eastAsia="Bookman Old Style" w:hAnsi="Bookman Old Style" w:cs="Bookman Old Style"/>
          <w:b/>
        </w:rPr>
        <w:t>“POR MEDIO DEL CUAL SE INCLUYE LA IGUALDAD DE GÉNERO Y LA ELIMINACIÓN DE ESTEREOTIPOS EN LOS PROCESOS EDUCATIVOS EN TODAS LAS INSTITUCIONES EDUCATIVAS DEL PAÍS, Y SE DICTAN OTRAS DISPOSICIONES”</w:t>
      </w:r>
    </w:p>
    <w:p w:rsidR="008A3E61" w:rsidRDefault="00937B3B">
      <w:pPr>
        <w:jc w:val="center"/>
        <w:rPr>
          <w:rFonts w:ascii="Bookman Old Style" w:eastAsia="Bookman Old Style" w:hAnsi="Bookman Old Style" w:cs="Bookman Old Style"/>
        </w:rPr>
      </w:pPr>
      <w:r>
        <w:rPr>
          <w:rFonts w:ascii="Bookman Old Style" w:eastAsia="Bookman Old Style" w:hAnsi="Bookman Old Style" w:cs="Bookman Old Style"/>
        </w:rPr>
        <w:t xml:space="preserve"> </w:t>
      </w:r>
    </w:p>
    <w:p w:rsidR="008A3E61" w:rsidRDefault="00937B3B">
      <w:pPr>
        <w:jc w:val="center"/>
        <w:rPr>
          <w:rFonts w:ascii="Bookman Old Style" w:eastAsia="Bookman Old Style" w:hAnsi="Bookman Old Style" w:cs="Bookman Old Style"/>
          <w:b/>
        </w:rPr>
      </w:pPr>
      <w:r>
        <w:rPr>
          <w:rFonts w:ascii="Bookman Old Style" w:eastAsia="Bookman Old Style" w:hAnsi="Bookman Old Style" w:cs="Bookman Old Style"/>
          <w:b/>
        </w:rPr>
        <w:t>EL CONGRESO DE COLOMBIA</w:t>
      </w:r>
    </w:p>
    <w:p w:rsidR="008A3E61" w:rsidRDefault="00937B3B">
      <w:pPr>
        <w:jc w:val="center"/>
        <w:rPr>
          <w:rFonts w:ascii="Bookman Old Style" w:eastAsia="Bookman Old Style" w:hAnsi="Bookman Old Style" w:cs="Bookman Old Style"/>
        </w:rPr>
      </w:pPr>
      <w:r>
        <w:rPr>
          <w:rFonts w:ascii="Bookman Old Style" w:eastAsia="Bookman Old Style" w:hAnsi="Bookman Old Style" w:cs="Bookman Old Style"/>
        </w:rPr>
        <w:t xml:space="preserve"> </w:t>
      </w:r>
    </w:p>
    <w:p w:rsidR="008A3E61" w:rsidRDefault="00937B3B">
      <w:pPr>
        <w:jc w:val="center"/>
        <w:rPr>
          <w:rFonts w:ascii="Bookman Old Style" w:eastAsia="Bookman Old Style" w:hAnsi="Bookman Old Style" w:cs="Bookman Old Style"/>
          <w:b/>
        </w:rPr>
      </w:pPr>
      <w:r>
        <w:rPr>
          <w:rFonts w:ascii="Bookman Old Style" w:eastAsia="Bookman Old Style" w:hAnsi="Bookman Old Style" w:cs="Bookman Old Style"/>
          <w:b/>
        </w:rPr>
        <w:t>DECRETA:</w:t>
      </w:r>
    </w:p>
    <w:p w:rsidR="008A3E61" w:rsidRDefault="00937B3B">
      <w:pPr>
        <w:jc w:val="center"/>
        <w:rPr>
          <w:rFonts w:ascii="Bookman Old Style" w:eastAsia="Bookman Old Style" w:hAnsi="Bookman Old Style" w:cs="Bookman Old Style"/>
          <w:b/>
        </w:rPr>
      </w:pPr>
      <w:r>
        <w:rPr>
          <w:rFonts w:ascii="Bookman Old Style" w:eastAsia="Bookman Old Style" w:hAnsi="Bookman Old Style" w:cs="Bookman Old Style"/>
          <w:b/>
        </w:rPr>
        <w:t xml:space="preserve"> </w:t>
      </w:r>
    </w:p>
    <w:p w:rsidR="008A3E61" w:rsidRDefault="00937B3B">
      <w:pPr>
        <w:spacing w:after="280"/>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1°. Objeto. </w:t>
      </w:r>
      <w:r>
        <w:rPr>
          <w:rFonts w:ascii="Bookman Old Style" w:eastAsia="Bookman Old Style" w:hAnsi="Bookman Old Style" w:cs="Bookman Old Style"/>
        </w:rPr>
        <w:t>La presente ley se crea como una herramienta de formación para la eliminación de estereotipos fundamentados en la identidad sexual, en el respeto y la sana convivencia.</w:t>
      </w:r>
    </w:p>
    <w:p w:rsidR="008A3E61" w:rsidRDefault="00937B3B">
      <w:pPr>
        <w:spacing w:after="280"/>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2°. </w:t>
      </w:r>
      <w:r>
        <w:rPr>
          <w:rFonts w:ascii="Bookman Old Style" w:eastAsia="Bookman Old Style" w:hAnsi="Bookman Old Style" w:cs="Bookman Old Style"/>
        </w:rPr>
        <w:t>Inclúyase la igu</w:t>
      </w:r>
      <w:r>
        <w:rPr>
          <w:rFonts w:ascii="Bookman Old Style" w:eastAsia="Bookman Old Style" w:hAnsi="Bookman Old Style" w:cs="Bookman Old Style"/>
        </w:rPr>
        <w:t>aldad de género y la eliminación de estereotipos en todas las instituciones de educación básica y media como un contenido interdisciplinario dentro de los planes de estudio establecidos en las áreas afines tales como educación ética y valores humanos, cien</w:t>
      </w:r>
      <w:r>
        <w:rPr>
          <w:rFonts w:ascii="Bookman Old Style" w:eastAsia="Bookman Old Style" w:hAnsi="Bookman Old Style" w:cs="Bookman Old Style"/>
        </w:rPr>
        <w:t>cias sociales, constitución política y democracia, educación artística y cultural, o cualquiera de las áreas de que trata el artículo 23 de la Ley 115 de 1994 o cualquier otra norma que la modifique o sustituya.</w:t>
      </w:r>
    </w:p>
    <w:p w:rsidR="008A3E61" w:rsidRDefault="00937B3B">
      <w:pPr>
        <w:spacing w:after="280"/>
        <w:jc w:val="both"/>
        <w:rPr>
          <w:rFonts w:ascii="Bookman Old Style" w:eastAsia="Bookman Old Style" w:hAnsi="Bookman Old Style" w:cs="Bookman Old Style"/>
        </w:rPr>
      </w:pPr>
      <w:r>
        <w:rPr>
          <w:rFonts w:ascii="Bookman Old Style" w:eastAsia="Bookman Old Style" w:hAnsi="Bookman Old Style" w:cs="Bookman Old Style"/>
          <w:b/>
        </w:rPr>
        <w:t xml:space="preserve">Parágrafo. </w:t>
      </w:r>
      <w:r>
        <w:rPr>
          <w:rFonts w:ascii="Bookman Old Style" w:eastAsia="Bookman Old Style" w:hAnsi="Bookman Old Style" w:cs="Bookman Old Style"/>
        </w:rPr>
        <w:t>En todo momento, para la aplicaci</w:t>
      </w:r>
      <w:r>
        <w:rPr>
          <w:rFonts w:ascii="Bookman Old Style" w:eastAsia="Bookman Old Style" w:hAnsi="Bookman Old Style" w:cs="Bookman Old Style"/>
        </w:rPr>
        <w:t xml:space="preserve">ón de lo indicado en el presente artículo, se respetarán los programas académicos y los modelos educativos de cada institución de educación. </w:t>
      </w:r>
    </w:p>
    <w:p w:rsidR="008A3E61" w:rsidRDefault="00937B3B">
      <w:pPr>
        <w:spacing w:after="280"/>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3°. </w:t>
      </w:r>
      <w:r>
        <w:rPr>
          <w:rFonts w:ascii="Bookman Old Style" w:eastAsia="Bookman Old Style" w:hAnsi="Bookman Old Style" w:cs="Bookman Old Style"/>
        </w:rPr>
        <w:t xml:space="preserve">En atención a lo establecido en el artículo 13 de la Constitución Política de Colombia, la inclusión </w:t>
      </w:r>
      <w:r>
        <w:rPr>
          <w:rFonts w:ascii="Bookman Old Style" w:eastAsia="Bookman Old Style" w:hAnsi="Bookman Old Style" w:cs="Bookman Old Style"/>
        </w:rPr>
        <w:t>de la igualdad y la eliminación de estereotipos como contenido interdisciplinario será obligatorio para todas las instituciones públicas o privadas de educación básica y media.</w:t>
      </w:r>
    </w:p>
    <w:p w:rsidR="008A3E61" w:rsidRDefault="00937B3B">
      <w:pPr>
        <w:spacing w:after="280"/>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4°. </w:t>
      </w:r>
      <w:r>
        <w:rPr>
          <w:rFonts w:ascii="Bookman Old Style" w:eastAsia="Bookman Old Style" w:hAnsi="Bookman Old Style" w:cs="Bookman Old Style"/>
        </w:rPr>
        <w:t>Dentro de los seis (6) meses siguientes a la expedición de la pres</w:t>
      </w:r>
      <w:r>
        <w:rPr>
          <w:rFonts w:ascii="Bookman Old Style" w:eastAsia="Bookman Old Style" w:hAnsi="Bookman Old Style" w:cs="Bookman Old Style"/>
        </w:rPr>
        <w:t>ente Ley, el Gobierno Nacional, a través del Ministerio de Educación, deberá reglamentar la inclusión de la igualdad de género y la eliminación de estereotipos como contenido interdisciplinario en la formación impartida por las instituciones públicas o pri</w:t>
      </w:r>
      <w:r>
        <w:rPr>
          <w:rFonts w:ascii="Bookman Old Style" w:eastAsia="Bookman Old Style" w:hAnsi="Bookman Old Style" w:cs="Bookman Old Style"/>
        </w:rPr>
        <w:t xml:space="preserve">vadas de educación básica y media en el territorio nacional. </w:t>
      </w:r>
    </w:p>
    <w:p w:rsidR="008A3E61" w:rsidRDefault="00937B3B">
      <w:pPr>
        <w:spacing w:after="280"/>
        <w:jc w:val="both"/>
        <w:rPr>
          <w:rFonts w:ascii="Bookman Old Style" w:eastAsia="Bookman Old Style" w:hAnsi="Bookman Old Style" w:cs="Bookman Old Style"/>
        </w:rPr>
      </w:pPr>
      <w:r>
        <w:rPr>
          <w:rFonts w:ascii="Bookman Old Style" w:eastAsia="Bookman Old Style" w:hAnsi="Bookman Old Style" w:cs="Bookman Old Style"/>
          <w:b/>
        </w:rPr>
        <w:lastRenderedPageBreak/>
        <w:t xml:space="preserve">Artículo 5°. </w:t>
      </w:r>
      <w:r>
        <w:rPr>
          <w:rFonts w:ascii="Bookman Old Style" w:eastAsia="Bookman Old Style" w:hAnsi="Bookman Old Style" w:cs="Bookman Old Style"/>
        </w:rPr>
        <w:t>A partir de la expedición de la presente Ley, el Ministerio de Educación, en coordinación con las autoridades territoriales, deberán tener en cuenta la igualdad de género y la elimi</w:t>
      </w:r>
      <w:r>
        <w:rPr>
          <w:rFonts w:ascii="Bookman Old Style" w:eastAsia="Bookman Old Style" w:hAnsi="Bookman Old Style" w:cs="Bookman Old Style"/>
        </w:rPr>
        <w:t>nación de estereotipos como uno de los ejes fundamentales para la elaboración del Plan Nacional de Desarrollo Educativo de que trata el artículo 72 de la Ley 115 de 1994.</w:t>
      </w:r>
    </w:p>
    <w:p w:rsidR="008A3E61" w:rsidRDefault="00937B3B">
      <w:pPr>
        <w:spacing w:after="280"/>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6°. </w:t>
      </w:r>
      <w:r>
        <w:rPr>
          <w:rFonts w:ascii="Bookman Old Style" w:eastAsia="Bookman Old Style" w:hAnsi="Bookman Old Style" w:cs="Bookman Old Style"/>
        </w:rPr>
        <w:t>El Gobierno Nacional, a través del Ministerio de Educación, proporcionar</w:t>
      </w:r>
      <w:r>
        <w:rPr>
          <w:rFonts w:ascii="Bookman Old Style" w:eastAsia="Bookman Old Style" w:hAnsi="Bookman Old Style" w:cs="Bookman Old Style"/>
        </w:rPr>
        <w:t>á los criterios y orientaciones requeridas para el cabal cumplimiento de lo dispuesto en la presente ley.</w:t>
      </w:r>
    </w:p>
    <w:p w:rsidR="008A3E61" w:rsidRDefault="00937B3B">
      <w:pPr>
        <w:spacing w:after="280"/>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7°. </w:t>
      </w:r>
      <w:r>
        <w:rPr>
          <w:rFonts w:ascii="Bookman Old Style" w:eastAsia="Bookman Old Style" w:hAnsi="Bookman Old Style" w:cs="Bookman Old Style"/>
        </w:rPr>
        <w:t>Modifíquese el literal d) del artículo 14 de la Ley 115 de 1194, el cual quedará de la siguiente manera:</w:t>
      </w:r>
    </w:p>
    <w:p w:rsidR="008A3E61" w:rsidRDefault="00937B3B">
      <w:pPr>
        <w:spacing w:after="280"/>
        <w:ind w:left="426" w:right="333"/>
        <w:jc w:val="both"/>
        <w:rPr>
          <w:rFonts w:ascii="Bookman Old Style" w:eastAsia="Bookman Old Style" w:hAnsi="Bookman Old Style" w:cs="Bookman Old Style"/>
          <w:color w:val="333333"/>
        </w:rPr>
      </w:pPr>
      <w:r>
        <w:rPr>
          <w:rFonts w:ascii="Bookman Old Style" w:eastAsia="Bookman Old Style" w:hAnsi="Bookman Old Style" w:cs="Bookman Old Style"/>
          <w:b/>
        </w:rPr>
        <w:t>ARTÍCULO 14.</w:t>
      </w:r>
      <w:r>
        <w:rPr>
          <w:rFonts w:ascii="Bookman Old Style" w:eastAsia="Bookman Old Style" w:hAnsi="Bookman Old Style" w:cs="Bookman Old Style"/>
        </w:rPr>
        <w:t xml:space="preserve"> </w:t>
      </w:r>
      <w:r>
        <w:rPr>
          <w:rFonts w:ascii="Bookman Old Style" w:eastAsia="Bookman Old Style" w:hAnsi="Bookman Old Style" w:cs="Bookman Old Style"/>
          <w:b/>
        </w:rPr>
        <w:t>Enseñanza obligator</w:t>
      </w:r>
      <w:r>
        <w:rPr>
          <w:rFonts w:ascii="Bookman Old Style" w:eastAsia="Bookman Old Style" w:hAnsi="Bookman Old Style" w:cs="Bookman Old Style"/>
          <w:b/>
        </w:rPr>
        <w:t>ia.</w:t>
      </w:r>
      <w:r>
        <w:rPr>
          <w:rFonts w:ascii="Bookman Old Style" w:eastAsia="Bookman Old Style" w:hAnsi="Bookman Old Style" w:cs="Bookman Old Style"/>
        </w:rPr>
        <w:t xml:space="preserve"> En todos los establecimientos oficiales o privados que ofrezcan educación formal es obligatorio en los </w:t>
      </w:r>
      <w:r>
        <w:rPr>
          <w:rFonts w:ascii="Bookman Old Style" w:eastAsia="Bookman Old Style" w:hAnsi="Bookman Old Style" w:cs="Bookman Old Style"/>
          <w:color w:val="333333"/>
        </w:rPr>
        <w:t xml:space="preserve">niveles de la educación </w:t>
      </w:r>
      <w:r>
        <w:rPr>
          <w:rFonts w:ascii="Bookman Old Style" w:eastAsia="Bookman Old Style" w:hAnsi="Bookman Old Style" w:cs="Bookman Old Style"/>
        </w:rPr>
        <w:t>preescolar</w:t>
      </w:r>
      <w:r>
        <w:rPr>
          <w:rFonts w:ascii="Bookman Old Style" w:eastAsia="Bookman Old Style" w:hAnsi="Bookman Old Style" w:cs="Bookman Old Style"/>
          <w:color w:val="333333"/>
        </w:rPr>
        <w:t xml:space="preserve">, básica y media, cumplir con: </w:t>
      </w:r>
    </w:p>
    <w:p w:rsidR="008A3E61" w:rsidRDefault="00937B3B">
      <w:pPr>
        <w:spacing w:after="280"/>
        <w:ind w:left="426" w:right="333"/>
        <w:jc w:val="both"/>
        <w:rPr>
          <w:rFonts w:ascii="Bookman Old Style" w:eastAsia="Bookman Old Style" w:hAnsi="Bookman Old Style" w:cs="Bookman Old Style"/>
        </w:rPr>
      </w:pPr>
      <w:r>
        <w:rPr>
          <w:rFonts w:ascii="Bookman Old Style" w:eastAsia="Bookman Old Style" w:hAnsi="Bookman Old Style" w:cs="Bookman Old Style"/>
        </w:rPr>
        <w:t>(…)</w:t>
      </w:r>
    </w:p>
    <w:p w:rsidR="008A3E61" w:rsidRDefault="00937B3B">
      <w:pPr>
        <w:spacing w:after="280"/>
        <w:ind w:left="426" w:right="333"/>
        <w:jc w:val="both"/>
        <w:rPr>
          <w:rFonts w:ascii="Bookman Old Style" w:eastAsia="Bookman Old Style" w:hAnsi="Bookman Old Style" w:cs="Bookman Old Style"/>
        </w:rPr>
      </w:pPr>
      <w:r>
        <w:rPr>
          <w:rFonts w:ascii="Bookman Old Style" w:eastAsia="Bookman Old Style" w:hAnsi="Bookman Old Style" w:cs="Bookman Old Style"/>
        </w:rPr>
        <w:t>d) La educación para la justicia, la paz, la democracia, la solidaridad, la con</w:t>
      </w:r>
      <w:r>
        <w:rPr>
          <w:rFonts w:ascii="Bookman Old Style" w:eastAsia="Bookman Old Style" w:hAnsi="Bookman Old Style" w:cs="Bookman Old Style"/>
        </w:rPr>
        <w:t xml:space="preserve">fraternidad, </w:t>
      </w:r>
      <w:r>
        <w:rPr>
          <w:rFonts w:ascii="Bookman Old Style" w:eastAsia="Bookman Old Style" w:hAnsi="Bookman Old Style" w:cs="Bookman Old Style"/>
          <w:b/>
          <w:u w:val="single"/>
        </w:rPr>
        <w:t>la igualdad de género y la eliminación de estereotipos,</w:t>
      </w:r>
      <w:r>
        <w:rPr>
          <w:rFonts w:ascii="Bookman Old Style" w:eastAsia="Bookman Old Style" w:hAnsi="Bookman Old Style" w:cs="Bookman Old Style"/>
          <w:b/>
        </w:rPr>
        <w:t xml:space="preserve"> </w:t>
      </w:r>
      <w:r>
        <w:rPr>
          <w:rFonts w:ascii="Bookman Old Style" w:eastAsia="Bookman Old Style" w:hAnsi="Bookman Old Style" w:cs="Bookman Old Style"/>
        </w:rPr>
        <w:t xml:space="preserve">el cooperativismo y, en general, la formación en los valores humanos, y </w:t>
      </w:r>
    </w:p>
    <w:p w:rsidR="008A3E61" w:rsidRDefault="00937B3B">
      <w:pPr>
        <w:spacing w:after="280"/>
        <w:ind w:left="426" w:right="333"/>
        <w:jc w:val="both"/>
        <w:rPr>
          <w:rFonts w:ascii="Bookman Old Style" w:eastAsia="Bookman Old Style" w:hAnsi="Bookman Old Style" w:cs="Bookman Old Style"/>
        </w:rPr>
      </w:pPr>
      <w:r>
        <w:rPr>
          <w:rFonts w:ascii="Bookman Old Style" w:eastAsia="Bookman Old Style" w:hAnsi="Bookman Old Style" w:cs="Bookman Old Style"/>
        </w:rPr>
        <w:t>(…)</w:t>
      </w:r>
    </w:p>
    <w:p w:rsidR="008A3E61" w:rsidRDefault="00937B3B">
      <w:pPr>
        <w:spacing w:after="280"/>
        <w:jc w:val="both"/>
        <w:rPr>
          <w:rFonts w:ascii="Bookman Old Style" w:eastAsia="Bookman Old Style" w:hAnsi="Bookman Old Style" w:cs="Bookman Old Style"/>
        </w:rPr>
      </w:pPr>
      <w:r>
        <w:rPr>
          <w:rFonts w:ascii="Bookman Old Style" w:eastAsia="Bookman Old Style" w:hAnsi="Bookman Old Style" w:cs="Bookman Old Style"/>
          <w:b/>
        </w:rPr>
        <w:t xml:space="preserve">Parágrafo. </w:t>
      </w:r>
      <w:r>
        <w:rPr>
          <w:rFonts w:ascii="Bookman Old Style" w:eastAsia="Bookman Old Style" w:hAnsi="Bookman Old Style" w:cs="Bookman Old Style"/>
        </w:rPr>
        <w:t>Para el nivel de educación preescolar no será obligatorio lo relacionado con la igualdad de género y la eliminación de estereotipos establecida en el literal d) del presente artículo.</w:t>
      </w:r>
    </w:p>
    <w:p w:rsidR="008A3E61" w:rsidRDefault="00937B3B">
      <w:pPr>
        <w:spacing w:after="280"/>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8°. </w:t>
      </w:r>
      <w:r>
        <w:rPr>
          <w:rFonts w:ascii="Bookman Old Style" w:eastAsia="Bookman Old Style" w:hAnsi="Bookman Old Style" w:cs="Bookman Old Style"/>
        </w:rPr>
        <w:t>La presente ley rige a partir de la fecha de su publicación</w:t>
      </w:r>
      <w:r>
        <w:rPr>
          <w:rFonts w:ascii="Bookman Old Style" w:eastAsia="Bookman Old Style" w:hAnsi="Bookman Old Style" w:cs="Bookman Old Style"/>
        </w:rPr>
        <w:t xml:space="preserve"> y deroga todas las disposiciones que le sean contrarias.</w:t>
      </w:r>
    </w:p>
    <w:tbl>
      <w:tblPr>
        <w:tblStyle w:val="a"/>
        <w:tblpPr w:leftFromText="141" w:rightFromText="141" w:vertAnchor="text" w:tblpY="6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8A3E61">
        <w:tc>
          <w:tcPr>
            <w:tcW w:w="4414" w:type="dxa"/>
          </w:tcPr>
          <w:p w:rsidR="008A3E61" w:rsidRDefault="008A3E61">
            <w:pPr>
              <w:jc w:val="center"/>
              <w:rPr>
                <w:rFonts w:ascii="Bookman Old Style" w:eastAsia="Bookman Old Style" w:hAnsi="Bookman Old Style" w:cs="Bookman Old Style"/>
                <w:b/>
                <w:sz w:val="22"/>
                <w:szCs w:val="22"/>
              </w:rPr>
            </w:pPr>
          </w:p>
          <w:p w:rsidR="008A3E61" w:rsidRDefault="008A3E61">
            <w:pPr>
              <w:jc w:val="center"/>
              <w:rPr>
                <w:rFonts w:ascii="Bookman Old Style" w:eastAsia="Bookman Old Style" w:hAnsi="Bookman Old Style" w:cs="Bookman Old Style"/>
                <w:b/>
                <w:sz w:val="22"/>
                <w:szCs w:val="22"/>
              </w:rPr>
            </w:pPr>
          </w:p>
          <w:p w:rsidR="008A3E61" w:rsidRDefault="008A3E61">
            <w:pPr>
              <w:jc w:val="center"/>
              <w:rPr>
                <w:rFonts w:ascii="Bookman Old Style" w:eastAsia="Bookman Old Style" w:hAnsi="Bookman Old Style" w:cs="Bookman Old Style"/>
                <w:b/>
                <w:sz w:val="22"/>
                <w:szCs w:val="22"/>
              </w:rPr>
            </w:pPr>
          </w:p>
          <w:p w:rsidR="008A3E61" w:rsidRDefault="008A3E61">
            <w:pPr>
              <w:jc w:val="center"/>
              <w:rPr>
                <w:rFonts w:ascii="Bookman Old Style" w:eastAsia="Bookman Old Style" w:hAnsi="Bookman Old Style" w:cs="Bookman Old Style"/>
                <w:b/>
                <w:sz w:val="22"/>
                <w:szCs w:val="22"/>
              </w:rPr>
            </w:pPr>
          </w:p>
          <w:p w:rsidR="008A3E61" w:rsidRDefault="008A3E61">
            <w:pPr>
              <w:jc w:val="center"/>
              <w:rPr>
                <w:rFonts w:ascii="Bookman Old Style" w:eastAsia="Bookman Old Style" w:hAnsi="Bookman Old Style" w:cs="Bookman Old Style"/>
                <w:b/>
                <w:sz w:val="22"/>
                <w:szCs w:val="22"/>
              </w:rPr>
            </w:pPr>
          </w:p>
          <w:p w:rsidR="008A3E61" w:rsidRDefault="00937B3B">
            <w:pPr>
              <w:jc w:val="center"/>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KARYME COTES MARTÍNEZ</w:t>
            </w:r>
          </w:p>
          <w:p w:rsidR="008A3E61" w:rsidRDefault="00937B3B">
            <w:pPr>
              <w:jc w:val="cente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Representante a la Cámara</w:t>
            </w:r>
          </w:p>
        </w:tc>
        <w:tc>
          <w:tcPr>
            <w:tcW w:w="4414" w:type="dxa"/>
          </w:tcPr>
          <w:p w:rsidR="008A3E61" w:rsidRDefault="008A3E61">
            <w:pPr>
              <w:jc w:val="both"/>
              <w:rPr>
                <w:rFonts w:ascii="Bookman Old Style" w:eastAsia="Bookman Old Style" w:hAnsi="Bookman Old Style" w:cs="Bookman Old Style"/>
              </w:rPr>
            </w:pPr>
            <w:bookmarkStart w:id="0" w:name="_GoBack"/>
            <w:bookmarkEnd w:id="0"/>
          </w:p>
        </w:tc>
      </w:tr>
    </w:tbl>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rPr>
        <w:t xml:space="preserve"> </w:t>
      </w:r>
    </w:p>
    <w:p w:rsidR="008A3E61" w:rsidRDefault="008A3E61">
      <w:pPr>
        <w:jc w:val="both"/>
        <w:rPr>
          <w:rFonts w:ascii="Bookman Old Style" w:eastAsia="Bookman Old Style" w:hAnsi="Bookman Old Style" w:cs="Bookman Old Style"/>
        </w:rPr>
      </w:pPr>
    </w:p>
    <w:tbl>
      <w:tblPr>
        <w:tblStyle w:val="a0"/>
        <w:tblW w:w="89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8"/>
        <w:gridCol w:w="4458"/>
      </w:tblGrid>
      <w:tr w:rsidR="008A3E61">
        <w:trPr>
          <w:trHeight w:val="1363"/>
        </w:trPr>
        <w:tc>
          <w:tcPr>
            <w:tcW w:w="4458" w:type="dxa"/>
          </w:tcPr>
          <w:p w:rsidR="008A3E61" w:rsidRDefault="008A3E61">
            <w:pPr>
              <w:jc w:val="both"/>
              <w:rPr>
                <w:rFonts w:ascii="Bookman Old Style" w:eastAsia="Bookman Old Style" w:hAnsi="Bookman Old Style" w:cs="Bookman Old Style"/>
              </w:rPr>
            </w:pPr>
          </w:p>
        </w:tc>
        <w:tc>
          <w:tcPr>
            <w:tcW w:w="4458" w:type="dxa"/>
          </w:tcPr>
          <w:p w:rsidR="008A3E61" w:rsidRDefault="008A3E61">
            <w:pPr>
              <w:jc w:val="both"/>
              <w:rPr>
                <w:rFonts w:ascii="Bookman Old Style" w:eastAsia="Bookman Old Style" w:hAnsi="Bookman Old Style" w:cs="Bookman Old Style"/>
              </w:rPr>
            </w:pPr>
          </w:p>
        </w:tc>
      </w:tr>
      <w:tr w:rsidR="008A3E61">
        <w:trPr>
          <w:trHeight w:val="1439"/>
        </w:trPr>
        <w:tc>
          <w:tcPr>
            <w:tcW w:w="4458" w:type="dxa"/>
          </w:tcPr>
          <w:p w:rsidR="008A3E61" w:rsidRDefault="008A3E61">
            <w:pPr>
              <w:jc w:val="both"/>
              <w:rPr>
                <w:rFonts w:ascii="Bookman Old Style" w:eastAsia="Bookman Old Style" w:hAnsi="Bookman Old Style" w:cs="Bookman Old Style"/>
              </w:rPr>
            </w:pPr>
          </w:p>
        </w:tc>
        <w:tc>
          <w:tcPr>
            <w:tcW w:w="4458" w:type="dxa"/>
          </w:tcPr>
          <w:p w:rsidR="008A3E61" w:rsidRDefault="008A3E61">
            <w:pPr>
              <w:jc w:val="both"/>
              <w:rPr>
                <w:rFonts w:ascii="Bookman Old Style" w:eastAsia="Bookman Old Style" w:hAnsi="Bookman Old Style" w:cs="Bookman Old Style"/>
              </w:rPr>
            </w:pPr>
          </w:p>
        </w:tc>
      </w:tr>
      <w:tr w:rsidR="008A3E61">
        <w:trPr>
          <w:trHeight w:val="1363"/>
        </w:trPr>
        <w:tc>
          <w:tcPr>
            <w:tcW w:w="4458" w:type="dxa"/>
          </w:tcPr>
          <w:p w:rsidR="008A3E61" w:rsidRDefault="008A3E61">
            <w:pPr>
              <w:jc w:val="both"/>
              <w:rPr>
                <w:rFonts w:ascii="Bookman Old Style" w:eastAsia="Bookman Old Style" w:hAnsi="Bookman Old Style" w:cs="Bookman Old Style"/>
              </w:rPr>
            </w:pPr>
          </w:p>
        </w:tc>
        <w:tc>
          <w:tcPr>
            <w:tcW w:w="4458" w:type="dxa"/>
          </w:tcPr>
          <w:p w:rsidR="008A3E61" w:rsidRDefault="008A3E61">
            <w:pPr>
              <w:jc w:val="both"/>
              <w:rPr>
                <w:rFonts w:ascii="Bookman Old Style" w:eastAsia="Bookman Old Style" w:hAnsi="Bookman Old Style" w:cs="Bookman Old Style"/>
              </w:rPr>
            </w:pPr>
          </w:p>
        </w:tc>
      </w:tr>
      <w:tr w:rsidR="008A3E61">
        <w:trPr>
          <w:trHeight w:val="1439"/>
        </w:trPr>
        <w:tc>
          <w:tcPr>
            <w:tcW w:w="4458" w:type="dxa"/>
          </w:tcPr>
          <w:p w:rsidR="008A3E61" w:rsidRDefault="008A3E61">
            <w:pPr>
              <w:jc w:val="both"/>
              <w:rPr>
                <w:rFonts w:ascii="Bookman Old Style" w:eastAsia="Bookman Old Style" w:hAnsi="Bookman Old Style" w:cs="Bookman Old Style"/>
              </w:rPr>
            </w:pPr>
          </w:p>
        </w:tc>
        <w:tc>
          <w:tcPr>
            <w:tcW w:w="4458" w:type="dxa"/>
          </w:tcPr>
          <w:p w:rsidR="008A3E61" w:rsidRDefault="008A3E61">
            <w:pPr>
              <w:jc w:val="both"/>
              <w:rPr>
                <w:rFonts w:ascii="Bookman Old Style" w:eastAsia="Bookman Old Style" w:hAnsi="Bookman Old Style" w:cs="Bookman Old Style"/>
              </w:rPr>
            </w:pPr>
          </w:p>
        </w:tc>
      </w:tr>
      <w:tr w:rsidR="008A3E61">
        <w:trPr>
          <w:trHeight w:val="1363"/>
        </w:trPr>
        <w:tc>
          <w:tcPr>
            <w:tcW w:w="4458" w:type="dxa"/>
          </w:tcPr>
          <w:p w:rsidR="008A3E61" w:rsidRDefault="008A3E61">
            <w:pPr>
              <w:jc w:val="both"/>
              <w:rPr>
                <w:rFonts w:ascii="Bookman Old Style" w:eastAsia="Bookman Old Style" w:hAnsi="Bookman Old Style" w:cs="Bookman Old Style"/>
              </w:rPr>
            </w:pPr>
          </w:p>
        </w:tc>
        <w:tc>
          <w:tcPr>
            <w:tcW w:w="4458" w:type="dxa"/>
          </w:tcPr>
          <w:p w:rsidR="008A3E61" w:rsidRDefault="008A3E61">
            <w:pPr>
              <w:jc w:val="both"/>
              <w:rPr>
                <w:rFonts w:ascii="Bookman Old Style" w:eastAsia="Bookman Old Style" w:hAnsi="Bookman Old Style" w:cs="Bookman Old Style"/>
              </w:rPr>
            </w:pPr>
          </w:p>
        </w:tc>
      </w:tr>
      <w:tr w:rsidR="008A3E61">
        <w:trPr>
          <w:trHeight w:val="1439"/>
        </w:trPr>
        <w:tc>
          <w:tcPr>
            <w:tcW w:w="4458" w:type="dxa"/>
          </w:tcPr>
          <w:p w:rsidR="008A3E61" w:rsidRDefault="008A3E61">
            <w:pPr>
              <w:jc w:val="both"/>
              <w:rPr>
                <w:rFonts w:ascii="Bookman Old Style" w:eastAsia="Bookman Old Style" w:hAnsi="Bookman Old Style" w:cs="Bookman Old Style"/>
              </w:rPr>
            </w:pPr>
          </w:p>
        </w:tc>
        <w:tc>
          <w:tcPr>
            <w:tcW w:w="4458" w:type="dxa"/>
          </w:tcPr>
          <w:p w:rsidR="008A3E61" w:rsidRDefault="008A3E61">
            <w:pPr>
              <w:jc w:val="both"/>
              <w:rPr>
                <w:rFonts w:ascii="Bookman Old Style" w:eastAsia="Bookman Old Style" w:hAnsi="Bookman Old Style" w:cs="Bookman Old Style"/>
              </w:rPr>
            </w:pPr>
          </w:p>
        </w:tc>
      </w:tr>
      <w:tr w:rsidR="008A3E61">
        <w:trPr>
          <w:trHeight w:val="1363"/>
        </w:trPr>
        <w:tc>
          <w:tcPr>
            <w:tcW w:w="4458" w:type="dxa"/>
          </w:tcPr>
          <w:p w:rsidR="008A3E61" w:rsidRDefault="008A3E61">
            <w:pPr>
              <w:jc w:val="both"/>
              <w:rPr>
                <w:rFonts w:ascii="Bookman Old Style" w:eastAsia="Bookman Old Style" w:hAnsi="Bookman Old Style" w:cs="Bookman Old Style"/>
              </w:rPr>
            </w:pPr>
          </w:p>
        </w:tc>
        <w:tc>
          <w:tcPr>
            <w:tcW w:w="4458" w:type="dxa"/>
          </w:tcPr>
          <w:p w:rsidR="008A3E61" w:rsidRDefault="008A3E61">
            <w:pPr>
              <w:jc w:val="both"/>
              <w:rPr>
                <w:rFonts w:ascii="Bookman Old Style" w:eastAsia="Bookman Old Style" w:hAnsi="Bookman Old Style" w:cs="Bookman Old Style"/>
              </w:rPr>
            </w:pPr>
          </w:p>
        </w:tc>
      </w:tr>
      <w:tr w:rsidR="008A3E61">
        <w:trPr>
          <w:trHeight w:val="1363"/>
        </w:trPr>
        <w:tc>
          <w:tcPr>
            <w:tcW w:w="4458" w:type="dxa"/>
          </w:tcPr>
          <w:p w:rsidR="008A3E61" w:rsidRDefault="008A3E61">
            <w:pPr>
              <w:jc w:val="both"/>
              <w:rPr>
                <w:rFonts w:ascii="Bookman Old Style" w:eastAsia="Bookman Old Style" w:hAnsi="Bookman Old Style" w:cs="Bookman Old Style"/>
              </w:rPr>
            </w:pPr>
          </w:p>
        </w:tc>
        <w:tc>
          <w:tcPr>
            <w:tcW w:w="4458" w:type="dxa"/>
          </w:tcPr>
          <w:p w:rsidR="008A3E61" w:rsidRDefault="008A3E61">
            <w:pPr>
              <w:jc w:val="both"/>
              <w:rPr>
                <w:rFonts w:ascii="Bookman Old Style" w:eastAsia="Bookman Old Style" w:hAnsi="Bookman Old Style" w:cs="Bookman Old Style"/>
              </w:rPr>
            </w:pPr>
          </w:p>
        </w:tc>
      </w:tr>
    </w:tbl>
    <w:p w:rsidR="008A3E61" w:rsidRDefault="008A3E61">
      <w:pPr>
        <w:jc w:val="both"/>
        <w:rPr>
          <w:rFonts w:ascii="Bookman Old Style" w:eastAsia="Bookman Old Style" w:hAnsi="Bookman Old Style" w:cs="Bookman Old Style"/>
        </w:rPr>
      </w:pPr>
    </w:p>
    <w:p w:rsidR="008A3E61" w:rsidRDefault="008A3E61">
      <w:pPr>
        <w:jc w:val="center"/>
        <w:rPr>
          <w:rFonts w:ascii="Bookman Old Style" w:eastAsia="Bookman Old Style" w:hAnsi="Bookman Old Style" w:cs="Bookman Old Style"/>
          <w:b/>
        </w:rPr>
      </w:pPr>
    </w:p>
    <w:p w:rsidR="008A3E61" w:rsidRDefault="00937B3B">
      <w:pPr>
        <w:jc w:val="center"/>
        <w:rPr>
          <w:rFonts w:ascii="Bookman Old Style" w:eastAsia="Bookman Old Style" w:hAnsi="Bookman Old Style" w:cs="Bookman Old Style"/>
          <w:b/>
        </w:rPr>
      </w:pPr>
      <w:bookmarkStart w:id="1" w:name="_heading=h.gjdgxs" w:colFirst="0" w:colLast="0"/>
      <w:bookmarkEnd w:id="1"/>
      <w:r>
        <w:rPr>
          <w:rFonts w:ascii="Bookman Old Style" w:eastAsia="Bookman Old Style" w:hAnsi="Bookman Old Style" w:cs="Bookman Old Style"/>
          <w:b/>
        </w:rPr>
        <w:t>EXPOSICIÓN DE MOTIVOS</w:t>
      </w:r>
    </w:p>
    <w:p w:rsidR="008A3E61" w:rsidRDefault="008A3E61">
      <w:pPr>
        <w:jc w:val="both"/>
        <w:rPr>
          <w:rFonts w:ascii="Bookman Old Style" w:eastAsia="Bookman Old Style" w:hAnsi="Bookman Old Style" w:cs="Bookman Old Style"/>
        </w:rPr>
      </w:pPr>
    </w:p>
    <w:p w:rsidR="008A3E61" w:rsidRDefault="00937B3B">
      <w:pPr>
        <w:numPr>
          <w:ilvl w:val="0"/>
          <w:numId w:val="1"/>
        </w:num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Objeto del Proyecto</w:t>
      </w:r>
    </w:p>
    <w:p w:rsidR="008A3E61" w:rsidRDefault="00937B3B">
      <w:pPr>
        <w:numPr>
          <w:ilvl w:val="0"/>
          <w:numId w:val="1"/>
        </w:num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Justificación </w:t>
      </w:r>
    </w:p>
    <w:p w:rsidR="008A3E61" w:rsidRDefault="00937B3B">
      <w:pPr>
        <w:numPr>
          <w:ilvl w:val="0"/>
          <w:numId w:val="1"/>
        </w:num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Marco jurídico</w:t>
      </w:r>
    </w:p>
    <w:p w:rsidR="008A3E61" w:rsidRDefault="00937B3B">
      <w:pPr>
        <w:numPr>
          <w:ilvl w:val="0"/>
          <w:numId w:val="1"/>
        </w:num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Conflicto de intereses</w:t>
      </w:r>
    </w:p>
    <w:p w:rsidR="008A3E61" w:rsidRDefault="008A3E61">
      <w:pPr>
        <w:jc w:val="both"/>
        <w:rPr>
          <w:rFonts w:ascii="Bookman Old Style" w:eastAsia="Bookman Old Style" w:hAnsi="Bookman Old Style" w:cs="Bookman Old Style"/>
        </w:rPr>
      </w:pPr>
    </w:p>
    <w:p w:rsidR="008A3E61" w:rsidRDefault="00937B3B">
      <w:pPr>
        <w:numPr>
          <w:ilvl w:val="0"/>
          <w:numId w:val="3"/>
        </w:numPr>
        <w:spacing w:line="276" w:lineRule="auto"/>
        <w:jc w:val="both"/>
        <w:rPr>
          <w:rFonts w:ascii="Bookman Old Style" w:eastAsia="Bookman Old Style" w:hAnsi="Bookman Old Style" w:cs="Bookman Old Style"/>
          <w:b/>
        </w:rPr>
      </w:pPr>
      <w:r>
        <w:rPr>
          <w:rFonts w:ascii="Bookman Old Style" w:eastAsia="Bookman Old Style" w:hAnsi="Bookman Old Style" w:cs="Bookman Old Style"/>
          <w:b/>
        </w:rPr>
        <w:t xml:space="preserve">OBJETO DEL PROYECTO </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rPr>
        <w:t>El presente proyecto tiene por objeto la inclusión de la igualdad de género y la eliminación de estereotipos fundamentados en la identidad sexual, en el respeto y la sana convivenc</w:t>
      </w:r>
      <w:r>
        <w:rPr>
          <w:rFonts w:ascii="Bookman Old Style" w:eastAsia="Bookman Old Style" w:hAnsi="Bookman Old Style" w:cs="Bookman Old Style"/>
        </w:rPr>
        <w:t>ia en los procesos educativos en todas las Instituciones Educativas del país, a través de la creación de una herramienta de formación temprana de los niños y niñas en la educación básica primaria y secundaria, y media. Lo anterior, materializado como conte</w:t>
      </w:r>
      <w:r>
        <w:rPr>
          <w:rFonts w:ascii="Bookman Old Style" w:eastAsia="Bookman Old Style" w:hAnsi="Bookman Old Style" w:cs="Bookman Old Style"/>
        </w:rPr>
        <w:t>nido interdisciplinario dentro de los planes de estudio establecidos en las áreas afines tales como educación ética y valores humanos, ciencias sociales, constitución política y democracia, educación artística y cultural, o cualquiera de las áreas de las q</w:t>
      </w:r>
      <w:r>
        <w:rPr>
          <w:rFonts w:ascii="Bookman Old Style" w:eastAsia="Bookman Old Style" w:hAnsi="Bookman Old Style" w:cs="Bookman Old Style"/>
        </w:rPr>
        <w:t xml:space="preserve">ue trata el artículo 23 de la ley 115 de 1994 o cualquier otra norma que la modifique o sustituya. </w:t>
      </w:r>
    </w:p>
    <w:p w:rsidR="008A3E61" w:rsidRDefault="008A3E61">
      <w:pPr>
        <w:jc w:val="both"/>
        <w:rPr>
          <w:rFonts w:ascii="Bookman Old Style" w:eastAsia="Bookman Old Style" w:hAnsi="Bookman Old Style" w:cs="Bookman Old Style"/>
        </w:rPr>
      </w:pPr>
    </w:p>
    <w:p w:rsidR="008A3E61" w:rsidRDefault="00937B3B">
      <w:pPr>
        <w:numPr>
          <w:ilvl w:val="0"/>
          <w:numId w:val="3"/>
        </w:numPr>
        <w:spacing w:line="276" w:lineRule="auto"/>
        <w:jc w:val="both"/>
        <w:rPr>
          <w:rFonts w:ascii="Bookman Old Style" w:eastAsia="Bookman Old Style" w:hAnsi="Bookman Old Style" w:cs="Bookman Old Style"/>
          <w:b/>
        </w:rPr>
      </w:pPr>
      <w:r>
        <w:rPr>
          <w:rFonts w:ascii="Bookman Old Style" w:eastAsia="Bookman Old Style" w:hAnsi="Bookman Old Style" w:cs="Bookman Old Style"/>
          <w:b/>
        </w:rPr>
        <w:t xml:space="preserve">JUSTIFICACIÓN </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b/>
        </w:rPr>
      </w:pPr>
      <w:r>
        <w:rPr>
          <w:rFonts w:ascii="Bookman Old Style" w:eastAsia="Bookman Old Style" w:hAnsi="Bookman Old Style" w:cs="Bookman Old Style"/>
          <w:b/>
        </w:rPr>
        <w:t>II.I La igualdad de género y discriminación en entornos escolares en Colombia</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highlight w:val="white"/>
        </w:rPr>
      </w:pPr>
      <w:r>
        <w:rPr>
          <w:rFonts w:ascii="Bookman Old Style" w:eastAsia="Bookman Old Style" w:hAnsi="Bookman Old Style" w:cs="Bookman Old Style"/>
        </w:rPr>
        <w:t>Colombia ha acumulado una deuda histórica en lo que respecta</w:t>
      </w:r>
      <w:r>
        <w:rPr>
          <w:rFonts w:ascii="Bookman Old Style" w:eastAsia="Bookman Old Style" w:hAnsi="Bookman Old Style" w:cs="Bookman Old Style"/>
        </w:rPr>
        <w:t xml:space="preserve"> a la inclusión de los enfoques de igualdad de género en las distintas esferas del desarrollo social y económico de los territorios. Pese a ello, con el paso del tiempo y distintas iniciativas desde la acción colectiva se ha construido y consolidado un mar</w:t>
      </w:r>
      <w:r>
        <w:rPr>
          <w:rFonts w:ascii="Bookman Old Style" w:eastAsia="Bookman Old Style" w:hAnsi="Bookman Old Style" w:cs="Bookman Old Style"/>
        </w:rPr>
        <w:t>co legal y de política pública que apunta a la garantía de los derechos humanos de las mujeres y la comunidad LGBTIQ+. “</w:t>
      </w:r>
      <w:r>
        <w:rPr>
          <w:rFonts w:ascii="Bookman Old Style" w:eastAsia="Bookman Old Style" w:hAnsi="Bookman Old Style" w:cs="Bookman Old Style"/>
          <w:highlight w:val="white"/>
        </w:rPr>
        <w:t>Sin embargo, aún existen desafíos para lograr la igualdad real para las niñas y las mujeres, y para las personas con identidades diversa</w:t>
      </w:r>
      <w:r>
        <w:rPr>
          <w:rFonts w:ascii="Bookman Old Style" w:eastAsia="Bookman Old Style" w:hAnsi="Bookman Old Style" w:cs="Bookman Old Style"/>
          <w:highlight w:val="white"/>
        </w:rPr>
        <w:t xml:space="preserve">s, especialmente en zonas rurales, donde es necesario promover relaciones igualitarias desde temprana edad para que niños y niñas crezcan y aprendan en </w:t>
      </w:r>
      <w:hyperlink r:id="rId8">
        <w:r>
          <w:rPr>
            <w:rFonts w:ascii="Bookman Old Style" w:eastAsia="Bookman Old Style" w:hAnsi="Bookman Old Style" w:cs="Bookman Old Style"/>
            <w:highlight w:val="white"/>
          </w:rPr>
          <w:t>entornos que promuevan</w:t>
        </w:r>
        <w:r>
          <w:rPr>
            <w:rFonts w:ascii="Bookman Old Style" w:eastAsia="Bookman Old Style" w:hAnsi="Bookman Old Style" w:cs="Bookman Old Style"/>
            <w:highlight w:val="white"/>
          </w:rPr>
          <w:t xml:space="preserve"> el reconocimiento de la diversidad y del otro como un igual que merece respeto</w:t>
        </w:r>
      </w:hyperlink>
      <w:r>
        <w:rPr>
          <w:rFonts w:ascii="Bookman Old Style" w:eastAsia="Bookman Old Style" w:hAnsi="Bookman Old Style" w:cs="Bookman Old Style"/>
          <w:highlight w:val="white"/>
        </w:rPr>
        <w:t>” (UNICEF,</w:t>
      </w:r>
      <w:r>
        <w:rPr>
          <w:rFonts w:ascii="Bookman Old Style" w:eastAsia="Bookman Old Style" w:hAnsi="Bookman Old Style" w:cs="Bookman Old Style"/>
        </w:rPr>
        <w:t xml:space="preserve"> s.f</w:t>
      </w:r>
      <w:r>
        <w:rPr>
          <w:rFonts w:ascii="Bookman Old Style" w:eastAsia="Bookman Old Style" w:hAnsi="Bookman Old Style" w:cs="Bookman Old Style"/>
          <w:highlight w:val="white"/>
        </w:rPr>
        <w:t xml:space="preserve">). </w:t>
      </w:r>
    </w:p>
    <w:p w:rsidR="008A3E61" w:rsidRDefault="008A3E61">
      <w:pPr>
        <w:jc w:val="both"/>
        <w:rPr>
          <w:rFonts w:ascii="Bookman Old Style" w:eastAsia="Bookman Old Style" w:hAnsi="Bookman Old Style" w:cs="Bookman Old Style"/>
          <w:highlight w:val="white"/>
        </w:rPr>
      </w:pPr>
    </w:p>
    <w:p w:rsidR="008A3E61" w:rsidRDefault="00937B3B">
      <w:pPr>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Ahora bien, es importante precisar que según el Departamento Administrativo Nacional de Estadística -DANE- la igualdad de género se enmarca en el enfoque dife</w:t>
      </w:r>
      <w:r>
        <w:rPr>
          <w:rFonts w:ascii="Bookman Old Style" w:eastAsia="Bookman Old Style" w:hAnsi="Bookman Old Style" w:cs="Bookman Old Style"/>
          <w:highlight w:val="white"/>
        </w:rPr>
        <w:t>rencial el cual “es una perspectiva de análisis que permite obtener y difundir información sobre grupos poblacionales con características particulares en razón de su edad o etapa del ciclo vital, género, orientación sexual, identidad de género [...] para p</w:t>
      </w:r>
      <w:r>
        <w:rPr>
          <w:rFonts w:ascii="Bookman Old Style" w:eastAsia="Bookman Old Style" w:hAnsi="Bookman Old Style" w:cs="Bookman Old Style"/>
          <w:highlight w:val="white"/>
        </w:rPr>
        <w:t>romover la visibilización de situaciones de vida particulares y brechas existentes, y guiar la toma de decisiones públicas y privadas (adaptado del artículo 13 de la Ley 1448 de 2011, Ley de Víctimas)”. Es por eso, que la inclusión del enfoque de género co</w:t>
      </w:r>
      <w:r>
        <w:rPr>
          <w:rFonts w:ascii="Bookman Old Style" w:eastAsia="Bookman Old Style" w:hAnsi="Bookman Old Style" w:cs="Bookman Old Style"/>
          <w:highlight w:val="white"/>
        </w:rPr>
        <w:t>mo eje transversal en materia educativa permitirá la promoción de valores como el respeto mitigando los actos de discriminación en los entornos escolares, y consolidando estos como espacios seguros, de libre desarrollo y de cierre de brechas sociales y eco</w:t>
      </w:r>
      <w:r>
        <w:rPr>
          <w:rFonts w:ascii="Bookman Old Style" w:eastAsia="Bookman Old Style" w:hAnsi="Bookman Old Style" w:cs="Bookman Old Style"/>
          <w:highlight w:val="white"/>
        </w:rPr>
        <w:t>nómicas.</w:t>
      </w:r>
    </w:p>
    <w:p w:rsidR="008A3E61" w:rsidRDefault="00937B3B">
      <w:pPr>
        <w:spacing w:before="240" w:after="240"/>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Según las bases del Plan Nacional de Desarrollo 2022-2026 “La discriminación comienza desde los ámbitos familiar y educativo. El rechazo que sufren estas poblaciones afecta los logros educativos y la generación de ingresos”. En los entornos esc</w:t>
      </w:r>
      <w:r>
        <w:rPr>
          <w:rFonts w:ascii="Bookman Old Style" w:eastAsia="Bookman Old Style" w:hAnsi="Bookman Old Style" w:cs="Bookman Old Style"/>
          <w:highlight w:val="white"/>
        </w:rPr>
        <w:t>olares colombianos, no es la excepción. Actualmente, según el Ministerio de Educación, el 30% de los niños dicen haber sufrido acoso en el colegio y esto ubica a Colombia dentro de los países con mayores casos de matoneo en 2022 (Bernal, 2022). Este “maton</w:t>
      </w:r>
      <w:r>
        <w:rPr>
          <w:rFonts w:ascii="Bookman Old Style" w:eastAsia="Bookman Old Style" w:hAnsi="Bookman Old Style" w:cs="Bookman Old Style"/>
          <w:highlight w:val="white"/>
        </w:rPr>
        <w:t xml:space="preserve">eo” o bullying no solo se presenta por condiciones económicas, de apariencia o por religión sino también por la orientación sexual. </w:t>
      </w:r>
    </w:p>
    <w:p w:rsidR="008A3E61" w:rsidRDefault="00937B3B">
      <w:pPr>
        <w:spacing w:before="240" w:after="240"/>
        <w:ind w:left="426" w:right="333"/>
        <w:jc w:val="both"/>
        <w:rPr>
          <w:rFonts w:ascii="Bookman Old Style" w:eastAsia="Bookman Old Style" w:hAnsi="Bookman Old Style" w:cs="Bookman Old Style"/>
          <w:highlight w:val="white"/>
        </w:rPr>
      </w:pPr>
      <w:r>
        <w:rPr>
          <w:rFonts w:ascii="Bookman Old Style" w:eastAsia="Bookman Old Style" w:hAnsi="Bookman Old Style" w:cs="Bookman Old Style"/>
          <w:i/>
          <w:highlight w:val="white"/>
        </w:rPr>
        <w:t>“El bullying homofóbico y transfóbico o contra personas LGBT en los colegios se caracteriza por el acoso, hostigamiento y</w:t>
      </w:r>
      <w:r>
        <w:rPr>
          <w:rFonts w:ascii="Bookman Old Style" w:eastAsia="Bookman Old Style" w:hAnsi="Bookman Old Style" w:cs="Bookman Old Style"/>
          <w:i/>
          <w:highlight w:val="white"/>
        </w:rPr>
        <w:t xml:space="preserve"> violencia sistemáticos contra estudiantes que se identifican o son percibidos como lesbianas, gais, bisexuales, trans u otras identidades de género. En términos generales, se puede decir que la intimidación no se da siempre de la misma forma ni por lo</w:t>
      </w:r>
      <w:r>
        <w:rPr>
          <w:rFonts w:ascii="Bookman Old Style" w:eastAsia="Bookman Old Style" w:hAnsi="Bookman Old Style" w:cs="Bookman Old Style"/>
          <w:i/>
          <w:highlight w:val="white"/>
        </w:rPr>
        <w:t>s mismos medios: puede ser física, verbal, relacional o indirecta y virtual, también conocida como cyberbullying”</w:t>
      </w:r>
      <w:r>
        <w:rPr>
          <w:rFonts w:ascii="Bookman Old Style" w:eastAsia="Bookman Old Style" w:hAnsi="Bookman Old Style" w:cs="Bookman Old Style"/>
          <w:highlight w:val="white"/>
        </w:rPr>
        <w:t xml:space="preserve"> (Chaux, 2012 citado por Colombia Diversa, 2016). </w:t>
      </w:r>
    </w:p>
    <w:p w:rsidR="008A3E61" w:rsidRDefault="00937B3B">
      <w:pPr>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Lo anterior, ratifica el complicado panorama que hoy se desarrolla en las aulas de clases.</w:t>
      </w:r>
      <w:r>
        <w:rPr>
          <w:rFonts w:ascii="Bookman Old Style" w:eastAsia="Bookman Old Style" w:hAnsi="Bookman Old Style" w:cs="Bookman Old Style"/>
          <w:highlight w:val="white"/>
        </w:rPr>
        <w:t xml:space="preserve"> Espacios que deben caracterizarse por la promoción de co-creación, aprendizaje, crecimiento, libre desarrollo y libertad. Por el contrario, a través de la Encuesta de Clima Escolar LGBT en Colombia (2016) para el país se evidenció que el 67% de los estudi</w:t>
      </w:r>
      <w:r>
        <w:rPr>
          <w:rFonts w:ascii="Bookman Old Style" w:eastAsia="Bookman Old Style" w:hAnsi="Bookman Old Style" w:cs="Bookman Old Style"/>
          <w:highlight w:val="white"/>
        </w:rPr>
        <w:t>antes encuestados se sienten inseguro/as en su colegio debido a su orientación sexual.</w:t>
      </w:r>
    </w:p>
    <w:p w:rsidR="008A3E61" w:rsidRDefault="008A3E61">
      <w:pPr>
        <w:jc w:val="both"/>
        <w:rPr>
          <w:rFonts w:ascii="Bookman Old Style" w:eastAsia="Bookman Old Style" w:hAnsi="Bookman Old Style" w:cs="Bookman Old Style"/>
          <w:highlight w:val="white"/>
        </w:rPr>
      </w:pPr>
    </w:p>
    <w:p w:rsidR="008A3E61" w:rsidRDefault="008A3E61">
      <w:pPr>
        <w:jc w:val="both"/>
        <w:rPr>
          <w:rFonts w:ascii="Bookman Old Style" w:eastAsia="Bookman Old Style" w:hAnsi="Bookman Old Style" w:cs="Bookman Old Style"/>
          <w:highlight w:val="white"/>
        </w:rPr>
      </w:pPr>
    </w:p>
    <w:p w:rsidR="008A3E61" w:rsidRDefault="008A3E61">
      <w:pPr>
        <w:jc w:val="both"/>
        <w:rPr>
          <w:rFonts w:ascii="Bookman Old Style" w:eastAsia="Bookman Old Style" w:hAnsi="Bookman Old Style" w:cs="Bookman Old Style"/>
          <w:highlight w:val="white"/>
        </w:rPr>
      </w:pPr>
    </w:p>
    <w:p w:rsidR="008A3E61" w:rsidRDefault="00937B3B">
      <w:pPr>
        <w:jc w:val="center"/>
        <w:rPr>
          <w:rFonts w:ascii="Bookman Old Style" w:eastAsia="Bookman Old Style" w:hAnsi="Bookman Old Style" w:cs="Bookman Old Style"/>
          <w:b/>
          <w:highlight w:val="white"/>
        </w:rPr>
      </w:pPr>
      <w:r>
        <w:rPr>
          <w:rFonts w:ascii="Bookman Old Style" w:eastAsia="Bookman Old Style" w:hAnsi="Bookman Old Style" w:cs="Bookman Old Style"/>
          <w:b/>
          <w:highlight w:val="white"/>
        </w:rPr>
        <w:t>Figura 1. PORCENTAJE DE ESTUDIANTES LGBT QUE SE SIENTEN INSEGUROS/AS EN EL COLEGIO DEBIDO A SUS CARACTERÍSTICAS PERSONALES REALES O PERCIBIDAS</w:t>
      </w:r>
    </w:p>
    <w:p w:rsidR="008A3E61" w:rsidRDefault="008A3E61">
      <w:pPr>
        <w:jc w:val="both"/>
        <w:rPr>
          <w:rFonts w:ascii="Bookman Old Style" w:eastAsia="Bookman Old Style" w:hAnsi="Bookman Old Style" w:cs="Bookman Old Style"/>
          <w:color w:val="292829"/>
          <w:highlight w:val="white"/>
        </w:rPr>
      </w:pPr>
    </w:p>
    <w:p w:rsidR="008A3E61" w:rsidRDefault="00937B3B">
      <w:pPr>
        <w:jc w:val="center"/>
        <w:rPr>
          <w:rFonts w:ascii="Bookman Old Style" w:eastAsia="Bookman Old Style" w:hAnsi="Bookman Old Style" w:cs="Bookman Old Style"/>
          <w:color w:val="292829"/>
          <w:highlight w:val="white"/>
        </w:rPr>
      </w:pPr>
      <w:r>
        <w:rPr>
          <w:rFonts w:ascii="Bookman Old Style" w:eastAsia="Bookman Old Style" w:hAnsi="Bookman Old Style" w:cs="Bookman Old Style"/>
          <w:noProof/>
          <w:color w:val="292829"/>
          <w:highlight w:val="white"/>
        </w:rPr>
        <w:drawing>
          <wp:inline distT="114300" distB="114300" distL="114300" distR="114300">
            <wp:extent cx="5743984" cy="4438966"/>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t="4868" b="10953"/>
                    <a:stretch>
                      <a:fillRect/>
                    </a:stretch>
                  </pic:blipFill>
                  <pic:spPr>
                    <a:xfrm>
                      <a:off x="0" y="0"/>
                      <a:ext cx="5743984" cy="4438966"/>
                    </a:xfrm>
                    <a:prstGeom prst="rect">
                      <a:avLst/>
                    </a:prstGeom>
                    <a:ln/>
                  </pic:spPr>
                </pic:pic>
              </a:graphicData>
            </a:graphic>
          </wp:inline>
        </w:drawing>
      </w:r>
    </w:p>
    <w:p w:rsidR="008A3E61" w:rsidRDefault="00937B3B">
      <w:pPr>
        <w:jc w:val="center"/>
        <w:rPr>
          <w:rFonts w:ascii="Bookman Old Style" w:eastAsia="Bookman Old Style" w:hAnsi="Bookman Old Style" w:cs="Bookman Old Style"/>
          <w:color w:val="292829"/>
          <w:sz w:val="18"/>
          <w:szCs w:val="18"/>
          <w:highlight w:val="white"/>
        </w:rPr>
      </w:pPr>
      <w:r>
        <w:rPr>
          <w:rFonts w:ascii="Bookman Old Style" w:eastAsia="Bookman Old Style" w:hAnsi="Bookman Old Style" w:cs="Bookman Old Style"/>
          <w:color w:val="292829"/>
          <w:sz w:val="18"/>
          <w:szCs w:val="18"/>
          <w:highlight w:val="white"/>
        </w:rPr>
        <w:t xml:space="preserve">Fuente: Encuesta de Clima Escolar LGBT en Colombia, 2016 </w:t>
      </w:r>
    </w:p>
    <w:p w:rsidR="008A3E61" w:rsidRDefault="008A3E61">
      <w:pPr>
        <w:jc w:val="center"/>
        <w:rPr>
          <w:rFonts w:ascii="Bookman Old Style" w:eastAsia="Bookman Old Style" w:hAnsi="Bookman Old Style" w:cs="Bookman Old Style"/>
          <w:highlight w:val="white"/>
        </w:rPr>
      </w:pPr>
    </w:p>
    <w:p w:rsidR="008A3E61" w:rsidRDefault="00937B3B">
      <w:pPr>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Asimismo, las acciones de violencia verbal en niños y niñas por su orientación sexual son frecuentes en los entornos escolares impactando así en su comportamiento y disposición para la toma de clas</w:t>
      </w:r>
      <w:r>
        <w:rPr>
          <w:rFonts w:ascii="Bookman Old Style" w:eastAsia="Bookman Old Style" w:hAnsi="Bookman Old Style" w:cs="Bookman Old Style"/>
          <w:highlight w:val="white"/>
        </w:rPr>
        <w:t xml:space="preserve">es e incluso asistencia a las aulas para el continuo desarrollo de sus procesos de aprendizaje. La figura 2 presenta la frecuencia con que los estudiantes escuchan comentarios homofóbicos en el colegio: </w:t>
      </w:r>
    </w:p>
    <w:p w:rsidR="008A3E61" w:rsidRDefault="008A3E61">
      <w:pPr>
        <w:rPr>
          <w:rFonts w:ascii="Bookman Old Style" w:eastAsia="Bookman Old Style" w:hAnsi="Bookman Old Style" w:cs="Bookman Old Style"/>
          <w:b/>
          <w:highlight w:val="white"/>
        </w:rPr>
      </w:pPr>
    </w:p>
    <w:p w:rsidR="008A3E61" w:rsidRDefault="008A3E61">
      <w:pPr>
        <w:rPr>
          <w:rFonts w:ascii="Bookman Old Style" w:eastAsia="Bookman Old Style" w:hAnsi="Bookman Old Style" w:cs="Bookman Old Style"/>
          <w:b/>
          <w:highlight w:val="white"/>
        </w:rPr>
      </w:pPr>
    </w:p>
    <w:p w:rsidR="008A3E61" w:rsidRDefault="008A3E61">
      <w:pPr>
        <w:rPr>
          <w:rFonts w:ascii="Bookman Old Style" w:eastAsia="Bookman Old Style" w:hAnsi="Bookman Old Style" w:cs="Bookman Old Style"/>
          <w:b/>
          <w:highlight w:val="white"/>
        </w:rPr>
      </w:pPr>
    </w:p>
    <w:p w:rsidR="008A3E61" w:rsidRDefault="008A3E61">
      <w:pPr>
        <w:rPr>
          <w:rFonts w:ascii="Bookman Old Style" w:eastAsia="Bookman Old Style" w:hAnsi="Bookman Old Style" w:cs="Bookman Old Style"/>
          <w:b/>
          <w:highlight w:val="white"/>
        </w:rPr>
      </w:pPr>
    </w:p>
    <w:p w:rsidR="008A3E61" w:rsidRDefault="00937B3B">
      <w:pPr>
        <w:jc w:val="center"/>
        <w:rPr>
          <w:rFonts w:ascii="Bookman Old Style" w:eastAsia="Bookman Old Style" w:hAnsi="Bookman Old Style" w:cs="Bookman Old Style"/>
          <w:b/>
          <w:highlight w:val="white"/>
        </w:rPr>
      </w:pPr>
      <w:r>
        <w:rPr>
          <w:rFonts w:ascii="Bookman Old Style" w:eastAsia="Bookman Old Style" w:hAnsi="Bookman Old Style" w:cs="Bookman Old Style"/>
          <w:b/>
          <w:highlight w:val="white"/>
        </w:rPr>
        <w:lastRenderedPageBreak/>
        <w:t>Figura 2. FRECUENCIA CON QUE LOS ESTUDIANTES ESC</w:t>
      </w:r>
      <w:r>
        <w:rPr>
          <w:rFonts w:ascii="Bookman Old Style" w:eastAsia="Bookman Old Style" w:hAnsi="Bookman Old Style" w:cs="Bookman Old Style"/>
          <w:b/>
          <w:highlight w:val="white"/>
        </w:rPr>
        <w:t>UCHAN COMENTARIOS HOMOFÓBICOS EN EL COLEGIO</w:t>
      </w:r>
    </w:p>
    <w:p w:rsidR="008A3E61" w:rsidRDefault="008A3E61">
      <w:pPr>
        <w:jc w:val="center"/>
        <w:rPr>
          <w:rFonts w:ascii="Bookman Old Style" w:eastAsia="Bookman Old Style" w:hAnsi="Bookman Old Style" w:cs="Bookman Old Style"/>
          <w:b/>
          <w:color w:val="292829"/>
          <w:sz w:val="20"/>
          <w:szCs w:val="20"/>
          <w:highlight w:val="white"/>
        </w:rPr>
      </w:pPr>
    </w:p>
    <w:p w:rsidR="008A3E61" w:rsidRDefault="00937B3B">
      <w:pPr>
        <w:jc w:val="center"/>
        <w:rPr>
          <w:rFonts w:ascii="Bookman Old Style" w:eastAsia="Bookman Old Style" w:hAnsi="Bookman Old Style" w:cs="Bookman Old Style"/>
          <w:color w:val="292829"/>
          <w:highlight w:val="white"/>
        </w:rPr>
      </w:pPr>
      <w:r>
        <w:rPr>
          <w:rFonts w:ascii="Bookman Old Style" w:eastAsia="Bookman Old Style" w:hAnsi="Bookman Old Style" w:cs="Bookman Old Style"/>
          <w:noProof/>
          <w:color w:val="292829"/>
          <w:highlight w:val="white"/>
        </w:rPr>
        <w:drawing>
          <wp:inline distT="114300" distB="114300" distL="114300" distR="114300">
            <wp:extent cx="5731200" cy="2819400"/>
            <wp:effectExtent l="0" t="0" r="0" b="0"/>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731200" cy="2819400"/>
                    </a:xfrm>
                    <a:prstGeom prst="rect">
                      <a:avLst/>
                    </a:prstGeom>
                    <a:ln/>
                  </pic:spPr>
                </pic:pic>
              </a:graphicData>
            </a:graphic>
          </wp:inline>
        </w:drawing>
      </w:r>
    </w:p>
    <w:p w:rsidR="008A3E61" w:rsidRDefault="00937B3B">
      <w:pPr>
        <w:jc w:val="center"/>
        <w:rPr>
          <w:rFonts w:ascii="Bookman Old Style" w:eastAsia="Bookman Old Style" w:hAnsi="Bookman Old Style" w:cs="Bookman Old Style"/>
          <w:color w:val="292829"/>
          <w:sz w:val="18"/>
          <w:szCs w:val="18"/>
          <w:highlight w:val="white"/>
        </w:rPr>
      </w:pPr>
      <w:r>
        <w:rPr>
          <w:rFonts w:ascii="Bookman Old Style" w:eastAsia="Bookman Old Style" w:hAnsi="Bookman Old Style" w:cs="Bookman Old Style"/>
          <w:color w:val="292829"/>
          <w:sz w:val="18"/>
          <w:szCs w:val="18"/>
          <w:highlight w:val="white"/>
        </w:rPr>
        <w:t xml:space="preserve">Fuente: Encuesta de Clima Escolar LGBT en Colombia, 2016 </w:t>
      </w:r>
    </w:p>
    <w:p w:rsidR="008A3E61" w:rsidRDefault="008A3E61">
      <w:pPr>
        <w:jc w:val="center"/>
        <w:rPr>
          <w:rFonts w:ascii="Bookman Old Style" w:eastAsia="Bookman Old Style" w:hAnsi="Bookman Old Style" w:cs="Bookman Old Style"/>
          <w:color w:val="292829"/>
          <w:highlight w:val="white"/>
        </w:rPr>
      </w:pPr>
    </w:p>
    <w:p w:rsidR="008A3E61" w:rsidRDefault="00937B3B">
      <w:pPr>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Ahora bien, es importante precisar que los entornos de igualdad de género, libres de estereotipos y seguros, se componen de un trabajo colectivo entr</w:t>
      </w:r>
      <w:r>
        <w:rPr>
          <w:rFonts w:ascii="Bookman Old Style" w:eastAsia="Bookman Old Style" w:hAnsi="Bookman Old Style" w:cs="Bookman Old Style"/>
          <w:highlight w:val="white"/>
        </w:rPr>
        <w:t>e el sistema educativo, los docentes, la familia y los estudiantes. Por ejemplo, la discriminación en algunos casos dentro de las Instituciones Educativas para con los niños y niñas se presenta por parte de directivos o figuras administrativas de los coleg</w:t>
      </w:r>
      <w:r>
        <w:rPr>
          <w:rFonts w:ascii="Bookman Old Style" w:eastAsia="Bookman Old Style" w:hAnsi="Bookman Old Style" w:cs="Bookman Old Style"/>
          <w:highlight w:val="white"/>
        </w:rPr>
        <w:t>ios. Según la Encuesta de Clima Escolar LGBT en Colombia (2016) “el 25.2% de los/las estudiantes afirmó haber sido sancionado por ser LGBT o que otros alumnos fueron sancionados por el mismo motivo en el colegio durante el último año”. Asimismo, “el 28.6%</w:t>
      </w:r>
      <w:r>
        <w:rPr>
          <w:rFonts w:ascii="Bookman Old Style" w:eastAsia="Bookman Old Style" w:hAnsi="Bookman Old Style" w:cs="Bookman Old Style"/>
          <w:highlight w:val="white"/>
        </w:rPr>
        <w:t xml:space="preserve"> afirmó haber escuchado chistes o comentarios negativos en clase sobre la orientación sexual o identidad de género en el colegio”. </w:t>
      </w:r>
    </w:p>
    <w:p w:rsidR="008A3E61" w:rsidRDefault="008A3E61">
      <w:pPr>
        <w:jc w:val="both"/>
        <w:rPr>
          <w:rFonts w:ascii="Bookman Old Style" w:eastAsia="Bookman Old Style" w:hAnsi="Bookman Old Style" w:cs="Bookman Old Style"/>
          <w:highlight w:val="white"/>
        </w:rPr>
      </w:pPr>
    </w:p>
    <w:p w:rsidR="008A3E61" w:rsidRDefault="00937B3B">
      <w:pPr>
        <w:ind w:left="426" w:right="333"/>
        <w:jc w:val="both"/>
        <w:rPr>
          <w:rFonts w:ascii="Bookman Old Style" w:eastAsia="Bookman Old Style" w:hAnsi="Bookman Old Style" w:cs="Bookman Old Style"/>
          <w:highlight w:val="white"/>
        </w:rPr>
      </w:pPr>
      <w:r>
        <w:rPr>
          <w:rFonts w:ascii="Bookman Old Style" w:eastAsia="Bookman Old Style" w:hAnsi="Bookman Old Style" w:cs="Bookman Old Style"/>
          <w:i/>
          <w:highlight w:val="white"/>
        </w:rPr>
        <w:t>Frente al papel que juegan los padres de familia en el desarrollo de la orientación sexual e identidad de género de los me</w:t>
      </w:r>
      <w:r>
        <w:rPr>
          <w:rFonts w:ascii="Bookman Old Style" w:eastAsia="Bookman Old Style" w:hAnsi="Bookman Old Style" w:cs="Bookman Old Style"/>
          <w:i/>
          <w:highlight w:val="white"/>
        </w:rPr>
        <w:t>nores de edad, y su correlación con el ámbito educativo, el Instituto manifestó que “la familia, la sociedad y el Estado, son garantes de los derechos de los niños, las niñas y los adolescentes, por lo tanto deben informarse acerca de todos los asuntos rel</w:t>
      </w:r>
      <w:r>
        <w:rPr>
          <w:rFonts w:ascii="Bookman Old Style" w:eastAsia="Bookman Old Style" w:hAnsi="Bookman Old Style" w:cs="Bookman Old Style"/>
          <w:i/>
          <w:highlight w:val="white"/>
        </w:rPr>
        <w:t xml:space="preserve">acionados con la formación, educación y crianza de los mismos. </w:t>
      </w:r>
      <w:r>
        <w:rPr>
          <w:rFonts w:ascii="Bookman Old Style" w:eastAsia="Bookman Old Style" w:hAnsi="Bookman Old Style" w:cs="Bookman Old Style"/>
          <w:highlight w:val="white"/>
        </w:rPr>
        <w:t xml:space="preserve">(Instituto de Educación y Pedagogía de la Universidad del Valle citado en la Sentencia T-478 de 2015). </w:t>
      </w:r>
    </w:p>
    <w:p w:rsidR="008A3E61" w:rsidRDefault="008A3E61">
      <w:pPr>
        <w:jc w:val="both"/>
        <w:rPr>
          <w:rFonts w:ascii="Bookman Old Style" w:eastAsia="Bookman Old Style" w:hAnsi="Bookman Old Style" w:cs="Bookman Old Style"/>
          <w:highlight w:val="white"/>
        </w:rPr>
      </w:pPr>
    </w:p>
    <w:p w:rsidR="008A3E61" w:rsidRDefault="00937B3B">
      <w:pPr>
        <w:jc w:val="center"/>
        <w:rPr>
          <w:rFonts w:ascii="Bookman Old Style" w:eastAsia="Bookman Old Style" w:hAnsi="Bookman Old Style" w:cs="Bookman Old Style"/>
          <w:b/>
          <w:highlight w:val="white"/>
        </w:rPr>
      </w:pPr>
      <w:r>
        <w:rPr>
          <w:rFonts w:ascii="Bookman Old Style" w:eastAsia="Bookman Old Style" w:hAnsi="Bookman Old Style" w:cs="Bookman Old Style"/>
          <w:b/>
          <w:highlight w:val="white"/>
        </w:rPr>
        <w:lastRenderedPageBreak/>
        <w:t xml:space="preserve">Figura 3. PORCENTAJE DE ESTUDIANTES QUE EXPERIMENTARON COMPORTAMIENTOS DISCRIMINATORIOS </w:t>
      </w:r>
      <w:r>
        <w:rPr>
          <w:rFonts w:ascii="Bookman Old Style" w:eastAsia="Bookman Old Style" w:hAnsi="Bookman Old Style" w:cs="Bookman Old Style"/>
          <w:b/>
          <w:highlight w:val="white"/>
        </w:rPr>
        <w:t>POR PARTE DEL PERSONAL ESCOLAR</w:t>
      </w:r>
    </w:p>
    <w:p w:rsidR="008A3E61" w:rsidRDefault="008A3E61">
      <w:pPr>
        <w:jc w:val="both"/>
        <w:rPr>
          <w:rFonts w:ascii="Bookman Old Style" w:eastAsia="Bookman Old Style" w:hAnsi="Bookman Old Style" w:cs="Bookman Old Style"/>
          <w:color w:val="2D2D2D"/>
          <w:highlight w:val="white"/>
        </w:rPr>
      </w:pPr>
    </w:p>
    <w:p w:rsidR="008A3E61" w:rsidRDefault="00937B3B">
      <w:pPr>
        <w:jc w:val="center"/>
        <w:rPr>
          <w:rFonts w:ascii="Bookman Old Style" w:eastAsia="Bookman Old Style" w:hAnsi="Bookman Old Style" w:cs="Bookman Old Style"/>
          <w:color w:val="2D2D2D"/>
          <w:highlight w:val="white"/>
        </w:rPr>
      </w:pPr>
      <w:r>
        <w:rPr>
          <w:rFonts w:ascii="Bookman Old Style" w:eastAsia="Bookman Old Style" w:hAnsi="Bookman Old Style" w:cs="Bookman Old Style"/>
          <w:noProof/>
          <w:color w:val="2D2D2D"/>
          <w:highlight w:val="white"/>
        </w:rPr>
        <w:drawing>
          <wp:inline distT="114300" distB="114300" distL="114300" distR="114300">
            <wp:extent cx="5731200" cy="5257800"/>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731200" cy="5257800"/>
                    </a:xfrm>
                    <a:prstGeom prst="rect">
                      <a:avLst/>
                    </a:prstGeom>
                    <a:ln/>
                  </pic:spPr>
                </pic:pic>
              </a:graphicData>
            </a:graphic>
          </wp:inline>
        </w:drawing>
      </w:r>
    </w:p>
    <w:p w:rsidR="008A3E61" w:rsidRDefault="00937B3B">
      <w:pPr>
        <w:jc w:val="center"/>
        <w:rPr>
          <w:rFonts w:ascii="Bookman Old Style" w:eastAsia="Bookman Old Style" w:hAnsi="Bookman Old Style" w:cs="Bookman Old Style"/>
          <w:color w:val="292829"/>
          <w:sz w:val="18"/>
          <w:szCs w:val="18"/>
          <w:highlight w:val="white"/>
        </w:rPr>
      </w:pPr>
      <w:r>
        <w:rPr>
          <w:rFonts w:ascii="Bookman Old Style" w:eastAsia="Bookman Old Style" w:hAnsi="Bookman Old Style" w:cs="Bookman Old Style"/>
          <w:color w:val="292829"/>
          <w:sz w:val="18"/>
          <w:szCs w:val="18"/>
          <w:highlight w:val="white"/>
        </w:rPr>
        <w:t xml:space="preserve">Fuente: Encuesta de Clima Escolar LGBT en Colombia, 2016 </w:t>
      </w:r>
    </w:p>
    <w:p w:rsidR="008A3E61" w:rsidRDefault="008A3E61">
      <w:pPr>
        <w:jc w:val="center"/>
        <w:rPr>
          <w:rFonts w:ascii="Bookman Old Style" w:eastAsia="Bookman Old Style" w:hAnsi="Bookman Old Style" w:cs="Bookman Old Style"/>
          <w:color w:val="292829"/>
          <w:sz w:val="18"/>
          <w:szCs w:val="18"/>
          <w:highlight w:val="white"/>
        </w:rPr>
      </w:pPr>
    </w:p>
    <w:p w:rsidR="008A3E61" w:rsidRDefault="00937B3B">
      <w:pPr>
        <w:jc w:val="both"/>
        <w:rPr>
          <w:rFonts w:ascii="Bookman Old Style" w:eastAsia="Bookman Old Style" w:hAnsi="Bookman Old Style" w:cs="Bookman Old Style"/>
          <w:sz w:val="20"/>
          <w:szCs w:val="20"/>
          <w:highlight w:val="white"/>
        </w:rPr>
      </w:pPr>
      <w:r>
        <w:rPr>
          <w:rFonts w:ascii="Bookman Old Style" w:eastAsia="Bookman Old Style" w:hAnsi="Bookman Old Style" w:cs="Bookman Old Style"/>
          <w:highlight w:val="white"/>
        </w:rPr>
        <w:t>Lo anterior confirma de necesidad de ponerle la lupa a acciones que legitimen la creación de herramientas para el cierre de brechas de género y que permitan dar cumplimiento a la construcción de una Colombia igualitaria, diversa y libre de discriminación d</w:t>
      </w:r>
      <w:r>
        <w:rPr>
          <w:rFonts w:ascii="Bookman Old Style" w:eastAsia="Bookman Old Style" w:hAnsi="Bookman Old Style" w:cs="Bookman Old Style"/>
          <w:highlight w:val="white"/>
        </w:rPr>
        <w:t>esde la temprana edad.</w:t>
      </w:r>
    </w:p>
    <w:p w:rsidR="008A3E61" w:rsidRDefault="008A3E61">
      <w:pPr>
        <w:jc w:val="both"/>
        <w:rPr>
          <w:rFonts w:ascii="Bookman Old Style" w:eastAsia="Bookman Old Style" w:hAnsi="Bookman Old Style" w:cs="Bookman Old Style"/>
          <w:highlight w:val="white"/>
        </w:rPr>
      </w:pPr>
    </w:p>
    <w:p w:rsidR="008A3E61" w:rsidRDefault="008A3E61">
      <w:pPr>
        <w:jc w:val="both"/>
        <w:rPr>
          <w:rFonts w:ascii="Bookman Old Style" w:eastAsia="Bookman Old Style" w:hAnsi="Bookman Old Style" w:cs="Bookman Old Style"/>
          <w:highlight w:val="white"/>
        </w:rPr>
      </w:pPr>
    </w:p>
    <w:p w:rsidR="008A3E61" w:rsidRDefault="00937B3B">
      <w:pPr>
        <w:jc w:val="both"/>
        <w:rPr>
          <w:rFonts w:ascii="Bookman Old Style" w:eastAsia="Bookman Old Style" w:hAnsi="Bookman Old Style" w:cs="Bookman Old Style"/>
          <w:b/>
          <w:highlight w:val="white"/>
        </w:rPr>
      </w:pPr>
      <w:r>
        <w:rPr>
          <w:rFonts w:ascii="Bookman Old Style" w:eastAsia="Bookman Old Style" w:hAnsi="Bookman Old Style" w:cs="Bookman Old Style"/>
          <w:b/>
          <w:highlight w:val="white"/>
        </w:rPr>
        <w:lastRenderedPageBreak/>
        <w:t>II.II Consecuencias de la brecha en desigualdad de género y discriminación en entornos escolares</w:t>
      </w:r>
    </w:p>
    <w:p w:rsidR="008A3E61" w:rsidRDefault="00937B3B">
      <w:pPr>
        <w:spacing w:before="240" w:after="240"/>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“Las discriminaciones están directamente asociadas a la violencia, pues la violencia como concepto no solo incluye a los maltratos físicos y psicológicos sino también a diversas expresiones de tipo simbólico o cultural, de tipo estructural o social, e incl</w:t>
      </w:r>
      <w:r>
        <w:rPr>
          <w:rFonts w:ascii="Bookman Old Style" w:eastAsia="Bookman Old Style" w:hAnsi="Bookman Old Style" w:cs="Bookman Old Style"/>
          <w:highlight w:val="white"/>
        </w:rPr>
        <w:t xml:space="preserve">uso de la clase ambiental o ecológica” (Oviedo, 2017). Los entornos escolares no se encuentran exentos de que este tipo de comportamientos se desarrollen. Actualmente, en ambientes de desigualdad de género donde prima la desinformación y el no respeto por </w:t>
      </w:r>
      <w:r>
        <w:rPr>
          <w:rFonts w:ascii="Bookman Old Style" w:eastAsia="Bookman Old Style" w:hAnsi="Bookman Old Style" w:cs="Bookman Old Style"/>
          <w:highlight w:val="white"/>
        </w:rPr>
        <w:t xml:space="preserve">el otro, se pueden presentar conflictividades sociales que se materializan en actos como por ejemplo el acoso físico y verbal, el ciberacoso o ciberbullying y afectaciones en salud mental, que particularmente podrían provocar el suicidio. </w:t>
      </w:r>
    </w:p>
    <w:p w:rsidR="008A3E61" w:rsidRDefault="00937B3B">
      <w:pPr>
        <w:numPr>
          <w:ilvl w:val="0"/>
          <w:numId w:val="11"/>
        </w:numPr>
        <w:spacing w:line="276" w:lineRule="auto"/>
        <w:jc w:val="both"/>
        <w:rPr>
          <w:rFonts w:ascii="Bookman Old Style" w:eastAsia="Bookman Old Style" w:hAnsi="Bookman Old Style" w:cs="Bookman Old Style"/>
          <w:i/>
          <w:highlight w:val="white"/>
        </w:rPr>
      </w:pPr>
      <w:r>
        <w:rPr>
          <w:rFonts w:ascii="Bookman Old Style" w:eastAsia="Bookman Old Style" w:hAnsi="Bookman Old Style" w:cs="Bookman Old Style"/>
          <w:i/>
          <w:highlight w:val="white"/>
        </w:rPr>
        <w:t>Ciberacoso o cib</w:t>
      </w:r>
      <w:r>
        <w:rPr>
          <w:rFonts w:ascii="Bookman Old Style" w:eastAsia="Bookman Old Style" w:hAnsi="Bookman Old Style" w:cs="Bookman Old Style"/>
          <w:i/>
          <w:highlight w:val="white"/>
        </w:rPr>
        <w:t>erbullying</w:t>
      </w:r>
    </w:p>
    <w:p w:rsidR="008A3E61" w:rsidRDefault="008A3E61">
      <w:pPr>
        <w:jc w:val="both"/>
        <w:rPr>
          <w:rFonts w:ascii="Bookman Old Style" w:eastAsia="Bookman Old Style" w:hAnsi="Bookman Old Style" w:cs="Bookman Old Style"/>
          <w:highlight w:val="white"/>
        </w:rPr>
      </w:pPr>
    </w:p>
    <w:p w:rsidR="008A3E61" w:rsidRDefault="00937B3B">
      <w:pPr>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Actualmente, la globalización ha permitido que a pasos agigantados las sociedades se transformen en seres digitales a través del uso de nuevas tecnologías que potencian las capacidades de interacción y acceso a la información. El ciberacoso o c</w:t>
      </w:r>
      <w:r>
        <w:rPr>
          <w:rFonts w:ascii="Bookman Old Style" w:eastAsia="Bookman Old Style" w:hAnsi="Bookman Old Style" w:cs="Bookman Old Style"/>
          <w:highlight w:val="white"/>
        </w:rPr>
        <w:t xml:space="preserve">iberbullying es una de las consecuencias que se ha convertido en tendencia como una conducta violenta en los entornos escolares. Según UNICEF (s.f) el </w:t>
      </w:r>
      <w:r>
        <w:rPr>
          <w:rFonts w:ascii="Bookman Old Style" w:eastAsia="Bookman Old Style" w:hAnsi="Bookman Old Style" w:cs="Bookman Old Style"/>
          <w:i/>
          <w:highlight w:val="white"/>
        </w:rPr>
        <w:t>ciberbullying</w:t>
      </w:r>
      <w:r>
        <w:rPr>
          <w:rFonts w:ascii="Bookman Old Style" w:eastAsia="Bookman Old Style" w:hAnsi="Bookman Old Style" w:cs="Bookman Old Style"/>
          <w:highlight w:val="white"/>
        </w:rPr>
        <w:t xml:space="preserve"> es acoso o intimidación por medio de las tecnologías o plataformas de manera recurrente que</w:t>
      </w:r>
      <w:r>
        <w:rPr>
          <w:rFonts w:ascii="Bookman Old Style" w:eastAsia="Bookman Old Style" w:hAnsi="Bookman Old Style" w:cs="Bookman Old Style"/>
          <w:highlight w:val="white"/>
        </w:rPr>
        <w:t xml:space="preserve"> busca atemorizar, enfadar o humillar a otras personas. Esta práctica no se desliga de actos de discrimación e irrespeto que no permiten la consolidación de espacios seguros en las aulas. </w:t>
      </w:r>
    </w:p>
    <w:p w:rsidR="008A3E61" w:rsidRDefault="008A3E61">
      <w:pPr>
        <w:jc w:val="both"/>
        <w:rPr>
          <w:rFonts w:ascii="Bookman Old Style" w:eastAsia="Bookman Old Style" w:hAnsi="Bookman Old Style" w:cs="Bookman Old Style"/>
          <w:highlight w:val="white"/>
        </w:rPr>
      </w:pPr>
    </w:p>
    <w:p w:rsidR="008A3E61" w:rsidRDefault="00937B3B">
      <w:pPr>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“Según el informe del Programa para la Evaluación Internacional de</w:t>
      </w:r>
      <w:r>
        <w:rPr>
          <w:rFonts w:ascii="Bookman Old Style" w:eastAsia="Bookman Old Style" w:hAnsi="Bookman Old Style" w:cs="Bookman Old Style"/>
          <w:highlight w:val="white"/>
        </w:rPr>
        <w:t xml:space="preserve"> los Estudiantes, Colombia es el segundo país con mayor exposición al bullying y </w:t>
      </w:r>
      <w:r>
        <w:rPr>
          <w:rFonts w:ascii="Bookman Old Style" w:eastAsia="Bookman Old Style" w:hAnsi="Bookman Old Style" w:cs="Bookman Old Style"/>
          <w:b/>
          <w:highlight w:val="white"/>
        </w:rPr>
        <w:t xml:space="preserve">por lo menos el 32% de los alumnos ha sufrido algún tipo de acoso en sus instituciones educativas” </w:t>
      </w:r>
      <w:r>
        <w:rPr>
          <w:rFonts w:ascii="Bookman Old Style" w:eastAsia="Bookman Old Style" w:hAnsi="Bookman Old Style" w:cs="Bookman Old Style"/>
          <w:highlight w:val="white"/>
        </w:rPr>
        <w:t>(citado por Bernal, 2023). Asimismo, según el estudio Contigo Conectados, de</w:t>
      </w:r>
      <w:r>
        <w:rPr>
          <w:rFonts w:ascii="Bookman Old Style" w:eastAsia="Bookman Old Style" w:hAnsi="Bookman Old Style" w:cs="Bookman Old Style"/>
          <w:highlight w:val="white"/>
        </w:rPr>
        <w:t xml:space="preserve"> la Universidad EAFIT, “el 12% de los niños y jóvenes encuestados en Colombia, manifestaron haber sido víctimas de ciberbullying” (MinTic, 2022). Lo anterior, refleja que 1 de cada 10 niños sufrió de agresiones vía plataformas en línea, confirmando que Col</w:t>
      </w:r>
      <w:r>
        <w:rPr>
          <w:rFonts w:ascii="Bookman Old Style" w:eastAsia="Bookman Old Style" w:hAnsi="Bookman Old Style" w:cs="Bookman Old Style"/>
          <w:highlight w:val="white"/>
        </w:rPr>
        <w:t xml:space="preserve">ombia es uno de los países con más altos índices de acoso escolar y ciberbullying. </w:t>
      </w:r>
    </w:p>
    <w:p w:rsidR="008A3E61" w:rsidRDefault="008A3E61">
      <w:pPr>
        <w:jc w:val="both"/>
        <w:rPr>
          <w:rFonts w:ascii="Bookman Old Style" w:eastAsia="Bookman Old Style" w:hAnsi="Bookman Old Style" w:cs="Bookman Old Style"/>
          <w:highlight w:val="white"/>
        </w:rPr>
      </w:pPr>
    </w:p>
    <w:p w:rsidR="008A3E61" w:rsidRDefault="00937B3B">
      <w:pPr>
        <w:numPr>
          <w:ilvl w:val="0"/>
          <w:numId w:val="11"/>
        </w:numPr>
        <w:spacing w:line="276" w:lineRule="auto"/>
        <w:jc w:val="both"/>
        <w:rPr>
          <w:rFonts w:ascii="Bookman Old Style" w:eastAsia="Bookman Old Style" w:hAnsi="Bookman Old Style" w:cs="Bookman Old Style"/>
          <w:i/>
          <w:highlight w:val="white"/>
        </w:rPr>
      </w:pPr>
      <w:r>
        <w:rPr>
          <w:rFonts w:ascii="Bookman Old Style" w:eastAsia="Bookman Old Style" w:hAnsi="Bookman Old Style" w:cs="Bookman Old Style"/>
          <w:i/>
          <w:highlight w:val="white"/>
        </w:rPr>
        <w:t>Salud mental y suicidio</w:t>
      </w:r>
    </w:p>
    <w:p w:rsidR="008A3E61" w:rsidRDefault="008A3E61">
      <w:pPr>
        <w:jc w:val="both"/>
        <w:rPr>
          <w:rFonts w:ascii="Bookman Old Style" w:eastAsia="Bookman Old Style" w:hAnsi="Bookman Old Style" w:cs="Bookman Old Style"/>
          <w:highlight w:val="white"/>
        </w:rPr>
      </w:pPr>
    </w:p>
    <w:p w:rsidR="008A3E61" w:rsidRDefault="00937B3B">
      <w:pPr>
        <w:jc w:val="both"/>
        <w:rPr>
          <w:rFonts w:ascii="Bookman Old Style" w:eastAsia="Bookman Old Style" w:hAnsi="Bookman Old Style" w:cs="Bookman Old Style"/>
          <w:color w:val="212121"/>
          <w:highlight w:val="white"/>
        </w:rPr>
      </w:pPr>
      <w:r>
        <w:rPr>
          <w:rFonts w:ascii="Bookman Old Style" w:eastAsia="Bookman Old Style" w:hAnsi="Bookman Old Style" w:cs="Bookman Old Style"/>
          <w:color w:val="212121"/>
          <w:highlight w:val="white"/>
        </w:rPr>
        <w:lastRenderedPageBreak/>
        <w:t>Durante los últimos años en Colombia, se han disparado las cifras de suicidio infantil a causa de conductas de acoso y bullying dentro de las inst</w:t>
      </w:r>
      <w:r>
        <w:rPr>
          <w:rFonts w:ascii="Bookman Old Style" w:eastAsia="Bookman Old Style" w:hAnsi="Bookman Old Style" w:cs="Bookman Old Style"/>
          <w:color w:val="212121"/>
          <w:highlight w:val="white"/>
        </w:rPr>
        <w:t>ituciones educativas que llevan a los menores a tomar esta decisión. Esta no es una problemática nueva o reciente, pero parte de ser un problema que es denominado como tabú en la sociedad. Sin embargo, distintos casos a nivel internacional pusieron la aten</w:t>
      </w:r>
      <w:r>
        <w:rPr>
          <w:rFonts w:ascii="Bookman Old Style" w:eastAsia="Bookman Old Style" w:hAnsi="Bookman Old Style" w:cs="Bookman Old Style"/>
          <w:color w:val="212121"/>
          <w:highlight w:val="white"/>
        </w:rPr>
        <w:t xml:space="preserve">ción de los diferentes actores institucionales para enfrentar y prevenir que este tipo de situaciones se den, e incluso sigan aumentando. </w:t>
      </w:r>
    </w:p>
    <w:p w:rsidR="008A3E61" w:rsidRDefault="008A3E61">
      <w:pPr>
        <w:jc w:val="both"/>
        <w:rPr>
          <w:rFonts w:ascii="Bookman Old Style" w:eastAsia="Bookman Old Style" w:hAnsi="Bookman Old Style" w:cs="Bookman Old Style"/>
          <w:color w:val="212121"/>
          <w:highlight w:val="white"/>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highlight w:val="white"/>
        </w:rPr>
        <w:t xml:space="preserve">“La historia de </w:t>
      </w:r>
      <w:hyperlink r:id="rId12">
        <w:r>
          <w:rPr>
            <w:rFonts w:ascii="Bookman Old Style" w:eastAsia="Bookman Old Style" w:hAnsi="Bookman Old Style" w:cs="Bookman Old Style"/>
            <w:highlight w:val="white"/>
          </w:rPr>
          <w:t>Drayke Hardman,</w:t>
        </w:r>
      </w:hyperlink>
      <w:r>
        <w:rPr>
          <w:rFonts w:ascii="Bookman Old Style" w:eastAsia="Bookman Old Style" w:hAnsi="Bookman Old Style" w:cs="Bookman Old Style"/>
          <w:highlight w:val="white"/>
        </w:rPr>
        <w:t xml:space="preserve"> un niño de solo 12 años que se suicidó en Estados Unidos por el bullying del que era víctima, centró la a</w:t>
      </w:r>
      <w:r>
        <w:rPr>
          <w:rFonts w:ascii="Bookman Old Style" w:eastAsia="Bookman Old Style" w:hAnsi="Bookman Old Style" w:cs="Bookman Old Style"/>
          <w:highlight w:val="white"/>
        </w:rPr>
        <w:t xml:space="preserve">tención del mundo por lo que viven varios menores de edad que sufren de matoneo” (Soriano, 2022). Drayke llevaba situaciones dentro de su entorno escolar donde no sentía que las aulas fuesen un lugar seguro para él enfrentándose a problemas y afectaciones </w:t>
      </w:r>
      <w:r>
        <w:rPr>
          <w:rFonts w:ascii="Bookman Old Style" w:eastAsia="Bookman Old Style" w:hAnsi="Bookman Old Style" w:cs="Bookman Old Style"/>
          <w:highlight w:val="white"/>
        </w:rPr>
        <w:t>de salud mental a tan corta edad. Por otro lado, también se encuentra el caso colombiano del menor Sergio Urrego, quien fue víctima de discriminación y violencia verbal en su entorno escolar por su identidad de género que lo llevo a decidir acabar con su v</w:t>
      </w:r>
      <w:r>
        <w:rPr>
          <w:rFonts w:ascii="Bookman Old Style" w:eastAsia="Bookman Old Style" w:hAnsi="Bookman Old Style" w:cs="Bookman Old Style"/>
          <w:highlight w:val="white"/>
        </w:rPr>
        <w:t xml:space="preserve">ida. En el marco de este último caso mencionado, se crea el fuero legal de la Sentencia T-478 de 2015 </w:t>
      </w:r>
      <w:r>
        <w:rPr>
          <w:rFonts w:ascii="Bookman Old Style" w:eastAsia="Bookman Old Style" w:hAnsi="Bookman Old Style" w:cs="Bookman Old Style"/>
        </w:rPr>
        <w:t>la cual ordenó al Ministerio de Educación implementar la Ley 1620 de 2013 que hasta el momento había tenido muy baja asignación presupuestal y ejecución.</w:t>
      </w:r>
      <w:r>
        <w:rPr>
          <w:rFonts w:ascii="Bookman Old Style" w:eastAsia="Bookman Old Style" w:hAnsi="Bookman Old Style" w:cs="Bookman Old Style"/>
        </w:rPr>
        <w:t xml:space="preserve"> </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sz w:val="14"/>
          <w:szCs w:val="14"/>
        </w:rPr>
      </w:pPr>
      <w:r>
        <w:rPr>
          <w:rFonts w:ascii="Bookman Old Style" w:eastAsia="Bookman Old Style" w:hAnsi="Bookman Old Style" w:cs="Bookman Old Style"/>
        </w:rPr>
        <w:t xml:space="preserve">Para el año 2021, en Colombia, se reportaron </w:t>
      </w:r>
      <w:r>
        <w:rPr>
          <w:rFonts w:ascii="Bookman Old Style" w:eastAsia="Bookman Old Style" w:hAnsi="Bookman Old Style" w:cs="Bookman Old Style"/>
          <w:u w:val="single"/>
        </w:rPr>
        <w:t>275 suicidios de menores de 5 a 17 años</w:t>
      </w:r>
      <w:r>
        <w:rPr>
          <w:rFonts w:ascii="Bookman Old Style" w:eastAsia="Bookman Old Style" w:hAnsi="Bookman Old Style" w:cs="Bookman Old Style"/>
        </w:rPr>
        <w:t xml:space="preserve">. De igual manera, </w:t>
      </w:r>
      <w:r>
        <w:rPr>
          <w:rFonts w:ascii="Bookman Old Style" w:eastAsia="Bookman Old Style" w:hAnsi="Bookman Old Style" w:cs="Bookman Old Style"/>
          <w:highlight w:val="white"/>
        </w:rPr>
        <w:t>3 de cada 5 niños que son víctimas de este flagelo piensan en quitarse la vida, cada 30 horas uno de ellos lo hace y cada 23 horas un menor de edad in</w:t>
      </w:r>
      <w:r>
        <w:rPr>
          <w:rFonts w:ascii="Bookman Old Style" w:eastAsia="Bookman Old Style" w:hAnsi="Bookman Old Style" w:cs="Bookman Old Style"/>
          <w:highlight w:val="white"/>
        </w:rPr>
        <w:t xml:space="preserve">tenta suicidarse (Soriano, 2022). </w:t>
      </w:r>
    </w:p>
    <w:p w:rsidR="008A3E61" w:rsidRDefault="008A3E61">
      <w:pPr>
        <w:jc w:val="both"/>
        <w:rPr>
          <w:rFonts w:ascii="Bookman Old Style" w:eastAsia="Bookman Old Style" w:hAnsi="Bookman Old Style" w:cs="Bookman Old Style"/>
          <w:color w:val="212121"/>
          <w:highlight w:val="white"/>
        </w:rPr>
      </w:pPr>
    </w:p>
    <w:p w:rsidR="008A3E61" w:rsidRDefault="00937B3B">
      <w:pPr>
        <w:jc w:val="both"/>
        <w:rPr>
          <w:rFonts w:ascii="Bookman Old Style" w:eastAsia="Bookman Old Style" w:hAnsi="Bookman Old Style" w:cs="Bookman Old Style"/>
          <w:highlight w:val="white"/>
        </w:rPr>
      </w:pPr>
      <w:r>
        <w:rPr>
          <w:rFonts w:ascii="Bookman Old Style" w:eastAsia="Bookman Old Style" w:hAnsi="Bookman Old Style" w:cs="Bookman Old Style"/>
          <w:color w:val="212121"/>
          <w:highlight w:val="white"/>
        </w:rPr>
        <w:t>Para la psicóloga Victoria Cabrera, de la Universidad de la Sabana (citada por Soriano, 2022) “la situación en Colombia radica sobre todo en que no tenemos tolerancia a las diferencias desde edades tempranas (…) Los papá</w:t>
      </w:r>
      <w:r>
        <w:rPr>
          <w:rFonts w:ascii="Bookman Old Style" w:eastAsia="Bookman Old Style" w:hAnsi="Bookman Old Style" w:cs="Bookman Old Style"/>
          <w:color w:val="212121"/>
          <w:highlight w:val="white"/>
        </w:rPr>
        <w:t>s no promueven las diferencias, comparan a los hijos”. En esto radica la importancia de establecer leyes que respalden la inclusión de la identidad de género como enfoque transversal que permita eliminar estereotipos desde edades tempranas dentro de las ba</w:t>
      </w:r>
      <w:r>
        <w:rPr>
          <w:rFonts w:ascii="Bookman Old Style" w:eastAsia="Bookman Old Style" w:hAnsi="Bookman Old Style" w:cs="Bookman Old Style"/>
          <w:color w:val="212121"/>
          <w:highlight w:val="white"/>
        </w:rPr>
        <w:t xml:space="preserve">ses del respeto y la sana convivencia. </w:t>
      </w:r>
    </w:p>
    <w:p w:rsidR="008A3E61" w:rsidRDefault="008A3E61">
      <w:pPr>
        <w:jc w:val="both"/>
        <w:rPr>
          <w:rFonts w:ascii="Bookman Old Style" w:eastAsia="Bookman Old Style" w:hAnsi="Bookman Old Style" w:cs="Bookman Old Style"/>
          <w:highlight w:val="white"/>
        </w:rPr>
      </w:pPr>
    </w:p>
    <w:p w:rsidR="008A3E61" w:rsidRDefault="00937B3B">
      <w:pPr>
        <w:jc w:val="both"/>
        <w:rPr>
          <w:rFonts w:ascii="Bookman Old Style" w:eastAsia="Bookman Old Style" w:hAnsi="Bookman Old Style" w:cs="Bookman Old Style"/>
          <w:b/>
          <w:highlight w:val="white"/>
        </w:rPr>
      </w:pPr>
      <w:r>
        <w:rPr>
          <w:rFonts w:ascii="Bookman Old Style" w:eastAsia="Bookman Old Style" w:hAnsi="Bookman Old Style" w:cs="Bookman Old Style"/>
          <w:b/>
          <w:highlight w:val="white"/>
        </w:rPr>
        <w:t>II.III El aprendizaje desde temprana edad</w:t>
      </w:r>
    </w:p>
    <w:p w:rsidR="008A3E61" w:rsidRDefault="008A3E61">
      <w:pPr>
        <w:jc w:val="both"/>
        <w:rPr>
          <w:rFonts w:ascii="Bookman Old Style" w:eastAsia="Bookman Old Style" w:hAnsi="Bookman Old Style" w:cs="Bookman Old Style"/>
          <w:highlight w:val="white"/>
        </w:rPr>
      </w:pPr>
    </w:p>
    <w:p w:rsidR="008A3E61" w:rsidRDefault="00937B3B">
      <w:pPr>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Los niños y niñas de todas las edades se encuentran continuamente explorando y conociendo las dinámicas sociales y los aprendizajes cognitivos importantes para su desarroll</w:t>
      </w:r>
      <w:r>
        <w:rPr>
          <w:rFonts w:ascii="Bookman Old Style" w:eastAsia="Bookman Old Style" w:hAnsi="Bookman Old Style" w:cs="Bookman Old Style"/>
          <w:highlight w:val="white"/>
        </w:rPr>
        <w:t xml:space="preserve">o infantil y la vida en sociedad. Este desarrollo </w:t>
      </w:r>
      <w:r>
        <w:rPr>
          <w:rFonts w:ascii="Bookman Old Style" w:eastAsia="Bookman Old Style" w:hAnsi="Bookman Old Style" w:cs="Bookman Old Style"/>
          <w:highlight w:val="white"/>
        </w:rPr>
        <w:lastRenderedPageBreak/>
        <w:t xml:space="preserve">debe ir de la mano de una educación integral que permita mitigar posibles vulnerabilidades a las que se puedan enfrentar en un futuro. Asimismo, “la niñez intermedia implica muchos cambios en la vida de un </w:t>
      </w:r>
      <w:r>
        <w:rPr>
          <w:rFonts w:ascii="Bookman Old Style" w:eastAsia="Bookman Old Style" w:hAnsi="Bookman Old Style" w:cs="Bookman Old Style"/>
          <w:highlight w:val="white"/>
        </w:rPr>
        <w:t>niño [...] en esta etapa desarrollan rápidamente habilidades físicas, sociales y mentales” (Centro para el control y prevención de enfermedades -CDC-, 2023). Es por ello, que es importante que desde esta etapa de crecimiento se promueva el aprendizaje y la</w:t>
      </w:r>
      <w:r>
        <w:rPr>
          <w:rFonts w:ascii="Bookman Old Style" w:eastAsia="Bookman Old Style" w:hAnsi="Bookman Old Style" w:cs="Bookman Old Style"/>
          <w:highlight w:val="white"/>
        </w:rPr>
        <w:t xml:space="preserve"> generación de confianza en ellos frente a diferentes áreas de la vida. </w:t>
      </w:r>
    </w:p>
    <w:p w:rsidR="008A3E61" w:rsidRDefault="008A3E61">
      <w:pPr>
        <w:jc w:val="both"/>
        <w:rPr>
          <w:rFonts w:ascii="Bookman Old Style" w:eastAsia="Bookman Old Style" w:hAnsi="Bookman Old Style" w:cs="Bookman Old Style"/>
          <w:color w:val="333333"/>
          <w:highlight w:val="white"/>
        </w:rPr>
      </w:pPr>
    </w:p>
    <w:p w:rsidR="008A3E61" w:rsidRDefault="00937B3B">
      <w:pPr>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Según el Centro para el control y prevención de enfermedades -CDC- (2023), los niños a partir de los 6 años desarrollan rápidamente sus habilidades mentales, aprenden una mejor maner</w:t>
      </w:r>
      <w:r>
        <w:rPr>
          <w:rFonts w:ascii="Bookman Old Style" w:eastAsia="Bookman Old Style" w:hAnsi="Bookman Old Style" w:cs="Bookman Old Style"/>
          <w:highlight w:val="white"/>
        </w:rPr>
        <w:t>a de expresarse en términos de la descripción de sus experiencias, ideas y sentimientos, y tienden a tener un enfoque a preocuparse más por lo demás. Con el paso del tiempo, y a partir de los 9 años los niños y niñas comienzan esa etapa de ser más conscien</w:t>
      </w:r>
      <w:r>
        <w:rPr>
          <w:rFonts w:ascii="Bookman Old Style" w:eastAsia="Bookman Old Style" w:hAnsi="Bookman Old Style" w:cs="Bookman Old Style"/>
          <w:highlight w:val="white"/>
        </w:rPr>
        <w:t xml:space="preserve">tes de su cuerpo, a entender más los puntos de vista de los demás y aumentan su capacidad de atención (CDC, 2023). </w:t>
      </w:r>
    </w:p>
    <w:p w:rsidR="008A3E61" w:rsidRDefault="008A3E61">
      <w:pPr>
        <w:jc w:val="both"/>
        <w:rPr>
          <w:rFonts w:ascii="Bookman Old Style" w:eastAsia="Bookman Old Style" w:hAnsi="Bookman Old Style" w:cs="Bookman Old Style"/>
          <w:highlight w:val="white"/>
        </w:rPr>
      </w:pPr>
    </w:p>
    <w:p w:rsidR="008A3E61" w:rsidRDefault="00937B3B">
      <w:pPr>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 xml:space="preserve">A continuación, se muestra una tabla que refleja la importancia de la educación integral desde la temprana edad: </w:t>
      </w:r>
    </w:p>
    <w:p w:rsidR="008A3E61" w:rsidRDefault="008A3E61">
      <w:pPr>
        <w:jc w:val="both"/>
        <w:rPr>
          <w:rFonts w:ascii="Bookman Old Style" w:eastAsia="Bookman Old Style" w:hAnsi="Bookman Old Style" w:cs="Bookman Old Style"/>
          <w:highlight w:val="white"/>
        </w:rPr>
      </w:pPr>
    </w:p>
    <w:p w:rsidR="008A3E61" w:rsidRDefault="00937B3B">
      <w:pPr>
        <w:jc w:val="center"/>
        <w:rPr>
          <w:rFonts w:ascii="Bookman Old Style" w:eastAsia="Bookman Old Style" w:hAnsi="Bookman Old Style" w:cs="Bookman Old Style"/>
          <w:b/>
          <w:highlight w:val="white"/>
        </w:rPr>
      </w:pPr>
      <w:r>
        <w:rPr>
          <w:rFonts w:ascii="Bookman Old Style" w:eastAsia="Bookman Old Style" w:hAnsi="Bookman Old Style" w:cs="Bookman Old Style"/>
          <w:b/>
          <w:highlight w:val="white"/>
        </w:rPr>
        <w:t>Tabla 1. Evolución del aprendizaje en las distintas etapas de crecimiento de los niños y las niñas</w:t>
      </w:r>
    </w:p>
    <w:p w:rsidR="008A3E61" w:rsidRDefault="008A3E61">
      <w:pPr>
        <w:jc w:val="both"/>
        <w:rPr>
          <w:rFonts w:ascii="Bookman Old Style" w:eastAsia="Bookman Old Style" w:hAnsi="Bookman Old Style" w:cs="Bookman Old Style"/>
          <w:highlight w:val="white"/>
        </w:rPr>
      </w:pPr>
    </w:p>
    <w:tbl>
      <w:tblPr>
        <w:tblStyle w:val="a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6645"/>
      </w:tblGrid>
      <w:tr w:rsidR="008A3E61">
        <w:tc>
          <w:tcPr>
            <w:tcW w:w="2355" w:type="dxa"/>
            <w:shd w:val="clear" w:color="auto" w:fill="auto"/>
            <w:tcMar>
              <w:top w:w="100" w:type="dxa"/>
              <w:left w:w="100" w:type="dxa"/>
              <w:bottom w:w="100" w:type="dxa"/>
              <w:right w:w="100" w:type="dxa"/>
            </w:tcMar>
          </w:tcPr>
          <w:p w:rsidR="008A3E61" w:rsidRDefault="00937B3B">
            <w:pPr>
              <w:widowControl w:val="0"/>
              <w:pBdr>
                <w:top w:val="nil"/>
                <w:left w:val="nil"/>
                <w:bottom w:val="nil"/>
                <w:right w:val="nil"/>
                <w:between w:val="nil"/>
              </w:pBdr>
              <w:jc w:val="center"/>
              <w:rPr>
                <w:rFonts w:ascii="Bookman Old Style" w:eastAsia="Bookman Old Style" w:hAnsi="Bookman Old Style" w:cs="Bookman Old Style"/>
                <w:b/>
                <w:highlight w:val="white"/>
              </w:rPr>
            </w:pPr>
            <w:r>
              <w:rPr>
                <w:rFonts w:ascii="Bookman Old Style" w:eastAsia="Bookman Old Style" w:hAnsi="Bookman Old Style" w:cs="Bookman Old Style"/>
                <w:b/>
                <w:highlight w:val="white"/>
              </w:rPr>
              <w:t>ETAPA</w:t>
            </w:r>
          </w:p>
        </w:tc>
        <w:tc>
          <w:tcPr>
            <w:tcW w:w="6645" w:type="dxa"/>
            <w:shd w:val="clear" w:color="auto" w:fill="auto"/>
            <w:tcMar>
              <w:top w:w="100" w:type="dxa"/>
              <w:left w:w="100" w:type="dxa"/>
              <w:bottom w:w="100" w:type="dxa"/>
              <w:right w:w="100" w:type="dxa"/>
            </w:tcMar>
          </w:tcPr>
          <w:p w:rsidR="008A3E61" w:rsidRDefault="00937B3B">
            <w:pPr>
              <w:widowControl w:val="0"/>
              <w:pBdr>
                <w:top w:val="nil"/>
                <w:left w:val="nil"/>
                <w:bottom w:val="nil"/>
                <w:right w:val="nil"/>
                <w:between w:val="nil"/>
              </w:pBdr>
              <w:jc w:val="center"/>
              <w:rPr>
                <w:rFonts w:ascii="Bookman Old Style" w:eastAsia="Bookman Old Style" w:hAnsi="Bookman Old Style" w:cs="Bookman Old Style"/>
                <w:b/>
                <w:highlight w:val="white"/>
              </w:rPr>
            </w:pPr>
            <w:r>
              <w:rPr>
                <w:rFonts w:ascii="Bookman Old Style" w:eastAsia="Bookman Old Style" w:hAnsi="Bookman Old Style" w:cs="Bookman Old Style"/>
                <w:b/>
                <w:highlight w:val="white"/>
              </w:rPr>
              <w:t>IMPORTANCIA</w:t>
            </w:r>
          </w:p>
        </w:tc>
      </w:tr>
      <w:tr w:rsidR="008A3E61">
        <w:tc>
          <w:tcPr>
            <w:tcW w:w="2355" w:type="dxa"/>
            <w:shd w:val="clear" w:color="auto" w:fill="auto"/>
            <w:tcMar>
              <w:top w:w="100" w:type="dxa"/>
              <w:left w:w="100" w:type="dxa"/>
              <w:bottom w:w="100" w:type="dxa"/>
              <w:right w:w="100" w:type="dxa"/>
            </w:tcMar>
          </w:tcPr>
          <w:p w:rsidR="008A3E61" w:rsidRDefault="00937B3B">
            <w:pPr>
              <w:widowControl w:val="0"/>
              <w:pBdr>
                <w:top w:val="nil"/>
                <w:left w:val="nil"/>
                <w:bottom w:val="nil"/>
                <w:right w:val="nil"/>
                <w:between w:val="nil"/>
              </w:pBdr>
              <w:rPr>
                <w:rFonts w:ascii="Bookman Old Style" w:eastAsia="Bookman Old Style" w:hAnsi="Bookman Old Style" w:cs="Bookman Old Style"/>
                <w:b/>
                <w:highlight w:val="white"/>
              </w:rPr>
            </w:pPr>
            <w:r>
              <w:rPr>
                <w:rFonts w:ascii="Bookman Old Style" w:eastAsia="Bookman Old Style" w:hAnsi="Bookman Old Style" w:cs="Bookman Old Style"/>
                <w:b/>
                <w:highlight w:val="white"/>
              </w:rPr>
              <w:t>Educación primaria (primer ciclo) [6 a 7 años]</w:t>
            </w:r>
          </w:p>
        </w:tc>
        <w:tc>
          <w:tcPr>
            <w:tcW w:w="6645" w:type="dxa"/>
            <w:shd w:val="clear" w:color="auto" w:fill="auto"/>
            <w:tcMar>
              <w:top w:w="100" w:type="dxa"/>
              <w:left w:w="100" w:type="dxa"/>
              <w:bottom w:w="100" w:type="dxa"/>
              <w:right w:w="100" w:type="dxa"/>
            </w:tcMar>
          </w:tcPr>
          <w:p w:rsidR="008A3E61" w:rsidRDefault="00937B3B">
            <w:pPr>
              <w:numPr>
                <w:ilvl w:val="0"/>
                <w:numId w:val="4"/>
              </w:numPr>
              <w:spacing w:line="276" w:lineRule="auto"/>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El niño cuenta con la madurez y las habilidades necesarias para disfrutar aprendiendo a leer y a escribir, con lo que adquiere estas destrezas de forma mucho más rápida que en años anteriores. La capacidad de coordinar los movimientos de sus dedos, la motr</w:t>
            </w:r>
            <w:r>
              <w:rPr>
                <w:rFonts w:ascii="Bookman Old Style" w:eastAsia="Bookman Old Style" w:hAnsi="Bookman Old Style" w:cs="Bookman Old Style"/>
                <w:highlight w:val="white"/>
              </w:rPr>
              <w:t xml:space="preserve">icidad fina, generalmente no se desarrolla del todo hasta esta edad, en la que, además, ha salido de su egocentrismo y está preparado para disfrutar de lo que otros dicen y para comunicarse. </w:t>
            </w:r>
          </w:p>
          <w:p w:rsidR="008A3E61" w:rsidRDefault="00937B3B">
            <w:pPr>
              <w:numPr>
                <w:ilvl w:val="0"/>
                <w:numId w:val="4"/>
              </w:numPr>
              <w:spacing w:after="240" w:line="276" w:lineRule="auto"/>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Los niños a esta edad son unas esponjas , son capaces de aprende</w:t>
            </w:r>
            <w:r>
              <w:rPr>
                <w:rFonts w:ascii="Bookman Old Style" w:eastAsia="Bookman Old Style" w:hAnsi="Bookman Old Style" w:cs="Bookman Old Style"/>
                <w:highlight w:val="white"/>
              </w:rPr>
              <w:t xml:space="preserve">r de forma muy natural y de llegar mucho más allá de lo que pensamos, </w:t>
            </w:r>
            <w:r>
              <w:rPr>
                <w:rFonts w:ascii="Bookman Old Style" w:eastAsia="Bookman Old Style" w:hAnsi="Bookman Old Style" w:cs="Bookman Old Style"/>
                <w:highlight w:val="white"/>
              </w:rPr>
              <w:lastRenderedPageBreak/>
              <w:t xml:space="preserve">considera </w:t>
            </w:r>
            <w:hyperlink r:id="rId13">
              <w:r>
                <w:rPr>
                  <w:rFonts w:ascii="Bookman Old Style" w:eastAsia="Bookman Old Style" w:hAnsi="Bookman Old Style" w:cs="Bookman Old Style"/>
                  <w:highlight w:val="white"/>
                </w:rPr>
                <w:t xml:space="preserve">José Ignacio Rivas </w:t>
              </w:r>
            </w:hyperlink>
            <w:r>
              <w:rPr>
                <w:rFonts w:ascii="Bookman Old Style" w:eastAsia="Bookman Old Style" w:hAnsi="Bookman Old Style" w:cs="Bookman Old Style"/>
                <w:highlight w:val="white"/>
              </w:rPr>
              <w:t>, catedrático de Didáctica y Organización Escolar de la Universidad de Málag</w:t>
            </w:r>
            <w:r>
              <w:rPr>
                <w:rFonts w:ascii="Bookman Old Style" w:eastAsia="Bookman Old Style" w:hAnsi="Bookman Old Style" w:cs="Bookman Old Style"/>
                <w:highlight w:val="white"/>
              </w:rPr>
              <w:t xml:space="preserve">a (citado por Arrizabalaga, 2017). </w:t>
            </w:r>
          </w:p>
        </w:tc>
      </w:tr>
      <w:tr w:rsidR="008A3E61">
        <w:tc>
          <w:tcPr>
            <w:tcW w:w="2355" w:type="dxa"/>
            <w:shd w:val="clear" w:color="auto" w:fill="auto"/>
            <w:tcMar>
              <w:top w:w="100" w:type="dxa"/>
              <w:left w:w="100" w:type="dxa"/>
              <w:bottom w:w="100" w:type="dxa"/>
              <w:right w:w="100" w:type="dxa"/>
            </w:tcMar>
          </w:tcPr>
          <w:p w:rsidR="008A3E61" w:rsidRDefault="00937B3B">
            <w:pPr>
              <w:widowControl w:val="0"/>
              <w:rPr>
                <w:rFonts w:ascii="Bookman Old Style" w:eastAsia="Bookman Old Style" w:hAnsi="Bookman Old Style" w:cs="Bookman Old Style"/>
                <w:b/>
                <w:highlight w:val="white"/>
              </w:rPr>
            </w:pPr>
            <w:r>
              <w:rPr>
                <w:rFonts w:ascii="Bookman Old Style" w:eastAsia="Bookman Old Style" w:hAnsi="Bookman Old Style" w:cs="Bookman Old Style"/>
                <w:b/>
                <w:highlight w:val="white"/>
              </w:rPr>
              <w:lastRenderedPageBreak/>
              <w:t>Educación primaria (segundo ciclo) [8 a 9 años]</w:t>
            </w:r>
          </w:p>
        </w:tc>
        <w:tc>
          <w:tcPr>
            <w:tcW w:w="6645" w:type="dxa"/>
            <w:shd w:val="clear" w:color="auto" w:fill="auto"/>
            <w:tcMar>
              <w:top w:w="100" w:type="dxa"/>
              <w:left w:w="100" w:type="dxa"/>
              <w:bottom w:w="100" w:type="dxa"/>
              <w:right w:w="100" w:type="dxa"/>
            </w:tcMar>
          </w:tcPr>
          <w:p w:rsidR="008A3E61" w:rsidRDefault="00937B3B">
            <w:pPr>
              <w:numPr>
                <w:ilvl w:val="0"/>
                <w:numId w:val="4"/>
              </w:numPr>
              <w:spacing w:line="276" w:lineRule="auto"/>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Es la etapa en la que necesita activar los procesos de memoria, comienza el periodo de las operaciones concretas y progresan en sus avances de representación espacial y en</w:t>
            </w:r>
            <w:r>
              <w:rPr>
                <w:rFonts w:ascii="Bookman Old Style" w:eastAsia="Bookman Old Style" w:hAnsi="Bookman Old Style" w:cs="Bookman Old Style"/>
                <w:highlight w:val="white"/>
              </w:rPr>
              <w:t xml:space="preserve"> la noción del número, indica Sanz de Acedo, pedagoga y doctora en Psicología, especializada en el área Evolutiva y de la Educación citando «</w:t>
            </w:r>
            <w:hyperlink r:id="rId14">
              <w:r>
                <w:rPr>
                  <w:rFonts w:ascii="Bookman Old Style" w:eastAsia="Bookman Old Style" w:hAnsi="Bookman Old Style" w:cs="Bookman Old Style"/>
                  <w:highlight w:val="white"/>
                </w:rPr>
                <w:t xml:space="preserve"> El desarrollo psicológico a lo largo de</w:t>
              </w:r>
              <w:r>
                <w:rPr>
                  <w:rFonts w:ascii="Bookman Old Style" w:eastAsia="Bookman Old Style" w:hAnsi="Bookman Old Style" w:cs="Bookman Old Style"/>
                  <w:highlight w:val="white"/>
                </w:rPr>
                <w:t xml:space="preserve"> la vida </w:t>
              </w:r>
            </w:hyperlink>
            <w:r>
              <w:rPr>
                <w:rFonts w:ascii="Bookman Old Style" w:eastAsia="Bookman Old Style" w:hAnsi="Bookman Old Style" w:cs="Bookman Old Style"/>
                <w:highlight w:val="white"/>
              </w:rPr>
              <w:t xml:space="preserve">» de Mariscal, Giménez-Dasí, Carriedo y Corral. (Citado por Arrizabalaga, 2017). </w:t>
            </w:r>
          </w:p>
          <w:p w:rsidR="008A3E61" w:rsidRDefault="00937B3B">
            <w:pPr>
              <w:numPr>
                <w:ilvl w:val="0"/>
                <w:numId w:val="4"/>
              </w:numPr>
              <w:spacing w:line="276" w:lineRule="auto"/>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Adquieren la capacidad para descentrarse , de forma que ya pueden tomar en consideración varias características de la realidad al mismo tiempo, y pueden desandar men</w:t>
            </w:r>
            <w:r>
              <w:rPr>
                <w:rFonts w:ascii="Bookman Old Style" w:eastAsia="Bookman Old Style" w:hAnsi="Bookman Old Style" w:cs="Bookman Old Style"/>
                <w:highlight w:val="white"/>
              </w:rPr>
              <w:t xml:space="preserve">talmente el proceso de transformación de un elemento y volver a su estado inicial. </w:t>
            </w:r>
          </w:p>
          <w:p w:rsidR="008A3E61" w:rsidRDefault="00937B3B">
            <w:pPr>
              <w:numPr>
                <w:ilvl w:val="0"/>
                <w:numId w:val="4"/>
              </w:numPr>
              <w:spacing w:after="240" w:line="276" w:lineRule="auto"/>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 xml:space="preserve">Según Rivas citado por Arrizabalaga (2017) la primaria es un acercamiento al mundo natural y social. Los y las niñas necesitan empezar a reflexionar sobre su vida, su entorno próximo y su entorno general. </w:t>
            </w:r>
          </w:p>
        </w:tc>
      </w:tr>
      <w:tr w:rsidR="008A3E61">
        <w:tc>
          <w:tcPr>
            <w:tcW w:w="2355" w:type="dxa"/>
            <w:shd w:val="clear" w:color="auto" w:fill="auto"/>
            <w:tcMar>
              <w:top w:w="100" w:type="dxa"/>
              <w:left w:w="100" w:type="dxa"/>
              <w:bottom w:w="100" w:type="dxa"/>
              <w:right w:w="100" w:type="dxa"/>
            </w:tcMar>
          </w:tcPr>
          <w:p w:rsidR="008A3E61" w:rsidRDefault="00937B3B">
            <w:pPr>
              <w:widowControl w:val="0"/>
              <w:rPr>
                <w:rFonts w:ascii="Bookman Old Style" w:eastAsia="Bookman Old Style" w:hAnsi="Bookman Old Style" w:cs="Bookman Old Style"/>
                <w:b/>
                <w:highlight w:val="white"/>
              </w:rPr>
            </w:pPr>
            <w:r>
              <w:rPr>
                <w:rFonts w:ascii="Bookman Old Style" w:eastAsia="Bookman Old Style" w:hAnsi="Bookman Old Style" w:cs="Bookman Old Style"/>
                <w:b/>
                <w:highlight w:val="white"/>
              </w:rPr>
              <w:t>Educación primaria (tercer ciclo) [A partir de lo</w:t>
            </w:r>
            <w:r>
              <w:rPr>
                <w:rFonts w:ascii="Bookman Old Style" w:eastAsia="Bookman Old Style" w:hAnsi="Bookman Old Style" w:cs="Bookman Old Style"/>
                <w:b/>
                <w:highlight w:val="white"/>
              </w:rPr>
              <w:t>s 10 años]</w:t>
            </w:r>
          </w:p>
        </w:tc>
        <w:tc>
          <w:tcPr>
            <w:tcW w:w="6645" w:type="dxa"/>
            <w:shd w:val="clear" w:color="auto" w:fill="auto"/>
            <w:tcMar>
              <w:top w:w="100" w:type="dxa"/>
              <w:left w:w="100" w:type="dxa"/>
              <w:bottom w:w="100" w:type="dxa"/>
              <w:right w:w="100" w:type="dxa"/>
            </w:tcMar>
          </w:tcPr>
          <w:p w:rsidR="008A3E61" w:rsidRDefault="00937B3B">
            <w:pPr>
              <w:numPr>
                <w:ilvl w:val="0"/>
                <w:numId w:val="2"/>
              </w:numPr>
              <w:spacing w:line="276" w:lineRule="auto"/>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En esta etapa, «hay que desarrollar habilidades que posibiliten en los niños el desarrollo de su inteligencia emocional , es decir, que aprendan a comprender y a regular las emociones tanto en ellos mismos como en los demás (Sanz de Acedo, citad</w:t>
            </w:r>
            <w:r>
              <w:rPr>
                <w:rFonts w:ascii="Bookman Old Style" w:eastAsia="Bookman Old Style" w:hAnsi="Bookman Old Style" w:cs="Bookman Old Style"/>
                <w:highlight w:val="white"/>
              </w:rPr>
              <w:t>o por Arrizabalaga, 2017).</w:t>
            </w:r>
          </w:p>
        </w:tc>
      </w:tr>
      <w:tr w:rsidR="008A3E61">
        <w:tc>
          <w:tcPr>
            <w:tcW w:w="2355" w:type="dxa"/>
            <w:shd w:val="clear" w:color="auto" w:fill="auto"/>
            <w:tcMar>
              <w:top w:w="100" w:type="dxa"/>
              <w:left w:w="100" w:type="dxa"/>
              <w:bottom w:w="100" w:type="dxa"/>
              <w:right w:w="100" w:type="dxa"/>
            </w:tcMar>
          </w:tcPr>
          <w:p w:rsidR="008A3E61" w:rsidRDefault="00937B3B">
            <w:pPr>
              <w:widowControl w:val="0"/>
              <w:rPr>
                <w:rFonts w:ascii="Bookman Old Style" w:eastAsia="Bookman Old Style" w:hAnsi="Bookman Old Style" w:cs="Bookman Old Style"/>
                <w:b/>
                <w:highlight w:val="white"/>
              </w:rPr>
            </w:pPr>
            <w:r>
              <w:rPr>
                <w:rFonts w:ascii="Bookman Old Style" w:eastAsia="Bookman Old Style" w:hAnsi="Bookman Old Style" w:cs="Bookman Old Style"/>
                <w:b/>
                <w:highlight w:val="white"/>
              </w:rPr>
              <w:lastRenderedPageBreak/>
              <w:t>Educación secundaria [A partir de los 12 años]</w:t>
            </w:r>
          </w:p>
        </w:tc>
        <w:tc>
          <w:tcPr>
            <w:tcW w:w="6645" w:type="dxa"/>
            <w:shd w:val="clear" w:color="auto" w:fill="auto"/>
            <w:tcMar>
              <w:top w:w="100" w:type="dxa"/>
              <w:left w:w="100" w:type="dxa"/>
              <w:bottom w:w="100" w:type="dxa"/>
              <w:right w:w="100" w:type="dxa"/>
            </w:tcMar>
          </w:tcPr>
          <w:p w:rsidR="008A3E61" w:rsidRDefault="00937B3B">
            <w:pPr>
              <w:numPr>
                <w:ilvl w:val="0"/>
                <w:numId w:val="8"/>
              </w:numPr>
              <w:spacing w:line="276" w:lineRule="auto"/>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 xml:space="preserve">Según la psicóloga Sanz de Acedo (citado por Arrizabalaga, 2017) en esta etapa “ya puede pensar en abstracto, es decir, plantear hipótesis y razonar de forma hipotético-deductiva”. </w:t>
            </w:r>
            <w:r>
              <w:rPr>
                <w:rFonts w:ascii="Bookman Old Style" w:eastAsia="Bookman Old Style" w:hAnsi="Bookman Old Style" w:cs="Bookman Old Style"/>
                <w:highlight w:val="white"/>
              </w:rPr>
              <w:t xml:space="preserve">Asimismo, “empieza a poder concebir lo posible y a contemplar todas las variables para obtener todos los casos y a poder afirmar la verdad o falsedad de algo sin pensar en su correspondencia con la realidad” (et. al). </w:t>
            </w:r>
          </w:p>
        </w:tc>
      </w:tr>
      <w:tr w:rsidR="008A3E61">
        <w:tc>
          <w:tcPr>
            <w:tcW w:w="2355" w:type="dxa"/>
            <w:shd w:val="clear" w:color="auto" w:fill="auto"/>
            <w:tcMar>
              <w:top w:w="100" w:type="dxa"/>
              <w:left w:w="100" w:type="dxa"/>
              <w:bottom w:w="100" w:type="dxa"/>
              <w:right w:w="100" w:type="dxa"/>
            </w:tcMar>
          </w:tcPr>
          <w:p w:rsidR="008A3E61" w:rsidRDefault="00937B3B">
            <w:pPr>
              <w:widowControl w:val="0"/>
              <w:rPr>
                <w:rFonts w:ascii="Bookman Old Style" w:eastAsia="Bookman Old Style" w:hAnsi="Bookman Old Style" w:cs="Bookman Old Style"/>
                <w:b/>
                <w:highlight w:val="white"/>
              </w:rPr>
            </w:pPr>
            <w:r>
              <w:rPr>
                <w:rFonts w:ascii="Bookman Old Style" w:eastAsia="Bookman Old Style" w:hAnsi="Bookman Old Style" w:cs="Bookman Old Style"/>
                <w:b/>
                <w:highlight w:val="white"/>
              </w:rPr>
              <w:t>Bachillerato</w:t>
            </w:r>
          </w:p>
        </w:tc>
        <w:tc>
          <w:tcPr>
            <w:tcW w:w="6645" w:type="dxa"/>
            <w:shd w:val="clear" w:color="auto" w:fill="auto"/>
            <w:tcMar>
              <w:top w:w="100" w:type="dxa"/>
              <w:left w:w="100" w:type="dxa"/>
              <w:bottom w:w="100" w:type="dxa"/>
              <w:right w:w="100" w:type="dxa"/>
            </w:tcMar>
          </w:tcPr>
          <w:p w:rsidR="008A3E61" w:rsidRDefault="00937B3B">
            <w:pPr>
              <w:numPr>
                <w:ilvl w:val="0"/>
                <w:numId w:val="12"/>
              </w:numPr>
              <w:spacing w:line="276" w:lineRule="auto"/>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Según Rivas (2017) citado por Arrizabalaga (2017) esta es una etapa de decisiones, es el momento de decidir frente a su identidad a través del trabajo construido y elaborado con el pasar de los años.</w:t>
            </w:r>
          </w:p>
        </w:tc>
      </w:tr>
    </w:tbl>
    <w:p w:rsidR="008A3E61" w:rsidRDefault="008A3E61">
      <w:pPr>
        <w:jc w:val="center"/>
        <w:rPr>
          <w:rFonts w:ascii="Bookman Old Style" w:eastAsia="Bookman Old Style" w:hAnsi="Bookman Old Style" w:cs="Bookman Old Style"/>
          <w:sz w:val="18"/>
          <w:szCs w:val="18"/>
          <w:highlight w:val="white"/>
        </w:rPr>
      </w:pPr>
    </w:p>
    <w:p w:rsidR="008A3E61" w:rsidRDefault="00937B3B">
      <w:pPr>
        <w:jc w:val="center"/>
        <w:rPr>
          <w:rFonts w:ascii="Bookman Old Style" w:eastAsia="Bookman Old Style" w:hAnsi="Bookman Old Style" w:cs="Bookman Old Style"/>
          <w:highlight w:val="white"/>
        </w:rPr>
      </w:pPr>
      <w:r>
        <w:rPr>
          <w:rFonts w:ascii="Bookman Old Style" w:eastAsia="Bookman Old Style" w:hAnsi="Bookman Old Style" w:cs="Bookman Old Style"/>
          <w:sz w:val="18"/>
          <w:szCs w:val="18"/>
          <w:highlight w:val="white"/>
        </w:rPr>
        <w:t>Fuente: Elaboración propia citando a “Las edades del a</w:t>
      </w:r>
      <w:r>
        <w:rPr>
          <w:rFonts w:ascii="Bookman Old Style" w:eastAsia="Bookman Old Style" w:hAnsi="Bookman Old Style" w:cs="Bookman Old Style"/>
          <w:sz w:val="18"/>
          <w:szCs w:val="18"/>
          <w:highlight w:val="white"/>
        </w:rPr>
        <w:t>prendizaje: todo a su tiempo” por Mónica Arrizabalaga, 2017.</w:t>
      </w:r>
    </w:p>
    <w:p w:rsidR="008A3E61" w:rsidRDefault="008A3E61">
      <w:pPr>
        <w:jc w:val="both"/>
        <w:rPr>
          <w:rFonts w:ascii="Bookman Old Style" w:eastAsia="Bookman Old Style" w:hAnsi="Bookman Old Style" w:cs="Bookman Old Style"/>
          <w:highlight w:val="white"/>
        </w:rPr>
      </w:pPr>
    </w:p>
    <w:p w:rsidR="008A3E61" w:rsidRDefault="00937B3B">
      <w:pPr>
        <w:jc w:val="both"/>
        <w:rPr>
          <w:rFonts w:ascii="Bookman Old Style" w:eastAsia="Bookman Old Style" w:hAnsi="Bookman Old Style" w:cs="Bookman Old Style"/>
          <w:highlight w:val="yellow"/>
        </w:rPr>
      </w:pPr>
      <w:r>
        <w:rPr>
          <w:rFonts w:ascii="Bookman Old Style" w:eastAsia="Bookman Old Style" w:hAnsi="Bookman Old Style" w:cs="Bookman Old Style"/>
          <w:highlight w:val="white"/>
        </w:rPr>
        <w:t>Aunado a lo anterior, actualmente se han desarrollado diferentes estudios que ratifican que los programas integrales e interdisciplinarios de desarrollo infantil aportan en la prevención del ret</w:t>
      </w:r>
      <w:r>
        <w:rPr>
          <w:rFonts w:ascii="Bookman Old Style" w:eastAsia="Bookman Old Style" w:hAnsi="Bookman Old Style" w:cs="Bookman Old Style"/>
          <w:highlight w:val="white"/>
        </w:rPr>
        <w:t>raso en el desarrollo cognitivo. “Las intervenciones durante la primera infancia también pueden mejorar la condición de la madre en el hogar y la comunidad, ayudar a reducir la inequidad por razón de sexo, aumentar la participación de la mujer en la fuerza</w:t>
      </w:r>
      <w:r>
        <w:rPr>
          <w:rFonts w:ascii="Bookman Old Style" w:eastAsia="Bookman Old Style" w:hAnsi="Bookman Old Style" w:cs="Bookman Old Style"/>
          <w:highlight w:val="white"/>
        </w:rPr>
        <w:t xml:space="preserve"> laboral y mejorar la participación de la comunidad en los esfuerzos de desarrollo” (OAS, s.f). Según la Organización de los Estados Americanos, 30 años de investigación revelan que los programas integrales a temprana edad pueden aumentar la productividad </w:t>
      </w:r>
      <w:r>
        <w:rPr>
          <w:rFonts w:ascii="Bookman Old Style" w:eastAsia="Bookman Old Style" w:hAnsi="Bookman Old Style" w:cs="Bookman Old Style"/>
          <w:highlight w:val="white"/>
        </w:rPr>
        <w:t xml:space="preserve">y capacidad de ingresos futuros de las personas reduciendo brechas sociales y económicas y mitigando vulnerabilidades. </w:t>
      </w:r>
    </w:p>
    <w:p w:rsidR="008A3E61" w:rsidRDefault="008A3E61">
      <w:pPr>
        <w:jc w:val="both"/>
        <w:rPr>
          <w:rFonts w:ascii="Bookman Old Style" w:eastAsia="Bookman Old Style" w:hAnsi="Bookman Old Style" w:cs="Bookman Old Style"/>
        </w:rPr>
      </w:pPr>
    </w:p>
    <w:p w:rsidR="008A3E61" w:rsidRDefault="00937B3B">
      <w:pPr>
        <w:numPr>
          <w:ilvl w:val="0"/>
          <w:numId w:val="3"/>
        </w:numPr>
        <w:spacing w:line="276" w:lineRule="auto"/>
        <w:jc w:val="both"/>
        <w:rPr>
          <w:rFonts w:ascii="Bookman Old Style" w:eastAsia="Bookman Old Style" w:hAnsi="Bookman Old Style" w:cs="Bookman Old Style"/>
          <w:b/>
        </w:rPr>
      </w:pPr>
      <w:r>
        <w:rPr>
          <w:rFonts w:ascii="Bookman Old Style" w:eastAsia="Bookman Old Style" w:hAnsi="Bookman Old Style" w:cs="Bookman Old Style"/>
          <w:b/>
        </w:rPr>
        <w:t>MARCO JURÍDICO</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b/>
        </w:rPr>
      </w:pPr>
      <w:r>
        <w:rPr>
          <w:rFonts w:ascii="Bookman Old Style" w:eastAsia="Bookman Old Style" w:hAnsi="Bookman Old Style" w:cs="Bookman Old Style"/>
          <w:b/>
        </w:rPr>
        <w:t>Marco internacional</w:t>
      </w:r>
    </w:p>
    <w:p w:rsidR="008A3E61" w:rsidRDefault="008A3E61">
      <w:pPr>
        <w:jc w:val="both"/>
        <w:rPr>
          <w:rFonts w:ascii="Bookman Old Style" w:eastAsia="Bookman Old Style" w:hAnsi="Bookman Old Style" w:cs="Bookman Old Style"/>
        </w:rPr>
      </w:pPr>
    </w:p>
    <w:p w:rsidR="008A3E61" w:rsidRDefault="00937B3B">
      <w:pPr>
        <w:numPr>
          <w:ilvl w:val="0"/>
          <w:numId w:val="5"/>
        </w:numPr>
        <w:spacing w:line="276"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highlight w:val="white"/>
        </w:rPr>
        <w:t xml:space="preserve">Las Naciones Unidas han apoyado los derechos de las mujeres desde la adopción de su Carta fundacional. Entre sus propósitos, la ONU declaró en el </w:t>
      </w:r>
      <w:hyperlink r:id="rId15">
        <w:r>
          <w:rPr>
            <w:rFonts w:ascii="Bookman Old Style" w:eastAsia="Bookman Old Style" w:hAnsi="Bookman Old Style" w:cs="Bookman Old Style"/>
          </w:rPr>
          <w:t>artículo 1 de su Carta</w:t>
        </w:r>
      </w:hyperlink>
      <w:r>
        <w:rPr>
          <w:rFonts w:ascii="Bookman Old Style" w:eastAsia="Bookman Old Style" w:hAnsi="Bookman Old Style" w:cs="Bookman Old Style"/>
          <w:highlight w:val="white"/>
        </w:rPr>
        <w:t xml:space="preserve"> “</w:t>
      </w:r>
      <w:r>
        <w:rPr>
          <w:rFonts w:ascii="Bookman Old Style" w:eastAsia="Bookman Old Style" w:hAnsi="Bookman Old Style" w:cs="Bookman Old Style"/>
          <w:i/>
        </w:rPr>
        <w:t>Realizar la coo</w:t>
      </w:r>
      <w:r>
        <w:rPr>
          <w:rFonts w:ascii="Bookman Old Style" w:eastAsia="Bookman Old Style" w:hAnsi="Bookman Old Style" w:cs="Bookman Old Style"/>
          <w:i/>
        </w:rPr>
        <w:t xml:space="preserve">peración </w:t>
      </w:r>
      <w:r>
        <w:rPr>
          <w:rFonts w:ascii="Bookman Old Style" w:eastAsia="Bookman Old Style" w:hAnsi="Bookman Old Style" w:cs="Bookman Old Style"/>
          <w:i/>
        </w:rPr>
        <w:lastRenderedPageBreak/>
        <w:t>internacional [...] en el desarrollo y estímulo del respeto a los derechos humanos y a las libertades fundamentales de todos, sin hacer distinción por motivos de raza, sexo, idioma o religión</w:t>
      </w:r>
      <w:r>
        <w:rPr>
          <w:rFonts w:ascii="Bookman Old Style" w:eastAsia="Bookman Old Style" w:hAnsi="Bookman Old Style" w:cs="Bookman Old Style"/>
          <w:highlight w:val="white"/>
        </w:rPr>
        <w:t>”.</w:t>
      </w:r>
    </w:p>
    <w:p w:rsidR="008A3E61" w:rsidRDefault="00937B3B">
      <w:pPr>
        <w:numPr>
          <w:ilvl w:val="0"/>
          <w:numId w:val="5"/>
        </w:num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ODS 5: Lograr la igualdad entre los géneros y empoder</w:t>
      </w:r>
      <w:r>
        <w:rPr>
          <w:rFonts w:ascii="Bookman Old Style" w:eastAsia="Bookman Old Style" w:hAnsi="Bookman Old Style" w:cs="Bookman Old Style"/>
        </w:rPr>
        <w:t>ar a todas las mujeres y las niñas</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b/>
        </w:rPr>
      </w:pPr>
      <w:r>
        <w:rPr>
          <w:rFonts w:ascii="Bookman Old Style" w:eastAsia="Bookman Old Style" w:hAnsi="Bookman Old Style" w:cs="Bookman Old Style"/>
          <w:b/>
        </w:rPr>
        <w:t>Derecho a la igualdad</w:t>
      </w:r>
    </w:p>
    <w:p w:rsidR="008A3E61" w:rsidRDefault="008A3E61">
      <w:pPr>
        <w:jc w:val="both"/>
        <w:rPr>
          <w:rFonts w:ascii="Bookman Old Style" w:eastAsia="Bookman Old Style" w:hAnsi="Bookman Old Style" w:cs="Bookman Old Style"/>
        </w:rPr>
      </w:pPr>
    </w:p>
    <w:p w:rsidR="008A3E61" w:rsidRDefault="00937B3B">
      <w:pPr>
        <w:ind w:left="720"/>
        <w:jc w:val="both"/>
        <w:rPr>
          <w:rFonts w:ascii="Bookman Old Style" w:eastAsia="Bookman Old Style" w:hAnsi="Bookman Old Style" w:cs="Bookman Old Style"/>
          <w:i/>
        </w:rPr>
      </w:pPr>
      <w:r>
        <w:rPr>
          <w:rFonts w:ascii="Bookman Old Style" w:eastAsia="Bookman Old Style" w:hAnsi="Bookman Old Style" w:cs="Bookman Old Style"/>
          <w:i/>
        </w:rPr>
        <w:t xml:space="preserve">“La Corte ha reconocido que existen tres diferentes dimensiones del derecho a la igualdad. En efecto, la Corporación ha dicho que de la cláusula de protección del artículo 13 de la Constitución se derivan varios elementos: </w:t>
      </w:r>
    </w:p>
    <w:p w:rsidR="008A3E61" w:rsidRDefault="008A3E61">
      <w:pPr>
        <w:ind w:left="720"/>
        <w:jc w:val="both"/>
        <w:rPr>
          <w:rFonts w:ascii="Bookman Old Style" w:eastAsia="Bookman Old Style" w:hAnsi="Bookman Old Style" w:cs="Bookman Old Style"/>
          <w:i/>
        </w:rPr>
      </w:pPr>
    </w:p>
    <w:p w:rsidR="008A3E61" w:rsidRDefault="00937B3B">
      <w:pPr>
        <w:ind w:left="1440"/>
        <w:jc w:val="both"/>
        <w:rPr>
          <w:rFonts w:ascii="Bookman Old Style" w:eastAsia="Bookman Old Style" w:hAnsi="Bookman Old Style" w:cs="Bookman Old Style"/>
          <w:i/>
        </w:rPr>
      </w:pPr>
      <w:r>
        <w:rPr>
          <w:rFonts w:ascii="Bookman Old Style" w:eastAsia="Bookman Old Style" w:hAnsi="Bookman Old Style" w:cs="Bookman Old Style"/>
          <w:i/>
        </w:rPr>
        <w:t>i) una regla de igualdad ante l</w:t>
      </w:r>
      <w:r>
        <w:rPr>
          <w:rFonts w:ascii="Bookman Old Style" w:eastAsia="Bookman Old Style" w:hAnsi="Bookman Old Style" w:cs="Bookman Old Style"/>
          <w:i/>
        </w:rPr>
        <w:t xml:space="preserve">a ley, comprendida como el deber estatal de imparcialidad en la aplicación del derecho frente a todas las personas; </w:t>
      </w:r>
    </w:p>
    <w:p w:rsidR="008A3E61" w:rsidRDefault="008A3E61">
      <w:pPr>
        <w:ind w:left="1440"/>
        <w:jc w:val="both"/>
        <w:rPr>
          <w:rFonts w:ascii="Bookman Old Style" w:eastAsia="Bookman Old Style" w:hAnsi="Bookman Old Style" w:cs="Bookman Old Style"/>
          <w:i/>
        </w:rPr>
      </w:pPr>
    </w:p>
    <w:p w:rsidR="008A3E61" w:rsidRDefault="00937B3B">
      <w:pPr>
        <w:ind w:left="1440"/>
        <w:jc w:val="both"/>
        <w:rPr>
          <w:rFonts w:ascii="Bookman Old Style" w:eastAsia="Bookman Old Style" w:hAnsi="Bookman Old Style" w:cs="Bookman Old Style"/>
          <w:i/>
        </w:rPr>
      </w:pPr>
      <w:r>
        <w:rPr>
          <w:rFonts w:ascii="Bookman Old Style" w:eastAsia="Bookman Old Style" w:hAnsi="Bookman Old Style" w:cs="Bookman Old Style"/>
          <w:i/>
        </w:rPr>
        <w:t xml:space="preserve">ii) una prohibición de discriminación que implica que el Estado y los particulares no puedan aplicar un trato discriminatorio a partir de </w:t>
      </w:r>
      <w:r>
        <w:rPr>
          <w:rFonts w:ascii="Bookman Old Style" w:eastAsia="Bookman Old Style" w:hAnsi="Bookman Old Style" w:cs="Bookman Old Style"/>
          <w:i/>
        </w:rPr>
        <w:t xml:space="preserve">criterios sospechosos construidos a partir de -entre otras- razones de sexo, raza, origen étnico, identidad de género, religión u opinión política; y </w:t>
      </w:r>
    </w:p>
    <w:p w:rsidR="008A3E61" w:rsidRDefault="008A3E61">
      <w:pPr>
        <w:ind w:left="1440"/>
        <w:jc w:val="both"/>
        <w:rPr>
          <w:rFonts w:ascii="Bookman Old Style" w:eastAsia="Bookman Old Style" w:hAnsi="Bookman Old Style" w:cs="Bookman Old Style"/>
          <w:i/>
        </w:rPr>
      </w:pPr>
    </w:p>
    <w:p w:rsidR="008A3E61" w:rsidRDefault="00937B3B">
      <w:pPr>
        <w:ind w:left="1440"/>
        <w:jc w:val="both"/>
        <w:rPr>
          <w:rFonts w:ascii="Bookman Old Style" w:eastAsia="Bookman Old Style" w:hAnsi="Bookman Old Style" w:cs="Bookman Old Style"/>
          <w:sz w:val="16"/>
          <w:szCs w:val="16"/>
        </w:rPr>
      </w:pPr>
      <w:r>
        <w:rPr>
          <w:rFonts w:ascii="Bookman Old Style" w:eastAsia="Bookman Old Style" w:hAnsi="Bookman Old Style" w:cs="Bookman Old Style"/>
          <w:i/>
        </w:rPr>
        <w:t>iii) un mandato de promoción de la igualdad de oportunidades o igualdad material, entendido como el debe</w:t>
      </w:r>
      <w:r>
        <w:rPr>
          <w:rFonts w:ascii="Bookman Old Style" w:eastAsia="Bookman Old Style" w:hAnsi="Bookman Old Style" w:cs="Bookman Old Style"/>
          <w:i/>
        </w:rPr>
        <w:t>r público de ejercer acciones concretas destinadas a beneficiar a grupos discriminados o marginados de manera sistemática o histórica, a través de prestaciones concretas o cambios en el diseño institucional (acciones afirmativas)” (Sentencia T-478 de 2015)</w:t>
      </w:r>
      <w:r>
        <w:rPr>
          <w:rFonts w:ascii="Bookman Old Style" w:eastAsia="Bookman Old Style" w:hAnsi="Bookman Old Style" w:cs="Bookman Old Style"/>
          <w:i/>
        </w:rPr>
        <w:t>.</w:t>
      </w:r>
    </w:p>
    <w:p w:rsidR="008A3E61" w:rsidRDefault="008A3E61">
      <w:pPr>
        <w:jc w:val="both"/>
        <w:rPr>
          <w:rFonts w:ascii="Bookman Old Style" w:eastAsia="Bookman Old Style" w:hAnsi="Bookman Old Style" w:cs="Bookman Old Style"/>
          <w:b/>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b/>
        </w:rPr>
        <w:t xml:space="preserve">Normas nacionales </w:t>
      </w:r>
    </w:p>
    <w:p w:rsidR="008A3E61" w:rsidRDefault="00937B3B">
      <w:pPr>
        <w:numPr>
          <w:ilvl w:val="0"/>
          <w:numId w:val="10"/>
        </w:numPr>
        <w:spacing w:before="240" w:line="276" w:lineRule="auto"/>
        <w:jc w:val="both"/>
        <w:rPr>
          <w:rFonts w:ascii="Bookman Old Style" w:eastAsia="Bookman Old Style" w:hAnsi="Bookman Old Style" w:cs="Bookman Old Style"/>
        </w:rPr>
      </w:pPr>
      <w:r>
        <w:rPr>
          <w:rFonts w:ascii="Bookman Old Style" w:eastAsia="Bookman Old Style" w:hAnsi="Bookman Old Style" w:cs="Bookman Old Style"/>
        </w:rPr>
        <w:t>La Constitución Política consagró los derechos a la igualdad (art. 13), al libre desarrollo de la personalidad (art. 16), el derecho a la intimidad (art. 15) y el derecho al debido proceso (art. 29), entre otros, como derechos fundam</w:t>
      </w:r>
      <w:r>
        <w:rPr>
          <w:rFonts w:ascii="Bookman Old Style" w:eastAsia="Bookman Old Style" w:hAnsi="Bookman Old Style" w:cs="Bookman Old Style"/>
        </w:rPr>
        <w:t>entales que podían ser objeto de protección judicial cuando fueran vulnerados o desconocidos por entidades públicas o privadas.</w:t>
      </w:r>
    </w:p>
    <w:p w:rsidR="008A3E61" w:rsidRDefault="008A3E61">
      <w:pPr>
        <w:pBdr>
          <w:top w:val="nil"/>
          <w:left w:val="nil"/>
          <w:bottom w:val="nil"/>
          <w:right w:val="nil"/>
          <w:between w:val="nil"/>
        </w:pBdr>
        <w:rPr>
          <w:color w:val="000000"/>
          <w:sz w:val="22"/>
          <w:szCs w:val="22"/>
        </w:rPr>
      </w:pPr>
    </w:p>
    <w:p w:rsidR="008A3E61" w:rsidRDefault="00937B3B">
      <w:pPr>
        <w:numPr>
          <w:ilvl w:val="0"/>
          <w:numId w:val="10"/>
        </w:num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Ley 115 de 1994 por la cual se expide la ley general de educación. </w:t>
      </w:r>
    </w:p>
    <w:p w:rsidR="008A3E61" w:rsidRDefault="008A3E61">
      <w:pPr>
        <w:spacing w:line="276" w:lineRule="auto"/>
        <w:jc w:val="both"/>
        <w:rPr>
          <w:rFonts w:ascii="Bookman Old Style" w:eastAsia="Bookman Old Style" w:hAnsi="Bookman Old Style" w:cs="Bookman Old Style"/>
        </w:rPr>
      </w:pPr>
    </w:p>
    <w:p w:rsidR="008A3E61" w:rsidRDefault="00937B3B">
      <w:pPr>
        <w:numPr>
          <w:ilvl w:val="0"/>
          <w:numId w:val="10"/>
        </w:num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Ley 1620 de 2013 crea el Sistema Nacional de Convivencia E</w:t>
      </w:r>
      <w:r>
        <w:rPr>
          <w:rFonts w:ascii="Bookman Old Style" w:eastAsia="Bookman Old Style" w:hAnsi="Bookman Old Style" w:cs="Bookman Old Style"/>
        </w:rPr>
        <w:t>scolar y Formación para el Ejercicio de los Derechos Humanos, la Educación para la Sexualidad y la Prevención y Mitigación de la Violencia Escolar.</w:t>
      </w:r>
    </w:p>
    <w:p w:rsidR="008A3E61" w:rsidRDefault="008A3E61">
      <w:pPr>
        <w:spacing w:line="276" w:lineRule="auto"/>
        <w:jc w:val="both"/>
        <w:rPr>
          <w:rFonts w:ascii="Bookman Old Style" w:eastAsia="Bookman Old Style" w:hAnsi="Bookman Old Style" w:cs="Bookman Old Style"/>
        </w:rPr>
      </w:pPr>
    </w:p>
    <w:p w:rsidR="008A3E61" w:rsidRDefault="00937B3B">
      <w:pPr>
        <w:numPr>
          <w:ilvl w:val="0"/>
          <w:numId w:val="10"/>
        </w:num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Ley 2281 de 2023 por medio de la cual se crea el Ministerio de Igualdad y Equidad y se dictan otras disposi</w:t>
      </w:r>
      <w:r>
        <w:rPr>
          <w:rFonts w:ascii="Bookman Old Style" w:eastAsia="Bookman Old Style" w:hAnsi="Bookman Old Style" w:cs="Bookman Old Style"/>
        </w:rPr>
        <w:t>ciones.</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b/>
        </w:rPr>
      </w:pPr>
      <w:r>
        <w:rPr>
          <w:rFonts w:ascii="Bookman Old Style" w:eastAsia="Bookman Old Style" w:hAnsi="Bookman Old Style" w:cs="Bookman Old Style"/>
          <w:b/>
        </w:rPr>
        <w:t>Sentencias</w:t>
      </w:r>
    </w:p>
    <w:p w:rsidR="008A3E61" w:rsidRDefault="00937B3B">
      <w:pPr>
        <w:numPr>
          <w:ilvl w:val="0"/>
          <w:numId w:val="6"/>
        </w:numPr>
        <w:spacing w:before="240" w:after="240"/>
        <w:jc w:val="both"/>
        <w:rPr>
          <w:rFonts w:ascii="Bookman Old Style" w:eastAsia="Bookman Old Style" w:hAnsi="Bookman Old Style" w:cs="Bookman Old Style"/>
          <w:sz w:val="26"/>
          <w:szCs w:val="26"/>
        </w:rPr>
      </w:pPr>
      <w:r>
        <w:rPr>
          <w:rFonts w:ascii="Bookman Old Style" w:eastAsia="Bookman Old Style" w:hAnsi="Bookman Old Style" w:cs="Bookman Old Style"/>
        </w:rPr>
        <w:t>Sentencia T-478 de 2015 la cual ordenó al Ministerio de Educación implementar la Ley 1620 de 2013 que hasta el momento había tenido muy baja asignación presupuestal y ejecución. También ordenó a la misma entidad realizar una revisión de todos los manuale</w:t>
      </w:r>
      <w:r>
        <w:rPr>
          <w:rFonts w:ascii="Bookman Old Style" w:eastAsia="Bookman Old Style" w:hAnsi="Bookman Old Style" w:cs="Bookman Old Style"/>
        </w:rPr>
        <w:t>s de convivencia de los colegios del país para garantizar que todos fueran respetuosos de la orientación sexual y la identidad de género de las personas, dentro del término de un año de notificado el fallo.</w:t>
      </w:r>
    </w:p>
    <w:p w:rsidR="008A3E61" w:rsidRDefault="00937B3B">
      <w:pPr>
        <w:spacing w:before="240" w:after="240"/>
        <w:ind w:left="720"/>
        <w:jc w:val="both"/>
        <w:rPr>
          <w:rFonts w:ascii="Bookman Old Style" w:eastAsia="Bookman Old Style" w:hAnsi="Bookman Old Style" w:cs="Bookman Old Style"/>
        </w:rPr>
      </w:pPr>
      <w:r>
        <w:rPr>
          <w:rFonts w:ascii="Bookman Old Style" w:eastAsia="Bookman Old Style" w:hAnsi="Bookman Old Style" w:cs="Bookman Old Style"/>
        </w:rPr>
        <w:t>Como consecuencia de este fallo judicial, el Mini</w:t>
      </w:r>
      <w:r>
        <w:rPr>
          <w:rFonts w:ascii="Bookman Old Style" w:eastAsia="Bookman Old Style" w:hAnsi="Bookman Old Style" w:cs="Bookman Old Style"/>
        </w:rPr>
        <w:t>sterio de Educación Nacional celebró un convenio de asociación con UNICEF, El Fondo de Poblaciones de Naciones Unidas (UN- FPA), el PNUD, y Colombia Diversa, con el apoyo administrativo Comitato Internazionale per lo Sviluppo dei Popoli (CISP), con el obj</w:t>
      </w:r>
      <w:r>
        <w:rPr>
          <w:rFonts w:ascii="Bookman Old Style" w:eastAsia="Bookman Old Style" w:hAnsi="Bookman Old Style" w:cs="Bookman Old Style"/>
        </w:rPr>
        <w:t>etivo de aunar esfuerzos para el cumplimiento del fallo, trabajar por los derechos humanos y derechos sexuales y reproductivos de los/las estudiantes, y garantizar el adecuado funcionamiento del Sistema Nacional de Convivencia Escolar en los distintos muni</w:t>
      </w:r>
      <w:r>
        <w:rPr>
          <w:rFonts w:ascii="Bookman Old Style" w:eastAsia="Bookman Old Style" w:hAnsi="Bookman Old Style" w:cs="Bookman Old Style"/>
        </w:rPr>
        <w:t>cipios, distritos y departamentos certificados.</w:t>
      </w:r>
    </w:p>
    <w:p w:rsidR="008A3E61" w:rsidRDefault="00937B3B">
      <w:pPr>
        <w:numPr>
          <w:ilvl w:val="0"/>
          <w:numId w:val="9"/>
        </w:numPr>
        <w:spacing w:before="240" w:after="240"/>
        <w:jc w:val="both"/>
        <w:rPr>
          <w:rFonts w:ascii="Bookman Old Style" w:eastAsia="Bookman Old Style" w:hAnsi="Bookman Old Style" w:cs="Bookman Old Style"/>
        </w:rPr>
      </w:pPr>
      <w:r>
        <w:rPr>
          <w:rFonts w:ascii="Bookman Old Style" w:eastAsia="Bookman Old Style" w:hAnsi="Bookman Old Style" w:cs="Bookman Old Style"/>
        </w:rPr>
        <w:t xml:space="preserve">Sentencia T-443 de 2020 la cual, si bien se configuró como </w:t>
      </w:r>
      <w:r>
        <w:rPr>
          <w:rFonts w:ascii="Bookman Old Style" w:eastAsia="Bookman Old Style" w:hAnsi="Bookman Old Style" w:cs="Bookman Old Style"/>
          <w:highlight w:val="white"/>
        </w:rPr>
        <w:t>una carencia actual de objeto por hecho superado, la Sala evidenció que el colegio fue permisivo con la generación de un escenario de discriminación.</w:t>
      </w:r>
      <w:r>
        <w:rPr>
          <w:rFonts w:ascii="Bookman Old Style" w:eastAsia="Bookman Old Style" w:hAnsi="Bookman Old Style" w:cs="Bookman Old Style"/>
          <w:highlight w:val="white"/>
        </w:rPr>
        <w:t xml:space="preserve"> Asimismo, advirtió que es deber de las instituciones educativas:</w:t>
      </w:r>
    </w:p>
    <w:p w:rsidR="008A3E61" w:rsidRDefault="00937B3B">
      <w:pPr>
        <w:spacing w:before="240" w:after="240"/>
        <w:ind w:left="720"/>
        <w:jc w:val="both"/>
        <w:rPr>
          <w:rFonts w:ascii="Bookman Old Style" w:eastAsia="Bookman Old Style" w:hAnsi="Bookman Old Style" w:cs="Bookman Old Style"/>
        </w:rPr>
      </w:pPr>
      <w:r>
        <w:rPr>
          <w:rFonts w:ascii="Bookman Old Style" w:eastAsia="Bookman Old Style" w:hAnsi="Bookman Old Style" w:cs="Bookman Old Style"/>
          <w:highlight w:val="white"/>
        </w:rPr>
        <w:t>“</w:t>
      </w:r>
      <w:r>
        <w:rPr>
          <w:rFonts w:ascii="Bookman Old Style" w:eastAsia="Bookman Old Style" w:hAnsi="Bookman Old Style" w:cs="Bookman Old Style"/>
          <w:i/>
        </w:rPr>
        <w:t>propiciar la integración del alumno con la comunidad educativa y no apartarlo para que sus clases fueran individuales y sin contacto alguno con sus compañeros</w:t>
      </w:r>
      <w:r>
        <w:rPr>
          <w:rFonts w:ascii="Bookman Old Style" w:eastAsia="Bookman Old Style" w:hAnsi="Bookman Old Style" w:cs="Bookman Old Style"/>
          <w:highlight w:val="white"/>
        </w:rPr>
        <w:t>”. Con ello se busca la creació</w:t>
      </w:r>
      <w:r>
        <w:rPr>
          <w:rFonts w:ascii="Bookman Old Style" w:eastAsia="Bookman Old Style" w:hAnsi="Bookman Old Style" w:cs="Bookman Old Style"/>
          <w:highlight w:val="white"/>
        </w:rPr>
        <w:t>n de “</w:t>
      </w:r>
      <w:r>
        <w:rPr>
          <w:rFonts w:ascii="Bookman Old Style" w:eastAsia="Bookman Old Style" w:hAnsi="Bookman Old Style" w:cs="Bookman Old Style"/>
          <w:i/>
        </w:rPr>
        <w:t xml:space="preserve">espacios que promuevan la formación académica y la convivencia pacífica de todos los estudiantes, especialmente la de aquellos en dificultades, de forma </w:t>
      </w:r>
      <w:r>
        <w:rPr>
          <w:rFonts w:ascii="Bookman Old Style" w:eastAsia="Bookman Old Style" w:hAnsi="Bookman Old Style" w:cs="Bookman Old Style"/>
          <w:i/>
        </w:rPr>
        <w:lastRenderedPageBreak/>
        <w:t>tal que, logren superar cualquier barrera que esté impidiendo su desarrollo emocional óptimo</w:t>
      </w:r>
      <w:r>
        <w:rPr>
          <w:rFonts w:ascii="Bookman Old Style" w:eastAsia="Bookman Old Style" w:hAnsi="Bookman Old Style" w:cs="Bookman Old Style"/>
          <w:highlight w:val="white"/>
        </w:rPr>
        <w:t>”.</w:t>
      </w:r>
    </w:p>
    <w:p w:rsidR="008A3E61" w:rsidRDefault="008A3E61">
      <w:pPr>
        <w:jc w:val="both"/>
        <w:rPr>
          <w:rFonts w:ascii="Bookman Old Style" w:eastAsia="Bookman Old Style" w:hAnsi="Bookman Old Style" w:cs="Bookman Old Style"/>
          <w:b/>
        </w:rPr>
      </w:pPr>
    </w:p>
    <w:p w:rsidR="008A3E61" w:rsidRDefault="00937B3B">
      <w:pPr>
        <w:jc w:val="both"/>
        <w:rPr>
          <w:rFonts w:ascii="Bookman Old Style" w:eastAsia="Bookman Old Style" w:hAnsi="Bookman Old Style" w:cs="Bookman Old Style"/>
          <w:b/>
        </w:rPr>
      </w:pPr>
      <w:r>
        <w:rPr>
          <w:rFonts w:ascii="Bookman Old Style" w:eastAsia="Bookman Old Style" w:hAnsi="Bookman Old Style" w:cs="Bookman Old Style"/>
          <w:b/>
        </w:rPr>
        <w:t>D</w:t>
      </w:r>
      <w:r>
        <w:rPr>
          <w:rFonts w:ascii="Bookman Old Style" w:eastAsia="Bookman Old Style" w:hAnsi="Bookman Old Style" w:cs="Bookman Old Style"/>
          <w:b/>
        </w:rPr>
        <w:t xml:space="preserve">ecretos </w:t>
      </w:r>
    </w:p>
    <w:p w:rsidR="008A3E61" w:rsidRDefault="00937B3B">
      <w:pPr>
        <w:numPr>
          <w:ilvl w:val="0"/>
          <w:numId w:val="7"/>
        </w:numPr>
        <w:spacing w:before="240" w:after="240" w:line="276" w:lineRule="auto"/>
        <w:jc w:val="both"/>
        <w:rPr>
          <w:rFonts w:ascii="Bookman Old Style" w:eastAsia="Bookman Old Style" w:hAnsi="Bookman Old Style" w:cs="Bookman Old Style"/>
        </w:rPr>
      </w:pPr>
      <w:r>
        <w:rPr>
          <w:rFonts w:ascii="Bookman Old Style" w:eastAsia="Bookman Old Style" w:hAnsi="Bookman Old Style" w:cs="Bookman Old Style"/>
        </w:rPr>
        <w:t>Decreto 1965 de 2013, cual precisa y define algunos aspectos de la ley 1620 de 2013, y también fija como fecha para el adecuado funcionamiento e implementación de la misma para el mes de marzo de 2014.</w:t>
      </w:r>
    </w:p>
    <w:p w:rsidR="008A3E61" w:rsidRDefault="00937B3B">
      <w:pPr>
        <w:numPr>
          <w:ilvl w:val="0"/>
          <w:numId w:val="3"/>
        </w:numPr>
        <w:spacing w:line="276" w:lineRule="auto"/>
        <w:jc w:val="both"/>
        <w:rPr>
          <w:rFonts w:ascii="Bookman Old Style" w:eastAsia="Bookman Old Style" w:hAnsi="Bookman Old Style" w:cs="Bookman Old Style"/>
          <w:b/>
        </w:rPr>
      </w:pPr>
      <w:r>
        <w:rPr>
          <w:rFonts w:ascii="Bookman Old Style" w:eastAsia="Bookman Old Style" w:hAnsi="Bookman Old Style" w:cs="Bookman Old Style"/>
          <w:b/>
        </w:rPr>
        <w:t>CONFLICTO DE INTERÉS</w:t>
      </w:r>
    </w:p>
    <w:p w:rsidR="008A3E61" w:rsidRDefault="008A3E61">
      <w:pPr>
        <w:jc w:val="both"/>
        <w:rPr>
          <w:rFonts w:ascii="Bookman Old Style" w:eastAsia="Bookman Old Style" w:hAnsi="Bookman Old Style" w:cs="Bookman Old Style"/>
        </w:rPr>
      </w:pPr>
    </w:p>
    <w:p w:rsidR="008A3E61" w:rsidRDefault="00937B3B">
      <w:pPr>
        <w:tabs>
          <w:tab w:val="left" w:pos="7680"/>
        </w:tabs>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De acuerdo con el artíc</w:t>
      </w:r>
      <w:r>
        <w:rPr>
          <w:rFonts w:ascii="Bookman Old Style" w:eastAsia="Bookman Old Style" w:hAnsi="Bookman Old Style" w:cs="Bookman Old Style"/>
        </w:rPr>
        <w:t>ulo 291 de la Ley 5ª de 1992 -Reglamento Interno del Congreso- modificado por el artículo 3° de la Ley 2003 de 2019, establece que: “el autor del proyecto y el ponente presentarán en el cuerpo de la exposición de motivos un acápite que describa las circuns</w:t>
      </w:r>
      <w:r>
        <w:rPr>
          <w:rFonts w:ascii="Bookman Old Style" w:eastAsia="Bookman Old Style" w:hAnsi="Bookman Old Style" w:cs="Bookman Old Style"/>
        </w:rPr>
        <w:t>tancias o eventos que podrían generar un conflicto de interés para la discusión y votación del proyecto, de acuerdo con el artículo 286. Estos serán criterios guías para que los otros congresistas tomen una decisión en torno a si se encuentran en una causa</w:t>
      </w:r>
      <w:r>
        <w:rPr>
          <w:rFonts w:ascii="Bookman Old Style" w:eastAsia="Bookman Old Style" w:hAnsi="Bookman Old Style" w:cs="Bookman Old Style"/>
        </w:rPr>
        <w:t xml:space="preserve">l de impedimento, no obstante, otras causales que el Congresista pueda encontrar”. </w:t>
      </w:r>
    </w:p>
    <w:p w:rsidR="008A3E61" w:rsidRDefault="008A3E61">
      <w:pPr>
        <w:tabs>
          <w:tab w:val="left" w:pos="7680"/>
        </w:tabs>
        <w:spacing w:line="276" w:lineRule="auto"/>
        <w:jc w:val="both"/>
        <w:rPr>
          <w:rFonts w:ascii="Bookman Old Style" w:eastAsia="Bookman Old Style" w:hAnsi="Bookman Old Style" w:cs="Bookman Old Style"/>
        </w:rPr>
      </w:pPr>
    </w:p>
    <w:p w:rsidR="008A3E61" w:rsidRDefault="00937B3B">
      <w:pPr>
        <w:tabs>
          <w:tab w:val="left" w:pos="7680"/>
        </w:tabs>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De igual manera, el artículo 286 de la norma en comento, modificado por el artículo 1° de la Ley 2003 de 2019, define el conflicto de interés como la “situación donde la d</w:t>
      </w:r>
      <w:r>
        <w:rPr>
          <w:rFonts w:ascii="Bookman Old Style" w:eastAsia="Bookman Old Style" w:hAnsi="Bookman Old Style" w:cs="Bookman Old Style"/>
        </w:rPr>
        <w:t xml:space="preserve">iscusión o votación de un proyecto de ley o acto legislativo o artículo, pueda resultar en un beneficio particular, actual y directo a favor del congresista”. </w:t>
      </w:r>
    </w:p>
    <w:p w:rsidR="008A3E61" w:rsidRDefault="008A3E61">
      <w:pPr>
        <w:tabs>
          <w:tab w:val="left" w:pos="7680"/>
        </w:tabs>
        <w:spacing w:line="276" w:lineRule="auto"/>
        <w:jc w:val="both"/>
        <w:rPr>
          <w:rFonts w:ascii="Bookman Old Style" w:eastAsia="Bookman Old Style" w:hAnsi="Bookman Old Style" w:cs="Bookman Old Style"/>
        </w:rPr>
      </w:pPr>
    </w:p>
    <w:p w:rsidR="008A3E61" w:rsidRDefault="00937B3B">
      <w:pPr>
        <w:tabs>
          <w:tab w:val="left" w:pos="7680"/>
        </w:tabs>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Con base en lo anterior y, de acuerdo al carácter abstracto e impersonal de la norma, tenemos q</w:t>
      </w:r>
      <w:r>
        <w:rPr>
          <w:rFonts w:ascii="Bookman Old Style" w:eastAsia="Bookman Old Style" w:hAnsi="Bookman Old Style" w:cs="Bookman Old Style"/>
        </w:rPr>
        <w:t>ue en esta iniciativa legislativa</w:t>
      </w:r>
      <w:r>
        <w:rPr>
          <w:rFonts w:ascii="Bookman Old Style" w:eastAsia="Bookman Old Style" w:hAnsi="Bookman Old Style" w:cs="Bookman Old Style"/>
          <w:u w:val="single"/>
        </w:rPr>
        <w:t xml:space="preserve"> no se evidencia</w:t>
      </w:r>
      <w:r>
        <w:rPr>
          <w:rFonts w:ascii="Bookman Old Style" w:eastAsia="Bookman Old Style" w:hAnsi="Bookman Old Style" w:cs="Bookman Old Style"/>
        </w:rPr>
        <w:t xml:space="preserve"> que los congresistas puedan incurrir en posibles conflictos de interés, toda vez que tampoco puede predicarse un beneficio particular, actual y directo que les impida participar de la discusión y votación d</w:t>
      </w:r>
      <w:r>
        <w:rPr>
          <w:rFonts w:ascii="Bookman Old Style" w:eastAsia="Bookman Old Style" w:hAnsi="Bookman Old Style" w:cs="Bookman Old Style"/>
        </w:rPr>
        <w:t xml:space="preserve">e este proyecto. Lo anterior, sin perjuicio del deber de los congresistas de examinar, en cada caso en concreto, la existencia de posibles hechos generadores de conflictos de interés, en cuyo evento deberán declararlos de conformidad con lo dispuesto </w:t>
      </w:r>
      <w:r>
        <w:rPr>
          <w:rFonts w:ascii="Bookman Old Style" w:eastAsia="Bookman Old Style" w:hAnsi="Bookman Old Style" w:cs="Bookman Old Style"/>
        </w:rPr>
        <w:lastRenderedPageBreak/>
        <w:t>en el</w:t>
      </w:r>
      <w:r>
        <w:rPr>
          <w:rFonts w:ascii="Bookman Old Style" w:eastAsia="Bookman Old Style" w:hAnsi="Bookman Old Style" w:cs="Bookman Old Style"/>
        </w:rPr>
        <w:t xml:space="preserve"> inciso 1° del artículo 286 ibídem: “Todos los congresistas deberán declarar los conflictos de intereses que pudieran surgir en ejercicio de sus funciones”.</w:t>
      </w:r>
    </w:p>
    <w:p w:rsidR="008A3E61" w:rsidRDefault="008A3E61">
      <w:pPr>
        <w:jc w:val="both"/>
        <w:rPr>
          <w:rFonts w:ascii="Bookman Old Style" w:eastAsia="Bookman Old Style" w:hAnsi="Bookman Old Style" w:cs="Bookman Old Style"/>
        </w:rPr>
      </w:pPr>
    </w:p>
    <w:p w:rsidR="008A3E61" w:rsidRDefault="00937B3B">
      <w:pPr>
        <w:numPr>
          <w:ilvl w:val="0"/>
          <w:numId w:val="3"/>
        </w:numPr>
        <w:spacing w:line="276" w:lineRule="auto"/>
        <w:jc w:val="both"/>
        <w:rPr>
          <w:rFonts w:ascii="Bookman Old Style" w:eastAsia="Bookman Old Style" w:hAnsi="Bookman Old Style" w:cs="Bookman Old Style"/>
          <w:b/>
        </w:rPr>
      </w:pPr>
      <w:r>
        <w:rPr>
          <w:rFonts w:ascii="Bookman Old Style" w:eastAsia="Bookman Old Style" w:hAnsi="Bookman Old Style" w:cs="Bookman Old Style"/>
          <w:b/>
        </w:rPr>
        <w:t xml:space="preserve">REFERENCIAS </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rPr>
        <w:t>Arrizabalaga, M. (2017). Las edades del aprendizaje: todo a su tiempo. Por ABC Socie</w:t>
      </w:r>
      <w:r>
        <w:rPr>
          <w:rFonts w:ascii="Bookman Old Style" w:eastAsia="Bookman Old Style" w:hAnsi="Bookman Old Style" w:cs="Bookman Old Style"/>
        </w:rPr>
        <w:t xml:space="preserve">dad. Recuperado de: </w:t>
      </w:r>
      <w:hyperlink r:id="rId16">
        <w:r>
          <w:rPr>
            <w:rFonts w:ascii="Bookman Old Style" w:eastAsia="Bookman Old Style" w:hAnsi="Bookman Old Style" w:cs="Bookman Old Style"/>
            <w:color w:val="1155CC"/>
            <w:u w:val="single"/>
          </w:rPr>
          <w:t>https://www</w:t>
        </w:r>
        <w:r>
          <w:rPr>
            <w:rFonts w:ascii="Bookman Old Style" w:eastAsia="Bookman Old Style" w:hAnsi="Bookman Old Style" w:cs="Bookman Old Style"/>
            <w:color w:val="1155CC"/>
            <w:u w:val="single"/>
          </w:rPr>
          <w:t>.abc.es/sociedad/abci-edades-aprendizaje-todo-tiene-tiempo-201703012046_noticia.html?ref=https%3A%2F%2Fwww.abc.es%2Fsociedad%2Fabci-edades-aprendizaje-todo-tiene-tiempo-201703012046_noticia.html</w:t>
        </w:r>
      </w:hyperlink>
      <w:r>
        <w:rPr>
          <w:rFonts w:ascii="Bookman Old Style" w:eastAsia="Bookman Old Style" w:hAnsi="Bookman Old Style" w:cs="Bookman Old Style"/>
        </w:rPr>
        <w:t xml:space="preserve"> </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rPr>
        <w:t xml:space="preserve">Bernal, O. (2023). Colombia es el segundo país con mayor exposición al bullying. Por City. Recuperado de: </w:t>
      </w:r>
      <w:hyperlink r:id="rId17">
        <w:r>
          <w:rPr>
            <w:rFonts w:ascii="Bookman Old Style" w:eastAsia="Bookman Old Style" w:hAnsi="Bookman Old Style" w:cs="Bookman Old Style"/>
            <w:color w:val="1155CC"/>
            <w:u w:val="single"/>
          </w:rPr>
          <w:t>https://citytv.elt</w:t>
        </w:r>
        <w:r>
          <w:rPr>
            <w:rFonts w:ascii="Bookman Old Style" w:eastAsia="Bookman Old Style" w:hAnsi="Bookman Old Style" w:cs="Bookman Old Style"/>
            <w:color w:val="1155CC"/>
            <w:u w:val="single"/>
          </w:rPr>
          <w:t>iempo.com/noticias/nacional/colombia-es-el-segundo-pais-con-mayor-exposicion-al-bullying_59835</w:t>
        </w:r>
      </w:hyperlink>
      <w:r>
        <w:rPr>
          <w:rFonts w:ascii="Bookman Old Style" w:eastAsia="Bookman Old Style" w:hAnsi="Bookman Old Style" w:cs="Bookman Old Style"/>
        </w:rPr>
        <w:t xml:space="preserve"> </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rPr>
        <w:t xml:space="preserve">Bernal, I. (2022). Los colegios en Colombia son una fábrica de racismo. Por Las 2 Orillas. Recuperado de: </w:t>
      </w:r>
      <w:hyperlink r:id="rId18">
        <w:r>
          <w:rPr>
            <w:rFonts w:ascii="Bookman Old Style" w:eastAsia="Bookman Old Style" w:hAnsi="Bookman Old Style" w:cs="Bookman Old Style"/>
            <w:color w:val="1155CC"/>
            <w:u w:val="single"/>
          </w:rPr>
          <w:t>https://www.las2orillas.co/los-colegios-en-colombia-son-una-fabrica-de-racismo/</w:t>
        </w:r>
      </w:hyperlink>
      <w:r>
        <w:rPr>
          <w:rFonts w:ascii="Bookman Old Style" w:eastAsia="Bookman Old Style" w:hAnsi="Bookman Old Style" w:cs="Bookman Old Style"/>
        </w:rPr>
        <w:t xml:space="preserve"> </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rPr>
        <w:t xml:space="preserve">Cardona, H. (2014). Las vejaciones contra Sergio Urrego. Por Razón Pública. Recuperado de: </w:t>
      </w:r>
      <w:hyperlink r:id="rId19">
        <w:r>
          <w:rPr>
            <w:rFonts w:ascii="Bookman Old Style" w:eastAsia="Bookman Old Style" w:hAnsi="Bookman Old Style" w:cs="Bookman Old Style"/>
            <w:color w:val="1155CC"/>
            <w:u w:val="single"/>
          </w:rPr>
          <w:t>https://razonpublica.com/las-vejaciones-contra-sergio-urrego/</w:t>
        </w:r>
      </w:hyperlink>
      <w:r>
        <w:rPr>
          <w:rFonts w:ascii="Bookman Old Style" w:eastAsia="Bookman Old Style" w:hAnsi="Bookman Old Style" w:cs="Bookman Old Style"/>
        </w:rPr>
        <w:t xml:space="preserve"> </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rPr>
        <w:t xml:space="preserve">Centros para el control y la prevención de enfermedades. (2023). Desarrollo Infantil. Recuperado de: </w:t>
      </w:r>
      <w:hyperlink r:id="rId20" w:anchor=":~:text=En%20esta%20etapa%20desarrollan%20r%C3%A1pidamente,actividades%20escolares%20y%20los%20deportes">
        <w:r>
          <w:rPr>
            <w:rFonts w:ascii="Bookman Old Style" w:eastAsia="Bookman Old Style" w:hAnsi="Bookman Old Style" w:cs="Bookman Old Style"/>
            <w:color w:val="1155CC"/>
            <w:u w:val="single"/>
          </w:rPr>
          <w:t>https://www.cdc.gov/ncbddd/spanish/childdevelopment/positi</w:t>
        </w:r>
        <w:r>
          <w:rPr>
            <w:rFonts w:ascii="Bookman Old Style" w:eastAsia="Bookman Old Style" w:hAnsi="Bookman Old Style" w:cs="Bookman Old Style"/>
            <w:color w:val="1155CC"/>
            <w:u w:val="single"/>
          </w:rPr>
          <w:t>veparenting/middle.html#:~:text=En%20esta%20etapa%20desarrollan%20rápidamente,actividades%20escolares%20y%20los%20deportes</w:t>
        </w:r>
      </w:hyperlink>
      <w:r>
        <w:rPr>
          <w:rFonts w:ascii="Bookman Old Style" w:eastAsia="Bookman Old Style" w:hAnsi="Bookman Old Style" w:cs="Bookman Old Style"/>
        </w:rPr>
        <w:t xml:space="preserve">. </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rPr>
        <w:t xml:space="preserve">Colombia Diversa. (2016). Encuesta de Clima Escolar LGBT en Colombia 2016. Recuperado de: </w:t>
      </w:r>
      <w:hyperlink r:id="rId21">
        <w:r>
          <w:rPr>
            <w:rFonts w:ascii="Bookman Old Style" w:eastAsia="Bookman Old Style" w:hAnsi="Bookman Old Style" w:cs="Bookman Old Style"/>
            <w:color w:val="1155CC"/>
            <w:u w:val="single"/>
          </w:rPr>
          <w:t>https://colombiadiversa.org/colombiadiversa2016/wp-content/uploads/2016/11/IAE-Colombia-Web-FINAL-2.pdf</w:t>
        </w:r>
      </w:hyperlink>
      <w:r>
        <w:rPr>
          <w:rFonts w:ascii="Bookman Old Style" w:eastAsia="Bookman Old Style" w:hAnsi="Bookman Old Style" w:cs="Bookman Old Style"/>
        </w:rPr>
        <w:t xml:space="preserve"> </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rPr>
        <w:t>DNP. (2023). Bases del Plan Nacional de Desarrollo 2022-2026. Recup</w:t>
      </w:r>
      <w:r>
        <w:rPr>
          <w:rFonts w:ascii="Bookman Old Style" w:eastAsia="Bookman Old Style" w:hAnsi="Bookman Old Style" w:cs="Bookman Old Style"/>
        </w:rPr>
        <w:t xml:space="preserve">erado de: </w:t>
      </w:r>
      <w:hyperlink r:id="rId22">
        <w:r>
          <w:rPr>
            <w:rFonts w:ascii="Bookman Old Style" w:eastAsia="Bookman Old Style" w:hAnsi="Bookman Old Style" w:cs="Bookman Old Style"/>
            <w:color w:val="1155CC"/>
            <w:u w:val="single"/>
          </w:rPr>
          <w:t>https://colaboracion.dnp.gov.co/CDT/portalDNP/PND-2023/2023-05-04-bases-plan-nacional-de-inversiones-2022-2026.p</w:t>
        </w:r>
        <w:r>
          <w:rPr>
            <w:rFonts w:ascii="Bookman Old Style" w:eastAsia="Bookman Old Style" w:hAnsi="Bookman Old Style" w:cs="Bookman Old Style"/>
            <w:color w:val="1155CC"/>
            <w:u w:val="single"/>
          </w:rPr>
          <w:t>df</w:t>
        </w:r>
      </w:hyperlink>
      <w:r>
        <w:rPr>
          <w:rFonts w:ascii="Bookman Old Style" w:eastAsia="Bookman Old Style" w:hAnsi="Bookman Old Style" w:cs="Bookman Old Style"/>
        </w:rPr>
        <w:t xml:space="preserve"> </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rPr>
        <w:lastRenderedPageBreak/>
        <w:t xml:space="preserve">Ley 115 del 08 de febrero de 1994. Por la cual se expide la ley general de educación. Recuperado de: </w:t>
      </w:r>
      <w:hyperlink r:id="rId23">
        <w:r>
          <w:rPr>
            <w:rFonts w:ascii="Bookman Old Style" w:eastAsia="Bookman Old Style" w:hAnsi="Bookman Old Style" w:cs="Bookman Old Style"/>
            <w:color w:val="1155CC"/>
            <w:u w:val="single"/>
          </w:rPr>
          <w:t>https://www.mineducacion.gov.co/1621/articles-85906_archivo_pdf</w:t>
        </w:r>
        <w:r>
          <w:rPr>
            <w:rFonts w:ascii="Bookman Old Style" w:eastAsia="Bookman Old Style" w:hAnsi="Bookman Old Style" w:cs="Bookman Old Style"/>
            <w:color w:val="1155CC"/>
            <w:u w:val="single"/>
          </w:rPr>
          <w:t>.pdf</w:t>
        </w:r>
      </w:hyperlink>
      <w:r>
        <w:rPr>
          <w:rFonts w:ascii="Bookman Old Style" w:eastAsia="Bookman Old Style" w:hAnsi="Bookman Old Style" w:cs="Bookman Old Style"/>
        </w:rPr>
        <w:t xml:space="preserve"> </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rPr>
        <w:t xml:space="preserve">Ley 2281 de 2023. Recuperado de: </w:t>
      </w:r>
      <w:hyperlink r:id="rId24">
        <w:r>
          <w:rPr>
            <w:rFonts w:ascii="Bookman Old Style" w:eastAsia="Bookman Old Style" w:hAnsi="Bookman Old Style" w:cs="Bookman Old Style"/>
            <w:color w:val="1155CC"/>
            <w:u w:val="single"/>
          </w:rPr>
          <w:t>https://www.alcaldiabogota.gov.co/sisjur/normas/Norma1.jsp?dt=S&amp;i=132697</w:t>
        </w:r>
      </w:hyperlink>
      <w:r>
        <w:rPr>
          <w:rFonts w:ascii="Bookman Old Style" w:eastAsia="Bookman Old Style" w:hAnsi="Bookman Old Style" w:cs="Bookman Old Style"/>
        </w:rPr>
        <w:t xml:space="preserve"> </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rPr>
        <w:t>Ministerio de Tecnologías de la información y las</w:t>
      </w:r>
      <w:r>
        <w:rPr>
          <w:rFonts w:ascii="Bookman Old Style" w:eastAsia="Bookman Old Style" w:hAnsi="Bookman Old Style" w:cs="Bookman Old Style"/>
        </w:rPr>
        <w:t xml:space="preserve"> Comunicaciones. (2022). MinTic le dice no al acoso escolar y reafirma su compromiso para prevenir el ciberbullying. Recuperado de: </w:t>
      </w:r>
      <w:hyperlink r:id="rId25">
        <w:r>
          <w:rPr>
            <w:rFonts w:ascii="Bookman Old Style" w:eastAsia="Bookman Old Style" w:hAnsi="Bookman Old Style" w:cs="Bookman Old Style"/>
            <w:color w:val="1155CC"/>
            <w:u w:val="single"/>
          </w:rPr>
          <w:t>https://www.mintic.gov.co/chicassteam/80</w:t>
        </w:r>
        <w:r>
          <w:rPr>
            <w:rFonts w:ascii="Bookman Old Style" w:eastAsia="Bookman Old Style" w:hAnsi="Bookman Old Style" w:cs="Bookman Old Style"/>
            <w:color w:val="1155CC"/>
            <w:u w:val="single"/>
          </w:rPr>
          <w:t>1/w3-article-210272.html</w:t>
        </w:r>
      </w:hyperlink>
      <w:r>
        <w:rPr>
          <w:rFonts w:ascii="Bookman Old Style" w:eastAsia="Bookman Old Style" w:hAnsi="Bookman Old Style" w:cs="Bookman Old Style"/>
        </w:rPr>
        <w:t xml:space="preserve"> </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rPr>
        <w:t xml:space="preserve">OEA. (2019). Guía para la operacionalización de los Indicadores del Protocolo de San Salvador desde una Mirada Transversal LGBTI. Recuperado de: </w:t>
      </w:r>
      <w:hyperlink r:id="rId26">
        <w:r>
          <w:rPr>
            <w:rFonts w:ascii="Bookman Old Style" w:eastAsia="Bookman Old Style" w:hAnsi="Bookman Old Style" w:cs="Bookman Old Style"/>
            <w:color w:val="1155CC"/>
            <w:u w:val="single"/>
          </w:rPr>
          <w:t>http://www.oas.org/es/sadye/inclusion-social/protocolo-ssv/Guia_Operacionalizacion_Indicadores.pdf</w:t>
        </w:r>
      </w:hyperlink>
      <w:r>
        <w:rPr>
          <w:rFonts w:ascii="Bookman Old Style" w:eastAsia="Bookman Old Style" w:hAnsi="Bookman Old Style" w:cs="Bookman Old Style"/>
        </w:rPr>
        <w:t xml:space="preserve"> </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rPr>
        <w:t>Oviedo, D. (2017). 33 tipos de discriminación escolar. Analizando la violencia simbólica infantil desde la investigación</w:t>
      </w:r>
      <w:r>
        <w:rPr>
          <w:rFonts w:ascii="Bookman Old Style" w:eastAsia="Bookman Old Style" w:hAnsi="Bookman Old Style" w:cs="Bookman Old Style"/>
        </w:rPr>
        <w:t xml:space="preserve"> para la paz. Recuperado de: </w:t>
      </w:r>
      <w:hyperlink r:id="rId27">
        <w:r>
          <w:rPr>
            <w:rFonts w:ascii="Bookman Old Style" w:eastAsia="Bookman Old Style" w:hAnsi="Bookman Old Style" w:cs="Bookman Old Style"/>
            <w:color w:val="1155CC"/>
            <w:u w:val="single"/>
          </w:rPr>
          <w:t>https://www.inaes.edu.py/application/files/8315/9706/7551/Treinta_y_tres_tipos_de_discriminacion_es</w:t>
        </w:r>
        <w:r>
          <w:rPr>
            <w:rFonts w:ascii="Bookman Old Style" w:eastAsia="Bookman Old Style" w:hAnsi="Bookman Old Style" w:cs="Bookman Old Style"/>
            <w:color w:val="1155CC"/>
            <w:u w:val="single"/>
          </w:rPr>
          <w:t>colar.pdf</w:t>
        </w:r>
      </w:hyperlink>
      <w:r>
        <w:rPr>
          <w:rFonts w:ascii="Bookman Old Style" w:eastAsia="Bookman Old Style" w:hAnsi="Bookman Old Style" w:cs="Bookman Old Style"/>
        </w:rPr>
        <w:t xml:space="preserve"> </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rPr>
        <w:t xml:space="preserve">OAS. (s.f). Justificación de la intervención temprana. Recuperado de: </w:t>
      </w:r>
      <w:hyperlink r:id="rId28">
        <w:r>
          <w:rPr>
            <w:rFonts w:ascii="Bookman Old Style" w:eastAsia="Bookman Old Style" w:hAnsi="Bookman Old Style" w:cs="Bookman Old Style"/>
            <w:color w:val="1155CC"/>
            <w:u w:val="single"/>
          </w:rPr>
          <w:t>http://www.oas.org/udse/dit/cap1.htm</w:t>
        </w:r>
      </w:hyperlink>
      <w:r>
        <w:rPr>
          <w:rFonts w:ascii="Bookman Old Style" w:eastAsia="Bookman Old Style" w:hAnsi="Bookman Old Style" w:cs="Bookman Old Style"/>
        </w:rPr>
        <w:t xml:space="preserve"> </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rPr>
        <w:t>Organización para las Naciones Unidas. (s.f). Igualdad de género. Recuperado de</w:t>
      </w:r>
      <w:r>
        <w:rPr>
          <w:rFonts w:ascii="Bookman Old Style" w:eastAsia="Bookman Old Style" w:hAnsi="Bookman Old Style" w:cs="Bookman Old Style"/>
        </w:rPr>
        <w:t xml:space="preserve">: </w:t>
      </w:r>
      <w:hyperlink r:id="rId29" w:anchor=":~:text=La%20igualdad%20de%20g%C3%A9nero%2C%20adem%C3%A1s,productividad%20y%20el%20crecimiento%20econ%C3%B3mico">
        <w:r>
          <w:rPr>
            <w:rFonts w:ascii="Bookman Old Style" w:eastAsia="Bookman Old Style" w:hAnsi="Bookman Old Style" w:cs="Bookman Old Style"/>
            <w:color w:val="1155CC"/>
            <w:u w:val="single"/>
          </w:rPr>
          <w:t>https://www.un.org/es/global-issues/gender-equality#:~:text=La%20i</w:t>
        </w:r>
        <w:r>
          <w:rPr>
            <w:rFonts w:ascii="Bookman Old Style" w:eastAsia="Bookman Old Style" w:hAnsi="Bookman Old Style" w:cs="Bookman Old Style"/>
            <w:color w:val="1155CC"/>
            <w:u w:val="single"/>
          </w:rPr>
          <w:t>gualdad%20de%20género%2C%20además,productividad%20y%20el%20crecimiento%20económico</w:t>
        </w:r>
      </w:hyperlink>
      <w:r>
        <w:rPr>
          <w:rFonts w:ascii="Bookman Old Style" w:eastAsia="Bookman Old Style" w:hAnsi="Bookman Old Style" w:cs="Bookman Old Style"/>
        </w:rPr>
        <w:t xml:space="preserve">. </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rPr>
        <w:t xml:space="preserve">Sentencia T-478 de 2015. Recuperado de: </w:t>
      </w:r>
      <w:hyperlink r:id="rId30">
        <w:r>
          <w:rPr>
            <w:rFonts w:ascii="Bookman Old Style" w:eastAsia="Bookman Old Style" w:hAnsi="Bookman Old Style" w:cs="Bookman Old Style"/>
            <w:color w:val="1155CC"/>
            <w:u w:val="single"/>
          </w:rPr>
          <w:t>https://www.corteconstitucional.gov.co/relat</w:t>
        </w:r>
        <w:r>
          <w:rPr>
            <w:rFonts w:ascii="Bookman Old Style" w:eastAsia="Bookman Old Style" w:hAnsi="Bookman Old Style" w:cs="Bookman Old Style"/>
            <w:color w:val="1155CC"/>
            <w:u w:val="single"/>
          </w:rPr>
          <w:t>oria/2015/t-478-15.htm</w:t>
        </w:r>
      </w:hyperlink>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rPr>
        <w:t xml:space="preserve">Sentencia T-443 de 2020. Recuperado de: </w:t>
      </w:r>
      <w:hyperlink r:id="rId31">
        <w:r>
          <w:rPr>
            <w:rFonts w:ascii="Bookman Old Style" w:eastAsia="Bookman Old Style" w:hAnsi="Bookman Old Style" w:cs="Bookman Old Style"/>
            <w:color w:val="1155CC"/>
            <w:u w:val="single"/>
          </w:rPr>
          <w:t>https://www.corteconstitucional.gov.co/relatoria/2020/T-443-20.htm</w:t>
        </w:r>
      </w:hyperlink>
      <w:r>
        <w:rPr>
          <w:rFonts w:ascii="Bookman Old Style" w:eastAsia="Bookman Old Style" w:hAnsi="Bookman Old Style" w:cs="Bookman Old Style"/>
        </w:rPr>
        <w:t xml:space="preserve"> </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rPr>
        <w:t xml:space="preserve">Soriano, S. (2022). Hablemos sin tabues del bullying y el suicidio infantil que en Colombia se cobro 275 vidas en 2021. Por Caracol. Recuperado de: </w:t>
      </w:r>
      <w:hyperlink r:id="rId32" w:anchor="google_vignette">
        <w:r>
          <w:rPr>
            <w:rFonts w:ascii="Bookman Old Style" w:eastAsia="Bookman Old Style" w:hAnsi="Bookman Old Style" w:cs="Bookman Old Style"/>
            <w:color w:val="1155CC"/>
            <w:u w:val="single"/>
          </w:rPr>
          <w:t>https://noticias.caracoltv.com/salud/hablemos-sin-tabues-del-bullying-y-</w:t>
        </w:r>
        <w:r>
          <w:rPr>
            <w:rFonts w:ascii="Bookman Old Style" w:eastAsia="Bookman Old Style" w:hAnsi="Bookman Old Style" w:cs="Bookman Old Style"/>
            <w:color w:val="1155CC"/>
            <w:u w:val="single"/>
          </w:rPr>
          <w:lastRenderedPageBreak/>
          <w:t>el-suicidio-infantil-que-en-colombia-se-cobro-275-vidas-en-2021#google_vignette</w:t>
        </w:r>
      </w:hyperlink>
      <w:r>
        <w:rPr>
          <w:rFonts w:ascii="Bookman Old Style" w:eastAsia="Bookman Old Style" w:hAnsi="Bookman Old Style" w:cs="Bookman Old Style"/>
        </w:rPr>
        <w:t xml:space="preserve"> </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rPr>
        <w:t xml:space="preserve">UNICEF. (s.f). Igualdad de Género </w:t>
      </w:r>
      <w:r>
        <w:rPr>
          <w:rFonts w:ascii="Bookman Old Style" w:eastAsia="Bookman Old Style" w:hAnsi="Bookman Old Style" w:cs="Bookman Old Style"/>
        </w:rPr>
        <w:t xml:space="preserve">en Colombia. Recuperado de: </w:t>
      </w:r>
      <w:hyperlink r:id="rId33">
        <w:r>
          <w:rPr>
            <w:rFonts w:ascii="Bookman Old Style" w:eastAsia="Bookman Old Style" w:hAnsi="Bookman Old Style" w:cs="Bookman Old Style"/>
            <w:color w:val="1155CC"/>
            <w:u w:val="single"/>
          </w:rPr>
          <w:t>https://www.unicef.org/colombia/genero</w:t>
        </w:r>
      </w:hyperlink>
      <w:r>
        <w:rPr>
          <w:rFonts w:ascii="Bookman Old Style" w:eastAsia="Bookman Old Style" w:hAnsi="Bookman Old Style" w:cs="Bookman Old Style"/>
        </w:rPr>
        <w:t xml:space="preserve"> </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rPr>
        <w:t xml:space="preserve">UNICEF. (s.f). Ciberacoso: qué es y cómo detenerlo. Recuperado de: </w:t>
      </w:r>
      <w:hyperlink r:id="rId34" w:anchor=":~:text=Ciberacoso%20es%20acoso%20o%20intimidaci%C3%B3n,o%20humillar%20a%20otras%20personas">
        <w:r>
          <w:rPr>
            <w:rFonts w:ascii="Bookman Old Style" w:eastAsia="Bookman Old Style" w:hAnsi="Bookman Old Style" w:cs="Bookman Old Style"/>
            <w:color w:val="1155CC"/>
            <w:u w:val="single"/>
          </w:rPr>
          <w:t>https://www.unicef.org/es/end-violence/ciberacoso-que-es-y-como-detenerlo#:~:text=Ciberacoso%20es%20acoso%20o%20intimidación,o%2</w:t>
        </w:r>
        <w:r>
          <w:rPr>
            <w:rFonts w:ascii="Bookman Old Style" w:eastAsia="Bookman Old Style" w:hAnsi="Bookman Old Style" w:cs="Bookman Old Style"/>
            <w:color w:val="1155CC"/>
            <w:u w:val="single"/>
          </w:rPr>
          <w:t>0humillar%20a%20otras%20personas</w:t>
        </w:r>
      </w:hyperlink>
      <w:r>
        <w:rPr>
          <w:rFonts w:ascii="Bookman Old Style" w:eastAsia="Bookman Old Style" w:hAnsi="Bookman Old Style" w:cs="Bookman Old Style"/>
        </w:rPr>
        <w:t xml:space="preserve">. </w:t>
      </w:r>
    </w:p>
    <w:p w:rsidR="008A3E61" w:rsidRDefault="008A3E61">
      <w:pPr>
        <w:jc w:val="both"/>
        <w:rPr>
          <w:rFonts w:ascii="Bookman Old Style" w:eastAsia="Bookman Old Style" w:hAnsi="Bookman Old Style" w:cs="Bookman Old Style"/>
        </w:rPr>
      </w:pPr>
    </w:p>
    <w:p w:rsidR="008A3E61" w:rsidRDefault="00937B3B">
      <w:pPr>
        <w:jc w:val="both"/>
        <w:rPr>
          <w:rFonts w:ascii="Bookman Old Style" w:eastAsia="Bookman Old Style" w:hAnsi="Bookman Old Style" w:cs="Bookman Old Style"/>
        </w:rPr>
      </w:pPr>
      <w:r>
        <w:rPr>
          <w:rFonts w:ascii="Bookman Old Style" w:eastAsia="Bookman Old Style" w:hAnsi="Bookman Old Style" w:cs="Bookman Old Style"/>
        </w:rPr>
        <w:t xml:space="preserve">Valencia, C. (2022). Una historia que nunca deberia repetirse: la muerte de Drayke niño de 12 años victima de bullying. Por Caracol. Recuperado de: </w:t>
      </w:r>
      <w:hyperlink r:id="rId35">
        <w:r>
          <w:rPr>
            <w:rFonts w:ascii="Bookman Old Style" w:eastAsia="Bookman Old Style" w:hAnsi="Bookman Old Style" w:cs="Bookman Old Style"/>
            <w:color w:val="1155CC"/>
            <w:u w:val="single"/>
          </w:rPr>
          <w:t>https://noticias.caracoltv.com/mundo/una-historia-que-nunca-deberia-repetirse-la-muerte-de-drayke-nino-de-12-anos-victima-de-bullying</w:t>
        </w:r>
      </w:hyperlink>
      <w:r>
        <w:rPr>
          <w:rFonts w:ascii="Bookman Old Style" w:eastAsia="Bookman Old Style" w:hAnsi="Bookman Old Style" w:cs="Bookman Old Style"/>
        </w:rPr>
        <w:t xml:space="preserve"> </w:t>
      </w:r>
    </w:p>
    <w:p w:rsidR="008A3E61" w:rsidRDefault="008A3E61">
      <w:pPr>
        <w:tabs>
          <w:tab w:val="left" w:pos="7680"/>
        </w:tabs>
        <w:spacing w:line="276" w:lineRule="auto"/>
        <w:jc w:val="both"/>
        <w:rPr>
          <w:rFonts w:ascii="Bookman Old Style" w:eastAsia="Bookman Old Style" w:hAnsi="Bookman Old Style" w:cs="Bookman Old Style"/>
        </w:rPr>
      </w:pPr>
    </w:p>
    <w:p w:rsidR="008A3E61" w:rsidRDefault="00937B3B">
      <w:pPr>
        <w:tabs>
          <w:tab w:val="left" w:pos="7680"/>
        </w:tabs>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Cordialmente;</w:t>
      </w:r>
    </w:p>
    <w:tbl>
      <w:tblPr>
        <w:tblStyle w:val="a2"/>
        <w:tblW w:w="89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8"/>
        <w:gridCol w:w="4458"/>
      </w:tblGrid>
      <w:tr w:rsidR="008A3E61">
        <w:trPr>
          <w:trHeight w:val="1363"/>
        </w:trPr>
        <w:tc>
          <w:tcPr>
            <w:tcW w:w="4458" w:type="dxa"/>
          </w:tcPr>
          <w:p w:rsidR="008A3E61" w:rsidRDefault="008A3E61">
            <w:pPr>
              <w:jc w:val="center"/>
              <w:rPr>
                <w:rFonts w:ascii="Bookman Old Style" w:eastAsia="Bookman Old Style" w:hAnsi="Bookman Old Style" w:cs="Bookman Old Style"/>
                <w:b/>
                <w:sz w:val="22"/>
                <w:szCs w:val="22"/>
              </w:rPr>
            </w:pPr>
          </w:p>
          <w:p w:rsidR="008A3E61" w:rsidRDefault="008A3E61">
            <w:pPr>
              <w:jc w:val="center"/>
              <w:rPr>
                <w:rFonts w:ascii="Bookman Old Style" w:eastAsia="Bookman Old Style" w:hAnsi="Bookman Old Style" w:cs="Bookman Old Style"/>
                <w:b/>
                <w:sz w:val="22"/>
                <w:szCs w:val="22"/>
              </w:rPr>
            </w:pPr>
          </w:p>
          <w:p w:rsidR="008A3E61" w:rsidRDefault="008A3E61">
            <w:pPr>
              <w:jc w:val="center"/>
              <w:rPr>
                <w:rFonts w:ascii="Bookman Old Style" w:eastAsia="Bookman Old Style" w:hAnsi="Bookman Old Style" w:cs="Bookman Old Style"/>
                <w:b/>
                <w:sz w:val="22"/>
                <w:szCs w:val="22"/>
              </w:rPr>
            </w:pPr>
          </w:p>
          <w:p w:rsidR="008A3E61" w:rsidRDefault="008A3E61">
            <w:pPr>
              <w:jc w:val="center"/>
              <w:rPr>
                <w:rFonts w:ascii="Bookman Old Style" w:eastAsia="Bookman Old Style" w:hAnsi="Bookman Old Style" w:cs="Bookman Old Style"/>
                <w:b/>
                <w:sz w:val="22"/>
                <w:szCs w:val="22"/>
              </w:rPr>
            </w:pPr>
          </w:p>
          <w:p w:rsidR="008A3E61" w:rsidRDefault="00937B3B">
            <w:pPr>
              <w:jc w:val="center"/>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KARYME COTES MARTÍNEZ</w:t>
            </w:r>
          </w:p>
          <w:p w:rsidR="008A3E61" w:rsidRDefault="00937B3B">
            <w:pPr>
              <w:jc w:val="center"/>
              <w:rPr>
                <w:rFonts w:ascii="Bookman Old Style" w:eastAsia="Bookman Old Style" w:hAnsi="Bookman Old Style" w:cs="Bookman Old Style"/>
              </w:rPr>
            </w:pPr>
            <w:r>
              <w:rPr>
                <w:rFonts w:ascii="Bookman Old Style" w:eastAsia="Bookman Old Style" w:hAnsi="Bookman Old Style" w:cs="Bookman Old Style"/>
                <w:sz w:val="22"/>
                <w:szCs w:val="22"/>
              </w:rPr>
              <w:t>Representante a la Cámara</w:t>
            </w:r>
          </w:p>
        </w:tc>
        <w:tc>
          <w:tcPr>
            <w:tcW w:w="4458" w:type="dxa"/>
          </w:tcPr>
          <w:p w:rsidR="008A3E61" w:rsidRDefault="008A3E61">
            <w:pPr>
              <w:jc w:val="both"/>
              <w:rPr>
                <w:rFonts w:ascii="Bookman Old Style" w:eastAsia="Bookman Old Style" w:hAnsi="Bookman Old Style" w:cs="Bookman Old Style"/>
              </w:rPr>
            </w:pPr>
          </w:p>
        </w:tc>
      </w:tr>
      <w:tr w:rsidR="008A3E61">
        <w:trPr>
          <w:trHeight w:val="1439"/>
        </w:trPr>
        <w:tc>
          <w:tcPr>
            <w:tcW w:w="4458" w:type="dxa"/>
          </w:tcPr>
          <w:p w:rsidR="008A3E61" w:rsidRDefault="008A3E61">
            <w:pPr>
              <w:jc w:val="both"/>
              <w:rPr>
                <w:rFonts w:ascii="Bookman Old Style" w:eastAsia="Bookman Old Style" w:hAnsi="Bookman Old Style" w:cs="Bookman Old Style"/>
              </w:rPr>
            </w:pPr>
          </w:p>
        </w:tc>
        <w:tc>
          <w:tcPr>
            <w:tcW w:w="4458" w:type="dxa"/>
          </w:tcPr>
          <w:p w:rsidR="008A3E61" w:rsidRDefault="008A3E61">
            <w:pPr>
              <w:jc w:val="both"/>
              <w:rPr>
                <w:rFonts w:ascii="Bookman Old Style" w:eastAsia="Bookman Old Style" w:hAnsi="Bookman Old Style" w:cs="Bookman Old Style"/>
              </w:rPr>
            </w:pPr>
          </w:p>
        </w:tc>
      </w:tr>
      <w:tr w:rsidR="008A3E61">
        <w:trPr>
          <w:trHeight w:val="1363"/>
        </w:trPr>
        <w:tc>
          <w:tcPr>
            <w:tcW w:w="4458" w:type="dxa"/>
          </w:tcPr>
          <w:p w:rsidR="008A3E61" w:rsidRDefault="008A3E61">
            <w:pPr>
              <w:jc w:val="both"/>
              <w:rPr>
                <w:rFonts w:ascii="Bookman Old Style" w:eastAsia="Bookman Old Style" w:hAnsi="Bookman Old Style" w:cs="Bookman Old Style"/>
              </w:rPr>
            </w:pPr>
          </w:p>
        </w:tc>
        <w:tc>
          <w:tcPr>
            <w:tcW w:w="4458" w:type="dxa"/>
          </w:tcPr>
          <w:p w:rsidR="008A3E61" w:rsidRDefault="008A3E61">
            <w:pPr>
              <w:jc w:val="both"/>
              <w:rPr>
                <w:rFonts w:ascii="Bookman Old Style" w:eastAsia="Bookman Old Style" w:hAnsi="Bookman Old Style" w:cs="Bookman Old Style"/>
              </w:rPr>
            </w:pPr>
          </w:p>
        </w:tc>
      </w:tr>
      <w:tr w:rsidR="008A3E61">
        <w:trPr>
          <w:trHeight w:val="1439"/>
        </w:trPr>
        <w:tc>
          <w:tcPr>
            <w:tcW w:w="4458" w:type="dxa"/>
          </w:tcPr>
          <w:p w:rsidR="008A3E61" w:rsidRDefault="008A3E61">
            <w:pPr>
              <w:jc w:val="both"/>
              <w:rPr>
                <w:rFonts w:ascii="Bookman Old Style" w:eastAsia="Bookman Old Style" w:hAnsi="Bookman Old Style" w:cs="Bookman Old Style"/>
              </w:rPr>
            </w:pPr>
          </w:p>
        </w:tc>
        <w:tc>
          <w:tcPr>
            <w:tcW w:w="4458" w:type="dxa"/>
          </w:tcPr>
          <w:p w:rsidR="008A3E61" w:rsidRDefault="008A3E61">
            <w:pPr>
              <w:jc w:val="both"/>
              <w:rPr>
                <w:rFonts w:ascii="Bookman Old Style" w:eastAsia="Bookman Old Style" w:hAnsi="Bookman Old Style" w:cs="Bookman Old Style"/>
              </w:rPr>
            </w:pPr>
          </w:p>
        </w:tc>
      </w:tr>
      <w:tr w:rsidR="008A3E61">
        <w:trPr>
          <w:trHeight w:val="1363"/>
        </w:trPr>
        <w:tc>
          <w:tcPr>
            <w:tcW w:w="4458" w:type="dxa"/>
          </w:tcPr>
          <w:p w:rsidR="008A3E61" w:rsidRDefault="008A3E61">
            <w:pPr>
              <w:jc w:val="both"/>
              <w:rPr>
                <w:rFonts w:ascii="Bookman Old Style" w:eastAsia="Bookman Old Style" w:hAnsi="Bookman Old Style" w:cs="Bookman Old Style"/>
              </w:rPr>
            </w:pPr>
          </w:p>
        </w:tc>
        <w:tc>
          <w:tcPr>
            <w:tcW w:w="4458" w:type="dxa"/>
          </w:tcPr>
          <w:p w:rsidR="008A3E61" w:rsidRDefault="008A3E61">
            <w:pPr>
              <w:jc w:val="both"/>
              <w:rPr>
                <w:rFonts w:ascii="Bookman Old Style" w:eastAsia="Bookman Old Style" w:hAnsi="Bookman Old Style" w:cs="Bookman Old Style"/>
              </w:rPr>
            </w:pPr>
          </w:p>
        </w:tc>
      </w:tr>
      <w:tr w:rsidR="008A3E61">
        <w:trPr>
          <w:trHeight w:val="1439"/>
        </w:trPr>
        <w:tc>
          <w:tcPr>
            <w:tcW w:w="4458" w:type="dxa"/>
          </w:tcPr>
          <w:p w:rsidR="008A3E61" w:rsidRDefault="008A3E61">
            <w:pPr>
              <w:jc w:val="both"/>
              <w:rPr>
                <w:rFonts w:ascii="Bookman Old Style" w:eastAsia="Bookman Old Style" w:hAnsi="Bookman Old Style" w:cs="Bookman Old Style"/>
              </w:rPr>
            </w:pPr>
          </w:p>
        </w:tc>
        <w:tc>
          <w:tcPr>
            <w:tcW w:w="4458" w:type="dxa"/>
          </w:tcPr>
          <w:p w:rsidR="008A3E61" w:rsidRDefault="008A3E61">
            <w:pPr>
              <w:jc w:val="both"/>
              <w:rPr>
                <w:rFonts w:ascii="Bookman Old Style" w:eastAsia="Bookman Old Style" w:hAnsi="Bookman Old Style" w:cs="Bookman Old Style"/>
              </w:rPr>
            </w:pPr>
          </w:p>
        </w:tc>
      </w:tr>
      <w:tr w:rsidR="008A3E61">
        <w:trPr>
          <w:trHeight w:val="1363"/>
        </w:trPr>
        <w:tc>
          <w:tcPr>
            <w:tcW w:w="4458" w:type="dxa"/>
          </w:tcPr>
          <w:p w:rsidR="008A3E61" w:rsidRDefault="008A3E61">
            <w:pPr>
              <w:jc w:val="both"/>
              <w:rPr>
                <w:rFonts w:ascii="Bookman Old Style" w:eastAsia="Bookman Old Style" w:hAnsi="Bookman Old Style" w:cs="Bookman Old Style"/>
              </w:rPr>
            </w:pPr>
          </w:p>
        </w:tc>
        <w:tc>
          <w:tcPr>
            <w:tcW w:w="4458" w:type="dxa"/>
          </w:tcPr>
          <w:p w:rsidR="008A3E61" w:rsidRDefault="008A3E61">
            <w:pPr>
              <w:jc w:val="both"/>
              <w:rPr>
                <w:rFonts w:ascii="Bookman Old Style" w:eastAsia="Bookman Old Style" w:hAnsi="Bookman Old Style" w:cs="Bookman Old Style"/>
              </w:rPr>
            </w:pPr>
          </w:p>
        </w:tc>
      </w:tr>
      <w:tr w:rsidR="008A3E61">
        <w:trPr>
          <w:trHeight w:val="1363"/>
        </w:trPr>
        <w:tc>
          <w:tcPr>
            <w:tcW w:w="4458" w:type="dxa"/>
          </w:tcPr>
          <w:p w:rsidR="008A3E61" w:rsidRDefault="008A3E61">
            <w:pPr>
              <w:jc w:val="both"/>
              <w:rPr>
                <w:rFonts w:ascii="Bookman Old Style" w:eastAsia="Bookman Old Style" w:hAnsi="Bookman Old Style" w:cs="Bookman Old Style"/>
              </w:rPr>
            </w:pPr>
          </w:p>
        </w:tc>
        <w:tc>
          <w:tcPr>
            <w:tcW w:w="4458" w:type="dxa"/>
          </w:tcPr>
          <w:p w:rsidR="008A3E61" w:rsidRDefault="008A3E61">
            <w:pPr>
              <w:jc w:val="both"/>
              <w:rPr>
                <w:rFonts w:ascii="Bookman Old Style" w:eastAsia="Bookman Old Style" w:hAnsi="Bookman Old Style" w:cs="Bookman Old Style"/>
              </w:rPr>
            </w:pPr>
          </w:p>
        </w:tc>
      </w:tr>
    </w:tbl>
    <w:p w:rsidR="008A3E61" w:rsidRDefault="008A3E61">
      <w:pPr>
        <w:rPr>
          <w:rFonts w:ascii="Bookman Old Style" w:eastAsia="Bookman Old Style" w:hAnsi="Bookman Old Style" w:cs="Bookman Old Style"/>
        </w:rPr>
      </w:pPr>
    </w:p>
    <w:p w:rsidR="008A3E61" w:rsidRDefault="008A3E61">
      <w:pPr>
        <w:rPr>
          <w:rFonts w:ascii="Bookman Old Style" w:eastAsia="Bookman Old Style" w:hAnsi="Bookman Old Style" w:cs="Bookman Old Style"/>
        </w:rPr>
      </w:pPr>
    </w:p>
    <w:sectPr w:rsidR="008A3E61">
      <w:headerReference w:type="default" r:id="rId36"/>
      <w:footerReference w:type="default" r:id="rId37"/>
      <w:pgSz w:w="12240" w:h="15840"/>
      <w:pgMar w:top="851" w:right="1701" w:bottom="1417" w:left="1701" w:header="708" w:footer="65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B3B" w:rsidRDefault="00937B3B">
      <w:r>
        <w:separator/>
      </w:r>
    </w:p>
  </w:endnote>
  <w:endnote w:type="continuationSeparator" w:id="0">
    <w:p w:rsidR="00937B3B" w:rsidRDefault="00937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roman"/>
    <w:notTrueType/>
    <w:pitch w:val="default"/>
  </w:font>
  <w:font w:name="Georgia">
    <w:panose1 w:val="02040502050405020303"/>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E61" w:rsidRDefault="00937B3B">
    <w:pPr>
      <w:pBdr>
        <w:top w:val="nil"/>
        <w:left w:val="nil"/>
        <w:bottom w:val="nil"/>
        <w:right w:val="nil"/>
        <w:between w:val="nil"/>
      </w:pBdr>
      <w:tabs>
        <w:tab w:val="center" w:pos="4419"/>
        <w:tab w:val="right" w:pos="8838"/>
      </w:tabs>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Cra 7ª N° 8 – 68 Edf. Nuevo del Congreso</w:t>
    </w:r>
  </w:p>
  <w:p w:rsidR="008A3E61" w:rsidRDefault="00937B3B">
    <w:pPr>
      <w:pBdr>
        <w:top w:val="nil"/>
        <w:left w:val="nil"/>
        <w:bottom w:val="nil"/>
        <w:right w:val="nil"/>
        <w:between w:val="nil"/>
      </w:pBdr>
      <w:tabs>
        <w:tab w:val="center" w:pos="4419"/>
        <w:tab w:val="right" w:pos="8838"/>
      </w:tabs>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PBX: 6013904050 Ext. 3371- 3372</w:t>
    </w:r>
  </w:p>
  <w:p w:rsidR="008A3E61" w:rsidRDefault="00937B3B">
    <w:pPr>
      <w:pBdr>
        <w:top w:val="nil"/>
        <w:left w:val="nil"/>
        <w:bottom w:val="nil"/>
        <w:right w:val="nil"/>
        <w:between w:val="nil"/>
      </w:pBdr>
      <w:tabs>
        <w:tab w:val="center" w:pos="4419"/>
        <w:tab w:val="right" w:pos="8838"/>
      </w:tabs>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Bogotá D.C.</w:t>
    </w:r>
  </w:p>
  <w:p w:rsidR="008A3E61" w:rsidRDefault="00937B3B">
    <w:pPr>
      <w:pBdr>
        <w:top w:val="nil"/>
        <w:left w:val="nil"/>
        <w:bottom w:val="nil"/>
        <w:right w:val="nil"/>
        <w:between w:val="nil"/>
      </w:pBdr>
      <w:tabs>
        <w:tab w:val="center" w:pos="4419"/>
        <w:tab w:val="right" w:pos="8838"/>
      </w:tabs>
      <w:ind w:left="720"/>
      <w:rPr>
        <w:rFonts w:ascii="Century Gothic" w:eastAsia="Century Gothic" w:hAnsi="Century Gothic" w:cs="Century Gothic"/>
        <w:color w:val="000000"/>
        <w:sz w:val="18"/>
        <w:szCs w:val="18"/>
      </w:rPr>
    </w:pPr>
    <w:r>
      <w:rPr>
        <w:noProof/>
        <w:color w:val="000000"/>
        <w:sz w:val="18"/>
        <w:szCs w:val="18"/>
      </w:rPr>
      <w:drawing>
        <wp:inline distT="0" distB="0" distL="0" distR="0">
          <wp:extent cx="152400" cy="123825"/>
          <wp:effectExtent l="0" t="0" r="0" b="0"/>
          <wp:docPr id="30" name="image2.png" descr="Icono Correo Electrónico Negro Simple PNG transparente - StickPNG"/>
          <wp:cNvGraphicFramePr/>
          <a:graphic xmlns:a="http://schemas.openxmlformats.org/drawingml/2006/main">
            <a:graphicData uri="http://schemas.openxmlformats.org/drawingml/2006/picture">
              <pic:pic xmlns:pic="http://schemas.openxmlformats.org/drawingml/2006/picture">
                <pic:nvPicPr>
                  <pic:cNvPr id="0" name="image2.png" descr="Icono Correo Electrónico Negro Simple PNG transparente - StickPNG"/>
                  <pic:cNvPicPr preferRelativeResize="0"/>
                </pic:nvPicPr>
                <pic:blipFill>
                  <a:blip r:embed="rId1"/>
                  <a:srcRect l="18336" t="25591" r="18349" b="25770"/>
                  <a:stretch>
                    <a:fillRect/>
                  </a:stretch>
                </pic:blipFill>
                <pic:spPr>
                  <a:xfrm>
                    <a:off x="0" y="0"/>
                    <a:ext cx="152400" cy="123825"/>
                  </a:xfrm>
                  <a:prstGeom prst="rect">
                    <a:avLst/>
                  </a:prstGeom>
                  <a:ln/>
                </pic:spPr>
              </pic:pic>
            </a:graphicData>
          </a:graphic>
        </wp:inline>
      </w:drawing>
    </w:r>
    <w:r>
      <w:rPr>
        <w:color w:val="000000"/>
        <w:sz w:val="18"/>
        <w:szCs w:val="18"/>
      </w:rPr>
      <w:t xml:space="preserve"> </w:t>
    </w:r>
    <w:r>
      <w:rPr>
        <w:rFonts w:ascii="Century Gothic" w:eastAsia="Century Gothic" w:hAnsi="Century Gothic" w:cs="Century Gothic"/>
        <w:color w:val="000000"/>
        <w:sz w:val="18"/>
        <w:szCs w:val="18"/>
      </w:rPr>
      <w:t xml:space="preserve">karyme.cotes@camara.gov.co   </w:t>
    </w:r>
    <w:r>
      <w:rPr>
        <w:rFonts w:ascii="Century Gothic" w:eastAsia="Century Gothic" w:hAnsi="Century Gothic" w:cs="Century Gothic"/>
        <w:noProof/>
        <w:color w:val="000000"/>
        <w:sz w:val="18"/>
        <w:szCs w:val="18"/>
      </w:rPr>
      <w:drawing>
        <wp:inline distT="0" distB="0" distL="0" distR="0">
          <wp:extent cx="113158" cy="113158"/>
          <wp:effectExtent l="0" t="0" r="0" b="0"/>
          <wp:docPr id="33" name="image8.png" descr="Logotipo de instagram - Iconos gratis de social"/>
          <wp:cNvGraphicFramePr/>
          <a:graphic xmlns:a="http://schemas.openxmlformats.org/drawingml/2006/main">
            <a:graphicData uri="http://schemas.openxmlformats.org/drawingml/2006/picture">
              <pic:pic xmlns:pic="http://schemas.openxmlformats.org/drawingml/2006/picture">
                <pic:nvPicPr>
                  <pic:cNvPr id="0" name="image8.png" descr="Logotipo de instagram - Iconos gratis de social"/>
                  <pic:cNvPicPr preferRelativeResize="0"/>
                </pic:nvPicPr>
                <pic:blipFill>
                  <a:blip r:embed="rId2"/>
                  <a:srcRect/>
                  <a:stretch>
                    <a:fillRect/>
                  </a:stretch>
                </pic:blipFill>
                <pic:spPr>
                  <a:xfrm>
                    <a:off x="0" y="0"/>
                    <a:ext cx="113158" cy="113158"/>
                  </a:xfrm>
                  <a:prstGeom prst="rect">
                    <a:avLst/>
                  </a:prstGeom>
                  <a:ln/>
                </pic:spPr>
              </pic:pic>
            </a:graphicData>
          </a:graphic>
        </wp:inline>
      </w:drawing>
    </w:r>
    <w:r>
      <w:rPr>
        <w:rFonts w:ascii="Century Gothic" w:eastAsia="Century Gothic" w:hAnsi="Century Gothic" w:cs="Century Gothic"/>
        <w:color w:val="000000"/>
        <w:sz w:val="18"/>
        <w:szCs w:val="18"/>
      </w:rPr>
      <w:t xml:space="preserve"> @karymecotes   </w:t>
    </w:r>
    <w:r>
      <w:rPr>
        <w:rFonts w:ascii="Century Gothic" w:eastAsia="Century Gothic" w:hAnsi="Century Gothic" w:cs="Century Gothic"/>
        <w:noProof/>
        <w:color w:val="000000"/>
        <w:sz w:val="18"/>
        <w:szCs w:val="18"/>
      </w:rPr>
      <w:drawing>
        <wp:inline distT="0" distB="0" distL="0" distR="0">
          <wp:extent cx="109323" cy="108849"/>
          <wp:effectExtent l="0" t="0" r="0" b="0"/>
          <wp:docPr id="32" name="image10.png" descr="face.png — Câmara Municipal de Vereadores"/>
          <wp:cNvGraphicFramePr/>
          <a:graphic xmlns:a="http://schemas.openxmlformats.org/drawingml/2006/main">
            <a:graphicData uri="http://schemas.openxmlformats.org/drawingml/2006/picture">
              <pic:pic xmlns:pic="http://schemas.openxmlformats.org/drawingml/2006/picture">
                <pic:nvPicPr>
                  <pic:cNvPr id="0" name="image10.png" descr="face.png — Câmara Municipal de Vereadores"/>
                  <pic:cNvPicPr preferRelativeResize="0"/>
                </pic:nvPicPr>
                <pic:blipFill>
                  <a:blip r:embed="rId3"/>
                  <a:srcRect l="5458" t="5722" r="5329" b="5454"/>
                  <a:stretch>
                    <a:fillRect/>
                  </a:stretch>
                </pic:blipFill>
                <pic:spPr>
                  <a:xfrm>
                    <a:off x="0" y="0"/>
                    <a:ext cx="109323" cy="108849"/>
                  </a:xfrm>
                  <a:prstGeom prst="rect">
                    <a:avLst/>
                  </a:prstGeom>
                  <a:ln/>
                </pic:spPr>
              </pic:pic>
            </a:graphicData>
          </a:graphic>
        </wp:inline>
      </w:drawing>
    </w:r>
    <w:r>
      <w:rPr>
        <w:rFonts w:ascii="Century Gothic" w:eastAsia="Century Gothic" w:hAnsi="Century Gothic" w:cs="Century Gothic"/>
        <w:color w:val="000000"/>
        <w:sz w:val="18"/>
        <w:szCs w:val="18"/>
      </w:rPr>
      <w:t xml:space="preserve"> Karyme Cotes   </w:t>
    </w:r>
    <w:r>
      <w:rPr>
        <w:noProof/>
        <w:color w:val="000000"/>
      </w:rPr>
      <w:drawing>
        <wp:inline distT="0" distB="0" distL="0" distR="0">
          <wp:extent cx="144229" cy="143945"/>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144229" cy="143945"/>
                  </a:xfrm>
                  <a:prstGeom prst="rect">
                    <a:avLst/>
                  </a:prstGeom>
                  <a:ln/>
                </pic:spPr>
              </pic:pic>
            </a:graphicData>
          </a:graphic>
        </wp:inline>
      </w:drawing>
    </w:r>
    <w:r>
      <w:rPr>
        <w:rFonts w:ascii="Century Gothic" w:eastAsia="Century Gothic" w:hAnsi="Century Gothic" w:cs="Century Gothic"/>
        <w:color w:val="000000"/>
        <w:sz w:val="18"/>
        <w:szCs w:val="18"/>
      </w:rPr>
      <w:t xml:space="preserve"> @coteskaryme</w:t>
    </w:r>
  </w:p>
  <w:p w:rsidR="008A3E61" w:rsidRDefault="008A3E6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B3B" w:rsidRDefault="00937B3B">
      <w:r>
        <w:separator/>
      </w:r>
    </w:p>
  </w:footnote>
  <w:footnote w:type="continuationSeparator" w:id="0">
    <w:p w:rsidR="00937B3B" w:rsidRDefault="00937B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E61" w:rsidRDefault="00937B3B">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336.05pt;height:189pt;z-index:-251658752;mso-position-horizontal:center;mso-position-horizontal-relative:margin;mso-position-vertical:center;mso-position-vertical-relative:margin">
          <v:imagedata r:id="rId1" o:title="image4"/>
          <w10:wrap anchorx="margin" anchory="margin"/>
        </v:shape>
      </w:pict>
    </w:r>
    <w:r>
      <w:rPr>
        <w:noProof/>
        <w:color w:val="000000"/>
      </w:rPr>
      <w:drawing>
        <wp:inline distT="0" distB="0" distL="0" distR="0">
          <wp:extent cx="2482613" cy="724789"/>
          <wp:effectExtent l="0" t="0" r="0" b="0"/>
          <wp:docPr id="29" name="image3.png" descr="Inicio"/>
          <wp:cNvGraphicFramePr/>
          <a:graphic xmlns:a="http://schemas.openxmlformats.org/drawingml/2006/main">
            <a:graphicData uri="http://schemas.openxmlformats.org/drawingml/2006/picture">
              <pic:pic xmlns:pic="http://schemas.openxmlformats.org/drawingml/2006/picture">
                <pic:nvPicPr>
                  <pic:cNvPr id="0" name="image3.png" descr="Inicio"/>
                  <pic:cNvPicPr preferRelativeResize="0"/>
                </pic:nvPicPr>
                <pic:blipFill>
                  <a:blip r:embed="rId2"/>
                  <a:srcRect t="1136"/>
                  <a:stretch>
                    <a:fillRect/>
                  </a:stretch>
                </pic:blipFill>
                <pic:spPr>
                  <a:xfrm>
                    <a:off x="0" y="0"/>
                    <a:ext cx="2482613" cy="724789"/>
                  </a:xfrm>
                  <a:prstGeom prst="rect">
                    <a:avLst/>
                  </a:prstGeom>
                  <a:ln/>
                </pic:spPr>
              </pic:pic>
            </a:graphicData>
          </a:graphic>
        </wp:inline>
      </w:drawing>
    </w:r>
    <w:r>
      <w:rPr>
        <w:color w:val="000000"/>
      </w:rPr>
      <w:t xml:space="preserve">            </w:t>
    </w:r>
    <w:r>
      <w:rPr>
        <w:noProof/>
        <w:color w:val="000000"/>
      </w:rPr>
      <w:drawing>
        <wp:inline distT="0" distB="0" distL="0" distR="0">
          <wp:extent cx="2308855" cy="736536"/>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2308855" cy="736536"/>
                  </a:xfrm>
                  <a:prstGeom prst="rect">
                    <a:avLst/>
                  </a:prstGeom>
                  <a:ln/>
                </pic:spPr>
              </pic:pic>
            </a:graphicData>
          </a:graphic>
        </wp:inline>
      </w:drawing>
    </w:r>
  </w:p>
  <w:p w:rsidR="008A3E61" w:rsidRDefault="00937B3B">
    <w:pPr>
      <w:pBdr>
        <w:top w:val="nil"/>
        <w:left w:val="nil"/>
        <w:bottom w:val="nil"/>
        <w:right w:val="nil"/>
        <w:between w:val="nil"/>
      </w:pBdr>
      <w:tabs>
        <w:tab w:val="center" w:pos="4419"/>
        <w:tab w:val="right" w:pos="8838"/>
      </w:tabs>
      <w:jc w:val="center"/>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F0A6A"/>
    <w:multiLevelType w:val="multilevel"/>
    <w:tmpl w:val="5FC47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840D31"/>
    <w:multiLevelType w:val="multilevel"/>
    <w:tmpl w:val="AA947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BC674C"/>
    <w:multiLevelType w:val="multilevel"/>
    <w:tmpl w:val="138645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8562B8D"/>
    <w:multiLevelType w:val="multilevel"/>
    <w:tmpl w:val="0D9A0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6C008E"/>
    <w:multiLevelType w:val="multilevel"/>
    <w:tmpl w:val="CD363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B3701D"/>
    <w:multiLevelType w:val="multilevel"/>
    <w:tmpl w:val="D5EA1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2D4F4E"/>
    <w:multiLevelType w:val="multilevel"/>
    <w:tmpl w:val="78B06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3844FD"/>
    <w:multiLevelType w:val="multilevel"/>
    <w:tmpl w:val="C6C03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7C03196"/>
    <w:multiLevelType w:val="multilevel"/>
    <w:tmpl w:val="03460C7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C573E30"/>
    <w:multiLevelType w:val="multilevel"/>
    <w:tmpl w:val="E1EA7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2A62D7"/>
    <w:multiLevelType w:val="multilevel"/>
    <w:tmpl w:val="210C1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D448B4"/>
    <w:multiLevelType w:val="multilevel"/>
    <w:tmpl w:val="B1025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7"/>
  </w:num>
  <w:num w:numId="3">
    <w:abstractNumId w:val="8"/>
  </w:num>
  <w:num w:numId="4">
    <w:abstractNumId w:val="4"/>
  </w:num>
  <w:num w:numId="5">
    <w:abstractNumId w:val="3"/>
  </w:num>
  <w:num w:numId="6">
    <w:abstractNumId w:val="6"/>
  </w:num>
  <w:num w:numId="7">
    <w:abstractNumId w:val="0"/>
  </w:num>
  <w:num w:numId="8">
    <w:abstractNumId w:val="5"/>
  </w:num>
  <w:num w:numId="9">
    <w:abstractNumId w:val="10"/>
  </w:num>
  <w:num w:numId="10">
    <w:abstractNumId w:val="11"/>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E61"/>
    <w:rsid w:val="008A3E61"/>
    <w:rsid w:val="00937B3B"/>
    <w:rsid w:val="00F67EE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A61F227"/>
  <w15:docId w15:val="{11223C08-FBA8-459B-B2DC-6A3471F27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39C"/>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uiPriority w:val="39"/>
    <w:rsid w:val="005C03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C039C"/>
    <w:pPr>
      <w:tabs>
        <w:tab w:val="center" w:pos="4419"/>
        <w:tab w:val="right" w:pos="8838"/>
      </w:tabs>
    </w:pPr>
  </w:style>
  <w:style w:type="character" w:customStyle="1" w:styleId="EncabezadoCar">
    <w:name w:val="Encabezado Car"/>
    <w:basedOn w:val="Fuentedeprrafopredeter"/>
    <w:link w:val="Encabezado"/>
    <w:uiPriority w:val="99"/>
    <w:rsid w:val="005C039C"/>
    <w:rPr>
      <w:rFonts w:ascii="Calibri" w:eastAsia="Calibri" w:hAnsi="Calibri" w:cs="Calibri"/>
      <w:sz w:val="24"/>
      <w:szCs w:val="24"/>
      <w:lang w:eastAsia="es-CO"/>
    </w:rPr>
  </w:style>
  <w:style w:type="paragraph" w:styleId="Piedepgina">
    <w:name w:val="footer"/>
    <w:basedOn w:val="Normal"/>
    <w:link w:val="PiedepginaCar"/>
    <w:uiPriority w:val="99"/>
    <w:unhideWhenUsed/>
    <w:rsid w:val="005C039C"/>
    <w:pPr>
      <w:tabs>
        <w:tab w:val="center" w:pos="4419"/>
        <w:tab w:val="right" w:pos="8838"/>
      </w:tabs>
    </w:pPr>
  </w:style>
  <w:style w:type="character" w:customStyle="1" w:styleId="PiedepginaCar">
    <w:name w:val="Pie de página Car"/>
    <w:basedOn w:val="Fuentedeprrafopredeter"/>
    <w:link w:val="Piedepgina"/>
    <w:uiPriority w:val="99"/>
    <w:rsid w:val="005C039C"/>
    <w:rPr>
      <w:rFonts w:ascii="Calibri" w:eastAsia="Calibri" w:hAnsi="Calibri" w:cs="Calibri"/>
      <w:sz w:val="24"/>
      <w:szCs w:val="24"/>
      <w:lang w:eastAsia="es-CO"/>
    </w:rPr>
  </w:style>
  <w:style w:type="paragraph" w:styleId="Sinespaciado">
    <w:name w:val="No Spacing"/>
    <w:uiPriority w:val="1"/>
    <w:qFormat/>
    <w:rsid w:val="005C039C"/>
  </w:style>
  <w:style w:type="paragraph" w:styleId="NormalWeb">
    <w:name w:val="Normal (Web)"/>
    <w:basedOn w:val="Normal"/>
    <w:uiPriority w:val="99"/>
    <w:semiHidden/>
    <w:unhideWhenUsed/>
    <w:rsid w:val="005C039C"/>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semiHidden/>
    <w:rsid w:val="005C039C"/>
    <w:pPr>
      <w:widowControl w:val="0"/>
      <w:overflowPunct w:val="0"/>
      <w:autoSpaceDE w:val="0"/>
      <w:autoSpaceDN w:val="0"/>
      <w:adjustRightInd w:val="0"/>
      <w:jc w:val="both"/>
      <w:textAlignment w:val="baseline"/>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C039C"/>
    <w:rPr>
      <w:rFonts w:ascii="Times New Roman" w:eastAsia="Times New Roman" w:hAnsi="Times New Roman" w:cs="Times New Roman"/>
      <w:sz w:val="20"/>
      <w:szCs w:val="20"/>
      <w:lang w:val="es-ES_tradnl" w:eastAsia="es-ES"/>
    </w:rPr>
  </w:style>
  <w:style w:type="character" w:styleId="Refdenotaalpie">
    <w:name w:val="footnote reference"/>
    <w:basedOn w:val="Fuentedeprrafopredeter"/>
    <w:uiPriority w:val="99"/>
    <w:semiHidden/>
    <w:rsid w:val="005C039C"/>
    <w:rPr>
      <w:rFonts w:cs="Times New Roman"/>
      <w:vertAlign w:val="superscript"/>
    </w:rPr>
  </w:style>
  <w:style w:type="paragraph" w:customStyle="1" w:styleId="Default">
    <w:name w:val="Default"/>
    <w:rsid w:val="005C039C"/>
    <w:pPr>
      <w:autoSpaceDE w:val="0"/>
      <w:autoSpaceDN w:val="0"/>
      <w:adjustRightInd w:val="0"/>
    </w:pPr>
    <w:rPr>
      <w:rFonts w:ascii="Times New Roman" w:hAnsi="Times New Roman" w:cs="Times New Roman"/>
      <w:color w:val="000000"/>
    </w:rPr>
  </w:style>
  <w:style w:type="paragraph" w:styleId="Prrafodelista">
    <w:name w:val="List Paragraph"/>
    <w:basedOn w:val="Normal"/>
    <w:uiPriority w:val="34"/>
    <w:qFormat/>
    <w:rsid w:val="005C039C"/>
    <w:pPr>
      <w:spacing w:after="160" w:line="259" w:lineRule="auto"/>
      <w:ind w:left="720"/>
      <w:contextualSpacing/>
    </w:pPr>
    <w:rPr>
      <w:sz w:val="22"/>
      <w:szCs w:val="22"/>
    </w:rPr>
  </w:style>
  <w:style w:type="paragraph" w:styleId="Textodeglobo">
    <w:name w:val="Balloon Text"/>
    <w:basedOn w:val="Normal"/>
    <w:link w:val="TextodegloboCar"/>
    <w:uiPriority w:val="99"/>
    <w:semiHidden/>
    <w:unhideWhenUsed/>
    <w:rsid w:val="005C039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039C"/>
    <w:rPr>
      <w:rFonts w:ascii="Segoe UI" w:eastAsia="Calibri" w:hAnsi="Segoe UI" w:cs="Segoe UI"/>
      <w:sz w:val="18"/>
      <w:szCs w:val="18"/>
      <w:lang w:eastAsia="es-CO"/>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e.uma.es/contenidos/ficha_personal.action?id=895" TargetMode="External"/><Relationship Id="rId18" Type="http://schemas.openxmlformats.org/officeDocument/2006/relationships/hyperlink" Target="https://www.las2orillas.co/los-colegios-en-colombia-son-una-fabrica-de-racismo/" TargetMode="External"/><Relationship Id="rId26" Type="http://schemas.openxmlformats.org/officeDocument/2006/relationships/hyperlink" Target="http://www.oas.org/es/sadye/inclusion-social/protocolo-ssv/Guia_Operacionalizacion_Indicadores.pdf" TargetMode="External"/><Relationship Id="rId39" Type="http://schemas.openxmlformats.org/officeDocument/2006/relationships/theme" Target="theme/theme1.xml"/><Relationship Id="rId21" Type="http://schemas.openxmlformats.org/officeDocument/2006/relationships/hyperlink" Target="https://colombiadiversa.org/colombiadiversa2016/wp-content/uploads/2016/11/IAE-Colombia-Web-FINAL-2.pdf" TargetMode="External"/><Relationship Id="rId34" Type="http://schemas.openxmlformats.org/officeDocument/2006/relationships/hyperlink" Target="https://www.unicef.org/es/end-violence/ciberacoso-que-es-y-como-detenerlo" TargetMode="External"/><Relationship Id="rId7" Type="http://schemas.openxmlformats.org/officeDocument/2006/relationships/endnotes" Target="endnotes.xml"/><Relationship Id="rId12" Type="http://schemas.openxmlformats.org/officeDocument/2006/relationships/hyperlink" Target="https://noticias.caracoltv.com/mundo/doloroso-mensaje-de-madre-por-suicidio-de-su-hijo-de-12-anos-victima-de-bullying" TargetMode="External"/><Relationship Id="rId17" Type="http://schemas.openxmlformats.org/officeDocument/2006/relationships/hyperlink" Target="https://citytv.eltiempo.com/noticias/nacional/colombia-es-el-segundo-pais-con-mayor-exposicion-al-bullying_59835" TargetMode="External"/><Relationship Id="rId25" Type="http://schemas.openxmlformats.org/officeDocument/2006/relationships/hyperlink" Target="https://www.mintic.gov.co/chicassteam/801/w3-article-210272.html" TargetMode="External"/><Relationship Id="rId33" Type="http://schemas.openxmlformats.org/officeDocument/2006/relationships/hyperlink" Target="https://www.unicef.org/colombia/genero"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bc.es/sociedad/abci-edades-aprendizaje-todo-tiene-tiempo-201703012046_noticia.html?ref=https%3A%2F%2Fwww.abc.es%2Fsociedad%2Fabci-edades-aprendizaje-todo-tiene-tiempo-201703012046_noticia.html" TargetMode="External"/><Relationship Id="rId20" Type="http://schemas.openxmlformats.org/officeDocument/2006/relationships/hyperlink" Target="https://www.cdc.gov/ncbddd/spanish/childdevelopment/positiveparenting/middle.html" TargetMode="External"/><Relationship Id="rId29" Type="http://schemas.openxmlformats.org/officeDocument/2006/relationships/hyperlink" Target="https://www.un.org/es/global-issues/gender-equa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alcaldiabogota.gov.co/sisjur/normas/Norma1.jsp?dt=S&amp;i=132697" TargetMode="External"/><Relationship Id="rId32" Type="http://schemas.openxmlformats.org/officeDocument/2006/relationships/hyperlink" Target="https://noticias.caracoltv.com/salud/hablemos-sin-tabues-del-bullying-y-el-suicidio-infantil-que-en-colombia-se-cobro-275-vidas-en-2021"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un.org/es/about-us/un-charter/chapter-1" TargetMode="External"/><Relationship Id="rId23" Type="http://schemas.openxmlformats.org/officeDocument/2006/relationships/hyperlink" Target="https://www.mineducacion.gov.co/1621/articles-85906_archivo_pdf.pdf" TargetMode="External"/><Relationship Id="rId28" Type="http://schemas.openxmlformats.org/officeDocument/2006/relationships/hyperlink" Target="http://www.oas.org/udse/dit/cap1.htm"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razonpublica.com/las-vejaciones-contra-sergio-urrego/" TargetMode="External"/><Relationship Id="rId31" Type="http://schemas.openxmlformats.org/officeDocument/2006/relationships/hyperlink" Target="https://www.corteconstitucional.gov.co/relatoria/2020/T-443-20.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ialnet.unirioja.es/servlet/libro?codigo=398426" TargetMode="External"/><Relationship Id="rId22" Type="http://schemas.openxmlformats.org/officeDocument/2006/relationships/hyperlink" Target="https://colaboracion.dnp.gov.co/CDT/portalDNP/PND-2023/2023-05-04-bases-plan-nacional-de-inversiones-2022-2026.pdf" TargetMode="External"/><Relationship Id="rId27" Type="http://schemas.openxmlformats.org/officeDocument/2006/relationships/hyperlink" Target="https://www.inaes.edu.py/application/files/8315/9706/7551/Treinta_y_tres_tipos_de_discriminacion_escolar.pdf" TargetMode="External"/><Relationship Id="rId30" Type="http://schemas.openxmlformats.org/officeDocument/2006/relationships/hyperlink" Target="https://www.corteconstitucional.gov.co/relatoria/2015/t-478-15.htm" TargetMode="External"/><Relationship Id="rId35" Type="http://schemas.openxmlformats.org/officeDocument/2006/relationships/hyperlink" Target="https://noticias.caracoltv.com/mundo/una-historia-que-nunca-deberia-repetirse-la-muerte-de-drayke-nino-de-12-anos-victima-de-bullying" TargetMode="External"/><Relationship Id="rId8" Type="http://schemas.openxmlformats.org/officeDocument/2006/relationships/hyperlink" Target="https://www.unicef.org/colombia/historias/entornos-protectores"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vbfN8y595PeP9JKFpbTAcamJxA==">CgMxLjAyCGguZ2pkZ3hzOAByITE0TGdFS0EzWUJxcmp4MjE1TWhVTWFJMUg4a2Z5d3R5bw==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5122</Words>
  <Characters>28171</Characters>
  <Application>Microsoft Office Word</Application>
  <DocSecurity>0</DocSecurity>
  <Lines>234</Lines>
  <Paragraphs>66</Paragraphs>
  <ScaleCrop>false</ScaleCrop>
  <Company>HP</Company>
  <LinksUpToDate>false</LinksUpToDate>
  <CharactersWithSpaces>33227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Jhonatan Manuel  Atencia Zuñiga UTL</dc:creator>
  <cp:lastModifiedBy>Luis Antonio Furnieles Monterroza</cp:lastModifiedBy>
  <cp:revision>3</cp:revision>
  <dcterms:created xsi:type="dcterms:W3CDTF">2023-07-17T17:53:00Z</dcterms:created>
  <dcterms:modified xsi:type="dcterms:W3CDTF">2023-09-04T20:10:00Z</dcterms:modified>
</cp:coreProperties>
</file>