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Bogotá, D.C., marzo de 2023</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Honorable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DAVID RICARDO RACERO MAYORCA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Presidente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Cámara de Representantes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708"/>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Bogotá DC.</w:t>
      </w:r>
      <w:r w:rsidDel="00000000" w:rsidR="00000000" w:rsidRPr="00000000">
        <w:rPr>
          <w:rtl w:val="0"/>
        </w:rPr>
      </w:r>
    </w:p>
    <w:p w:rsidR="00000000" w:rsidDel="00000000" w:rsidP="00000000" w:rsidRDefault="00000000" w:rsidRPr="00000000" w14:paraId="00000008">
      <w:pPr>
        <w:spacing w:line="276"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Referencia: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Radicación del Proyecto de Ley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“Por medio de la cual se desarrolla el tratamiento penal diferenciado para pequeños cultivadores de plantaciones de uso ilícito, de acuerdo con las disposiciones del artículo 5° transitorio del Acto Legislativo 01 de 2017 y el numeral 4.1.3.4 del Acuerdo Final para una Paz Estable y Duradera.”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 ejercicio de la facultad prevista en el artículo 140 numeral 1º de la Ley 5ª de 1992, presentamos a consideración del Congreso de la República el proyecto de Ley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“Por medio de la cual se desarrolla el tratamiento penal diferenciado para pequeños cultivadores de plantaciones de uso ilícito, de acuerdo con las disposiciones del artículo 5° transitorio del Acto Legislativo 01 de 2017 y el numeral 4.1.3.4 del Acuerdo Final para una Paz Estable y Duradera.”,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con el fin de surtir el respectivo trámite legislativo. Por tal motivo, anexamos el original en formato PDF con firmas y dos copias, en formato PDF sin firmas, y formato Word sin firmas.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 este sentido, se presenta a consideración el presente Proyecto de Ley, para iniciar el trámite correspondiente y cumplir con las exigencias dictadas por la Ley y la Constitución. Por tal motivo, adjuntamos vía correo electrónico en formato PDF y Word para que se dé cumplimiento a lo reglado en la Ley 5 de 1992.</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Cordialmente,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DIÓGENES QUINTERO AMAYA</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Representante a la Cámara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Catatumbo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spacing w:line="276" w:lineRule="auto"/>
        <w:jc w:val="both"/>
        <w:rPr>
          <w:rFonts w:ascii="Arial Narrow" w:cs="Arial Narrow" w:eastAsia="Arial Narrow" w:hAnsi="Arial Narrow"/>
          <w:sz w:val="24"/>
          <w:szCs w:val="24"/>
        </w:rPr>
      </w:pPr>
      <w:r w:rsidDel="00000000" w:rsidR="00000000" w:rsidRPr="00000000">
        <w:rPr>
          <w:rtl w:val="0"/>
        </w:rPr>
      </w:r>
    </w:p>
    <w:tbl>
      <w:tblPr>
        <w:tblStyle w:val="Table1"/>
        <w:tblW w:w="882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14"/>
        <w:gridCol w:w="4414"/>
        <w:tblGridChange w:id="0">
          <w:tblGrid>
            <w:gridCol w:w="4414"/>
            <w:gridCol w:w="4414"/>
          </w:tblGrid>
        </w:tblGridChange>
      </w:tblGrid>
      <w:tr>
        <w:trPr>
          <w:cantSplit w:val="0"/>
          <w:tblHeader w:val="0"/>
        </w:trPr>
        <w:tc>
          <w:tcPr>
            <w:vAlign w:val="bottom"/>
          </w:tcPr>
          <w:p w:rsidR="00000000" w:rsidDel="00000000" w:rsidP="00000000" w:rsidRDefault="00000000" w:rsidRPr="00000000" w14:paraId="0000001D">
            <w:pPr>
              <w:spacing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E">
            <w:pPr>
              <w:spacing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F">
            <w:pPr>
              <w:spacing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0">
            <w:pPr>
              <w:spacing w:line="276" w:lineRule="auto"/>
              <w:jc w:val="center"/>
              <w:rPr>
                <w:rFonts w:ascii="Arial Narrow" w:cs="Arial Narrow" w:eastAsia="Arial Narrow" w:hAnsi="Arial Narrow"/>
                <w:sz w:val="24"/>
                <w:szCs w:val="24"/>
              </w:rPr>
            </w:pPr>
            <w:r w:rsidDel="00000000" w:rsidR="00000000" w:rsidRPr="00000000">
              <w:rPr>
                <w:rtl w:val="0"/>
              </w:rPr>
            </w:r>
          </w:p>
        </w:tc>
        <w:tc>
          <w:tcPr>
            <w:vAlign w:val="bottom"/>
          </w:tcPr>
          <w:p w:rsidR="00000000" w:rsidDel="00000000" w:rsidP="00000000" w:rsidRDefault="00000000" w:rsidRPr="00000000" w14:paraId="00000021">
            <w:pPr>
              <w:spacing w:line="276" w:lineRule="auto"/>
              <w:jc w:val="center"/>
              <w:rPr>
                <w:rFonts w:ascii="Arial Narrow" w:cs="Arial Narrow" w:eastAsia="Arial Narrow" w:hAnsi="Arial Narrow"/>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22">
            <w:pPr>
              <w:spacing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3">
            <w:pPr>
              <w:spacing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4">
            <w:pPr>
              <w:spacing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5">
            <w:pPr>
              <w:spacing w:line="276" w:lineRule="auto"/>
              <w:jc w:val="center"/>
              <w:rPr>
                <w:rFonts w:ascii="Arial Narrow" w:cs="Arial Narrow" w:eastAsia="Arial Narrow" w:hAnsi="Arial Narrow"/>
                <w:sz w:val="24"/>
                <w:szCs w:val="24"/>
              </w:rPr>
            </w:pPr>
            <w:r w:rsidDel="00000000" w:rsidR="00000000" w:rsidRPr="00000000">
              <w:rPr>
                <w:rtl w:val="0"/>
              </w:rPr>
            </w:r>
          </w:p>
        </w:tc>
        <w:tc>
          <w:tcPr>
            <w:vAlign w:val="bottom"/>
          </w:tcPr>
          <w:p w:rsidR="00000000" w:rsidDel="00000000" w:rsidP="00000000" w:rsidRDefault="00000000" w:rsidRPr="00000000" w14:paraId="00000026">
            <w:pPr>
              <w:spacing w:line="276" w:lineRule="auto"/>
              <w:jc w:val="center"/>
              <w:rPr>
                <w:rFonts w:ascii="Arial Narrow" w:cs="Arial Narrow" w:eastAsia="Arial Narrow" w:hAnsi="Arial Narrow"/>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27">
            <w:pPr>
              <w:spacing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8">
            <w:pPr>
              <w:spacing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9">
            <w:pPr>
              <w:spacing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A">
            <w:pPr>
              <w:spacing w:line="276" w:lineRule="auto"/>
              <w:jc w:val="center"/>
              <w:rPr>
                <w:rFonts w:ascii="Arial Narrow" w:cs="Arial Narrow" w:eastAsia="Arial Narrow" w:hAnsi="Arial Narrow"/>
                <w:sz w:val="24"/>
                <w:szCs w:val="24"/>
              </w:rPr>
            </w:pPr>
            <w:r w:rsidDel="00000000" w:rsidR="00000000" w:rsidRPr="00000000">
              <w:rPr>
                <w:rtl w:val="0"/>
              </w:rPr>
            </w:r>
          </w:p>
        </w:tc>
        <w:tc>
          <w:tcPr>
            <w:vAlign w:val="bottom"/>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30">
            <w:pPr>
              <w:spacing w:line="276" w:lineRule="auto"/>
              <w:jc w:val="center"/>
              <w:rPr>
                <w:rFonts w:ascii="Arial Narrow" w:cs="Arial Narrow" w:eastAsia="Arial Narrow" w:hAnsi="Arial Narrow"/>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31">
            <w:pPr>
              <w:spacing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2">
            <w:pPr>
              <w:spacing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3">
            <w:pPr>
              <w:spacing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4">
            <w:pPr>
              <w:spacing w:line="276" w:lineRule="auto"/>
              <w:jc w:val="center"/>
              <w:rPr>
                <w:rFonts w:ascii="Arial Narrow" w:cs="Arial Narrow" w:eastAsia="Arial Narrow" w:hAnsi="Arial Narrow"/>
                <w:sz w:val="24"/>
                <w:szCs w:val="24"/>
              </w:rPr>
            </w:pPr>
            <w:r w:rsidDel="00000000" w:rsidR="00000000" w:rsidRPr="00000000">
              <w:rPr>
                <w:rtl w:val="0"/>
              </w:rPr>
            </w:r>
          </w:p>
        </w:tc>
        <w:tc>
          <w:tcPr>
            <w:vAlign w:val="bottom"/>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3F">
            <w:pPr>
              <w:spacing w:line="276" w:lineRule="auto"/>
              <w:jc w:val="center"/>
              <w:rPr>
                <w:rFonts w:ascii="Arial Narrow" w:cs="Arial Narrow" w:eastAsia="Arial Narrow" w:hAnsi="Arial Narrow"/>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5">
      <w:pPr>
        <w:spacing w:line="276" w:lineRule="auto"/>
        <w:jc w:val="both"/>
        <w:rPr>
          <w:rFonts w:ascii="Arial Narrow" w:cs="Arial Narrow" w:eastAsia="Arial Narrow" w:hAnsi="Arial Narrow"/>
          <w:sz w:val="24"/>
          <w:szCs w:val="24"/>
        </w:rPr>
        <w:sectPr>
          <w:headerReference r:id="rId6" w:type="default"/>
          <w:footerReference r:id="rId7" w:type="default"/>
          <w:pgSz w:h="15840" w:w="12240" w:orient="portrait"/>
          <w:pgMar w:bottom="1417" w:top="1417" w:left="1701" w:right="1701" w:header="708" w:footer="708"/>
          <w:pgNumType w:start="1"/>
        </w:sectPr>
      </w:pPr>
      <w:r w:rsidDel="00000000" w:rsidR="00000000" w:rsidRPr="00000000">
        <w:rPr>
          <w:rtl w:val="0"/>
        </w:rPr>
      </w:r>
    </w:p>
    <w:p w:rsidR="00000000" w:rsidDel="00000000" w:rsidP="00000000" w:rsidRDefault="00000000" w:rsidRPr="00000000" w14:paraId="00000046">
      <w:pPr>
        <w:spacing w:line="276"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7">
      <w:pPr>
        <w:spacing w:line="276"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PROYECTO DE LEY NO. ________________de 2023 </w:t>
      </w:r>
    </w:p>
    <w:p w:rsidR="00000000" w:rsidDel="00000000" w:rsidP="00000000" w:rsidRDefault="00000000" w:rsidRPr="00000000" w14:paraId="00000048">
      <w:pPr>
        <w:spacing w:line="276"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“Por medio de la cual se desarrolla el tratamiento penal diferenciado para pequeños cultivadores de plantaciones de uso ilícito, de acuerdo con las disposiciones del artículo 5° transitorio del Acto Legislativo 01 de 2017 y el numeral 4.1.3.4 del Acuerdo Final para una Paz Estable y Duradera.”</w:t>
      </w:r>
    </w:p>
    <w:p w:rsidR="00000000" w:rsidDel="00000000" w:rsidP="00000000" w:rsidRDefault="00000000" w:rsidRPr="00000000" w14:paraId="00000049">
      <w:pPr>
        <w:tabs>
          <w:tab w:val="center" w:leader="none" w:pos="4419"/>
          <w:tab w:val="left" w:leader="none" w:pos="6540"/>
        </w:tabs>
        <w:spacing w:line="276"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ab/>
      </w:r>
    </w:p>
    <w:p w:rsidR="00000000" w:rsidDel="00000000" w:rsidP="00000000" w:rsidRDefault="00000000" w:rsidRPr="00000000" w14:paraId="0000004A">
      <w:pPr>
        <w:tabs>
          <w:tab w:val="center" w:leader="none" w:pos="4419"/>
          <w:tab w:val="left" w:leader="none" w:pos="6540"/>
        </w:tabs>
        <w:spacing w:line="276"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4B">
      <w:pPr>
        <w:tabs>
          <w:tab w:val="center" w:leader="none" w:pos="4419"/>
          <w:tab w:val="left" w:leader="none" w:pos="6540"/>
        </w:tabs>
        <w:spacing w:line="276"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EL CONGRESO DE COLOMBIA</w:t>
      </w:r>
    </w:p>
    <w:p w:rsidR="00000000" w:rsidDel="00000000" w:rsidP="00000000" w:rsidRDefault="00000000" w:rsidRPr="00000000" w14:paraId="0000004C">
      <w:pPr>
        <w:spacing w:line="276"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DECRETA:</w:t>
      </w:r>
    </w:p>
    <w:p w:rsidR="00000000" w:rsidDel="00000000" w:rsidP="00000000" w:rsidRDefault="00000000" w:rsidRPr="00000000" w14:paraId="0000004D">
      <w:pPr>
        <w:spacing w:line="276"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4E">
      <w:pPr>
        <w:spacing w:line="276"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4F">
      <w:pPr>
        <w:spacing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1. </w:t>
      </w:r>
      <w:r w:rsidDel="00000000" w:rsidR="00000000" w:rsidRPr="00000000">
        <w:rPr>
          <w:rFonts w:ascii="Arial Narrow" w:cs="Arial Narrow" w:eastAsia="Arial Narrow" w:hAnsi="Arial Narrow"/>
          <w:i w:val="1"/>
          <w:sz w:val="24"/>
          <w:szCs w:val="24"/>
          <w:rtl w:val="0"/>
        </w:rPr>
        <w:t xml:space="preserve">Objeto</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t xml:space="preserve"> La presente ley tiene por objeto establecer las medidas de un tratamiento penal diferenciado, transitorio y condicionado para los cultivadores de plantaciones de uso ilícito que, previa verificación de requisitos, se vinculen a cualquiera de los programas que integran el Plan Nacional de Sustitución de Cultivos Ilícitos PNIS o cualquier otro programada estatal destinado a la sustitución de cultivos de uso ilícito. </w:t>
      </w:r>
    </w:p>
    <w:p w:rsidR="00000000" w:rsidDel="00000000" w:rsidP="00000000" w:rsidRDefault="00000000" w:rsidRPr="00000000" w14:paraId="00000050">
      <w:pPr>
        <w:spacing w:line="276" w:lineRule="auto"/>
        <w:jc w:val="both"/>
        <w:rPr>
          <w:rFonts w:ascii="Arial Narrow" w:cs="Arial Narrow" w:eastAsia="Arial Narrow" w:hAnsi="Arial Narrow"/>
          <w:sz w:val="24"/>
          <w:szCs w:val="24"/>
        </w:rPr>
      </w:pPr>
      <w:bookmarkStart w:colFirst="0" w:colLast="0" w:name="_gjdgxs" w:id="0"/>
      <w:bookmarkEnd w:id="0"/>
      <w:r w:rsidDel="00000000" w:rsidR="00000000" w:rsidRPr="00000000">
        <w:rPr>
          <w:rFonts w:ascii="Arial Narrow" w:cs="Arial Narrow" w:eastAsia="Arial Narrow" w:hAnsi="Arial Narrow"/>
          <w:b w:val="1"/>
          <w:sz w:val="24"/>
          <w:szCs w:val="24"/>
          <w:rtl w:val="0"/>
        </w:rPr>
        <w:t xml:space="preserve">ARTÍCULO 2.</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i w:val="1"/>
          <w:sz w:val="24"/>
          <w:szCs w:val="24"/>
          <w:rtl w:val="0"/>
        </w:rPr>
        <w:t xml:space="preserve">Tratamiento penal diferenciado. </w:t>
      </w:r>
      <w:r w:rsidDel="00000000" w:rsidR="00000000" w:rsidRPr="00000000">
        <w:rPr>
          <w:rFonts w:ascii="Arial Narrow" w:cs="Arial Narrow" w:eastAsia="Arial Narrow" w:hAnsi="Arial Narrow"/>
          <w:sz w:val="24"/>
          <w:szCs w:val="24"/>
          <w:rtl w:val="0"/>
        </w:rPr>
        <w:t xml:space="preserve">El tratamiento penal diferenciado consistirá en la renuncia, por parte de la autoridad competente, al ejercicio de la acción penal o su extinción, según sea el caso, así como la extinción de la pena o de la acción de extinción de dominio por la conductas tipificadas en el artículo 375 de la Ley 599 de 2000, por única vez, y con previa verificación del acogimiento a los programas del Nacional de Sustitución de Cultivos Ilícitos PNIS o cualquier otro programada estatal destinado a la sustitución de cultivos de uso ilícito. </w:t>
      </w:r>
    </w:p>
    <w:p w:rsidR="00000000" w:rsidDel="00000000" w:rsidP="00000000" w:rsidRDefault="00000000" w:rsidRPr="00000000" w14:paraId="00000051">
      <w:pPr>
        <w:spacing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partir de la entrada en vigencia de la presente ley, los posibles beneficiarios tendrán el término de un (1) año para vincularse a los diferentes programas del Nacional de Sustitución de Cultivos Ilícitos PNIS o cualquier otro programada estatal destinado a la sustitución de cultivos de uso ilícito.</w:t>
      </w:r>
    </w:p>
    <w:p w:rsidR="00000000" w:rsidDel="00000000" w:rsidP="00000000" w:rsidRDefault="00000000" w:rsidRPr="00000000" w14:paraId="00000052">
      <w:pPr>
        <w:spacing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3. </w:t>
      </w:r>
      <w:r w:rsidDel="00000000" w:rsidR="00000000" w:rsidRPr="00000000">
        <w:rPr>
          <w:rFonts w:ascii="Arial Narrow" w:cs="Arial Narrow" w:eastAsia="Arial Narrow" w:hAnsi="Arial Narrow"/>
          <w:i w:val="1"/>
          <w:sz w:val="24"/>
          <w:szCs w:val="24"/>
          <w:rtl w:val="0"/>
        </w:rPr>
        <w:t xml:space="preserve">Modificación al Código Penal. </w:t>
      </w:r>
      <w:r w:rsidDel="00000000" w:rsidR="00000000" w:rsidRPr="00000000">
        <w:rPr>
          <w:rFonts w:ascii="Arial Narrow" w:cs="Arial Narrow" w:eastAsia="Arial Narrow" w:hAnsi="Arial Narrow"/>
          <w:sz w:val="24"/>
          <w:szCs w:val="24"/>
          <w:rtl w:val="0"/>
        </w:rPr>
        <w:t xml:space="preserve">Modifíquese el artículo 375 de la Ley 599 de 2000, el cual quedará así: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8" w:line="276" w:lineRule="auto"/>
        <w:ind w:left="708" w:right="39"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Artículo 375.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Conservación o financiación de plantaciones</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El que sin permiso de autoridad competente cultive, conserve o financie plantaciones de las que se puedan producir cocaína, marihuana, morfina y heroína, o cualquiera otra droga que produzca dependencia, en áreas cuyo tamaño sea superior al delimitado por El Consejo Nacional de Estupefacientes, o quien haga sus veces, incurrirá en pena de nueve (9) a quince (15) años de prisión y multa de dos mil (2.000) a cinco mil (5.000) salarios mínimos legales mensuales vigentes.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8" w:line="276" w:lineRule="auto"/>
        <w:ind w:left="708" w:right="39"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Las sanciones previstas en este artículo no aplicarán para el uso médico y científico del cannabis siempre y cuando se tengan las licencias otorgadas, ya sea por el Ministerio de Salud y Protección Social o el Ministerio de Justicia y del Derecho, según sus competencias.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8" w:line="276" w:lineRule="auto"/>
        <w:ind w:left="708" w:right="39"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Tampoco incurrirán en las penas previstas en el presente artículo los pequeños cultivadores incluidos en el Programa Nacional de Sustitución de Cultivos Ilícitos mientras esté vigente su vinculación al Programa y por el término que dure su proceso en el mismo.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8" w:line="276" w:lineRule="auto"/>
        <w:ind w:left="0" w:right="39"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ARTÍCULO 4.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Consejo Nacional de Estupefacientes.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Para los fines del artículo 375 del Código Penal, el Consejo Nacional de Estupefacientes expedirá anualmente acto administrativo mediante el cual dispondrá el área máxima de cultivo permitida</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8" w:line="276" w:lineRule="auto"/>
        <w:ind w:left="0" w:right="39"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ARTÍCULO 5</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Solicitud de Beneficios.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 el año siguiente a la expedición de la presente Ley, las personas condenadas por el delito descrito en el artículo 375 de la Ley 599 de 2000 podrán solicitar por única vez la extinción de la sanción penal, el juez competente la decretará al constatar:</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68" w:line="276" w:lineRule="auto"/>
        <w:ind w:left="720" w:right="39"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Que el solicitante se encuentre inscrito en el Programa Nacional Integral de Sustitución de Cultivos Ilícitos o cualquier otra estrategia de sustitución de cultivos de uso ilícito que el gobierno nacional defina,</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68" w:line="276" w:lineRule="auto"/>
        <w:ind w:left="720" w:right="39"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Que el área cultivada por la cual se dictó la condena original sea igual o menor a la determinada por el Consejo Nacional de Estupefacientes,</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68" w:line="276" w:lineRule="auto"/>
        <w:ind w:left="720" w:right="39"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Que la persona presente ante el director del Programa Nacional Integral de Sustitución de Cultivos Ilícitos, o quien haga sus veces, un acta de compromiso según la cual renuncie irrevocablemente a cultivar o mantener las plantaciones de uso ilícito,</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68" w:line="276" w:lineRule="auto"/>
        <w:ind w:left="720" w:right="39"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Que la persona no sea agente del Estado o miembro de un grupo al margen de la Ley según la categorización hecha por el Gobierno Nacional.</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68" w:line="276" w:lineRule="auto"/>
        <w:ind w:left="720" w:right="39"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Que la persona no esté siendo procesada por el mismo delito en la Jurisdicción Especial para la Paz.</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8" w:line="276" w:lineRule="auto"/>
        <w:ind w:left="0" w:right="39"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Asimismo, las personas sujetas a un proceso penal por el delito referido en el inciso primero del presente artículo podrán solicitar por única vez la extinción de la acción penal a la fiscalía tras acreditar los mismos requisitos aquí exigidos a los condenados para la solicitud de la extinción de la sanción.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8" w:line="276" w:lineRule="auto"/>
        <w:ind w:left="0" w:right="39"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Parágrafo 1.</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Para la concesión de ambos beneficios se procederá según lo establecido en la Ley.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8" w:line="276" w:lineRule="auto"/>
        <w:ind w:left="0" w:right="39"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Parágrafo 2.</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Para la suscripción del acta referida en el numeral 3 del presente artículo, el interesado informará al Ministerio Público o a la Fiscalía General de la Nación de su voluntad personalmente o por medio de apoderado. El Ministerio Público o la Fiscalía General de la Nación, comunicará a su vez la intención del procesado o condenado a la dirección del PNIS y facilitará lo necesario para la culminación del trámite.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8" w:line="276" w:lineRule="auto"/>
        <w:ind w:left="0" w:right="39"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ARTÍCULO 6.</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Priorización.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Los jueces competentes priorizarán las solicitudes de extinción de sanción o de acción penal referidas en la presente Ley cuando hayan sido presentadas por madres cabeza de hogar o personas en situación de vulnerabilidad.</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8" w:line="276" w:lineRule="auto"/>
        <w:ind w:left="0" w:right="39"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ARTÍCULO 7.</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Exclusión de Beneficios.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Las personas que, habiéndose acogido a los beneficios de la presente Ley, incurran nuevamente en la comisión de la conducta punible del artículo 375 de la Ley 599 de 2000, no podrán gozar nuevamente de ellos y serán juzgados según las normas generales de procedimiento penal.</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8" w:line="276" w:lineRule="auto"/>
        <w:ind w:left="0" w:right="39"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Tampoco podrán acceder a estos beneficios aquellas personas que, siendo condenadas por el delito del artículo 375 de la Ley 599 de 2000, hayan completado su condena.</w:t>
      </w:r>
    </w:p>
    <w:p w:rsidR="00000000" w:rsidDel="00000000" w:rsidP="00000000" w:rsidRDefault="00000000" w:rsidRPr="00000000" w14:paraId="00000063">
      <w:pPr>
        <w:spacing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8. </w:t>
      </w:r>
      <w:r w:rsidDel="00000000" w:rsidR="00000000" w:rsidRPr="00000000">
        <w:rPr>
          <w:rFonts w:ascii="Arial Narrow" w:cs="Arial Narrow" w:eastAsia="Arial Narrow" w:hAnsi="Arial Narrow"/>
          <w:i w:val="1"/>
          <w:sz w:val="24"/>
          <w:szCs w:val="24"/>
          <w:rtl w:val="0"/>
        </w:rPr>
        <w:t xml:space="preserve">Conexidad.</w:t>
      </w:r>
      <w:r w:rsidDel="00000000" w:rsidR="00000000" w:rsidRPr="00000000">
        <w:rPr>
          <w:rFonts w:ascii="Arial Narrow" w:cs="Arial Narrow" w:eastAsia="Arial Narrow" w:hAnsi="Arial Narrow"/>
          <w:sz w:val="24"/>
          <w:szCs w:val="24"/>
          <w:rtl w:val="0"/>
        </w:rPr>
        <w:t xml:space="preserve"> Las personas procesadas por los delitos contemplados en los artículos 376, 377 y 382 de la Ley 599 de 2000 podrán acogerse a los beneficios referidos en la presente Ley cuando se decrete la conexidad con el delito del que trata el artículo 375 del Código Penal; su defensa, por única vez y para los fines de este articulado, podrá solicitar la conexidad en cualquier etapa procesal en que se halle la litis.</w:t>
      </w:r>
    </w:p>
    <w:p w:rsidR="00000000" w:rsidDel="00000000" w:rsidP="00000000" w:rsidRDefault="00000000" w:rsidRPr="00000000" w14:paraId="00000064">
      <w:pPr>
        <w:spacing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Las personas que hayan sido condenadas por la conducta delictiva descrita en el artículo 375 del Código Penal en concurso con los delitos de los artículos 376, 377 o 382 podrán solicitar la declaratoria de conexidad extemporánea al Juez de Ejecución de Penas y Medidas de Seguridad para gozar de los beneficios de la presente Ley, para lo cual, el Juez de Ejecución de Penas ordenará remitir el expediente al juez de conocimiento para que éste último decida sobre la solicitud mediante auto.</w:t>
      </w:r>
    </w:p>
    <w:p w:rsidR="00000000" w:rsidDel="00000000" w:rsidP="00000000" w:rsidRDefault="00000000" w:rsidRPr="00000000" w14:paraId="00000065">
      <w:pPr>
        <w:spacing w:line="276"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4"/>
          <w:szCs w:val="24"/>
          <w:rtl w:val="0"/>
        </w:rPr>
        <w:t xml:space="preserve">En ambos casos, de ser declarada la conexidad, el juez correspondiente podrá conceder los beneficios del trato penal diferenciado según lo dispuesto en el artículo 5 precedente.</w:t>
      </w:r>
      <w:r w:rsidDel="00000000" w:rsidR="00000000" w:rsidRPr="00000000">
        <w:rPr>
          <w:rtl w:val="0"/>
        </w:rPr>
      </w:r>
    </w:p>
    <w:p w:rsidR="00000000" w:rsidDel="00000000" w:rsidP="00000000" w:rsidRDefault="00000000" w:rsidRPr="00000000" w14:paraId="00000066">
      <w:pPr>
        <w:spacing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9.</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i w:val="1"/>
          <w:sz w:val="24"/>
          <w:szCs w:val="24"/>
          <w:rtl w:val="0"/>
        </w:rPr>
        <w:t xml:space="preserve">Concursos</w:t>
      </w:r>
      <w:r w:rsidDel="00000000" w:rsidR="00000000" w:rsidRPr="00000000">
        <w:rPr>
          <w:rFonts w:ascii="Arial Narrow" w:cs="Arial Narrow" w:eastAsia="Arial Narrow" w:hAnsi="Arial Narrow"/>
          <w:sz w:val="24"/>
          <w:szCs w:val="24"/>
          <w:rtl w:val="0"/>
        </w:rPr>
        <w:t xml:space="preserve">. El tratamiento penal diferenciado no será aplicable cuando el solicitante no le haya sido decretada la conexidad de acuerdo con el artículo anterior y esté siendo procesado o haya sido condenado por el delito del artículo 375 de la Ley 599 de 2000, inciso 1°, en concurso con otros delitos, salvo el delito de destinación ilícita de inmuebles del artículo 377.</w:t>
      </w:r>
    </w:p>
    <w:p w:rsidR="00000000" w:rsidDel="00000000" w:rsidP="00000000" w:rsidRDefault="00000000" w:rsidRPr="00000000" w14:paraId="00000067">
      <w:pPr>
        <w:spacing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10.</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i w:val="1"/>
          <w:sz w:val="24"/>
          <w:szCs w:val="24"/>
          <w:rtl w:val="0"/>
        </w:rPr>
        <w:t xml:space="preserve">Efectos sobre los bienes. </w:t>
      </w:r>
      <w:r w:rsidDel="00000000" w:rsidR="00000000" w:rsidRPr="00000000">
        <w:rPr>
          <w:rFonts w:ascii="Arial Narrow" w:cs="Arial Narrow" w:eastAsia="Arial Narrow" w:hAnsi="Arial Narrow"/>
          <w:sz w:val="24"/>
          <w:szCs w:val="24"/>
          <w:rtl w:val="0"/>
        </w:rPr>
        <w:t xml:space="preserve">Las medidas cautelares existentes sobre los bienes afectados por el delito serán suspendidas o levantadas por las autoridades competentes, según sea el caso. Asimismo, serán suspendidos o terminados los procesos de extinción de dominio adelantados contra quienes resulten favorecidos con la renuncia al ejercicio de la acción penal</w:t>
      </w:r>
    </w:p>
    <w:p w:rsidR="00000000" w:rsidDel="00000000" w:rsidP="00000000" w:rsidRDefault="00000000" w:rsidRPr="00000000" w14:paraId="00000068">
      <w:pPr>
        <w:spacing w:line="276" w:lineRule="auto"/>
        <w:jc w:val="both"/>
        <w:rPr>
          <w:rFonts w:ascii="Arial Narrow" w:cs="Arial Narrow" w:eastAsia="Arial Narrow" w:hAnsi="Arial Narrow"/>
          <w:color w:val="ff0000"/>
          <w:sz w:val="24"/>
          <w:szCs w:val="24"/>
        </w:rPr>
      </w:pPr>
      <w:r w:rsidDel="00000000" w:rsidR="00000000" w:rsidRPr="00000000">
        <w:rPr>
          <w:rFonts w:ascii="Arial Narrow" w:cs="Arial Narrow" w:eastAsia="Arial Narrow" w:hAnsi="Arial Narrow"/>
          <w:sz w:val="24"/>
          <w:szCs w:val="24"/>
          <w:rtl w:val="0"/>
        </w:rPr>
        <w:t xml:space="preserve">Los bienes referidos en el inciso anterior serán devueltos a los beneficiarios del tratamiento penal diferenciado, siempre y cuando demuestre su relación jurídica con el bien.</w:t>
      </w:r>
      <w:r w:rsidDel="00000000" w:rsidR="00000000" w:rsidRPr="00000000">
        <w:rPr>
          <w:rtl w:val="0"/>
        </w:rPr>
      </w:r>
    </w:p>
    <w:p w:rsidR="00000000" w:rsidDel="00000000" w:rsidP="00000000" w:rsidRDefault="00000000" w:rsidRPr="00000000" w14:paraId="00000069">
      <w:pPr>
        <w:spacing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11.</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i w:val="1"/>
          <w:sz w:val="24"/>
          <w:szCs w:val="24"/>
          <w:rtl w:val="0"/>
        </w:rPr>
        <w:t xml:space="preserve">Vigencia. </w:t>
      </w:r>
      <w:r w:rsidDel="00000000" w:rsidR="00000000" w:rsidRPr="00000000">
        <w:rPr>
          <w:rFonts w:ascii="Arial Narrow" w:cs="Arial Narrow" w:eastAsia="Arial Narrow" w:hAnsi="Arial Narrow"/>
          <w:sz w:val="24"/>
          <w:szCs w:val="24"/>
          <w:rtl w:val="0"/>
        </w:rPr>
        <w:t xml:space="preserve">La presente ley rige a partir de su promulgación y deroga todas las disposiciones que le sean expresamente contrarias.</w:t>
      </w:r>
    </w:p>
    <w:p w:rsidR="00000000" w:rsidDel="00000000" w:rsidP="00000000" w:rsidRDefault="00000000" w:rsidRPr="00000000" w14:paraId="0000006A">
      <w:pPr>
        <w:spacing w:line="276"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B">
      <w:pPr>
        <w:spacing w:line="276"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C">
      <w:pPr>
        <w:spacing w:line="276"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D">
      <w:pPr>
        <w:spacing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DIÓGENES QUINTERO AMAYA</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Representante a la Cámara</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Catatumbo</w:t>
      </w:r>
    </w:p>
    <w:p w:rsidR="00000000" w:rsidDel="00000000" w:rsidP="00000000" w:rsidRDefault="00000000" w:rsidRPr="00000000" w14:paraId="00000071">
      <w:pPr>
        <w:spacing w:line="276"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2">
      <w:pPr>
        <w:spacing w:line="276"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3">
      <w:pPr>
        <w:spacing w:line="276"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4">
      <w:pPr>
        <w:spacing w:line="276" w:lineRule="auto"/>
        <w:jc w:val="both"/>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5">
      <w:pPr>
        <w:spacing w:line="276"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EXPOSICIÓN DE MOTIVOS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0" w:line="259"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02"/>
        </w:tabs>
        <w:spacing w:after="0" w:before="0" w:line="240" w:lineRule="auto"/>
        <w:ind w:left="902" w:right="0" w:hanging="361"/>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Objetivo.</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194"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194"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presente ley tiene por objeto crear mecanismos sociales y administrativos para reconocer un tratamiento penal diferencial, transitorio y condicionado, a las personas afectadas por la problemática de cultivo de plantaciones de uso ilícito en el país, con el fin de aportar elementos para la consolidación y sostenibilidad de la Paz en el período de postconflicto. En esa dirección, se crean herramientas que ofrecen alternativas dirigidas a reducir la judicialización, limitar el uso del encarcelamiento como retribución penal y disminuir el tiempo efectivo de privación de libertad de los procesados o condenados por los delitos tipificados en el artículo 375 de la Ley 599 de 2000.</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41" w:line="276" w:lineRule="auto"/>
        <w:ind w:left="0" w:right="202"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Lo anterior, responde a la adopción de una política criminal en materia de drogas dirigida no a la judicialización como medida primigenia, sino al perfeccionamiento de políticas que aporten al desarrollo económico y social del país, particularmente, de las comunidades afectadas por el fenómeno de los cultivos de uso ilícito.</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41" w:line="276" w:lineRule="auto"/>
        <w:ind w:left="182" w:right="202"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pStyle w:val="Heading1"/>
        <w:numPr>
          <w:ilvl w:val="0"/>
          <w:numId w:val="2"/>
        </w:numPr>
        <w:tabs>
          <w:tab w:val="left" w:leader="none" w:pos="430"/>
        </w:tabs>
        <w:ind w:left="429" w:hanging="248"/>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Contextualización del proyecto de ley.</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79" w:line="276" w:lineRule="auto"/>
        <w:ind w:left="0" w:right="195"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El Acuerdo Final logrado entre las FARC- EP y el Gobierno Nacional, refleja la intención de las partes de encontrar una solución al problema de las drogas ilícitas a partir de los componentes básicos de la sustitución y erradicación de cultivos ilícitos, la prevención del consumo de sustancias sicoactivas y la lucha contra el narcotráfico y el lavado de activos. Para contribuir con el propósito de la sustitución y erradicación de cultivos ilícitos, en el acuerdo se pactó un tratamiento penal diferencial para pequeños cultivadores en aras de contribuir a la transformación económica y social de los territorios afectados por la problemática de las drogas ilícitas e intensificar la lucha contra los actores u organizaciones dedicadas al narcotráfico.</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40" w:line="276" w:lineRule="auto"/>
        <w:ind w:left="0" w:right="194"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Como lo reconoce el Acuerdo Final, la persistencia del problema de las drogas ilícitas, está ligada a la existencia de condiciones de pobreza y marginalidad, debilidades de la política estatal y la existencia de organizaciones criminales dedicadas al narcotráfico, que a su vez inciden en formas específicas de violencia que han atravesado, alimentado y financiado el conflicto armado interno. Aunque la política de lucha contra las drogas ejecutada en los últimos 30 años refleja algunos avances para enfrentar la problemática de las drogas ilícitas, como el desmantelamiento de bandas dedicadas al narcotráfico en toda su cadena (cultivo, producción, distribución y comercialización) y la erradicación considerable de hectáreas de plantaciones de uso ilícito; el fenómeno de las drogas ilícitas persiste en diferentes regiones del país. Esto demuestra que la política no ha logrado los resultados esperados.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9" w:line="276" w:lineRule="auto"/>
        <w:ind w:left="0" w:right="198"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tono con la dificultad planteada, la presente ley pretende reorientar los esfuerzos de la política de lucha contra las drogas que venía implementándose hasta antes del Acuerdo Final, con el fin de adoptar medidas legislativas urgentes que respondan coherentemente a lo acordado entre el Gobierno Nacional y las FARC EP, de manera que se garantice la sostenibilidad del Acuerdo Final y se logré un tratamiento penal razonable y proporcionado para los pequeños cultivadores de plantaciones de uso ilícito. Para tales efectos, el sub-punto 4.1.3.4. del Acuerdo Final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(Solución al problema de las drogas ilícitas)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señala lo siguiente:</w:t>
      </w:r>
    </w:p>
    <w:p w:rsidR="00000000" w:rsidDel="00000000" w:rsidP="00000000" w:rsidRDefault="00000000" w:rsidRPr="00000000" w14:paraId="00000080">
      <w:pPr>
        <w:spacing w:before="141" w:line="276" w:lineRule="auto"/>
        <w:ind w:left="748" w:right="1098" w:firstLine="0"/>
        <w:jc w:val="both"/>
        <w:rPr>
          <w:rFonts w:ascii="Arial Narrow" w:cs="Arial Narrow" w:eastAsia="Arial Narrow" w:hAnsi="Arial Narrow"/>
          <w:i w:val="1"/>
          <w:sz w:val="24"/>
          <w:szCs w:val="24"/>
        </w:rPr>
      </w:pPr>
      <w:r w:rsidDel="00000000" w:rsidR="00000000" w:rsidRPr="00000000">
        <w:rPr>
          <w:rFonts w:ascii="Arial Narrow" w:cs="Arial Narrow" w:eastAsia="Arial Narrow" w:hAnsi="Arial Narrow"/>
          <w:i w:val="1"/>
          <w:sz w:val="24"/>
          <w:szCs w:val="24"/>
          <w:rtl w:val="0"/>
        </w:rPr>
        <w:t xml:space="preserve">“En el marco del fin del conflicto y en razón de su contribución a la construcción de la paz y al uso más efectivo de los recursos judiciales contra las organizaciones criminales vinculadas al narcotráfico y a partir de una visión integral de la solución definitiva al problema de los cultivos de uso ilícito, que tiene un origen multicausal, incluyendo causas de orden social y con el fin de facilitar la puesta en marcha del PNIS, el Gobierno se compromete a tramitar los ajustes normativos necesarios que permitan renunciar de manera transitoria al ejercicio de la acción penal o proceder con la extinción de la sanción penal contra los pequeños agricultores y agricultoras que estén o hayan estado vinculados con el cultivo de cultivos de uso ilícito cuando, dentro del término de 1 año, contado a partir de la entrada en vigencia de la nueva norma, manifiesten formalmente ante las autoridades competentes, su decisión de renunciar a cultivar o mantener los cultivos de uso ilícito. El Gobierno Nacional garantizará durante este año el despliegue del PNIS en todas las zonas con cultivos de uso ilícito para que se puedan celebrar los acuerdos con las comunidades e iniciará su implementación efectiva. El ajuste normativo deberá reglamentar los criterios para identificar quienes son los pequeños agricultores y agricultoras de cultivos de uso ilícito. La manifestación voluntaria de renuncia al cultivo de uso ilícito y a la permanencia en dicha actividad, podrá darse de manera individual, o en el marco de acuerdos de sustitución con las comunidades. Este tratamiento podrá ser revocado por reincidencia en las conductas asociadas a cualquier eslabón de la cadena de producción de los cultivos de uso ilícito y sus derivados. Se dará prioridad en la implementación a los programas de sustitución de cultivos de uso ilícito”.</w:t>
      </w:r>
    </w:p>
    <w:p w:rsidR="00000000" w:rsidDel="00000000" w:rsidP="00000000" w:rsidRDefault="00000000" w:rsidRPr="00000000" w14:paraId="00000081">
      <w:pPr>
        <w:spacing w:before="138" w:line="278.00000000000006" w:lineRule="auto"/>
        <w:ind w:right="214"/>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su vez, el sub-punto 6.1.9. </w:t>
      </w:r>
      <w:r w:rsidDel="00000000" w:rsidR="00000000" w:rsidRPr="00000000">
        <w:rPr>
          <w:rFonts w:ascii="Arial Narrow" w:cs="Arial Narrow" w:eastAsia="Arial Narrow" w:hAnsi="Arial Narrow"/>
          <w:b w:val="1"/>
          <w:sz w:val="24"/>
          <w:szCs w:val="24"/>
          <w:rtl w:val="0"/>
        </w:rPr>
        <w:t xml:space="preserve">(Prioridades para la implementación normativa)</w:t>
      </w:r>
      <w:r w:rsidDel="00000000" w:rsidR="00000000" w:rsidRPr="00000000">
        <w:rPr>
          <w:rFonts w:ascii="Arial Narrow" w:cs="Arial Narrow" w:eastAsia="Arial Narrow" w:hAnsi="Arial Narrow"/>
          <w:sz w:val="24"/>
          <w:szCs w:val="24"/>
          <w:rtl w:val="0"/>
        </w:rPr>
        <w:t xml:space="preserve">, supone garantizar lo siguiente:</w:t>
      </w:r>
    </w:p>
    <w:p w:rsidR="00000000" w:rsidDel="00000000" w:rsidP="00000000" w:rsidRDefault="00000000" w:rsidRPr="00000000" w14:paraId="00000082">
      <w:pPr>
        <w:spacing w:line="276" w:lineRule="auto"/>
        <w:ind w:left="748" w:right="1098" w:firstLine="0"/>
        <w:jc w:val="both"/>
        <w:rPr>
          <w:rFonts w:ascii="Arial Narrow" w:cs="Arial Narrow" w:eastAsia="Arial Narrow" w:hAnsi="Arial Narrow"/>
          <w:i w:val="1"/>
          <w:sz w:val="24"/>
          <w:szCs w:val="24"/>
        </w:rPr>
        <w:sectPr>
          <w:type w:val="nextPage"/>
          <w:pgSz w:h="15840" w:w="12240" w:orient="portrait"/>
          <w:pgMar w:bottom="1360" w:top="1880" w:left="1520" w:right="1500" w:header="708" w:footer="1166"/>
        </w:sectPr>
      </w:pPr>
      <w:r w:rsidDel="00000000" w:rsidR="00000000" w:rsidRPr="00000000">
        <w:rPr>
          <w:rFonts w:ascii="Arial Narrow" w:cs="Arial Narrow" w:eastAsia="Arial Narrow" w:hAnsi="Arial Narrow"/>
          <w:i w:val="1"/>
          <w:sz w:val="24"/>
          <w:szCs w:val="24"/>
          <w:rtl w:val="0"/>
        </w:rPr>
        <w:t xml:space="preserve">“El Acuerdo Final se incorporará conforme a las normas constitucionales. De forma prioritaria y urgente se tramitarán los siguientes proyectos normativos conforme al procedimiento establecido en el Acto Legislativo 1 de 2016 o mediante otro Acto legislativo en caso de que el anterior procedimiento no estuviera vigente: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 w:line="259"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spacing w:line="276" w:lineRule="auto"/>
        <w:ind w:left="748" w:right="1097" w:firstLine="0"/>
        <w:jc w:val="both"/>
        <w:rPr>
          <w:rFonts w:ascii="Arial Narrow" w:cs="Arial Narrow" w:eastAsia="Arial Narrow" w:hAnsi="Arial Narrow"/>
          <w:i w:val="1"/>
          <w:sz w:val="24"/>
          <w:szCs w:val="24"/>
        </w:rPr>
      </w:pPr>
      <w:r w:rsidDel="00000000" w:rsidR="00000000" w:rsidRPr="00000000">
        <w:rPr>
          <w:rFonts w:ascii="Arial Narrow" w:cs="Arial Narrow" w:eastAsia="Arial Narrow" w:hAnsi="Arial Narrow"/>
          <w:i w:val="1"/>
          <w:sz w:val="24"/>
          <w:szCs w:val="24"/>
          <w:rtl w:val="0"/>
        </w:rPr>
        <w:t xml:space="preserve">“Ley de tratamiento penal diferenciado para delitos relacionados con los cultivos de uso ilícito, cuando los condenados o procesados sean campesinos no pertenecientes a organizaciones criminales,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40" w:line="259"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Así mismo, el artículo 5 transitorio del Acto Legislativo 01 de 2017, señaló lo siguiente:</w:t>
      </w:r>
    </w:p>
    <w:p w:rsidR="00000000" w:rsidDel="00000000" w:rsidP="00000000" w:rsidRDefault="00000000" w:rsidRPr="00000000" w14:paraId="00000088">
      <w:pPr>
        <w:spacing w:before="177" w:line="276" w:lineRule="auto"/>
        <w:ind w:left="748" w:right="1099" w:firstLine="0"/>
        <w:jc w:val="both"/>
        <w:rPr>
          <w:rFonts w:ascii="Arial Narrow" w:cs="Arial Narrow" w:eastAsia="Arial Narrow" w:hAnsi="Arial Narrow"/>
          <w:i w:val="1"/>
          <w:sz w:val="24"/>
          <w:szCs w:val="24"/>
        </w:rPr>
      </w:pPr>
      <w:r w:rsidDel="00000000" w:rsidR="00000000" w:rsidRPr="00000000">
        <w:rPr>
          <w:rFonts w:ascii="Arial Narrow" w:cs="Arial Narrow" w:eastAsia="Arial Narrow" w:hAnsi="Arial Narrow"/>
          <w:i w:val="1"/>
          <w:sz w:val="24"/>
          <w:szCs w:val="24"/>
          <w:rtl w:val="0"/>
        </w:rPr>
        <w:t xml:space="preserve">“(…) La ley reglamentará el tratamiento penal diferenciado a que se refiere el numeral 4.1.3.4. del Acuerdo Final en lo relativo a la erradicación voluntaria de cultivos ilícitos, y determinará, conforme a lo establecido en el Acuerdo Final, en qué casos y bajo qué circunstancias corresponde a la jurisdicción ordinaria la investigación y juzgamiento de los delitos de conservación y financiamiento de plantaciones (artículo 375 del Código Penal), tráfico, fabricación o porte de estupefacientes (artículo 376 del Código Penal) y destinación ilícita de muebles o inmuebles (artículo 377 del Código Penal) cometidos por las personas respecto de quienes la JEP tendría competencia”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9" w:line="276" w:lineRule="auto"/>
        <w:ind w:left="0" w:right="196"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Atendiendo lo anterior, el acto legislativo incorpora a la Constitución Política una nueva renuncia al ejercicio de la acción penal, a la extinción de la acción penal y extinción de la sanción penal, de acuerdo a lo previsto en el punto 4.1.3.4. del Acuerdo Final de la Habana. Dicho punto contempla dos condiciones particulares para el tratamiento penal diferencial: (i). La suscripción de un compromiso de renuncia a cultivar o mantener los cultivos de uso ilícito; y (ii). Acogerse al Programa de Sustitución de Plantaciones de Uso Ilícito que adopte el Gobierno Nacional.</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8" w:line="276" w:lineRule="auto"/>
        <w:ind w:left="0" w:right="195"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 desarrollo de lo anterior, la presente ley reglamentará el artículo 5 transitorio del Acto Legislativo 01 de 2017, con el fin de permitir que la renuncia a la acción penal, la extinción de la acción penal y la extinción de la sanción penal prevista en el punto 4.1.3.4. del Acuerdo Final, pueda aplicarse a las expresiones de criminalidad ordinaria enunciadas en dicho acto legislativo relacionada con las plantaciones de cultivos de uso ilícito, que por su influencia y conexión con el conflicto armado interno y la relación con la actividad que el grupo armado al margen de la ley desarrollaba en determinado territorio, se incluyeron en el marco de la política y justicia transicional del Estado.</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8" w:line="276" w:lineRule="auto"/>
        <w:ind w:left="0" w:right="195"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38" w:line="276" w:lineRule="auto"/>
        <w:ind w:left="902" w:right="195" w:hanging="36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Programa Nacional de Sustitución de Cultivos</w:t>
      </w:r>
    </w:p>
    <w:p w:rsidR="00000000" w:rsidDel="00000000" w:rsidP="00000000" w:rsidRDefault="00000000" w:rsidRPr="00000000" w14:paraId="0000008D">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El Decreto – Ley 896 de 2017 crea el Programa Nacional Integral de Sustitución de Cultivos de Uso Ilícito (PNIS), a cargo de la Dirección para la Sustitución de Cultivos Ilícitos adscrita a la Alta Consejería Presidencial para el Posconflicto del Departamento Administrativo de la Presidencia de la República. La Dirección desarrollará las funciones relacionadas con el Programa en coordinación con las autoridades del orden nacional y territorial, y la participación de las comunidades. El objeto del PNIS es promover la sustitución voluntaria de cultivos de uso ilícito, a través del desarrollo de programas y proyectos para contribuir a la superación de condiciones de pobreza y marginalidad de las familias campesinas que derivan su subsistencia de los cultivos de uso ilícito.</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8" w:line="276" w:lineRule="auto"/>
        <w:ind w:left="0" w:right="195"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El equipo de seguimiento integral a los programas de Desarrollo Alternativo de UNODC realiza el monitoreo y la verificación del PNIS con el objetivo de evidenciar el cumplimiento de los compromisos que las familias cultivadoras asumen y constatar los avances en la ejecución de los componentes acordados entre el Gobierno de Colombia y las comunidades.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8" w:line="276" w:lineRule="auto"/>
        <w:ind w:left="0" w:right="195"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El proceso de monitoreo y verificación de UNODC comprende cuatro misiones durante toda la implementación del programa. En la primera misión se realiza la caracterización de los cultivos ilícitos a los beneficiarios inscritos como cultivadores (línea base); en la segunda misión se verifica la erradicación voluntaria de los lotes comprometidos; en la tercera misión (seguimiento) se verifica el cumplimiento de los compromisos suscritos en el acuerdo individual y se evidencian los avances en la implementación de los componentes del PAI (Plan de Atención Inmediata) familiar; y en la cuarta misión se obtiene la información para la elaboración de la línea final que permite evaluar los resultados y la efectividad de la intervención.</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8" w:line="276" w:lineRule="auto"/>
        <w:ind w:left="0" w:right="195"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Sin embargo, el PNIS ha presentado fallas en su implementación que hacen pertinente tomar medidas tendientes a reformarlo. Según la Fundación Ideas para la Paz: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8" w:line="276" w:lineRule="auto"/>
        <w:ind w:left="0" w:right="195"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El PNIS debería pasar de un programa enfocado en las familias a ser una plataforma para generar oportunidades en las áreas con presencia de cultivos ilícitos, que logre articular las diferentes acciones del Estado en las zonas donde opera. El Programa no debe continuar operando como una camisa de talla única, sino que debe adaptarse a las condiciones locales.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8" w:line="276" w:lineRule="auto"/>
        <w:ind w:left="0" w:right="195"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38" w:line="276" w:lineRule="auto"/>
        <w:ind w:left="902" w:right="195" w:hanging="36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La inclusión de los pequeños cultivadores en el marco de la Justicia transicional y de la competencia de la justicia ordinaria para conocer del delito de cultivos ilícitos.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40" w:line="276" w:lineRule="auto"/>
        <w:ind w:left="0" w:right="197"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El artículo 66 transitorio de la Constitución Política estableció los instrumentos de justicia transicional que puede implementar el Estado colombiano con la finalidad de “facilitar la terminación del conflicto armado interno y el logro de la paz estable y duradera”, para lo cual el constituyente derivado autoriza la expedición de una ley estatutaria que otorgue un “tratamiento diferenciado para los distintos grupos armados al margen de la ley que hayan sido parte en el conflicto armado interno y también para los agentes del Estado, en relación con su participación en el mismo”.</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40" w:line="276" w:lineRule="auto"/>
        <w:ind w:left="0" w:right="197"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Esta regulación superior, sin embargo, no previó la aplicación de instrumentos de justicia transicional para personas no pertenecientes a los grupos armados al margen de la ley y que tampoco sean agentes del Estado, que hayan podido cometer infracciones a la ley penal como consecuencia del conflicto armado interno o compelidas por la violencia implícita del mismo que los haya conducido a la comisión de actos delictivos.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40" w:line="276" w:lineRule="auto"/>
        <w:ind w:left="0" w:right="197"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 el inciso 4 del artículo transitorio 66, se estableció la figura de la “renuncia condicionada a la persecución judicial penal de todos los casos no seleccionados” por la Fiscalía General de la Nación, figura que tampoco se refiere a personas que no perteneciendo a los grupos armados al margen de la ley hubiesen cometido delitos en el marco del conflicto armado interno.</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40" w:line="276" w:lineRule="auto"/>
        <w:ind w:left="0" w:right="197"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 esta forma, en el diseño constitucional de la política transicional y, en particular, en los instrumentos de justicia transicional que se consagran en la Constitución, quedó un vacío respecto de la situación de los particulares que por virtud del conflicto armado contribuyeron involuntariamente con las fuentes de alimentación o financiación del mismo, o se sometieron a las condiciones que las estructuras ilegales establecían mediante el poder de facto, para garantizar el ejercicio de algunos derechos fundamentales a los habitantes de la regiones que tenían bajo su control.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40" w:line="276" w:lineRule="auto"/>
        <w:ind w:left="0" w:right="197"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Es la situación, por ejemplo, de los pequeños cultivadores de coca, cannabis o amapola, que ejercían esta actividad como único medio adecuado de subsistencia en la región en donde operaban los actores ilegales, y no con el fin de alimentar y financiar el conflicto armado.</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8" w:line="276" w:lineRule="auto"/>
        <w:ind w:left="0" w:right="195"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Así las cosas, el vacío constitucional del artículo 66 transitorio, lo llena el artículo 5 transitorio del Acto Legislativo 01 de 2017, permitiendo que los pequeños cultivadores examinados en el Acuerdo Final para la terminación del conflicto y la consolidación de una Paz estable y duradera, sean favorecidos con mecanismos de justicia transicional para abandonar las actividades ilegales y reincorporarse a la economía lícita del país.</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9" w:line="276" w:lineRule="auto"/>
        <w:ind w:left="0" w:right="195"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El referido artículo 5 transitorio del Acto Legislativo 01 de 2017 advierte la necesidad de diferenciar en qué casos y bajo qué circunstancias corresponde a la jurisdicción ordinaria investigar y juzgar la conducta delictiva cometida por los pequeños cultivadores.</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8" w:line="276" w:lineRule="auto"/>
        <w:ind w:left="0" w:right="199"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Como se referencia en el enunciado artículo, la Jurisdicción Especial para la Paz conocerá de manera preferente y de forma exclusiva de las conductas delictivas cometidas, por causa, con ocasión o en relación directa o indirecta con el marco del conflicto armado, para los combatientes de los grupos armados al margen de la ley que hayan suscrito con el Gobierno Nacional un Acuerdo de Paz, Agentes del Estado y Terceros no pertenecientes a organizaciones o grupos armados. De acuerdo con la anterior disposición, la Jurisdicción Especial para la Paz tendría competencia para conocer del delito de conservación y financiación de plantaciones cuando es cometido por los sujetos allí definidos y bajo circunstancias especiales, como lo es el ánimo de alimentar o financiar el conflicto armado.</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42" w:line="276" w:lineRule="auto"/>
        <w:ind w:left="0" w:right="196"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Frente a la situación de los pequeños cultivadores que reglamenta la presente ley, es decir, aquellos que cometieron el delito de conservación y financiación de plantaciones como consecuencia del conflicto interno o compelidos por la violencia implícita del mismo o por las condiciones que las estructuras ilegales establecían mediante el poder de facto para garantizar el ejercicio de algunos derechos fundamentales a los habitantes de la regiones que tenían bajo su control o que cultivaban plantaciones de uso ilícito como único medio adecuado de subsistencia en la región en donde operaban los actores ilegales, y que por ende contribuyeron involuntariamente a la financiación y alimentación del conflicto; no tendría competencia la Jurisdicción Especial para Paz</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42" w:line="276" w:lineRule="auto"/>
        <w:ind w:left="0" w:right="196"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Además, no debe perderse de vista que la Jurisdicción especial para la Paz consagra otros elementos que impedirían el ejercicio de su competencia para conocer de la conducta de los pequeños cultivadores, por cuanto no podrían cumplir las siguientes condiciones: (i) la dejación de las armas; (ii) el reconocimiento de responsabilidad; (iii) la contribución al esclarecimiento de la verdad y a la reparación integral de las víctimas; (iv) la liberación de los secuestrados, y (v) la desvinculación de los menores de edad reclutados ilícitamente que se encuentren en poder de los grupos armados al margen de la ley.</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8" w:line="276" w:lineRule="auto"/>
        <w:ind w:left="0" w:right="195"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Así los cosas, la conducta de conservación y financiación de plantaciones de uso ilícito cuando es cometida por el pequeño cultivador que cobija la presente ley, estará sometida a la competencia de la justicia ordinaria en el marco de la renuncia al ejercicio de la acción penal, a la extinción de la acción penal y extinción de la sanción penal incorporada en la Constitución Política a través del artículo 5 del acto legislativo 01 de 2017.</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9" w:line="276" w:lineRule="auto"/>
        <w:ind w:left="0" w:right="193"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 conclusión del presente capítulo, la presente ley, con el fin de garantizar la sostenibilidad del Acuerdo Final en cuanto a la exigencia del punto 4 de lograr una solución al problema de las drogas ilícitas, pretende encontrar una solución al problema de los cultivos ilícitos dentro del marco de una política dirigida a la solución conjunta e integral que atienda las causas y consecuencias de dicho fenómeno y que permita el perfeccionamiento de estrategias que aporten al desarrollo económico y social de las poblaciones afectadas por los cultivos de uso ilícito.</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9" w:line="276" w:lineRule="auto"/>
        <w:ind w:left="0" w:right="193"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9" w:line="276" w:lineRule="auto"/>
        <w:ind w:left="0" w:right="193"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 usted, respetuosamente: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9" w:line="276" w:lineRule="auto"/>
        <w:ind w:left="0" w:right="193"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9" w:line="276" w:lineRule="auto"/>
        <w:ind w:left="0" w:right="193"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spacing w:line="276"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DIÓGENES QUINTERO AMAYA</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Representante a la Cámara</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Catatumbo</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882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14"/>
        <w:gridCol w:w="4414"/>
        <w:tblGridChange w:id="0">
          <w:tblGrid>
            <w:gridCol w:w="4414"/>
            <w:gridCol w:w="4414"/>
          </w:tblGrid>
        </w:tblGridChange>
      </w:tblGrid>
      <w:tr>
        <w:trPr>
          <w:cantSplit w:val="0"/>
          <w:tblHeader w:val="0"/>
        </w:trPr>
        <w:tc>
          <w:tcPr>
            <w:vAlign w:val="bottom"/>
          </w:tcPr>
          <w:p w:rsidR="00000000" w:rsidDel="00000000" w:rsidP="00000000" w:rsidRDefault="00000000" w:rsidRPr="00000000" w14:paraId="000000A9">
            <w:pPr>
              <w:spacing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A">
            <w:pPr>
              <w:spacing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B">
            <w:pPr>
              <w:spacing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C">
            <w:pPr>
              <w:spacing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D">
            <w:pPr>
              <w:spacing w:line="276" w:lineRule="auto"/>
              <w:jc w:val="center"/>
              <w:rPr>
                <w:rFonts w:ascii="Arial Narrow" w:cs="Arial Narrow" w:eastAsia="Arial Narrow" w:hAnsi="Arial Narrow"/>
                <w:sz w:val="24"/>
                <w:szCs w:val="24"/>
              </w:rPr>
            </w:pPr>
            <w:r w:rsidDel="00000000" w:rsidR="00000000" w:rsidRPr="00000000">
              <w:rPr>
                <w:rtl w:val="0"/>
              </w:rPr>
            </w:r>
          </w:p>
        </w:tc>
        <w:tc>
          <w:tcPr>
            <w:vAlign w:val="bottom"/>
          </w:tcPr>
          <w:p w:rsidR="00000000" w:rsidDel="00000000" w:rsidP="00000000" w:rsidRDefault="00000000" w:rsidRPr="00000000" w14:paraId="000000AE">
            <w:pPr>
              <w:spacing w:line="276" w:lineRule="auto"/>
              <w:jc w:val="center"/>
              <w:rPr>
                <w:rFonts w:ascii="Arial Narrow" w:cs="Arial Narrow" w:eastAsia="Arial Narrow" w:hAnsi="Arial Narrow"/>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AF">
            <w:pPr>
              <w:spacing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0">
            <w:pPr>
              <w:spacing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1">
            <w:pPr>
              <w:spacing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2">
            <w:pPr>
              <w:spacing w:line="276" w:lineRule="auto"/>
              <w:jc w:val="center"/>
              <w:rPr>
                <w:rFonts w:ascii="Arial Narrow" w:cs="Arial Narrow" w:eastAsia="Arial Narrow" w:hAnsi="Arial Narrow"/>
                <w:sz w:val="24"/>
                <w:szCs w:val="24"/>
              </w:rPr>
            </w:pPr>
            <w:r w:rsidDel="00000000" w:rsidR="00000000" w:rsidRPr="00000000">
              <w:rPr>
                <w:rtl w:val="0"/>
              </w:rPr>
            </w:r>
          </w:p>
        </w:tc>
        <w:tc>
          <w:tcPr>
            <w:vAlign w:val="bottom"/>
          </w:tcPr>
          <w:p w:rsidR="00000000" w:rsidDel="00000000" w:rsidP="00000000" w:rsidRDefault="00000000" w:rsidRPr="00000000" w14:paraId="000000B3">
            <w:pPr>
              <w:spacing w:line="276" w:lineRule="auto"/>
              <w:jc w:val="center"/>
              <w:rPr>
                <w:rFonts w:ascii="Arial Narrow" w:cs="Arial Narrow" w:eastAsia="Arial Narrow" w:hAnsi="Arial Narrow"/>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B4">
            <w:pPr>
              <w:spacing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5">
            <w:pPr>
              <w:spacing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6">
            <w:pPr>
              <w:spacing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7">
            <w:pPr>
              <w:spacing w:line="276" w:lineRule="auto"/>
              <w:jc w:val="center"/>
              <w:rPr>
                <w:rFonts w:ascii="Arial Narrow" w:cs="Arial Narrow" w:eastAsia="Arial Narrow" w:hAnsi="Arial Narrow"/>
                <w:sz w:val="24"/>
                <w:szCs w:val="24"/>
              </w:rPr>
            </w:pPr>
            <w:r w:rsidDel="00000000" w:rsidR="00000000" w:rsidRPr="00000000">
              <w:rPr>
                <w:rtl w:val="0"/>
              </w:rPr>
            </w:r>
          </w:p>
        </w:tc>
        <w:tc>
          <w:tcPr>
            <w:vAlign w:val="bottom"/>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BD">
            <w:pPr>
              <w:spacing w:line="276" w:lineRule="auto"/>
              <w:jc w:val="center"/>
              <w:rPr>
                <w:rFonts w:ascii="Arial Narrow" w:cs="Arial Narrow" w:eastAsia="Arial Narrow" w:hAnsi="Arial Narrow"/>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BE">
            <w:pPr>
              <w:spacing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F">
            <w:pPr>
              <w:spacing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0">
            <w:pPr>
              <w:spacing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1">
            <w:pPr>
              <w:spacing w:line="276" w:lineRule="auto"/>
              <w:jc w:val="center"/>
              <w:rPr>
                <w:rFonts w:ascii="Arial Narrow" w:cs="Arial Narrow" w:eastAsia="Arial Narrow" w:hAnsi="Arial Narrow"/>
                <w:sz w:val="24"/>
                <w:szCs w:val="24"/>
              </w:rPr>
            </w:pPr>
            <w:r w:rsidDel="00000000" w:rsidR="00000000" w:rsidRPr="00000000">
              <w:rPr>
                <w:rtl w:val="0"/>
              </w:rPr>
            </w:r>
          </w:p>
        </w:tc>
        <w:tc>
          <w:tcPr>
            <w:vAlign w:val="bottom"/>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CC">
            <w:pPr>
              <w:spacing w:line="276" w:lineRule="auto"/>
              <w:jc w:val="center"/>
              <w:rPr>
                <w:rFonts w:ascii="Arial Narrow" w:cs="Arial Narrow" w:eastAsia="Arial Narrow" w:hAnsi="Arial Narrow"/>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9" w:line="276" w:lineRule="auto"/>
        <w:ind w:left="0" w:right="193"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5840" w:w="12240" w:orient="portrait"/>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Arial Narro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1023930</wp:posOffset>
          </wp:positionH>
          <wp:positionV relativeFrom="paragraph">
            <wp:posOffset>-240029</wp:posOffset>
          </wp:positionV>
          <wp:extent cx="1404000" cy="666000"/>
          <wp:effectExtent b="0" l="0" r="0" t="0"/>
          <wp:wrapNone/>
          <wp:docPr descr="Logotipo&#10;&#10;Descripción generada automáticamente" id="1" name="image1.png"/>
          <a:graphic>
            <a:graphicData uri="http://schemas.openxmlformats.org/drawingml/2006/picture">
              <pic:pic>
                <pic:nvPicPr>
                  <pic:cNvPr descr="Logotipo&#10;&#10;Descripción generada automáticamente" id="0" name="image1.png"/>
                  <pic:cNvPicPr preferRelativeResize="0"/>
                </pic:nvPicPr>
                <pic:blipFill>
                  <a:blip r:embed="rId1"/>
                  <a:srcRect b="26000" l="0" r="0" t="26400"/>
                  <a:stretch>
                    <a:fillRect/>
                  </a:stretch>
                </pic:blipFill>
                <pic:spPr>
                  <a:xfrm>
                    <a:off x="0" y="0"/>
                    <a:ext cx="1404000" cy="666000"/>
                  </a:xfrm>
                  <a:prstGeom prst="rect"/>
                  <a:ln/>
                </pic:spPr>
              </pic:pic>
            </a:graphicData>
          </a:graphic>
        </wp:anchor>
      </w:drawing>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902" w:hanging="360"/>
      </w:pPr>
      <w:rPr/>
    </w:lvl>
    <w:lvl w:ilvl="1">
      <w:start w:val="1"/>
      <w:numFmt w:val="decimal"/>
      <w:lvlText w:val="%1.%2."/>
      <w:lvlJc w:val="left"/>
      <w:pPr>
        <w:ind w:left="182" w:hanging="535"/>
      </w:pPr>
      <w:rPr>
        <w:rFonts w:ascii="Arial" w:cs="Arial" w:eastAsia="Arial" w:hAnsi="Arial"/>
        <w:b w:val="1"/>
        <w:i w:val="0"/>
        <w:sz w:val="22"/>
        <w:szCs w:val="22"/>
      </w:rPr>
    </w:lvl>
    <w:lvl w:ilvl="2">
      <w:start w:val="0"/>
      <w:numFmt w:val="bullet"/>
      <w:lvlText w:val="•"/>
      <w:lvlJc w:val="left"/>
      <w:pPr>
        <w:ind w:left="1824" w:hanging="535"/>
      </w:pPr>
      <w:rPr/>
    </w:lvl>
    <w:lvl w:ilvl="3">
      <w:start w:val="0"/>
      <w:numFmt w:val="bullet"/>
      <w:lvlText w:val="•"/>
      <w:lvlJc w:val="left"/>
      <w:pPr>
        <w:ind w:left="2748" w:hanging="535"/>
      </w:pPr>
      <w:rPr/>
    </w:lvl>
    <w:lvl w:ilvl="4">
      <w:start w:val="0"/>
      <w:numFmt w:val="bullet"/>
      <w:lvlText w:val="•"/>
      <w:lvlJc w:val="left"/>
      <w:pPr>
        <w:ind w:left="3673" w:hanging="535"/>
      </w:pPr>
      <w:rPr/>
    </w:lvl>
    <w:lvl w:ilvl="5">
      <w:start w:val="0"/>
      <w:numFmt w:val="bullet"/>
      <w:lvlText w:val="•"/>
      <w:lvlJc w:val="left"/>
      <w:pPr>
        <w:ind w:left="4597" w:hanging="535"/>
      </w:pPr>
      <w:rPr/>
    </w:lvl>
    <w:lvl w:ilvl="6">
      <w:start w:val="0"/>
      <w:numFmt w:val="bullet"/>
      <w:lvlText w:val="•"/>
      <w:lvlJc w:val="left"/>
      <w:pPr>
        <w:ind w:left="5522" w:hanging="535"/>
      </w:pPr>
      <w:rPr/>
    </w:lvl>
    <w:lvl w:ilvl="7">
      <w:start w:val="0"/>
      <w:numFmt w:val="bullet"/>
      <w:lvlText w:val="•"/>
      <w:lvlJc w:val="left"/>
      <w:pPr>
        <w:ind w:left="6446" w:hanging="535"/>
      </w:pPr>
      <w:rPr/>
    </w:lvl>
    <w:lvl w:ilvl="8">
      <w:start w:val="0"/>
      <w:numFmt w:val="bullet"/>
      <w:lvlText w:val="•"/>
      <w:lvlJc w:val="left"/>
      <w:pPr>
        <w:ind w:left="7371" w:hanging="535"/>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82"/>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