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D5D5" w14:textId="77777777" w:rsidR="00914A24" w:rsidRPr="00F3416B" w:rsidRDefault="00914A24" w:rsidP="00914A24">
      <w:pPr>
        <w:jc w:val="right"/>
        <w:rPr>
          <w:rFonts w:ascii="Arial" w:eastAsia="Bookman Old Style" w:hAnsi="Arial" w:cs="Arial"/>
          <w:b/>
          <w:sz w:val="24"/>
          <w:szCs w:val="24"/>
        </w:rPr>
      </w:pPr>
      <w:r w:rsidRPr="00F3416B">
        <w:rPr>
          <w:rFonts w:ascii="Arial" w:eastAsia="Bookman Old Style" w:hAnsi="Arial" w:cs="Arial"/>
          <w:b/>
          <w:sz w:val="24"/>
          <w:szCs w:val="24"/>
        </w:rPr>
        <w:t>Bogotá D.C., 15 de diciembre de 2022</w:t>
      </w:r>
    </w:p>
    <w:p w14:paraId="66A4082B" w14:textId="77777777" w:rsidR="00914A24" w:rsidRPr="00F3416B" w:rsidRDefault="00914A24" w:rsidP="00914A24">
      <w:pPr>
        <w:rPr>
          <w:rFonts w:ascii="Arial" w:eastAsia="Bookman Old Style" w:hAnsi="Arial" w:cs="Arial"/>
          <w:b/>
          <w:sz w:val="24"/>
          <w:szCs w:val="24"/>
        </w:rPr>
      </w:pPr>
    </w:p>
    <w:p w14:paraId="3DDA57E0" w14:textId="77777777" w:rsidR="00914A24" w:rsidRPr="00F3416B" w:rsidRDefault="00914A24" w:rsidP="00914A24">
      <w:pPr>
        <w:rPr>
          <w:rFonts w:ascii="Arial" w:eastAsia="Bookman Old Style" w:hAnsi="Arial" w:cs="Arial"/>
          <w:sz w:val="24"/>
          <w:szCs w:val="24"/>
        </w:rPr>
      </w:pPr>
    </w:p>
    <w:p w14:paraId="7C6A08AF" w14:textId="77777777" w:rsidR="00914A24" w:rsidRPr="00F3416B" w:rsidRDefault="00914A24" w:rsidP="00914A24">
      <w:pPr>
        <w:rPr>
          <w:rFonts w:ascii="Arial" w:eastAsia="Bookman Old Style" w:hAnsi="Arial" w:cs="Arial"/>
          <w:sz w:val="24"/>
          <w:szCs w:val="24"/>
        </w:rPr>
      </w:pPr>
    </w:p>
    <w:p w14:paraId="0ADC1963" w14:textId="77777777" w:rsidR="00914A24" w:rsidRDefault="00914A24" w:rsidP="00914A24">
      <w:pPr>
        <w:pStyle w:val="Sinespaciado"/>
        <w:spacing w:line="276" w:lineRule="auto"/>
        <w:rPr>
          <w:rFonts w:ascii="Arial" w:hAnsi="Arial" w:cs="Arial"/>
          <w:sz w:val="24"/>
          <w:szCs w:val="24"/>
        </w:rPr>
      </w:pPr>
      <w:r>
        <w:rPr>
          <w:rFonts w:ascii="Arial" w:hAnsi="Arial" w:cs="Arial"/>
          <w:sz w:val="24"/>
          <w:szCs w:val="24"/>
        </w:rPr>
        <w:t>Doctor:</w:t>
      </w:r>
    </w:p>
    <w:p w14:paraId="38C6AF86" w14:textId="77777777" w:rsidR="00914A24" w:rsidRPr="00D058AA" w:rsidRDefault="00914A24" w:rsidP="00914A24">
      <w:pPr>
        <w:pStyle w:val="Sinespaciado"/>
        <w:spacing w:line="276" w:lineRule="auto"/>
        <w:rPr>
          <w:rFonts w:ascii="Arial" w:hAnsi="Arial" w:cs="Arial"/>
          <w:b/>
          <w:bCs/>
          <w:sz w:val="24"/>
          <w:szCs w:val="24"/>
        </w:rPr>
      </w:pPr>
      <w:r w:rsidRPr="00D058AA">
        <w:rPr>
          <w:rFonts w:ascii="Arial" w:hAnsi="Arial" w:cs="Arial"/>
          <w:b/>
          <w:bCs/>
          <w:sz w:val="24"/>
          <w:szCs w:val="24"/>
        </w:rPr>
        <w:t>JAIME LUIS LACOUTURE PEÑALOZA</w:t>
      </w:r>
    </w:p>
    <w:p w14:paraId="3948893D" w14:textId="77777777" w:rsidR="00914A24" w:rsidRDefault="00914A24" w:rsidP="00914A24">
      <w:pPr>
        <w:pStyle w:val="Sinespaciado"/>
        <w:spacing w:line="276" w:lineRule="auto"/>
        <w:rPr>
          <w:rFonts w:ascii="Arial" w:hAnsi="Arial" w:cs="Arial"/>
          <w:sz w:val="24"/>
          <w:szCs w:val="24"/>
        </w:rPr>
      </w:pPr>
      <w:r>
        <w:rPr>
          <w:rFonts w:ascii="Arial" w:hAnsi="Arial" w:cs="Arial"/>
          <w:sz w:val="24"/>
          <w:szCs w:val="24"/>
        </w:rPr>
        <w:t xml:space="preserve">Secretario General </w:t>
      </w:r>
    </w:p>
    <w:p w14:paraId="2EC5AFAB" w14:textId="77777777" w:rsidR="00914A24" w:rsidRPr="006A2CAA" w:rsidRDefault="00914A24" w:rsidP="00914A24">
      <w:pPr>
        <w:pStyle w:val="Sinespaciado"/>
        <w:spacing w:line="276" w:lineRule="auto"/>
        <w:rPr>
          <w:rFonts w:ascii="Arial" w:hAnsi="Arial" w:cs="Arial"/>
          <w:sz w:val="24"/>
          <w:szCs w:val="24"/>
        </w:rPr>
      </w:pPr>
      <w:r>
        <w:rPr>
          <w:rFonts w:ascii="Arial" w:hAnsi="Arial" w:cs="Arial"/>
          <w:sz w:val="24"/>
          <w:szCs w:val="24"/>
        </w:rPr>
        <w:t xml:space="preserve">Honorable </w:t>
      </w:r>
      <w:r w:rsidRPr="006A2CAA">
        <w:rPr>
          <w:rFonts w:ascii="Arial" w:hAnsi="Arial" w:cs="Arial"/>
          <w:sz w:val="24"/>
          <w:szCs w:val="24"/>
        </w:rPr>
        <w:t>Cámara de Representantes</w:t>
      </w:r>
    </w:p>
    <w:p w14:paraId="70F10A09" w14:textId="77777777" w:rsidR="00914A24" w:rsidRPr="006A2CAA" w:rsidRDefault="00914A24" w:rsidP="00914A24">
      <w:pPr>
        <w:pStyle w:val="Sinespaciado"/>
        <w:spacing w:line="276" w:lineRule="auto"/>
        <w:rPr>
          <w:rFonts w:ascii="Arial" w:hAnsi="Arial" w:cs="Arial"/>
          <w:b/>
          <w:sz w:val="24"/>
          <w:szCs w:val="24"/>
        </w:rPr>
      </w:pPr>
      <w:r w:rsidRPr="006A2CAA">
        <w:rPr>
          <w:rFonts w:ascii="Arial" w:hAnsi="Arial" w:cs="Arial"/>
          <w:sz w:val="24"/>
          <w:szCs w:val="24"/>
        </w:rPr>
        <w:t>Ciudad</w:t>
      </w:r>
    </w:p>
    <w:p w14:paraId="6A1AF015" w14:textId="77777777" w:rsidR="00914A24" w:rsidRPr="00F3416B" w:rsidRDefault="00914A24" w:rsidP="00914A24">
      <w:pPr>
        <w:rPr>
          <w:rFonts w:ascii="Arial" w:eastAsia="Bookman Old Style" w:hAnsi="Arial" w:cs="Arial"/>
          <w:b/>
          <w:sz w:val="24"/>
          <w:szCs w:val="24"/>
        </w:rPr>
      </w:pPr>
    </w:p>
    <w:p w14:paraId="2679365D" w14:textId="77777777" w:rsidR="00914A24" w:rsidRPr="00F3416B" w:rsidRDefault="00914A24" w:rsidP="00914A24">
      <w:pPr>
        <w:rPr>
          <w:rFonts w:ascii="Arial" w:eastAsia="Bookman Old Style" w:hAnsi="Arial" w:cs="Arial"/>
          <w:b/>
          <w:sz w:val="24"/>
          <w:szCs w:val="24"/>
        </w:rPr>
      </w:pPr>
    </w:p>
    <w:p w14:paraId="1327545F" w14:textId="77777777" w:rsidR="00914A24" w:rsidRPr="00F3416B" w:rsidRDefault="00914A24" w:rsidP="00914A24">
      <w:pPr>
        <w:rPr>
          <w:rFonts w:ascii="Arial" w:eastAsia="Bookman Old Style" w:hAnsi="Arial" w:cs="Arial"/>
          <w:b/>
          <w:sz w:val="24"/>
          <w:szCs w:val="24"/>
        </w:rPr>
      </w:pPr>
    </w:p>
    <w:p w14:paraId="66DC7808" w14:textId="77777777" w:rsidR="00914A24" w:rsidRPr="00F3416B" w:rsidRDefault="00914A24" w:rsidP="00914A24">
      <w:pPr>
        <w:jc w:val="right"/>
        <w:rPr>
          <w:rFonts w:ascii="Arial" w:eastAsia="Bookman Old Style" w:hAnsi="Arial" w:cs="Arial"/>
          <w:b/>
          <w:sz w:val="24"/>
          <w:szCs w:val="24"/>
        </w:rPr>
      </w:pPr>
      <w:r w:rsidRPr="00F3416B">
        <w:rPr>
          <w:rFonts w:ascii="Arial" w:eastAsia="Bookman Old Style" w:hAnsi="Arial" w:cs="Arial"/>
          <w:b/>
          <w:sz w:val="24"/>
          <w:szCs w:val="24"/>
        </w:rPr>
        <w:t>REF: RADICACIÓN PROYECTO DE LEY</w:t>
      </w:r>
    </w:p>
    <w:p w14:paraId="32F5BB99" w14:textId="77777777" w:rsidR="00914A24" w:rsidRPr="00F3416B" w:rsidRDefault="00914A24" w:rsidP="00914A24">
      <w:pPr>
        <w:jc w:val="right"/>
        <w:rPr>
          <w:rFonts w:ascii="Arial" w:eastAsia="Bookman Old Style" w:hAnsi="Arial" w:cs="Arial"/>
          <w:b/>
          <w:sz w:val="24"/>
          <w:szCs w:val="24"/>
        </w:rPr>
      </w:pPr>
    </w:p>
    <w:p w14:paraId="182ABD9E" w14:textId="77777777" w:rsidR="00914A24" w:rsidRPr="00F3416B" w:rsidRDefault="00914A24" w:rsidP="00914A24">
      <w:pPr>
        <w:rPr>
          <w:rFonts w:ascii="Arial" w:eastAsia="Bookman Old Style" w:hAnsi="Arial" w:cs="Arial"/>
          <w:b/>
          <w:sz w:val="24"/>
          <w:szCs w:val="24"/>
        </w:rPr>
      </w:pPr>
    </w:p>
    <w:p w14:paraId="3AB9127E" w14:textId="77777777" w:rsidR="00914A24" w:rsidRPr="00F3416B" w:rsidRDefault="00914A24" w:rsidP="00914A24">
      <w:pPr>
        <w:jc w:val="both"/>
        <w:rPr>
          <w:rFonts w:ascii="Arial" w:eastAsia="Bookman Old Style" w:hAnsi="Arial" w:cs="Arial"/>
          <w:sz w:val="24"/>
          <w:szCs w:val="24"/>
        </w:rPr>
      </w:pPr>
      <w:r w:rsidRPr="00F3416B">
        <w:rPr>
          <w:rFonts w:ascii="Arial" w:eastAsia="Bookman Old Style" w:hAnsi="Arial" w:cs="Arial"/>
          <w:sz w:val="24"/>
          <w:szCs w:val="24"/>
        </w:rPr>
        <w:t xml:space="preserve">En </w:t>
      </w:r>
      <w:r>
        <w:rPr>
          <w:rFonts w:ascii="Arial" w:eastAsia="Bookman Old Style" w:hAnsi="Arial" w:cs="Arial"/>
          <w:sz w:val="24"/>
          <w:szCs w:val="24"/>
        </w:rPr>
        <w:t>mi</w:t>
      </w:r>
      <w:r w:rsidRPr="00F3416B">
        <w:rPr>
          <w:rFonts w:ascii="Arial" w:eastAsia="Bookman Old Style" w:hAnsi="Arial" w:cs="Arial"/>
          <w:sz w:val="24"/>
          <w:szCs w:val="24"/>
        </w:rPr>
        <w:t xml:space="preserve"> condición de miembro del Congreso de la República y en uso del derecho consagrado en el artículo 150 de la Constitución Política de Colombia, por su digno conducto </w:t>
      </w:r>
      <w:r>
        <w:rPr>
          <w:rFonts w:ascii="Arial" w:eastAsia="Bookman Old Style" w:hAnsi="Arial" w:cs="Arial"/>
          <w:sz w:val="24"/>
          <w:szCs w:val="24"/>
        </w:rPr>
        <w:t>me</w:t>
      </w:r>
      <w:r w:rsidRPr="00F3416B">
        <w:rPr>
          <w:rFonts w:ascii="Arial" w:eastAsia="Bookman Old Style" w:hAnsi="Arial" w:cs="Arial"/>
          <w:sz w:val="24"/>
          <w:szCs w:val="24"/>
        </w:rPr>
        <w:t xml:space="preserve"> permi</w:t>
      </w:r>
      <w:r>
        <w:rPr>
          <w:rFonts w:ascii="Arial" w:eastAsia="Bookman Old Style" w:hAnsi="Arial" w:cs="Arial"/>
          <w:sz w:val="24"/>
          <w:szCs w:val="24"/>
        </w:rPr>
        <w:t>to</w:t>
      </w:r>
      <w:r w:rsidRPr="00F3416B">
        <w:rPr>
          <w:rFonts w:ascii="Arial" w:eastAsia="Bookman Old Style" w:hAnsi="Arial" w:cs="Arial"/>
          <w:sz w:val="24"/>
          <w:szCs w:val="24"/>
        </w:rPr>
        <w:t xml:space="preserve"> poner a consideración de la Honorable Cámara de Representantes el siguiente proyecto de ley “Por el cual se modifican los artículos 2 y 5 de la ley 963 de 2005”. </w:t>
      </w:r>
      <w:r w:rsidRPr="00F3416B">
        <w:rPr>
          <w:rFonts w:ascii="Arial" w:eastAsia="Bookman Old Style" w:hAnsi="Arial" w:cs="Arial"/>
          <w:b/>
          <w:sz w:val="24"/>
          <w:szCs w:val="24"/>
        </w:rPr>
        <w:t>(Estabilidad Jurídica)</w:t>
      </w:r>
    </w:p>
    <w:p w14:paraId="6907392C" w14:textId="77777777" w:rsidR="00914A24" w:rsidRPr="00F3416B" w:rsidRDefault="00914A24" w:rsidP="00914A24">
      <w:pPr>
        <w:jc w:val="both"/>
        <w:rPr>
          <w:rFonts w:ascii="Arial" w:eastAsia="Bookman Old Style" w:hAnsi="Arial" w:cs="Arial"/>
          <w:sz w:val="24"/>
          <w:szCs w:val="24"/>
        </w:rPr>
      </w:pPr>
    </w:p>
    <w:p w14:paraId="55293F2D" w14:textId="77777777" w:rsidR="00914A24" w:rsidRPr="00F3416B" w:rsidRDefault="00914A24" w:rsidP="00914A24">
      <w:pPr>
        <w:jc w:val="both"/>
        <w:rPr>
          <w:rFonts w:ascii="Arial" w:eastAsia="Bookman Old Style" w:hAnsi="Arial" w:cs="Arial"/>
          <w:sz w:val="24"/>
          <w:szCs w:val="24"/>
        </w:rPr>
      </w:pPr>
      <w:r w:rsidRPr="00F3416B">
        <w:rPr>
          <w:rFonts w:ascii="Arial" w:eastAsia="Bookman Old Style" w:hAnsi="Arial" w:cs="Arial"/>
          <w:sz w:val="24"/>
          <w:szCs w:val="24"/>
        </w:rPr>
        <w:t xml:space="preserve">Cordialmente, </w:t>
      </w:r>
    </w:p>
    <w:p w14:paraId="2A69744B" w14:textId="77777777" w:rsidR="00914A24" w:rsidRPr="00F3416B" w:rsidRDefault="00914A24" w:rsidP="00914A24">
      <w:pPr>
        <w:jc w:val="both"/>
        <w:rPr>
          <w:rFonts w:ascii="Arial" w:eastAsia="Bookman Old Style" w:hAnsi="Arial" w:cs="Arial"/>
          <w:sz w:val="24"/>
          <w:szCs w:val="24"/>
        </w:rPr>
      </w:pPr>
    </w:p>
    <w:p w14:paraId="2A9F3E02" w14:textId="77777777" w:rsidR="00914A24" w:rsidRPr="00F3416B" w:rsidRDefault="00914A24" w:rsidP="00914A24">
      <w:pPr>
        <w:tabs>
          <w:tab w:val="right" w:pos="8838"/>
        </w:tabs>
        <w:rPr>
          <w:rFonts w:ascii="Arial" w:eastAsia="Bookman Old Style" w:hAnsi="Arial" w:cs="Arial"/>
          <w:b/>
          <w:sz w:val="24"/>
          <w:szCs w:val="24"/>
        </w:rPr>
      </w:pPr>
    </w:p>
    <w:p w14:paraId="3A1AA79F" w14:textId="77777777" w:rsidR="00914A24" w:rsidRPr="00F3416B" w:rsidRDefault="00914A24" w:rsidP="00914A24">
      <w:pPr>
        <w:tabs>
          <w:tab w:val="right" w:pos="8838"/>
        </w:tabs>
        <w:jc w:val="center"/>
        <w:rPr>
          <w:rFonts w:ascii="Arial" w:eastAsia="Bookman Old Style" w:hAnsi="Arial" w:cs="Arial"/>
          <w:b/>
          <w:sz w:val="24"/>
          <w:szCs w:val="24"/>
        </w:rPr>
      </w:pPr>
    </w:p>
    <w:p w14:paraId="2B9D50E2" w14:textId="77777777" w:rsidR="00914A24" w:rsidRPr="00F3416B" w:rsidRDefault="00914A24" w:rsidP="00914A24">
      <w:pPr>
        <w:tabs>
          <w:tab w:val="right" w:pos="8838"/>
        </w:tabs>
        <w:jc w:val="center"/>
        <w:rPr>
          <w:rFonts w:ascii="Arial" w:eastAsia="Bookman Old Style" w:hAnsi="Arial" w:cs="Arial"/>
          <w:b/>
          <w:sz w:val="24"/>
          <w:szCs w:val="24"/>
        </w:rPr>
      </w:pPr>
      <w:r w:rsidRPr="00F3416B">
        <w:rPr>
          <w:rFonts w:ascii="Arial" w:eastAsia="Bookman Old Style" w:hAnsi="Arial" w:cs="Arial"/>
          <w:b/>
          <w:sz w:val="24"/>
          <w:szCs w:val="24"/>
        </w:rPr>
        <w:t>EDINSON VLADIMIR OLAYA MANCIPE</w:t>
      </w:r>
    </w:p>
    <w:p w14:paraId="4D34CAF0" w14:textId="77777777" w:rsidR="00914A24" w:rsidRPr="00F3416B" w:rsidRDefault="00914A24" w:rsidP="00914A24">
      <w:pPr>
        <w:tabs>
          <w:tab w:val="right" w:pos="8838"/>
        </w:tabs>
        <w:jc w:val="center"/>
        <w:rPr>
          <w:rFonts w:ascii="Arial" w:eastAsia="Bookman Old Style" w:hAnsi="Arial" w:cs="Arial"/>
          <w:sz w:val="24"/>
          <w:szCs w:val="24"/>
        </w:rPr>
      </w:pPr>
      <w:r w:rsidRPr="00F3416B">
        <w:rPr>
          <w:rFonts w:ascii="Arial" w:eastAsia="Bookman Old Style" w:hAnsi="Arial" w:cs="Arial"/>
          <w:sz w:val="24"/>
          <w:szCs w:val="24"/>
        </w:rPr>
        <w:t>Representante a la Cámara por Casanare</w:t>
      </w:r>
    </w:p>
    <w:p w14:paraId="7D5A350C" w14:textId="77777777" w:rsidR="00914A24" w:rsidRPr="00F3416B" w:rsidRDefault="00914A24" w:rsidP="00914A24">
      <w:pPr>
        <w:jc w:val="center"/>
        <w:rPr>
          <w:rFonts w:ascii="Arial" w:eastAsia="Bookman Old Style" w:hAnsi="Arial" w:cs="Arial"/>
          <w:sz w:val="24"/>
          <w:szCs w:val="24"/>
        </w:rPr>
      </w:pPr>
      <w:r w:rsidRPr="00F3416B">
        <w:rPr>
          <w:rFonts w:ascii="Arial" w:eastAsia="Bookman Old Style" w:hAnsi="Arial" w:cs="Arial"/>
          <w:sz w:val="24"/>
          <w:szCs w:val="24"/>
        </w:rPr>
        <w:t>Partido Centro Democrático</w:t>
      </w:r>
    </w:p>
    <w:p w14:paraId="08B201BA" w14:textId="77777777" w:rsidR="00914A24" w:rsidRPr="00F3416B" w:rsidRDefault="00914A24" w:rsidP="00914A24">
      <w:pPr>
        <w:rPr>
          <w:rFonts w:ascii="Arial" w:eastAsia="Bookman Old Style" w:hAnsi="Arial" w:cs="Arial"/>
          <w:b/>
          <w:sz w:val="24"/>
          <w:szCs w:val="24"/>
        </w:rPr>
      </w:pPr>
    </w:p>
    <w:p w14:paraId="2FF8F37E" w14:textId="77777777" w:rsidR="00914A24" w:rsidRPr="00F3416B" w:rsidRDefault="00914A24" w:rsidP="00914A24">
      <w:pPr>
        <w:jc w:val="center"/>
        <w:rPr>
          <w:rFonts w:ascii="Arial" w:eastAsia="Bookman Old Style" w:hAnsi="Arial" w:cs="Arial"/>
          <w:b/>
          <w:sz w:val="24"/>
          <w:szCs w:val="24"/>
        </w:rPr>
      </w:pPr>
      <w:r w:rsidRPr="00F3416B">
        <w:rPr>
          <w:rFonts w:ascii="Arial" w:eastAsia="Bookman Old Style" w:hAnsi="Arial" w:cs="Arial"/>
          <w:b/>
          <w:sz w:val="24"/>
          <w:szCs w:val="24"/>
        </w:rPr>
        <w:t>PROYECTO DE LEY</w:t>
      </w:r>
    </w:p>
    <w:p w14:paraId="7CA20814" w14:textId="77777777" w:rsidR="00914A24" w:rsidRPr="00F3416B" w:rsidRDefault="00914A24" w:rsidP="00914A24">
      <w:pPr>
        <w:jc w:val="center"/>
        <w:rPr>
          <w:rFonts w:ascii="Arial" w:eastAsia="Bookman Old Style" w:hAnsi="Arial" w:cs="Arial"/>
          <w:b/>
          <w:sz w:val="24"/>
          <w:szCs w:val="24"/>
        </w:rPr>
      </w:pPr>
    </w:p>
    <w:p w14:paraId="6F1CE943" w14:textId="77777777" w:rsidR="00914A24" w:rsidRPr="00F3416B" w:rsidRDefault="00914A24" w:rsidP="00914A24">
      <w:pPr>
        <w:jc w:val="center"/>
        <w:rPr>
          <w:rFonts w:ascii="Arial" w:eastAsia="Bookman Old Style" w:hAnsi="Arial" w:cs="Arial"/>
          <w:sz w:val="24"/>
          <w:szCs w:val="24"/>
        </w:rPr>
      </w:pPr>
      <w:r w:rsidRPr="00F3416B">
        <w:rPr>
          <w:rFonts w:ascii="Arial" w:eastAsia="Bookman Old Style" w:hAnsi="Arial" w:cs="Arial"/>
          <w:sz w:val="24"/>
          <w:szCs w:val="24"/>
        </w:rPr>
        <w:lastRenderedPageBreak/>
        <w:t>“Por el cual se modifican los artículos 2 y 5</w:t>
      </w:r>
    </w:p>
    <w:p w14:paraId="432DB53D" w14:textId="77777777" w:rsidR="00914A24" w:rsidRPr="00F3416B" w:rsidRDefault="00914A24" w:rsidP="00914A24">
      <w:pPr>
        <w:jc w:val="center"/>
        <w:rPr>
          <w:rFonts w:ascii="Arial" w:eastAsia="Bookman Old Style" w:hAnsi="Arial" w:cs="Arial"/>
          <w:sz w:val="24"/>
          <w:szCs w:val="24"/>
        </w:rPr>
      </w:pPr>
      <w:r w:rsidRPr="00F3416B">
        <w:rPr>
          <w:rFonts w:ascii="Arial" w:eastAsia="Bookman Old Style" w:hAnsi="Arial" w:cs="Arial"/>
          <w:sz w:val="24"/>
          <w:szCs w:val="24"/>
        </w:rPr>
        <w:t>de la ley 963 de 2005”</w:t>
      </w:r>
    </w:p>
    <w:p w14:paraId="4B8EAF6A" w14:textId="77777777" w:rsidR="00914A24" w:rsidRPr="00F3416B" w:rsidRDefault="00914A24" w:rsidP="00914A24">
      <w:pPr>
        <w:jc w:val="center"/>
        <w:rPr>
          <w:rFonts w:ascii="Arial" w:eastAsia="Bookman Old Style" w:hAnsi="Arial" w:cs="Arial"/>
          <w:b/>
          <w:sz w:val="24"/>
          <w:szCs w:val="24"/>
        </w:rPr>
      </w:pPr>
    </w:p>
    <w:p w14:paraId="3BEC4F92" w14:textId="77777777" w:rsidR="00914A24" w:rsidRPr="00F3416B" w:rsidRDefault="00914A24" w:rsidP="00914A24">
      <w:pPr>
        <w:rPr>
          <w:rFonts w:ascii="Arial" w:eastAsia="Bookman Old Style" w:hAnsi="Arial" w:cs="Arial"/>
          <w:b/>
          <w:sz w:val="24"/>
          <w:szCs w:val="24"/>
        </w:rPr>
      </w:pPr>
    </w:p>
    <w:p w14:paraId="73B57A9D" w14:textId="77777777" w:rsidR="00914A24" w:rsidRPr="00F3416B" w:rsidRDefault="00914A24" w:rsidP="00914A24">
      <w:pPr>
        <w:jc w:val="center"/>
        <w:rPr>
          <w:rFonts w:ascii="Arial" w:eastAsia="Bookman Old Style" w:hAnsi="Arial" w:cs="Arial"/>
          <w:b/>
          <w:sz w:val="24"/>
          <w:szCs w:val="24"/>
        </w:rPr>
      </w:pPr>
    </w:p>
    <w:p w14:paraId="142DCC6D" w14:textId="77777777" w:rsidR="00914A24" w:rsidRPr="00F3416B" w:rsidRDefault="00914A24" w:rsidP="00914A24">
      <w:pPr>
        <w:jc w:val="center"/>
        <w:rPr>
          <w:rFonts w:ascii="Arial" w:eastAsia="Bookman Old Style" w:hAnsi="Arial" w:cs="Arial"/>
          <w:b/>
          <w:color w:val="000000"/>
          <w:sz w:val="24"/>
          <w:szCs w:val="24"/>
        </w:rPr>
      </w:pPr>
      <w:r w:rsidRPr="00F3416B">
        <w:rPr>
          <w:rFonts w:ascii="Arial" w:eastAsia="Bookman Old Style" w:hAnsi="Arial" w:cs="Arial"/>
          <w:b/>
          <w:color w:val="000000"/>
          <w:sz w:val="24"/>
          <w:szCs w:val="24"/>
        </w:rPr>
        <w:t xml:space="preserve">EL CONGRESO DE LA REPÚBLICA </w:t>
      </w:r>
    </w:p>
    <w:p w14:paraId="3C0840F3" w14:textId="77777777" w:rsidR="00914A24" w:rsidRPr="00F3416B" w:rsidRDefault="00914A24" w:rsidP="00914A24">
      <w:pPr>
        <w:jc w:val="center"/>
        <w:rPr>
          <w:rFonts w:ascii="Arial" w:eastAsia="Bookman Old Style" w:hAnsi="Arial" w:cs="Arial"/>
          <w:b/>
          <w:color w:val="000000"/>
          <w:sz w:val="24"/>
          <w:szCs w:val="24"/>
        </w:rPr>
      </w:pPr>
    </w:p>
    <w:p w14:paraId="23B06B78" w14:textId="77777777" w:rsidR="00914A24" w:rsidRPr="00F3416B" w:rsidRDefault="00914A24" w:rsidP="00914A24">
      <w:pPr>
        <w:jc w:val="center"/>
        <w:rPr>
          <w:rFonts w:ascii="Arial" w:eastAsia="Bookman Old Style" w:hAnsi="Arial" w:cs="Arial"/>
          <w:b/>
          <w:color w:val="000000"/>
          <w:sz w:val="24"/>
          <w:szCs w:val="24"/>
        </w:rPr>
      </w:pPr>
      <w:r w:rsidRPr="00F3416B">
        <w:rPr>
          <w:rFonts w:ascii="Arial" w:eastAsia="Bookman Old Style" w:hAnsi="Arial" w:cs="Arial"/>
          <w:b/>
          <w:color w:val="000000"/>
          <w:sz w:val="24"/>
          <w:szCs w:val="24"/>
        </w:rPr>
        <w:t>DECRETA:</w:t>
      </w:r>
    </w:p>
    <w:p w14:paraId="42178F1E" w14:textId="77777777" w:rsidR="00914A24" w:rsidRPr="00F3416B" w:rsidRDefault="00914A24" w:rsidP="00914A24">
      <w:pPr>
        <w:jc w:val="both"/>
        <w:rPr>
          <w:rFonts w:ascii="Arial" w:eastAsia="Bookman Old Style" w:hAnsi="Arial" w:cs="Arial"/>
          <w:b/>
          <w:sz w:val="24"/>
          <w:szCs w:val="24"/>
        </w:rPr>
      </w:pPr>
    </w:p>
    <w:p w14:paraId="1CDA5867" w14:textId="77777777" w:rsidR="00914A24" w:rsidRPr="00F3416B" w:rsidRDefault="00914A24" w:rsidP="00914A24">
      <w:pPr>
        <w:jc w:val="both"/>
        <w:rPr>
          <w:rFonts w:ascii="Arial" w:eastAsia="Bookman Old Style" w:hAnsi="Arial" w:cs="Arial"/>
          <w:b/>
          <w:sz w:val="24"/>
          <w:szCs w:val="24"/>
        </w:rPr>
      </w:pPr>
    </w:p>
    <w:p w14:paraId="7F7E2D79" w14:textId="77777777" w:rsidR="00914A24" w:rsidRPr="00F3416B" w:rsidRDefault="00914A24" w:rsidP="00914A24">
      <w:pPr>
        <w:jc w:val="both"/>
        <w:rPr>
          <w:rFonts w:ascii="Arial" w:eastAsia="Bookman Old Style" w:hAnsi="Arial" w:cs="Arial"/>
          <w:b/>
          <w:sz w:val="24"/>
          <w:szCs w:val="24"/>
        </w:rPr>
      </w:pPr>
    </w:p>
    <w:p w14:paraId="26A374CB" w14:textId="77777777" w:rsidR="00914A24" w:rsidRPr="00F3416B" w:rsidRDefault="00914A24" w:rsidP="00914A24">
      <w:pPr>
        <w:jc w:val="both"/>
        <w:rPr>
          <w:rFonts w:ascii="Arial" w:eastAsia="Bookman Old Style" w:hAnsi="Arial" w:cs="Arial"/>
          <w:b/>
          <w:sz w:val="24"/>
          <w:szCs w:val="24"/>
        </w:rPr>
      </w:pPr>
      <w:r w:rsidRPr="00F3416B">
        <w:rPr>
          <w:rFonts w:ascii="Arial" w:eastAsia="Bookman Old Style" w:hAnsi="Arial" w:cs="Arial"/>
          <w:b/>
          <w:sz w:val="24"/>
          <w:szCs w:val="24"/>
        </w:rPr>
        <w:t xml:space="preserve">Artículo 1°. </w:t>
      </w:r>
      <w:r w:rsidRPr="00F3416B">
        <w:rPr>
          <w:rFonts w:ascii="Arial" w:eastAsia="Bookman Old Style" w:hAnsi="Arial" w:cs="Arial"/>
          <w:sz w:val="24"/>
          <w:szCs w:val="24"/>
        </w:rPr>
        <w:t>Modifíquese el artículo 2 de la ley 963 de 2005 el cual quedará, así:</w:t>
      </w:r>
    </w:p>
    <w:p w14:paraId="67C450B5" w14:textId="77777777" w:rsidR="00914A24" w:rsidRPr="00F3416B" w:rsidRDefault="00914A24" w:rsidP="00914A24">
      <w:pPr>
        <w:ind w:right="333"/>
        <w:jc w:val="both"/>
        <w:rPr>
          <w:rFonts w:ascii="Arial" w:eastAsia="Bookman Old Style" w:hAnsi="Arial" w:cs="Arial"/>
          <w:b/>
          <w:color w:val="000000"/>
          <w:sz w:val="24"/>
          <w:szCs w:val="24"/>
        </w:rPr>
      </w:pPr>
    </w:p>
    <w:p w14:paraId="71591C19" w14:textId="77777777" w:rsidR="00914A24" w:rsidRPr="00F3416B" w:rsidRDefault="00914A24" w:rsidP="00914A24">
      <w:pPr>
        <w:jc w:val="both"/>
        <w:rPr>
          <w:rFonts w:ascii="Arial" w:hAnsi="Arial" w:cs="Arial"/>
          <w:sz w:val="24"/>
          <w:szCs w:val="24"/>
          <w:lang w:eastAsia="es-ES_tradnl"/>
        </w:rPr>
      </w:pPr>
      <w:r w:rsidRPr="00F3416B">
        <w:rPr>
          <w:rFonts w:ascii="Arial" w:hAnsi="Arial" w:cs="Arial"/>
          <w:b/>
          <w:bCs/>
          <w:color w:val="333333"/>
          <w:sz w:val="24"/>
          <w:szCs w:val="24"/>
          <w:shd w:val="clear" w:color="auto" w:fill="FFFFFF"/>
        </w:rPr>
        <w:t>Artículo 2°. </w:t>
      </w:r>
      <w:r w:rsidRPr="00F3416B">
        <w:rPr>
          <w:rFonts w:ascii="Arial" w:hAnsi="Arial" w:cs="Arial"/>
          <w:i/>
          <w:iCs/>
          <w:color w:val="333333"/>
          <w:sz w:val="24"/>
          <w:szCs w:val="24"/>
          <w:shd w:val="clear" w:color="auto" w:fill="FFFFFF"/>
        </w:rPr>
        <w:t>Inversionistas nacionales y extranjeros. </w:t>
      </w:r>
      <w:r w:rsidRPr="00F3416B">
        <w:rPr>
          <w:rFonts w:ascii="Arial" w:hAnsi="Arial" w:cs="Arial"/>
          <w:color w:val="333333"/>
          <w:sz w:val="24"/>
          <w:szCs w:val="24"/>
          <w:shd w:val="clear" w:color="auto" w:fill="FFFFFF"/>
        </w:rPr>
        <w:t xml:space="preserve">Podrán ser parte en los contratos de estabilidad jurídica los inversionistas nacionales y extranjeros, sean ellos personas naturales o jurídicas, así como los consorcios, que realicen inversiones nuevas o amplíen las existentes en el territorio nacional, por un monto igual o superior a la suma de </w:t>
      </w:r>
      <w:r w:rsidRPr="00F3416B">
        <w:rPr>
          <w:rFonts w:ascii="Arial" w:hAnsi="Arial" w:cs="Arial"/>
          <w:b/>
          <w:color w:val="333333"/>
          <w:sz w:val="24"/>
          <w:szCs w:val="24"/>
          <w:shd w:val="clear" w:color="auto" w:fill="FFFFFF"/>
        </w:rPr>
        <w:t>cinco mil</w:t>
      </w:r>
      <w:r w:rsidRPr="00F3416B">
        <w:rPr>
          <w:rFonts w:ascii="Arial" w:hAnsi="Arial" w:cs="Arial"/>
          <w:color w:val="333333"/>
          <w:sz w:val="24"/>
          <w:szCs w:val="24"/>
          <w:shd w:val="clear" w:color="auto" w:fill="FFFFFF"/>
        </w:rPr>
        <w:t xml:space="preserve"> salarios mínimos legales mensuales vigentes (</w:t>
      </w:r>
      <w:r w:rsidRPr="00F3416B">
        <w:rPr>
          <w:rFonts w:ascii="Arial" w:hAnsi="Arial" w:cs="Arial"/>
          <w:b/>
          <w:color w:val="333333"/>
          <w:sz w:val="24"/>
          <w:szCs w:val="24"/>
          <w:shd w:val="clear" w:color="auto" w:fill="FFFFFF"/>
        </w:rPr>
        <w:t>5000</w:t>
      </w:r>
      <w:r w:rsidRPr="00F3416B">
        <w:rPr>
          <w:rFonts w:ascii="Arial" w:hAnsi="Arial" w:cs="Arial"/>
          <w:color w:val="333333"/>
          <w:sz w:val="24"/>
          <w:szCs w:val="24"/>
          <w:shd w:val="clear" w:color="auto" w:fill="FFFFFF"/>
        </w:rPr>
        <w:t xml:space="preserve"> smlmv), para desarrollar las siguientes actividades: turísticas, industriales, </w:t>
      </w:r>
      <w:r w:rsidRPr="00F3416B">
        <w:rPr>
          <w:rFonts w:ascii="Arial" w:hAnsi="Arial" w:cs="Arial"/>
          <w:b/>
          <w:color w:val="333333"/>
          <w:sz w:val="24"/>
          <w:szCs w:val="24"/>
          <w:shd w:val="clear" w:color="auto" w:fill="FFFFFF"/>
        </w:rPr>
        <w:t>tecnológicas</w:t>
      </w:r>
      <w:r w:rsidRPr="00F3416B">
        <w:rPr>
          <w:rFonts w:ascii="Arial" w:hAnsi="Arial" w:cs="Arial"/>
          <w:color w:val="333333"/>
          <w:sz w:val="24"/>
          <w:szCs w:val="24"/>
          <w:shd w:val="clear" w:color="auto" w:fill="FFFFFF"/>
        </w:rPr>
        <w:t xml:space="preserve">, agrícolas, de exportación agroforestales </w:t>
      </w:r>
      <w:r w:rsidRPr="00F3416B">
        <w:rPr>
          <w:rFonts w:ascii="Arial" w:hAnsi="Arial" w:cs="Arial"/>
          <w:b/>
          <w:color w:val="333333"/>
          <w:sz w:val="24"/>
          <w:szCs w:val="24"/>
          <w:shd w:val="clear" w:color="auto" w:fill="FFFFFF"/>
        </w:rPr>
        <w:t>y de productos terminados</w:t>
      </w:r>
      <w:r w:rsidRPr="00F3416B">
        <w:rPr>
          <w:rFonts w:ascii="Arial" w:hAnsi="Arial" w:cs="Arial"/>
          <w:color w:val="333333"/>
          <w:sz w:val="24"/>
          <w:szCs w:val="24"/>
          <w:shd w:val="clear" w:color="auto" w:fill="FFFFFF"/>
        </w:rPr>
        <w:t xml:space="preserve">, mineras </w:t>
      </w:r>
      <w:r w:rsidRPr="00F3416B">
        <w:rPr>
          <w:rFonts w:ascii="Arial" w:hAnsi="Arial" w:cs="Arial"/>
          <w:b/>
          <w:color w:val="333333"/>
          <w:sz w:val="24"/>
          <w:szCs w:val="24"/>
          <w:shd w:val="clear" w:color="auto" w:fill="FFFFFF"/>
        </w:rPr>
        <w:t>y carboníferas</w:t>
      </w:r>
      <w:r w:rsidRPr="00F3416B">
        <w:rPr>
          <w:rFonts w:ascii="Arial" w:hAnsi="Arial" w:cs="Arial"/>
          <w:color w:val="333333"/>
          <w:sz w:val="24"/>
          <w:szCs w:val="24"/>
          <w:shd w:val="clear" w:color="auto" w:fill="FFFFFF"/>
        </w:rPr>
        <w:t xml:space="preserve">, de zonas procesadoras de exportación; zonas libres comerciales y de petróleo, telecomunicaciones, construcciones, desarrollos portuarios y férreos, de generación de energía eléctrica </w:t>
      </w:r>
      <w:r w:rsidRPr="00F3416B">
        <w:rPr>
          <w:rFonts w:ascii="Arial" w:hAnsi="Arial" w:cs="Arial"/>
          <w:b/>
          <w:color w:val="333333"/>
          <w:sz w:val="24"/>
          <w:szCs w:val="24"/>
          <w:shd w:val="clear" w:color="auto" w:fill="FFFFFF"/>
        </w:rPr>
        <w:t>-procurando generar condiciones especiales favorables a las energías eólica</w:t>
      </w:r>
      <w:r w:rsidRPr="00F3416B">
        <w:rPr>
          <w:rFonts w:ascii="Arial" w:hAnsi="Arial" w:cs="Arial"/>
          <w:color w:val="333333"/>
          <w:sz w:val="24"/>
          <w:szCs w:val="24"/>
          <w:shd w:val="clear" w:color="auto" w:fill="FFFFFF"/>
        </w:rPr>
        <w:t xml:space="preserve">, </w:t>
      </w:r>
      <w:r w:rsidRPr="00F3416B">
        <w:rPr>
          <w:rFonts w:ascii="Arial" w:hAnsi="Arial" w:cs="Arial"/>
          <w:b/>
          <w:color w:val="333333"/>
          <w:sz w:val="24"/>
          <w:szCs w:val="24"/>
          <w:shd w:val="clear" w:color="auto" w:fill="FFFFFF"/>
        </w:rPr>
        <w:t>hidráulica o hidroeléctrica</w:t>
      </w:r>
      <w:r w:rsidRPr="00F3416B">
        <w:rPr>
          <w:rFonts w:ascii="Arial" w:hAnsi="Arial" w:cs="Arial"/>
          <w:color w:val="333333"/>
          <w:sz w:val="24"/>
          <w:szCs w:val="24"/>
          <w:shd w:val="clear" w:color="auto" w:fill="FFFFFF"/>
        </w:rPr>
        <w:t xml:space="preserve">, </w:t>
      </w:r>
      <w:r w:rsidRPr="00F3416B">
        <w:rPr>
          <w:rFonts w:ascii="Arial" w:hAnsi="Arial" w:cs="Arial"/>
          <w:b/>
          <w:color w:val="333333"/>
          <w:sz w:val="24"/>
          <w:szCs w:val="24"/>
          <w:shd w:val="clear" w:color="auto" w:fill="FFFFFF"/>
        </w:rPr>
        <w:t>solar, geotérmica, de biomasa y biogás, mareomotriz, al igual que las provenientes de bioetanol y biodiésel-</w:t>
      </w:r>
      <w:r w:rsidRPr="00F3416B">
        <w:rPr>
          <w:rFonts w:ascii="Arial" w:hAnsi="Arial" w:cs="Arial"/>
          <w:color w:val="333333"/>
          <w:sz w:val="24"/>
          <w:szCs w:val="24"/>
          <w:shd w:val="clear" w:color="auto" w:fill="FFFFFF"/>
        </w:rPr>
        <w:t>, proyectos de irrigación y uso eficiente de recursos hídricos y toda actividad que apruebe el Comité de que trata el artículo 4° literal b). Se excluyen las inversiones extranjeras de portafolio.</w:t>
      </w:r>
    </w:p>
    <w:p w14:paraId="0297DDF4" w14:textId="77777777" w:rsidR="00914A24" w:rsidRPr="00F3416B" w:rsidRDefault="00914A24" w:rsidP="00914A24">
      <w:pPr>
        <w:jc w:val="both"/>
        <w:rPr>
          <w:rFonts w:ascii="Arial" w:hAnsi="Arial" w:cs="Arial"/>
          <w:sz w:val="24"/>
          <w:szCs w:val="24"/>
          <w:lang w:eastAsia="es-ES_tradnl"/>
        </w:rPr>
      </w:pPr>
    </w:p>
    <w:p w14:paraId="172A784A" w14:textId="77777777" w:rsidR="00914A24" w:rsidRPr="00F3416B" w:rsidRDefault="00914A24" w:rsidP="00914A24">
      <w:pPr>
        <w:jc w:val="both"/>
        <w:rPr>
          <w:rFonts w:ascii="Arial" w:eastAsia="Bookman Old Style" w:hAnsi="Arial" w:cs="Arial"/>
          <w:sz w:val="24"/>
          <w:szCs w:val="24"/>
        </w:rPr>
      </w:pPr>
      <w:r w:rsidRPr="00F3416B">
        <w:rPr>
          <w:rFonts w:ascii="Arial" w:eastAsia="Bookman Old Style" w:hAnsi="Arial" w:cs="Arial"/>
          <w:b/>
          <w:sz w:val="24"/>
          <w:szCs w:val="24"/>
        </w:rPr>
        <w:t xml:space="preserve">Artículo 2°. </w:t>
      </w:r>
      <w:r w:rsidRPr="00F3416B">
        <w:rPr>
          <w:rFonts w:ascii="Arial" w:eastAsia="Bookman Old Style" w:hAnsi="Arial" w:cs="Arial"/>
          <w:sz w:val="24"/>
          <w:szCs w:val="24"/>
        </w:rPr>
        <w:t>Modifíquese el artículo 5 de la ley 963 de 2005 el cual quedará, así:</w:t>
      </w:r>
    </w:p>
    <w:p w14:paraId="53556D86" w14:textId="77777777" w:rsidR="00914A24" w:rsidRPr="00F3416B" w:rsidRDefault="00914A24" w:rsidP="00914A24">
      <w:pPr>
        <w:jc w:val="both"/>
        <w:rPr>
          <w:rFonts w:ascii="Arial" w:eastAsia="Bookman Old Style" w:hAnsi="Arial" w:cs="Arial"/>
          <w:sz w:val="24"/>
          <w:szCs w:val="24"/>
        </w:rPr>
      </w:pPr>
    </w:p>
    <w:p w14:paraId="0F5798D5" w14:textId="77777777" w:rsidR="00914A24" w:rsidRPr="00F3416B" w:rsidRDefault="00914A24" w:rsidP="00914A24">
      <w:pPr>
        <w:pStyle w:val="NormalWeb"/>
        <w:shd w:val="clear" w:color="auto" w:fill="FFFFFF"/>
        <w:spacing w:before="0" w:beforeAutospacing="0"/>
        <w:jc w:val="both"/>
        <w:rPr>
          <w:rFonts w:ascii="Arial" w:hAnsi="Arial" w:cs="Arial"/>
          <w:color w:val="000000" w:themeColor="text1"/>
          <w:lang w:eastAsia="es-ES_tradnl"/>
        </w:rPr>
      </w:pPr>
      <w:proofErr w:type="gramStart"/>
      <w:r w:rsidRPr="00F3416B">
        <w:rPr>
          <w:rFonts w:ascii="Arial" w:hAnsi="Arial" w:cs="Arial"/>
          <w:b/>
          <w:bCs/>
          <w:color w:val="000000" w:themeColor="text1"/>
        </w:rPr>
        <w:t>Artículo </w:t>
      </w:r>
      <w:bookmarkStart w:id="0" w:name="5"/>
      <w:r w:rsidRPr="00F3416B">
        <w:rPr>
          <w:rFonts w:ascii="Arial" w:hAnsi="Arial" w:cs="Arial"/>
          <w:b/>
          <w:bCs/>
          <w:color w:val="000000" w:themeColor="text1"/>
        </w:rPr>
        <w:t> </w:t>
      </w:r>
      <w:bookmarkEnd w:id="0"/>
      <w:r w:rsidRPr="00F3416B">
        <w:rPr>
          <w:rFonts w:ascii="Arial" w:hAnsi="Arial" w:cs="Arial"/>
          <w:b/>
          <w:bCs/>
          <w:color w:val="000000" w:themeColor="text1"/>
        </w:rPr>
        <w:t>5</w:t>
      </w:r>
      <w:proofErr w:type="gramEnd"/>
      <w:r w:rsidRPr="00F3416B">
        <w:rPr>
          <w:rFonts w:ascii="Arial" w:hAnsi="Arial" w:cs="Arial"/>
          <w:b/>
          <w:bCs/>
          <w:color w:val="000000" w:themeColor="text1"/>
        </w:rPr>
        <w:t>°. </w:t>
      </w:r>
      <w:r w:rsidRPr="00F3416B">
        <w:rPr>
          <w:rStyle w:val="nfasis"/>
          <w:rFonts w:ascii="Arial" w:hAnsi="Arial" w:cs="Arial"/>
          <w:color w:val="000000" w:themeColor="text1"/>
        </w:rPr>
        <w:t>Prima en los contratos de estabilidad jurídica.</w:t>
      </w:r>
      <w:r w:rsidRPr="00F3416B">
        <w:rPr>
          <w:rFonts w:ascii="Arial" w:hAnsi="Arial" w:cs="Arial"/>
          <w:color w:val="000000" w:themeColor="text1"/>
        </w:rPr>
        <w:t> </w:t>
      </w:r>
      <w:hyperlink r:id="rId8" w:anchor="48" w:history="1">
        <w:r w:rsidRPr="00F3416B">
          <w:rPr>
            <w:rStyle w:val="Hipervnculo"/>
            <w:rFonts w:ascii="Arial" w:hAnsi="Arial" w:cs="Arial"/>
            <w:color w:val="000000" w:themeColor="text1"/>
          </w:rPr>
          <w:t>Modificado por el art. 48, Ley 1450 de 2011</w:t>
        </w:r>
      </w:hyperlink>
      <w:r w:rsidRPr="00F3416B">
        <w:rPr>
          <w:rFonts w:ascii="Arial" w:hAnsi="Arial" w:cs="Arial"/>
          <w:color w:val="000000" w:themeColor="text1"/>
        </w:rPr>
        <w:t xml:space="preserve">. El inversionista que suscriba un contrato de estabilidad jurídica </w:t>
      </w:r>
      <w:r w:rsidRPr="00F3416B">
        <w:rPr>
          <w:rFonts w:ascii="Arial" w:hAnsi="Arial" w:cs="Arial"/>
          <w:color w:val="000000" w:themeColor="text1"/>
        </w:rPr>
        <w:lastRenderedPageBreak/>
        <w:t xml:space="preserve">pagará a favor de la Nación -Ministerio de Hacienda y Crédito Público- una prima igual al </w:t>
      </w:r>
      <w:r w:rsidRPr="00F3416B">
        <w:rPr>
          <w:rFonts w:ascii="Arial" w:hAnsi="Arial" w:cs="Arial"/>
          <w:b/>
          <w:color w:val="000000" w:themeColor="text1"/>
        </w:rPr>
        <w:t xml:space="preserve">cero punto cinco por ciento (0.5%) </w:t>
      </w:r>
      <w:r w:rsidRPr="00F3416B">
        <w:rPr>
          <w:rFonts w:ascii="Arial" w:hAnsi="Arial" w:cs="Arial"/>
          <w:color w:val="000000" w:themeColor="text1"/>
        </w:rPr>
        <w:t>del valor de la inversión que se realice en cada año.</w:t>
      </w:r>
    </w:p>
    <w:p w14:paraId="2E8ECD1E" w14:textId="77777777" w:rsidR="00914A24" w:rsidRPr="00F3416B" w:rsidRDefault="00914A24" w:rsidP="00914A24">
      <w:pPr>
        <w:pStyle w:val="NormalWeb"/>
        <w:shd w:val="clear" w:color="auto" w:fill="FFFFFF"/>
        <w:spacing w:before="0" w:beforeAutospacing="0"/>
        <w:jc w:val="both"/>
        <w:rPr>
          <w:rFonts w:ascii="Arial" w:hAnsi="Arial" w:cs="Arial"/>
          <w:color w:val="000000" w:themeColor="text1"/>
        </w:rPr>
      </w:pPr>
      <w:r w:rsidRPr="00F3416B">
        <w:rPr>
          <w:rFonts w:ascii="Arial" w:hAnsi="Arial" w:cs="Arial"/>
          <w:color w:val="000000" w:themeColor="text1"/>
        </w:rPr>
        <w:t>Si por la naturaleza de la inversión, esta contempla un período improductivo, el monto de la prima durante dicho período será de</w:t>
      </w:r>
      <w:r>
        <w:rPr>
          <w:rFonts w:ascii="Arial" w:hAnsi="Arial" w:cs="Arial"/>
          <w:color w:val="000000" w:themeColor="text1"/>
        </w:rPr>
        <w:t>l</w:t>
      </w:r>
      <w:r w:rsidRPr="00F3416B">
        <w:rPr>
          <w:rFonts w:ascii="Arial" w:hAnsi="Arial" w:cs="Arial"/>
          <w:color w:val="000000" w:themeColor="text1"/>
        </w:rPr>
        <w:t xml:space="preserve"> </w:t>
      </w:r>
      <w:r w:rsidRPr="00F3416B">
        <w:rPr>
          <w:rFonts w:ascii="Arial" w:hAnsi="Arial" w:cs="Arial"/>
          <w:b/>
          <w:color w:val="000000" w:themeColor="text1"/>
        </w:rPr>
        <w:t>cero por ciento (0%)</w:t>
      </w:r>
      <w:r w:rsidRPr="00F3416B">
        <w:rPr>
          <w:rFonts w:ascii="Arial" w:hAnsi="Arial" w:cs="Arial"/>
          <w:color w:val="000000" w:themeColor="text1"/>
        </w:rPr>
        <w:t xml:space="preserve"> del valor de la inversión que se realice en cada año.</w:t>
      </w:r>
    </w:p>
    <w:p w14:paraId="375FB20B" w14:textId="77777777" w:rsidR="00914A24" w:rsidRPr="00F3416B" w:rsidRDefault="00914A24" w:rsidP="00914A24">
      <w:pPr>
        <w:jc w:val="both"/>
        <w:rPr>
          <w:rFonts w:ascii="Arial" w:eastAsia="Bookman Old Style" w:hAnsi="Arial" w:cs="Arial"/>
          <w:b/>
          <w:i/>
          <w:color w:val="000000"/>
          <w:sz w:val="24"/>
          <w:szCs w:val="24"/>
        </w:rPr>
      </w:pPr>
    </w:p>
    <w:p w14:paraId="6D3E2809"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b/>
          <w:color w:val="000000"/>
          <w:sz w:val="24"/>
          <w:szCs w:val="24"/>
        </w:rPr>
        <w:t>Artículo 3°: Vigencia.</w:t>
      </w:r>
      <w:r w:rsidRPr="00F3416B">
        <w:rPr>
          <w:rFonts w:ascii="Arial" w:eastAsia="Bookman Old Style" w:hAnsi="Arial" w:cs="Arial"/>
          <w:color w:val="000000"/>
          <w:sz w:val="24"/>
          <w:szCs w:val="24"/>
        </w:rPr>
        <w:t xml:space="preserve"> La presente ley se rige a partir de su promulgación. </w:t>
      </w:r>
    </w:p>
    <w:p w14:paraId="0492CB86" w14:textId="77777777" w:rsidR="00914A24" w:rsidRPr="00F3416B" w:rsidRDefault="00914A24" w:rsidP="00914A24">
      <w:pPr>
        <w:rPr>
          <w:rFonts w:ascii="Arial" w:eastAsia="Bookman Old Style" w:hAnsi="Arial" w:cs="Arial"/>
          <w:b/>
          <w:color w:val="000000"/>
          <w:sz w:val="24"/>
          <w:szCs w:val="24"/>
        </w:rPr>
      </w:pPr>
    </w:p>
    <w:p w14:paraId="0E9676AD" w14:textId="77777777" w:rsidR="00914A24" w:rsidRPr="00F3416B" w:rsidRDefault="00914A24" w:rsidP="00914A24">
      <w:pPr>
        <w:rPr>
          <w:rFonts w:ascii="Arial" w:eastAsia="Bookman Old Style" w:hAnsi="Arial" w:cs="Arial"/>
          <w:b/>
          <w:color w:val="000000"/>
          <w:sz w:val="24"/>
          <w:szCs w:val="24"/>
        </w:rPr>
      </w:pPr>
    </w:p>
    <w:p w14:paraId="3D5377A8" w14:textId="77777777" w:rsidR="00914A24" w:rsidRPr="00F3416B" w:rsidRDefault="00914A24" w:rsidP="00914A24">
      <w:pPr>
        <w:jc w:val="both"/>
        <w:rPr>
          <w:rFonts w:ascii="Arial" w:eastAsia="Bookman Old Style" w:hAnsi="Arial" w:cs="Arial"/>
          <w:sz w:val="24"/>
          <w:szCs w:val="24"/>
        </w:rPr>
      </w:pPr>
      <w:r w:rsidRPr="00F3416B">
        <w:rPr>
          <w:rFonts w:ascii="Arial" w:eastAsia="Bookman Old Style" w:hAnsi="Arial" w:cs="Arial"/>
          <w:sz w:val="24"/>
          <w:szCs w:val="24"/>
        </w:rPr>
        <w:t>Cordialmente,</w:t>
      </w:r>
    </w:p>
    <w:p w14:paraId="46223356" w14:textId="77777777" w:rsidR="00914A24" w:rsidRPr="00F3416B" w:rsidRDefault="00914A24" w:rsidP="00914A24">
      <w:pPr>
        <w:jc w:val="both"/>
        <w:rPr>
          <w:rFonts w:ascii="Arial" w:eastAsia="Bookman Old Style" w:hAnsi="Arial" w:cs="Arial"/>
          <w:sz w:val="24"/>
          <w:szCs w:val="24"/>
        </w:rPr>
      </w:pPr>
    </w:p>
    <w:p w14:paraId="291832C6" w14:textId="77777777" w:rsidR="00914A24" w:rsidRPr="00F3416B" w:rsidRDefault="00914A24" w:rsidP="00914A24">
      <w:pPr>
        <w:jc w:val="both"/>
        <w:rPr>
          <w:rFonts w:ascii="Arial" w:eastAsia="Bookman Old Style" w:hAnsi="Arial" w:cs="Arial"/>
          <w:sz w:val="24"/>
          <w:szCs w:val="24"/>
        </w:rPr>
      </w:pPr>
    </w:p>
    <w:p w14:paraId="2060A92D" w14:textId="77777777" w:rsidR="00914A24" w:rsidRPr="00F3416B" w:rsidRDefault="00914A24" w:rsidP="00914A24">
      <w:pPr>
        <w:tabs>
          <w:tab w:val="right" w:pos="8838"/>
        </w:tabs>
        <w:jc w:val="center"/>
        <w:rPr>
          <w:rFonts w:ascii="Arial" w:eastAsia="Bookman Old Style" w:hAnsi="Arial" w:cs="Arial"/>
          <w:b/>
          <w:sz w:val="24"/>
          <w:szCs w:val="24"/>
        </w:rPr>
      </w:pPr>
    </w:p>
    <w:p w14:paraId="3746F59F" w14:textId="77777777" w:rsidR="00914A24" w:rsidRPr="00F3416B" w:rsidRDefault="00914A24" w:rsidP="00914A24">
      <w:pPr>
        <w:tabs>
          <w:tab w:val="right" w:pos="8838"/>
        </w:tabs>
        <w:jc w:val="center"/>
        <w:rPr>
          <w:rFonts w:ascii="Arial" w:eastAsia="Bookman Old Style" w:hAnsi="Arial" w:cs="Arial"/>
          <w:b/>
          <w:sz w:val="24"/>
          <w:szCs w:val="24"/>
        </w:rPr>
      </w:pPr>
    </w:p>
    <w:p w14:paraId="3849992C" w14:textId="77777777" w:rsidR="00914A24" w:rsidRPr="00F3416B" w:rsidRDefault="00914A24" w:rsidP="00914A24">
      <w:pPr>
        <w:tabs>
          <w:tab w:val="right" w:pos="8838"/>
        </w:tabs>
        <w:jc w:val="center"/>
        <w:rPr>
          <w:rFonts w:ascii="Arial" w:eastAsia="Bookman Old Style" w:hAnsi="Arial" w:cs="Arial"/>
          <w:b/>
          <w:sz w:val="24"/>
          <w:szCs w:val="24"/>
        </w:rPr>
      </w:pPr>
    </w:p>
    <w:p w14:paraId="7A86009A" w14:textId="77777777" w:rsidR="00914A24" w:rsidRPr="00F3416B" w:rsidRDefault="00914A24" w:rsidP="00914A24">
      <w:pPr>
        <w:tabs>
          <w:tab w:val="right" w:pos="8838"/>
        </w:tabs>
        <w:jc w:val="center"/>
        <w:rPr>
          <w:rFonts w:ascii="Arial" w:eastAsia="Bookman Old Style" w:hAnsi="Arial" w:cs="Arial"/>
          <w:b/>
          <w:sz w:val="24"/>
          <w:szCs w:val="24"/>
        </w:rPr>
      </w:pPr>
      <w:r w:rsidRPr="00F3416B">
        <w:rPr>
          <w:rFonts w:ascii="Arial" w:eastAsia="Bookman Old Style" w:hAnsi="Arial" w:cs="Arial"/>
          <w:b/>
          <w:sz w:val="24"/>
          <w:szCs w:val="24"/>
        </w:rPr>
        <w:t>EDINSON VLADIMIR OLAYA MANCIPE</w:t>
      </w:r>
    </w:p>
    <w:p w14:paraId="01D20910" w14:textId="77777777" w:rsidR="00914A24" w:rsidRPr="00F3416B" w:rsidRDefault="00914A24" w:rsidP="00914A24">
      <w:pPr>
        <w:tabs>
          <w:tab w:val="right" w:pos="8838"/>
        </w:tabs>
        <w:jc w:val="center"/>
        <w:rPr>
          <w:rFonts w:ascii="Arial" w:eastAsia="Bookman Old Style" w:hAnsi="Arial" w:cs="Arial"/>
          <w:sz w:val="24"/>
          <w:szCs w:val="24"/>
        </w:rPr>
      </w:pPr>
      <w:r w:rsidRPr="00F3416B">
        <w:rPr>
          <w:rFonts w:ascii="Arial" w:eastAsia="Bookman Old Style" w:hAnsi="Arial" w:cs="Arial"/>
          <w:sz w:val="24"/>
          <w:szCs w:val="24"/>
        </w:rPr>
        <w:t>Representante a la Cámara por Casanare</w:t>
      </w:r>
    </w:p>
    <w:p w14:paraId="71B25AB0" w14:textId="77777777" w:rsidR="00914A24" w:rsidRPr="00F3416B" w:rsidRDefault="00914A24" w:rsidP="00914A24">
      <w:pPr>
        <w:jc w:val="center"/>
        <w:rPr>
          <w:rFonts w:ascii="Arial" w:eastAsia="Bookman Old Style" w:hAnsi="Arial" w:cs="Arial"/>
          <w:sz w:val="24"/>
          <w:szCs w:val="24"/>
        </w:rPr>
      </w:pPr>
      <w:r w:rsidRPr="00F3416B">
        <w:rPr>
          <w:rFonts w:ascii="Arial" w:eastAsia="Bookman Old Style" w:hAnsi="Arial" w:cs="Arial"/>
          <w:sz w:val="24"/>
          <w:szCs w:val="24"/>
        </w:rPr>
        <w:t>Partido Centro Democrático</w:t>
      </w:r>
    </w:p>
    <w:p w14:paraId="624E14C3" w14:textId="77777777" w:rsidR="00914A24" w:rsidRPr="00F3416B" w:rsidRDefault="00914A24" w:rsidP="00914A24">
      <w:pPr>
        <w:rPr>
          <w:rFonts w:ascii="Arial" w:eastAsia="Bookman Old Style" w:hAnsi="Arial" w:cs="Arial"/>
          <w:b/>
          <w:sz w:val="24"/>
          <w:szCs w:val="24"/>
        </w:rPr>
      </w:pPr>
    </w:p>
    <w:p w14:paraId="687F734D" w14:textId="77777777" w:rsidR="00914A24" w:rsidRPr="00F3416B" w:rsidRDefault="00914A24" w:rsidP="00914A24">
      <w:pPr>
        <w:rPr>
          <w:rFonts w:ascii="Arial" w:eastAsia="Bookman Old Style" w:hAnsi="Arial" w:cs="Arial"/>
          <w:b/>
          <w:sz w:val="24"/>
          <w:szCs w:val="24"/>
        </w:rPr>
      </w:pPr>
    </w:p>
    <w:p w14:paraId="7C77317A" w14:textId="77777777" w:rsidR="00914A24" w:rsidRPr="00F3416B" w:rsidRDefault="00914A24" w:rsidP="00914A24">
      <w:pPr>
        <w:pBdr>
          <w:top w:val="nil"/>
          <w:left w:val="nil"/>
          <w:bottom w:val="single" w:sz="4" w:space="1" w:color="000000"/>
          <w:right w:val="nil"/>
          <w:between w:val="nil"/>
        </w:pBdr>
        <w:tabs>
          <w:tab w:val="left" w:pos="8055"/>
        </w:tabs>
        <w:rPr>
          <w:rFonts w:ascii="Arial" w:eastAsia="Bookman Old Style" w:hAnsi="Arial" w:cs="Arial"/>
          <w:b/>
          <w:color w:val="000000"/>
          <w:sz w:val="24"/>
          <w:szCs w:val="24"/>
        </w:rPr>
      </w:pPr>
    </w:p>
    <w:p w14:paraId="03B213BA" w14:textId="0486BC82" w:rsidR="00914A24" w:rsidRDefault="00914A24" w:rsidP="00914A24">
      <w:pPr>
        <w:pBdr>
          <w:top w:val="nil"/>
          <w:left w:val="nil"/>
          <w:bottom w:val="single" w:sz="4" w:space="1" w:color="000000"/>
          <w:right w:val="nil"/>
          <w:between w:val="nil"/>
        </w:pBdr>
        <w:tabs>
          <w:tab w:val="left" w:pos="8055"/>
        </w:tabs>
        <w:rPr>
          <w:rFonts w:ascii="Arial" w:eastAsia="Bookman Old Style" w:hAnsi="Arial" w:cs="Arial"/>
          <w:b/>
          <w:color w:val="000000"/>
          <w:sz w:val="24"/>
          <w:szCs w:val="24"/>
        </w:rPr>
      </w:pPr>
    </w:p>
    <w:p w14:paraId="3FFA6C51" w14:textId="051A35E6" w:rsidR="00E83FFF" w:rsidRDefault="00E83FFF" w:rsidP="00914A24">
      <w:pPr>
        <w:pBdr>
          <w:top w:val="nil"/>
          <w:left w:val="nil"/>
          <w:bottom w:val="single" w:sz="4" w:space="1" w:color="000000"/>
          <w:right w:val="nil"/>
          <w:between w:val="nil"/>
        </w:pBdr>
        <w:tabs>
          <w:tab w:val="left" w:pos="8055"/>
        </w:tabs>
        <w:rPr>
          <w:rFonts w:ascii="Arial" w:eastAsia="Bookman Old Style" w:hAnsi="Arial" w:cs="Arial"/>
          <w:b/>
          <w:color w:val="000000"/>
          <w:sz w:val="24"/>
          <w:szCs w:val="24"/>
        </w:rPr>
      </w:pPr>
    </w:p>
    <w:p w14:paraId="59925D32" w14:textId="5F0E1A2F" w:rsidR="00E83FFF" w:rsidRDefault="00E83FFF" w:rsidP="00914A24">
      <w:pPr>
        <w:pBdr>
          <w:top w:val="nil"/>
          <w:left w:val="nil"/>
          <w:bottom w:val="single" w:sz="4" w:space="1" w:color="000000"/>
          <w:right w:val="nil"/>
          <w:between w:val="nil"/>
        </w:pBdr>
        <w:tabs>
          <w:tab w:val="left" w:pos="8055"/>
        </w:tabs>
        <w:rPr>
          <w:rFonts w:ascii="Arial" w:eastAsia="Bookman Old Style" w:hAnsi="Arial" w:cs="Arial"/>
          <w:b/>
          <w:color w:val="000000"/>
          <w:sz w:val="24"/>
          <w:szCs w:val="24"/>
        </w:rPr>
      </w:pPr>
    </w:p>
    <w:p w14:paraId="3B0F60CE" w14:textId="58018F9C" w:rsidR="00E83FFF" w:rsidRDefault="00E83FFF" w:rsidP="00914A24">
      <w:pPr>
        <w:pBdr>
          <w:top w:val="nil"/>
          <w:left w:val="nil"/>
          <w:bottom w:val="single" w:sz="4" w:space="1" w:color="000000"/>
          <w:right w:val="nil"/>
          <w:between w:val="nil"/>
        </w:pBdr>
        <w:tabs>
          <w:tab w:val="left" w:pos="8055"/>
        </w:tabs>
        <w:rPr>
          <w:rFonts w:ascii="Arial" w:eastAsia="Bookman Old Style" w:hAnsi="Arial" w:cs="Arial"/>
          <w:b/>
          <w:color w:val="000000"/>
          <w:sz w:val="24"/>
          <w:szCs w:val="24"/>
        </w:rPr>
      </w:pPr>
    </w:p>
    <w:p w14:paraId="4EEF262B" w14:textId="77777777" w:rsidR="00E83FFF" w:rsidRPr="00F3416B" w:rsidRDefault="00E83FFF" w:rsidP="00914A24">
      <w:pPr>
        <w:pBdr>
          <w:top w:val="nil"/>
          <w:left w:val="nil"/>
          <w:bottom w:val="single" w:sz="4" w:space="1" w:color="000000"/>
          <w:right w:val="nil"/>
          <w:between w:val="nil"/>
        </w:pBdr>
        <w:tabs>
          <w:tab w:val="left" w:pos="8055"/>
        </w:tabs>
        <w:rPr>
          <w:rFonts w:ascii="Arial" w:eastAsia="Bookman Old Style" w:hAnsi="Arial" w:cs="Arial"/>
          <w:b/>
          <w:color w:val="000000"/>
          <w:sz w:val="24"/>
          <w:szCs w:val="24"/>
        </w:rPr>
      </w:pPr>
    </w:p>
    <w:p w14:paraId="61AB8A87" w14:textId="77777777" w:rsidR="00914A24" w:rsidRPr="00F3416B" w:rsidRDefault="00914A24" w:rsidP="00914A24">
      <w:pPr>
        <w:pBdr>
          <w:top w:val="nil"/>
          <w:left w:val="nil"/>
          <w:bottom w:val="single" w:sz="4" w:space="1" w:color="000000"/>
          <w:right w:val="nil"/>
          <w:between w:val="nil"/>
        </w:pBdr>
        <w:tabs>
          <w:tab w:val="left" w:pos="8055"/>
        </w:tabs>
        <w:rPr>
          <w:rFonts w:ascii="Arial" w:eastAsia="Bookman Old Style" w:hAnsi="Arial" w:cs="Arial"/>
          <w:b/>
          <w:color w:val="000000"/>
          <w:sz w:val="24"/>
          <w:szCs w:val="24"/>
        </w:rPr>
      </w:pPr>
    </w:p>
    <w:p w14:paraId="0CEE5395" w14:textId="77777777" w:rsidR="00914A24" w:rsidRPr="00F3416B" w:rsidRDefault="00914A24" w:rsidP="00914A24">
      <w:pPr>
        <w:pBdr>
          <w:top w:val="nil"/>
          <w:left w:val="nil"/>
          <w:bottom w:val="single" w:sz="4" w:space="1" w:color="000000"/>
          <w:right w:val="nil"/>
          <w:between w:val="nil"/>
        </w:pBdr>
        <w:tabs>
          <w:tab w:val="left" w:pos="8055"/>
        </w:tabs>
        <w:rPr>
          <w:rFonts w:ascii="Arial" w:eastAsia="Bookman Old Style" w:hAnsi="Arial" w:cs="Arial"/>
          <w:b/>
          <w:color w:val="000000"/>
          <w:sz w:val="24"/>
          <w:szCs w:val="24"/>
        </w:rPr>
      </w:pPr>
    </w:p>
    <w:p w14:paraId="2E093C3E" w14:textId="77777777" w:rsidR="00914A24" w:rsidRPr="00F3416B" w:rsidRDefault="00914A24" w:rsidP="00914A24">
      <w:pPr>
        <w:pBdr>
          <w:top w:val="nil"/>
          <w:left w:val="nil"/>
          <w:bottom w:val="single" w:sz="4" w:space="1" w:color="000000"/>
          <w:right w:val="nil"/>
          <w:between w:val="nil"/>
        </w:pBdr>
        <w:tabs>
          <w:tab w:val="left" w:pos="8055"/>
        </w:tabs>
        <w:jc w:val="center"/>
        <w:rPr>
          <w:rFonts w:ascii="Arial" w:eastAsia="Bookman Old Style" w:hAnsi="Arial" w:cs="Arial"/>
          <w:b/>
          <w:color w:val="000000"/>
          <w:sz w:val="24"/>
          <w:szCs w:val="24"/>
        </w:rPr>
      </w:pPr>
      <w:r w:rsidRPr="00F3416B">
        <w:rPr>
          <w:rFonts w:ascii="Arial" w:eastAsia="Bookman Old Style" w:hAnsi="Arial" w:cs="Arial"/>
          <w:b/>
          <w:color w:val="000000"/>
          <w:sz w:val="24"/>
          <w:szCs w:val="24"/>
        </w:rPr>
        <w:lastRenderedPageBreak/>
        <w:t>EXPOSICION DE MOTIVOS.</w:t>
      </w:r>
    </w:p>
    <w:p w14:paraId="3358EA72" w14:textId="77777777" w:rsidR="00914A24" w:rsidRPr="00F3416B" w:rsidRDefault="00914A24" w:rsidP="00914A24">
      <w:pPr>
        <w:pBdr>
          <w:top w:val="nil"/>
          <w:left w:val="nil"/>
          <w:bottom w:val="nil"/>
          <w:right w:val="nil"/>
          <w:between w:val="nil"/>
        </w:pBdr>
        <w:tabs>
          <w:tab w:val="left" w:pos="8055"/>
        </w:tabs>
        <w:jc w:val="center"/>
        <w:rPr>
          <w:rFonts w:ascii="Arial" w:eastAsia="Bookman Old Style" w:hAnsi="Arial" w:cs="Arial"/>
          <w:b/>
          <w:color w:val="000000"/>
          <w:sz w:val="24"/>
          <w:szCs w:val="24"/>
        </w:rPr>
      </w:pPr>
    </w:p>
    <w:p w14:paraId="7526DBAC" w14:textId="77777777" w:rsidR="00914A24" w:rsidRPr="00F3416B" w:rsidRDefault="00914A24" w:rsidP="00914A24">
      <w:pPr>
        <w:pBdr>
          <w:top w:val="nil"/>
          <w:left w:val="nil"/>
          <w:bottom w:val="nil"/>
          <w:right w:val="nil"/>
          <w:between w:val="nil"/>
        </w:pBdr>
        <w:tabs>
          <w:tab w:val="left" w:pos="8055"/>
        </w:tabs>
        <w:jc w:val="right"/>
        <w:rPr>
          <w:rFonts w:ascii="Arial" w:eastAsia="Bookman Old Style" w:hAnsi="Arial" w:cs="Arial"/>
          <w:color w:val="000000"/>
          <w:sz w:val="24"/>
          <w:szCs w:val="24"/>
        </w:rPr>
      </w:pPr>
      <w:r w:rsidRPr="00F3416B">
        <w:rPr>
          <w:rFonts w:ascii="Arial" w:eastAsia="Bookman Old Style" w:hAnsi="Arial" w:cs="Arial"/>
          <w:color w:val="000000"/>
          <w:sz w:val="24"/>
          <w:szCs w:val="24"/>
        </w:rPr>
        <w:t xml:space="preserve">      </w:t>
      </w:r>
    </w:p>
    <w:p w14:paraId="6EC64187" w14:textId="77777777" w:rsidR="00914A24" w:rsidRPr="00F3416B" w:rsidRDefault="00914A24" w:rsidP="00914A24">
      <w:pPr>
        <w:pBdr>
          <w:top w:val="nil"/>
          <w:left w:val="nil"/>
          <w:bottom w:val="nil"/>
          <w:right w:val="nil"/>
          <w:between w:val="nil"/>
        </w:pBdr>
        <w:tabs>
          <w:tab w:val="left" w:pos="8055"/>
        </w:tabs>
        <w:jc w:val="right"/>
        <w:rPr>
          <w:rFonts w:ascii="Arial" w:eastAsia="Bookman Old Style" w:hAnsi="Arial" w:cs="Arial"/>
          <w:i/>
          <w:color w:val="000000"/>
          <w:sz w:val="24"/>
          <w:szCs w:val="24"/>
        </w:rPr>
      </w:pPr>
      <w:r w:rsidRPr="00F3416B">
        <w:rPr>
          <w:rFonts w:ascii="Arial" w:eastAsia="Bookman Old Style" w:hAnsi="Arial" w:cs="Arial"/>
          <w:i/>
          <w:color w:val="000000"/>
          <w:sz w:val="24"/>
          <w:szCs w:val="24"/>
        </w:rPr>
        <w:t>“La ley es la seguridad del pueblo, la seguridad de cada uno de los gobernados y la seguridad de cada uno de los gobernantes”</w:t>
      </w:r>
    </w:p>
    <w:p w14:paraId="46CCD58C" w14:textId="77777777" w:rsidR="00914A24" w:rsidRPr="00F3416B" w:rsidRDefault="00914A24" w:rsidP="00914A24">
      <w:pPr>
        <w:pBdr>
          <w:top w:val="nil"/>
          <w:left w:val="nil"/>
          <w:bottom w:val="nil"/>
          <w:right w:val="nil"/>
          <w:between w:val="nil"/>
        </w:pBdr>
        <w:tabs>
          <w:tab w:val="left" w:pos="8055"/>
        </w:tabs>
        <w:jc w:val="right"/>
        <w:rPr>
          <w:rFonts w:ascii="Arial" w:eastAsia="Bookman Old Style" w:hAnsi="Arial" w:cs="Arial"/>
          <w:b/>
          <w:i/>
          <w:color w:val="000000"/>
          <w:sz w:val="24"/>
          <w:szCs w:val="24"/>
        </w:rPr>
      </w:pPr>
      <w:r w:rsidRPr="00F3416B">
        <w:rPr>
          <w:rFonts w:ascii="Arial" w:eastAsia="Bookman Old Style" w:hAnsi="Arial" w:cs="Arial"/>
          <w:i/>
          <w:color w:val="000000"/>
          <w:sz w:val="24"/>
          <w:szCs w:val="24"/>
        </w:rPr>
        <w:t xml:space="preserve">(Edmund </w:t>
      </w:r>
      <w:proofErr w:type="spellStart"/>
      <w:r w:rsidRPr="00F3416B">
        <w:rPr>
          <w:rFonts w:ascii="Arial" w:eastAsia="Bookman Old Style" w:hAnsi="Arial" w:cs="Arial"/>
          <w:i/>
          <w:color w:val="000000"/>
          <w:sz w:val="24"/>
          <w:szCs w:val="24"/>
        </w:rPr>
        <w:t>Burke</w:t>
      </w:r>
      <w:proofErr w:type="spellEnd"/>
      <w:r w:rsidRPr="00F3416B">
        <w:rPr>
          <w:rFonts w:ascii="Arial" w:eastAsia="Bookman Old Style" w:hAnsi="Arial" w:cs="Arial"/>
          <w:i/>
          <w:color w:val="000000"/>
          <w:sz w:val="24"/>
          <w:szCs w:val="24"/>
        </w:rPr>
        <w:t>)</w:t>
      </w:r>
    </w:p>
    <w:p w14:paraId="3B293F4A" w14:textId="77777777" w:rsidR="00914A24" w:rsidRPr="00F3416B" w:rsidRDefault="00914A24" w:rsidP="00914A24">
      <w:pPr>
        <w:pBdr>
          <w:top w:val="nil"/>
          <w:left w:val="nil"/>
          <w:bottom w:val="nil"/>
          <w:right w:val="nil"/>
          <w:between w:val="nil"/>
        </w:pBdr>
        <w:jc w:val="both"/>
        <w:rPr>
          <w:rFonts w:ascii="Arial" w:eastAsia="Bookman Old Style" w:hAnsi="Arial" w:cs="Arial"/>
          <w:b/>
          <w:color w:val="000000"/>
          <w:sz w:val="24"/>
          <w:szCs w:val="24"/>
        </w:rPr>
      </w:pPr>
      <w:bookmarkStart w:id="1" w:name="bookmark=id.gjdgxs" w:colFirst="0" w:colLast="0"/>
      <w:bookmarkEnd w:id="1"/>
    </w:p>
    <w:p w14:paraId="386DD525" w14:textId="77777777" w:rsidR="00914A24" w:rsidRPr="00F3416B" w:rsidRDefault="00914A24" w:rsidP="00914A24">
      <w:pPr>
        <w:jc w:val="both"/>
        <w:rPr>
          <w:rFonts w:ascii="Arial" w:eastAsia="Bookman Old Style" w:hAnsi="Arial" w:cs="Arial"/>
          <w:color w:val="000000"/>
          <w:sz w:val="24"/>
          <w:szCs w:val="24"/>
        </w:rPr>
      </w:pPr>
    </w:p>
    <w:p w14:paraId="6896CF6B" w14:textId="77777777" w:rsidR="00914A24" w:rsidRPr="00F3416B" w:rsidRDefault="00914A24" w:rsidP="00914A24">
      <w:pPr>
        <w:jc w:val="both"/>
        <w:rPr>
          <w:rFonts w:ascii="Arial" w:eastAsia="Bookman Old Style" w:hAnsi="Arial" w:cs="Arial"/>
          <w:color w:val="000000"/>
          <w:sz w:val="24"/>
          <w:szCs w:val="24"/>
        </w:rPr>
      </w:pPr>
    </w:p>
    <w:p w14:paraId="7CA03A0C"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El mundo entero en la actualidad se enfrenta a unas circunstancias económicas que devienen en una inflación generalizada, particularmente por los efectos post-</w:t>
      </w:r>
      <w:proofErr w:type="spellStart"/>
      <w:r w:rsidRPr="00F3416B">
        <w:rPr>
          <w:rFonts w:ascii="Arial" w:eastAsia="Bookman Old Style" w:hAnsi="Arial" w:cs="Arial"/>
          <w:color w:val="000000"/>
          <w:sz w:val="24"/>
          <w:szCs w:val="24"/>
        </w:rPr>
        <w:t>Covid</w:t>
      </w:r>
      <w:proofErr w:type="spellEnd"/>
      <w:r w:rsidRPr="00F3416B">
        <w:rPr>
          <w:rFonts w:ascii="Arial" w:eastAsia="Bookman Old Style" w:hAnsi="Arial" w:cs="Arial"/>
          <w:color w:val="000000"/>
          <w:sz w:val="24"/>
          <w:szCs w:val="24"/>
        </w:rPr>
        <w:t xml:space="preserve"> y la invasión de Rusia a Ucrania, afectando los mercados globales, regionales y locales.</w:t>
      </w:r>
    </w:p>
    <w:p w14:paraId="29DFDA11"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De tener una inflación global del 4.7% se estima, según el Fondo Monetario Internacional, que este año llegará a ser de 8.8% y que, si bien en el 2023 se espera un declive en la misma, no bajaría del 6.5%. Por otro lado el crecimiento global también viene en términos, si bien no negativos, sí de decrecimiento considerable por tanto pasamos de un 6% en el 2021, a un 3.2% en el año en curso y se espera llegar a 2.7% en el 2023.</w:t>
      </w:r>
      <w:r w:rsidRPr="00F3416B">
        <w:rPr>
          <w:rStyle w:val="Refdenotaalpie"/>
          <w:rFonts w:ascii="Arial" w:eastAsia="Bookman Old Style" w:hAnsi="Arial" w:cs="Arial"/>
          <w:color w:val="000000"/>
          <w:sz w:val="24"/>
          <w:szCs w:val="24"/>
        </w:rPr>
        <w:footnoteReference w:id="1"/>
      </w:r>
      <w:r w:rsidRPr="00F3416B">
        <w:rPr>
          <w:rFonts w:ascii="Arial" w:eastAsia="Bookman Old Style" w:hAnsi="Arial" w:cs="Arial"/>
          <w:color w:val="000000"/>
          <w:sz w:val="24"/>
          <w:szCs w:val="24"/>
        </w:rPr>
        <w:t xml:space="preserve"> Bajo esa premisa, es claro que los números en materia económica tienden a ser desalentadores y, por consiguiente, los países en vía de desarrollo son los que más se verán afectados por dichas circunstancias.</w:t>
      </w:r>
    </w:p>
    <w:p w14:paraId="0BBD93D3" w14:textId="77777777" w:rsidR="00914A24" w:rsidRPr="00F3416B" w:rsidRDefault="00914A24" w:rsidP="00914A24">
      <w:pPr>
        <w:jc w:val="both"/>
        <w:rPr>
          <w:rFonts w:ascii="Arial" w:eastAsia="Bookman Old Style" w:hAnsi="Arial" w:cs="Arial"/>
          <w:color w:val="000000"/>
          <w:sz w:val="24"/>
          <w:szCs w:val="24"/>
        </w:rPr>
      </w:pPr>
    </w:p>
    <w:p w14:paraId="02DCAA5F" w14:textId="77777777" w:rsidR="00914A24" w:rsidRPr="00F3416B" w:rsidRDefault="00914A24" w:rsidP="00914A24">
      <w:pPr>
        <w:jc w:val="both"/>
        <w:rPr>
          <w:rFonts w:ascii="Arial" w:eastAsia="Bookman Old Style" w:hAnsi="Arial" w:cs="Arial"/>
          <w:color w:val="000000"/>
          <w:sz w:val="24"/>
          <w:szCs w:val="24"/>
        </w:rPr>
      </w:pPr>
    </w:p>
    <w:p w14:paraId="6680B223" w14:textId="77777777" w:rsidR="00914A24" w:rsidRPr="00F3416B" w:rsidRDefault="00914A24" w:rsidP="00914A24">
      <w:pPr>
        <w:jc w:val="both"/>
        <w:rPr>
          <w:rFonts w:ascii="Arial" w:hAnsi="Arial" w:cs="Arial"/>
          <w:color w:val="202124"/>
          <w:sz w:val="24"/>
          <w:szCs w:val="24"/>
          <w:shd w:val="clear" w:color="auto" w:fill="FFFFFF"/>
        </w:rPr>
      </w:pPr>
      <w:r w:rsidRPr="00F3416B">
        <w:rPr>
          <w:rFonts w:ascii="Arial" w:eastAsia="Bookman Old Style" w:hAnsi="Arial" w:cs="Arial"/>
          <w:color w:val="000000"/>
          <w:sz w:val="24"/>
          <w:szCs w:val="24"/>
        </w:rPr>
        <w:t>Por otro lado, en lo que concierne a nuestro país particularmente, es menester aclarar que “</w:t>
      </w:r>
      <w:r w:rsidRPr="00F3416B">
        <w:rPr>
          <w:rFonts w:ascii="Arial" w:hAnsi="Arial" w:cs="Arial"/>
          <w:color w:val="202124"/>
          <w:sz w:val="24"/>
          <w:szCs w:val="24"/>
          <w:shd w:val="clear" w:color="auto" w:fill="FFFFFF"/>
        </w:rPr>
        <w:t>La tasa de variación </w:t>
      </w:r>
      <w:r w:rsidRPr="00F3416B">
        <w:rPr>
          <w:rFonts w:ascii="Arial" w:hAnsi="Arial" w:cs="Arial"/>
          <w:b/>
          <w:bCs/>
          <w:color w:val="202124"/>
          <w:sz w:val="24"/>
          <w:szCs w:val="24"/>
          <w:shd w:val="clear" w:color="auto" w:fill="FFFFFF"/>
        </w:rPr>
        <w:t>anual</w:t>
      </w:r>
      <w:r w:rsidRPr="00F3416B">
        <w:rPr>
          <w:rFonts w:ascii="Arial" w:hAnsi="Arial" w:cs="Arial"/>
          <w:color w:val="202124"/>
          <w:sz w:val="24"/>
          <w:szCs w:val="24"/>
          <w:shd w:val="clear" w:color="auto" w:fill="FFFFFF"/>
        </w:rPr>
        <w:t> del IPC en </w:t>
      </w:r>
      <w:r w:rsidRPr="00F3416B">
        <w:rPr>
          <w:rFonts w:ascii="Arial" w:hAnsi="Arial" w:cs="Arial"/>
          <w:b/>
          <w:bCs/>
          <w:color w:val="202124"/>
          <w:sz w:val="24"/>
          <w:szCs w:val="24"/>
          <w:shd w:val="clear" w:color="auto" w:fill="FFFFFF"/>
        </w:rPr>
        <w:t>Colombia</w:t>
      </w:r>
      <w:r w:rsidRPr="00F3416B">
        <w:rPr>
          <w:rFonts w:ascii="Arial" w:hAnsi="Arial" w:cs="Arial"/>
          <w:color w:val="202124"/>
          <w:sz w:val="24"/>
          <w:szCs w:val="24"/>
          <w:shd w:val="clear" w:color="auto" w:fill="FFFFFF"/>
        </w:rPr>
        <w:t> en septiembre de </w:t>
      </w:r>
      <w:r w:rsidRPr="00F3416B">
        <w:rPr>
          <w:rFonts w:ascii="Arial" w:hAnsi="Arial" w:cs="Arial"/>
          <w:b/>
          <w:bCs/>
          <w:color w:val="202124"/>
          <w:sz w:val="24"/>
          <w:szCs w:val="24"/>
          <w:shd w:val="clear" w:color="auto" w:fill="FFFFFF"/>
        </w:rPr>
        <w:t>2022</w:t>
      </w:r>
      <w:r w:rsidRPr="00F3416B">
        <w:rPr>
          <w:rFonts w:ascii="Arial" w:hAnsi="Arial" w:cs="Arial"/>
          <w:color w:val="202124"/>
          <w:sz w:val="24"/>
          <w:szCs w:val="24"/>
          <w:shd w:val="clear" w:color="auto" w:fill="FFFFFF"/>
        </w:rPr>
        <w:t xml:space="preserve"> ha sido del 11,4%, 6 décimas superior a la del mes anterior. La </w:t>
      </w:r>
      <w:r w:rsidRPr="00F3416B">
        <w:rPr>
          <w:rFonts w:ascii="Arial" w:hAnsi="Arial" w:cs="Arial"/>
          <w:color w:val="202124"/>
          <w:sz w:val="24"/>
          <w:szCs w:val="24"/>
          <w:shd w:val="clear" w:color="auto" w:fill="FFFFFF"/>
        </w:rPr>
        <w:lastRenderedPageBreak/>
        <w:t>variación </w:t>
      </w:r>
      <w:r w:rsidRPr="00F3416B">
        <w:rPr>
          <w:rFonts w:ascii="Arial" w:hAnsi="Arial" w:cs="Arial"/>
          <w:b/>
          <w:bCs/>
          <w:color w:val="202124"/>
          <w:sz w:val="24"/>
          <w:szCs w:val="24"/>
          <w:shd w:val="clear" w:color="auto" w:fill="FFFFFF"/>
        </w:rPr>
        <w:t>mensual</w:t>
      </w:r>
      <w:r w:rsidRPr="00F3416B">
        <w:rPr>
          <w:rFonts w:ascii="Arial" w:hAnsi="Arial" w:cs="Arial"/>
          <w:color w:val="202124"/>
          <w:sz w:val="24"/>
          <w:szCs w:val="24"/>
          <w:shd w:val="clear" w:color="auto" w:fill="FFFFFF"/>
        </w:rPr>
        <w:t> del IPC (Índice de Precios al Consumo) ha sido del 0,9%, de forma </w:t>
      </w:r>
      <w:r w:rsidRPr="00F3416B">
        <w:rPr>
          <w:rFonts w:ascii="Arial" w:hAnsi="Arial" w:cs="Arial"/>
          <w:b/>
          <w:bCs/>
          <w:color w:val="202124"/>
          <w:sz w:val="24"/>
          <w:szCs w:val="24"/>
          <w:shd w:val="clear" w:color="auto" w:fill="FFFFFF"/>
        </w:rPr>
        <w:t>que</w:t>
      </w:r>
      <w:r w:rsidRPr="00F3416B">
        <w:rPr>
          <w:rFonts w:ascii="Arial" w:hAnsi="Arial" w:cs="Arial"/>
          <w:color w:val="202124"/>
          <w:sz w:val="24"/>
          <w:szCs w:val="24"/>
          <w:shd w:val="clear" w:color="auto" w:fill="FFFFFF"/>
        </w:rPr>
        <w:t> la </w:t>
      </w:r>
      <w:r w:rsidRPr="00F3416B">
        <w:rPr>
          <w:rFonts w:ascii="Arial" w:hAnsi="Arial" w:cs="Arial"/>
          <w:b/>
          <w:bCs/>
          <w:color w:val="202124"/>
          <w:sz w:val="24"/>
          <w:szCs w:val="24"/>
          <w:shd w:val="clear" w:color="auto" w:fill="FFFFFF"/>
        </w:rPr>
        <w:t>inflación acumulada</w:t>
      </w:r>
      <w:r w:rsidRPr="00F3416B">
        <w:rPr>
          <w:rFonts w:ascii="Arial" w:hAnsi="Arial" w:cs="Arial"/>
          <w:color w:val="202124"/>
          <w:sz w:val="24"/>
          <w:szCs w:val="24"/>
          <w:shd w:val="clear" w:color="auto" w:fill="FFFFFF"/>
        </w:rPr>
        <w:t> en </w:t>
      </w:r>
      <w:r w:rsidRPr="00F3416B">
        <w:rPr>
          <w:rFonts w:ascii="Arial" w:hAnsi="Arial" w:cs="Arial"/>
          <w:b/>
          <w:bCs/>
          <w:color w:val="202124"/>
          <w:sz w:val="24"/>
          <w:szCs w:val="24"/>
          <w:shd w:val="clear" w:color="auto" w:fill="FFFFFF"/>
        </w:rPr>
        <w:t>2022</w:t>
      </w:r>
      <w:r w:rsidRPr="00F3416B">
        <w:rPr>
          <w:rFonts w:ascii="Arial" w:hAnsi="Arial" w:cs="Arial"/>
          <w:color w:val="202124"/>
          <w:sz w:val="24"/>
          <w:szCs w:val="24"/>
          <w:shd w:val="clear" w:color="auto" w:fill="FFFFFF"/>
        </w:rPr>
        <w:t> es del 10,1%.”</w:t>
      </w:r>
      <w:r w:rsidRPr="00F3416B">
        <w:rPr>
          <w:rStyle w:val="Refdenotaalpie"/>
          <w:rFonts w:ascii="Arial" w:hAnsi="Arial" w:cs="Arial"/>
          <w:color w:val="202124"/>
          <w:sz w:val="24"/>
          <w:szCs w:val="24"/>
          <w:shd w:val="clear" w:color="auto" w:fill="FFFFFF"/>
        </w:rPr>
        <w:footnoteReference w:id="2"/>
      </w:r>
      <w:r w:rsidRPr="00F3416B">
        <w:rPr>
          <w:rFonts w:ascii="Arial" w:hAnsi="Arial" w:cs="Arial"/>
          <w:color w:val="202124"/>
          <w:sz w:val="24"/>
          <w:szCs w:val="24"/>
          <w:shd w:val="clear" w:color="auto" w:fill="FFFFFF"/>
        </w:rPr>
        <w:t>. Nuevamente, nos enfrentamos a unos registros que son clara y abiertamente negativos para el desarrollo económico y social de nuestra nación.</w:t>
      </w:r>
    </w:p>
    <w:p w14:paraId="723EC853" w14:textId="77777777" w:rsidR="00914A24" w:rsidRPr="00F3416B" w:rsidRDefault="00914A24" w:rsidP="00914A24">
      <w:pPr>
        <w:jc w:val="both"/>
        <w:rPr>
          <w:rFonts w:ascii="Arial" w:hAnsi="Arial" w:cs="Arial"/>
          <w:sz w:val="24"/>
          <w:szCs w:val="24"/>
          <w:lang w:eastAsia="es-ES_tradnl"/>
        </w:rPr>
      </w:pPr>
    </w:p>
    <w:p w14:paraId="6D98004D" w14:textId="77777777" w:rsidR="00914A24" w:rsidRPr="00F3416B" w:rsidRDefault="00914A24" w:rsidP="00914A24">
      <w:pPr>
        <w:jc w:val="both"/>
        <w:rPr>
          <w:rFonts w:ascii="Arial" w:hAnsi="Arial" w:cs="Arial"/>
          <w:sz w:val="24"/>
          <w:szCs w:val="24"/>
          <w:lang w:eastAsia="es-ES_tradnl"/>
        </w:rPr>
      </w:pPr>
      <w:r w:rsidRPr="00F3416B">
        <w:rPr>
          <w:rFonts w:ascii="Arial" w:hAnsi="Arial" w:cs="Arial"/>
          <w:noProof/>
          <w:sz w:val="24"/>
          <w:szCs w:val="24"/>
          <w:lang w:eastAsia="es-ES_tradnl"/>
        </w:rPr>
        <w:drawing>
          <wp:inline distT="0" distB="0" distL="0" distR="0" wp14:anchorId="706E5AA1" wp14:editId="5497BA43">
            <wp:extent cx="4762500" cy="3454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png"/>
                    <pic:cNvPicPr/>
                  </pic:nvPicPr>
                  <pic:blipFill>
                    <a:blip r:embed="rId9">
                      <a:extLst>
                        <a:ext uri="{28A0092B-C50C-407E-A947-70E740481C1C}">
                          <a14:useLocalDpi xmlns:a14="http://schemas.microsoft.com/office/drawing/2010/main" val="0"/>
                        </a:ext>
                      </a:extLst>
                    </a:blip>
                    <a:stretch>
                      <a:fillRect/>
                    </a:stretch>
                  </pic:blipFill>
                  <pic:spPr>
                    <a:xfrm>
                      <a:off x="0" y="0"/>
                      <a:ext cx="4762500" cy="3454400"/>
                    </a:xfrm>
                    <a:prstGeom prst="rect">
                      <a:avLst/>
                    </a:prstGeom>
                  </pic:spPr>
                </pic:pic>
              </a:graphicData>
            </a:graphic>
          </wp:inline>
        </w:drawing>
      </w:r>
    </w:p>
    <w:p w14:paraId="7B507664"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*Este cuadro denota como la inflación y, particularmente la inflación de alimentos ha venido aumentando considerablemente en los últimos 2 años (dato hasta febrero del presente año)</w:t>
      </w:r>
    </w:p>
    <w:p w14:paraId="58DAD43C" w14:textId="77777777" w:rsidR="00914A24" w:rsidRPr="00F3416B" w:rsidRDefault="00914A24" w:rsidP="00914A24">
      <w:pPr>
        <w:jc w:val="both"/>
        <w:rPr>
          <w:rFonts w:ascii="Arial" w:eastAsia="Bookman Old Style" w:hAnsi="Arial" w:cs="Arial"/>
          <w:color w:val="000000"/>
          <w:sz w:val="24"/>
          <w:szCs w:val="24"/>
        </w:rPr>
      </w:pPr>
    </w:p>
    <w:p w14:paraId="5E0CF004"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Los factores anteriormente mencionados</w:t>
      </w:r>
      <w:r>
        <w:rPr>
          <w:rFonts w:ascii="Arial" w:eastAsia="Bookman Old Style" w:hAnsi="Arial" w:cs="Arial"/>
          <w:color w:val="000000"/>
          <w:sz w:val="24"/>
          <w:szCs w:val="24"/>
        </w:rPr>
        <w:t xml:space="preserve"> sumados a la</w:t>
      </w:r>
      <w:r w:rsidRPr="00F3416B">
        <w:rPr>
          <w:rFonts w:ascii="Arial" w:eastAsia="Bookman Old Style" w:hAnsi="Arial" w:cs="Arial"/>
          <w:color w:val="000000"/>
          <w:sz w:val="24"/>
          <w:szCs w:val="24"/>
        </w:rPr>
        <w:t xml:space="preserve"> </w:t>
      </w:r>
      <w:proofErr w:type="gramStart"/>
      <w:r w:rsidRPr="00F3416B">
        <w:rPr>
          <w:rFonts w:ascii="Arial" w:eastAsia="Bookman Old Style" w:hAnsi="Arial" w:cs="Arial"/>
          <w:color w:val="000000"/>
          <w:sz w:val="24"/>
          <w:szCs w:val="24"/>
        </w:rPr>
        <w:t xml:space="preserve">devaluación </w:t>
      </w:r>
      <w:r>
        <w:rPr>
          <w:rFonts w:ascii="Arial" w:eastAsia="Bookman Old Style" w:hAnsi="Arial" w:cs="Arial"/>
          <w:color w:val="000000"/>
          <w:sz w:val="24"/>
          <w:szCs w:val="24"/>
        </w:rPr>
        <w:t xml:space="preserve"> que</w:t>
      </w:r>
      <w:proofErr w:type="gramEnd"/>
      <w:r>
        <w:rPr>
          <w:rFonts w:ascii="Arial" w:eastAsia="Bookman Old Style" w:hAnsi="Arial" w:cs="Arial"/>
          <w:color w:val="000000"/>
          <w:sz w:val="24"/>
          <w:szCs w:val="24"/>
        </w:rPr>
        <w:t xml:space="preserve"> </w:t>
      </w:r>
      <w:r w:rsidRPr="00F3416B">
        <w:rPr>
          <w:rFonts w:ascii="Arial" w:eastAsia="Bookman Old Style" w:hAnsi="Arial" w:cs="Arial"/>
          <w:color w:val="000000"/>
          <w:sz w:val="24"/>
          <w:szCs w:val="24"/>
        </w:rPr>
        <w:t>ya rompió</w:t>
      </w:r>
      <w:r>
        <w:rPr>
          <w:rFonts w:ascii="Arial" w:eastAsia="Bookman Old Style" w:hAnsi="Arial" w:cs="Arial"/>
          <w:color w:val="000000"/>
          <w:sz w:val="24"/>
          <w:szCs w:val="24"/>
        </w:rPr>
        <w:t>, el 1 de noviembre,</w:t>
      </w:r>
      <w:r w:rsidRPr="00F3416B">
        <w:rPr>
          <w:rFonts w:ascii="Arial" w:eastAsia="Bookman Old Style" w:hAnsi="Arial" w:cs="Arial"/>
          <w:color w:val="000000"/>
          <w:sz w:val="24"/>
          <w:szCs w:val="24"/>
        </w:rPr>
        <w:t xml:space="preserve"> la barrera de los $5.000 COP llegando a un máximo histórico</w:t>
      </w:r>
      <w:r>
        <w:rPr>
          <w:rFonts w:ascii="Arial" w:eastAsia="Bookman Old Style" w:hAnsi="Arial" w:cs="Arial"/>
          <w:color w:val="000000"/>
          <w:sz w:val="24"/>
          <w:szCs w:val="24"/>
        </w:rPr>
        <w:t>, hace urgente el mensaje de tranquilidad al sector industrial, comercial y productivo del país.</w:t>
      </w:r>
    </w:p>
    <w:p w14:paraId="3160AAB6" w14:textId="77777777" w:rsidR="00914A24" w:rsidRPr="00F3416B" w:rsidRDefault="00914A24" w:rsidP="00914A24">
      <w:pPr>
        <w:jc w:val="both"/>
        <w:rPr>
          <w:rFonts w:ascii="Arial" w:eastAsia="Bookman Old Style" w:hAnsi="Arial" w:cs="Arial"/>
          <w:color w:val="000000"/>
          <w:sz w:val="24"/>
          <w:szCs w:val="24"/>
        </w:rPr>
      </w:pPr>
    </w:p>
    <w:p w14:paraId="6481D91D"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Con el panorama negativo al que nos estamos enfrentando, es menester hacer un llamado positivo a la inversión nacional y/o extranjera en Colombia a través de normas favorables que, de tal forma beneficien al sector productivo, cual es el motor económico de la nación.</w:t>
      </w:r>
    </w:p>
    <w:p w14:paraId="647314EF" w14:textId="77777777" w:rsidR="00914A24" w:rsidRPr="00F3416B" w:rsidRDefault="00914A24" w:rsidP="00914A24">
      <w:pPr>
        <w:jc w:val="both"/>
        <w:rPr>
          <w:rFonts w:ascii="Arial" w:eastAsia="Bookman Old Style" w:hAnsi="Arial" w:cs="Arial"/>
          <w:color w:val="000000"/>
          <w:sz w:val="24"/>
          <w:szCs w:val="24"/>
        </w:rPr>
      </w:pPr>
    </w:p>
    <w:p w14:paraId="2DF70824"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 xml:space="preserve">Es por esto que se hace necesario desarrollar un grupo normativo y jurídico que genere unos incentivos legales y económicos para que los diferentes inversionistas privados encuentren motivos ya sea para continuar sus operaciones en el país o para atraer nuevas inversiones. </w:t>
      </w:r>
    </w:p>
    <w:p w14:paraId="79001575"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 xml:space="preserve">En primera medida, bajar el umbral económico para que más inversionistas quieran participar de estos contratos es fundamental. Para el 2005, año en que nace la ley, $7500 smlmv, equivalían a $1’318.397 USD (con un smlmv de $408.000 COP y el dólar a $2.321 COP) mientras que hoy, dicha cifra equivale a $1´804.185 USD (con un smlmv de $1’000.000 COP y el dólar a un promedio anual de $4.157 COP) por lo que, incluso sin contar la inflación, denota que el monto para poder acceder a este tipo de contratos es considerablemente más alto que hace 17 años. En ese sentido, si </w:t>
      </w:r>
      <w:r>
        <w:rPr>
          <w:rFonts w:ascii="Arial" w:eastAsia="Bookman Old Style" w:hAnsi="Arial" w:cs="Arial"/>
          <w:color w:val="000000"/>
          <w:sz w:val="24"/>
          <w:szCs w:val="24"/>
        </w:rPr>
        <w:t>se bajara</w:t>
      </w:r>
      <w:r w:rsidRPr="00F3416B">
        <w:rPr>
          <w:rFonts w:ascii="Arial" w:eastAsia="Bookman Old Style" w:hAnsi="Arial" w:cs="Arial"/>
          <w:color w:val="000000"/>
          <w:sz w:val="24"/>
          <w:szCs w:val="24"/>
        </w:rPr>
        <w:t xml:space="preserve"> el umbral a 5000 smlmv, significaría, $1.202.790 USD, ergo, un poco más bajo que en el 2005 pero más acorde a la realidad económica y monetaria de la actualidad.</w:t>
      </w:r>
    </w:p>
    <w:p w14:paraId="1344152E" w14:textId="77777777" w:rsidR="00914A24" w:rsidRPr="00F3416B" w:rsidRDefault="00914A24" w:rsidP="00914A24">
      <w:pPr>
        <w:jc w:val="both"/>
        <w:rPr>
          <w:rFonts w:ascii="Arial" w:eastAsia="Bookman Old Style" w:hAnsi="Arial" w:cs="Arial"/>
          <w:color w:val="000000"/>
          <w:sz w:val="24"/>
          <w:szCs w:val="24"/>
        </w:rPr>
      </w:pPr>
    </w:p>
    <w:p w14:paraId="35ED39F0"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Por otro lado, dadas las perspectivas financieras y los objetivos de desarrollo social y económico del país, se hace menester que agreguemos a este articulado las categorías de tecnología, productos terminados y carboníferas. En muchos casos, las interpretaciones exegéticas que se desarrollan sobre las normas hace</w:t>
      </w:r>
      <w:r>
        <w:rPr>
          <w:rFonts w:ascii="Arial" w:eastAsia="Bookman Old Style" w:hAnsi="Arial" w:cs="Arial"/>
          <w:color w:val="000000"/>
          <w:sz w:val="24"/>
          <w:szCs w:val="24"/>
        </w:rPr>
        <w:t>n</w:t>
      </w:r>
      <w:r w:rsidRPr="00F3416B">
        <w:rPr>
          <w:rFonts w:ascii="Arial" w:eastAsia="Bookman Old Style" w:hAnsi="Arial" w:cs="Arial"/>
          <w:color w:val="000000"/>
          <w:sz w:val="24"/>
          <w:szCs w:val="24"/>
        </w:rPr>
        <w:t xml:space="preserve"> clara la necesidad de ser imperativos en cuanto a lo diáfano de la normativa. No esperar, bajo esa premisa, que sus inclusiones se hagan por motivos netamente interpretativos.</w:t>
      </w:r>
    </w:p>
    <w:p w14:paraId="68D476D0"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Además de esto, y dada la realidad nacional y mundial, es claro que, de igual forma, se tiene que, de forma expresa, enumerar los grupos de producción de energías renovables y/o limpias para que, dichas categorías, gocen, conforme a lo estipule el leg</w:t>
      </w:r>
      <w:r>
        <w:rPr>
          <w:rFonts w:ascii="Arial" w:eastAsia="Bookman Old Style" w:hAnsi="Arial" w:cs="Arial"/>
          <w:color w:val="000000"/>
          <w:sz w:val="24"/>
          <w:szCs w:val="24"/>
        </w:rPr>
        <w:t>i</w:t>
      </w:r>
      <w:r w:rsidRPr="00F3416B">
        <w:rPr>
          <w:rFonts w:ascii="Arial" w:eastAsia="Bookman Old Style" w:hAnsi="Arial" w:cs="Arial"/>
          <w:color w:val="000000"/>
          <w:sz w:val="24"/>
          <w:szCs w:val="24"/>
        </w:rPr>
        <w:t>slador, de otras categorías especiales respecto de los contratos de estabilidad jurídica.</w:t>
      </w:r>
    </w:p>
    <w:p w14:paraId="39DF0678" w14:textId="77777777" w:rsidR="00914A24" w:rsidRPr="00F3416B" w:rsidRDefault="00914A24" w:rsidP="00914A24">
      <w:pPr>
        <w:jc w:val="both"/>
        <w:rPr>
          <w:rFonts w:ascii="Arial" w:eastAsia="Bookman Old Style" w:hAnsi="Arial" w:cs="Arial"/>
          <w:color w:val="000000"/>
          <w:sz w:val="24"/>
          <w:szCs w:val="24"/>
        </w:rPr>
      </w:pPr>
    </w:p>
    <w:p w14:paraId="3C07FB91"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 xml:space="preserve">De igual forma, y haciendo énfasis en la realidad económica mundial y nacional, es claro que debe haber incentivos financieros para las empresas. Actualmente el mundo se ve afectado por una guerra y estamos en una etapa de </w:t>
      </w:r>
      <w:proofErr w:type="spellStart"/>
      <w:r w:rsidRPr="00F3416B">
        <w:rPr>
          <w:rFonts w:ascii="Arial" w:eastAsia="Bookman Old Style" w:hAnsi="Arial" w:cs="Arial"/>
          <w:color w:val="000000"/>
          <w:sz w:val="24"/>
          <w:szCs w:val="24"/>
        </w:rPr>
        <w:t>pos</w:t>
      </w:r>
      <w:r>
        <w:rPr>
          <w:rFonts w:ascii="Arial" w:eastAsia="Bookman Old Style" w:hAnsi="Arial" w:cs="Arial"/>
          <w:color w:val="000000"/>
          <w:sz w:val="24"/>
          <w:szCs w:val="24"/>
        </w:rPr>
        <w:t>t-</w:t>
      </w:r>
      <w:r w:rsidRPr="00F3416B">
        <w:rPr>
          <w:rFonts w:ascii="Arial" w:eastAsia="Bookman Old Style" w:hAnsi="Arial" w:cs="Arial"/>
          <w:color w:val="000000"/>
          <w:sz w:val="24"/>
          <w:szCs w:val="24"/>
        </w:rPr>
        <w:t>pandemia</w:t>
      </w:r>
      <w:proofErr w:type="spellEnd"/>
      <w:r w:rsidRPr="00F3416B">
        <w:rPr>
          <w:rFonts w:ascii="Arial" w:eastAsia="Bookman Old Style" w:hAnsi="Arial" w:cs="Arial"/>
          <w:color w:val="000000"/>
          <w:sz w:val="24"/>
          <w:szCs w:val="24"/>
        </w:rPr>
        <w:t xml:space="preserve"> que afecta a la mayoría de la población global. Por esto, la prima que pague la empresa debe ser reducida al 0,5% y, además, en los periodos improductivos se les debe proteger a través del no pago de impuestos. Una vez, por supuesto, se supere dicho periodo, las empresas pagarán la prima correspondiente al 0,5%.</w:t>
      </w:r>
    </w:p>
    <w:p w14:paraId="194AB894" w14:textId="77777777" w:rsidR="00914A24" w:rsidRPr="00F3416B" w:rsidRDefault="00914A24" w:rsidP="00914A24">
      <w:pPr>
        <w:jc w:val="both"/>
        <w:rPr>
          <w:rFonts w:ascii="Arial" w:eastAsia="Bookman Old Style" w:hAnsi="Arial" w:cs="Arial"/>
          <w:color w:val="000000"/>
          <w:sz w:val="24"/>
          <w:szCs w:val="24"/>
        </w:rPr>
      </w:pPr>
    </w:p>
    <w:p w14:paraId="6297C381" w14:textId="77777777" w:rsidR="00914A24" w:rsidRPr="00F3416B" w:rsidRDefault="00914A24" w:rsidP="00914A24">
      <w:pPr>
        <w:jc w:val="both"/>
        <w:rPr>
          <w:rFonts w:ascii="Arial" w:eastAsia="Bookman Old Style" w:hAnsi="Arial" w:cs="Arial"/>
          <w:color w:val="000000"/>
          <w:sz w:val="24"/>
          <w:szCs w:val="24"/>
        </w:rPr>
      </w:pPr>
      <w:r w:rsidRPr="00F3416B">
        <w:rPr>
          <w:rFonts w:ascii="Arial" w:eastAsia="Bookman Old Style" w:hAnsi="Arial" w:cs="Arial"/>
          <w:color w:val="000000"/>
          <w:sz w:val="24"/>
          <w:szCs w:val="24"/>
        </w:rPr>
        <w:t>Cordialmente,</w:t>
      </w:r>
    </w:p>
    <w:p w14:paraId="73341F7A" w14:textId="77777777" w:rsidR="00914A24" w:rsidRPr="00F3416B" w:rsidRDefault="00914A24" w:rsidP="00914A24">
      <w:pPr>
        <w:jc w:val="both"/>
        <w:rPr>
          <w:rFonts w:ascii="Arial" w:eastAsia="Bookman Old Style" w:hAnsi="Arial" w:cs="Arial"/>
          <w:color w:val="000000"/>
          <w:sz w:val="24"/>
          <w:szCs w:val="24"/>
        </w:rPr>
      </w:pPr>
    </w:p>
    <w:p w14:paraId="31A86F93" w14:textId="77777777" w:rsidR="00914A24" w:rsidRPr="00F3416B" w:rsidRDefault="00914A24" w:rsidP="00914A24">
      <w:pPr>
        <w:jc w:val="both"/>
        <w:rPr>
          <w:rFonts w:ascii="Arial" w:eastAsia="Bookman Old Style" w:hAnsi="Arial" w:cs="Arial"/>
          <w:color w:val="000000"/>
          <w:sz w:val="24"/>
          <w:szCs w:val="24"/>
        </w:rPr>
      </w:pPr>
    </w:p>
    <w:p w14:paraId="25CD35BE" w14:textId="77777777" w:rsidR="00914A24" w:rsidRPr="00F3416B" w:rsidRDefault="00914A24" w:rsidP="00914A24">
      <w:pPr>
        <w:jc w:val="both"/>
        <w:rPr>
          <w:rFonts w:ascii="Arial" w:eastAsia="Bookman Old Style" w:hAnsi="Arial" w:cs="Arial"/>
          <w:color w:val="000000"/>
          <w:sz w:val="24"/>
          <w:szCs w:val="24"/>
        </w:rPr>
      </w:pPr>
    </w:p>
    <w:p w14:paraId="4C937D9C" w14:textId="77777777" w:rsidR="00914A24" w:rsidRPr="00F3416B" w:rsidRDefault="00914A24" w:rsidP="00914A24">
      <w:pPr>
        <w:jc w:val="both"/>
        <w:rPr>
          <w:rFonts w:ascii="Arial" w:eastAsia="Bookman Old Style" w:hAnsi="Arial" w:cs="Arial"/>
          <w:color w:val="000000"/>
          <w:sz w:val="24"/>
          <w:szCs w:val="24"/>
        </w:rPr>
      </w:pPr>
      <w:bookmarkStart w:id="2" w:name="_GoBack"/>
      <w:bookmarkEnd w:id="2"/>
    </w:p>
    <w:p w14:paraId="51469D5E" w14:textId="77777777" w:rsidR="00914A24" w:rsidRPr="00F3416B" w:rsidRDefault="00914A24" w:rsidP="00914A24">
      <w:pPr>
        <w:tabs>
          <w:tab w:val="right" w:pos="8838"/>
        </w:tabs>
        <w:jc w:val="center"/>
        <w:rPr>
          <w:rFonts w:ascii="Arial" w:eastAsia="Bookman Old Style" w:hAnsi="Arial" w:cs="Arial"/>
          <w:b/>
          <w:sz w:val="24"/>
          <w:szCs w:val="24"/>
        </w:rPr>
      </w:pPr>
    </w:p>
    <w:p w14:paraId="1D0FF4DE" w14:textId="77777777" w:rsidR="00914A24" w:rsidRPr="00F3416B" w:rsidRDefault="00914A24" w:rsidP="00914A24">
      <w:pPr>
        <w:tabs>
          <w:tab w:val="right" w:pos="8838"/>
        </w:tabs>
        <w:jc w:val="center"/>
        <w:rPr>
          <w:rFonts w:ascii="Arial" w:eastAsia="Bookman Old Style" w:hAnsi="Arial" w:cs="Arial"/>
          <w:b/>
          <w:sz w:val="24"/>
          <w:szCs w:val="24"/>
        </w:rPr>
      </w:pPr>
      <w:r w:rsidRPr="00F3416B">
        <w:rPr>
          <w:rFonts w:ascii="Arial" w:eastAsia="Bookman Old Style" w:hAnsi="Arial" w:cs="Arial"/>
          <w:b/>
          <w:sz w:val="24"/>
          <w:szCs w:val="24"/>
        </w:rPr>
        <w:t>EDINSON VLADIMIR OLAYA MANCIPE</w:t>
      </w:r>
    </w:p>
    <w:p w14:paraId="0831BAB3" w14:textId="77777777" w:rsidR="00914A24" w:rsidRPr="00F3416B" w:rsidRDefault="00914A24" w:rsidP="00914A24">
      <w:pPr>
        <w:tabs>
          <w:tab w:val="right" w:pos="8838"/>
        </w:tabs>
        <w:jc w:val="center"/>
        <w:rPr>
          <w:rFonts w:ascii="Arial" w:eastAsia="Bookman Old Style" w:hAnsi="Arial" w:cs="Arial"/>
          <w:sz w:val="24"/>
          <w:szCs w:val="24"/>
        </w:rPr>
      </w:pPr>
      <w:r w:rsidRPr="00F3416B">
        <w:rPr>
          <w:rFonts w:ascii="Arial" w:eastAsia="Bookman Old Style" w:hAnsi="Arial" w:cs="Arial"/>
          <w:sz w:val="24"/>
          <w:szCs w:val="24"/>
        </w:rPr>
        <w:t>Representante a la Cámara por Casanare</w:t>
      </w:r>
    </w:p>
    <w:p w14:paraId="76D41487" w14:textId="77777777" w:rsidR="00914A24" w:rsidRPr="00F3416B" w:rsidRDefault="00914A24" w:rsidP="00914A24">
      <w:pPr>
        <w:jc w:val="center"/>
        <w:rPr>
          <w:rFonts w:ascii="Arial" w:eastAsia="Bookman Old Style" w:hAnsi="Arial" w:cs="Arial"/>
          <w:sz w:val="24"/>
          <w:szCs w:val="24"/>
        </w:rPr>
      </w:pPr>
      <w:r w:rsidRPr="00F3416B">
        <w:rPr>
          <w:rFonts w:ascii="Arial" w:eastAsia="Bookman Old Style" w:hAnsi="Arial" w:cs="Arial"/>
          <w:sz w:val="24"/>
          <w:szCs w:val="24"/>
        </w:rPr>
        <w:t>Partido Centro Democrático</w:t>
      </w:r>
    </w:p>
    <w:p w14:paraId="41248564" w14:textId="77777777" w:rsidR="00914A24" w:rsidRPr="00F3416B" w:rsidRDefault="00914A24" w:rsidP="00914A24">
      <w:pPr>
        <w:jc w:val="center"/>
        <w:rPr>
          <w:rFonts w:ascii="Arial" w:hAnsi="Arial" w:cs="Arial"/>
          <w:sz w:val="24"/>
          <w:szCs w:val="24"/>
        </w:rPr>
      </w:pPr>
    </w:p>
    <w:p w14:paraId="311E1B08" w14:textId="77777777" w:rsidR="00914A24" w:rsidRPr="00F3416B" w:rsidRDefault="00914A24" w:rsidP="00914A24">
      <w:pPr>
        <w:jc w:val="center"/>
        <w:rPr>
          <w:rFonts w:ascii="Arial" w:hAnsi="Arial" w:cs="Arial"/>
          <w:sz w:val="24"/>
          <w:szCs w:val="24"/>
        </w:rPr>
      </w:pPr>
    </w:p>
    <w:p w14:paraId="6AFFC33E" w14:textId="77777777" w:rsidR="00914A24" w:rsidRDefault="00914A24" w:rsidP="00914A24">
      <w:pPr>
        <w:jc w:val="center"/>
        <w:rPr>
          <w:rFonts w:ascii="Arial" w:hAnsi="Arial" w:cs="Arial"/>
          <w:sz w:val="24"/>
          <w:szCs w:val="24"/>
        </w:rPr>
      </w:pPr>
    </w:p>
    <w:p w14:paraId="70F20A58" w14:textId="77777777" w:rsidR="00914A24" w:rsidRDefault="00914A24" w:rsidP="00914A24">
      <w:pPr>
        <w:jc w:val="center"/>
        <w:rPr>
          <w:rFonts w:ascii="Arial" w:hAnsi="Arial" w:cs="Arial"/>
          <w:sz w:val="24"/>
          <w:szCs w:val="24"/>
        </w:rPr>
      </w:pPr>
    </w:p>
    <w:p w14:paraId="1083D6AC" w14:textId="77777777" w:rsidR="00914A24" w:rsidRDefault="00914A24" w:rsidP="00914A24">
      <w:pPr>
        <w:jc w:val="center"/>
        <w:rPr>
          <w:rFonts w:ascii="Arial" w:hAnsi="Arial" w:cs="Arial"/>
          <w:sz w:val="24"/>
          <w:szCs w:val="24"/>
        </w:rPr>
      </w:pPr>
    </w:p>
    <w:p w14:paraId="2CCF2BF9" w14:textId="77777777" w:rsidR="00914A24" w:rsidRDefault="00914A24" w:rsidP="00914A24">
      <w:pPr>
        <w:jc w:val="center"/>
        <w:rPr>
          <w:rFonts w:ascii="Arial" w:hAnsi="Arial" w:cs="Arial"/>
          <w:sz w:val="24"/>
          <w:szCs w:val="24"/>
        </w:rPr>
      </w:pPr>
    </w:p>
    <w:p w14:paraId="22D6BEBC" w14:textId="479818EF" w:rsidR="00914A24" w:rsidRDefault="00914A24" w:rsidP="00914A24">
      <w:pPr>
        <w:jc w:val="center"/>
        <w:rPr>
          <w:rFonts w:ascii="Arial" w:hAnsi="Arial" w:cs="Arial"/>
          <w:sz w:val="24"/>
          <w:szCs w:val="24"/>
        </w:rPr>
      </w:pPr>
    </w:p>
    <w:p w14:paraId="31017672" w14:textId="2029C34A" w:rsidR="00E83FFF" w:rsidRDefault="00E83FFF" w:rsidP="00914A24">
      <w:pPr>
        <w:jc w:val="center"/>
        <w:rPr>
          <w:rFonts w:ascii="Arial" w:hAnsi="Arial" w:cs="Arial"/>
          <w:sz w:val="24"/>
          <w:szCs w:val="24"/>
        </w:rPr>
      </w:pPr>
    </w:p>
    <w:p w14:paraId="7D35B97B" w14:textId="1119AE74" w:rsidR="00E83FFF" w:rsidRDefault="00E83FFF" w:rsidP="00914A24">
      <w:pPr>
        <w:jc w:val="center"/>
        <w:rPr>
          <w:rFonts w:ascii="Arial" w:hAnsi="Arial" w:cs="Arial"/>
          <w:sz w:val="24"/>
          <w:szCs w:val="24"/>
        </w:rPr>
      </w:pPr>
    </w:p>
    <w:p w14:paraId="21465AE7" w14:textId="231A23B1" w:rsidR="00E83FFF" w:rsidRDefault="00E83FFF" w:rsidP="00914A24">
      <w:pPr>
        <w:jc w:val="center"/>
        <w:rPr>
          <w:rFonts w:ascii="Arial" w:hAnsi="Arial" w:cs="Arial"/>
          <w:sz w:val="24"/>
          <w:szCs w:val="24"/>
        </w:rPr>
      </w:pPr>
    </w:p>
    <w:p w14:paraId="3CD7F3A0" w14:textId="43AA0F0D" w:rsidR="00E83FFF" w:rsidRDefault="00E83FFF" w:rsidP="00914A24">
      <w:pPr>
        <w:jc w:val="center"/>
        <w:rPr>
          <w:rFonts w:ascii="Arial" w:hAnsi="Arial" w:cs="Arial"/>
          <w:sz w:val="24"/>
          <w:szCs w:val="24"/>
        </w:rPr>
      </w:pPr>
    </w:p>
    <w:p w14:paraId="6E103BF6" w14:textId="7FD94F30" w:rsidR="00E83FFF" w:rsidRDefault="00E83FFF" w:rsidP="00914A24">
      <w:pPr>
        <w:jc w:val="center"/>
        <w:rPr>
          <w:rFonts w:ascii="Arial" w:hAnsi="Arial" w:cs="Arial"/>
          <w:sz w:val="24"/>
          <w:szCs w:val="24"/>
        </w:rPr>
      </w:pPr>
    </w:p>
    <w:p w14:paraId="4EBFEA55" w14:textId="338DAF7F" w:rsidR="00E83FFF" w:rsidRDefault="00E83FFF" w:rsidP="00914A24">
      <w:pPr>
        <w:jc w:val="center"/>
        <w:rPr>
          <w:rFonts w:ascii="Arial" w:hAnsi="Arial" w:cs="Arial"/>
          <w:sz w:val="24"/>
          <w:szCs w:val="24"/>
        </w:rPr>
      </w:pPr>
    </w:p>
    <w:p w14:paraId="5D927533" w14:textId="56A70C1A" w:rsidR="00E83FFF" w:rsidRDefault="00E83FFF" w:rsidP="00914A24">
      <w:pPr>
        <w:jc w:val="center"/>
        <w:rPr>
          <w:rFonts w:ascii="Arial" w:hAnsi="Arial" w:cs="Arial"/>
          <w:sz w:val="24"/>
          <w:szCs w:val="24"/>
        </w:rPr>
      </w:pPr>
    </w:p>
    <w:p w14:paraId="618834D5" w14:textId="415FC517" w:rsidR="00E83FFF" w:rsidRDefault="00E83FFF" w:rsidP="00914A24">
      <w:pPr>
        <w:jc w:val="center"/>
        <w:rPr>
          <w:rFonts w:ascii="Arial" w:hAnsi="Arial" w:cs="Arial"/>
          <w:sz w:val="24"/>
          <w:szCs w:val="24"/>
        </w:rPr>
      </w:pPr>
    </w:p>
    <w:p w14:paraId="1218EAE9" w14:textId="60F8A12B" w:rsidR="00E83FFF" w:rsidRDefault="00E83FFF" w:rsidP="00914A24">
      <w:pPr>
        <w:jc w:val="center"/>
        <w:rPr>
          <w:rFonts w:ascii="Arial" w:hAnsi="Arial" w:cs="Arial"/>
          <w:sz w:val="24"/>
          <w:szCs w:val="24"/>
        </w:rPr>
      </w:pPr>
    </w:p>
    <w:p w14:paraId="3D4BD520" w14:textId="77777777" w:rsidR="00E83FFF" w:rsidRDefault="00E83FFF" w:rsidP="00914A24">
      <w:pPr>
        <w:jc w:val="center"/>
        <w:rPr>
          <w:rFonts w:ascii="Arial" w:hAnsi="Arial" w:cs="Arial"/>
          <w:sz w:val="24"/>
          <w:szCs w:val="24"/>
        </w:rPr>
      </w:pPr>
    </w:p>
    <w:p w14:paraId="235FEC85" w14:textId="77777777" w:rsidR="00914A24" w:rsidRDefault="00914A24" w:rsidP="00914A24">
      <w:pPr>
        <w:jc w:val="center"/>
        <w:rPr>
          <w:rFonts w:ascii="Arial" w:hAnsi="Arial" w:cs="Arial"/>
          <w:sz w:val="24"/>
          <w:szCs w:val="24"/>
        </w:rPr>
      </w:pPr>
    </w:p>
    <w:p w14:paraId="320162F7" w14:textId="77777777" w:rsidR="00914A24" w:rsidRPr="00F3416B" w:rsidRDefault="00914A24" w:rsidP="00914A24">
      <w:pPr>
        <w:jc w:val="center"/>
        <w:rPr>
          <w:rFonts w:ascii="Arial" w:hAnsi="Arial" w:cs="Arial"/>
          <w:sz w:val="24"/>
          <w:szCs w:val="24"/>
        </w:rPr>
      </w:pPr>
    </w:p>
    <w:p w14:paraId="7A3E5D7E" w14:textId="77777777" w:rsidR="00914A24" w:rsidRPr="00F3416B" w:rsidRDefault="00914A24" w:rsidP="00914A24">
      <w:pPr>
        <w:jc w:val="center"/>
        <w:rPr>
          <w:rFonts w:ascii="Arial" w:hAnsi="Arial" w:cs="Arial"/>
          <w:sz w:val="24"/>
          <w:szCs w:val="24"/>
        </w:rPr>
      </w:pPr>
    </w:p>
    <w:p w14:paraId="45959AB7" w14:textId="77777777" w:rsidR="00914A24" w:rsidRPr="00F3416B" w:rsidRDefault="00914A24" w:rsidP="00914A24">
      <w:pPr>
        <w:rPr>
          <w:rFonts w:ascii="Arial" w:hAnsi="Arial" w:cs="Arial"/>
          <w:sz w:val="24"/>
          <w:szCs w:val="24"/>
        </w:rPr>
      </w:pPr>
    </w:p>
    <w:p w14:paraId="175D46B5" w14:textId="77777777" w:rsidR="00914A24" w:rsidRPr="00F3416B" w:rsidRDefault="00914A24" w:rsidP="00914A24">
      <w:pPr>
        <w:spacing w:line="276" w:lineRule="auto"/>
        <w:jc w:val="both"/>
        <w:rPr>
          <w:rFonts w:ascii="Arial" w:hAnsi="Arial" w:cs="Arial"/>
          <w:b/>
          <w:bCs/>
          <w:sz w:val="24"/>
          <w:szCs w:val="24"/>
        </w:rPr>
      </w:pPr>
      <w:r w:rsidRPr="00F3416B">
        <w:rPr>
          <w:rFonts w:ascii="Arial" w:hAnsi="Arial" w:cs="Arial"/>
          <w:b/>
          <w:bCs/>
          <w:sz w:val="24"/>
          <w:szCs w:val="24"/>
        </w:rPr>
        <w:t xml:space="preserve">PROYECTO DE LEY NO. ____ 2022 – CÁMARA </w:t>
      </w:r>
      <w:r w:rsidRPr="00F3416B">
        <w:rPr>
          <w:rFonts w:ascii="Arial" w:hAnsi="Arial" w:cs="Arial"/>
          <w:color w:val="333333"/>
          <w:sz w:val="24"/>
          <w:szCs w:val="24"/>
          <w:shd w:val="clear" w:color="auto" w:fill="FFFFFF"/>
        </w:rPr>
        <w:t>“</w:t>
      </w:r>
      <w:r w:rsidRPr="00F3416B">
        <w:rPr>
          <w:rFonts w:ascii="Arial" w:eastAsia="Bookman Old Style" w:hAnsi="Arial" w:cs="Arial"/>
          <w:sz w:val="24"/>
          <w:szCs w:val="24"/>
        </w:rPr>
        <w:t>POR MEDIO DEL CUAL SE MODIFICAN LOS ARTÍCULOS 2 Y 5 DE LA LEY 963 DE 2005”</w:t>
      </w:r>
      <w:r w:rsidRPr="00F3416B">
        <w:rPr>
          <w:rFonts w:ascii="Arial" w:hAnsi="Arial" w:cs="Arial"/>
          <w:color w:val="333333"/>
          <w:sz w:val="24"/>
          <w:szCs w:val="24"/>
          <w:shd w:val="clear" w:color="auto" w:fill="FFFFFF"/>
        </w:rPr>
        <w:t xml:space="preserve">”. </w:t>
      </w:r>
    </w:p>
    <w:p w14:paraId="539FEEEC" w14:textId="3D84682F" w:rsidR="00A80078" w:rsidRPr="00914A24" w:rsidRDefault="00A80078" w:rsidP="00914A24"/>
    <w:sectPr w:rsidR="00A80078" w:rsidRPr="00914A2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FCE5" w14:textId="77777777" w:rsidR="0070291A" w:rsidRDefault="0070291A" w:rsidP="00D81DA2">
      <w:pPr>
        <w:spacing w:after="0" w:line="240" w:lineRule="auto"/>
      </w:pPr>
      <w:r>
        <w:separator/>
      </w:r>
    </w:p>
  </w:endnote>
  <w:endnote w:type="continuationSeparator" w:id="0">
    <w:p w14:paraId="0CD63A35" w14:textId="77777777" w:rsidR="0070291A" w:rsidRDefault="0070291A" w:rsidP="00D8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212D" w14:textId="542448A4" w:rsidR="00D81DA2" w:rsidRDefault="00D81DA2">
    <w:pPr>
      <w:tabs>
        <w:tab w:val="center" w:pos="4550"/>
        <w:tab w:val="left" w:pos="5818"/>
      </w:tabs>
      <w:ind w:right="260"/>
      <w:jc w:val="right"/>
      <w:rPr>
        <w:color w:val="222A35" w:themeColor="text2" w:themeShade="80"/>
        <w:sz w:val="24"/>
        <w:szCs w:val="24"/>
      </w:rPr>
    </w:pPr>
    <w:r>
      <w:rPr>
        <w:noProof/>
        <w:color w:val="8496B0" w:themeColor="text2" w:themeTint="99"/>
        <w:spacing w:val="60"/>
        <w:sz w:val="24"/>
        <w:szCs w:val="24"/>
        <w:lang w:val="en-US"/>
      </w:rPr>
      <w:drawing>
        <wp:anchor distT="0" distB="0" distL="114300" distR="114300" simplePos="0" relativeHeight="251661312" behindDoc="1" locked="0" layoutInCell="1" allowOverlap="1" wp14:anchorId="20B04BFE" wp14:editId="00351865">
          <wp:simplePos x="0" y="0"/>
          <wp:positionH relativeFrom="margin">
            <wp:align>center</wp:align>
          </wp:positionH>
          <wp:positionV relativeFrom="paragraph">
            <wp:posOffset>-1270</wp:posOffset>
          </wp:positionV>
          <wp:extent cx="6414462" cy="9118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6414462" cy="911860"/>
                  </a:xfrm>
                  <a:prstGeom prst="rect">
                    <a:avLst/>
                  </a:prstGeom>
                </pic:spPr>
              </pic:pic>
            </a:graphicData>
          </a:graphic>
          <wp14:sizeRelH relativeFrom="margin">
            <wp14:pctWidth>0</wp14:pctWidth>
          </wp14:sizeRelH>
          <wp14:sizeRelV relativeFrom="margin">
            <wp14:pctHeight>0</wp14:pctHeight>
          </wp14:sizeRelV>
        </wp:anchor>
      </w:drawing>
    </w: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F6ABD" w:rsidRPr="000F6ABD">
      <w:rPr>
        <w:noProof/>
        <w:color w:val="323E4F" w:themeColor="text2" w:themeShade="BF"/>
        <w:sz w:val="24"/>
        <w:szCs w:val="24"/>
        <w:lang w:val="es-ES"/>
      </w:rPr>
      <w:t>5</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F6ABD" w:rsidRPr="000F6ABD">
      <w:rPr>
        <w:noProof/>
        <w:color w:val="323E4F" w:themeColor="text2" w:themeShade="BF"/>
        <w:sz w:val="24"/>
        <w:szCs w:val="24"/>
        <w:lang w:val="es-ES"/>
      </w:rPr>
      <w:t>6</w:t>
    </w:r>
    <w:r>
      <w:rPr>
        <w:color w:val="323E4F" w:themeColor="text2" w:themeShade="BF"/>
        <w:sz w:val="24"/>
        <w:szCs w:val="24"/>
      </w:rPr>
      <w:fldChar w:fldCharType="end"/>
    </w:r>
  </w:p>
  <w:p w14:paraId="5E376A14" w14:textId="77DCE9C5" w:rsidR="00D81DA2" w:rsidRDefault="00D81DA2" w:rsidP="003E4D1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D3116" w14:textId="77777777" w:rsidR="0070291A" w:rsidRDefault="0070291A" w:rsidP="00D81DA2">
      <w:pPr>
        <w:spacing w:after="0" w:line="240" w:lineRule="auto"/>
      </w:pPr>
      <w:r>
        <w:separator/>
      </w:r>
    </w:p>
  </w:footnote>
  <w:footnote w:type="continuationSeparator" w:id="0">
    <w:p w14:paraId="02D142A4" w14:textId="77777777" w:rsidR="0070291A" w:rsidRDefault="0070291A" w:rsidP="00D81DA2">
      <w:pPr>
        <w:spacing w:after="0" w:line="240" w:lineRule="auto"/>
      </w:pPr>
      <w:r>
        <w:continuationSeparator/>
      </w:r>
    </w:p>
  </w:footnote>
  <w:footnote w:id="1">
    <w:p w14:paraId="5BD18C35" w14:textId="77777777" w:rsidR="00914A24" w:rsidRPr="00AD77C5" w:rsidRDefault="00914A24" w:rsidP="00914A24">
      <w:pPr>
        <w:pStyle w:val="NormalWeb"/>
        <w:shd w:val="clear" w:color="auto" w:fill="FFFFFF"/>
        <w:spacing w:before="0" w:beforeAutospacing="0" w:after="0" w:afterAutospacing="0"/>
        <w:jc w:val="both"/>
        <w:rPr>
          <w:rFonts w:ascii="Bookman Old Style" w:hAnsi="Bookman Old Style"/>
          <w:color w:val="000000"/>
          <w:sz w:val="16"/>
          <w:szCs w:val="16"/>
          <w:lang w:val="en-US" w:eastAsia="es-ES_tradnl"/>
        </w:rPr>
      </w:pPr>
      <w:r w:rsidRPr="00AD77C5">
        <w:rPr>
          <w:rStyle w:val="Refdenotaalpie"/>
          <w:rFonts w:ascii="Bookman Old Style" w:hAnsi="Bookman Old Style"/>
          <w:sz w:val="16"/>
          <w:szCs w:val="16"/>
        </w:rPr>
        <w:footnoteRef/>
      </w:r>
      <w:r w:rsidRPr="00AD77C5">
        <w:rPr>
          <w:rFonts w:ascii="Bookman Old Style" w:hAnsi="Bookman Old Style"/>
          <w:sz w:val="16"/>
          <w:szCs w:val="16"/>
          <w:lang w:val="en-US"/>
        </w:rPr>
        <w:t xml:space="preserve"> WORLD ECONOMIC OUTLOOK, Countering the Cost-of-Living Crisis. </w:t>
      </w:r>
      <w:r w:rsidRPr="00AD77C5">
        <w:rPr>
          <w:rFonts w:ascii="Bookman Old Style" w:hAnsi="Bookman Old Style"/>
          <w:i/>
          <w:sz w:val="16"/>
          <w:szCs w:val="16"/>
          <w:lang w:val="en-US"/>
        </w:rPr>
        <w:t xml:space="preserve">International Monetary Fund, 2022 OCT. </w:t>
      </w:r>
      <w:proofErr w:type="spellStart"/>
      <w:r w:rsidRPr="00AD77C5">
        <w:rPr>
          <w:rFonts w:ascii="Bookman Old Style" w:hAnsi="Bookman Old Style"/>
          <w:sz w:val="16"/>
          <w:szCs w:val="16"/>
          <w:lang w:val="en-US"/>
        </w:rPr>
        <w:t>Tomado</w:t>
      </w:r>
      <w:proofErr w:type="spellEnd"/>
      <w:r w:rsidRPr="00AD77C5">
        <w:rPr>
          <w:rFonts w:ascii="Bookman Old Style" w:hAnsi="Bookman Old Style"/>
          <w:sz w:val="16"/>
          <w:szCs w:val="16"/>
          <w:lang w:val="en-US"/>
        </w:rPr>
        <w:t xml:space="preserve"> de la </w:t>
      </w:r>
      <w:proofErr w:type="spellStart"/>
      <w:r w:rsidRPr="00AD77C5">
        <w:rPr>
          <w:rFonts w:ascii="Bookman Old Style" w:hAnsi="Bookman Old Style"/>
          <w:sz w:val="16"/>
          <w:szCs w:val="16"/>
          <w:lang w:val="en-US"/>
        </w:rPr>
        <w:t>página</w:t>
      </w:r>
      <w:proofErr w:type="spellEnd"/>
      <w:r w:rsidRPr="00AD77C5">
        <w:rPr>
          <w:rFonts w:ascii="Bookman Old Style" w:hAnsi="Bookman Old Style"/>
          <w:sz w:val="16"/>
          <w:szCs w:val="16"/>
          <w:lang w:val="en-US"/>
        </w:rPr>
        <w:t xml:space="preserve"> </w:t>
      </w:r>
      <w:r w:rsidRPr="00AD77C5">
        <w:rPr>
          <w:rFonts w:ascii="Bookman Old Style" w:hAnsi="Bookman Old Style"/>
          <w:i/>
          <w:sz w:val="16"/>
          <w:szCs w:val="16"/>
          <w:lang w:val="en-US"/>
        </w:rPr>
        <w:t>https://www.imf.org/en/Publications/WEO/Issues/2022/10/11/world-economic-outlook-october-2022</w:t>
      </w:r>
      <w:r w:rsidRPr="00AD77C5">
        <w:rPr>
          <w:rFonts w:ascii="Bookman Old Style" w:hAnsi="Bookman Old Style"/>
          <w:sz w:val="16"/>
          <w:szCs w:val="16"/>
          <w:lang w:val="en-US"/>
        </w:rPr>
        <w:t xml:space="preserve"> </w:t>
      </w:r>
      <w:r w:rsidRPr="00AD77C5">
        <w:rPr>
          <w:rFonts w:ascii="Bookman Old Style" w:hAnsi="Bookman Old Style"/>
          <w:i/>
          <w:sz w:val="16"/>
          <w:szCs w:val="16"/>
          <w:lang w:val="en-US"/>
        </w:rPr>
        <w:t>“</w:t>
      </w:r>
      <w:r w:rsidRPr="00AD77C5">
        <w:rPr>
          <w:rFonts w:ascii="Bookman Old Style" w:hAnsi="Bookman Old Style"/>
          <w:color w:val="000000"/>
          <w:sz w:val="16"/>
          <w:szCs w:val="16"/>
          <w:lang w:val="en-US"/>
        </w:rPr>
        <w:t>Global economic activity is experiencing a broad-based and sharper-than-expected slowdown, with inflation higher than seen in several decades. The cost-of-living crisis, tightening financial conditions in most regions, Russia’s invasion of Ukraine, and the lingering COVID-19 pandemic all weigh heavily on the outlook. Global growth is forecast to slow from 6.0 percent in 2021 to 3.2 percent in 2022 and 2.7 percent in 2023. This is the weakest growth profile since 2001 except for the global financial crisis and the acute phase of the COVID-19 pandemic.</w:t>
      </w:r>
    </w:p>
    <w:p w14:paraId="10FCAE5D" w14:textId="77777777" w:rsidR="00914A24" w:rsidRPr="00AD77C5" w:rsidRDefault="00914A24" w:rsidP="00914A24">
      <w:pPr>
        <w:pStyle w:val="NormalWeb"/>
        <w:shd w:val="clear" w:color="auto" w:fill="FFFFFF"/>
        <w:spacing w:before="0" w:beforeAutospacing="0" w:after="0" w:afterAutospacing="0"/>
        <w:jc w:val="both"/>
        <w:rPr>
          <w:rFonts w:ascii="Bookman Old Style" w:hAnsi="Bookman Old Style"/>
          <w:color w:val="000000"/>
          <w:sz w:val="16"/>
          <w:szCs w:val="16"/>
          <w:lang w:val="en-US"/>
        </w:rPr>
      </w:pPr>
      <w:r w:rsidRPr="00AD77C5">
        <w:rPr>
          <w:rFonts w:ascii="Bookman Old Style" w:hAnsi="Bookman Old Style"/>
          <w:color w:val="000000"/>
          <w:sz w:val="16"/>
          <w:szCs w:val="16"/>
          <w:lang w:val="en-US"/>
        </w:rPr>
        <w:t>Global inflation is forecast to rise from 4.7 percent in 2021 to 8.8 percent in 2022 but to decline to 6.5 percent in 2023 and to 4.1 percent by 2024. Monetary policy should stay the course to restore price stability, and fiscal policy should aim to alleviate the cost-of-living pressures while maintaining a sufficiently tight stance aligned with monetary policy. Structural reforms can further support the fight against inflation by improving productivity and easing supply constraints, while multilateral cooperation is necessary for fast-tracking the green energy transition and preventing fragmentation.”</w:t>
      </w:r>
    </w:p>
    <w:p w14:paraId="48B9E8D9" w14:textId="77777777" w:rsidR="00914A24" w:rsidRPr="00351A96" w:rsidRDefault="00914A24" w:rsidP="00914A24">
      <w:pPr>
        <w:pStyle w:val="Textonotapie"/>
        <w:rPr>
          <w:i/>
          <w:lang w:val="en-US"/>
        </w:rPr>
      </w:pPr>
    </w:p>
  </w:footnote>
  <w:footnote w:id="2">
    <w:p w14:paraId="1F26961D" w14:textId="77777777" w:rsidR="00914A24" w:rsidRDefault="00914A24" w:rsidP="00914A24">
      <w:pPr>
        <w:pStyle w:val="Textonotapie"/>
      </w:pPr>
      <w:r>
        <w:rPr>
          <w:rStyle w:val="Refdenotaalpie"/>
        </w:rPr>
        <w:footnoteRef/>
      </w:r>
      <w:r>
        <w:t xml:space="preserve"> Tomado de </w:t>
      </w:r>
      <w:r w:rsidRPr="00BE01C3">
        <w:t>https://datosmacro.expansion.com/ipc-paises/colombia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2CD7" w14:textId="19F215BD" w:rsidR="00D81DA2" w:rsidRDefault="003E4D13">
    <w:pPr>
      <w:pStyle w:val="Encabezado"/>
    </w:pPr>
    <w:r>
      <w:rPr>
        <w:noProof/>
        <w:lang w:val="en-US"/>
      </w:rPr>
      <w:drawing>
        <wp:anchor distT="0" distB="0" distL="114300" distR="114300" simplePos="0" relativeHeight="251659264" behindDoc="1" locked="0" layoutInCell="1" allowOverlap="1" wp14:anchorId="10155EEC" wp14:editId="7F5F62CD">
          <wp:simplePos x="0" y="0"/>
          <wp:positionH relativeFrom="page">
            <wp:align>right</wp:align>
          </wp:positionH>
          <wp:positionV relativeFrom="paragraph">
            <wp:posOffset>-449580</wp:posOffset>
          </wp:positionV>
          <wp:extent cx="7762875" cy="10045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62875" cy="10046073"/>
                  </a:xfrm>
                  <a:prstGeom prst="rect">
                    <a:avLst/>
                  </a:prstGeom>
                </pic:spPr>
              </pic:pic>
            </a:graphicData>
          </a:graphic>
          <wp14:sizeRelH relativeFrom="margin">
            <wp14:pctWidth>0</wp14:pctWidth>
          </wp14:sizeRelH>
          <wp14:sizeRelV relativeFrom="margin">
            <wp14:pctHeight>0</wp14:pctHeight>
          </wp14:sizeRelV>
        </wp:anchor>
      </w:drawing>
    </w:r>
    <w:r w:rsidR="00D81DA2">
      <w:rPr>
        <w:noProof/>
        <w:lang w:val="en-US"/>
      </w:rPr>
      <w:drawing>
        <wp:anchor distT="0" distB="0" distL="114300" distR="114300" simplePos="0" relativeHeight="251660288" behindDoc="1" locked="0" layoutInCell="1" allowOverlap="1" wp14:anchorId="4F274029" wp14:editId="41A20324">
          <wp:simplePos x="0" y="0"/>
          <wp:positionH relativeFrom="page">
            <wp:posOffset>-153681</wp:posOffset>
          </wp:positionH>
          <wp:positionV relativeFrom="paragraph">
            <wp:posOffset>-449580</wp:posOffset>
          </wp:positionV>
          <wp:extent cx="7906396" cy="1123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7986891" cy="11353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7082"/>
    <w:multiLevelType w:val="hybridMultilevel"/>
    <w:tmpl w:val="8A4E5FE8"/>
    <w:lvl w:ilvl="0" w:tplc="E7763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DB59FF"/>
    <w:multiLevelType w:val="hybridMultilevel"/>
    <w:tmpl w:val="61F43A14"/>
    <w:lvl w:ilvl="0" w:tplc="4C92F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E9E0258"/>
    <w:multiLevelType w:val="hybridMultilevel"/>
    <w:tmpl w:val="46581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07008A"/>
    <w:multiLevelType w:val="hybridMultilevel"/>
    <w:tmpl w:val="607A9D9C"/>
    <w:lvl w:ilvl="0" w:tplc="0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2"/>
    <w:rsid w:val="00033913"/>
    <w:rsid w:val="0008087C"/>
    <w:rsid w:val="000819AC"/>
    <w:rsid w:val="0008614B"/>
    <w:rsid w:val="000D02A2"/>
    <w:rsid w:val="000F6ABD"/>
    <w:rsid w:val="000F7EAB"/>
    <w:rsid w:val="0021034E"/>
    <w:rsid w:val="00215533"/>
    <w:rsid w:val="00274F9C"/>
    <w:rsid w:val="002922F0"/>
    <w:rsid w:val="0031122C"/>
    <w:rsid w:val="003145C7"/>
    <w:rsid w:val="003E4D13"/>
    <w:rsid w:val="00427991"/>
    <w:rsid w:val="00435B6D"/>
    <w:rsid w:val="004B167A"/>
    <w:rsid w:val="004B29B9"/>
    <w:rsid w:val="004C5F8B"/>
    <w:rsid w:val="004C640A"/>
    <w:rsid w:val="0051780A"/>
    <w:rsid w:val="00567596"/>
    <w:rsid w:val="0062164F"/>
    <w:rsid w:val="00652339"/>
    <w:rsid w:val="0070291A"/>
    <w:rsid w:val="00703953"/>
    <w:rsid w:val="00727741"/>
    <w:rsid w:val="007723BB"/>
    <w:rsid w:val="007E1086"/>
    <w:rsid w:val="008053BC"/>
    <w:rsid w:val="00824B7A"/>
    <w:rsid w:val="0084332B"/>
    <w:rsid w:val="008828F6"/>
    <w:rsid w:val="0088482E"/>
    <w:rsid w:val="00893CF2"/>
    <w:rsid w:val="008E5E02"/>
    <w:rsid w:val="00907A32"/>
    <w:rsid w:val="00914A24"/>
    <w:rsid w:val="00955959"/>
    <w:rsid w:val="0096041F"/>
    <w:rsid w:val="009B6E29"/>
    <w:rsid w:val="00A56884"/>
    <w:rsid w:val="00A80078"/>
    <w:rsid w:val="00AA1CC5"/>
    <w:rsid w:val="00AA4A34"/>
    <w:rsid w:val="00AB2006"/>
    <w:rsid w:val="00BE298F"/>
    <w:rsid w:val="00BE3BAD"/>
    <w:rsid w:val="00C04869"/>
    <w:rsid w:val="00C24231"/>
    <w:rsid w:val="00C77C55"/>
    <w:rsid w:val="00CC2246"/>
    <w:rsid w:val="00CF0AE8"/>
    <w:rsid w:val="00CF7072"/>
    <w:rsid w:val="00D16992"/>
    <w:rsid w:val="00D81DA2"/>
    <w:rsid w:val="00D824AF"/>
    <w:rsid w:val="00D942C7"/>
    <w:rsid w:val="00DC1DA8"/>
    <w:rsid w:val="00E2298E"/>
    <w:rsid w:val="00E717E0"/>
    <w:rsid w:val="00E83FFF"/>
    <w:rsid w:val="00E946F8"/>
    <w:rsid w:val="00F4455F"/>
    <w:rsid w:val="00F56CE2"/>
    <w:rsid w:val="00F63293"/>
    <w:rsid w:val="00F6783F"/>
    <w:rsid w:val="00F700F8"/>
    <w:rsid w:val="00F7197C"/>
    <w:rsid w:val="00F822BC"/>
    <w:rsid w:val="00F90FE6"/>
    <w:rsid w:val="00FC2484"/>
    <w:rsid w:val="00FE72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DEE6C"/>
  <w15:chartTrackingRefBased/>
  <w15:docId w15:val="{54AE65DB-C71E-45E3-9E24-53F05541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A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D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DA2"/>
  </w:style>
  <w:style w:type="paragraph" w:styleId="Piedepgina">
    <w:name w:val="footer"/>
    <w:basedOn w:val="Normal"/>
    <w:link w:val="PiedepginaCar"/>
    <w:uiPriority w:val="99"/>
    <w:unhideWhenUsed/>
    <w:rsid w:val="00D81D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DA2"/>
  </w:style>
  <w:style w:type="character" w:styleId="Hipervnculo">
    <w:name w:val="Hyperlink"/>
    <w:basedOn w:val="Fuentedeprrafopredeter"/>
    <w:uiPriority w:val="99"/>
    <w:unhideWhenUsed/>
    <w:rsid w:val="0062164F"/>
    <w:rPr>
      <w:color w:val="0563C1" w:themeColor="hyperlink"/>
      <w:u w:val="single"/>
    </w:rPr>
  </w:style>
  <w:style w:type="paragraph" w:styleId="Sinespaciado">
    <w:name w:val="No Spacing"/>
    <w:uiPriority w:val="1"/>
    <w:qFormat/>
    <w:rsid w:val="0062164F"/>
    <w:pPr>
      <w:spacing w:after="0" w:line="240" w:lineRule="auto"/>
    </w:pPr>
  </w:style>
  <w:style w:type="character" w:customStyle="1" w:styleId="Mencinsinresolver1">
    <w:name w:val="Mención sin resolver1"/>
    <w:basedOn w:val="Fuentedeprrafopredeter"/>
    <w:uiPriority w:val="99"/>
    <w:semiHidden/>
    <w:unhideWhenUsed/>
    <w:rsid w:val="00893CF2"/>
    <w:rPr>
      <w:color w:val="605E5C"/>
      <w:shd w:val="clear" w:color="auto" w:fill="E1DFDD"/>
    </w:rPr>
  </w:style>
  <w:style w:type="paragraph" w:styleId="Prrafodelista">
    <w:name w:val="List Paragraph"/>
    <w:basedOn w:val="Normal"/>
    <w:uiPriority w:val="34"/>
    <w:qFormat/>
    <w:rsid w:val="00274F9C"/>
    <w:pPr>
      <w:spacing w:after="0" w:line="240" w:lineRule="auto"/>
      <w:ind w:left="720"/>
      <w:contextualSpacing/>
    </w:pPr>
    <w:rPr>
      <w:sz w:val="24"/>
      <w:szCs w:val="24"/>
      <w:lang w:val="es-ES"/>
    </w:rPr>
  </w:style>
  <w:style w:type="paragraph" w:styleId="Textonotapie">
    <w:name w:val="footnote text"/>
    <w:aliases w:val="MI NOTA PIE DE PÁGINA (TEXTO),Car,ft"/>
    <w:basedOn w:val="Normal"/>
    <w:link w:val="TextonotapieCar"/>
    <w:uiPriority w:val="99"/>
    <w:unhideWhenUsed/>
    <w:qFormat/>
    <w:rsid w:val="00274F9C"/>
    <w:pPr>
      <w:spacing w:after="0" w:line="240" w:lineRule="auto"/>
    </w:pPr>
    <w:rPr>
      <w:sz w:val="20"/>
      <w:szCs w:val="20"/>
    </w:rPr>
  </w:style>
  <w:style w:type="character" w:customStyle="1" w:styleId="TextonotapieCar">
    <w:name w:val="Texto nota pie Car"/>
    <w:aliases w:val="MI NOTA PIE DE PÁGINA (TEXTO) Car,Car Car,ft Car"/>
    <w:basedOn w:val="Fuentedeprrafopredeter"/>
    <w:link w:val="Textonotapie"/>
    <w:uiPriority w:val="99"/>
    <w:rsid w:val="00274F9C"/>
    <w:rPr>
      <w:sz w:val="20"/>
      <w:szCs w:val="20"/>
    </w:rPr>
  </w:style>
  <w:style w:type="character" w:styleId="Refdenotaalpie">
    <w:name w:val="footnote reference"/>
    <w:aliases w:val="Texto de nota al pie,Ref. de nota al pie 2,Appel note de bas de page,Footnotes refss,Footnote number,referencia nota al pie,BVI fnr,f,4_G,16 Point,Superscript 6 Point,Texto nota al pie,Pie de Página,FC,Texto de nota al pi,Pie de Pàgi"/>
    <w:basedOn w:val="Fuentedeprrafopredeter"/>
    <w:uiPriority w:val="99"/>
    <w:unhideWhenUsed/>
    <w:qFormat/>
    <w:rsid w:val="00274F9C"/>
    <w:rPr>
      <w:vertAlign w:val="superscript"/>
    </w:rPr>
  </w:style>
  <w:style w:type="character" w:styleId="Textoennegrita">
    <w:name w:val="Strong"/>
    <w:basedOn w:val="Fuentedeprrafopredeter"/>
    <w:uiPriority w:val="22"/>
    <w:qFormat/>
    <w:rsid w:val="00DC1DA8"/>
    <w:rPr>
      <w:b/>
      <w:bCs/>
    </w:rPr>
  </w:style>
  <w:style w:type="character" w:styleId="nfasis">
    <w:name w:val="Emphasis"/>
    <w:basedOn w:val="Fuentedeprrafopredeter"/>
    <w:uiPriority w:val="20"/>
    <w:qFormat/>
    <w:rsid w:val="00914A24"/>
    <w:rPr>
      <w:i/>
      <w:iCs/>
    </w:rPr>
  </w:style>
  <w:style w:type="paragraph" w:styleId="NormalWeb">
    <w:name w:val="Normal (Web)"/>
    <w:basedOn w:val="Normal"/>
    <w:uiPriority w:val="99"/>
    <w:unhideWhenUsed/>
    <w:rsid w:val="00914A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43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21A5-85A1-4C75-B76F-CFC5FC44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1224</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Jaiver Rojas</dc:creator>
  <cp:keywords/>
  <dc:description/>
  <cp:lastModifiedBy>Edison Vladimir Olaya Mancipe</cp:lastModifiedBy>
  <cp:revision>3</cp:revision>
  <dcterms:created xsi:type="dcterms:W3CDTF">2022-12-15T20:00:00Z</dcterms:created>
  <dcterms:modified xsi:type="dcterms:W3CDTF">2022-12-15T20:03:00Z</dcterms:modified>
</cp:coreProperties>
</file>