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1D86" w14:textId="77777777" w:rsidR="00CC5BDD" w:rsidRDefault="00000000">
      <w:pPr>
        <w:rPr>
          <w:rFonts w:ascii="Arial Narrow" w:eastAsia="Arial Narrow" w:hAnsi="Arial Narrow" w:cs="Arial Narrow"/>
          <w:sz w:val="24"/>
          <w:szCs w:val="24"/>
        </w:rPr>
      </w:pPr>
      <w:r>
        <w:rPr>
          <w:rFonts w:ascii="Arial Narrow" w:eastAsia="Arial Narrow" w:hAnsi="Arial Narrow" w:cs="Arial Narrow"/>
          <w:sz w:val="24"/>
          <w:szCs w:val="24"/>
        </w:rPr>
        <w:t>Bogotá, D. C, noviembre de 2022</w:t>
      </w:r>
    </w:p>
    <w:p w14:paraId="78905D5E" w14:textId="77777777" w:rsidR="00CC5BDD" w:rsidRDefault="00CC5BDD">
      <w:pPr>
        <w:tabs>
          <w:tab w:val="left" w:pos="3945"/>
        </w:tabs>
        <w:rPr>
          <w:rFonts w:ascii="Arial Narrow" w:eastAsia="Arial Narrow" w:hAnsi="Arial Narrow" w:cs="Arial Narrow"/>
          <w:sz w:val="24"/>
          <w:szCs w:val="24"/>
        </w:rPr>
      </w:pPr>
    </w:p>
    <w:p w14:paraId="555AC81F" w14:textId="77777777" w:rsidR="00CC5BDD" w:rsidRDefault="00CC5BDD">
      <w:pPr>
        <w:tabs>
          <w:tab w:val="left" w:pos="3945"/>
        </w:tabs>
        <w:rPr>
          <w:rFonts w:ascii="Arial Narrow" w:eastAsia="Arial Narrow" w:hAnsi="Arial Narrow" w:cs="Arial Narrow"/>
          <w:sz w:val="24"/>
          <w:szCs w:val="24"/>
        </w:rPr>
      </w:pPr>
    </w:p>
    <w:p w14:paraId="16BC3989" w14:textId="77777777" w:rsidR="00CC5BDD" w:rsidRDefault="00000000">
      <w:pPr>
        <w:tabs>
          <w:tab w:val="left" w:pos="3945"/>
        </w:tabs>
        <w:rPr>
          <w:rFonts w:ascii="Arial Narrow" w:eastAsia="Arial Narrow" w:hAnsi="Arial Narrow" w:cs="Arial Narrow"/>
          <w:b/>
          <w:sz w:val="24"/>
          <w:szCs w:val="24"/>
        </w:rPr>
      </w:pPr>
      <w:r>
        <w:rPr>
          <w:rFonts w:ascii="Arial Narrow" w:eastAsia="Arial Narrow" w:hAnsi="Arial Narrow" w:cs="Arial Narrow"/>
          <w:b/>
          <w:sz w:val="24"/>
          <w:szCs w:val="24"/>
        </w:rPr>
        <w:t>Doctor</w:t>
      </w:r>
    </w:p>
    <w:p w14:paraId="4DF8024D" w14:textId="77777777" w:rsidR="00CC5BDD"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JAIME LUIS LACOUTURE</w:t>
      </w:r>
    </w:p>
    <w:p w14:paraId="3E7D3364" w14:textId="77777777" w:rsidR="00CC5BDD"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Secretario General</w:t>
      </w:r>
    </w:p>
    <w:p w14:paraId="642960FD" w14:textId="77777777" w:rsidR="00CC5BDD" w:rsidRDefault="00000000">
      <w:pPr>
        <w:rPr>
          <w:rFonts w:ascii="Arial Narrow" w:eastAsia="Arial Narrow" w:hAnsi="Arial Narrow" w:cs="Arial Narrow"/>
          <w:sz w:val="24"/>
          <w:szCs w:val="24"/>
        </w:rPr>
      </w:pPr>
      <w:r>
        <w:rPr>
          <w:rFonts w:ascii="Arial Narrow" w:eastAsia="Arial Narrow" w:hAnsi="Arial Narrow" w:cs="Arial Narrow"/>
          <w:sz w:val="24"/>
          <w:szCs w:val="24"/>
        </w:rPr>
        <w:t>Cámara de Representantes de la República de Colombia</w:t>
      </w:r>
    </w:p>
    <w:p w14:paraId="227AA5B3" w14:textId="77777777" w:rsidR="00CC5BDD" w:rsidRDefault="00CC5BDD">
      <w:pPr>
        <w:rPr>
          <w:rFonts w:ascii="Arial Narrow" w:eastAsia="Arial Narrow" w:hAnsi="Arial Narrow" w:cs="Arial Narrow"/>
          <w:sz w:val="24"/>
          <w:szCs w:val="24"/>
        </w:rPr>
      </w:pPr>
    </w:p>
    <w:p w14:paraId="56338B0F" w14:textId="77777777" w:rsidR="00CC5BDD" w:rsidRDefault="00000000">
      <w:pPr>
        <w:jc w:val="both"/>
        <w:rPr>
          <w:rFonts w:ascii="Arial Narrow" w:eastAsia="Arial Narrow" w:hAnsi="Arial Narrow" w:cs="Arial Narrow"/>
          <w:b/>
          <w:sz w:val="24"/>
          <w:szCs w:val="24"/>
        </w:rPr>
      </w:pPr>
      <w:r>
        <w:rPr>
          <w:rFonts w:ascii="Arial Narrow" w:eastAsia="Arial Narrow" w:hAnsi="Arial Narrow" w:cs="Arial Narrow"/>
          <w:b/>
          <w:sz w:val="24"/>
          <w:szCs w:val="24"/>
        </w:rPr>
        <w:t>ASUNTO: Radicación Proyecto de Ley Cámara</w:t>
      </w:r>
    </w:p>
    <w:p w14:paraId="126A9FC9" w14:textId="77777777" w:rsidR="00CC5BDD" w:rsidRDefault="00CC5BDD">
      <w:pPr>
        <w:rPr>
          <w:rFonts w:ascii="Arial Narrow" w:eastAsia="Arial Narrow" w:hAnsi="Arial Narrow" w:cs="Arial Narrow"/>
          <w:sz w:val="24"/>
          <w:szCs w:val="24"/>
        </w:rPr>
      </w:pPr>
    </w:p>
    <w:p w14:paraId="1F8093A0" w14:textId="77777777" w:rsidR="00CC5BDD" w:rsidRDefault="00000000">
      <w:pPr>
        <w:rPr>
          <w:rFonts w:ascii="Arial Narrow" w:eastAsia="Arial Narrow" w:hAnsi="Arial Narrow" w:cs="Arial Narrow"/>
          <w:sz w:val="24"/>
          <w:szCs w:val="24"/>
        </w:rPr>
      </w:pPr>
      <w:r>
        <w:rPr>
          <w:rFonts w:ascii="Arial Narrow" w:eastAsia="Arial Narrow" w:hAnsi="Arial Narrow" w:cs="Arial Narrow"/>
          <w:sz w:val="24"/>
          <w:szCs w:val="24"/>
        </w:rPr>
        <w:t>Respetado Secretario General:</w:t>
      </w:r>
    </w:p>
    <w:p w14:paraId="22AC1E0B" w14:textId="77777777" w:rsidR="00CC5BDD" w:rsidRDefault="00CC5BDD">
      <w:pPr>
        <w:jc w:val="both"/>
        <w:rPr>
          <w:rFonts w:ascii="Arial Narrow" w:eastAsia="Arial Narrow" w:hAnsi="Arial Narrow" w:cs="Arial Narrow"/>
          <w:sz w:val="24"/>
          <w:szCs w:val="24"/>
        </w:rPr>
      </w:pPr>
    </w:p>
    <w:p w14:paraId="40095953"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concordancia con el artículo 154 de la Constitución Política de Colombia y el artículo 140 de la Ley 5ª de 1992,  en nuestra condición de Congresistas de la República nos permitimos presentar ante la Secretaría General de la Cámara de Representantes de la República el presente Proyecto de Ley </w:t>
      </w:r>
      <w:r>
        <w:rPr>
          <w:rFonts w:ascii="Arial Narrow" w:eastAsia="Arial Narrow" w:hAnsi="Arial Narrow" w:cs="Arial Narrow"/>
          <w:b/>
          <w:i/>
          <w:sz w:val="24"/>
          <w:szCs w:val="24"/>
        </w:rPr>
        <w:t>“</w:t>
      </w:r>
      <w:r>
        <w:rPr>
          <w:rFonts w:ascii="Arial Narrow" w:eastAsia="Arial Narrow" w:hAnsi="Arial Narrow" w:cs="Arial Narrow"/>
          <w:b/>
          <w:i/>
          <w:sz w:val="24"/>
          <w:szCs w:val="24"/>
          <w:highlight w:val="white"/>
        </w:rPr>
        <w:t>POR MEDIO DEL CUAL SE PROHÍBEN LOS ESFUERZOS DE CAMBIO DE ORIENTACIÓN SEXUAL E IDENTIDAD Y EXPRESIÓN DE GÉNERO (ECOSIEG) EN EL TERRITORIO</w:t>
      </w:r>
      <w:r>
        <w:rPr>
          <w:rFonts w:ascii="Arial Narrow" w:eastAsia="Arial Narrow" w:hAnsi="Arial Narrow" w:cs="Arial Narrow"/>
          <w:b/>
          <w:i/>
          <w:sz w:val="24"/>
          <w:szCs w:val="24"/>
        </w:rPr>
        <w:t xml:space="preserve"> </w:t>
      </w:r>
      <w:r>
        <w:rPr>
          <w:rFonts w:ascii="Arial Narrow" w:eastAsia="Arial Narrow" w:hAnsi="Arial Narrow" w:cs="Arial Narrow"/>
          <w:b/>
          <w:i/>
          <w:sz w:val="24"/>
          <w:szCs w:val="24"/>
          <w:highlight w:val="white"/>
        </w:rPr>
        <w:t>NACIONAL Y SE PROMUEVE LA NO DISCRIMINACIÓN POR MOTIVOS DE ORIENTACIÓN SEXUAL, IDENTIDAD Y EXPRESIÓN</w:t>
      </w:r>
      <w:r>
        <w:rPr>
          <w:rFonts w:ascii="Arial Narrow" w:eastAsia="Arial Narrow" w:hAnsi="Arial Narrow" w:cs="Arial Narrow"/>
          <w:b/>
          <w:i/>
          <w:sz w:val="24"/>
          <w:szCs w:val="24"/>
        </w:rPr>
        <w:t xml:space="preserve"> </w:t>
      </w:r>
      <w:r>
        <w:rPr>
          <w:rFonts w:ascii="Arial Narrow" w:eastAsia="Arial Narrow" w:hAnsi="Arial Narrow" w:cs="Arial Narrow"/>
          <w:b/>
          <w:i/>
          <w:sz w:val="24"/>
          <w:szCs w:val="24"/>
          <w:highlight w:val="white"/>
        </w:rPr>
        <w:t>DE GÉNERO DIVERSAS EN LAS</w:t>
      </w:r>
      <w:r>
        <w:rPr>
          <w:rFonts w:ascii="Arial Narrow" w:eastAsia="Arial Narrow" w:hAnsi="Arial Narrow" w:cs="Arial Narrow"/>
          <w:sz w:val="24"/>
          <w:szCs w:val="24"/>
          <w:highlight w:val="white"/>
        </w:rPr>
        <w:t xml:space="preserve"> </w:t>
      </w:r>
      <w:r>
        <w:rPr>
          <w:rFonts w:ascii="Arial Narrow" w:eastAsia="Arial Narrow" w:hAnsi="Arial Narrow" w:cs="Arial Narrow"/>
          <w:b/>
          <w:i/>
          <w:sz w:val="24"/>
          <w:szCs w:val="24"/>
        </w:rPr>
        <w:t>REDES DE SALUD MENTAL Y OTRAS INSTITUCIONES Y SE DICTAN OTRAS DISPOSICIONES</w:t>
      </w:r>
      <w:r>
        <w:rPr>
          <w:rFonts w:ascii="Arial Narrow" w:eastAsia="Arial Narrow" w:hAnsi="Arial Narrow" w:cs="Arial Narrow"/>
          <w:b/>
          <w:i/>
          <w:sz w:val="24"/>
          <w:szCs w:val="24"/>
          <w:highlight w:val="white"/>
        </w:rPr>
        <w:t>”</w:t>
      </w:r>
      <w:r>
        <w:rPr>
          <w:rFonts w:ascii="Arial Narrow" w:eastAsia="Arial Narrow" w:hAnsi="Arial Narrow" w:cs="Arial Narrow"/>
          <w:sz w:val="24"/>
          <w:szCs w:val="24"/>
        </w:rPr>
        <w:t xml:space="preserve">. El documento se encuentra estructurado de la siguiente manera: </w:t>
      </w:r>
    </w:p>
    <w:p w14:paraId="41B48A03" w14:textId="77777777" w:rsidR="00CC5BDD" w:rsidRDefault="00CC5BDD">
      <w:pPr>
        <w:jc w:val="both"/>
        <w:rPr>
          <w:rFonts w:ascii="Arial Narrow" w:eastAsia="Arial Narrow" w:hAnsi="Arial Narrow" w:cs="Arial Narrow"/>
          <w:sz w:val="24"/>
          <w:szCs w:val="24"/>
        </w:rPr>
      </w:pPr>
    </w:p>
    <w:p w14:paraId="461F6C28" w14:textId="77777777" w:rsidR="00CC5BDD" w:rsidRDefault="0000000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Exposición de motivos</w:t>
      </w:r>
    </w:p>
    <w:p w14:paraId="3E8516EB" w14:textId="77777777" w:rsidR="00CC5BDD" w:rsidRDefault="0000000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Antecedentes legislativos</w:t>
      </w:r>
    </w:p>
    <w:p w14:paraId="12CD0DCA" w14:textId="77777777" w:rsidR="00CC5BDD" w:rsidRDefault="0000000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Conclusiones</w:t>
      </w:r>
    </w:p>
    <w:p w14:paraId="5F96BEBF" w14:textId="77777777" w:rsidR="00CC5BDD" w:rsidRDefault="0000000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Proposición</w:t>
      </w:r>
    </w:p>
    <w:p w14:paraId="3520805A" w14:textId="77777777" w:rsidR="00CC5BDD" w:rsidRDefault="00CC5BDD">
      <w:pPr>
        <w:jc w:val="both"/>
        <w:rPr>
          <w:rFonts w:ascii="Arial Narrow" w:eastAsia="Arial Narrow" w:hAnsi="Arial Narrow" w:cs="Arial Narrow"/>
          <w:sz w:val="24"/>
          <w:szCs w:val="24"/>
        </w:rPr>
      </w:pPr>
    </w:p>
    <w:p w14:paraId="3AE8C3CE"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Cordialmente, </w:t>
      </w:r>
    </w:p>
    <w:p w14:paraId="0EAC77C7" w14:textId="77777777" w:rsidR="00CC5BDD" w:rsidRDefault="00CC5BDD">
      <w:pPr>
        <w:rPr>
          <w:rFonts w:ascii="Arial Narrow" w:eastAsia="Arial Narrow" w:hAnsi="Arial Narrow" w:cs="Arial Narrow"/>
          <w:sz w:val="24"/>
          <w:szCs w:val="24"/>
        </w:rPr>
      </w:pPr>
    </w:p>
    <w:p w14:paraId="68733F2E" w14:textId="016A09F8" w:rsidR="00CC5BDD" w:rsidRDefault="00CC5BDD">
      <w:pPr>
        <w:rPr>
          <w:rFonts w:ascii="Arial Narrow" w:eastAsia="Arial Narrow" w:hAnsi="Arial Narrow" w:cs="Arial Narrow"/>
          <w:sz w:val="24"/>
          <w:szCs w:val="24"/>
        </w:rPr>
      </w:pPr>
    </w:p>
    <w:p w14:paraId="5C0D1F6C" w14:textId="7E7B5224" w:rsidR="001729A3" w:rsidRDefault="001729A3">
      <w:pPr>
        <w:rPr>
          <w:rFonts w:ascii="Arial Narrow" w:eastAsia="Arial Narrow" w:hAnsi="Arial Narrow" w:cs="Arial Narrow"/>
          <w:sz w:val="24"/>
          <w:szCs w:val="24"/>
        </w:rPr>
      </w:pPr>
    </w:p>
    <w:p w14:paraId="5C0B2790" w14:textId="32F99C26" w:rsidR="001729A3" w:rsidRDefault="001729A3">
      <w:pPr>
        <w:rPr>
          <w:rFonts w:ascii="Arial Narrow" w:eastAsia="Arial Narrow" w:hAnsi="Arial Narrow" w:cs="Arial Narrow"/>
          <w:sz w:val="24"/>
          <w:szCs w:val="24"/>
        </w:rPr>
      </w:pPr>
    </w:p>
    <w:p w14:paraId="2CE839AB" w14:textId="63F9231F" w:rsidR="001729A3" w:rsidRDefault="001729A3">
      <w:pPr>
        <w:rPr>
          <w:rFonts w:ascii="Arial Narrow" w:eastAsia="Arial Narrow" w:hAnsi="Arial Narrow" w:cs="Arial Narrow"/>
          <w:sz w:val="24"/>
          <w:szCs w:val="24"/>
        </w:rPr>
      </w:pPr>
    </w:p>
    <w:p w14:paraId="67C53978" w14:textId="143AAF4D" w:rsidR="001729A3" w:rsidRDefault="001729A3">
      <w:pPr>
        <w:rPr>
          <w:rFonts w:ascii="Arial Narrow" w:eastAsia="Arial Narrow" w:hAnsi="Arial Narrow" w:cs="Arial Narrow"/>
          <w:sz w:val="24"/>
          <w:szCs w:val="24"/>
        </w:rPr>
      </w:pPr>
    </w:p>
    <w:p w14:paraId="2A63D65F" w14:textId="5323B33B" w:rsidR="001729A3" w:rsidRDefault="001729A3">
      <w:pPr>
        <w:rPr>
          <w:rFonts w:ascii="Arial Narrow" w:eastAsia="Arial Narrow" w:hAnsi="Arial Narrow" w:cs="Arial Narrow"/>
          <w:sz w:val="24"/>
          <w:szCs w:val="24"/>
        </w:rPr>
      </w:pPr>
    </w:p>
    <w:p w14:paraId="1B9FCB88" w14:textId="5C4FE5DD" w:rsidR="001729A3" w:rsidRDefault="001729A3">
      <w:pPr>
        <w:rPr>
          <w:rFonts w:ascii="Arial Narrow" w:eastAsia="Arial Narrow" w:hAnsi="Arial Narrow" w:cs="Arial Narrow"/>
          <w:sz w:val="24"/>
          <w:szCs w:val="24"/>
        </w:rPr>
      </w:pPr>
    </w:p>
    <w:p w14:paraId="003237BD" w14:textId="21910915" w:rsidR="001729A3" w:rsidRDefault="001729A3">
      <w:pPr>
        <w:rPr>
          <w:rFonts w:ascii="Arial Narrow" w:eastAsia="Arial Narrow" w:hAnsi="Arial Narrow" w:cs="Arial Narrow"/>
          <w:sz w:val="24"/>
          <w:szCs w:val="24"/>
        </w:rPr>
      </w:pPr>
    </w:p>
    <w:p w14:paraId="54161FAE" w14:textId="6FCA2F26" w:rsidR="001729A3" w:rsidRDefault="001729A3">
      <w:pPr>
        <w:rPr>
          <w:rFonts w:ascii="Arial Narrow" w:eastAsia="Arial Narrow" w:hAnsi="Arial Narrow" w:cs="Arial Narrow"/>
          <w:sz w:val="24"/>
          <w:szCs w:val="24"/>
        </w:rPr>
      </w:pPr>
    </w:p>
    <w:p w14:paraId="3A7FB5F2" w14:textId="5073E98B" w:rsidR="001729A3" w:rsidRDefault="001729A3">
      <w:pPr>
        <w:rPr>
          <w:rFonts w:ascii="Arial Narrow" w:eastAsia="Arial Narrow" w:hAnsi="Arial Narrow" w:cs="Arial Narrow"/>
          <w:sz w:val="24"/>
          <w:szCs w:val="24"/>
        </w:rPr>
      </w:pPr>
    </w:p>
    <w:p w14:paraId="09D3512A" w14:textId="0ADD7FAB" w:rsidR="001729A3" w:rsidRDefault="001729A3">
      <w:pPr>
        <w:rPr>
          <w:rFonts w:ascii="Arial Narrow" w:eastAsia="Arial Narrow" w:hAnsi="Arial Narrow" w:cs="Arial Narrow"/>
          <w:sz w:val="24"/>
          <w:szCs w:val="24"/>
        </w:rPr>
      </w:pPr>
    </w:p>
    <w:p w14:paraId="6E777A91" w14:textId="78A5F665" w:rsidR="001729A3" w:rsidRDefault="001729A3">
      <w:pPr>
        <w:rPr>
          <w:rFonts w:ascii="Arial Narrow" w:eastAsia="Arial Narrow" w:hAnsi="Arial Narrow" w:cs="Arial Narrow"/>
          <w:sz w:val="24"/>
          <w:szCs w:val="24"/>
        </w:rPr>
      </w:pPr>
    </w:p>
    <w:p w14:paraId="11EA8C49" w14:textId="6E148F47" w:rsidR="001729A3" w:rsidRDefault="001729A3">
      <w:pPr>
        <w:rPr>
          <w:rFonts w:ascii="Arial Narrow" w:eastAsia="Arial Narrow" w:hAnsi="Arial Narrow" w:cs="Arial Narrow"/>
          <w:sz w:val="24"/>
          <w:szCs w:val="24"/>
        </w:rPr>
      </w:pPr>
    </w:p>
    <w:p w14:paraId="25C990EE" w14:textId="40C9B0EF" w:rsidR="001729A3" w:rsidRDefault="001729A3">
      <w:pPr>
        <w:rPr>
          <w:rFonts w:ascii="Arial Narrow" w:eastAsia="Arial Narrow" w:hAnsi="Arial Narrow" w:cs="Arial Narrow"/>
          <w:sz w:val="24"/>
          <w:szCs w:val="24"/>
        </w:rPr>
      </w:pPr>
    </w:p>
    <w:p w14:paraId="75CD1FC4" w14:textId="77777777" w:rsidR="001729A3" w:rsidRDefault="001729A3">
      <w:pPr>
        <w:rPr>
          <w:rFonts w:ascii="Arial Narrow" w:eastAsia="Arial Narrow" w:hAnsi="Arial Narrow" w:cs="Arial Narrow"/>
          <w:sz w:val="24"/>
          <w:szCs w:val="24"/>
        </w:rPr>
      </w:pPr>
    </w:p>
    <w:p w14:paraId="2579164F" w14:textId="77777777" w:rsidR="001729A3" w:rsidRDefault="00000000" w:rsidP="001729A3">
      <w:pPr>
        <w:jc w:val="center"/>
        <w:rPr>
          <w:rFonts w:ascii="Arial Narrow" w:eastAsia="Arial Narrow" w:hAnsi="Arial Narrow" w:cs="Arial Narrow"/>
          <w:b/>
          <w:i/>
          <w:sz w:val="24"/>
          <w:szCs w:val="24"/>
        </w:rPr>
      </w:pPr>
      <w:r>
        <w:rPr>
          <w:rFonts w:ascii="Arial Narrow" w:eastAsia="Arial Narrow" w:hAnsi="Arial Narrow" w:cs="Arial Narrow"/>
          <w:b/>
          <w:sz w:val="24"/>
          <w:szCs w:val="24"/>
        </w:rPr>
        <w:lastRenderedPageBreak/>
        <w:t xml:space="preserve">PROYECTO DE LEY </w:t>
      </w:r>
      <w:proofErr w:type="spellStart"/>
      <w:r>
        <w:rPr>
          <w:rFonts w:ascii="Arial Narrow" w:eastAsia="Arial Narrow" w:hAnsi="Arial Narrow" w:cs="Arial Narrow"/>
          <w:b/>
          <w:sz w:val="24"/>
          <w:szCs w:val="24"/>
        </w:rPr>
        <w:t>N°</w:t>
      </w:r>
      <w:proofErr w:type="spellEnd"/>
      <w:r>
        <w:rPr>
          <w:rFonts w:ascii="Arial Narrow" w:eastAsia="Arial Narrow" w:hAnsi="Arial Narrow" w:cs="Arial Narrow"/>
          <w:b/>
          <w:sz w:val="24"/>
          <w:szCs w:val="24"/>
        </w:rPr>
        <w:t xml:space="preserve"> _____ DE 2022 CÁMARA</w:t>
      </w:r>
    </w:p>
    <w:p w14:paraId="5309352C" w14:textId="77777777" w:rsidR="001729A3" w:rsidRDefault="001729A3" w:rsidP="001729A3">
      <w:pPr>
        <w:jc w:val="center"/>
        <w:rPr>
          <w:rFonts w:ascii="Arial Narrow" w:eastAsia="Arial Narrow" w:hAnsi="Arial Narrow" w:cs="Arial Narrow"/>
          <w:b/>
          <w:i/>
          <w:sz w:val="24"/>
          <w:szCs w:val="24"/>
        </w:rPr>
      </w:pPr>
    </w:p>
    <w:p w14:paraId="7BE949A4" w14:textId="315989D3" w:rsidR="001729A3" w:rsidRDefault="001729A3" w:rsidP="001729A3">
      <w:pPr>
        <w:jc w:val="center"/>
        <w:rPr>
          <w:rFonts w:ascii="Arial Narrow" w:eastAsia="Arial Narrow" w:hAnsi="Arial Narrow" w:cs="Arial Narrow"/>
          <w:b/>
          <w:i/>
          <w:sz w:val="24"/>
          <w:szCs w:val="24"/>
        </w:rPr>
      </w:pPr>
      <w:r>
        <w:rPr>
          <w:rFonts w:ascii="Arial Narrow" w:eastAsia="Arial Narrow" w:hAnsi="Arial Narrow" w:cs="Arial Narrow"/>
          <w:b/>
          <w:i/>
          <w:sz w:val="24"/>
          <w:szCs w:val="24"/>
          <w:highlight w:val="white"/>
        </w:rPr>
        <w:t>POR MEDIO DEL CUAL SE PROHÍBEN LOS ESFUERZOS DE CAMBIO DE ORIENTACIÓN SEXUAL E IDENTIDAD Y EXPRESIÓN DE GÉNERO (ECOSIEG) EN EL TERRITORIO</w:t>
      </w:r>
      <w:r>
        <w:rPr>
          <w:rFonts w:ascii="Arial Narrow" w:eastAsia="Arial Narrow" w:hAnsi="Arial Narrow" w:cs="Arial Narrow"/>
          <w:b/>
          <w:i/>
          <w:sz w:val="24"/>
          <w:szCs w:val="24"/>
        </w:rPr>
        <w:t xml:space="preserve"> </w:t>
      </w:r>
      <w:r>
        <w:rPr>
          <w:rFonts w:ascii="Arial Narrow" w:eastAsia="Arial Narrow" w:hAnsi="Arial Narrow" w:cs="Arial Narrow"/>
          <w:b/>
          <w:i/>
          <w:sz w:val="24"/>
          <w:szCs w:val="24"/>
          <w:highlight w:val="white"/>
        </w:rPr>
        <w:t>NACIONAL Y SE PROMUEVE LA NO DISCRIMINACIÓN POR MOTIVOS DE ORIENTACIÓN SEXUAL, IDENTIDAD Y EXPRESIÓN</w:t>
      </w:r>
      <w:r>
        <w:rPr>
          <w:rFonts w:ascii="Arial Narrow" w:eastAsia="Arial Narrow" w:hAnsi="Arial Narrow" w:cs="Arial Narrow"/>
          <w:b/>
          <w:i/>
          <w:sz w:val="24"/>
          <w:szCs w:val="24"/>
        </w:rPr>
        <w:t xml:space="preserve"> </w:t>
      </w:r>
      <w:r>
        <w:rPr>
          <w:rFonts w:ascii="Arial Narrow" w:eastAsia="Arial Narrow" w:hAnsi="Arial Narrow" w:cs="Arial Narrow"/>
          <w:b/>
          <w:i/>
          <w:sz w:val="24"/>
          <w:szCs w:val="24"/>
          <w:highlight w:val="white"/>
        </w:rPr>
        <w:t>DE GÉNERO DIVERSAS EN LAS</w:t>
      </w:r>
      <w:r>
        <w:rPr>
          <w:rFonts w:ascii="Arial Narrow" w:eastAsia="Arial Narrow" w:hAnsi="Arial Narrow" w:cs="Arial Narrow"/>
          <w:sz w:val="24"/>
          <w:szCs w:val="24"/>
          <w:highlight w:val="white"/>
        </w:rPr>
        <w:t xml:space="preserve"> </w:t>
      </w:r>
      <w:r>
        <w:rPr>
          <w:rFonts w:ascii="Arial Narrow" w:eastAsia="Arial Narrow" w:hAnsi="Arial Narrow" w:cs="Arial Narrow"/>
          <w:b/>
          <w:i/>
          <w:sz w:val="24"/>
          <w:szCs w:val="24"/>
        </w:rPr>
        <w:t>REDES DE SALUD MENTAL Y OTRAS INSTITUCIONES Y SE DICTAN OTRAS DISPOSICIONES</w:t>
      </w:r>
      <w:r>
        <w:rPr>
          <w:rFonts w:ascii="Arial Narrow" w:eastAsia="Arial Narrow" w:hAnsi="Arial Narrow" w:cs="Arial Narrow"/>
          <w:b/>
          <w:i/>
          <w:sz w:val="24"/>
          <w:szCs w:val="24"/>
          <w:highlight w:val="white"/>
        </w:rPr>
        <w:t>”</w:t>
      </w:r>
    </w:p>
    <w:p w14:paraId="533637FB" w14:textId="60857BBF" w:rsidR="00CC5BDD" w:rsidRDefault="00000000">
      <w:pPr>
        <w:widowControl w:val="0"/>
        <w:spacing w:before="236" w:line="240" w:lineRule="auto"/>
        <w:ind w:right="3965"/>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DECRETA: </w:t>
      </w:r>
    </w:p>
    <w:p w14:paraId="620E7924" w14:textId="77777777" w:rsidR="00CC5BDD" w:rsidRDefault="00CC5BDD">
      <w:pPr>
        <w:jc w:val="both"/>
        <w:rPr>
          <w:rFonts w:ascii="Arial Narrow" w:eastAsia="Arial Narrow" w:hAnsi="Arial Narrow" w:cs="Arial Narrow"/>
          <w:sz w:val="24"/>
          <w:szCs w:val="24"/>
        </w:rPr>
      </w:pPr>
    </w:p>
    <w:p w14:paraId="604A3590"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Artículo 1. Objeto.</w:t>
      </w:r>
      <w:r>
        <w:rPr>
          <w:rFonts w:ascii="Arial Narrow" w:eastAsia="Arial Narrow" w:hAnsi="Arial Narrow" w:cs="Arial Narrow"/>
          <w:sz w:val="24"/>
          <w:szCs w:val="24"/>
        </w:rPr>
        <w:t xml:space="preserve"> La presente Ley tiene por objeto eliminar en todo el territorio nacional los esfuerzos de cambio de orientación sexual, identidad y expresión de género (ECOSIEG), como una medida tendiente a la protección de la diversidad sexual y de género; también incorpora en la legislación penal colombiana medidas tendientes a sancionar conductas dirigidas a modificar, negar o restringir la orientación sexual, la identidad o la expresión de género.</w:t>
      </w:r>
    </w:p>
    <w:p w14:paraId="19F5CD33" w14:textId="77777777" w:rsidR="00CC5BDD" w:rsidRDefault="00CC5BDD">
      <w:pPr>
        <w:jc w:val="both"/>
      </w:pPr>
    </w:p>
    <w:p w14:paraId="05CDE8FC"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TITULO I</w:t>
      </w:r>
    </w:p>
    <w:p w14:paraId="476FBBA7"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DISPOSICIONES GENERALES. </w:t>
      </w:r>
    </w:p>
    <w:p w14:paraId="247EC0AC" w14:textId="77777777" w:rsidR="00CC5BDD" w:rsidRDefault="00CC5BDD">
      <w:pPr>
        <w:jc w:val="center"/>
        <w:rPr>
          <w:rFonts w:ascii="Arial Narrow" w:eastAsia="Arial Narrow" w:hAnsi="Arial Narrow" w:cs="Arial Narrow"/>
          <w:b/>
          <w:sz w:val="24"/>
          <w:szCs w:val="24"/>
        </w:rPr>
      </w:pPr>
    </w:p>
    <w:p w14:paraId="2DB25982"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 Principios. </w:t>
      </w:r>
      <w:r>
        <w:rPr>
          <w:rFonts w:ascii="Arial Narrow" w:eastAsia="Arial Narrow" w:hAnsi="Arial Narrow" w:cs="Arial Narrow"/>
          <w:sz w:val="24"/>
          <w:szCs w:val="24"/>
        </w:rPr>
        <w:t xml:space="preserve">La presente Ley se rige por los siguientes principios orientadores: </w:t>
      </w:r>
    </w:p>
    <w:p w14:paraId="2E208D98" w14:textId="77777777" w:rsidR="00CC5BDD" w:rsidRDefault="00CC5BDD">
      <w:pPr>
        <w:jc w:val="both"/>
        <w:rPr>
          <w:rFonts w:ascii="Arial Narrow" w:eastAsia="Arial Narrow" w:hAnsi="Arial Narrow" w:cs="Arial Narrow"/>
          <w:sz w:val="24"/>
          <w:szCs w:val="24"/>
        </w:rPr>
      </w:pPr>
    </w:p>
    <w:p w14:paraId="31E4D0FE"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Pluralismo: </w:t>
      </w:r>
      <w:r>
        <w:rPr>
          <w:rFonts w:ascii="Arial Narrow" w:eastAsia="Arial Narrow" w:hAnsi="Arial Narrow" w:cs="Arial Narrow"/>
          <w:sz w:val="24"/>
          <w:szCs w:val="24"/>
        </w:rPr>
        <w:t xml:space="preserve">Característica esencial del Estado Social de Derecho en la que se reconoce la diversidad de posibilidades de existencia de los habitantes del territorio. </w:t>
      </w:r>
    </w:p>
    <w:p w14:paraId="323272C5" w14:textId="77777777" w:rsidR="00CC5BDD" w:rsidRDefault="00CC5BDD">
      <w:pPr>
        <w:jc w:val="both"/>
        <w:rPr>
          <w:rFonts w:ascii="Arial Narrow" w:eastAsia="Arial Narrow" w:hAnsi="Arial Narrow" w:cs="Arial Narrow"/>
          <w:sz w:val="24"/>
          <w:szCs w:val="24"/>
        </w:rPr>
      </w:pPr>
    </w:p>
    <w:p w14:paraId="5469C8E1"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 discriminación: </w:t>
      </w:r>
      <w:r>
        <w:rPr>
          <w:rFonts w:ascii="Arial Narrow" w:eastAsia="Arial Narrow" w:hAnsi="Arial Narrow" w:cs="Arial Narrow"/>
          <w:sz w:val="24"/>
          <w:szCs w:val="24"/>
        </w:rPr>
        <w:t>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794C4D5B" w14:textId="77777777" w:rsidR="00CC5BDD" w:rsidRDefault="00CC5BDD">
      <w:pPr>
        <w:jc w:val="both"/>
        <w:rPr>
          <w:rFonts w:ascii="Arial Narrow" w:eastAsia="Arial Narrow" w:hAnsi="Arial Narrow" w:cs="Arial Narrow"/>
          <w:sz w:val="24"/>
          <w:szCs w:val="24"/>
        </w:rPr>
      </w:pPr>
    </w:p>
    <w:p w14:paraId="7F40924B"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Reconocimiento de la personalidad jurídica: </w:t>
      </w:r>
      <w:r>
        <w:rPr>
          <w:rFonts w:ascii="Arial Narrow" w:eastAsia="Arial Narrow" w:hAnsi="Arial Narrow" w:cs="Arial Narrow"/>
          <w:sz w:val="24"/>
          <w:szCs w:val="24"/>
        </w:rPr>
        <w:t xml:space="preserve">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 </w:t>
      </w:r>
    </w:p>
    <w:p w14:paraId="6B39395C" w14:textId="77777777" w:rsidR="00CC5BDD" w:rsidRDefault="00CC5BDD">
      <w:pPr>
        <w:jc w:val="both"/>
        <w:rPr>
          <w:rFonts w:ascii="Arial Narrow" w:eastAsia="Arial Narrow" w:hAnsi="Arial Narrow" w:cs="Arial Narrow"/>
          <w:sz w:val="24"/>
          <w:szCs w:val="24"/>
        </w:rPr>
      </w:pPr>
    </w:p>
    <w:p w14:paraId="0D5A70D7"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 sometimiento a tortura, tratos crueles, inhumanos o degradantes: </w:t>
      </w:r>
      <w:r>
        <w:rPr>
          <w:rFonts w:ascii="Arial Narrow" w:eastAsia="Arial Narrow" w:hAnsi="Arial Narrow" w:cs="Arial Narrow"/>
          <w:sz w:val="24"/>
          <w:szCs w:val="24"/>
        </w:rPr>
        <w:t xml:space="preserve">Todas las personas tienen el derecho a no ser sometidas a torturas ni a penas o tratos crueles, inhumanos o degradantes por razones relacionadas con la orientación sexual, la identidad o la expresión de género. </w:t>
      </w:r>
    </w:p>
    <w:p w14:paraId="61A7A9AA" w14:textId="77777777" w:rsidR="00CC5BDD" w:rsidRDefault="00CC5BDD">
      <w:pPr>
        <w:jc w:val="both"/>
        <w:rPr>
          <w:rFonts w:ascii="Arial Narrow" w:eastAsia="Arial Narrow" w:hAnsi="Arial Narrow" w:cs="Arial Narrow"/>
          <w:sz w:val="24"/>
          <w:szCs w:val="24"/>
        </w:rPr>
      </w:pPr>
    </w:p>
    <w:p w14:paraId="7824DC7C"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No sometimiento a ningún tipo de violencia:</w:t>
      </w:r>
      <w:r>
        <w:rPr>
          <w:rFonts w:ascii="Arial Narrow" w:eastAsia="Arial Narrow" w:hAnsi="Arial Narrow" w:cs="Arial Narrow"/>
          <w:sz w:val="24"/>
          <w:szCs w:val="24"/>
        </w:rPr>
        <w:t xml:space="preserve"> Todas las personas tienen el derecho a no ser sometidas a ningún tipo de violencia, sea ésta psicológica, económica, sexual, física y/o institucional, por razones relacionadas con la orientación sexual, la identidad o la expresión de género. </w:t>
      </w:r>
    </w:p>
    <w:p w14:paraId="392B794F" w14:textId="77777777" w:rsidR="00CC5BDD" w:rsidRDefault="00CC5BDD">
      <w:pPr>
        <w:jc w:val="both"/>
        <w:rPr>
          <w:rFonts w:ascii="Arial Narrow" w:eastAsia="Arial Narrow" w:hAnsi="Arial Narrow" w:cs="Arial Narrow"/>
          <w:sz w:val="24"/>
          <w:szCs w:val="24"/>
        </w:rPr>
      </w:pPr>
    </w:p>
    <w:p w14:paraId="53D993B4"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Primacía de los derechos de los Niños, Niñas y Adolescentes: </w:t>
      </w:r>
      <w:r>
        <w:rPr>
          <w:rFonts w:ascii="Arial Narrow" w:eastAsia="Arial Narrow" w:hAnsi="Arial Narrow" w:cs="Arial Narrow"/>
          <w:sz w:val="24"/>
          <w:szCs w:val="24"/>
        </w:rPr>
        <w:t xml:space="preserve">Los derechos de los menores de edad a gozar de un ambiente sano, a no ser sometidos a tratos crueles, inhumanos o degradantes, a no </w:t>
      </w:r>
      <w:r>
        <w:rPr>
          <w:rFonts w:ascii="Arial Narrow" w:eastAsia="Arial Narrow" w:hAnsi="Arial Narrow" w:cs="Arial Narrow"/>
          <w:sz w:val="24"/>
          <w:szCs w:val="24"/>
        </w:rPr>
        <w:lastRenderedPageBreak/>
        <w:t>ser discriminados, a tener libertad de expresión y al libre desarrollo de su personalidad priman y deben ser reconocidos como tal por padres o tutores.</w:t>
      </w:r>
    </w:p>
    <w:p w14:paraId="5D044F95" w14:textId="77777777" w:rsidR="00CC5BDD" w:rsidRDefault="00CC5BDD">
      <w:pPr>
        <w:jc w:val="both"/>
        <w:rPr>
          <w:rFonts w:ascii="Arial Narrow" w:eastAsia="Arial Narrow" w:hAnsi="Arial Narrow" w:cs="Arial Narrow"/>
          <w:sz w:val="24"/>
          <w:szCs w:val="24"/>
        </w:rPr>
      </w:pPr>
    </w:p>
    <w:p w14:paraId="096DF640"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Dignidad Humana: </w:t>
      </w:r>
      <w:r>
        <w:rPr>
          <w:rFonts w:ascii="Arial Narrow" w:eastAsia="Arial Narrow" w:hAnsi="Arial Narrow" w:cs="Arial Narrow"/>
          <w:sz w:val="24"/>
          <w:szCs w:val="24"/>
        </w:rPr>
        <w:t>Todas las personas tienen derecho a que el Estado respete su dignidad humana y establezca mecanismos para su protección.</w:t>
      </w:r>
    </w:p>
    <w:p w14:paraId="5A8CB709" w14:textId="77777777" w:rsidR="00CC5BDD" w:rsidRDefault="00CC5BDD">
      <w:pPr>
        <w:jc w:val="both"/>
        <w:rPr>
          <w:rFonts w:ascii="Arial Narrow" w:eastAsia="Arial Narrow" w:hAnsi="Arial Narrow" w:cs="Arial Narrow"/>
          <w:sz w:val="24"/>
          <w:szCs w:val="24"/>
        </w:rPr>
      </w:pPr>
    </w:p>
    <w:p w14:paraId="6356C08A"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Despatologización de la Diversidad sexual: </w:t>
      </w:r>
      <w:r>
        <w:rPr>
          <w:rFonts w:ascii="Arial Narrow" w:eastAsia="Arial Narrow" w:hAnsi="Arial Narrow" w:cs="Arial Narrow"/>
          <w:sz w:val="24"/>
          <w:szCs w:val="24"/>
        </w:rPr>
        <w:t xml:space="preserve">Las orientaciones sexuales, identidades y expresión de género diversas no representan bajo ninguna circunstancia una patología y en consecuencia a nadie se le puede motivar o someter a un ECOSIEG. </w:t>
      </w:r>
    </w:p>
    <w:p w14:paraId="12255A08" w14:textId="77777777" w:rsidR="00CC5BDD" w:rsidRDefault="00CC5BDD">
      <w:pPr>
        <w:jc w:val="both"/>
        <w:rPr>
          <w:rFonts w:ascii="Arial Narrow" w:eastAsia="Arial Narrow" w:hAnsi="Arial Narrow" w:cs="Arial Narrow"/>
          <w:sz w:val="24"/>
          <w:szCs w:val="24"/>
        </w:rPr>
      </w:pPr>
    </w:p>
    <w:p w14:paraId="3DFBADF6"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Coordinación: </w:t>
      </w:r>
      <w:r>
        <w:rPr>
          <w:rFonts w:ascii="Arial Narrow" w:eastAsia="Arial Narrow" w:hAnsi="Arial Narrow" w:cs="Arial Narrow"/>
          <w:sz w:val="24"/>
          <w:szCs w:val="24"/>
        </w:rPr>
        <w:t xml:space="preserve">Todas las entidades que tengan dentro de sus funciones la atención a personas víctimas de violencia deberán ejercer acciones coordinadas y articuladas con el fin de brindarles una atención integral y garantías de no repetición. </w:t>
      </w:r>
    </w:p>
    <w:p w14:paraId="7B4D9406" w14:textId="77777777" w:rsidR="00CC5BDD" w:rsidRDefault="00000000">
      <w:pPr>
        <w:widowControl w:val="0"/>
        <w:spacing w:before="252" w:line="240" w:lineRule="auto"/>
        <w:rPr>
          <w:rFonts w:ascii="Arial Narrow" w:eastAsia="Arial Narrow" w:hAnsi="Arial Narrow" w:cs="Arial Narrow"/>
          <w:strike/>
          <w:sz w:val="24"/>
          <w:szCs w:val="24"/>
          <w:highlight w:val="yellow"/>
        </w:rPr>
      </w:pPr>
      <w:r>
        <w:rPr>
          <w:rFonts w:ascii="Arial Narrow" w:eastAsia="Arial Narrow" w:hAnsi="Arial Narrow" w:cs="Arial Narrow"/>
          <w:b/>
          <w:sz w:val="24"/>
          <w:szCs w:val="24"/>
        </w:rPr>
        <w:t xml:space="preserve">Artículo 3. Definiciones. </w:t>
      </w:r>
    </w:p>
    <w:p w14:paraId="6A34AC54"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Despatologización: </w:t>
      </w:r>
      <w:r>
        <w:rPr>
          <w:rFonts w:ascii="Arial Narrow" w:eastAsia="Arial Narrow" w:hAnsi="Arial Narrow" w:cs="Arial Narrow"/>
          <w:sz w:val="24"/>
          <w:szCs w:val="24"/>
        </w:rPr>
        <w:t xml:space="preserve">Proceso social por el cual se recopilan esfuerzos y estrategias para </w:t>
      </w:r>
      <w:proofErr w:type="spellStart"/>
      <w:r>
        <w:rPr>
          <w:rFonts w:ascii="Arial Narrow" w:eastAsia="Arial Narrow" w:hAnsi="Arial Narrow" w:cs="Arial Narrow"/>
          <w:sz w:val="24"/>
          <w:szCs w:val="24"/>
        </w:rPr>
        <w:t>desconceptualizar</w:t>
      </w:r>
      <w:proofErr w:type="spellEnd"/>
      <w:r>
        <w:rPr>
          <w:rFonts w:ascii="Arial Narrow" w:eastAsia="Arial Narrow" w:hAnsi="Arial Narrow" w:cs="Arial Narrow"/>
          <w:sz w:val="24"/>
          <w:szCs w:val="24"/>
        </w:rPr>
        <w:t xml:space="preserve"> como enfermedad la orientación sexual, la identidad de género o la expresión de género de una persona.</w:t>
      </w:r>
    </w:p>
    <w:p w14:paraId="01C3FFFD"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Violencia basada en orientación sexual, identidad de género o expresión de género: </w:t>
      </w:r>
      <w:r>
        <w:rPr>
          <w:rFonts w:ascii="Arial Narrow" w:eastAsia="Arial Narrow" w:hAnsi="Arial Narrow" w:cs="Arial Narrow"/>
          <w:sz w:val="24"/>
          <w:szCs w:val="24"/>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57404ED9"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ECOSIEG: </w:t>
      </w:r>
      <w:r>
        <w:rPr>
          <w:rFonts w:ascii="Arial Narrow" w:eastAsia="Arial Narrow" w:hAnsi="Arial Narrow" w:cs="Arial Narrow"/>
          <w:sz w:val="24"/>
          <w:szCs w:val="24"/>
        </w:rPr>
        <w:t xml:space="preserve">Todos los Esfuerzos de Cambio de Orientación Sexual, Identidad y Expresión de Género y que tienen como finalidad: </w:t>
      </w:r>
    </w:p>
    <w:p w14:paraId="591DAEAE"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 Cambiar una orientación sexual a la heterosexual. </w:t>
      </w:r>
    </w:p>
    <w:p w14:paraId="62C31D81"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b. Cambiar una identidad o expresión de género diversa a cisgénero. </w:t>
      </w:r>
    </w:p>
    <w:p w14:paraId="724FC4F6"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 Cambiar una expresión de género diversa a una alienada al sexo asignado al nacer. </w:t>
      </w:r>
    </w:p>
    <w:p w14:paraId="79440F2B"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d. Reprimir, reducir o impedir una orientación sexual no heterosexual. </w:t>
      </w:r>
    </w:p>
    <w:p w14:paraId="4306E3ED"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 Reprimir, reducir o impedir la identidad de género de una persona no cisgénero. </w:t>
      </w:r>
    </w:p>
    <w:p w14:paraId="7A62C5F3" w14:textId="77777777" w:rsidR="00CC5BDD" w:rsidRDefault="00000000">
      <w:pPr>
        <w:widowControl w:val="0"/>
        <w:spacing w:before="276"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f. Reprimir, reducir o impedir expresiones de género. </w:t>
      </w:r>
    </w:p>
    <w:p w14:paraId="3A50E6BA"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Son todos los medios utilizados para intentar cambiar la orientación sexual, identidad de género y expresión de género incluyendo técnicas conductuales y psicoanalíticas, enfoques médicos, religiosos y espirituales que se practican con o sin consentimiento de la persona. No existe ECOSIEG en el caso de las intervenciones médicas, quirúrgicas o los tratamientos hormonales destinados a reafirmar la identidad de género </w:t>
      </w:r>
      <w:proofErr w:type="spellStart"/>
      <w:r>
        <w:rPr>
          <w:rFonts w:ascii="Arial Narrow" w:eastAsia="Arial Narrow" w:hAnsi="Arial Narrow" w:cs="Arial Narrow"/>
          <w:sz w:val="24"/>
          <w:szCs w:val="24"/>
        </w:rPr>
        <w:t>autopercibida</w:t>
      </w:r>
      <w:proofErr w:type="spellEnd"/>
      <w:r>
        <w:rPr>
          <w:rFonts w:ascii="Arial Narrow" w:eastAsia="Arial Narrow" w:hAnsi="Arial Narrow" w:cs="Arial Narrow"/>
          <w:sz w:val="24"/>
          <w:szCs w:val="24"/>
        </w:rPr>
        <w:t xml:space="preserve"> de una persona. </w:t>
      </w:r>
    </w:p>
    <w:p w14:paraId="4CB03354"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Expresión de género: </w:t>
      </w:r>
      <w:r>
        <w:rPr>
          <w:rFonts w:ascii="Arial Narrow" w:eastAsia="Arial Narrow" w:hAnsi="Arial Narrow" w:cs="Arial Narrow"/>
          <w:sz w:val="24"/>
          <w:szCs w:val="24"/>
        </w:rPr>
        <w:t xml:space="preserve">Manifestación externa de las características de identidad de género asumidas. </w:t>
      </w:r>
    </w:p>
    <w:p w14:paraId="1EADFB7A"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Género: </w:t>
      </w:r>
      <w:r>
        <w:rPr>
          <w:rFonts w:ascii="Arial Narrow" w:eastAsia="Arial Narrow" w:hAnsi="Arial Narrow" w:cs="Arial Narrow"/>
          <w:sz w:val="24"/>
          <w:szCs w:val="24"/>
        </w:rPr>
        <w:t>Construcción social, cultural y psicológica que determina el concepto de la identidad y los comportamientos.</w:t>
      </w:r>
    </w:p>
    <w:p w14:paraId="1395489F"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Identidad de género: </w:t>
      </w:r>
      <w:r>
        <w:rPr>
          <w:rFonts w:ascii="Arial Narrow" w:eastAsia="Arial Narrow" w:hAnsi="Arial Narrow" w:cs="Arial Narrow"/>
          <w:sz w:val="24"/>
          <w:szCs w:val="24"/>
        </w:rPr>
        <w:t xml:space="preserve">autopercepción y manifestación personal del propio género. Es la identificación y el reconocimiento propio independientemente del sexo que represente el aparato sexual </w:t>
      </w:r>
      <w:proofErr w:type="gramStart"/>
      <w:r>
        <w:rPr>
          <w:rFonts w:ascii="Arial Narrow" w:eastAsia="Arial Narrow" w:hAnsi="Arial Narrow" w:cs="Arial Narrow"/>
          <w:sz w:val="24"/>
          <w:szCs w:val="24"/>
        </w:rPr>
        <w:t>reproductor asignado o el género asignado</w:t>
      </w:r>
      <w:proofErr w:type="gramEnd"/>
      <w:r>
        <w:rPr>
          <w:rFonts w:ascii="Arial Narrow" w:eastAsia="Arial Narrow" w:hAnsi="Arial Narrow" w:cs="Arial Narrow"/>
          <w:sz w:val="24"/>
          <w:szCs w:val="24"/>
        </w:rPr>
        <w:t xml:space="preserve"> al nacer. </w:t>
      </w:r>
    </w:p>
    <w:p w14:paraId="610FB24F"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Orientación sexual: </w:t>
      </w:r>
      <w:r>
        <w:rPr>
          <w:rFonts w:ascii="Arial Narrow" w:eastAsia="Arial Narrow" w:hAnsi="Arial Narrow" w:cs="Arial Narrow"/>
          <w:sz w:val="24"/>
          <w:szCs w:val="24"/>
        </w:rPr>
        <w:t xml:space="preserve">Cualquier deseo o atracción romántica, emocional, afectiva o sexual de una persona a otra. </w:t>
      </w:r>
    </w:p>
    <w:p w14:paraId="32386388" w14:textId="77777777" w:rsidR="00CC5BDD" w:rsidRDefault="00000000">
      <w:pPr>
        <w:widowControl w:val="0"/>
        <w:spacing w:before="276" w:line="240" w:lineRule="auto"/>
        <w:jc w:val="both"/>
        <w:rPr>
          <w:rFonts w:ascii="Arial Narrow" w:eastAsia="Arial Narrow" w:hAnsi="Arial Narrow" w:cs="Arial Narrow"/>
          <w:strike/>
          <w:sz w:val="24"/>
          <w:szCs w:val="24"/>
          <w:highlight w:val="yellow"/>
        </w:rPr>
      </w:pPr>
      <w:r>
        <w:rPr>
          <w:rFonts w:ascii="Arial Narrow" w:eastAsia="Arial Narrow" w:hAnsi="Arial Narrow" w:cs="Arial Narrow"/>
          <w:b/>
          <w:sz w:val="24"/>
          <w:szCs w:val="24"/>
        </w:rPr>
        <w:t xml:space="preserve">Patologización: </w:t>
      </w:r>
      <w:r>
        <w:rPr>
          <w:rFonts w:ascii="Arial Narrow" w:eastAsia="Arial Narrow" w:hAnsi="Arial Narrow" w:cs="Arial Narrow"/>
          <w:sz w:val="24"/>
          <w:szCs w:val="24"/>
        </w:rPr>
        <w:t>Proceso social que define como enfermedad la orientación sexual, identidad de género o expresión de género de una persona.</w:t>
      </w:r>
    </w:p>
    <w:p w14:paraId="384F2249"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Sexo: </w:t>
      </w:r>
      <w:r>
        <w:rPr>
          <w:rFonts w:ascii="Arial Narrow" w:eastAsia="Arial Narrow" w:hAnsi="Arial Narrow" w:cs="Arial Narrow"/>
          <w:sz w:val="24"/>
          <w:szCs w:val="24"/>
        </w:rPr>
        <w:t xml:space="preserve">Características anatómicas y biológicas que definen y diferencian a los seres humanos de acuerdo a sus </w:t>
      </w:r>
      <w:proofErr w:type="spellStart"/>
      <w:r>
        <w:rPr>
          <w:rFonts w:ascii="Arial Narrow" w:eastAsia="Arial Narrow" w:hAnsi="Arial Narrow" w:cs="Arial Narrow"/>
          <w:sz w:val="24"/>
          <w:szCs w:val="24"/>
        </w:rPr>
        <w:t>organos</w:t>
      </w:r>
      <w:proofErr w:type="spellEnd"/>
      <w:r>
        <w:rPr>
          <w:rFonts w:ascii="Arial Narrow" w:eastAsia="Arial Narrow" w:hAnsi="Arial Narrow" w:cs="Arial Narrow"/>
          <w:sz w:val="24"/>
          <w:szCs w:val="24"/>
        </w:rPr>
        <w:t xml:space="preserve"> reproductores. </w:t>
      </w:r>
    </w:p>
    <w:p w14:paraId="4EE3281B" w14:textId="77777777" w:rsidR="00CC5BDD" w:rsidRDefault="00000000">
      <w:pPr>
        <w:widowControl w:val="0"/>
        <w:spacing w:before="276"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ECOSIEG: </w:t>
      </w:r>
      <w:r>
        <w:rPr>
          <w:rFonts w:ascii="Arial Narrow" w:eastAsia="Arial Narrow" w:hAnsi="Arial Narrow" w:cs="Arial Narrow"/>
          <w:sz w:val="24"/>
          <w:szCs w:val="24"/>
        </w:rPr>
        <w:t xml:space="preserve">Forma inequívoca de denominar las prácticas tendientes a la transformación del deseo, la atracción, el comportamiento, la identidad sexual de una persona o la expresión de género que define para sí, condiciones que no son susceptibles de modificación ni intervención alguna. </w:t>
      </w:r>
    </w:p>
    <w:p w14:paraId="7B8668A0" w14:textId="77777777" w:rsidR="00CC5BDD" w:rsidRDefault="00CC5BDD">
      <w:pPr>
        <w:jc w:val="center"/>
        <w:rPr>
          <w:rFonts w:ascii="Arial Narrow" w:eastAsia="Arial Narrow" w:hAnsi="Arial Narrow" w:cs="Arial Narrow"/>
          <w:b/>
          <w:sz w:val="24"/>
          <w:szCs w:val="24"/>
        </w:rPr>
      </w:pPr>
    </w:p>
    <w:p w14:paraId="6E68B3A4"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TITULO II </w:t>
      </w:r>
    </w:p>
    <w:p w14:paraId="41C07B9C"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MEDIDAS PARA LA NO DISCRIMINACIÓN POR MOTIVOS DE ORIENTACIÓN SEXUAL, IDENTIDAD Y EXPRESIÓN DE GÉNERO DIVERSA EN LAS REDES DE SALUD MENTAL Y OTRAS INSTITUCIONES DONDE SE IMPARTAN ECOSIEG. </w:t>
      </w:r>
    </w:p>
    <w:p w14:paraId="1052F235" w14:textId="77777777" w:rsidR="00CC5BDD" w:rsidRDefault="00CC5BDD">
      <w:pPr>
        <w:jc w:val="both"/>
        <w:rPr>
          <w:rFonts w:ascii="Arial Narrow" w:eastAsia="Arial Narrow" w:hAnsi="Arial Narrow" w:cs="Arial Narrow"/>
          <w:b/>
          <w:sz w:val="24"/>
          <w:szCs w:val="24"/>
        </w:rPr>
      </w:pPr>
    </w:p>
    <w:p w14:paraId="59228942"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Prohibición de diagnóstico basado en orientación sexual, identidad o expresión de género. </w:t>
      </w:r>
      <w:r>
        <w:rPr>
          <w:rFonts w:ascii="Arial Narrow" w:eastAsia="Arial Narrow" w:hAnsi="Arial Narrow" w:cs="Arial Narrow"/>
          <w:sz w:val="24"/>
          <w:szCs w:val="24"/>
        </w:rPr>
        <w:t xml:space="preserve">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 </w:t>
      </w:r>
    </w:p>
    <w:p w14:paraId="1CF8970C" w14:textId="77777777" w:rsidR="00CC5BDD" w:rsidRDefault="00CC5BDD">
      <w:pPr>
        <w:jc w:val="both"/>
        <w:rPr>
          <w:rFonts w:ascii="Arial Narrow" w:eastAsia="Arial Narrow" w:hAnsi="Arial Narrow" w:cs="Arial Narrow"/>
          <w:sz w:val="24"/>
          <w:szCs w:val="24"/>
        </w:rPr>
      </w:pPr>
    </w:p>
    <w:p w14:paraId="07C77AAF"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cambiar o reprimir una orientación sexual o una identidad o expresión de género.</w:t>
      </w:r>
    </w:p>
    <w:p w14:paraId="0ABA3E74" w14:textId="77777777" w:rsidR="00CC5BDD" w:rsidRDefault="00CC5BDD">
      <w:pPr>
        <w:jc w:val="both"/>
        <w:rPr>
          <w:rFonts w:ascii="Arial Narrow" w:eastAsia="Arial Narrow" w:hAnsi="Arial Narrow" w:cs="Arial Narrow"/>
          <w:sz w:val="24"/>
          <w:szCs w:val="24"/>
        </w:rPr>
      </w:pPr>
    </w:p>
    <w:p w14:paraId="25FAA86E"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5. Prohibición de los ECOSIEG. </w:t>
      </w:r>
      <w:r>
        <w:rPr>
          <w:rFonts w:ascii="Arial Narrow" w:eastAsia="Arial Narrow" w:hAnsi="Arial Narrow" w:cs="Arial Narrow"/>
          <w:sz w:val="24"/>
          <w:szCs w:val="24"/>
        </w:rPr>
        <w:t xml:space="preserve">Queda prohibida en todo el territorio nacional la práctica de esfuerzos de cambio de orientación sexual, identidad y expresión de género promovida por personas naturales o jurídicas, así como profesionales y no profesionales del sector </w:t>
      </w:r>
      <w:proofErr w:type="gramStart"/>
      <w:r>
        <w:rPr>
          <w:rFonts w:ascii="Arial Narrow" w:eastAsia="Arial Narrow" w:hAnsi="Arial Narrow" w:cs="Arial Narrow"/>
          <w:sz w:val="24"/>
          <w:szCs w:val="24"/>
        </w:rPr>
        <w:t>salud,  en</w:t>
      </w:r>
      <w:proofErr w:type="gramEnd"/>
      <w:r>
        <w:rPr>
          <w:rFonts w:ascii="Arial Narrow" w:eastAsia="Arial Narrow" w:hAnsi="Arial Narrow" w:cs="Arial Narrow"/>
          <w:sz w:val="24"/>
          <w:szCs w:val="24"/>
        </w:rPr>
        <w:t xml:space="preserve"> menores de edad y mayores de edad. La práctica y el fomento de los ECOSIEG constituye una forma de discriminación contra la población LGBTI. </w:t>
      </w:r>
    </w:p>
    <w:p w14:paraId="1C1C57F5" w14:textId="77777777" w:rsidR="00CC5BDD" w:rsidRDefault="00CC5BDD">
      <w:pPr>
        <w:jc w:val="both"/>
        <w:rPr>
          <w:rFonts w:ascii="Arial Narrow" w:eastAsia="Arial Narrow" w:hAnsi="Arial Narrow" w:cs="Arial Narrow"/>
          <w:sz w:val="24"/>
          <w:szCs w:val="24"/>
        </w:rPr>
      </w:pPr>
    </w:p>
    <w:p w14:paraId="06671D3C"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 Adiciónese los numerales 17 y 18 al artículo 6 de la Ley 1616 de 2013. </w:t>
      </w:r>
      <w:r>
        <w:rPr>
          <w:rFonts w:ascii="Arial Narrow" w:eastAsia="Arial Narrow" w:hAnsi="Arial Narrow" w:cs="Arial Narrow"/>
          <w:sz w:val="24"/>
          <w:szCs w:val="24"/>
        </w:rPr>
        <w:t xml:space="preserve">El artículo 6 de la Ley 1616 de 2013 quedará así: </w:t>
      </w:r>
    </w:p>
    <w:p w14:paraId="3CD9485C" w14:textId="77777777" w:rsidR="00CC5BDD" w:rsidRDefault="00CC5BDD">
      <w:pPr>
        <w:jc w:val="both"/>
        <w:rPr>
          <w:rFonts w:ascii="Arial Narrow" w:eastAsia="Arial Narrow" w:hAnsi="Arial Narrow" w:cs="Arial Narrow"/>
          <w:sz w:val="24"/>
          <w:szCs w:val="24"/>
        </w:rPr>
      </w:pPr>
    </w:p>
    <w:p w14:paraId="76B9C8C9"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5058BF47" w14:textId="77777777" w:rsidR="00CC5BDD" w:rsidRDefault="00CC5BDD">
      <w:pPr>
        <w:ind w:left="720"/>
        <w:jc w:val="both"/>
        <w:rPr>
          <w:rFonts w:ascii="Arial Narrow" w:eastAsia="Arial Narrow" w:hAnsi="Arial Narrow" w:cs="Arial Narrow"/>
          <w:sz w:val="24"/>
          <w:szCs w:val="24"/>
        </w:rPr>
      </w:pPr>
    </w:p>
    <w:p w14:paraId="77AEF529"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Derecho a recibir atención integral e integrada y humanizada por el equipo humano y los servicios especializados en salud mental. </w:t>
      </w:r>
    </w:p>
    <w:p w14:paraId="0E001517" w14:textId="77777777" w:rsidR="00CC5BDD" w:rsidRDefault="00CC5BDD">
      <w:pPr>
        <w:ind w:left="720"/>
        <w:jc w:val="both"/>
        <w:rPr>
          <w:rFonts w:ascii="Arial Narrow" w:eastAsia="Arial Narrow" w:hAnsi="Arial Narrow" w:cs="Arial Narrow"/>
          <w:sz w:val="24"/>
          <w:szCs w:val="24"/>
        </w:rPr>
      </w:pPr>
    </w:p>
    <w:p w14:paraId="3435DC1D"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 </w:t>
      </w:r>
    </w:p>
    <w:p w14:paraId="114A0653" w14:textId="77777777" w:rsidR="00CC5BDD" w:rsidRDefault="00CC5BDD">
      <w:pPr>
        <w:ind w:left="720"/>
        <w:jc w:val="both"/>
        <w:rPr>
          <w:rFonts w:ascii="Arial Narrow" w:eastAsia="Arial Narrow" w:hAnsi="Arial Narrow" w:cs="Arial Narrow"/>
          <w:sz w:val="24"/>
          <w:szCs w:val="24"/>
        </w:rPr>
      </w:pPr>
    </w:p>
    <w:p w14:paraId="5FE1640F"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3. Derecho a recibir la atención especializada e interdisciplinaria y los tratamientos con la mejor evidencia científica de acuerdo con los avances científicos en salud mental. </w:t>
      </w:r>
    </w:p>
    <w:p w14:paraId="64C87F58" w14:textId="77777777" w:rsidR="00CC5BDD" w:rsidRDefault="00CC5BDD">
      <w:pPr>
        <w:ind w:left="720"/>
        <w:jc w:val="both"/>
        <w:rPr>
          <w:rFonts w:ascii="Arial Narrow" w:eastAsia="Arial Narrow" w:hAnsi="Arial Narrow" w:cs="Arial Narrow"/>
          <w:sz w:val="24"/>
          <w:szCs w:val="24"/>
        </w:rPr>
      </w:pPr>
    </w:p>
    <w:p w14:paraId="7ACA4262"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4. Derecho a que las intervenciones sean las menos restrictivas de las libertades individuales de acuerdo a la ley vigente. </w:t>
      </w:r>
    </w:p>
    <w:p w14:paraId="3C61ADA0" w14:textId="77777777" w:rsidR="00CC5BDD" w:rsidRDefault="00CC5BDD">
      <w:pPr>
        <w:ind w:left="720"/>
        <w:jc w:val="both"/>
        <w:rPr>
          <w:rFonts w:ascii="Arial Narrow" w:eastAsia="Arial Narrow" w:hAnsi="Arial Narrow" w:cs="Arial Narrow"/>
          <w:sz w:val="24"/>
          <w:szCs w:val="24"/>
        </w:rPr>
      </w:pPr>
    </w:p>
    <w:p w14:paraId="0A4EAF11"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5. Derecho a tener un proceso psicoterapéutico, con los tiempos y sesiones necesarias para asegurar un trato digno para obtener resultados en términos de cambio, bienestar y calidad de vida. </w:t>
      </w:r>
    </w:p>
    <w:p w14:paraId="079ECDC9" w14:textId="77777777" w:rsidR="00CC5BDD" w:rsidRDefault="00CC5BDD">
      <w:pPr>
        <w:ind w:left="720"/>
        <w:jc w:val="both"/>
        <w:rPr>
          <w:rFonts w:ascii="Arial Narrow" w:eastAsia="Arial Narrow" w:hAnsi="Arial Narrow" w:cs="Arial Narrow"/>
          <w:sz w:val="24"/>
          <w:szCs w:val="24"/>
        </w:rPr>
      </w:pPr>
    </w:p>
    <w:p w14:paraId="72494ABE"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6. Derecho a recibir psicoeducación a nivel individual y familiar sobre su trastorno mental y las formas de autocuidado. </w:t>
      </w:r>
    </w:p>
    <w:p w14:paraId="00C55A1B" w14:textId="77777777" w:rsidR="00CC5BDD" w:rsidRDefault="00CC5BDD">
      <w:pPr>
        <w:ind w:left="720"/>
        <w:jc w:val="both"/>
        <w:rPr>
          <w:rFonts w:ascii="Arial Narrow" w:eastAsia="Arial Narrow" w:hAnsi="Arial Narrow" w:cs="Arial Narrow"/>
          <w:sz w:val="24"/>
          <w:szCs w:val="24"/>
        </w:rPr>
      </w:pPr>
    </w:p>
    <w:p w14:paraId="2E1E73AF"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7. Derecho a recibir incapacidad laboral, en los términos y condiciones dispuestas por el profesional de la salud tratante, garantizando la recuperación en la salud de la persona. </w:t>
      </w:r>
    </w:p>
    <w:p w14:paraId="6148CB0D" w14:textId="77777777" w:rsidR="00CC5BDD" w:rsidRDefault="00CC5BDD">
      <w:pPr>
        <w:ind w:left="720"/>
        <w:jc w:val="both"/>
        <w:rPr>
          <w:rFonts w:ascii="Arial Narrow" w:eastAsia="Arial Narrow" w:hAnsi="Arial Narrow" w:cs="Arial Narrow"/>
          <w:sz w:val="24"/>
          <w:szCs w:val="24"/>
        </w:rPr>
      </w:pPr>
    </w:p>
    <w:p w14:paraId="40A2AC31"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8. Derecho a ejercer sus derechos civiles y en caso de incapacidad que su incapacidad para ejercer estos derechos sea determinada por un juez de conformidad con la Ley 1306 de 2009 y demás legislación vigente. </w:t>
      </w:r>
    </w:p>
    <w:p w14:paraId="3BB4BCB3" w14:textId="77777777" w:rsidR="00CC5BDD" w:rsidRDefault="00CC5BDD">
      <w:pPr>
        <w:ind w:left="720"/>
        <w:jc w:val="both"/>
        <w:rPr>
          <w:rFonts w:ascii="Arial Narrow" w:eastAsia="Arial Narrow" w:hAnsi="Arial Narrow" w:cs="Arial Narrow"/>
          <w:sz w:val="24"/>
          <w:szCs w:val="24"/>
        </w:rPr>
      </w:pPr>
    </w:p>
    <w:p w14:paraId="1FB80442"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9. Derecho a no ser discriminado o estigmatizado, por su condición de persona sujeto de atención en salud mental. </w:t>
      </w:r>
    </w:p>
    <w:p w14:paraId="71881AA9" w14:textId="77777777" w:rsidR="00CC5BDD" w:rsidRDefault="00CC5BDD">
      <w:pPr>
        <w:ind w:left="720"/>
        <w:jc w:val="both"/>
        <w:rPr>
          <w:rFonts w:ascii="Arial Narrow" w:eastAsia="Arial Narrow" w:hAnsi="Arial Narrow" w:cs="Arial Narrow"/>
          <w:sz w:val="24"/>
          <w:szCs w:val="24"/>
        </w:rPr>
      </w:pPr>
    </w:p>
    <w:p w14:paraId="0D73B89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10. Derecho a recibir o rechazar ayuda espiritual o religiosa de acuerdo con sus creencias. </w:t>
      </w:r>
    </w:p>
    <w:p w14:paraId="2B7C26D5" w14:textId="77777777" w:rsidR="00CC5BDD" w:rsidRDefault="00CC5BDD">
      <w:pPr>
        <w:ind w:left="720"/>
        <w:jc w:val="both"/>
        <w:rPr>
          <w:rFonts w:ascii="Arial Narrow" w:eastAsia="Arial Narrow" w:hAnsi="Arial Narrow" w:cs="Arial Narrow"/>
          <w:sz w:val="24"/>
          <w:szCs w:val="24"/>
        </w:rPr>
      </w:pPr>
    </w:p>
    <w:p w14:paraId="54EA8DE6"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11. Derecho a acceder y mantener el vínculo con el sistema educativo y el empleo, y no ser excluido por causa de su trastorno mental. </w:t>
      </w:r>
    </w:p>
    <w:p w14:paraId="45528633" w14:textId="77777777" w:rsidR="00CC5BDD" w:rsidRDefault="00CC5BDD">
      <w:pPr>
        <w:ind w:left="720"/>
        <w:jc w:val="both"/>
        <w:rPr>
          <w:rFonts w:ascii="Arial Narrow" w:eastAsia="Arial Narrow" w:hAnsi="Arial Narrow" w:cs="Arial Narrow"/>
          <w:sz w:val="24"/>
          <w:szCs w:val="24"/>
        </w:rPr>
      </w:pPr>
    </w:p>
    <w:p w14:paraId="09F31D9C"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12. Derecho a recibir el medicamento que requiera siempre con fines terapéuticos o diagnósticos. </w:t>
      </w:r>
    </w:p>
    <w:p w14:paraId="4EC39D4C" w14:textId="77777777" w:rsidR="00CC5BDD" w:rsidRDefault="00CC5BDD">
      <w:pPr>
        <w:ind w:left="720"/>
        <w:jc w:val="both"/>
        <w:rPr>
          <w:rFonts w:ascii="Arial Narrow" w:eastAsia="Arial Narrow" w:hAnsi="Arial Narrow" w:cs="Arial Narrow"/>
          <w:sz w:val="24"/>
          <w:szCs w:val="24"/>
        </w:rPr>
      </w:pPr>
    </w:p>
    <w:p w14:paraId="41764C38"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13. Derecho a exigir que sea tenido en cuenta el consentimiento informado para recibir el tratamiento. </w:t>
      </w:r>
    </w:p>
    <w:p w14:paraId="7256D17D" w14:textId="77777777" w:rsidR="00CC5BDD" w:rsidRDefault="00CC5BDD">
      <w:pPr>
        <w:ind w:left="720"/>
        <w:jc w:val="both"/>
        <w:rPr>
          <w:rFonts w:ascii="Arial Narrow" w:eastAsia="Arial Narrow" w:hAnsi="Arial Narrow" w:cs="Arial Narrow"/>
          <w:sz w:val="24"/>
          <w:szCs w:val="24"/>
        </w:rPr>
      </w:pPr>
    </w:p>
    <w:p w14:paraId="07AF9DC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14. Derecho a no ser sometido a ensayos clínicos ni tratamientos experimentales sin su consentimiento informado. </w:t>
      </w:r>
    </w:p>
    <w:p w14:paraId="7743939B" w14:textId="77777777" w:rsidR="00CC5BDD" w:rsidRDefault="00CC5BDD">
      <w:pPr>
        <w:ind w:left="720"/>
        <w:jc w:val="both"/>
        <w:rPr>
          <w:rFonts w:ascii="Arial Narrow" w:eastAsia="Arial Narrow" w:hAnsi="Arial Narrow" w:cs="Arial Narrow"/>
          <w:sz w:val="24"/>
          <w:szCs w:val="24"/>
        </w:rPr>
      </w:pPr>
    </w:p>
    <w:p w14:paraId="76829EBC"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15. Derecho a la confidencialidad de la información relacionada con su proceso de atención y respetar la intimidad de otros pacientes. </w:t>
      </w:r>
    </w:p>
    <w:p w14:paraId="0C109533" w14:textId="77777777" w:rsidR="00CC5BDD" w:rsidRDefault="00CC5BDD">
      <w:pPr>
        <w:ind w:left="720"/>
        <w:jc w:val="both"/>
        <w:rPr>
          <w:rFonts w:ascii="Arial Narrow" w:eastAsia="Arial Narrow" w:hAnsi="Arial Narrow" w:cs="Arial Narrow"/>
          <w:sz w:val="24"/>
          <w:szCs w:val="24"/>
        </w:rPr>
      </w:pPr>
    </w:p>
    <w:p w14:paraId="73388597"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16. Derecho al Reintegro a su familia y comunidad.</w:t>
      </w:r>
    </w:p>
    <w:p w14:paraId="5A69D74F" w14:textId="77777777" w:rsidR="00CC5BDD" w:rsidRDefault="00CC5BDD">
      <w:pPr>
        <w:ind w:left="720"/>
        <w:jc w:val="both"/>
        <w:rPr>
          <w:rFonts w:ascii="Arial Narrow" w:eastAsia="Arial Narrow" w:hAnsi="Arial Narrow" w:cs="Arial Narrow"/>
          <w:sz w:val="24"/>
          <w:szCs w:val="24"/>
        </w:rPr>
      </w:pPr>
    </w:p>
    <w:p w14:paraId="2975C971" w14:textId="77777777" w:rsidR="00CC5BDD" w:rsidRDefault="00000000">
      <w:pPr>
        <w:ind w:left="720"/>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17. Derecho a no ser sujeto de tratos crueles, inhumanos y degradantes que tengan como finalidad la alineación o el cambio de su orientación sexual, identidad o expresión de género. </w:t>
      </w:r>
    </w:p>
    <w:p w14:paraId="26BDC26D" w14:textId="77777777" w:rsidR="00CC5BDD" w:rsidRDefault="00CC5BDD">
      <w:pPr>
        <w:ind w:left="720"/>
        <w:jc w:val="both"/>
        <w:rPr>
          <w:rFonts w:ascii="Arial Narrow" w:eastAsia="Arial Narrow" w:hAnsi="Arial Narrow" w:cs="Arial Narrow"/>
          <w:b/>
          <w:sz w:val="24"/>
          <w:szCs w:val="24"/>
          <w:u w:val="single"/>
        </w:rPr>
      </w:pPr>
    </w:p>
    <w:p w14:paraId="58D8A949" w14:textId="77777777" w:rsidR="00CC5BDD" w:rsidRDefault="00000000">
      <w:pPr>
        <w:ind w:left="720"/>
        <w:jc w:val="both"/>
        <w:rPr>
          <w:rFonts w:ascii="Arial Narrow" w:eastAsia="Arial Narrow" w:hAnsi="Arial Narrow" w:cs="Arial Narrow"/>
          <w:b/>
          <w:color w:val="FF0000"/>
          <w:sz w:val="24"/>
          <w:szCs w:val="24"/>
          <w:u w:val="single"/>
        </w:rPr>
      </w:pPr>
      <w:r>
        <w:rPr>
          <w:rFonts w:ascii="Arial Narrow" w:eastAsia="Arial Narrow" w:hAnsi="Arial Narrow" w:cs="Arial Narrow"/>
          <w:b/>
          <w:sz w:val="24"/>
          <w:szCs w:val="24"/>
          <w:u w:val="single"/>
        </w:rPr>
        <w:t>18. Derecho a recibir información y acciones afirmativas relativas a la orientación sexual, identidad o expresión de género, que estén reconocidas y avaladas por las autoridades sanitarias internacionales y que respeten la dignidad humana y no atenten contra sus derechos sexuales y reproductivos.</w:t>
      </w:r>
      <w:r>
        <w:rPr>
          <w:rFonts w:ascii="Arial Narrow" w:eastAsia="Arial Narrow" w:hAnsi="Arial Narrow" w:cs="Arial Narrow"/>
          <w:b/>
          <w:color w:val="FF0000"/>
          <w:sz w:val="24"/>
          <w:szCs w:val="24"/>
          <w:u w:val="single"/>
        </w:rPr>
        <w:t xml:space="preserve"> </w:t>
      </w:r>
    </w:p>
    <w:p w14:paraId="0AE33F9F" w14:textId="77777777" w:rsidR="00CC5BDD" w:rsidRDefault="00CC5BDD">
      <w:pPr>
        <w:ind w:left="720"/>
        <w:jc w:val="both"/>
        <w:rPr>
          <w:rFonts w:ascii="Arial Narrow" w:eastAsia="Arial Narrow" w:hAnsi="Arial Narrow" w:cs="Arial Narrow"/>
          <w:b/>
          <w:color w:val="FF0000"/>
          <w:sz w:val="24"/>
          <w:szCs w:val="24"/>
          <w:u w:val="single"/>
        </w:rPr>
      </w:pPr>
    </w:p>
    <w:p w14:paraId="4B0C7208" w14:textId="77777777" w:rsidR="00CC5BDD" w:rsidRDefault="00000000">
      <w:pPr>
        <w:ind w:left="720"/>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19. Derecho a no ser víctimas de ningún tipo de violencia cómo psicológica, económica, sexual, física e institucional por razones relacionadas con la orientación sexual, la identidad o la expresión de género.</w:t>
      </w:r>
    </w:p>
    <w:p w14:paraId="377F6A62" w14:textId="77777777" w:rsidR="00CC5BDD" w:rsidRDefault="00CC5BDD">
      <w:pPr>
        <w:jc w:val="both"/>
        <w:rPr>
          <w:rFonts w:ascii="Arial Narrow" w:eastAsia="Arial Narrow" w:hAnsi="Arial Narrow" w:cs="Arial Narrow"/>
          <w:sz w:val="24"/>
          <w:szCs w:val="24"/>
          <w:highlight w:val="yellow"/>
          <w:u w:val="single"/>
        </w:rPr>
      </w:pPr>
    </w:p>
    <w:p w14:paraId="2E210466"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p>
    <w:p w14:paraId="43B28BE1" w14:textId="77777777" w:rsidR="00CC5BDD" w:rsidRDefault="00CC5BDD">
      <w:pPr>
        <w:jc w:val="both"/>
        <w:rPr>
          <w:rFonts w:ascii="Arial Narrow" w:eastAsia="Arial Narrow" w:hAnsi="Arial Narrow" w:cs="Arial Narrow"/>
          <w:sz w:val="24"/>
          <w:szCs w:val="24"/>
        </w:rPr>
      </w:pPr>
    </w:p>
    <w:p w14:paraId="33AD13E0"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7. Adiciónese el parágrafo 2 al artículo 13 de la Ley 1616 de 2013. </w:t>
      </w:r>
      <w:r>
        <w:rPr>
          <w:rFonts w:ascii="Arial Narrow" w:eastAsia="Arial Narrow" w:hAnsi="Arial Narrow" w:cs="Arial Narrow"/>
          <w:sz w:val="24"/>
          <w:szCs w:val="24"/>
        </w:rPr>
        <w:t xml:space="preserve">El artículo 13 de la Ley 1616 de 2013 quedará así: </w:t>
      </w:r>
    </w:p>
    <w:p w14:paraId="11E049C0" w14:textId="77777777" w:rsidR="00CC5BDD" w:rsidRDefault="00CC5BDD">
      <w:pPr>
        <w:jc w:val="both"/>
        <w:rPr>
          <w:rFonts w:ascii="Arial Narrow" w:eastAsia="Arial Narrow" w:hAnsi="Arial Narrow" w:cs="Arial Narrow"/>
          <w:sz w:val="24"/>
          <w:szCs w:val="24"/>
        </w:rPr>
      </w:pPr>
    </w:p>
    <w:p w14:paraId="647A0844"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 </w:t>
      </w:r>
    </w:p>
    <w:p w14:paraId="389BF76A" w14:textId="77777777" w:rsidR="00CC5BDD" w:rsidRDefault="00CC5BDD">
      <w:pPr>
        <w:ind w:left="720"/>
        <w:jc w:val="both"/>
        <w:rPr>
          <w:rFonts w:ascii="Arial Narrow" w:eastAsia="Arial Narrow" w:hAnsi="Arial Narrow" w:cs="Arial Narrow"/>
          <w:sz w:val="24"/>
          <w:szCs w:val="24"/>
        </w:rPr>
      </w:pPr>
    </w:p>
    <w:p w14:paraId="526F67C3"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Atención Ambulatoria. </w:t>
      </w:r>
    </w:p>
    <w:p w14:paraId="16EC7DE8" w14:textId="77777777" w:rsidR="00CC5BDD" w:rsidRDefault="00CC5BDD">
      <w:pPr>
        <w:ind w:left="720"/>
        <w:jc w:val="both"/>
        <w:rPr>
          <w:rFonts w:ascii="Arial Narrow" w:eastAsia="Arial Narrow" w:hAnsi="Arial Narrow" w:cs="Arial Narrow"/>
          <w:sz w:val="24"/>
          <w:szCs w:val="24"/>
        </w:rPr>
      </w:pPr>
    </w:p>
    <w:p w14:paraId="09A6ED8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Atención Domiciliaria. </w:t>
      </w:r>
    </w:p>
    <w:p w14:paraId="63F1EE29" w14:textId="77777777" w:rsidR="00CC5BDD" w:rsidRDefault="00CC5BDD">
      <w:pPr>
        <w:ind w:left="720"/>
        <w:jc w:val="both"/>
        <w:rPr>
          <w:rFonts w:ascii="Arial Narrow" w:eastAsia="Arial Narrow" w:hAnsi="Arial Narrow" w:cs="Arial Narrow"/>
          <w:sz w:val="24"/>
          <w:szCs w:val="24"/>
        </w:rPr>
      </w:pPr>
    </w:p>
    <w:p w14:paraId="534A909B"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3. Atención Prehospitalaria. </w:t>
      </w:r>
    </w:p>
    <w:p w14:paraId="6E9A71DB" w14:textId="77777777" w:rsidR="00CC5BDD" w:rsidRDefault="00CC5BDD">
      <w:pPr>
        <w:ind w:left="720"/>
        <w:jc w:val="both"/>
        <w:rPr>
          <w:rFonts w:ascii="Arial Narrow" w:eastAsia="Arial Narrow" w:hAnsi="Arial Narrow" w:cs="Arial Narrow"/>
          <w:sz w:val="24"/>
          <w:szCs w:val="24"/>
        </w:rPr>
      </w:pPr>
    </w:p>
    <w:p w14:paraId="360EDFD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4. Centro de Atención en Drogadicción y Servicios de Farmacodependencia. </w:t>
      </w:r>
    </w:p>
    <w:p w14:paraId="73ACEEC6" w14:textId="77777777" w:rsidR="00CC5BDD" w:rsidRDefault="00CC5BDD">
      <w:pPr>
        <w:ind w:left="720"/>
        <w:jc w:val="both"/>
        <w:rPr>
          <w:rFonts w:ascii="Arial Narrow" w:eastAsia="Arial Narrow" w:hAnsi="Arial Narrow" w:cs="Arial Narrow"/>
          <w:sz w:val="24"/>
          <w:szCs w:val="24"/>
        </w:rPr>
      </w:pPr>
    </w:p>
    <w:p w14:paraId="4C511552"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5. Centro de Salud Mental Comunitario. </w:t>
      </w:r>
    </w:p>
    <w:p w14:paraId="5DABBA23" w14:textId="77777777" w:rsidR="00CC5BDD" w:rsidRDefault="00CC5BDD">
      <w:pPr>
        <w:ind w:left="720"/>
        <w:jc w:val="both"/>
        <w:rPr>
          <w:rFonts w:ascii="Arial Narrow" w:eastAsia="Arial Narrow" w:hAnsi="Arial Narrow" w:cs="Arial Narrow"/>
          <w:sz w:val="24"/>
          <w:szCs w:val="24"/>
        </w:rPr>
      </w:pPr>
    </w:p>
    <w:p w14:paraId="2010B845"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6. Grupos de Apoyo de Pacientes y Familias. </w:t>
      </w:r>
    </w:p>
    <w:p w14:paraId="3C79E397" w14:textId="77777777" w:rsidR="00CC5BDD" w:rsidRDefault="00CC5BDD">
      <w:pPr>
        <w:ind w:left="720"/>
        <w:jc w:val="both"/>
        <w:rPr>
          <w:rFonts w:ascii="Arial Narrow" w:eastAsia="Arial Narrow" w:hAnsi="Arial Narrow" w:cs="Arial Narrow"/>
          <w:sz w:val="24"/>
          <w:szCs w:val="24"/>
        </w:rPr>
      </w:pPr>
    </w:p>
    <w:p w14:paraId="2B1CFE5C"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7. Hospital de Día para Adultos.</w:t>
      </w:r>
    </w:p>
    <w:p w14:paraId="1256D57C" w14:textId="77777777" w:rsidR="00CC5BDD" w:rsidRDefault="00CC5BDD">
      <w:pPr>
        <w:ind w:left="720"/>
        <w:jc w:val="both"/>
        <w:rPr>
          <w:rFonts w:ascii="Arial Narrow" w:eastAsia="Arial Narrow" w:hAnsi="Arial Narrow" w:cs="Arial Narrow"/>
          <w:sz w:val="24"/>
          <w:szCs w:val="24"/>
        </w:rPr>
      </w:pPr>
    </w:p>
    <w:p w14:paraId="2848A328"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8. Hospital de Día para Niñas, Niños y Adolescentes. </w:t>
      </w:r>
    </w:p>
    <w:p w14:paraId="05A7F659" w14:textId="77777777" w:rsidR="00CC5BDD" w:rsidRDefault="00CC5BDD">
      <w:pPr>
        <w:ind w:left="720"/>
        <w:jc w:val="both"/>
        <w:rPr>
          <w:rFonts w:ascii="Arial Narrow" w:eastAsia="Arial Narrow" w:hAnsi="Arial Narrow" w:cs="Arial Narrow"/>
          <w:sz w:val="24"/>
          <w:szCs w:val="24"/>
        </w:rPr>
      </w:pPr>
    </w:p>
    <w:p w14:paraId="17A26C62"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9. Rehabilitación Basada en Comunidad.</w:t>
      </w:r>
    </w:p>
    <w:p w14:paraId="4D2499FB" w14:textId="77777777" w:rsidR="00CC5BDD" w:rsidRDefault="00CC5BDD">
      <w:pPr>
        <w:ind w:left="720"/>
        <w:jc w:val="both"/>
        <w:rPr>
          <w:rFonts w:ascii="Arial Narrow" w:eastAsia="Arial Narrow" w:hAnsi="Arial Narrow" w:cs="Arial Narrow"/>
          <w:sz w:val="24"/>
          <w:szCs w:val="24"/>
        </w:rPr>
      </w:pPr>
    </w:p>
    <w:p w14:paraId="10341CBC"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10. Unidades de Salud Mental. </w:t>
      </w:r>
    </w:p>
    <w:p w14:paraId="3A3F1703" w14:textId="77777777" w:rsidR="00CC5BDD" w:rsidRDefault="00CC5BDD">
      <w:pPr>
        <w:ind w:left="720"/>
        <w:jc w:val="both"/>
        <w:rPr>
          <w:rFonts w:ascii="Arial Narrow" w:eastAsia="Arial Narrow" w:hAnsi="Arial Narrow" w:cs="Arial Narrow"/>
          <w:sz w:val="24"/>
          <w:szCs w:val="24"/>
        </w:rPr>
      </w:pPr>
    </w:p>
    <w:p w14:paraId="2162A934"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11. Urgencia de Psiquiatría.</w:t>
      </w:r>
    </w:p>
    <w:p w14:paraId="610204EF" w14:textId="77777777" w:rsidR="00CC5BDD" w:rsidRDefault="00CC5BDD">
      <w:pPr>
        <w:widowControl w:val="0"/>
        <w:spacing w:line="240" w:lineRule="auto"/>
        <w:ind w:left="2767"/>
        <w:rPr>
          <w:rFonts w:ascii="Arial Narrow" w:eastAsia="Arial Narrow" w:hAnsi="Arial Narrow" w:cs="Arial Narrow"/>
          <w:sz w:val="24"/>
          <w:szCs w:val="24"/>
        </w:rPr>
      </w:pPr>
    </w:p>
    <w:p w14:paraId="258424E2" w14:textId="77777777" w:rsidR="00CC5BDD" w:rsidRDefault="00000000">
      <w:pPr>
        <w:widowControl w:val="0"/>
        <w:spacing w:line="263" w:lineRule="auto"/>
        <w:ind w:left="751" w:right="474" w:firstLine="8"/>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PRIMERO. </w:t>
      </w:r>
      <w:r>
        <w:rPr>
          <w:rFonts w:ascii="Arial Narrow" w:eastAsia="Arial Narrow" w:hAnsi="Arial Narrow" w:cs="Arial Narrow"/>
          <w:sz w:val="24"/>
          <w:szCs w:val="24"/>
        </w:rPr>
        <w:t xml:space="preserve">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 </w:t>
      </w:r>
    </w:p>
    <w:p w14:paraId="5987C6B2" w14:textId="77777777" w:rsidR="00CC5BDD" w:rsidRDefault="00000000">
      <w:pPr>
        <w:widowControl w:val="0"/>
        <w:spacing w:before="292" w:line="263" w:lineRule="auto"/>
        <w:ind w:left="751" w:right="468" w:firstLine="8"/>
        <w:jc w:val="both"/>
        <w:rPr>
          <w:rFonts w:ascii="Arial Narrow" w:eastAsia="Arial Narrow" w:hAnsi="Arial Narrow" w:cs="Arial Narrow"/>
          <w:b/>
          <w:sz w:val="24"/>
          <w:szCs w:val="24"/>
        </w:rPr>
      </w:pPr>
      <w:r>
        <w:rPr>
          <w:rFonts w:ascii="Arial Narrow" w:eastAsia="Arial Narrow" w:hAnsi="Arial Narrow" w:cs="Arial Narrow"/>
          <w:b/>
          <w:sz w:val="24"/>
          <w:szCs w:val="24"/>
          <w:u w:val="single"/>
        </w:rPr>
        <w:t xml:space="preserve">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el cambio de orientación sexual, identidad y expresión de género. </w:t>
      </w:r>
    </w:p>
    <w:p w14:paraId="48DE7746" w14:textId="77777777" w:rsidR="00CC5BDD" w:rsidRDefault="00CC5BDD">
      <w:pPr>
        <w:jc w:val="both"/>
        <w:rPr>
          <w:rFonts w:ascii="Arial Narrow" w:eastAsia="Arial Narrow" w:hAnsi="Arial Narrow" w:cs="Arial Narrow"/>
          <w:sz w:val="24"/>
          <w:szCs w:val="24"/>
        </w:rPr>
      </w:pPr>
    </w:p>
    <w:p w14:paraId="1992A5C1" w14:textId="77777777" w:rsidR="00CC5BDD" w:rsidRDefault="00000000">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8. Adiciónese dos parágrafos al artículo 35 de la Ley 1616 de 2013. </w:t>
      </w:r>
    </w:p>
    <w:p w14:paraId="29ED911D" w14:textId="77777777" w:rsidR="00CC5BDD" w:rsidRDefault="00000000">
      <w:pPr>
        <w:widowControl w:val="0"/>
        <w:spacing w:before="276" w:line="263" w:lineRule="auto"/>
        <w:ind w:left="745" w:right="477"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35. SISTEMA DE VIGILANCIA EPIDEMIOLÓGICA. </w:t>
      </w:r>
      <w:r>
        <w:rPr>
          <w:rFonts w:ascii="Arial Narrow" w:eastAsia="Arial Narrow" w:hAnsi="Arial Narrow" w:cs="Arial Narrow"/>
          <w:sz w:val="24"/>
          <w:szCs w:val="24"/>
        </w:rPr>
        <w:t>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w:t>
      </w:r>
      <w:proofErr w:type="spellStart"/>
      <w:r>
        <w:rPr>
          <w:rFonts w:ascii="Arial Narrow" w:eastAsia="Arial Narrow" w:hAnsi="Arial Narrow" w:cs="Arial Narrow"/>
          <w:sz w:val="24"/>
          <w:szCs w:val="24"/>
        </w:rPr>
        <w:t>Sivim</w:t>
      </w:r>
      <w:proofErr w:type="spellEnd"/>
      <w:r>
        <w:rPr>
          <w:rFonts w:ascii="Arial Narrow" w:eastAsia="Arial Narrow" w:hAnsi="Arial Narrow" w:cs="Arial Narrow"/>
          <w:sz w:val="24"/>
          <w:szCs w:val="24"/>
        </w:rPr>
        <w:t>), sistema de vigilancia epidemiológica en consumo de sustancias psicoactivas (Vespa), sistema de vigilancia de lesiones de causa externa (</w:t>
      </w:r>
      <w:proofErr w:type="spellStart"/>
      <w:r>
        <w:rPr>
          <w:rFonts w:ascii="Arial Narrow" w:eastAsia="Arial Narrow" w:hAnsi="Arial Narrow" w:cs="Arial Narrow"/>
          <w:sz w:val="24"/>
          <w:szCs w:val="24"/>
        </w:rPr>
        <w:t>Sisvelse</w:t>
      </w:r>
      <w:proofErr w:type="spellEnd"/>
      <w:r>
        <w:rPr>
          <w:rFonts w:ascii="Arial Narrow" w:eastAsia="Arial Narrow" w:hAnsi="Arial Narrow" w:cs="Arial Narrow"/>
          <w:sz w:val="24"/>
          <w:szCs w:val="24"/>
        </w:rPr>
        <w:t>), y el Registro Individual de la Prestación de Servicios de Salud.</w:t>
      </w:r>
    </w:p>
    <w:p w14:paraId="19E4E1A0" w14:textId="77777777" w:rsidR="00CC5BDD" w:rsidRDefault="00000000">
      <w:pPr>
        <w:widowControl w:val="0"/>
        <w:spacing w:before="276" w:line="263" w:lineRule="auto"/>
        <w:ind w:left="745" w:right="477" w:hanging="2"/>
        <w:jc w:val="both"/>
        <w:rPr>
          <w:rFonts w:ascii="Arial Narrow" w:eastAsia="Arial Narrow" w:hAnsi="Arial Narrow" w:cs="Arial Narrow"/>
          <w:sz w:val="24"/>
          <w:szCs w:val="24"/>
          <w:u w:val="single"/>
        </w:rPr>
      </w:pPr>
      <w:r>
        <w:rPr>
          <w:rFonts w:ascii="Arial Narrow" w:eastAsia="Arial Narrow" w:hAnsi="Arial Narrow" w:cs="Arial Narrow"/>
          <w:b/>
          <w:sz w:val="24"/>
          <w:szCs w:val="24"/>
          <w:u w:val="single"/>
        </w:rPr>
        <w:t>PARÁGRAFO PRIMERO.</w:t>
      </w:r>
      <w:r>
        <w:rPr>
          <w:rFonts w:ascii="Arial Narrow" w:eastAsia="Arial Narrow" w:hAnsi="Arial Narrow" w:cs="Arial Narrow"/>
          <w:sz w:val="24"/>
          <w:szCs w:val="24"/>
          <w:u w:val="single"/>
        </w:rPr>
        <w:t xml:space="preserve"> Quedan excluidos de los eventos considerados como de interés en salud mental las orientaciones sexuales no heterosexuales y las identidades y expresiones de género diversas. </w:t>
      </w:r>
    </w:p>
    <w:p w14:paraId="7CB073AA" w14:textId="77777777" w:rsidR="00CC5BDD" w:rsidRDefault="00000000">
      <w:pPr>
        <w:widowControl w:val="0"/>
        <w:spacing w:before="252" w:line="263" w:lineRule="auto"/>
        <w:ind w:left="757" w:right="469" w:firstLine="2"/>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PARÁGRAFO SEGUNDO.</w:t>
      </w:r>
      <w:r>
        <w:rPr>
          <w:rFonts w:ascii="Arial Narrow" w:eastAsia="Arial Narrow" w:hAnsi="Arial Narrow" w:cs="Arial Narrow"/>
          <w:sz w:val="24"/>
          <w:szCs w:val="24"/>
          <w:u w:val="single"/>
        </w:rPr>
        <w:t xml:space="preserve"> El sistema de vigilancia epidemiológica deberá desarrollar un mecanismo de investigación y seguimiento en las redes integrales de salud mental y en otras entidades que tengan dichas prácticas, que permita detectar y prevenir la práctica de ECOSIEG como una práctica de violencia contra la población LGBTI.</w:t>
      </w:r>
    </w:p>
    <w:p w14:paraId="185237F9" w14:textId="77777777" w:rsidR="00CC5BDD" w:rsidRDefault="00CC5BDD">
      <w:pPr>
        <w:jc w:val="both"/>
        <w:rPr>
          <w:rFonts w:ascii="Arial Narrow" w:eastAsia="Arial Narrow" w:hAnsi="Arial Narrow" w:cs="Arial Narrow"/>
          <w:b/>
          <w:sz w:val="24"/>
          <w:szCs w:val="24"/>
        </w:rPr>
      </w:pPr>
    </w:p>
    <w:p w14:paraId="2539FEA3"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9. Atención psicosocial diferenciada. </w:t>
      </w:r>
      <w:r>
        <w:rPr>
          <w:rFonts w:ascii="Arial Narrow" w:eastAsia="Arial Narrow" w:hAnsi="Arial Narrow" w:cs="Arial Narrow"/>
          <w:sz w:val="24"/>
          <w:szCs w:val="24"/>
        </w:rPr>
        <w:t>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 y personas no conformes con el género reconocidos por la Organización Mundial de la Salud y la Asociación Psiquiátrica Americana y siempre desde la perspectiva de la garantía de su dignidad humana y sus derechos sexuales y reproductivos.</w:t>
      </w:r>
    </w:p>
    <w:p w14:paraId="3CEA6904" w14:textId="77777777" w:rsidR="00CC5BDD" w:rsidRDefault="00CC5BDD">
      <w:pPr>
        <w:jc w:val="both"/>
        <w:rPr>
          <w:rFonts w:ascii="Arial Narrow" w:eastAsia="Arial Narrow" w:hAnsi="Arial Narrow" w:cs="Arial Narrow"/>
          <w:sz w:val="24"/>
          <w:szCs w:val="24"/>
          <w:highlight w:val="yellow"/>
        </w:rPr>
      </w:pPr>
    </w:p>
    <w:p w14:paraId="07CB81F8"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PARÁGRAFO</w:t>
      </w:r>
      <w:r>
        <w:rPr>
          <w:rFonts w:ascii="Arial Narrow" w:eastAsia="Arial Narrow" w:hAnsi="Arial Narrow" w:cs="Arial Narrow"/>
          <w:sz w:val="24"/>
          <w:szCs w:val="24"/>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 </w:t>
      </w:r>
    </w:p>
    <w:p w14:paraId="2545AD76" w14:textId="77777777" w:rsidR="00CC5BDD" w:rsidRDefault="00CC5BDD">
      <w:pPr>
        <w:jc w:val="both"/>
        <w:rPr>
          <w:rFonts w:ascii="Arial Narrow" w:eastAsia="Arial Narrow" w:hAnsi="Arial Narrow" w:cs="Arial Narrow"/>
          <w:sz w:val="24"/>
          <w:szCs w:val="24"/>
        </w:rPr>
      </w:pPr>
    </w:p>
    <w:p w14:paraId="7D1C3B57"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10. Formación profesional al talento humano en salud. </w:t>
      </w:r>
      <w:r>
        <w:rPr>
          <w:rFonts w:ascii="Arial Narrow" w:eastAsia="Arial Narrow" w:hAnsi="Arial Narrow" w:cs="Arial Narrow"/>
          <w:sz w:val="24"/>
          <w:szCs w:val="24"/>
        </w:rPr>
        <w:t>Las Instituciones de Educación Superior que contemplen en sus programas académicos la formación de talento humano en el sector de la salud deberán, en el marco de su autonomía universitaria, garantizar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p w14:paraId="3F1D70A4" w14:textId="77777777" w:rsidR="00CC5BDD" w:rsidRDefault="00CC5BDD">
      <w:pPr>
        <w:jc w:val="both"/>
        <w:rPr>
          <w:rFonts w:ascii="Arial Narrow" w:eastAsia="Arial Narrow" w:hAnsi="Arial Narrow" w:cs="Arial Narrow"/>
          <w:sz w:val="24"/>
          <w:szCs w:val="24"/>
        </w:rPr>
      </w:pPr>
    </w:p>
    <w:p w14:paraId="67771D1E"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11. Prohibición de uso de fondos públicos para la promoción y práctica de los ECOSIEG. </w:t>
      </w:r>
      <w:r>
        <w:rPr>
          <w:rFonts w:ascii="Arial Narrow" w:eastAsia="Arial Narrow" w:hAnsi="Arial Narrow" w:cs="Arial Narrow"/>
          <w:sz w:val="24"/>
          <w:szCs w:val="24"/>
        </w:rPr>
        <w:t xml:space="preserve">Queda prohibida la 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 </w:t>
      </w:r>
    </w:p>
    <w:p w14:paraId="5FA4E40F" w14:textId="77777777" w:rsidR="00CC5BDD" w:rsidRDefault="00CC5BDD">
      <w:pPr>
        <w:jc w:val="both"/>
        <w:rPr>
          <w:rFonts w:ascii="Arial Narrow" w:eastAsia="Arial Narrow" w:hAnsi="Arial Narrow" w:cs="Arial Narrow"/>
          <w:sz w:val="24"/>
          <w:szCs w:val="24"/>
        </w:rPr>
      </w:pPr>
    </w:p>
    <w:p w14:paraId="53CDFD52"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12. Prohibición de publicidad y eventos de asistencia masiva. </w:t>
      </w:r>
      <w:r>
        <w:rPr>
          <w:rFonts w:ascii="Arial Narrow" w:eastAsia="Arial Narrow" w:hAnsi="Arial Narrow" w:cs="Arial Narrow"/>
          <w:sz w:val="24"/>
          <w:szCs w:val="24"/>
        </w:rPr>
        <w:t xml:space="preserve">Ninguna persona natural o jurídica podrá hacer uso de los medios de comunicación para fomentar, publicitar o recomendar esfuerzos para cambiar la orientación sexual, la identidad o expresión de género de nadie. Tampoco podrán realizarse eventos de difusión pública y masiva que tengan como finalidad la persuasión a someterse a esfuerzos para cambiar la orientación sexual, la identidad o expresión de género. </w:t>
      </w:r>
    </w:p>
    <w:p w14:paraId="207C25E2" w14:textId="77777777" w:rsidR="00CC5BDD" w:rsidRDefault="00CC5BDD">
      <w:pPr>
        <w:jc w:val="both"/>
        <w:rPr>
          <w:rFonts w:ascii="Arial Narrow" w:eastAsia="Arial Narrow" w:hAnsi="Arial Narrow" w:cs="Arial Narrow"/>
          <w:b/>
          <w:sz w:val="24"/>
          <w:szCs w:val="24"/>
        </w:rPr>
      </w:pPr>
    </w:p>
    <w:p w14:paraId="55C60294"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w:t>
      </w:r>
      <w:r>
        <w:rPr>
          <w:rFonts w:ascii="Arial Narrow" w:eastAsia="Arial Narrow" w:hAnsi="Arial Narrow" w:cs="Arial Narrow"/>
          <w:sz w:val="24"/>
          <w:szCs w:val="24"/>
        </w:rPr>
        <w:t xml:space="preserve">La Superintendencia de Industria y Comercio podrá sancionar a quien publicite y promocione un ECOSIEG conforme la normatividad vigente para la publicidad engañosa. </w:t>
      </w:r>
    </w:p>
    <w:p w14:paraId="285DB970" w14:textId="77777777" w:rsidR="00CC5BDD" w:rsidRDefault="00CC5BDD">
      <w:pPr>
        <w:rPr>
          <w:rFonts w:ascii="Arial Narrow" w:eastAsia="Arial Narrow" w:hAnsi="Arial Narrow" w:cs="Arial Narrow"/>
          <w:b/>
          <w:sz w:val="24"/>
          <w:szCs w:val="24"/>
        </w:rPr>
      </w:pPr>
    </w:p>
    <w:p w14:paraId="2E9FD714"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TITULO III</w:t>
      </w:r>
    </w:p>
    <w:p w14:paraId="450AE87E"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VIGILANCIA Y SANCIONES. </w:t>
      </w:r>
    </w:p>
    <w:p w14:paraId="4E85F586" w14:textId="77777777" w:rsidR="00CC5BDD" w:rsidRDefault="00CC5BDD">
      <w:pPr>
        <w:jc w:val="center"/>
        <w:rPr>
          <w:rFonts w:ascii="Arial Narrow" w:eastAsia="Arial Narrow" w:hAnsi="Arial Narrow" w:cs="Arial Narrow"/>
          <w:b/>
          <w:sz w:val="24"/>
          <w:szCs w:val="24"/>
        </w:rPr>
      </w:pPr>
    </w:p>
    <w:p w14:paraId="04290806"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Artículo 13. Competencia</w:t>
      </w:r>
      <w:r>
        <w:rPr>
          <w:rFonts w:ascii="Arial Narrow" w:eastAsia="Arial Narrow" w:hAnsi="Arial Narrow" w:cs="Arial Narrow"/>
          <w:sz w:val="24"/>
          <w:szCs w:val="24"/>
        </w:rPr>
        <w:t xml:space="preserve">. El Ministerio de Salud y Protección Social y el Ministerio de Educación en coordinación con la Superintendencia de Salud definirán los mecanismos administrativos para la investigación, vigilancia y sanción de las personas naturales o jurídicas que contravengan esta Ley sin perjuicio de la acción penal a la que haya lugar. </w:t>
      </w:r>
    </w:p>
    <w:p w14:paraId="352588B3" w14:textId="77777777" w:rsidR="00CC5BDD" w:rsidRDefault="00CC5BDD">
      <w:pPr>
        <w:jc w:val="both"/>
        <w:rPr>
          <w:rFonts w:ascii="Arial Narrow" w:eastAsia="Arial Narrow" w:hAnsi="Arial Narrow" w:cs="Arial Narrow"/>
          <w:sz w:val="24"/>
          <w:szCs w:val="24"/>
        </w:rPr>
      </w:pPr>
    </w:p>
    <w:p w14:paraId="7BFA0F8B"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PARÁGRAFO</w:t>
      </w:r>
      <w:r>
        <w:rPr>
          <w:rFonts w:ascii="Arial Narrow" w:eastAsia="Arial Narrow" w:hAnsi="Arial Narrow" w:cs="Arial Narrow"/>
          <w:sz w:val="24"/>
          <w:szCs w:val="24"/>
        </w:rPr>
        <w:t>. El Ministerio de Salud y Protección Social deberá establecer un registro, o cualquier otra modalidad de monitoreo, que le permita identificar y categorizar las modalidades de ECOSIEG, así como sus promotores y víctimas.</w:t>
      </w:r>
    </w:p>
    <w:p w14:paraId="43334381" w14:textId="77777777" w:rsidR="00CC5BDD" w:rsidRDefault="00CC5BDD">
      <w:pPr>
        <w:jc w:val="both"/>
        <w:rPr>
          <w:rFonts w:ascii="Arial Narrow" w:eastAsia="Arial Narrow" w:hAnsi="Arial Narrow" w:cs="Arial Narrow"/>
          <w:sz w:val="24"/>
          <w:szCs w:val="24"/>
        </w:rPr>
      </w:pPr>
    </w:p>
    <w:p w14:paraId="20B17705"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Artículo 14. Sanciones</w:t>
      </w:r>
      <w:r>
        <w:rPr>
          <w:rFonts w:ascii="Arial Narrow" w:eastAsia="Arial Narrow" w:hAnsi="Arial Narrow" w:cs="Arial Narrow"/>
          <w:sz w:val="24"/>
          <w:szCs w:val="24"/>
        </w:rPr>
        <w:t>. 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médica.</w:t>
      </w:r>
    </w:p>
    <w:p w14:paraId="532FB569" w14:textId="77777777" w:rsidR="00CC5BDD" w:rsidRDefault="00CC5BDD">
      <w:pPr>
        <w:jc w:val="both"/>
        <w:rPr>
          <w:rFonts w:ascii="Arial Narrow" w:eastAsia="Arial Narrow" w:hAnsi="Arial Narrow" w:cs="Arial Narrow"/>
          <w:sz w:val="24"/>
          <w:szCs w:val="24"/>
        </w:rPr>
      </w:pPr>
    </w:p>
    <w:p w14:paraId="684F58A1"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Las personas jurídicas que no hagan parte del sector salud y que promuevan o practiquen un ECOSIEG serán investigadas y sancionadas conforme la normatividad vigente de la Entidad que las vigila quién podrá decretar la cancelación de la personería jurídica.</w:t>
      </w:r>
    </w:p>
    <w:p w14:paraId="47081060" w14:textId="77777777" w:rsidR="00CC5BDD" w:rsidRDefault="00CC5BDD">
      <w:pPr>
        <w:jc w:val="both"/>
        <w:rPr>
          <w:rFonts w:ascii="Arial Narrow" w:eastAsia="Arial Narrow" w:hAnsi="Arial Narrow" w:cs="Arial Narrow"/>
          <w:sz w:val="24"/>
          <w:szCs w:val="24"/>
        </w:rPr>
      </w:pPr>
    </w:p>
    <w:p w14:paraId="1B68FE55"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Entidades Sin Ánimo de Lucro que promuevan o practiquen un ECOSIEG serán investigadas por la autoridad definida en la Ley 22 de 1987 y sancionadas con la cancelación de la personería jurídica. </w:t>
      </w:r>
    </w:p>
    <w:p w14:paraId="25F1B2FC" w14:textId="77777777" w:rsidR="00CC5BDD" w:rsidRDefault="00CC5BDD">
      <w:pPr>
        <w:jc w:val="both"/>
        <w:rPr>
          <w:rFonts w:ascii="Arial Narrow" w:eastAsia="Arial Narrow" w:hAnsi="Arial Narrow" w:cs="Arial Narrow"/>
          <w:sz w:val="24"/>
          <w:szCs w:val="24"/>
        </w:rPr>
      </w:pPr>
    </w:p>
    <w:p w14:paraId="446C388D"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15. Protocolo de investigación judicial. </w:t>
      </w:r>
      <w:r>
        <w:rPr>
          <w:rFonts w:ascii="Arial Narrow" w:eastAsia="Arial Narrow" w:hAnsi="Arial Narrow" w:cs="Arial Narrow"/>
          <w:sz w:val="24"/>
          <w:szCs w:val="24"/>
        </w:rPr>
        <w:t xml:space="preserve">El Ministerio de Justicia y el Derecho junto con la Fiscalía General de la Nación deberá elaborar un protocolo de investigación criminalística que permita adaptar la política criminal al reconocimiento y respeto de la diversidad sexual y las orientaciones e identidades de género diversas mediante la atención eficiente de denuncias y la priorización de casos de discriminación y tortura cuyo móvil sea un esfuerzo por cambiar la orientación sexual, la identidad o expresión de género. </w:t>
      </w:r>
    </w:p>
    <w:p w14:paraId="06C24C3F" w14:textId="77777777" w:rsidR="00CC5BDD" w:rsidRDefault="00CC5BDD">
      <w:pPr>
        <w:jc w:val="both"/>
        <w:rPr>
          <w:rFonts w:ascii="Arial Narrow" w:eastAsia="Arial Narrow" w:hAnsi="Arial Narrow" w:cs="Arial Narrow"/>
          <w:sz w:val="24"/>
          <w:szCs w:val="24"/>
        </w:rPr>
      </w:pPr>
    </w:p>
    <w:p w14:paraId="66F3CA40"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16. Adiciónese el numeral 7 al artículo 179 de la Ley 599 del 2000. </w:t>
      </w:r>
      <w:r>
        <w:rPr>
          <w:rFonts w:ascii="Arial Narrow" w:eastAsia="Arial Narrow" w:hAnsi="Arial Narrow" w:cs="Arial Narrow"/>
          <w:sz w:val="24"/>
          <w:szCs w:val="24"/>
        </w:rPr>
        <w:t xml:space="preserve">El artículo 179 de la Ley 599 del 2000 quedará así: </w:t>
      </w:r>
    </w:p>
    <w:p w14:paraId="31A2F063" w14:textId="77777777" w:rsidR="00CC5BDD" w:rsidRDefault="00CC5BDD">
      <w:pPr>
        <w:jc w:val="both"/>
        <w:rPr>
          <w:rFonts w:ascii="Arial Narrow" w:eastAsia="Arial Narrow" w:hAnsi="Arial Narrow" w:cs="Arial Narrow"/>
          <w:sz w:val="24"/>
          <w:szCs w:val="24"/>
        </w:rPr>
      </w:pPr>
    </w:p>
    <w:p w14:paraId="52ECD876"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penas previstas en el artículo anterior se aumentarán hasta en una tercera parte en los siguientes eventos: </w:t>
      </w:r>
    </w:p>
    <w:p w14:paraId="6339002E" w14:textId="77777777" w:rsidR="00CC5BDD" w:rsidRDefault="00CC5BDD">
      <w:pPr>
        <w:ind w:left="720"/>
        <w:jc w:val="both"/>
        <w:rPr>
          <w:rFonts w:ascii="Arial Narrow" w:eastAsia="Arial Narrow" w:hAnsi="Arial Narrow" w:cs="Arial Narrow"/>
          <w:sz w:val="24"/>
          <w:szCs w:val="24"/>
        </w:rPr>
      </w:pPr>
    </w:p>
    <w:p w14:paraId="1CC8D255"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Cuando el agente sea integrante del grupo familiar de la víctima. </w:t>
      </w:r>
    </w:p>
    <w:p w14:paraId="5F39D6C0" w14:textId="77777777" w:rsidR="00CC5BDD" w:rsidRDefault="00CC5BDD">
      <w:pPr>
        <w:ind w:left="720"/>
        <w:jc w:val="both"/>
        <w:rPr>
          <w:rFonts w:ascii="Arial Narrow" w:eastAsia="Arial Narrow" w:hAnsi="Arial Narrow" w:cs="Arial Narrow"/>
          <w:sz w:val="24"/>
          <w:szCs w:val="24"/>
        </w:rPr>
      </w:pPr>
    </w:p>
    <w:p w14:paraId="48F075B7"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Cuando el agente sea un servidor público o un particular que actúe bajo la determinación o con la aquiescencia de aquel. </w:t>
      </w:r>
    </w:p>
    <w:p w14:paraId="4BE0D1E2" w14:textId="77777777" w:rsidR="00CC5BDD" w:rsidRDefault="00CC5BDD">
      <w:pPr>
        <w:ind w:left="720"/>
        <w:jc w:val="both"/>
        <w:rPr>
          <w:rFonts w:ascii="Arial Narrow" w:eastAsia="Arial Narrow" w:hAnsi="Arial Narrow" w:cs="Arial Narrow"/>
          <w:sz w:val="24"/>
          <w:szCs w:val="24"/>
        </w:rPr>
      </w:pPr>
    </w:p>
    <w:p w14:paraId="0AE0B43B"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3. Cuando se cometa en persona discapacitada, o en menor de dieciocho (18) años, o mayor de sesenta (60) o mujer embarazada. </w:t>
      </w:r>
    </w:p>
    <w:p w14:paraId="696EE8D7" w14:textId="77777777" w:rsidR="00CC5BDD" w:rsidRDefault="00CC5BDD">
      <w:pPr>
        <w:ind w:left="720"/>
        <w:jc w:val="both"/>
        <w:rPr>
          <w:rFonts w:ascii="Arial Narrow" w:eastAsia="Arial Narrow" w:hAnsi="Arial Narrow" w:cs="Arial Narrow"/>
          <w:sz w:val="24"/>
          <w:szCs w:val="24"/>
        </w:rPr>
      </w:pPr>
    </w:p>
    <w:p w14:paraId="5EE75CCA"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4. Cuando se cometa por razón de sus calidades, contra las siguientes personas: servidores públicos, periodistas, comunicadores sociales, defensores de los derechos humanos, </w:t>
      </w:r>
      <w:r>
        <w:rPr>
          <w:rFonts w:ascii="Arial Narrow" w:eastAsia="Arial Narrow" w:hAnsi="Arial Narrow" w:cs="Arial Narrow"/>
          <w:sz w:val="24"/>
          <w:szCs w:val="24"/>
        </w:rPr>
        <w:lastRenderedPageBreak/>
        <w:t>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6CDFA5AB" w14:textId="77777777" w:rsidR="00CC5BDD" w:rsidRDefault="00CC5BDD">
      <w:pPr>
        <w:ind w:left="720"/>
        <w:jc w:val="both"/>
        <w:rPr>
          <w:rFonts w:ascii="Arial Narrow" w:eastAsia="Arial Narrow" w:hAnsi="Arial Narrow" w:cs="Arial Narrow"/>
          <w:sz w:val="24"/>
          <w:szCs w:val="24"/>
        </w:rPr>
      </w:pPr>
    </w:p>
    <w:p w14:paraId="5AE38DBA"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5. Cuando se cometa utilizando bienes del Estado. </w:t>
      </w:r>
    </w:p>
    <w:p w14:paraId="66C0F51B" w14:textId="77777777" w:rsidR="00CC5BDD" w:rsidRDefault="00CC5BDD">
      <w:pPr>
        <w:ind w:left="720"/>
        <w:jc w:val="both"/>
        <w:rPr>
          <w:rFonts w:ascii="Arial Narrow" w:eastAsia="Arial Narrow" w:hAnsi="Arial Narrow" w:cs="Arial Narrow"/>
          <w:sz w:val="24"/>
          <w:szCs w:val="24"/>
        </w:rPr>
      </w:pPr>
    </w:p>
    <w:p w14:paraId="1387F32A"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6. Cuando se cometa para preparar, facilitar, ocultar o asegurar el producto o la impunidad de otro delito; o para impedir que la persona intervenga en actuaciones judiciales o disciplinarias. </w:t>
      </w:r>
    </w:p>
    <w:p w14:paraId="61884A61" w14:textId="77777777" w:rsidR="00CC5BDD" w:rsidRDefault="00CC5BDD">
      <w:pPr>
        <w:ind w:left="720"/>
        <w:jc w:val="both"/>
        <w:rPr>
          <w:rFonts w:ascii="Arial Narrow" w:eastAsia="Arial Narrow" w:hAnsi="Arial Narrow" w:cs="Arial Narrow"/>
          <w:sz w:val="24"/>
          <w:szCs w:val="24"/>
        </w:rPr>
      </w:pPr>
    </w:p>
    <w:p w14:paraId="449A46F3" w14:textId="77777777" w:rsidR="00CC5BDD" w:rsidRDefault="00000000">
      <w:pPr>
        <w:ind w:left="720"/>
        <w:jc w:val="both"/>
        <w:rPr>
          <w:rFonts w:ascii="Arial Narrow" w:eastAsia="Arial Narrow" w:hAnsi="Arial Narrow" w:cs="Arial Narrow"/>
          <w:b/>
          <w:sz w:val="24"/>
          <w:szCs w:val="24"/>
        </w:rPr>
      </w:pPr>
      <w:r>
        <w:rPr>
          <w:rFonts w:ascii="Arial Narrow" w:eastAsia="Arial Narrow" w:hAnsi="Arial Narrow" w:cs="Arial Narrow"/>
          <w:b/>
          <w:sz w:val="24"/>
          <w:szCs w:val="24"/>
          <w:u w:val="single"/>
        </w:rPr>
        <w:t>7. Cuando se cometa con la intención de modificar la orientación sexual, la identidad o la expresión de género.</w:t>
      </w:r>
    </w:p>
    <w:p w14:paraId="6DA0BEB4" w14:textId="77777777" w:rsidR="00CC5BDD" w:rsidRDefault="00CC5BDD">
      <w:pPr>
        <w:jc w:val="both"/>
        <w:rPr>
          <w:rFonts w:ascii="Arial Narrow" w:eastAsia="Arial Narrow" w:hAnsi="Arial Narrow" w:cs="Arial Narrow"/>
          <w:sz w:val="24"/>
          <w:szCs w:val="24"/>
        </w:rPr>
      </w:pPr>
    </w:p>
    <w:p w14:paraId="4AC0E4D8"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17. Adiciónese el numeral 7 al artículo 134C de la Ley 599 del 2000. </w:t>
      </w:r>
      <w:r>
        <w:rPr>
          <w:rFonts w:ascii="Arial Narrow" w:eastAsia="Arial Narrow" w:hAnsi="Arial Narrow" w:cs="Arial Narrow"/>
          <w:sz w:val="24"/>
          <w:szCs w:val="24"/>
        </w:rPr>
        <w:t xml:space="preserve">El artículo 134C de la Ley 599 del 2000 quedará así: </w:t>
      </w:r>
    </w:p>
    <w:p w14:paraId="65180A35" w14:textId="77777777" w:rsidR="00CC5BDD" w:rsidRDefault="00CC5BDD">
      <w:pPr>
        <w:widowControl w:val="0"/>
        <w:spacing w:before="52" w:line="263" w:lineRule="auto"/>
        <w:ind w:left="136" w:right="492" w:hanging="6"/>
        <w:rPr>
          <w:rFonts w:ascii="Arial Narrow" w:eastAsia="Arial Narrow" w:hAnsi="Arial Narrow" w:cs="Arial Narrow"/>
          <w:sz w:val="24"/>
          <w:szCs w:val="24"/>
        </w:rPr>
      </w:pPr>
    </w:p>
    <w:p w14:paraId="664C87FD"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134C. Circunstancias de agravación punitiva. Las penas previstas en los artículos </w:t>
      </w:r>
      <w:proofErr w:type="gramStart"/>
      <w:r>
        <w:rPr>
          <w:rFonts w:ascii="Arial Narrow" w:eastAsia="Arial Narrow" w:hAnsi="Arial Narrow" w:cs="Arial Narrow"/>
          <w:sz w:val="24"/>
          <w:szCs w:val="24"/>
        </w:rPr>
        <w:t>anteriores,</w:t>
      </w:r>
      <w:proofErr w:type="gramEnd"/>
      <w:r>
        <w:rPr>
          <w:rFonts w:ascii="Arial Narrow" w:eastAsia="Arial Narrow" w:hAnsi="Arial Narrow" w:cs="Arial Narrow"/>
          <w:sz w:val="24"/>
          <w:szCs w:val="24"/>
        </w:rPr>
        <w:t xml:space="preserve"> se aumentarán de una tercera parte a la mitad cuando: </w:t>
      </w:r>
    </w:p>
    <w:p w14:paraId="2109F4F7" w14:textId="77777777" w:rsidR="00CC5BDD" w:rsidRDefault="00CC5BDD">
      <w:pPr>
        <w:ind w:left="720"/>
        <w:jc w:val="both"/>
        <w:rPr>
          <w:rFonts w:ascii="Arial Narrow" w:eastAsia="Arial Narrow" w:hAnsi="Arial Narrow" w:cs="Arial Narrow"/>
          <w:sz w:val="24"/>
          <w:szCs w:val="24"/>
        </w:rPr>
      </w:pPr>
    </w:p>
    <w:p w14:paraId="16076B78"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La conducta se ejecute en espacio público, establecimiento público o lugar abierto al público. </w:t>
      </w:r>
    </w:p>
    <w:p w14:paraId="35B295DD" w14:textId="77777777" w:rsidR="00CC5BDD" w:rsidRDefault="00CC5BDD">
      <w:pPr>
        <w:ind w:left="720"/>
        <w:jc w:val="both"/>
        <w:rPr>
          <w:rFonts w:ascii="Arial Narrow" w:eastAsia="Arial Narrow" w:hAnsi="Arial Narrow" w:cs="Arial Narrow"/>
          <w:sz w:val="24"/>
          <w:szCs w:val="24"/>
        </w:rPr>
      </w:pPr>
    </w:p>
    <w:p w14:paraId="1F2C0CC3"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La conducta se ejecute a través de la utilización de medios de comunicación de difusión masiva. </w:t>
      </w:r>
    </w:p>
    <w:p w14:paraId="77F267A2" w14:textId="77777777" w:rsidR="00CC5BDD" w:rsidRDefault="00CC5BDD">
      <w:pPr>
        <w:ind w:left="720"/>
        <w:jc w:val="both"/>
        <w:rPr>
          <w:rFonts w:ascii="Arial Narrow" w:eastAsia="Arial Narrow" w:hAnsi="Arial Narrow" w:cs="Arial Narrow"/>
          <w:sz w:val="24"/>
          <w:szCs w:val="24"/>
        </w:rPr>
      </w:pPr>
    </w:p>
    <w:p w14:paraId="297EA70B"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3. La conducta se realice por servidor público. </w:t>
      </w:r>
    </w:p>
    <w:p w14:paraId="7ADB07C4" w14:textId="77777777" w:rsidR="00CC5BDD" w:rsidRDefault="00CC5BDD">
      <w:pPr>
        <w:ind w:left="720"/>
        <w:jc w:val="both"/>
        <w:rPr>
          <w:rFonts w:ascii="Arial Narrow" w:eastAsia="Arial Narrow" w:hAnsi="Arial Narrow" w:cs="Arial Narrow"/>
          <w:sz w:val="24"/>
          <w:szCs w:val="24"/>
        </w:rPr>
      </w:pPr>
    </w:p>
    <w:p w14:paraId="3FC5E1F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4. La conducta se efectúe por causa o con ocasión de la prestación de un servicio público. </w:t>
      </w:r>
    </w:p>
    <w:p w14:paraId="25799838" w14:textId="77777777" w:rsidR="00CC5BDD" w:rsidRDefault="00CC5BDD">
      <w:pPr>
        <w:ind w:left="720"/>
        <w:jc w:val="both"/>
        <w:rPr>
          <w:rFonts w:ascii="Arial Narrow" w:eastAsia="Arial Narrow" w:hAnsi="Arial Narrow" w:cs="Arial Narrow"/>
          <w:sz w:val="24"/>
          <w:szCs w:val="24"/>
        </w:rPr>
      </w:pPr>
    </w:p>
    <w:p w14:paraId="44D162A0"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5. La conducta se dirija contra niño, niña, adolescente, persona de la tercera edad o adulto mayor. </w:t>
      </w:r>
    </w:p>
    <w:p w14:paraId="2FC17C80" w14:textId="77777777" w:rsidR="00CC5BDD" w:rsidRDefault="00CC5BDD">
      <w:pPr>
        <w:ind w:left="720"/>
        <w:jc w:val="both"/>
        <w:rPr>
          <w:rFonts w:ascii="Arial Narrow" w:eastAsia="Arial Narrow" w:hAnsi="Arial Narrow" w:cs="Arial Narrow"/>
          <w:sz w:val="24"/>
          <w:szCs w:val="24"/>
        </w:rPr>
      </w:pPr>
    </w:p>
    <w:p w14:paraId="2CD21551" w14:textId="77777777" w:rsidR="00CC5BDD" w:rsidRDefault="0000000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6. La conducta esté orientada a negar o restringir derechos laborales. </w:t>
      </w:r>
    </w:p>
    <w:p w14:paraId="12887D99" w14:textId="77777777" w:rsidR="00CC5BDD" w:rsidRDefault="00CC5BDD">
      <w:pPr>
        <w:ind w:left="720"/>
        <w:jc w:val="both"/>
        <w:rPr>
          <w:rFonts w:ascii="Arial Narrow" w:eastAsia="Arial Narrow" w:hAnsi="Arial Narrow" w:cs="Arial Narrow"/>
          <w:sz w:val="24"/>
          <w:szCs w:val="24"/>
        </w:rPr>
      </w:pPr>
    </w:p>
    <w:p w14:paraId="194720C4" w14:textId="77777777" w:rsidR="00CC5BDD" w:rsidRDefault="00000000">
      <w:pPr>
        <w:ind w:left="720"/>
        <w:jc w:val="both"/>
        <w:rPr>
          <w:rFonts w:ascii="Arial Narrow" w:eastAsia="Arial Narrow" w:hAnsi="Arial Narrow" w:cs="Arial Narrow"/>
          <w:sz w:val="24"/>
          <w:szCs w:val="24"/>
          <w:u w:val="single"/>
        </w:rPr>
      </w:pPr>
      <w:r>
        <w:rPr>
          <w:rFonts w:ascii="Arial Narrow" w:eastAsia="Arial Narrow" w:hAnsi="Arial Narrow" w:cs="Arial Narrow"/>
          <w:b/>
          <w:sz w:val="24"/>
          <w:szCs w:val="24"/>
          <w:u w:val="single"/>
        </w:rPr>
        <w:t>7. La conducta esté orientada a negar o restringir derechos sexuales y reproductivos y/o vulnerar los derechos a la autodeterminación y la libertad de expresión mediante esfuerzos de cambio de orientación sexual, identidad o expresión de género.</w:t>
      </w:r>
      <w:r>
        <w:rPr>
          <w:rFonts w:ascii="Arial Narrow" w:eastAsia="Arial Narrow" w:hAnsi="Arial Narrow" w:cs="Arial Narrow"/>
          <w:sz w:val="24"/>
          <w:szCs w:val="24"/>
          <w:u w:val="single"/>
        </w:rPr>
        <w:t xml:space="preserve"> </w:t>
      </w:r>
    </w:p>
    <w:p w14:paraId="58C0ABEF" w14:textId="77777777" w:rsidR="00CC5BDD" w:rsidRDefault="00CC5BDD">
      <w:pPr>
        <w:jc w:val="center"/>
        <w:rPr>
          <w:rFonts w:ascii="Arial Narrow" w:eastAsia="Arial Narrow" w:hAnsi="Arial Narrow" w:cs="Arial Narrow"/>
          <w:b/>
          <w:sz w:val="24"/>
          <w:szCs w:val="24"/>
        </w:rPr>
      </w:pPr>
    </w:p>
    <w:p w14:paraId="7290DA85"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TITULO IV </w:t>
      </w:r>
    </w:p>
    <w:p w14:paraId="3A1C1355" w14:textId="77777777" w:rsidR="00CC5BDD"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VIGENCIA Y DEROGATORIAS. </w:t>
      </w:r>
    </w:p>
    <w:p w14:paraId="621E76D3" w14:textId="77777777" w:rsidR="00CC5BDD" w:rsidRDefault="00000000">
      <w:pPr>
        <w:widowControl w:val="0"/>
        <w:spacing w:before="276" w:line="263" w:lineRule="auto"/>
        <w:ind w:right="47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18. Vigencia. </w:t>
      </w:r>
      <w:r>
        <w:rPr>
          <w:rFonts w:ascii="Arial Narrow" w:eastAsia="Arial Narrow" w:hAnsi="Arial Narrow" w:cs="Arial Narrow"/>
          <w:sz w:val="24"/>
          <w:szCs w:val="24"/>
        </w:rPr>
        <w:t xml:space="preserve">La presente Ley rige desde su promulgación y deroga todas las disposiciones que le sean contrarias. </w:t>
      </w:r>
    </w:p>
    <w:p w14:paraId="45C1596A" w14:textId="77777777" w:rsidR="00CC5BDD" w:rsidRDefault="00CC5BDD">
      <w:pPr>
        <w:rPr>
          <w:rFonts w:ascii="Arial Narrow" w:eastAsia="Arial Narrow" w:hAnsi="Arial Narrow" w:cs="Arial Narrow"/>
          <w:b/>
          <w:sz w:val="24"/>
          <w:szCs w:val="24"/>
        </w:rPr>
      </w:pPr>
    </w:p>
    <w:p w14:paraId="25900C67" w14:textId="77777777" w:rsidR="00CC5BDD" w:rsidRDefault="00000000">
      <w:pPr>
        <w:spacing w:after="16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Cordialmente,</w:t>
      </w:r>
    </w:p>
    <w:p w14:paraId="22389D8B" w14:textId="77777777" w:rsidR="00CC5BDD" w:rsidRDefault="00CC5BDD">
      <w:pPr>
        <w:rPr>
          <w:rFonts w:ascii="Arial Narrow" w:eastAsia="Arial Narrow" w:hAnsi="Arial Narrow" w:cs="Arial Narrow"/>
          <w:sz w:val="24"/>
          <w:szCs w:val="24"/>
        </w:rPr>
      </w:pPr>
    </w:p>
    <w:p w14:paraId="697B5979" w14:textId="77777777" w:rsidR="00CC5BDD" w:rsidRDefault="00CC5BDD">
      <w:pPr>
        <w:rPr>
          <w:rFonts w:ascii="Arial Narrow" w:eastAsia="Arial Narrow" w:hAnsi="Arial Narrow" w:cs="Arial Narrow"/>
          <w:sz w:val="24"/>
          <w:szCs w:val="24"/>
        </w:rPr>
      </w:pPr>
    </w:p>
    <w:p w14:paraId="4E9EAE34" w14:textId="59D541EB" w:rsidR="00CC5BDD" w:rsidRDefault="00CC5BDD">
      <w:pPr>
        <w:rPr>
          <w:rFonts w:ascii="Arial Narrow" w:eastAsia="Arial Narrow" w:hAnsi="Arial Narrow" w:cs="Arial Narrow"/>
          <w:b/>
          <w:sz w:val="24"/>
          <w:szCs w:val="24"/>
          <w:u w:val="single"/>
        </w:rPr>
      </w:pPr>
    </w:p>
    <w:p w14:paraId="654EBFF7" w14:textId="192760A4" w:rsidR="001729A3" w:rsidRDefault="001729A3">
      <w:pPr>
        <w:rPr>
          <w:rFonts w:ascii="Arial Narrow" w:eastAsia="Arial Narrow" w:hAnsi="Arial Narrow" w:cs="Arial Narrow"/>
          <w:b/>
          <w:sz w:val="24"/>
          <w:szCs w:val="24"/>
          <w:u w:val="single"/>
        </w:rPr>
      </w:pPr>
    </w:p>
    <w:p w14:paraId="16B33B5D" w14:textId="74F912B5" w:rsidR="001729A3" w:rsidRDefault="001729A3">
      <w:pPr>
        <w:rPr>
          <w:rFonts w:ascii="Arial Narrow" w:eastAsia="Arial Narrow" w:hAnsi="Arial Narrow" w:cs="Arial Narrow"/>
          <w:b/>
          <w:sz w:val="24"/>
          <w:szCs w:val="24"/>
          <w:u w:val="single"/>
        </w:rPr>
      </w:pPr>
    </w:p>
    <w:p w14:paraId="124FA53D" w14:textId="1482D5D4" w:rsidR="001729A3" w:rsidRDefault="001729A3">
      <w:pPr>
        <w:rPr>
          <w:rFonts w:ascii="Arial Narrow" w:eastAsia="Arial Narrow" w:hAnsi="Arial Narrow" w:cs="Arial Narrow"/>
          <w:b/>
          <w:sz w:val="24"/>
          <w:szCs w:val="24"/>
          <w:u w:val="single"/>
        </w:rPr>
      </w:pPr>
    </w:p>
    <w:p w14:paraId="7A51D01F" w14:textId="2FAA389D" w:rsidR="001729A3" w:rsidRDefault="001729A3">
      <w:pPr>
        <w:rPr>
          <w:rFonts w:ascii="Arial Narrow" w:eastAsia="Arial Narrow" w:hAnsi="Arial Narrow" w:cs="Arial Narrow"/>
          <w:b/>
          <w:sz w:val="24"/>
          <w:szCs w:val="24"/>
          <w:u w:val="single"/>
        </w:rPr>
      </w:pPr>
    </w:p>
    <w:p w14:paraId="304AA28C" w14:textId="3A4AA196" w:rsidR="001729A3" w:rsidRDefault="001729A3">
      <w:pPr>
        <w:rPr>
          <w:rFonts w:ascii="Arial Narrow" w:eastAsia="Arial Narrow" w:hAnsi="Arial Narrow" w:cs="Arial Narrow"/>
          <w:b/>
          <w:sz w:val="24"/>
          <w:szCs w:val="24"/>
          <w:u w:val="single"/>
        </w:rPr>
      </w:pPr>
    </w:p>
    <w:p w14:paraId="5C25D154" w14:textId="31DC7B8D" w:rsidR="001729A3" w:rsidRDefault="001729A3">
      <w:pPr>
        <w:rPr>
          <w:rFonts w:ascii="Arial Narrow" w:eastAsia="Arial Narrow" w:hAnsi="Arial Narrow" w:cs="Arial Narrow"/>
          <w:b/>
          <w:sz w:val="24"/>
          <w:szCs w:val="24"/>
          <w:u w:val="single"/>
        </w:rPr>
      </w:pPr>
    </w:p>
    <w:p w14:paraId="727CA99C" w14:textId="3383BA43" w:rsidR="001729A3" w:rsidRDefault="001729A3">
      <w:pPr>
        <w:rPr>
          <w:rFonts w:ascii="Arial Narrow" w:eastAsia="Arial Narrow" w:hAnsi="Arial Narrow" w:cs="Arial Narrow"/>
          <w:b/>
          <w:sz w:val="24"/>
          <w:szCs w:val="24"/>
          <w:u w:val="single"/>
        </w:rPr>
      </w:pPr>
    </w:p>
    <w:p w14:paraId="5F8D6817" w14:textId="4EDF2CB2" w:rsidR="001729A3" w:rsidRDefault="001729A3">
      <w:pPr>
        <w:rPr>
          <w:rFonts w:ascii="Arial Narrow" w:eastAsia="Arial Narrow" w:hAnsi="Arial Narrow" w:cs="Arial Narrow"/>
          <w:b/>
          <w:sz w:val="24"/>
          <w:szCs w:val="24"/>
          <w:u w:val="single"/>
        </w:rPr>
      </w:pPr>
    </w:p>
    <w:p w14:paraId="62C2898B" w14:textId="5C239461" w:rsidR="001729A3" w:rsidRDefault="001729A3">
      <w:pPr>
        <w:rPr>
          <w:rFonts w:ascii="Arial Narrow" w:eastAsia="Arial Narrow" w:hAnsi="Arial Narrow" w:cs="Arial Narrow"/>
          <w:b/>
          <w:sz w:val="24"/>
          <w:szCs w:val="24"/>
          <w:u w:val="single"/>
        </w:rPr>
      </w:pPr>
    </w:p>
    <w:p w14:paraId="5C0022E1" w14:textId="0C47032F" w:rsidR="001729A3" w:rsidRDefault="001729A3">
      <w:pPr>
        <w:rPr>
          <w:rFonts w:ascii="Arial Narrow" w:eastAsia="Arial Narrow" w:hAnsi="Arial Narrow" w:cs="Arial Narrow"/>
          <w:b/>
          <w:sz w:val="24"/>
          <w:szCs w:val="24"/>
          <w:u w:val="single"/>
        </w:rPr>
      </w:pPr>
    </w:p>
    <w:p w14:paraId="1B51D5B4" w14:textId="2D8013A3" w:rsidR="001729A3" w:rsidRDefault="001729A3">
      <w:pPr>
        <w:rPr>
          <w:rFonts w:ascii="Arial Narrow" w:eastAsia="Arial Narrow" w:hAnsi="Arial Narrow" w:cs="Arial Narrow"/>
          <w:b/>
          <w:sz w:val="24"/>
          <w:szCs w:val="24"/>
          <w:u w:val="single"/>
        </w:rPr>
      </w:pPr>
    </w:p>
    <w:p w14:paraId="257E255D" w14:textId="736C2FC2" w:rsidR="001729A3" w:rsidRDefault="001729A3">
      <w:pPr>
        <w:rPr>
          <w:rFonts w:ascii="Arial Narrow" w:eastAsia="Arial Narrow" w:hAnsi="Arial Narrow" w:cs="Arial Narrow"/>
          <w:b/>
          <w:sz w:val="24"/>
          <w:szCs w:val="24"/>
          <w:u w:val="single"/>
        </w:rPr>
      </w:pPr>
    </w:p>
    <w:p w14:paraId="1871108D" w14:textId="4494BA6D" w:rsidR="001729A3" w:rsidRDefault="001729A3">
      <w:pPr>
        <w:rPr>
          <w:rFonts w:ascii="Arial Narrow" w:eastAsia="Arial Narrow" w:hAnsi="Arial Narrow" w:cs="Arial Narrow"/>
          <w:b/>
          <w:sz w:val="24"/>
          <w:szCs w:val="24"/>
          <w:u w:val="single"/>
        </w:rPr>
      </w:pPr>
    </w:p>
    <w:p w14:paraId="18C0D333" w14:textId="3872F8B6" w:rsidR="001729A3" w:rsidRDefault="001729A3">
      <w:pPr>
        <w:rPr>
          <w:rFonts w:ascii="Arial Narrow" w:eastAsia="Arial Narrow" w:hAnsi="Arial Narrow" w:cs="Arial Narrow"/>
          <w:b/>
          <w:sz w:val="24"/>
          <w:szCs w:val="24"/>
          <w:u w:val="single"/>
        </w:rPr>
      </w:pPr>
    </w:p>
    <w:p w14:paraId="2DBC25E6" w14:textId="2606C2D8" w:rsidR="001729A3" w:rsidRDefault="001729A3">
      <w:pPr>
        <w:rPr>
          <w:rFonts w:ascii="Arial Narrow" w:eastAsia="Arial Narrow" w:hAnsi="Arial Narrow" w:cs="Arial Narrow"/>
          <w:b/>
          <w:sz w:val="24"/>
          <w:szCs w:val="24"/>
          <w:u w:val="single"/>
        </w:rPr>
      </w:pPr>
    </w:p>
    <w:p w14:paraId="6C6DAD96" w14:textId="46A93A85" w:rsidR="001729A3" w:rsidRDefault="001729A3">
      <w:pPr>
        <w:rPr>
          <w:rFonts w:ascii="Arial Narrow" w:eastAsia="Arial Narrow" w:hAnsi="Arial Narrow" w:cs="Arial Narrow"/>
          <w:b/>
          <w:sz w:val="24"/>
          <w:szCs w:val="24"/>
          <w:u w:val="single"/>
        </w:rPr>
      </w:pPr>
    </w:p>
    <w:p w14:paraId="6536D0DD" w14:textId="02F7923E" w:rsidR="001729A3" w:rsidRDefault="001729A3">
      <w:pPr>
        <w:rPr>
          <w:rFonts w:ascii="Arial Narrow" w:eastAsia="Arial Narrow" w:hAnsi="Arial Narrow" w:cs="Arial Narrow"/>
          <w:b/>
          <w:sz w:val="24"/>
          <w:szCs w:val="24"/>
          <w:u w:val="single"/>
        </w:rPr>
      </w:pPr>
    </w:p>
    <w:p w14:paraId="6EB213D6" w14:textId="40AFE53E" w:rsidR="001729A3" w:rsidRDefault="001729A3">
      <w:pPr>
        <w:rPr>
          <w:rFonts w:ascii="Arial Narrow" w:eastAsia="Arial Narrow" w:hAnsi="Arial Narrow" w:cs="Arial Narrow"/>
          <w:b/>
          <w:sz w:val="24"/>
          <w:szCs w:val="24"/>
          <w:u w:val="single"/>
        </w:rPr>
      </w:pPr>
    </w:p>
    <w:p w14:paraId="36FA46AD" w14:textId="3A763BCE" w:rsidR="001729A3" w:rsidRDefault="001729A3">
      <w:pPr>
        <w:rPr>
          <w:rFonts w:ascii="Arial Narrow" w:eastAsia="Arial Narrow" w:hAnsi="Arial Narrow" w:cs="Arial Narrow"/>
          <w:b/>
          <w:sz w:val="24"/>
          <w:szCs w:val="24"/>
          <w:u w:val="single"/>
        </w:rPr>
      </w:pPr>
    </w:p>
    <w:p w14:paraId="64E12952" w14:textId="2CFB26AD" w:rsidR="001729A3" w:rsidRDefault="001729A3">
      <w:pPr>
        <w:rPr>
          <w:rFonts w:ascii="Arial Narrow" w:eastAsia="Arial Narrow" w:hAnsi="Arial Narrow" w:cs="Arial Narrow"/>
          <w:b/>
          <w:sz w:val="24"/>
          <w:szCs w:val="24"/>
          <w:u w:val="single"/>
        </w:rPr>
      </w:pPr>
    </w:p>
    <w:p w14:paraId="3A07864D" w14:textId="4DB80E70" w:rsidR="001729A3" w:rsidRDefault="001729A3">
      <w:pPr>
        <w:rPr>
          <w:rFonts w:ascii="Arial Narrow" w:eastAsia="Arial Narrow" w:hAnsi="Arial Narrow" w:cs="Arial Narrow"/>
          <w:b/>
          <w:sz w:val="24"/>
          <w:szCs w:val="24"/>
          <w:u w:val="single"/>
        </w:rPr>
      </w:pPr>
    </w:p>
    <w:p w14:paraId="290ED00E" w14:textId="38507C1B" w:rsidR="001729A3" w:rsidRDefault="001729A3">
      <w:pPr>
        <w:rPr>
          <w:rFonts w:ascii="Arial Narrow" w:eastAsia="Arial Narrow" w:hAnsi="Arial Narrow" w:cs="Arial Narrow"/>
          <w:b/>
          <w:sz w:val="24"/>
          <w:szCs w:val="24"/>
          <w:u w:val="single"/>
        </w:rPr>
      </w:pPr>
    </w:p>
    <w:p w14:paraId="02B5FB8B" w14:textId="1A7FADE8" w:rsidR="001729A3" w:rsidRDefault="001729A3">
      <w:pPr>
        <w:rPr>
          <w:rFonts w:ascii="Arial Narrow" w:eastAsia="Arial Narrow" w:hAnsi="Arial Narrow" w:cs="Arial Narrow"/>
          <w:b/>
          <w:sz w:val="24"/>
          <w:szCs w:val="24"/>
          <w:u w:val="single"/>
        </w:rPr>
      </w:pPr>
    </w:p>
    <w:p w14:paraId="2F3F6FC8" w14:textId="2FB0159D" w:rsidR="001729A3" w:rsidRDefault="001729A3">
      <w:pPr>
        <w:rPr>
          <w:rFonts w:ascii="Arial Narrow" w:eastAsia="Arial Narrow" w:hAnsi="Arial Narrow" w:cs="Arial Narrow"/>
          <w:b/>
          <w:sz w:val="24"/>
          <w:szCs w:val="24"/>
          <w:u w:val="single"/>
        </w:rPr>
      </w:pPr>
    </w:p>
    <w:p w14:paraId="1139E63B" w14:textId="75420FC4" w:rsidR="001729A3" w:rsidRDefault="001729A3">
      <w:pPr>
        <w:rPr>
          <w:rFonts w:ascii="Arial Narrow" w:eastAsia="Arial Narrow" w:hAnsi="Arial Narrow" w:cs="Arial Narrow"/>
          <w:b/>
          <w:sz w:val="24"/>
          <w:szCs w:val="24"/>
          <w:u w:val="single"/>
        </w:rPr>
      </w:pPr>
    </w:p>
    <w:p w14:paraId="0263C419" w14:textId="4866AA27" w:rsidR="001729A3" w:rsidRDefault="001729A3">
      <w:pPr>
        <w:rPr>
          <w:rFonts w:ascii="Arial Narrow" w:eastAsia="Arial Narrow" w:hAnsi="Arial Narrow" w:cs="Arial Narrow"/>
          <w:b/>
          <w:sz w:val="24"/>
          <w:szCs w:val="24"/>
          <w:u w:val="single"/>
        </w:rPr>
      </w:pPr>
    </w:p>
    <w:p w14:paraId="259A876B" w14:textId="3449D7E8" w:rsidR="001729A3" w:rsidRDefault="001729A3">
      <w:pPr>
        <w:rPr>
          <w:rFonts w:ascii="Arial Narrow" w:eastAsia="Arial Narrow" w:hAnsi="Arial Narrow" w:cs="Arial Narrow"/>
          <w:b/>
          <w:sz w:val="24"/>
          <w:szCs w:val="24"/>
          <w:u w:val="single"/>
        </w:rPr>
      </w:pPr>
    </w:p>
    <w:p w14:paraId="0FECB66D" w14:textId="071F3098" w:rsidR="001729A3" w:rsidRDefault="001729A3">
      <w:pPr>
        <w:rPr>
          <w:rFonts w:ascii="Arial Narrow" w:eastAsia="Arial Narrow" w:hAnsi="Arial Narrow" w:cs="Arial Narrow"/>
          <w:b/>
          <w:sz w:val="24"/>
          <w:szCs w:val="24"/>
          <w:u w:val="single"/>
        </w:rPr>
      </w:pPr>
    </w:p>
    <w:p w14:paraId="5297E526" w14:textId="283EC9E8" w:rsidR="001729A3" w:rsidRDefault="001729A3">
      <w:pPr>
        <w:rPr>
          <w:rFonts w:ascii="Arial Narrow" w:eastAsia="Arial Narrow" w:hAnsi="Arial Narrow" w:cs="Arial Narrow"/>
          <w:b/>
          <w:sz w:val="24"/>
          <w:szCs w:val="24"/>
          <w:u w:val="single"/>
        </w:rPr>
      </w:pPr>
    </w:p>
    <w:p w14:paraId="0BD4A0BA" w14:textId="7726B212" w:rsidR="001729A3" w:rsidRDefault="001729A3">
      <w:pPr>
        <w:rPr>
          <w:rFonts w:ascii="Arial Narrow" w:eastAsia="Arial Narrow" w:hAnsi="Arial Narrow" w:cs="Arial Narrow"/>
          <w:b/>
          <w:sz w:val="24"/>
          <w:szCs w:val="24"/>
          <w:u w:val="single"/>
        </w:rPr>
      </w:pPr>
    </w:p>
    <w:p w14:paraId="228A46B7" w14:textId="2DC79CCB" w:rsidR="001729A3" w:rsidRDefault="001729A3">
      <w:pPr>
        <w:rPr>
          <w:rFonts w:ascii="Arial Narrow" w:eastAsia="Arial Narrow" w:hAnsi="Arial Narrow" w:cs="Arial Narrow"/>
          <w:b/>
          <w:sz w:val="24"/>
          <w:szCs w:val="24"/>
          <w:u w:val="single"/>
        </w:rPr>
      </w:pPr>
    </w:p>
    <w:p w14:paraId="5DD6E811" w14:textId="1891C997" w:rsidR="001729A3" w:rsidRDefault="001729A3">
      <w:pPr>
        <w:rPr>
          <w:rFonts w:ascii="Arial Narrow" w:eastAsia="Arial Narrow" w:hAnsi="Arial Narrow" w:cs="Arial Narrow"/>
          <w:b/>
          <w:sz w:val="24"/>
          <w:szCs w:val="24"/>
          <w:u w:val="single"/>
        </w:rPr>
      </w:pPr>
    </w:p>
    <w:p w14:paraId="2BEF7189" w14:textId="1BE359C8" w:rsidR="001729A3" w:rsidRDefault="001729A3">
      <w:pPr>
        <w:rPr>
          <w:rFonts w:ascii="Arial Narrow" w:eastAsia="Arial Narrow" w:hAnsi="Arial Narrow" w:cs="Arial Narrow"/>
          <w:b/>
          <w:sz w:val="24"/>
          <w:szCs w:val="24"/>
          <w:u w:val="single"/>
        </w:rPr>
      </w:pPr>
    </w:p>
    <w:p w14:paraId="7BF80C4B" w14:textId="75FC93C0" w:rsidR="001729A3" w:rsidRDefault="001729A3">
      <w:pPr>
        <w:rPr>
          <w:rFonts w:ascii="Arial Narrow" w:eastAsia="Arial Narrow" w:hAnsi="Arial Narrow" w:cs="Arial Narrow"/>
          <w:b/>
          <w:sz w:val="24"/>
          <w:szCs w:val="24"/>
          <w:u w:val="single"/>
        </w:rPr>
      </w:pPr>
    </w:p>
    <w:p w14:paraId="75BD2C5A" w14:textId="755B5F6B" w:rsidR="001729A3" w:rsidRDefault="001729A3">
      <w:pPr>
        <w:rPr>
          <w:rFonts w:ascii="Arial Narrow" w:eastAsia="Arial Narrow" w:hAnsi="Arial Narrow" w:cs="Arial Narrow"/>
          <w:b/>
          <w:sz w:val="24"/>
          <w:szCs w:val="24"/>
          <w:u w:val="single"/>
        </w:rPr>
      </w:pPr>
    </w:p>
    <w:p w14:paraId="4D688D46" w14:textId="3F008495" w:rsidR="001729A3" w:rsidRDefault="001729A3">
      <w:pPr>
        <w:rPr>
          <w:rFonts w:ascii="Arial Narrow" w:eastAsia="Arial Narrow" w:hAnsi="Arial Narrow" w:cs="Arial Narrow"/>
          <w:b/>
          <w:sz w:val="24"/>
          <w:szCs w:val="24"/>
          <w:u w:val="single"/>
        </w:rPr>
      </w:pPr>
    </w:p>
    <w:p w14:paraId="11EB0CEB" w14:textId="015B3D1C" w:rsidR="001729A3" w:rsidRDefault="001729A3">
      <w:pPr>
        <w:rPr>
          <w:rFonts w:ascii="Arial Narrow" w:eastAsia="Arial Narrow" w:hAnsi="Arial Narrow" w:cs="Arial Narrow"/>
          <w:b/>
          <w:sz w:val="24"/>
          <w:szCs w:val="24"/>
          <w:u w:val="single"/>
        </w:rPr>
      </w:pPr>
    </w:p>
    <w:p w14:paraId="24441551" w14:textId="62F29C77" w:rsidR="001729A3" w:rsidRDefault="001729A3">
      <w:pPr>
        <w:rPr>
          <w:rFonts w:ascii="Arial Narrow" w:eastAsia="Arial Narrow" w:hAnsi="Arial Narrow" w:cs="Arial Narrow"/>
          <w:b/>
          <w:sz w:val="24"/>
          <w:szCs w:val="24"/>
          <w:u w:val="single"/>
        </w:rPr>
      </w:pPr>
    </w:p>
    <w:p w14:paraId="689F1F3E" w14:textId="77777777" w:rsidR="001729A3" w:rsidRDefault="001729A3">
      <w:pPr>
        <w:rPr>
          <w:rFonts w:ascii="Arial Narrow" w:eastAsia="Arial Narrow" w:hAnsi="Arial Narrow" w:cs="Arial Narrow"/>
          <w:b/>
          <w:sz w:val="24"/>
          <w:szCs w:val="24"/>
          <w:u w:val="single"/>
        </w:rPr>
      </w:pPr>
    </w:p>
    <w:p w14:paraId="388DE991" w14:textId="77777777" w:rsidR="00CC5BDD" w:rsidRDefault="00000000">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EXPOSICIÓN DE MOTIVOS</w:t>
      </w:r>
    </w:p>
    <w:p w14:paraId="37463000" w14:textId="77777777" w:rsidR="00CC5BDD" w:rsidRDefault="00CC5BDD">
      <w:pPr>
        <w:jc w:val="both"/>
        <w:rPr>
          <w:rFonts w:ascii="Arial Narrow" w:eastAsia="Arial Narrow" w:hAnsi="Arial Narrow" w:cs="Arial Narrow"/>
          <w:b/>
          <w:sz w:val="24"/>
          <w:szCs w:val="24"/>
          <w:u w:val="single"/>
        </w:rPr>
      </w:pPr>
    </w:p>
    <w:p w14:paraId="1AAC3F0D" w14:textId="77777777" w:rsidR="00CC5BDD" w:rsidRDefault="00000000">
      <w:pPr>
        <w:numPr>
          <w:ilvl w:val="0"/>
          <w:numId w:val="3"/>
        </w:numPr>
        <w:jc w:val="both"/>
        <w:rPr>
          <w:rFonts w:ascii="Arial Narrow" w:eastAsia="Arial Narrow" w:hAnsi="Arial Narrow" w:cs="Arial Narrow"/>
          <w:b/>
          <w:sz w:val="24"/>
          <w:szCs w:val="24"/>
        </w:rPr>
      </w:pPr>
      <w:r>
        <w:rPr>
          <w:rFonts w:ascii="Arial Narrow" w:eastAsia="Arial Narrow" w:hAnsi="Arial Narrow" w:cs="Arial Narrow"/>
          <w:b/>
          <w:sz w:val="24"/>
          <w:szCs w:val="24"/>
          <w:u w:val="single"/>
        </w:rPr>
        <w:t xml:space="preserve"> ANTECEDENTES LEGISLATIVOS</w:t>
      </w:r>
    </w:p>
    <w:p w14:paraId="5CFBA166" w14:textId="77777777" w:rsidR="00CC5BDD" w:rsidRDefault="00CC5BDD">
      <w:pPr>
        <w:rPr>
          <w:rFonts w:ascii="Arial Narrow" w:eastAsia="Arial Narrow" w:hAnsi="Arial Narrow" w:cs="Arial Narrow"/>
          <w:b/>
          <w:sz w:val="24"/>
          <w:szCs w:val="24"/>
          <w:u w:val="single"/>
        </w:rPr>
      </w:pPr>
    </w:p>
    <w:p w14:paraId="3C6BB16D"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iniciativa retoma el proyecto de ley 461/2022 Cámara, presentado por el Honorable </w:t>
      </w:r>
      <w:proofErr w:type="gramStart"/>
      <w:r>
        <w:rPr>
          <w:rFonts w:ascii="Arial Narrow" w:eastAsia="Arial Narrow" w:hAnsi="Arial Narrow" w:cs="Arial Narrow"/>
          <w:sz w:val="24"/>
          <w:szCs w:val="24"/>
        </w:rPr>
        <w:t>ex Representante</w:t>
      </w:r>
      <w:proofErr w:type="gramEnd"/>
      <w:r>
        <w:rPr>
          <w:rFonts w:ascii="Arial Narrow" w:eastAsia="Arial Narrow" w:hAnsi="Arial Narrow" w:cs="Arial Narrow"/>
          <w:sz w:val="24"/>
          <w:szCs w:val="24"/>
        </w:rPr>
        <w:t xml:space="preserve"> Mauricio Toro, el cual fue archivado por tránsito de legislatura. Cabe señalar que con el beneplácito del </w:t>
      </w:r>
      <w:proofErr w:type="gramStart"/>
      <w:r>
        <w:rPr>
          <w:rFonts w:ascii="Arial Narrow" w:eastAsia="Arial Narrow" w:hAnsi="Arial Narrow" w:cs="Arial Narrow"/>
          <w:sz w:val="24"/>
          <w:szCs w:val="24"/>
        </w:rPr>
        <w:t>ex Representante</w:t>
      </w:r>
      <w:proofErr w:type="gramEnd"/>
      <w:r>
        <w:rPr>
          <w:rFonts w:ascii="Arial Narrow" w:eastAsia="Arial Narrow" w:hAnsi="Arial Narrow" w:cs="Arial Narrow"/>
          <w:sz w:val="24"/>
          <w:szCs w:val="24"/>
        </w:rPr>
        <w:t xml:space="preserve"> Mauricio Toro, el articulado y la exposición de motivos del proyecto de ley 461/2022 Cámara fueron revisados, actualizados y socializados con organizaciones de la sociedad civil, a efectos de que los aquí firmantes, en el marco de la Comisión Accidental de Seguimiento Política Pública LGBTIQ+ y Diversidades, radicaran esta iniciativa para que se surta su trámite legislativo. </w:t>
      </w:r>
    </w:p>
    <w:p w14:paraId="0A82879B" w14:textId="77777777" w:rsidR="00CC5BDD" w:rsidRDefault="00CC5BDD">
      <w:pPr>
        <w:jc w:val="both"/>
        <w:rPr>
          <w:rFonts w:ascii="Arial Narrow" w:eastAsia="Arial Narrow" w:hAnsi="Arial Narrow" w:cs="Arial Narrow"/>
          <w:sz w:val="24"/>
          <w:szCs w:val="24"/>
        </w:rPr>
      </w:pPr>
    </w:p>
    <w:p w14:paraId="4C98F317"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Desde esta célula legislativa y todos los congresistas firmantes reiteramos nuestro reconocimiento y saludo de respeto para el doctor Mauricio Toro y para todes, todas y todos los integrantes de organizaciones, colectivos, grupos y sociedad civil de la población LGBTIQ+ en Colombia que han contribuido decididamente en la estructuración de esta iniciativa legislativa. </w:t>
      </w:r>
    </w:p>
    <w:p w14:paraId="22B29286" w14:textId="77777777" w:rsidR="00CC5BDD" w:rsidRDefault="00CC5BDD">
      <w:pPr>
        <w:ind w:left="720"/>
        <w:jc w:val="both"/>
        <w:rPr>
          <w:rFonts w:ascii="Arial Narrow" w:eastAsia="Arial Narrow" w:hAnsi="Arial Narrow" w:cs="Arial Narrow"/>
          <w:b/>
          <w:sz w:val="24"/>
          <w:szCs w:val="24"/>
        </w:rPr>
      </w:pPr>
    </w:p>
    <w:p w14:paraId="37ABD800" w14:textId="77777777" w:rsidR="00CC5BDD" w:rsidRDefault="00000000">
      <w:pPr>
        <w:numPr>
          <w:ilvl w:val="0"/>
          <w:numId w:val="3"/>
        </w:numPr>
        <w:rPr>
          <w:rFonts w:ascii="Arial Narrow" w:eastAsia="Arial Narrow" w:hAnsi="Arial Narrow" w:cs="Arial Narrow"/>
          <w:b/>
          <w:sz w:val="24"/>
          <w:szCs w:val="24"/>
        </w:rPr>
      </w:pPr>
      <w:r>
        <w:rPr>
          <w:rFonts w:ascii="Arial Narrow" w:eastAsia="Arial Narrow" w:hAnsi="Arial Narrow" w:cs="Arial Narrow"/>
          <w:b/>
          <w:sz w:val="24"/>
          <w:szCs w:val="24"/>
        </w:rPr>
        <w:t>OBJETO Y CONTENIDO DE LA INICIATIVA</w:t>
      </w:r>
    </w:p>
    <w:p w14:paraId="568A501D" w14:textId="77777777" w:rsidR="00CC5BDD" w:rsidRDefault="00CC5BDD">
      <w:pPr>
        <w:rPr>
          <w:rFonts w:ascii="Arial Narrow" w:eastAsia="Arial Narrow" w:hAnsi="Arial Narrow" w:cs="Arial Narrow"/>
          <w:sz w:val="24"/>
          <w:szCs w:val="24"/>
        </w:rPr>
      </w:pPr>
    </w:p>
    <w:p w14:paraId="133059C1"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presente Ley tiene por objeto eliminar en todo el territorio nacional los esfuerzos de cambio de orientación sexual, identidad y expresión de género (ECOSIEG), como una medida tendiente a la protección de la diversidad sexual y de género; también incorpora en la legislación penal colombiana medidas tendientes a sancionar conductas dirigidas a modificar, negar o restringir la orientación sexual, la identidad o la expresión de género. Está iniciativa está compuesta por cuatro (4) títulos y dieciocho (18) artículos incluida su vigencia, distribuidos así: </w:t>
      </w:r>
    </w:p>
    <w:p w14:paraId="40F00633" w14:textId="77777777" w:rsidR="00CC5BDD" w:rsidRDefault="00000000">
      <w:pPr>
        <w:widowControl w:val="0"/>
        <w:spacing w:before="329" w:line="240" w:lineRule="auto"/>
        <w:ind w:left="134"/>
        <w:rPr>
          <w:rFonts w:ascii="Arial Narrow" w:eastAsia="Arial Narrow" w:hAnsi="Arial Narrow" w:cs="Arial Narrow"/>
          <w:b/>
          <w:color w:val="0D0D0D"/>
          <w:sz w:val="24"/>
          <w:szCs w:val="24"/>
        </w:rPr>
      </w:pPr>
      <w:r>
        <w:rPr>
          <w:rFonts w:ascii="Arial Narrow" w:eastAsia="Arial Narrow" w:hAnsi="Arial Narrow" w:cs="Arial Narrow"/>
          <w:b/>
          <w:color w:val="0D0D0D"/>
          <w:sz w:val="24"/>
          <w:szCs w:val="24"/>
        </w:rPr>
        <w:t>Título I. Disposiciones Generales.</w:t>
      </w:r>
    </w:p>
    <w:p w14:paraId="532A9823" w14:textId="77777777" w:rsidR="00CC5BDD" w:rsidRDefault="00000000">
      <w:pPr>
        <w:widowControl w:val="0"/>
        <w:spacing w:before="353" w:line="263" w:lineRule="auto"/>
        <w:ind w:left="133" w:right="469" w:hanging="3"/>
        <w:jc w:val="both"/>
        <w:rPr>
          <w:rFonts w:ascii="Arial Narrow" w:eastAsia="Arial Narrow" w:hAnsi="Arial Narrow" w:cs="Arial Narrow"/>
          <w:color w:val="0D0D0D"/>
          <w:sz w:val="24"/>
          <w:szCs w:val="24"/>
        </w:rPr>
      </w:pPr>
      <w:r>
        <w:rPr>
          <w:rFonts w:ascii="Arial Narrow" w:eastAsia="Arial Narrow" w:hAnsi="Arial Narrow" w:cs="Arial Narrow"/>
          <w:b/>
          <w:color w:val="0D0D0D"/>
          <w:sz w:val="24"/>
          <w:szCs w:val="24"/>
        </w:rPr>
        <w:t xml:space="preserve">Artículo 1. </w:t>
      </w:r>
      <w:r>
        <w:rPr>
          <w:rFonts w:ascii="Arial Narrow" w:eastAsia="Arial Narrow" w:hAnsi="Arial Narrow" w:cs="Arial Narrow"/>
          <w:color w:val="0D0D0D"/>
          <w:sz w:val="24"/>
          <w:szCs w:val="24"/>
        </w:rPr>
        <w:t>Establece el objetivo de eliminar los Esfuerzos de Cambio de Orientación Sexual, Identidad y Expresión de género (ECOSIEG) en el territorio nacional para proteger la diversidad sexual y de género.</w:t>
      </w:r>
    </w:p>
    <w:p w14:paraId="241B46BE" w14:textId="77777777" w:rsidR="00CC5BDD" w:rsidRDefault="00000000">
      <w:pPr>
        <w:widowControl w:val="0"/>
        <w:spacing w:before="353" w:line="263" w:lineRule="auto"/>
        <w:ind w:left="133" w:right="469" w:hanging="3"/>
        <w:jc w:val="both"/>
        <w:rPr>
          <w:rFonts w:ascii="Arial Narrow" w:eastAsia="Arial Narrow" w:hAnsi="Arial Narrow" w:cs="Arial Narrow"/>
          <w:color w:val="0D0D0D"/>
          <w:sz w:val="24"/>
          <w:szCs w:val="24"/>
        </w:rPr>
      </w:pPr>
      <w:r>
        <w:rPr>
          <w:rFonts w:ascii="Arial Narrow" w:eastAsia="Arial Narrow" w:hAnsi="Arial Narrow" w:cs="Arial Narrow"/>
          <w:b/>
          <w:color w:val="0D0D0D"/>
          <w:sz w:val="24"/>
          <w:szCs w:val="24"/>
        </w:rPr>
        <w:t xml:space="preserve">Artículo 2. </w:t>
      </w:r>
      <w:r>
        <w:rPr>
          <w:rFonts w:ascii="Arial Narrow" w:eastAsia="Arial Narrow" w:hAnsi="Arial Narrow" w:cs="Arial Narrow"/>
          <w:color w:val="0D0D0D"/>
          <w:sz w:val="24"/>
          <w:szCs w:val="24"/>
        </w:rPr>
        <w:t>Fija los principios por los que se regirá la ley como lo son el pluralismo, la no discriminación, reconocimiento a la personalidad jurídica y el no sometimiento a torturas.</w:t>
      </w:r>
    </w:p>
    <w:p w14:paraId="45759A33" w14:textId="77777777" w:rsidR="00CC5BDD" w:rsidRDefault="00000000">
      <w:pPr>
        <w:widowControl w:val="0"/>
        <w:spacing w:before="353" w:line="263" w:lineRule="auto"/>
        <w:ind w:left="133" w:right="469" w:hanging="3"/>
        <w:jc w:val="both"/>
        <w:rPr>
          <w:rFonts w:ascii="Arial Narrow" w:eastAsia="Arial Narrow" w:hAnsi="Arial Narrow" w:cs="Arial Narrow"/>
          <w:color w:val="0D0D0D"/>
          <w:sz w:val="24"/>
          <w:szCs w:val="24"/>
        </w:rPr>
      </w:pPr>
      <w:r>
        <w:rPr>
          <w:rFonts w:ascii="Arial Narrow" w:eastAsia="Arial Narrow" w:hAnsi="Arial Narrow" w:cs="Arial Narrow"/>
          <w:b/>
          <w:color w:val="0D0D0D"/>
          <w:sz w:val="24"/>
          <w:szCs w:val="24"/>
        </w:rPr>
        <w:t xml:space="preserve">Artículo 3. </w:t>
      </w:r>
      <w:r>
        <w:rPr>
          <w:rFonts w:ascii="Arial Narrow" w:eastAsia="Arial Narrow" w:hAnsi="Arial Narrow" w:cs="Arial Narrow"/>
          <w:color w:val="0D0D0D"/>
          <w:sz w:val="24"/>
          <w:szCs w:val="24"/>
        </w:rPr>
        <w:t>Brinda las definiciones necesarias para la reglamentación de la Ley.</w:t>
      </w:r>
    </w:p>
    <w:p w14:paraId="4BA972B0" w14:textId="77777777" w:rsidR="00CC5BDD" w:rsidRDefault="00000000">
      <w:pPr>
        <w:widowControl w:val="0"/>
        <w:spacing w:before="329" w:line="263" w:lineRule="auto"/>
        <w:ind w:left="136" w:right="471" w:hanging="1"/>
        <w:rPr>
          <w:rFonts w:ascii="Arial Narrow" w:eastAsia="Arial Narrow" w:hAnsi="Arial Narrow" w:cs="Arial Narrow"/>
          <w:b/>
          <w:color w:val="0D0D0D"/>
          <w:sz w:val="24"/>
          <w:szCs w:val="24"/>
        </w:rPr>
      </w:pPr>
      <w:r>
        <w:rPr>
          <w:rFonts w:ascii="Arial Narrow" w:eastAsia="Arial Narrow" w:hAnsi="Arial Narrow" w:cs="Arial Narrow"/>
          <w:b/>
          <w:color w:val="0D0D0D"/>
          <w:sz w:val="24"/>
          <w:szCs w:val="24"/>
        </w:rPr>
        <w:t xml:space="preserve">Título II. Medidas para la no discriminación por motivos de orientación sexual, identidad y expresión de género diversa en las redes de salud mental. </w:t>
      </w:r>
    </w:p>
    <w:p w14:paraId="3EA1B3D0" w14:textId="77777777" w:rsidR="00CC5BDD" w:rsidRDefault="00000000">
      <w:pPr>
        <w:widowControl w:val="0"/>
        <w:spacing w:before="329" w:line="263" w:lineRule="auto"/>
        <w:ind w:left="136" w:right="472" w:hanging="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w:t>
      </w:r>
      <w:r>
        <w:rPr>
          <w:rFonts w:ascii="Arial Narrow" w:eastAsia="Arial Narrow" w:hAnsi="Arial Narrow" w:cs="Arial Narrow"/>
          <w:sz w:val="24"/>
          <w:szCs w:val="24"/>
        </w:rPr>
        <w:t xml:space="preserve">Establece que las orientaciones sexuales diferentes a la heterosexual y las identidades y expresiones de género diversas no podrán ser catalogadas como trastornos mentales. </w:t>
      </w:r>
    </w:p>
    <w:p w14:paraId="5C7BFF4A" w14:textId="77777777" w:rsidR="00CC5BDD" w:rsidRDefault="00000000">
      <w:pPr>
        <w:widowControl w:val="0"/>
        <w:spacing w:before="212" w:line="263" w:lineRule="auto"/>
        <w:ind w:left="136" w:right="481" w:hanging="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5. </w:t>
      </w:r>
      <w:r>
        <w:rPr>
          <w:rFonts w:ascii="Arial Narrow" w:eastAsia="Arial Narrow" w:hAnsi="Arial Narrow" w:cs="Arial Narrow"/>
          <w:sz w:val="24"/>
          <w:szCs w:val="24"/>
        </w:rPr>
        <w:t xml:space="preserve">Prohíbe en todo el territorio nacional la práctica de esfuerzos de cambio de orientación </w:t>
      </w:r>
      <w:r>
        <w:rPr>
          <w:rFonts w:ascii="Arial Narrow" w:eastAsia="Arial Narrow" w:hAnsi="Arial Narrow" w:cs="Arial Narrow"/>
          <w:sz w:val="24"/>
          <w:szCs w:val="24"/>
        </w:rPr>
        <w:lastRenderedPageBreak/>
        <w:t>sexual, identidad y expresión de género promovida por profesionales y no profesionales del sector salud.</w:t>
      </w:r>
    </w:p>
    <w:p w14:paraId="1BFD93B9" w14:textId="77777777" w:rsidR="00CC5BDD" w:rsidRDefault="00000000">
      <w:pPr>
        <w:widowControl w:val="0"/>
        <w:spacing w:before="212" w:line="263" w:lineRule="auto"/>
        <w:ind w:left="136" w:right="480" w:hanging="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 </w:t>
      </w:r>
      <w:r>
        <w:rPr>
          <w:rFonts w:ascii="Arial Narrow" w:eastAsia="Arial Narrow" w:hAnsi="Arial Narrow" w:cs="Arial Narrow"/>
          <w:sz w:val="24"/>
          <w:szCs w:val="24"/>
        </w:rPr>
        <w:t xml:space="preserve">Garantizar el derecho a las personas de no ser sujetos a tratos crueles por su orientación sexual y/o género y la protección de estas. </w:t>
      </w:r>
    </w:p>
    <w:p w14:paraId="6A18F1E0" w14:textId="77777777" w:rsidR="00CC5BDD" w:rsidRDefault="00000000">
      <w:pPr>
        <w:widowControl w:val="0"/>
        <w:spacing w:before="212" w:line="263" w:lineRule="auto"/>
        <w:ind w:left="142" w:right="487" w:hanging="1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7. </w:t>
      </w:r>
      <w:r>
        <w:rPr>
          <w:rFonts w:ascii="Arial Narrow" w:eastAsia="Arial Narrow" w:hAnsi="Arial Narrow" w:cs="Arial Narrow"/>
          <w:sz w:val="24"/>
          <w:szCs w:val="24"/>
        </w:rPr>
        <w:t>Prohíbe cualquier modalidad o servicio de la red integral de salud que busquen aplicar prácticas de conversión de orientación sexual y/o de género.</w:t>
      </w:r>
    </w:p>
    <w:p w14:paraId="5A041E20" w14:textId="77777777" w:rsidR="00CC5BDD" w:rsidRDefault="00000000">
      <w:pPr>
        <w:widowControl w:val="0"/>
        <w:spacing w:before="212" w:line="263" w:lineRule="auto"/>
        <w:ind w:left="132" w:right="477" w:hanging="2"/>
        <w:rPr>
          <w:rFonts w:ascii="Arial Narrow" w:eastAsia="Arial Narrow" w:hAnsi="Arial Narrow" w:cs="Arial Narrow"/>
          <w:sz w:val="24"/>
          <w:szCs w:val="24"/>
        </w:rPr>
      </w:pPr>
      <w:r>
        <w:rPr>
          <w:rFonts w:ascii="Arial Narrow" w:eastAsia="Arial Narrow" w:hAnsi="Arial Narrow" w:cs="Arial Narrow"/>
          <w:b/>
          <w:sz w:val="24"/>
          <w:szCs w:val="24"/>
        </w:rPr>
        <w:t xml:space="preserve">Artículo 8. </w:t>
      </w:r>
      <w:r>
        <w:rPr>
          <w:rFonts w:ascii="Arial Narrow" w:eastAsia="Arial Narrow" w:hAnsi="Arial Narrow" w:cs="Arial Narrow"/>
          <w:sz w:val="24"/>
          <w:szCs w:val="24"/>
        </w:rPr>
        <w:t>Establece que la orientación sexual y de género no podrá ser considerados eventos de vigilancia epidemiológica.</w:t>
      </w:r>
    </w:p>
    <w:p w14:paraId="6B04A636" w14:textId="77777777" w:rsidR="00CC5BDD" w:rsidRDefault="00CC5BDD">
      <w:pPr>
        <w:widowControl w:val="0"/>
        <w:spacing w:line="240" w:lineRule="auto"/>
        <w:ind w:left="2767"/>
        <w:rPr>
          <w:rFonts w:ascii="Arial Narrow" w:eastAsia="Arial Narrow" w:hAnsi="Arial Narrow" w:cs="Arial Narrow"/>
          <w:sz w:val="24"/>
          <w:szCs w:val="24"/>
        </w:rPr>
      </w:pPr>
    </w:p>
    <w:p w14:paraId="2C6957BC" w14:textId="77777777" w:rsidR="00CC5BDD" w:rsidRDefault="00000000">
      <w:pPr>
        <w:widowControl w:val="0"/>
        <w:spacing w:line="263" w:lineRule="auto"/>
        <w:ind w:left="136" w:right="469" w:hanging="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9. </w:t>
      </w:r>
      <w:r>
        <w:rPr>
          <w:rFonts w:ascii="Arial Narrow" w:eastAsia="Arial Narrow" w:hAnsi="Arial Narrow" w:cs="Arial Narrow"/>
          <w:sz w:val="24"/>
          <w:szCs w:val="24"/>
        </w:rPr>
        <w:t>La red integral de salud podrá prestar servicio psicosocial a las personas mayores de edad que de manera libre y voluntaria desean recibir atención relacionada a su orientación sexual y/o de género, de acuerdo a los lineamientos de atención para población LGBTI.</w:t>
      </w:r>
    </w:p>
    <w:p w14:paraId="60579359" w14:textId="77777777" w:rsidR="00CC5BDD" w:rsidRDefault="00CC5BDD">
      <w:pPr>
        <w:widowControl w:val="0"/>
        <w:spacing w:line="263" w:lineRule="auto"/>
        <w:ind w:left="136" w:right="469" w:hanging="6"/>
        <w:jc w:val="both"/>
        <w:rPr>
          <w:rFonts w:ascii="Arial Narrow" w:eastAsia="Arial Narrow" w:hAnsi="Arial Narrow" w:cs="Arial Narrow"/>
          <w:sz w:val="24"/>
          <w:szCs w:val="24"/>
        </w:rPr>
      </w:pPr>
    </w:p>
    <w:p w14:paraId="1ABCA52F" w14:textId="77777777" w:rsidR="00CC5BDD" w:rsidRDefault="00000000">
      <w:pPr>
        <w:widowControl w:val="0"/>
        <w:spacing w:line="263" w:lineRule="auto"/>
        <w:ind w:left="136" w:right="469" w:hanging="6"/>
        <w:jc w:val="both"/>
        <w:rPr>
          <w:rFonts w:ascii="Arial Narrow" w:eastAsia="Arial Narrow" w:hAnsi="Arial Narrow" w:cs="Arial Narrow"/>
          <w:sz w:val="24"/>
          <w:szCs w:val="24"/>
        </w:rPr>
      </w:pPr>
      <w:r>
        <w:rPr>
          <w:rFonts w:ascii="Arial Narrow" w:eastAsia="Arial Narrow" w:hAnsi="Arial Narrow" w:cs="Arial Narrow"/>
          <w:b/>
          <w:sz w:val="24"/>
          <w:szCs w:val="24"/>
        </w:rPr>
        <w:t>Artículo 10</w:t>
      </w:r>
      <w:r>
        <w:rPr>
          <w:rFonts w:ascii="Arial Narrow" w:eastAsia="Arial Narrow" w:hAnsi="Arial Narrow" w:cs="Arial Narrow"/>
          <w:sz w:val="24"/>
          <w:szCs w:val="24"/>
        </w:rPr>
        <w:t>. Las instituciones de educación superior que forman talento humano en salud, en el marco de la autonomía universitaria, deberán actualizar sus contenidos sobre orientación sexual y/o género y salud mental de acuerdo a la mayor evidencia científica.</w:t>
      </w:r>
    </w:p>
    <w:p w14:paraId="5219CC79" w14:textId="77777777" w:rsidR="00CC5BDD" w:rsidRDefault="00CC5BDD">
      <w:pPr>
        <w:widowControl w:val="0"/>
        <w:spacing w:line="263" w:lineRule="auto"/>
        <w:ind w:left="136" w:right="469" w:hanging="6"/>
        <w:jc w:val="both"/>
        <w:rPr>
          <w:rFonts w:ascii="Arial Narrow" w:eastAsia="Arial Narrow" w:hAnsi="Arial Narrow" w:cs="Arial Narrow"/>
          <w:sz w:val="24"/>
          <w:szCs w:val="24"/>
        </w:rPr>
      </w:pPr>
    </w:p>
    <w:p w14:paraId="42C613FA" w14:textId="77777777" w:rsidR="00CC5BDD" w:rsidRDefault="00000000">
      <w:pPr>
        <w:widowControl w:val="0"/>
        <w:spacing w:line="263" w:lineRule="auto"/>
        <w:ind w:left="136" w:right="469" w:hanging="6"/>
        <w:jc w:val="both"/>
        <w:rPr>
          <w:rFonts w:ascii="Arial Narrow" w:eastAsia="Arial Narrow" w:hAnsi="Arial Narrow" w:cs="Arial Narrow"/>
          <w:sz w:val="24"/>
          <w:szCs w:val="24"/>
        </w:rPr>
      </w:pPr>
      <w:r>
        <w:rPr>
          <w:rFonts w:ascii="Arial Narrow" w:eastAsia="Arial Narrow" w:hAnsi="Arial Narrow" w:cs="Arial Narrow"/>
          <w:b/>
          <w:sz w:val="24"/>
          <w:szCs w:val="24"/>
        </w:rPr>
        <w:t>Artículo 11.</w:t>
      </w:r>
      <w:r>
        <w:rPr>
          <w:rFonts w:ascii="Arial Narrow" w:eastAsia="Arial Narrow" w:hAnsi="Arial Narrow" w:cs="Arial Narrow"/>
          <w:sz w:val="24"/>
          <w:szCs w:val="24"/>
        </w:rPr>
        <w:t xml:space="preserve"> Prohíbe que se puedan destinar recursos públicos para la realización de los ECOSIEG.</w:t>
      </w:r>
    </w:p>
    <w:p w14:paraId="43F92560" w14:textId="77777777" w:rsidR="00CC5BDD" w:rsidRDefault="00CC5BDD">
      <w:pPr>
        <w:widowControl w:val="0"/>
        <w:spacing w:line="263" w:lineRule="auto"/>
        <w:ind w:left="136" w:right="469" w:hanging="6"/>
        <w:jc w:val="both"/>
        <w:rPr>
          <w:rFonts w:ascii="Arial Narrow" w:eastAsia="Arial Narrow" w:hAnsi="Arial Narrow" w:cs="Arial Narrow"/>
          <w:sz w:val="24"/>
          <w:szCs w:val="24"/>
        </w:rPr>
      </w:pPr>
    </w:p>
    <w:p w14:paraId="481BBF9F" w14:textId="77777777" w:rsidR="00CC5BDD" w:rsidRDefault="00000000">
      <w:pPr>
        <w:widowControl w:val="0"/>
        <w:spacing w:line="263" w:lineRule="auto"/>
        <w:ind w:left="136" w:right="469" w:hanging="6"/>
        <w:jc w:val="both"/>
        <w:rPr>
          <w:rFonts w:ascii="Arial Narrow" w:eastAsia="Arial Narrow" w:hAnsi="Arial Narrow" w:cs="Arial Narrow"/>
          <w:sz w:val="24"/>
          <w:szCs w:val="24"/>
        </w:rPr>
      </w:pPr>
      <w:r>
        <w:rPr>
          <w:rFonts w:ascii="Arial Narrow" w:eastAsia="Arial Narrow" w:hAnsi="Arial Narrow" w:cs="Arial Narrow"/>
          <w:b/>
          <w:sz w:val="24"/>
          <w:szCs w:val="24"/>
        </w:rPr>
        <w:t>Artículo 12</w:t>
      </w:r>
      <w:r>
        <w:rPr>
          <w:rFonts w:ascii="Arial Narrow" w:eastAsia="Arial Narrow" w:hAnsi="Arial Narrow" w:cs="Arial Narrow"/>
          <w:sz w:val="24"/>
          <w:szCs w:val="24"/>
        </w:rPr>
        <w:t>. Prohíbe la publicidad y eventos de difusión para la promoción de los ECOSIEG.</w:t>
      </w:r>
    </w:p>
    <w:p w14:paraId="6B93183E" w14:textId="77777777" w:rsidR="00CC5BDD" w:rsidRDefault="00CC5BDD">
      <w:pPr>
        <w:widowControl w:val="0"/>
        <w:spacing w:line="263" w:lineRule="auto"/>
        <w:ind w:left="136" w:right="469" w:hanging="6"/>
        <w:jc w:val="both"/>
        <w:rPr>
          <w:rFonts w:ascii="Arial Narrow" w:eastAsia="Arial Narrow" w:hAnsi="Arial Narrow" w:cs="Arial Narrow"/>
          <w:sz w:val="24"/>
          <w:szCs w:val="24"/>
        </w:rPr>
      </w:pPr>
    </w:p>
    <w:p w14:paraId="0515E86E" w14:textId="77777777" w:rsidR="00CC5BDD" w:rsidRDefault="00000000">
      <w:pPr>
        <w:widowControl w:val="0"/>
        <w:spacing w:line="263" w:lineRule="auto"/>
        <w:ind w:left="136" w:right="469" w:hanging="6"/>
        <w:jc w:val="both"/>
        <w:rPr>
          <w:rFonts w:ascii="Arial Narrow" w:eastAsia="Arial Narrow" w:hAnsi="Arial Narrow" w:cs="Arial Narrow"/>
          <w:b/>
          <w:sz w:val="24"/>
          <w:szCs w:val="24"/>
        </w:rPr>
      </w:pPr>
      <w:r>
        <w:rPr>
          <w:rFonts w:ascii="Arial Narrow" w:eastAsia="Arial Narrow" w:hAnsi="Arial Narrow" w:cs="Arial Narrow"/>
          <w:b/>
          <w:sz w:val="24"/>
          <w:szCs w:val="24"/>
        </w:rPr>
        <w:t>Título III. Vigilancia y sanciones.</w:t>
      </w:r>
    </w:p>
    <w:p w14:paraId="348278A3" w14:textId="77777777" w:rsidR="00CC5BDD" w:rsidRDefault="00CC5BDD">
      <w:pPr>
        <w:widowControl w:val="0"/>
        <w:spacing w:line="263" w:lineRule="auto"/>
        <w:ind w:left="136" w:right="469" w:hanging="6"/>
        <w:jc w:val="both"/>
        <w:rPr>
          <w:rFonts w:ascii="Arial Narrow" w:eastAsia="Arial Narrow" w:hAnsi="Arial Narrow" w:cs="Arial Narrow"/>
          <w:sz w:val="24"/>
          <w:szCs w:val="24"/>
        </w:rPr>
      </w:pPr>
    </w:p>
    <w:p w14:paraId="0C5AD34B" w14:textId="77777777" w:rsidR="00CC5BDD" w:rsidRDefault="00000000">
      <w:pPr>
        <w:widowControl w:val="0"/>
        <w:spacing w:line="263" w:lineRule="auto"/>
        <w:ind w:left="136" w:right="469" w:hanging="6"/>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13. </w:t>
      </w:r>
      <w:r>
        <w:rPr>
          <w:rFonts w:ascii="Arial Narrow" w:eastAsia="Arial Narrow" w:hAnsi="Arial Narrow" w:cs="Arial Narrow"/>
          <w:sz w:val="24"/>
          <w:szCs w:val="24"/>
        </w:rPr>
        <w:t>El Ministerio de Salud y Protección Social, el Ministerio de Educación y la Superintendencia de Salud serán las entidades encargadas de la vigilancia, control y sanciones a personas naturales y jurídicas que contravengan la Ley.</w:t>
      </w:r>
    </w:p>
    <w:p w14:paraId="1368A211" w14:textId="77777777" w:rsidR="00CC5BDD" w:rsidRDefault="00CC5BDD">
      <w:pPr>
        <w:widowControl w:val="0"/>
        <w:spacing w:line="263" w:lineRule="auto"/>
        <w:ind w:left="130" w:right="469"/>
        <w:jc w:val="both"/>
        <w:rPr>
          <w:rFonts w:ascii="Arial Narrow" w:eastAsia="Arial Narrow" w:hAnsi="Arial Narrow" w:cs="Arial Narrow"/>
          <w:sz w:val="24"/>
          <w:szCs w:val="24"/>
        </w:rPr>
      </w:pPr>
    </w:p>
    <w:p w14:paraId="301E1408" w14:textId="77777777" w:rsidR="00CC5BDD" w:rsidRDefault="00000000">
      <w:pPr>
        <w:widowControl w:val="0"/>
        <w:spacing w:line="263" w:lineRule="auto"/>
        <w:ind w:left="130" w:right="469"/>
        <w:jc w:val="both"/>
        <w:rPr>
          <w:rFonts w:ascii="Arial Narrow" w:eastAsia="Arial Narrow" w:hAnsi="Arial Narrow" w:cs="Arial Narrow"/>
          <w:sz w:val="24"/>
          <w:szCs w:val="24"/>
        </w:rPr>
      </w:pPr>
      <w:r>
        <w:rPr>
          <w:rFonts w:ascii="Arial Narrow" w:eastAsia="Arial Narrow" w:hAnsi="Arial Narrow" w:cs="Arial Narrow"/>
          <w:b/>
          <w:sz w:val="24"/>
          <w:szCs w:val="24"/>
        </w:rPr>
        <w:t>Artículo 14</w:t>
      </w:r>
      <w:r>
        <w:rPr>
          <w:rFonts w:ascii="Arial Narrow" w:eastAsia="Arial Narrow" w:hAnsi="Arial Narrow" w:cs="Arial Narrow"/>
          <w:sz w:val="24"/>
          <w:szCs w:val="24"/>
        </w:rPr>
        <w:t xml:space="preserve">. Permite la suspensión de la tarjeta profesional del talento humano en salud que realice prácticas relacionadas con los ECOSIEG al ser una falta de ética médica. Las personas jurídicas que realicen o propicien los ECOSIEG no podrán contratar con el Estado. </w:t>
      </w:r>
    </w:p>
    <w:p w14:paraId="0CF3570B" w14:textId="77777777" w:rsidR="00CC5BDD" w:rsidRDefault="00000000">
      <w:pPr>
        <w:widowControl w:val="0"/>
        <w:spacing w:before="212" w:line="263" w:lineRule="auto"/>
        <w:ind w:left="137" w:right="468" w:hanging="7"/>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15. </w:t>
      </w:r>
      <w:r>
        <w:rPr>
          <w:rFonts w:ascii="Arial Narrow" w:eastAsia="Arial Narrow" w:hAnsi="Arial Narrow" w:cs="Arial Narrow"/>
          <w:sz w:val="24"/>
          <w:szCs w:val="24"/>
        </w:rPr>
        <w:t xml:space="preserve">El Ministerio de Justicia y la Fiscalía deben elaborar un protocolo de investigación criminalística para la protección de la diversidad sexual y de género. </w:t>
      </w:r>
    </w:p>
    <w:p w14:paraId="6E5EF631" w14:textId="77777777" w:rsidR="00CC5BDD" w:rsidRDefault="00000000">
      <w:pPr>
        <w:widowControl w:val="0"/>
        <w:spacing w:before="212" w:line="263" w:lineRule="auto"/>
        <w:ind w:left="142" w:right="478" w:hanging="1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16. </w:t>
      </w:r>
      <w:r>
        <w:rPr>
          <w:rFonts w:ascii="Arial Narrow" w:eastAsia="Arial Narrow" w:hAnsi="Arial Narrow" w:cs="Arial Narrow"/>
          <w:sz w:val="24"/>
          <w:szCs w:val="24"/>
        </w:rPr>
        <w:t xml:space="preserve">Agrava las penas del delito de tortura por la intención de modificar la orientación sexual, la identidad o la expresión de género. </w:t>
      </w:r>
    </w:p>
    <w:p w14:paraId="4C17B4A7" w14:textId="77777777" w:rsidR="00CC5BDD" w:rsidRDefault="00000000">
      <w:pPr>
        <w:widowControl w:val="0"/>
        <w:spacing w:before="212" w:line="263" w:lineRule="auto"/>
        <w:ind w:left="137" w:right="472" w:hanging="7"/>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17. </w:t>
      </w:r>
      <w:r>
        <w:rPr>
          <w:rFonts w:ascii="Arial Narrow" w:eastAsia="Arial Narrow" w:hAnsi="Arial Narrow" w:cs="Arial Narrow"/>
          <w:sz w:val="24"/>
          <w:szCs w:val="24"/>
        </w:rPr>
        <w:t xml:space="preserve">Establece que las penas contempladas por el artículo 134C de la Ley 599 del 2000 podrán agravarse por negar o restringir derechos sexuales y reproductivos mediante esfuerzos de cambio de orientación sexual, identidad o expresión de género. </w:t>
      </w:r>
    </w:p>
    <w:p w14:paraId="447A5870" w14:textId="77777777" w:rsidR="00CC5BDD" w:rsidRDefault="00000000">
      <w:pPr>
        <w:widowControl w:val="0"/>
        <w:spacing w:before="212" w:line="240" w:lineRule="auto"/>
        <w:ind w:left="134"/>
        <w:rPr>
          <w:rFonts w:ascii="Arial Narrow" w:eastAsia="Arial Narrow" w:hAnsi="Arial Narrow" w:cs="Arial Narrow"/>
          <w:b/>
          <w:sz w:val="24"/>
          <w:szCs w:val="24"/>
        </w:rPr>
      </w:pPr>
      <w:r>
        <w:rPr>
          <w:rFonts w:ascii="Arial Narrow" w:eastAsia="Arial Narrow" w:hAnsi="Arial Narrow" w:cs="Arial Narrow"/>
          <w:b/>
          <w:sz w:val="24"/>
          <w:szCs w:val="24"/>
        </w:rPr>
        <w:t xml:space="preserve">Título IV. Vigencia y derogatorias. </w:t>
      </w:r>
    </w:p>
    <w:p w14:paraId="249F9E80" w14:textId="77777777" w:rsidR="00CC5BDD" w:rsidRDefault="00000000">
      <w:pPr>
        <w:widowControl w:val="0"/>
        <w:spacing w:before="236" w:line="240" w:lineRule="auto"/>
        <w:ind w:left="130"/>
        <w:rPr>
          <w:rFonts w:ascii="Arial Narrow" w:eastAsia="Arial Narrow" w:hAnsi="Arial Narrow" w:cs="Arial Narrow"/>
          <w:sz w:val="24"/>
          <w:szCs w:val="24"/>
        </w:rPr>
      </w:pPr>
      <w:r>
        <w:rPr>
          <w:rFonts w:ascii="Arial Narrow" w:eastAsia="Arial Narrow" w:hAnsi="Arial Narrow" w:cs="Arial Narrow"/>
          <w:b/>
          <w:sz w:val="24"/>
          <w:szCs w:val="24"/>
        </w:rPr>
        <w:t xml:space="preserve">Artículo 18. </w:t>
      </w:r>
      <w:r>
        <w:rPr>
          <w:rFonts w:ascii="Arial Narrow" w:eastAsia="Arial Narrow" w:hAnsi="Arial Narrow" w:cs="Arial Narrow"/>
          <w:sz w:val="24"/>
          <w:szCs w:val="24"/>
        </w:rPr>
        <w:t>Vigencia y derogatorias.</w:t>
      </w:r>
    </w:p>
    <w:p w14:paraId="1A9057DD" w14:textId="77777777" w:rsidR="00CC5BDD" w:rsidRDefault="00CC5BDD">
      <w:pPr>
        <w:jc w:val="both"/>
        <w:rPr>
          <w:rFonts w:ascii="Arial Narrow" w:eastAsia="Arial Narrow" w:hAnsi="Arial Narrow" w:cs="Arial Narrow"/>
          <w:sz w:val="24"/>
          <w:szCs w:val="24"/>
        </w:rPr>
      </w:pPr>
    </w:p>
    <w:p w14:paraId="2E877814" w14:textId="77777777" w:rsidR="00CC5BDD" w:rsidRDefault="00000000">
      <w:pPr>
        <w:numPr>
          <w:ilvl w:val="0"/>
          <w:numId w:val="3"/>
        </w:numPr>
        <w:jc w:val="both"/>
        <w:rPr>
          <w:rFonts w:ascii="Arial Narrow" w:eastAsia="Arial Narrow" w:hAnsi="Arial Narrow" w:cs="Arial Narrow"/>
          <w:b/>
          <w:sz w:val="24"/>
          <w:szCs w:val="24"/>
        </w:rPr>
      </w:pPr>
      <w:r>
        <w:rPr>
          <w:rFonts w:ascii="Arial Narrow" w:eastAsia="Arial Narrow" w:hAnsi="Arial Narrow" w:cs="Arial Narrow"/>
          <w:b/>
          <w:sz w:val="24"/>
          <w:szCs w:val="24"/>
        </w:rPr>
        <w:t>JUSTIFICACIÓN</w:t>
      </w:r>
    </w:p>
    <w:p w14:paraId="1E1652FC" w14:textId="77777777" w:rsidR="00CC5BDD" w:rsidRDefault="00CC5BDD">
      <w:pPr>
        <w:jc w:val="both"/>
        <w:rPr>
          <w:rFonts w:ascii="Arial Narrow" w:eastAsia="Arial Narrow" w:hAnsi="Arial Narrow" w:cs="Arial Narrow"/>
          <w:b/>
          <w:sz w:val="24"/>
          <w:szCs w:val="24"/>
        </w:rPr>
      </w:pPr>
    </w:p>
    <w:p w14:paraId="597A5E78"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El articulado de este proyecto de Ley busca brindar una garantía de respeto del pluralismo que define a Colombia como Estado Social de Derecho mediante la prohibición de los Esfuerzos de Cambio de Orientación Sexual e identidad de género, entendiendo que son prácticas que constituyen una forma de tortura y de discriminación en contra de las personas que hacen parte de la población LGBTI.</w:t>
      </w:r>
    </w:p>
    <w:p w14:paraId="46870207" w14:textId="77777777" w:rsidR="00CC5BDD" w:rsidRDefault="00CC5BDD">
      <w:pPr>
        <w:jc w:val="both"/>
        <w:rPr>
          <w:rFonts w:ascii="Arial Narrow" w:eastAsia="Arial Narrow" w:hAnsi="Arial Narrow" w:cs="Arial Narrow"/>
          <w:sz w:val="24"/>
          <w:szCs w:val="24"/>
        </w:rPr>
      </w:pPr>
    </w:p>
    <w:p w14:paraId="4465979E"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Esfuerzos de Cambio de Orientación Sexual e Identidad y Expresión de Género, en adelante ECOSIEG, es el término adecuado para referirse a las mal llamadas terapias de conversión ya que son todos los medios y técnicas conductuales, psicoanalistas, médicas, religiosas y espirituales que tienen como finalidad cambiar, revertir, impedir o reprimir la orientación sexual, identidad de género y expresión de género de una persona</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Los ECOSIEG han sido considerados como acciones de naturaleza discriminatoria, cruel, inhumana y degradante que implican un riesgo considerable de tortura</w:t>
      </w:r>
      <w:r>
        <w:rPr>
          <w:rFonts w:ascii="Arial Narrow" w:eastAsia="Arial Narrow" w:hAnsi="Arial Narrow" w:cs="Arial Narrow"/>
          <w:sz w:val="24"/>
          <w:szCs w:val="24"/>
          <w:vertAlign w:val="superscript"/>
        </w:rPr>
        <w:footnoteReference w:id="2"/>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a partir de la noción errónea de que la diversidad sexual y de género son patologías aptas de tratar, corregir o cambiar. </w:t>
      </w:r>
    </w:p>
    <w:p w14:paraId="08765069" w14:textId="77777777" w:rsidR="00CC5BDD" w:rsidRDefault="00CC5BDD">
      <w:pPr>
        <w:jc w:val="both"/>
        <w:rPr>
          <w:rFonts w:ascii="Arial Narrow" w:eastAsia="Arial Narrow" w:hAnsi="Arial Narrow" w:cs="Arial Narrow"/>
          <w:sz w:val="24"/>
          <w:szCs w:val="24"/>
        </w:rPr>
      </w:pPr>
    </w:p>
    <w:p w14:paraId="3DF76E9D"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Las orientaciones sexuales diferentes a la heterosexual, así como las identidades de género no binarias y las expresiones de género no cisgénero no son consideradas por la Organización Mundial de la Salud, OMS, ni por la Asociación de Psiquiatría Americana, APA, como una patología ni como un trastorno mental, discapacidad mental, problema psicosocial o desorden sexual. Sin embargo, diferentes estudios alrededor del mundo demuestran que aún existen personas LGBTI que son sometidas a técnicas que tienen como finalidad modificar o reprimir sus deseos, atracciones, comportamientos e identidad.</w:t>
      </w:r>
    </w:p>
    <w:p w14:paraId="585B45CA" w14:textId="77777777" w:rsidR="00CC5BDD" w:rsidRDefault="00CC5BDD">
      <w:pPr>
        <w:jc w:val="both"/>
        <w:rPr>
          <w:rFonts w:ascii="Arial Narrow" w:eastAsia="Arial Narrow" w:hAnsi="Arial Narrow" w:cs="Arial Narrow"/>
          <w:sz w:val="24"/>
          <w:szCs w:val="24"/>
        </w:rPr>
      </w:pPr>
    </w:p>
    <w:p w14:paraId="40913E89"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La Organización de las Naciones Unidas, así como la Comisión Interamericana de Derechos Humanos y diferentes Organizaciones No Gubernamentales alrededor del mundo hacen un llamado a los Estados para que eviten la vulneración sistemática de derechos que representan los ECOSIEG y protejan la dignidad humana y el libre desarrollo de la personalidad de la población LGBTI. Países de la región como Brasil, Ecuador y Chile han avanzado en la prohibición de los ECOSIEG uniéndose al esfuerzo internacional que ha conseguido Malta, Francia, Canadá y algunos estados de los Estados Unidos y Australia.</w:t>
      </w:r>
    </w:p>
    <w:p w14:paraId="1F18D3AE" w14:textId="77777777" w:rsidR="00CC5BDD" w:rsidRDefault="00CC5BDD">
      <w:pPr>
        <w:jc w:val="both"/>
        <w:rPr>
          <w:rFonts w:ascii="Arial Narrow" w:eastAsia="Arial Narrow" w:hAnsi="Arial Narrow" w:cs="Arial Narrow"/>
          <w:sz w:val="24"/>
          <w:szCs w:val="24"/>
        </w:rPr>
      </w:pPr>
    </w:p>
    <w:p w14:paraId="167D7FBF" w14:textId="77777777" w:rsidR="00CC5BDD" w:rsidRDefault="00000000">
      <w:pPr>
        <w:jc w:val="both"/>
        <w:rPr>
          <w:rFonts w:ascii="Arial Narrow" w:eastAsia="Arial Narrow" w:hAnsi="Arial Narrow" w:cs="Arial Narrow"/>
          <w:color w:val="1155CC"/>
          <w:sz w:val="24"/>
          <w:szCs w:val="24"/>
        </w:rPr>
      </w:pPr>
      <w:r>
        <w:rPr>
          <w:rFonts w:ascii="Arial Narrow" w:eastAsia="Arial Narrow" w:hAnsi="Arial Narrow" w:cs="Arial Narrow"/>
          <w:sz w:val="24"/>
          <w:szCs w:val="24"/>
        </w:rPr>
        <w:t>Para acoger las recomendaciones internacionales este proyecto de Ley parte del estudio de las consideraciones oficiales que sobre los ECOSIEG tienen las autoridades mundiales en materia sanitaria y del análisis de los informes y denuncias ciudadanas que activistas y medios de comunicación han realizado sobre técnicas y métodos para cambiar y reprimir la diversidad sexual y de género. En ese sentido se sustraen las legislaciones internacionales que sobre los ECOSIEG se han producido en el mundo a fin de realizar un ejercicio de derecho comparado que permita replicar buenas prácticas legislativas en el ordenamiento jurídico colombiano.</w:t>
      </w:r>
    </w:p>
    <w:p w14:paraId="679A8B71" w14:textId="77777777" w:rsidR="00CC5BDD" w:rsidRDefault="00CC5BDD">
      <w:pPr>
        <w:widowControl w:val="0"/>
        <w:spacing w:line="240" w:lineRule="auto"/>
        <w:ind w:left="2767"/>
        <w:rPr>
          <w:rFonts w:ascii="Arial Narrow" w:eastAsia="Arial Narrow" w:hAnsi="Arial Narrow" w:cs="Arial Narrow"/>
          <w:color w:val="1155CC"/>
          <w:sz w:val="24"/>
          <w:szCs w:val="24"/>
        </w:rPr>
      </w:pPr>
    </w:p>
    <w:p w14:paraId="2EE44BB6" w14:textId="77777777" w:rsidR="00CC5BDD" w:rsidRDefault="00000000">
      <w:pPr>
        <w:widowControl w:val="0"/>
        <w:numPr>
          <w:ilvl w:val="0"/>
          <w:numId w:val="1"/>
        </w:numPr>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Conceptos básicos de la diversidad sexual y de género. </w:t>
      </w:r>
    </w:p>
    <w:p w14:paraId="073960E8" w14:textId="77777777" w:rsidR="00CC5BDD" w:rsidRDefault="00CC5BDD">
      <w:pPr>
        <w:widowControl w:val="0"/>
        <w:spacing w:line="240" w:lineRule="auto"/>
        <w:rPr>
          <w:rFonts w:ascii="Arial Narrow" w:eastAsia="Arial Narrow" w:hAnsi="Arial Narrow" w:cs="Arial Narrow"/>
          <w:b/>
          <w:sz w:val="24"/>
          <w:szCs w:val="24"/>
        </w:rPr>
      </w:pPr>
    </w:p>
    <w:p w14:paraId="3F476B50" w14:textId="77777777" w:rsidR="00CC5BDD" w:rsidRDefault="00000000">
      <w:pPr>
        <w:widowControl w:val="0"/>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diversidad sexual reúne una serie de conceptos que se relacionan entre sí y que hacen parte de la materialización del derecho al libre desarrollo de la personalidad. La Asociación Americana de Psicología define </w:t>
      </w:r>
      <w:r>
        <w:rPr>
          <w:rFonts w:ascii="Arial Narrow" w:eastAsia="Arial Narrow" w:hAnsi="Arial Narrow" w:cs="Arial Narrow"/>
          <w:b/>
          <w:sz w:val="24"/>
          <w:szCs w:val="24"/>
        </w:rPr>
        <w:t xml:space="preserve">la orientación sexual </w:t>
      </w:r>
      <w:r>
        <w:rPr>
          <w:rFonts w:ascii="Arial Narrow" w:eastAsia="Arial Narrow" w:hAnsi="Arial Narrow" w:cs="Arial Narrow"/>
          <w:sz w:val="24"/>
          <w:szCs w:val="24"/>
        </w:rPr>
        <w:t>como “una atracción emocional, romántica, sexual o afectiva duradera hacia otros”</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Una orientación sexual no es una conducta sexual por qué la orientación se refiere a los sentimientos y no a los impulsos. Para la Asociación es importante reconocer que existen muchos motivos que definen la orientación sexual de una persona y que son tan únicos como el individuo mismo. </w:t>
      </w:r>
    </w:p>
    <w:p w14:paraId="31ECBD65" w14:textId="77777777" w:rsidR="00CC5BDD" w:rsidRDefault="00CC5BDD">
      <w:pPr>
        <w:widowControl w:val="0"/>
        <w:spacing w:line="240" w:lineRule="auto"/>
        <w:jc w:val="both"/>
        <w:rPr>
          <w:rFonts w:ascii="Arial Narrow" w:eastAsia="Arial Narrow" w:hAnsi="Arial Narrow" w:cs="Arial Narrow"/>
          <w:sz w:val="24"/>
          <w:szCs w:val="24"/>
        </w:rPr>
      </w:pPr>
    </w:p>
    <w:p w14:paraId="622AA3A8" w14:textId="77777777" w:rsidR="00CC5BDD" w:rsidRDefault="00000000">
      <w:pPr>
        <w:widowControl w:val="0"/>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w:t>
      </w:r>
      <w:r>
        <w:rPr>
          <w:rFonts w:ascii="Arial Narrow" w:eastAsia="Arial Narrow" w:hAnsi="Arial Narrow" w:cs="Arial Narrow"/>
          <w:b/>
          <w:sz w:val="24"/>
          <w:szCs w:val="24"/>
        </w:rPr>
        <w:t xml:space="preserve">Concepto de Género </w:t>
      </w:r>
      <w:r>
        <w:rPr>
          <w:rFonts w:ascii="Arial Narrow" w:eastAsia="Arial Narrow" w:hAnsi="Arial Narrow" w:cs="Arial Narrow"/>
          <w:sz w:val="24"/>
          <w:szCs w:val="24"/>
        </w:rPr>
        <w:t>es atribuido a una construcción social que según la OMS representa los roles, características, atributos y comportamientos asignados a hombres, mujeres y personas con identidades no binarias</w:t>
      </w:r>
      <w:r>
        <w:rPr>
          <w:rFonts w:ascii="Arial Narrow" w:eastAsia="Arial Narrow" w:hAnsi="Arial Narrow" w:cs="Arial Narrow"/>
          <w:sz w:val="24"/>
          <w:szCs w:val="24"/>
          <w:vertAlign w:val="superscript"/>
        </w:rPr>
        <w:footnoteReference w:id="4"/>
      </w:r>
      <w:r>
        <w:rPr>
          <w:rFonts w:ascii="Arial Narrow" w:eastAsia="Arial Narrow" w:hAnsi="Arial Narrow" w:cs="Arial Narrow"/>
          <w:sz w:val="24"/>
          <w:szCs w:val="24"/>
        </w:rPr>
        <w:t xml:space="preserve">. El género está relacionado con el sexo biológico, pero no forzosamente debe corresponder a las categorías sexuales biológicas definidas como hombre y mujer ya que la misma organización reconoce que </w:t>
      </w:r>
      <w:r>
        <w:rPr>
          <w:rFonts w:ascii="Arial Narrow" w:eastAsia="Arial Narrow" w:hAnsi="Arial Narrow" w:cs="Arial Narrow"/>
          <w:b/>
          <w:sz w:val="24"/>
          <w:szCs w:val="24"/>
        </w:rPr>
        <w:t xml:space="preserve">el concepto de sexo </w:t>
      </w:r>
      <w:r>
        <w:rPr>
          <w:rFonts w:ascii="Arial Narrow" w:eastAsia="Arial Narrow" w:hAnsi="Arial Narrow" w:cs="Arial Narrow"/>
          <w:sz w:val="24"/>
          <w:szCs w:val="24"/>
        </w:rPr>
        <w:t>hace referencia a las características anatómicas que definen y diferencian a los seres humanos como hombre o mujer, características que si bien son biológicas (cromosomas, niveles hormonales, genitales externos) no son excluyentes entre sí.</w:t>
      </w:r>
      <w:r>
        <w:rPr>
          <w:rFonts w:ascii="Arial Narrow" w:eastAsia="Arial Narrow" w:hAnsi="Arial Narrow" w:cs="Arial Narrow"/>
          <w:sz w:val="24"/>
          <w:szCs w:val="24"/>
          <w:vertAlign w:val="superscript"/>
        </w:rPr>
        <w:footnoteReference w:id="5"/>
      </w:r>
    </w:p>
    <w:p w14:paraId="18D54750" w14:textId="77777777" w:rsidR="00CC5BDD" w:rsidRDefault="00CC5BDD">
      <w:pPr>
        <w:widowControl w:val="0"/>
        <w:spacing w:line="240" w:lineRule="auto"/>
        <w:jc w:val="both"/>
        <w:rPr>
          <w:rFonts w:ascii="Arial Narrow" w:eastAsia="Arial Narrow" w:hAnsi="Arial Narrow" w:cs="Arial Narrow"/>
          <w:sz w:val="24"/>
          <w:szCs w:val="24"/>
        </w:rPr>
      </w:pPr>
    </w:p>
    <w:p w14:paraId="491D9563" w14:textId="77777777" w:rsidR="00CC5BDD" w:rsidRDefault="00000000">
      <w:pPr>
        <w:widowControl w:val="0"/>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género permite entonces al ser humano reconocerse como individuo ante una sociedad a través de la identidad </w:t>
      </w:r>
      <w:r>
        <w:rPr>
          <w:rFonts w:ascii="Arial Narrow" w:eastAsia="Arial Narrow" w:hAnsi="Arial Narrow" w:cs="Arial Narrow"/>
          <w:b/>
          <w:sz w:val="24"/>
          <w:szCs w:val="24"/>
        </w:rPr>
        <w:t xml:space="preserve">de género </w:t>
      </w:r>
      <w:r>
        <w:rPr>
          <w:rFonts w:ascii="Arial Narrow" w:eastAsia="Arial Narrow" w:hAnsi="Arial Narrow" w:cs="Arial Narrow"/>
          <w:sz w:val="24"/>
          <w:szCs w:val="24"/>
        </w:rPr>
        <w:t xml:space="preserve">que se asume. La identidad de género, según lo entiende </w:t>
      </w:r>
      <w:proofErr w:type="gramStart"/>
      <w:r>
        <w:rPr>
          <w:rFonts w:ascii="Arial Narrow" w:eastAsia="Arial Narrow" w:hAnsi="Arial Narrow" w:cs="Arial Narrow"/>
          <w:sz w:val="24"/>
          <w:szCs w:val="24"/>
        </w:rPr>
        <w:t>Pro familia</w:t>
      </w:r>
      <w:proofErr w:type="gramEnd"/>
      <w:r>
        <w:rPr>
          <w:rFonts w:ascii="Arial Narrow" w:eastAsia="Arial Narrow" w:hAnsi="Arial Narrow" w:cs="Arial Narrow"/>
          <w:sz w:val="24"/>
          <w:szCs w:val="24"/>
        </w:rPr>
        <w:t>, es la percepción y manifestación personal que cada individuo hace de sí independiente del sexo biológico asignado pudiendo fluir entre lo masculino y femenino o lo indeterminado</w:t>
      </w:r>
      <w:r>
        <w:rPr>
          <w:rFonts w:ascii="Arial Narrow" w:eastAsia="Arial Narrow" w:hAnsi="Arial Narrow" w:cs="Arial Narrow"/>
          <w:sz w:val="24"/>
          <w:szCs w:val="24"/>
          <w:vertAlign w:val="superscript"/>
        </w:rPr>
        <w:footnoteReference w:id="6"/>
      </w:r>
      <w:r>
        <w:rPr>
          <w:rFonts w:ascii="Arial Narrow" w:eastAsia="Arial Narrow" w:hAnsi="Arial Narrow" w:cs="Arial Narrow"/>
          <w:sz w:val="24"/>
          <w:szCs w:val="24"/>
        </w:rPr>
        <w:t xml:space="preserve">. La identidad de género se complementa con la </w:t>
      </w:r>
      <w:r>
        <w:rPr>
          <w:rFonts w:ascii="Arial Narrow" w:eastAsia="Arial Narrow" w:hAnsi="Arial Narrow" w:cs="Arial Narrow"/>
          <w:b/>
          <w:sz w:val="24"/>
          <w:szCs w:val="24"/>
        </w:rPr>
        <w:t xml:space="preserve">expresión de género </w:t>
      </w:r>
      <w:r>
        <w:rPr>
          <w:rFonts w:ascii="Arial Narrow" w:eastAsia="Arial Narrow" w:hAnsi="Arial Narrow" w:cs="Arial Narrow"/>
          <w:sz w:val="24"/>
          <w:szCs w:val="24"/>
        </w:rPr>
        <w:t>que constituye la manifestación de la identidad asumida mediante el comportamiento y la apariencia. Según la iniciativa de la Oficina de las Naciones Unidas para los Derechos Humanos “Libres e Iguales” las expresiones de género que no se ajustan a las ideas que la sociedad considera adecuadas para un determinado sexo biológico con frecuencia suelen ser objeto de “duros castigos” como acosos, agresiones, violencia física, psicológica y de discriminación</w:t>
      </w:r>
      <w:r>
        <w:rPr>
          <w:rFonts w:ascii="Arial Narrow" w:eastAsia="Arial Narrow" w:hAnsi="Arial Narrow" w:cs="Arial Narrow"/>
          <w:sz w:val="24"/>
          <w:szCs w:val="24"/>
          <w:vertAlign w:val="superscript"/>
        </w:rPr>
        <w:footnoteReference w:id="7"/>
      </w:r>
      <w:r>
        <w:rPr>
          <w:rFonts w:ascii="Arial Narrow" w:eastAsia="Arial Narrow" w:hAnsi="Arial Narrow" w:cs="Arial Narrow"/>
          <w:sz w:val="24"/>
          <w:szCs w:val="24"/>
        </w:rPr>
        <w:t xml:space="preserve">. </w:t>
      </w:r>
    </w:p>
    <w:p w14:paraId="0EF8E231" w14:textId="77777777" w:rsidR="00CC5BDD" w:rsidRDefault="00000000">
      <w:pPr>
        <w:widowControl w:val="0"/>
        <w:numPr>
          <w:ilvl w:val="0"/>
          <w:numId w:val="1"/>
        </w:numPr>
        <w:spacing w:before="169"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La Despatologización de la diversidad sexual y de género. </w:t>
      </w:r>
    </w:p>
    <w:p w14:paraId="7D0A2280"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noción de patologización refiere al paradigma según el cual las orientaciones sexuales no heterosexuales y las identidades y expresiones de género diversas son consideradas per se una patología, es decir, una enfermedad, una desviación o una alteración de lo que es considerado normal, lo que sirve de fundamento para considerar que existe una cura, un tratamiento, una corrección o una reversión.</w:t>
      </w:r>
    </w:p>
    <w:p w14:paraId="08DA8B41"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Durante décadas la patologización de la diversidad sexual y de género fue la única forma de abordar salubremente las orientaciones sexuales no heterosexuales y las expresiones e identidades de género diversas ya que tanto el Manual Diagnóstico y Estadístico de los Trastornos Mentales de la Asociación Psiquiátrica Americana como la Clasificación Internacional de Enfermedades de la Organización Mundial de la Salud contemplaron hasta 1973 y 1990, respectivamente, a la orientación sexual diversa como una desviación sexual y un desorden mental.</w:t>
      </w:r>
    </w:p>
    <w:p w14:paraId="431CEEBE"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Despatologización es entonces un proceso en el cual se ha logrado que internacionalmente las orientaciones sexuales no heterosexuales y las expresiones e identidades de género diversas dejen de ser asumidas y entendidas desde la perspectiva de la enfermedad, la cura y el tratamiento. </w:t>
      </w:r>
    </w:p>
    <w:p w14:paraId="47FFB65B"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La siguiente línea del tiempo refleja el avance que la despatologización de la diversidad sexual ha tenido en el Manual Diagnóstico y Estadístico de los Trastornos Mentales de la Asociación Psiquiátrica Americana y en la Clasificación Internacional de Enfermedades de la Organización Mundial de la Salud, respecto la diversidad sexual y de género reflejando los cambios de noción que ambas autoridades en materia de salud mental han reconocido. </w:t>
      </w:r>
    </w:p>
    <w:p w14:paraId="380397E7" w14:textId="77777777" w:rsidR="00CC5BDD" w:rsidRDefault="00CC5BDD">
      <w:pPr>
        <w:widowControl w:val="0"/>
        <w:spacing w:before="169" w:line="240" w:lineRule="auto"/>
        <w:ind w:left="2882"/>
        <w:rPr>
          <w:rFonts w:ascii="Arial Narrow" w:eastAsia="Arial Narrow" w:hAnsi="Arial Narrow" w:cs="Arial Narrow"/>
          <w:b/>
          <w:i/>
          <w:sz w:val="24"/>
          <w:szCs w:val="24"/>
        </w:rPr>
      </w:pPr>
    </w:p>
    <w:p w14:paraId="7CE74065" w14:textId="77777777" w:rsidR="00CC5BDD" w:rsidRDefault="00CC5BDD">
      <w:pPr>
        <w:widowControl w:val="0"/>
        <w:spacing w:before="169" w:line="240" w:lineRule="auto"/>
        <w:ind w:left="2882"/>
        <w:rPr>
          <w:rFonts w:ascii="Arial Narrow" w:eastAsia="Arial Narrow" w:hAnsi="Arial Narrow" w:cs="Arial Narrow"/>
          <w:b/>
          <w:i/>
          <w:sz w:val="24"/>
          <w:szCs w:val="24"/>
        </w:rPr>
      </w:pPr>
    </w:p>
    <w:p w14:paraId="4E9E6DD5" w14:textId="77777777" w:rsidR="00CC5BDD" w:rsidRDefault="00CC5BDD">
      <w:pPr>
        <w:widowControl w:val="0"/>
        <w:spacing w:before="169" w:line="240" w:lineRule="auto"/>
        <w:ind w:left="2882"/>
        <w:rPr>
          <w:rFonts w:ascii="Arial Narrow" w:eastAsia="Arial Narrow" w:hAnsi="Arial Narrow" w:cs="Arial Narrow"/>
          <w:b/>
          <w:i/>
          <w:sz w:val="24"/>
          <w:szCs w:val="24"/>
        </w:rPr>
      </w:pPr>
    </w:p>
    <w:p w14:paraId="2EE86A0F" w14:textId="77777777" w:rsidR="00CC5BDD" w:rsidRDefault="00CC5BDD">
      <w:pPr>
        <w:widowControl w:val="0"/>
        <w:spacing w:before="169" w:line="240" w:lineRule="auto"/>
        <w:ind w:left="2882"/>
        <w:rPr>
          <w:rFonts w:ascii="Arial Narrow" w:eastAsia="Arial Narrow" w:hAnsi="Arial Narrow" w:cs="Arial Narrow"/>
          <w:b/>
          <w:i/>
          <w:sz w:val="24"/>
          <w:szCs w:val="24"/>
        </w:rPr>
      </w:pPr>
    </w:p>
    <w:p w14:paraId="25398796" w14:textId="77777777" w:rsidR="00CC5BDD" w:rsidRDefault="00CC5BDD">
      <w:pPr>
        <w:widowControl w:val="0"/>
        <w:spacing w:before="169" w:line="240" w:lineRule="auto"/>
        <w:ind w:left="2882"/>
        <w:rPr>
          <w:rFonts w:ascii="Arial Narrow" w:eastAsia="Arial Narrow" w:hAnsi="Arial Narrow" w:cs="Arial Narrow"/>
          <w:b/>
          <w:i/>
          <w:sz w:val="24"/>
          <w:szCs w:val="24"/>
        </w:rPr>
      </w:pPr>
    </w:p>
    <w:p w14:paraId="2B133992" w14:textId="77777777" w:rsidR="00CC5BDD" w:rsidRDefault="00000000">
      <w:pPr>
        <w:widowControl w:val="0"/>
        <w:spacing w:before="169" w:line="240" w:lineRule="auto"/>
        <w:ind w:left="2882"/>
        <w:rPr>
          <w:rFonts w:ascii="Arial Narrow" w:eastAsia="Arial Narrow" w:hAnsi="Arial Narrow" w:cs="Arial Narrow"/>
          <w:b/>
          <w:i/>
          <w:sz w:val="24"/>
          <w:szCs w:val="24"/>
        </w:rPr>
      </w:pPr>
      <w:r>
        <w:rPr>
          <w:rFonts w:ascii="Arial Narrow" w:eastAsia="Arial Narrow" w:hAnsi="Arial Narrow" w:cs="Arial Narrow"/>
          <w:b/>
          <w:i/>
          <w:sz w:val="24"/>
          <w:szCs w:val="24"/>
        </w:rPr>
        <w:t xml:space="preserve">Gráfica 1. Fuente: Elaboración propia. </w:t>
      </w:r>
    </w:p>
    <w:p w14:paraId="1B9452BC" w14:textId="77777777" w:rsidR="00CC5BDD" w:rsidRDefault="00000000">
      <w:pPr>
        <w:widowControl w:val="0"/>
        <w:spacing w:before="222" w:line="240" w:lineRule="auto"/>
        <w:ind w:left="160"/>
        <w:rPr>
          <w:rFonts w:ascii="Arial Narrow" w:eastAsia="Arial Narrow" w:hAnsi="Arial Narrow" w:cs="Arial Narrow"/>
          <w:sz w:val="24"/>
          <w:szCs w:val="24"/>
        </w:rPr>
      </w:pPr>
      <w:r>
        <w:rPr>
          <w:rFonts w:ascii="Arial Narrow" w:eastAsia="Arial Narrow" w:hAnsi="Arial Narrow" w:cs="Arial Narrow"/>
          <w:b/>
          <w:i/>
          <w:noProof/>
          <w:sz w:val="24"/>
          <w:szCs w:val="24"/>
        </w:rPr>
        <w:drawing>
          <wp:inline distT="19050" distB="19050" distL="19050" distR="19050" wp14:anchorId="01D63296" wp14:editId="115F5413">
            <wp:extent cx="5514975" cy="322897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14975" cy="3228975"/>
                    </a:xfrm>
                    <a:prstGeom prst="rect">
                      <a:avLst/>
                    </a:prstGeom>
                    <a:ln/>
                  </pic:spPr>
                </pic:pic>
              </a:graphicData>
            </a:graphic>
          </wp:inline>
        </w:drawing>
      </w:r>
    </w:p>
    <w:p w14:paraId="2436AEB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posturas actuales de las autoridades sanitarias tienden a la no patologización de las diversidades sexuales y por el contrario buscan centrar su atención hacia la población sexualmente diversa con mecanismos de afirmación de identidad y siempre desde la garantía y el respeto por su dignidad humana, su libre desarrollo de la personalidad y sus derechos sexuales y reproductivos. </w:t>
      </w:r>
    </w:p>
    <w:p w14:paraId="60D99A10" w14:textId="77777777" w:rsidR="00CC5BDD" w:rsidRDefault="00000000">
      <w:pPr>
        <w:widowControl w:val="0"/>
        <w:numPr>
          <w:ilvl w:val="0"/>
          <w:numId w:val="1"/>
        </w:numPr>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El Reconocimiento de la diversidad sexual en el Ordenamiento jurídico colombiano.</w:t>
      </w:r>
    </w:p>
    <w:p w14:paraId="16F8541F"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ordenamiento jurídico colombiano tiene avances significativos en el reconocimiento y el respeto por las orientaciones sexuales, identidades y expresiones de género diversas. La Corte Constitucional como órgano garante de la constitución ha realizado pronunciamientos en el que reconoce la diversidad sexual como una posibilidad de existencia humana y en los que toma decisiones con acciones afirmativas para la protección de la dignidad humana y los derechos fundamentales de las personas LGBTI.</w:t>
      </w:r>
    </w:p>
    <w:p w14:paraId="4FBFE9D9"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siguiente cuadro resume pronunciamientos recientes de la Corte Constitucional respecto la diversidad sexual: </w:t>
      </w:r>
    </w:p>
    <w:p w14:paraId="107B19B4" w14:textId="77777777" w:rsidR="00CC5BDD" w:rsidRDefault="00CC5BDD">
      <w:pPr>
        <w:widowControl w:val="0"/>
        <w:spacing w:before="168" w:line="247" w:lineRule="auto"/>
        <w:ind w:right="481"/>
        <w:jc w:val="both"/>
        <w:rPr>
          <w:rFonts w:ascii="Arial Narrow" w:eastAsia="Arial Narrow" w:hAnsi="Arial Narrow" w:cs="Arial Narrow"/>
          <w:sz w:val="24"/>
          <w:szCs w:val="24"/>
        </w:rPr>
      </w:pPr>
    </w:p>
    <w:tbl>
      <w:tblPr>
        <w:tblStyle w:val="a2"/>
        <w:tblW w:w="8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7140"/>
      </w:tblGrid>
      <w:tr w:rsidR="00CC5BDD" w14:paraId="23DAC993" w14:textId="77777777">
        <w:trPr>
          <w:trHeight w:val="500"/>
        </w:trPr>
        <w:tc>
          <w:tcPr>
            <w:tcW w:w="1660" w:type="dxa"/>
            <w:shd w:val="clear" w:color="auto" w:fill="auto"/>
            <w:tcMar>
              <w:top w:w="100" w:type="dxa"/>
              <w:left w:w="100" w:type="dxa"/>
              <w:bottom w:w="100" w:type="dxa"/>
              <w:right w:w="100" w:type="dxa"/>
            </w:tcMar>
          </w:tcPr>
          <w:p w14:paraId="5D95C922" w14:textId="77777777" w:rsidR="00CC5BDD" w:rsidRDefault="00000000">
            <w:pPr>
              <w:widowControl w:val="0"/>
              <w:spacing w:line="240" w:lineRule="auto"/>
              <w:ind w:left="138"/>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SENTENCIA </w:t>
            </w:r>
          </w:p>
        </w:tc>
        <w:tc>
          <w:tcPr>
            <w:tcW w:w="7140" w:type="dxa"/>
            <w:shd w:val="clear" w:color="auto" w:fill="auto"/>
            <w:tcMar>
              <w:top w:w="100" w:type="dxa"/>
              <w:left w:w="100" w:type="dxa"/>
              <w:bottom w:w="100" w:type="dxa"/>
              <w:right w:w="100" w:type="dxa"/>
            </w:tcMar>
          </w:tcPr>
          <w:p w14:paraId="565206C6" w14:textId="77777777" w:rsidR="00CC5BDD" w:rsidRDefault="00000000">
            <w:pPr>
              <w:widowControl w:val="0"/>
              <w:spacing w:line="240" w:lineRule="auto"/>
              <w:ind w:left="135"/>
              <w:rPr>
                <w:rFonts w:ascii="Arial Narrow" w:eastAsia="Arial Narrow" w:hAnsi="Arial Narrow" w:cs="Arial Narrow"/>
                <w:b/>
                <w:sz w:val="24"/>
                <w:szCs w:val="24"/>
              </w:rPr>
            </w:pPr>
            <w:r>
              <w:rPr>
                <w:rFonts w:ascii="Arial Narrow" w:eastAsia="Arial Narrow" w:hAnsi="Arial Narrow" w:cs="Arial Narrow"/>
                <w:b/>
                <w:sz w:val="24"/>
                <w:szCs w:val="24"/>
              </w:rPr>
              <w:t>PRONUNCIAMIENTO SOBRE LA DIVERSIDAD SEXUAL</w:t>
            </w:r>
          </w:p>
        </w:tc>
      </w:tr>
      <w:tr w:rsidR="00CC5BDD" w14:paraId="402A25E8" w14:textId="77777777">
        <w:trPr>
          <w:trHeight w:val="2980"/>
        </w:trPr>
        <w:tc>
          <w:tcPr>
            <w:tcW w:w="1660" w:type="dxa"/>
            <w:shd w:val="clear" w:color="auto" w:fill="auto"/>
            <w:tcMar>
              <w:top w:w="100" w:type="dxa"/>
              <w:left w:w="100" w:type="dxa"/>
              <w:bottom w:w="100" w:type="dxa"/>
              <w:right w:w="100" w:type="dxa"/>
            </w:tcMar>
          </w:tcPr>
          <w:p w14:paraId="1B73D89B" w14:textId="77777777" w:rsidR="00CC5BDD" w:rsidRDefault="00000000">
            <w:pPr>
              <w:widowControl w:val="0"/>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T-804 de 2014</w:t>
            </w:r>
            <w:r>
              <w:rPr>
                <w:rFonts w:ascii="Arial Narrow" w:eastAsia="Arial Narrow" w:hAnsi="Arial Narrow" w:cs="Arial Narrow"/>
                <w:sz w:val="24"/>
                <w:szCs w:val="24"/>
                <w:vertAlign w:val="superscript"/>
              </w:rPr>
              <w:footnoteReference w:id="8"/>
            </w:r>
            <w:r>
              <w:rPr>
                <w:rFonts w:ascii="Arial Narrow" w:eastAsia="Arial Narrow" w:hAnsi="Arial Narrow" w:cs="Arial Narrow"/>
                <w:sz w:val="24"/>
                <w:szCs w:val="24"/>
              </w:rPr>
              <w:t xml:space="preserve"> </w:t>
            </w:r>
          </w:p>
        </w:tc>
        <w:tc>
          <w:tcPr>
            <w:tcW w:w="7140" w:type="dxa"/>
            <w:shd w:val="clear" w:color="auto" w:fill="auto"/>
            <w:tcMar>
              <w:top w:w="100" w:type="dxa"/>
              <w:left w:w="100" w:type="dxa"/>
              <w:bottom w:w="100" w:type="dxa"/>
              <w:right w:w="100" w:type="dxa"/>
            </w:tcMar>
          </w:tcPr>
          <w:p w14:paraId="464981BC" w14:textId="77777777" w:rsidR="00CC5BDD" w:rsidRDefault="00000000">
            <w:pPr>
              <w:widowControl w:val="0"/>
              <w:spacing w:line="229" w:lineRule="auto"/>
              <w:ind w:left="122" w:right="61" w:firstLine="12"/>
              <w:jc w:val="both"/>
              <w:rPr>
                <w:rFonts w:ascii="Arial Narrow" w:eastAsia="Arial Narrow" w:hAnsi="Arial Narrow" w:cs="Arial Narrow"/>
                <w:sz w:val="24"/>
                <w:szCs w:val="24"/>
              </w:rPr>
            </w:pPr>
            <w:r>
              <w:rPr>
                <w:rFonts w:ascii="Arial Narrow" w:eastAsia="Arial Narrow" w:hAnsi="Arial Narrow" w:cs="Arial Narrow"/>
                <w:sz w:val="24"/>
                <w:szCs w:val="24"/>
              </w:rPr>
              <w:t xml:space="preserve">Define la orientación sexual como la atracción física o emocional de una persona ya sea heterosexual, lesbiana, homosexual, bisexual o asexual; la identidad de género como la experiencia personal de ser hombre o mujer o de ser diferente y la expresión de género como la manifestación externa de los rasgos culturales que permiten identificar a una persona como masculina o femenina conforme a patrones socioculturales. </w:t>
            </w:r>
          </w:p>
          <w:p w14:paraId="0D02D175" w14:textId="77777777" w:rsidR="00CC5BDD" w:rsidRDefault="00000000">
            <w:pPr>
              <w:widowControl w:val="0"/>
              <w:spacing w:before="281" w:line="229" w:lineRule="auto"/>
              <w:ind w:left="126" w:right="61" w:firstLine="8"/>
              <w:jc w:val="both"/>
              <w:rPr>
                <w:rFonts w:ascii="Arial Narrow" w:eastAsia="Arial Narrow" w:hAnsi="Arial Narrow" w:cs="Arial Narrow"/>
                <w:sz w:val="24"/>
                <w:szCs w:val="24"/>
              </w:rPr>
            </w:pPr>
            <w:r>
              <w:rPr>
                <w:rFonts w:ascii="Arial Narrow" w:eastAsia="Arial Narrow" w:hAnsi="Arial Narrow" w:cs="Arial Narrow"/>
                <w:sz w:val="24"/>
                <w:szCs w:val="24"/>
              </w:rPr>
              <w:t>Reconoce que dentro de los criterios sospechosos de discriminación se encuentran los que están sustentados en el sexo, la orientación sexual y la identidad de género.</w:t>
            </w:r>
          </w:p>
        </w:tc>
      </w:tr>
      <w:tr w:rsidR="00CC5BDD" w14:paraId="0AAC4831" w14:textId="77777777">
        <w:trPr>
          <w:trHeight w:val="1060"/>
        </w:trPr>
        <w:tc>
          <w:tcPr>
            <w:tcW w:w="1660" w:type="dxa"/>
            <w:shd w:val="clear" w:color="auto" w:fill="auto"/>
            <w:tcMar>
              <w:top w:w="100" w:type="dxa"/>
              <w:left w:w="100" w:type="dxa"/>
              <w:bottom w:w="100" w:type="dxa"/>
              <w:right w:w="100" w:type="dxa"/>
            </w:tcMar>
          </w:tcPr>
          <w:p w14:paraId="2BFD1C29" w14:textId="77777777" w:rsidR="00CC5BDD" w:rsidRDefault="00000000">
            <w:pPr>
              <w:widowControl w:val="0"/>
              <w:spacing w:line="240" w:lineRule="auto"/>
              <w:ind w:left="135"/>
              <w:rPr>
                <w:rFonts w:ascii="Arial Narrow" w:eastAsia="Arial Narrow" w:hAnsi="Arial Narrow" w:cs="Arial Narrow"/>
                <w:sz w:val="24"/>
                <w:szCs w:val="24"/>
              </w:rPr>
            </w:pPr>
            <w:r>
              <w:rPr>
                <w:rFonts w:ascii="Arial Narrow" w:eastAsia="Arial Narrow" w:hAnsi="Arial Narrow" w:cs="Arial Narrow"/>
                <w:sz w:val="24"/>
                <w:szCs w:val="24"/>
              </w:rPr>
              <w:t xml:space="preserve">T-063 de 2015 </w:t>
            </w:r>
          </w:p>
        </w:tc>
        <w:tc>
          <w:tcPr>
            <w:tcW w:w="7140" w:type="dxa"/>
            <w:shd w:val="clear" w:color="auto" w:fill="auto"/>
            <w:tcMar>
              <w:top w:w="100" w:type="dxa"/>
              <w:left w:w="100" w:type="dxa"/>
              <w:bottom w:w="100" w:type="dxa"/>
              <w:right w:w="100" w:type="dxa"/>
            </w:tcMar>
          </w:tcPr>
          <w:p w14:paraId="282E136F" w14:textId="77777777" w:rsidR="00CC5BDD" w:rsidRDefault="00000000">
            <w:pPr>
              <w:widowControl w:val="0"/>
              <w:spacing w:line="229" w:lineRule="auto"/>
              <w:ind w:left="132" w:right="54" w:firstLine="3"/>
              <w:jc w:val="both"/>
              <w:rPr>
                <w:rFonts w:ascii="Arial Narrow" w:eastAsia="Arial Narrow" w:hAnsi="Arial Narrow" w:cs="Arial Narrow"/>
                <w:sz w:val="24"/>
                <w:szCs w:val="24"/>
              </w:rPr>
            </w:pPr>
            <w:r>
              <w:rPr>
                <w:rFonts w:ascii="Arial Narrow" w:eastAsia="Arial Narrow" w:hAnsi="Arial Narrow" w:cs="Arial Narrow"/>
                <w:sz w:val="24"/>
                <w:szCs w:val="24"/>
              </w:rPr>
              <w:t>Establece que la identidad sexual no está definida por factores objetivos como la genitalidad y por ende debe entenderse como una cuestión autónoma de la persona.</w:t>
            </w:r>
          </w:p>
        </w:tc>
      </w:tr>
      <w:tr w:rsidR="00CC5BDD" w14:paraId="4E622509" w14:textId="77777777">
        <w:trPr>
          <w:trHeight w:val="3200"/>
        </w:trPr>
        <w:tc>
          <w:tcPr>
            <w:tcW w:w="1660" w:type="dxa"/>
            <w:shd w:val="clear" w:color="auto" w:fill="auto"/>
            <w:tcMar>
              <w:top w:w="100" w:type="dxa"/>
              <w:left w:w="100" w:type="dxa"/>
              <w:bottom w:w="100" w:type="dxa"/>
              <w:right w:w="100" w:type="dxa"/>
            </w:tcMar>
          </w:tcPr>
          <w:p w14:paraId="0E5A427E" w14:textId="77777777" w:rsidR="00CC5BDD" w:rsidRDefault="00000000">
            <w:pPr>
              <w:spacing w:line="240" w:lineRule="auto"/>
              <w:rPr>
                <w:rFonts w:ascii="Arial Narrow" w:eastAsia="Arial Narrow" w:hAnsi="Arial Narrow" w:cs="Arial Narrow"/>
                <w:sz w:val="24"/>
                <w:szCs w:val="24"/>
                <w:vertAlign w:val="superscript"/>
              </w:rPr>
            </w:pPr>
            <w:r>
              <w:rPr>
                <w:rFonts w:ascii="Arial Narrow" w:eastAsia="Arial Narrow" w:hAnsi="Arial Narrow" w:cs="Arial Narrow"/>
                <w:sz w:val="24"/>
                <w:szCs w:val="24"/>
              </w:rPr>
              <w:t>T-498 de 2017</w:t>
            </w:r>
            <w:r>
              <w:rPr>
                <w:rFonts w:ascii="Arial Narrow" w:eastAsia="Arial Narrow" w:hAnsi="Arial Narrow" w:cs="Arial Narrow"/>
                <w:sz w:val="24"/>
                <w:szCs w:val="24"/>
                <w:vertAlign w:val="superscript"/>
              </w:rPr>
              <w:footnoteReference w:id="9"/>
            </w:r>
          </w:p>
          <w:p w14:paraId="37B58236" w14:textId="77777777" w:rsidR="00CC5BDD" w:rsidRDefault="00CC5BDD">
            <w:pPr>
              <w:spacing w:line="240" w:lineRule="auto"/>
              <w:rPr>
                <w:rFonts w:ascii="Arial Narrow" w:eastAsia="Arial Narrow" w:hAnsi="Arial Narrow" w:cs="Arial Narrow"/>
                <w:sz w:val="24"/>
                <w:szCs w:val="24"/>
              </w:rPr>
            </w:pPr>
          </w:p>
          <w:p w14:paraId="4951326D" w14:textId="77777777" w:rsidR="00CC5BDD" w:rsidRDefault="00CC5BDD">
            <w:pPr>
              <w:spacing w:line="240" w:lineRule="auto"/>
              <w:rPr>
                <w:rFonts w:ascii="Arial Narrow" w:eastAsia="Arial Narrow" w:hAnsi="Arial Narrow" w:cs="Arial Narrow"/>
                <w:sz w:val="24"/>
                <w:szCs w:val="24"/>
              </w:rPr>
            </w:pPr>
          </w:p>
          <w:p w14:paraId="4B084D26" w14:textId="77777777" w:rsidR="00CC5BDD" w:rsidRDefault="00CC5BDD">
            <w:pPr>
              <w:spacing w:line="240" w:lineRule="auto"/>
              <w:rPr>
                <w:rFonts w:ascii="Arial Narrow" w:eastAsia="Arial Narrow" w:hAnsi="Arial Narrow" w:cs="Arial Narrow"/>
                <w:sz w:val="24"/>
                <w:szCs w:val="24"/>
              </w:rPr>
            </w:pPr>
          </w:p>
          <w:p w14:paraId="18848492" w14:textId="77777777" w:rsidR="00CC5BDD" w:rsidRDefault="00000000">
            <w:pPr>
              <w:spacing w:line="240" w:lineRule="auto"/>
              <w:rPr>
                <w:rFonts w:ascii="Arial Narrow" w:eastAsia="Arial Narrow" w:hAnsi="Arial Narrow" w:cs="Arial Narrow"/>
                <w:sz w:val="24"/>
                <w:szCs w:val="24"/>
                <w:vertAlign w:val="superscript"/>
              </w:rPr>
            </w:pPr>
            <w:r>
              <w:rPr>
                <w:rFonts w:ascii="Arial Narrow" w:eastAsia="Arial Narrow" w:hAnsi="Arial Narrow" w:cs="Arial Narrow"/>
                <w:sz w:val="24"/>
                <w:szCs w:val="24"/>
              </w:rPr>
              <w:t>T-447 de 2019</w:t>
            </w:r>
            <w:r>
              <w:rPr>
                <w:rFonts w:ascii="Arial Narrow" w:eastAsia="Arial Narrow" w:hAnsi="Arial Narrow" w:cs="Arial Narrow"/>
                <w:sz w:val="24"/>
                <w:szCs w:val="24"/>
                <w:vertAlign w:val="superscript"/>
              </w:rPr>
              <w:footnoteReference w:id="10"/>
            </w:r>
            <w:r>
              <w:rPr>
                <w:rFonts w:ascii="Arial Narrow" w:eastAsia="Arial Narrow" w:hAnsi="Arial Narrow" w:cs="Arial Narrow"/>
                <w:sz w:val="24"/>
                <w:szCs w:val="24"/>
                <w:vertAlign w:val="superscript"/>
              </w:rPr>
              <w:t xml:space="preserve"> </w:t>
            </w:r>
          </w:p>
        </w:tc>
        <w:tc>
          <w:tcPr>
            <w:tcW w:w="7140" w:type="dxa"/>
            <w:shd w:val="clear" w:color="auto" w:fill="auto"/>
            <w:tcMar>
              <w:top w:w="100" w:type="dxa"/>
              <w:left w:w="100" w:type="dxa"/>
              <w:bottom w:w="100" w:type="dxa"/>
              <w:right w:w="100" w:type="dxa"/>
            </w:tcMar>
          </w:tcPr>
          <w:p w14:paraId="2EDE9FBE" w14:textId="77777777" w:rsidR="00CC5BDD" w:rsidRDefault="00000000">
            <w:pPr>
              <w:widowControl w:val="0"/>
              <w:spacing w:line="229" w:lineRule="auto"/>
              <w:ind w:left="127" w:right="60" w:firstLine="7"/>
              <w:jc w:val="both"/>
              <w:rPr>
                <w:rFonts w:ascii="Arial Narrow" w:eastAsia="Arial Narrow" w:hAnsi="Arial Narrow" w:cs="Arial Narrow"/>
                <w:sz w:val="24"/>
                <w:szCs w:val="24"/>
              </w:rPr>
            </w:pPr>
            <w:r>
              <w:rPr>
                <w:rFonts w:ascii="Arial Narrow" w:eastAsia="Arial Narrow" w:hAnsi="Arial Narrow" w:cs="Arial Narrow"/>
                <w:sz w:val="24"/>
                <w:szCs w:val="24"/>
              </w:rPr>
              <w:t xml:space="preserve">Permite el cambio del componente “sexo” en los documentos de identidad pues reconoce que toda persona tiene derecho a modificar el sexo para que corresponda con la identidad sexual efectivamente asumida y vivida. </w:t>
            </w:r>
          </w:p>
          <w:p w14:paraId="2DA31989" w14:textId="77777777" w:rsidR="00CC5BDD" w:rsidRDefault="00000000">
            <w:pPr>
              <w:widowControl w:val="0"/>
              <w:spacing w:before="230" w:line="229" w:lineRule="auto"/>
              <w:ind w:left="126" w:right="68" w:hanging="6"/>
              <w:jc w:val="both"/>
              <w:rPr>
                <w:rFonts w:ascii="Arial Narrow" w:eastAsia="Arial Narrow" w:hAnsi="Arial Narrow" w:cs="Arial Narrow"/>
                <w:sz w:val="24"/>
                <w:szCs w:val="24"/>
              </w:rPr>
            </w:pPr>
            <w:r>
              <w:rPr>
                <w:rFonts w:ascii="Arial Narrow" w:eastAsia="Arial Narrow" w:hAnsi="Arial Narrow" w:cs="Arial Narrow"/>
                <w:sz w:val="24"/>
                <w:szCs w:val="24"/>
              </w:rPr>
              <w:t xml:space="preserve">Asume que el derecho a la igualdad obliga a que el Estado reconozca y respete la autodeterminación y el reconocimiento de las personas en asuntos diversos como la identidad y la expresión del género. </w:t>
            </w:r>
          </w:p>
          <w:p w14:paraId="65176A9E" w14:textId="77777777" w:rsidR="00CC5BDD" w:rsidRDefault="00000000">
            <w:pPr>
              <w:widowControl w:val="0"/>
              <w:spacing w:before="281" w:line="229" w:lineRule="auto"/>
              <w:ind w:left="120" w:right="57" w:hanging="2"/>
              <w:jc w:val="both"/>
              <w:rPr>
                <w:rFonts w:ascii="Arial Narrow" w:eastAsia="Arial Narrow" w:hAnsi="Arial Narrow" w:cs="Arial Narrow"/>
                <w:sz w:val="24"/>
                <w:szCs w:val="24"/>
              </w:rPr>
            </w:pPr>
            <w:r>
              <w:rPr>
                <w:rFonts w:ascii="Arial Narrow" w:eastAsia="Arial Narrow" w:hAnsi="Arial Narrow" w:cs="Arial Narrow"/>
                <w:sz w:val="24"/>
                <w:szCs w:val="24"/>
              </w:rPr>
              <w:t>Afirma que la identidad de género es una manifestación de la autodeterminación individual y por ende no puede estar vinculada a criterios físicos, médicos o psicológicos de comprobación para su protección.</w:t>
            </w:r>
          </w:p>
        </w:tc>
      </w:tr>
      <w:tr w:rsidR="00CC5BDD" w14:paraId="294D8266" w14:textId="77777777">
        <w:trPr>
          <w:trHeight w:val="1879"/>
        </w:trPr>
        <w:tc>
          <w:tcPr>
            <w:tcW w:w="1660" w:type="dxa"/>
            <w:shd w:val="clear" w:color="auto" w:fill="auto"/>
            <w:tcMar>
              <w:top w:w="100" w:type="dxa"/>
              <w:left w:w="100" w:type="dxa"/>
              <w:bottom w:w="100" w:type="dxa"/>
              <w:right w:w="100" w:type="dxa"/>
            </w:tcMar>
          </w:tcPr>
          <w:p w14:paraId="2633AADB" w14:textId="77777777" w:rsidR="00CC5BDD" w:rsidRDefault="00000000">
            <w:pPr>
              <w:widowControl w:val="0"/>
              <w:spacing w:line="240" w:lineRule="auto"/>
              <w:jc w:val="center"/>
              <w:rPr>
                <w:rFonts w:ascii="Arial Narrow" w:eastAsia="Arial Narrow" w:hAnsi="Arial Narrow" w:cs="Arial Narrow"/>
                <w:sz w:val="24"/>
                <w:szCs w:val="24"/>
                <w:vertAlign w:val="superscript"/>
              </w:rPr>
            </w:pPr>
            <w:r>
              <w:rPr>
                <w:rFonts w:ascii="Arial Narrow" w:eastAsia="Arial Narrow" w:hAnsi="Arial Narrow" w:cs="Arial Narrow"/>
                <w:sz w:val="24"/>
                <w:szCs w:val="24"/>
              </w:rPr>
              <w:t>T-033 de 2022</w:t>
            </w:r>
            <w:r>
              <w:rPr>
                <w:rFonts w:ascii="Arial Narrow" w:eastAsia="Arial Narrow" w:hAnsi="Arial Narrow" w:cs="Arial Narrow"/>
                <w:sz w:val="24"/>
                <w:szCs w:val="24"/>
                <w:vertAlign w:val="superscript"/>
              </w:rPr>
              <w:footnoteReference w:id="11"/>
            </w:r>
            <w:r>
              <w:rPr>
                <w:rFonts w:ascii="Arial Narrow" w:eastAsia="Arial Narrow" w:hAnsi="Arial Narrow" w:cs="Arial Narrow"/>
                <w:sz w:val="24"/>
                <w:szCs w:val="24"/>
                <w:vertAlign w:val="superscript"/>
              </w:rPr>
              <w:t xml:space="preserve"> </w:t>
            </w:r>
          </w:p>
        </w:tc>
        <w:tc>
          <w:tcPr>
            <w:tcW w:w="7140" w:type="dxa"/>
            <w:shd w:val="clear" w:color="auto" w:fill="auto"/>
            <w:tcMar>
              <w:top w:w="100" w:type="dxa"/>
              <w:left w:w="100" w:type="dxa"/>
              <w:bottom w:w="100" w:type="dxa"/>
              <w:right w:w="100" w:type="dxa"/>
            </w:tcMar>
          </w:tcPr>
          <w:p w14:paraId="272E4C35" w14:textId="77777777" w:rsidR="00CC5BDD" w:rsidRDefault="00000000">
            <w:pPr>
              <w:widowControl w:val="0"/>
              <w:spacing w:line="229" w:lineRule="auto"/>
              <w:ind w:left="127" w:right="58" w:firstLine="7"/>
              <w:rPr>
                <w:rFonts w:ascii="Arial Narrow" w:eastAsia="Arial Narrow" w:hAnsi="Arial Narrow" w:cs="Arial Narrow"/>
                <w:sz w:val="24"/>
                <w:szCs w:val="24"/>
              </w:rPr>
            </w:pPr>
            <w:r>
              <w:rPr>
                <w:rFonts w:ascii="Arial Narrow" w:eastAsia="Arial Narrow" w:hAnsi="Arial Narrow" w:cs="Arial Narrow"/>
                <w:sz w:val="24"/>
                <w:szCs w:val="24"/>
              </w:rPr>
              <w:t xml:space="preserve">Exhorta al Gobierno Nacional a incluir en los documentos de identificación la categoría de género no binaria y puntualiza: </w:t>
            </w:r>
          </w:p>
          <w:p w14:paraId="362E4D05" w14:textId="77777777" w:rsidR="00CC5BDD" w:rsidRDefault="00000000">
            <w:pPr>
              <w:widowControl w:val="0"/>
              <w:spacing w:before="281" w:line="229" w:lineRule="auto"/>
              <w:ind w:left="126" w:right="73" w:firstLine="1"/>
              <w:jc w:val="both"/>
              <w:rPr>
                <w:rFonts w:ascii="Arial Narrow" w:eastAsia="Arial Narrow" w:hAnsi="Arial Narrow" w:cs="Arial Narrow"/>
                <w:sz w:val="24"/>
                <w:szCs w:val="24"/>
              </w:rPr>
            </w:pPr>
            <w:r>
              <w:rPr>
                <w:rFonts w:ascii="Arial Narrow" w:eastAsia="Arial Narrow" w:hAnsi="Arial Narrow" w:cs="Arial Narrow"/>
                <w:sz w:val="24"/>
                <w:szCs w:val="24"/>
              </w:rPr>
              <w:t>“En Colombia, con ocasión de las creencias sociales las personas LGBTI experimentan múltiples obstáculos para la manifestación de su identidad y el ejercicio de sus derechos”.</w:t>
            </w:r>
          </w:p>
        </w:tc>
      </w:tr>
    </w:tbl>
    <w:p w14:paraId="1D9044C5" w14:textId="77777777" w:rsidR="00CC5BDD" w:rsidRDefault="00CC5BDD">
      <w:pPr>
        <w:widowControl w:val="0"/>
        <w:rPr>
          <w:rFonts w:ascii="Arial Narrow" w:eastAsia="Arial Narrow" w:hAnsi="Arial Narrow" w:cs="Arial Narrow"/>
          <w:sz w:val="24"/>
          <w:szCs w:val="24"/>
        </w:rPr>
      </w:pPr>
    </w:p>
    <w:p w14:paraId="42AAF882"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Normativamente el ordenamiento jurídico también tiene herramientas para garantizar el goce efectivo de </w:t>
      </w:r>
      <w:r>
        <w:rPr>
          <w:rFonts w:ascii="Arial Narrow" w:eastAsia="Arial Narrow" w:hAnsi="Arial Narrow" w:cs="Arial Narrow"/>
          <w:sz w:val="24"/>
          <w:szCs w:val="24"/>
        </w:rPr>
        <w:lastRenderedPageBreak/>
        <w:t>los derechos de las personas LGBTI en el país, como es el caso del Decreto 762 de 2018</w:t>
      </w:r>
      <w:r>
        <w:rPr>
          <w:rFonts w:ascii="Arial Narrow" w:eastAsia="Arial Narrow" w:hAnsi="Arial Narrow" w:cs="Arial Narrow"/>
          <w:sz w:val="24"/>
          <w:szCs w:val="24"/>
          <w:vertAlign w:val="superscript"/>
        </w:rPr>
        <w:footnoteReference w:id="12"/>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que tiene como objeto el reconocimiento de la igualdad y dignidad de todas las personas LGBTI y sus derechos inalienables. En el Decreto se incluye un lineamiento estratégico orientado a promover el reconocimiento e inclusión de la diversidad sexual mediante estrategias que promuevan el respeto y el reconocimiento de una sociedad plural y diversa.</w:t>
      </w:r>
    </w:p>
    <w:p w14:paraId="340C5CE2" w14:textId="77777777" w:rsidR="00CC5BDD" w:rsidRDefault="00000000">
      <w:pPr>
        <w:widowControl w:val="0"/>
        <w:numPr>
          <w:ilvl w:val="0"/>
          <w:numId w:val="1"/>
        </w:numPr>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Panorama actual de los ECOSIEG en Colombia.</w:t>
      </w:r>
    </w:p>
    <w:p w14:paraId="595412C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 bien los estándares internacionales sobre trastornos, enfermedades y desórdenes mentales ya no incluyen las orientaciones sexuales no heterosexuales ni las identidades y expresiones de género diversas como una patología aún existen diferentes corrientes de pensamiento que tienden a asumir la diversidad sexual y de género como una enfermedad y en consecuencia llevan a cabo prácticas para cambiar, revertir, reprimir o corregir la diversidad sexual.</w:t>
      </w:r>
    </w:p>
    <w:p w14:paraId="096163D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Esas prácticas que, como se demuestra a continuación, aún se mantienen son una modalidad clara de violencia contra la población LGBTI y una vulneración directa a sus derechos sexuales y reproductivos. Así lo concluye el último informe de la Comisión Interamericana de Derechos Humanos, CIDH, sobre las violencias en contra de lesbianas, </w:t>
      </w:r>
      <w:proofErr w:type="spellStart"/>
      <w:r>
        <w:rPr>
          <w:rFonts w:ascii="Arial Narrow" w:eastAsia="Arial Narrow" w:hAnsi="Arial Narrow" w:cs="Arial Narrow"/>
          <w:sz w:val="24"/>
          <w:szCs w:val="24"/>
        </w:rPr>
        <w:t>gays</w:t>
      </w:r>
      <w:proofErr w:type="spellEnd"/>
      <w:r>
        <w:rPr>
          <w:rFonts w:ascii="Arial Narrow" w:eastAsia="Arial Narrow" w:hAnsi="Arial Narrow" w:cs="Arial Narrow"/>
          <w:sz w:val="24"/>
          <w:szCs w:val="24"/>
        </w:rPr>
        <w:t>, bisexuales, transexuales e intersexuales en las Américas</w:t>
      </w:r>
      <w:r>
        <w:rPr>
          <w:rFonts w:ascii="Arial Narrow" w:eastAsia="Arial Narrow" w:hAnsi="Arial Narrow" w:cs="Arial Narrow"/>
          <w:sz w:val="24"/>
          <w:szCs w:val="24"/>
          <w:vertAlign w:val="superscript"/>
        </w:rPr>
        <w:footnoteReference w:id="13"/>
      </w:r>
      <w:r>
        <w:rPr>
          <w:rFonts w:ascii="Arial Narrow" w:eastAsia="Arial Narrow" w:hAnsi="Arial Narrow" w:cs="Arial Narrow"/>
          <w:sz w:val="24"/>
          <w:szCs w:val="24"/>
        </w:rPr>
        <w:t>.</w:t>
      </w:r>
    </w:p>
    <w:p w14:paraId="783FF922"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informe en cuestión revela que la CIDH ha recibido reportes y denuncias sobre personas, especialmente jóvenes, que están siendo sometidas a tratos crueles, inhumanos y degradantes que hacen parte de terapias o tratamientos psicoterapéuticos en clínicas o centros de rehabilitación en donde sufren abuso físico y emocional con la finalidad de cambiar o reprimir su orientación sexual o identidad o expresión de género, concretamente el informe concluye: </w:t>
      </w:r>
    </w:p>
    <w:p w14:paraId="494578E0" w14:textId="77777777" w:rsidR="00CC5BDD" w:rsidRDefault="00000000">
      <w:pPr>
        <w:widowControl w:val="0"/>
        <w:spacing w:before="169" w:line="240" w:lineRule="auto"/>
        <w:ind w:left="720"/>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“Las víctimas por lo general son expuestas a abuso verbal sistemático, gritos, humillaciones y amenazas, son hospedados en habitaciones con hacinamiento y recluidos en aislamiento durante largos periodos de tiempo; son privados de alimentos durante varios días u obligados a comer alimentos insalubres y beber aguas </w:t>
      </w:r>
      <w:proofErr w:type="gramStart"/>
      <w:r>
        <w:rPr>
          <w:rFonts w:ascii="Arial Narrow" w:eastAsia="Arial Narrow" w:hAnsi="Arial Narrow" w:cs="Arial Narrow"/>
          <w:i/>
          <w:sz w:val="24"/>
          <w:szCs w:val="24"/>
        </w:rPr>
        <w:t>contaminadas ”</w:t>
      </w:r>
      <w:proofErr w:type="gramEnd"/>
      <w:r>
        <w:rPr>
          <w:rFonts w:ascii="Arial Narrow" w:eastAsia="Arial Narrow" w:hAnsi="Arial Narrow" w:cs="Arial Narrow"/>
          <w:i/>
          <w:sz w:val="24"/>
          <w:szCs w:val="24"/>
          <w:vertAlign w:val="superscript"/>
        </w:rPr>
        <w:footnoteReference w:id="14"/>
      </w:r>
      <w:r>
        <w:rPr>
          <w:rFonts w:ascii="Arial Narrow" w:eastAsia="Arial Narrow" w:hAnsi="Arial Narrow" w:cs="Arial Narrow"/>
          <w:i/>
          <w:sz w:val="24"/>
          <w:szCs w:val="24"/>
        </w:rPr>
        <w:t xml:space="preserve"> </w:t>
      </w:r>
    </w:p>
    <w:p w14:paraId="093AF60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Ese tipo de prácticas también han sido documentadas por la Asociación Internacional de Lesbianas y </w:t>
      </w:r>
      <w:proofErr w:type="spellStart"/>
      <w:r>
        <w:rPr>
          <w:rFonts w:ascii="Arial Narrow" w:eastAsia="Arial Narrow" w:hAnsi="Arial Narrow" w:cs="Arial Narrow"/>
          <w:sz w:val="24"/>
          <w:szCs w:val="24"/>
        </w:rPr>
        <w:t>Gays</w:t>
      </w:r>
      <w:proofErr w:type="spellEnd"/>
      <w:r>
        <w:rPr>
          <w:rFonts w:ascii="Arial Narrow" w:eastAsia="Arial Narrow" w:hAnsi="Arial Narrow" w:cs="Arial Narrow"/>
          <w:sz w:val="24"/>
          <w:szCs w:val="24"/>
        </w:rPr>
        <w:t>, ILGA, adscrita al Consejo Económico y Social de las Naciones Unidas, quien en su informe del año 2020 titulado poniéndole límites al engaño: un estudio jurídico mundial sobre la regulación legal de las mal llamadas terapias de conversión</w:t>
      </w:r>
      <w:r>
        <w:rPr>
          <w:rFonts w:ascii="Arial Narrow" w:eastAsia="Arial Narrow" w:hAnsi="Arial Narrow" w:cs="Arial Narrow"/>
          <w:sz w:val="24"/>
          <w:szCs w:val="24"/>
          <w:vertAlign w:val="superscript"/>
        </w:rPr>
        <w:footnoteReference w:id="15"/>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catálogo las diversas modalidades de ECOSIEG que se pueden presentar.</w:t>
      </w:r>
    </w:p>
    <w:p w14:paraId="35FD3D6A" w14:textId="77777777" w:rsidR="00CC5BDD" w:rsidRDefault="00000000">
      <w:pPr>
        <w:widowControl w:val="0"/>
        <w:spacing w:before="169" w:line="240" w:lineRule="auto"/>
        <w:jc w:val="both"/>
        <w:rPr>
          <w:rFonts w:ascii="Arial Narrow" w:eastAsia="Arial Narrow" w:hAnsi="Arial Narrow" w:cs="Arial Narrow"/>
          <w:color w:val="1155CC"/>
          <w:sz w:val="24"/>
          <w:szCs w:val="24"/>
        </w:rPr>
      </w:pPr>
      <w:r>
        <w:rPr>
          <w:rFonts w:ascii="Arial Narrow" w:eastAsia="Arial Narrow" w:hAnsi="Arial Narrow" w:cs="Arial Narrow"/>
          <w:sz w:val="24"/>
          <w:szCs w:val="24"/>
        </w:rPr>
        <w:t xml:space="preserve">Dentro de las modalidades documentadas por ILGA que se usan en la actualidad están las prácticas de internación y aislamiento que consisten en alejar a la persona del mundo exterior y de dominar y controlar las necesidades básicas del individuo mientras se encuentra internado en una clínica o un centro de rehabilitación. También son frecuentes las técnicas aversivas que tienen como finalidad modificar el comportamiento sometiendo un estímulo a una sensación negativa, es decir, provocar placer, pero hacer sentir dolor para que los estímulos que provocaron el placer sean asociados mentalmente a algo negativo. </w:t>
      </w:r>
    </w:p>
    <w:p w14:paraId="4F29E14D"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Del mismo modo ILGA tiene documentadas formas de ECOSIEG que atentan contra la dignidad humana </w:t>
      </w:r>
      <w:r>
        <w:rPr>
          <w:rFonts w:ascii="Arial Narrow" w:eastAsia="Arial Narrow" w:hAnsi="Arial Narrow" w:cs="Arial Narrow"/>
          <w:sz w:val="24"/>
          <w:szCs w:val="24"/>
        </w:rPr>
        <w:lastRenderedPageBreak/>
        <w:t xml:space="preserve">de las personas al generar culpa y miedo por tener una orientación o una identidad o expresión de género diversa, tal es el caso de las técnicas de psicoterapia que tienen como finalidad comprender el origen de la conducta tratándola siempre como algo desviado que puede corregirse y el caso del </w:t>
      </w:r>
      <w:proofErr w:type="spellStart"/>
      <w:r>
        <w:rPr>
          <w:rFonts w:ascii="Arial Narrow" w:eastAsia="Arial Narrow" w:hAnsi="Arial Narrow" w:cs="Arial Narrow"/>
          <w:sz w:val="24"/>
          <w:szCs w:val="24"/>
        </w:rPr>
        <w:t>counseling</w:t>
      </w:r>
      <w:proofErr w:type="spellEnd"/>
      <w:r>
        <w:rPr>
          <w:rFonts w:ascii="Arial Narrow" w:eastAsia="Arial Narrow" w:hAnsi="Arial Narrow" w:cs="Arial Narrow"/>
          <w:sz w:val="24"/>
          <w:szCs w:val="24"/>
        </w:rPr>
        <w:t xml:space="preserve"> en donde por medio de un asesoramiento religioso se pretende alinear la orientación sexual y la identidad y expresión de género a los cánones heteronormativos, binarios y cisgénero. </w:t>
      </w:r>
    </w:p>
    <w:p w14:paraId="14B51FFE"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Las dinámicas de los ECOSIEG tienen fachadas diversas y un espectro amplio de alcance, así lo demuestra el colectivo de periodismo feminista Volcánicas que realizó un reportaje denominado “inconvertibles: la lucha en contra de las mal llamadas terapias de conversión, una tortura para las personas LGBTI”</w:t>
      </w:r>
      <w:r>
        <w:rPr>
          <w:rFonts w:ascii="Arial Narrow" w:eastAsia="Arial Narrow" w:hAnsi="Arial Narrow" w:cs="Arial Narrow"/>
          <w:sz w:val="24"/>
          <w:szCs w:val="24"/>
          <w:vertAlign w:val="superscript"/>
        </w:rPr>
        <w:footnoteReference w:id="16"/>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en donde se afirma que los ECOSIEG tienen una diversidad de actores involucrados que van más allá de la persona sometida al ECOSIEG y quien lo proporciona puesto que involucra a todo un entorno cercano que promueve las mal llamadas terapias de conversión.</w:t>
      </w:r>
    </w:p>
    <w:p w14:paraId="0398FEA9"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año 2020 el Instituto Williams de la Universidad de California en Los Ángeles realizó una encuesta en Colombia a personas sexualmente diversas con el fin de proporcionar una visión general e integral del estado de la salud y el bienestar de la población LGBTI colombiana. Los resultados fueron divulgados en el informe “Estrés, Salud y Bienestar de las personas LGBT en Colombia” y revelan que el 21% de las personas LGBTI ha recibido tratamiento de alguien que trató de cambiar o impedir su orientación sexual no heterosexual o su identidad y expresión de género diversa. </w:t>
      </w:r>
    </w:p>
    <w:p w14:paraId="1F6E5364"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cifra demuestra que en Colombia uno (1) de cada cinco (5) personas LGBTI ha sido sometida a un ECOSIEG, lo que significa que el 25% de las mujeres lesbianas, el 17% de las mujeres bisexuales, el 21% de los hombres bisexuales y el 35% de las personas transgénero ha sido víctima de un ECOSIEG. </w:t>
      </w:r>
    </w:p>
    <w:p w14:paraId="6681ED6E" w14:textId="77777777" w:rsidR="00CC5BDD" w:rsidRDefault="00000000">
      <w:pPr>
        <w:widowControl w:val="0"/>
        <w:spacing w:before="169" w:line="240" w:lineRule="auto"/>
        <w:ind w:left="2910"/>
        <w:rPr>
          <w:rFonts w:ascii="Arial Narrow" w:eastAsia="Arial Narrow" w:hAnsi="Arial Narrow" w:cs="Arial Narrow"/>
          <w:b/>
          <w:i/>
          <w:sz w:val="24"/>
          <w:szCs w:val="24"/>
        </w:rPr>
      </w:pPr>
      <w:r>
        <w:rPr>
          <w:rFonts w:ascii="Arial Narrow" w:eastAsia="Arial Narrow" w:hAnsi="Arial Narrow" w:cs="Arial Narrow"/>
          <w:b/>
          <w:i/>
          <w:sz w:val="24"/>
          <w:szCs w:val="24"/>
        </w:rPr>
        <w:t xml:space="preserve">Gráfica 2. Fuente: Elaboración propia </w:t>
      </w:r>
    </w:p>
    <w:p w14:paraId="217E8774" w14:textId="77777777" w:rsidR="00CC5BDD" w:rsidRDefault="00000000">
      <w:pPr>
        <w:widowControl w:val="0"/>
        <w:spacing w:before="305" w:line="240" w:lineRule="auto"/>
        <w:ind w:left="1705"/>
        <w:rPr>
          <w:rFonts w:ascii="Arial Narrow" w:eastAsia="Arial Narrow" w:hAnsi="Arial Narrow" w:cs="Arial Narrow"/>
          <w:b/>
          <w:i/>
          <w:sz w:val="24"/>
          <w:szCs w:val="24"/>
        </w:rPr>
      </w:pPr>
      <w:r>
        <w:rPr>
          <w:rFonts w:ascii="Arial Narrow" w:eastAsia="Arial Narrow" w:hAnsi="Arial Narrow" w:cs="Arial Narrow"/>
          <w:b/>
          <w:i/>
          <w:noProof/>
          <w:sz w:val="24"/>
          <w:szCs w:val="24"/>
        </w:rPr>
        <w:drawing>
          <wp:inline distT="19050" distB="19050" distL="19050" distR="19050" wp14:anchorId="11291D7F" wp14:editId="715D4B47">
            <wp:extent cx="3619500" cy="234315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619500" cy="2343150"/>
                    </a:xfrm>
                    <a:prstGeom prst="rect">
                      <a:avLst/>
                    </a:prstGeom>
                    <a:ln/>
                  </pic:spPr>
                </pic:pic>
              </a:graphicData>
            </a:graphic>
          </wp:inline>
        </w:drawing>
      </w:r>
    </w:p>
    <w:p w14:paraId="0E1F359A"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datos resultan alarmantes máxime cuando se tiene en consideración que el mismo estudio revela que uno (1) de cada cuatro (4) personas LGBTI en Colombia ha intentado suicidarse por motivos de discriminación. El 22% de las mujeres lesbianas, el 23% de los hombres gay, el 22% de los hombres bisexuales, el 33% de las mujeres bisexuales ha decidido deliberadamente lastimarse con la intención de morir al menos una vez en su vida. En las personas con identidades y expresiones de género diversas la cifra aumenta pues uno (1) de cada tres (3) personas con identidad y expresión de género diversa ha intentado quitarse la vida en Colombia. </w:t>
      </w:r>
    </w:p>
    <w:p w14:paraId="5E57FADC" w14:textId="77777777" w:rsidR="00CC5BDD" w:rsidRDefault="00CC5BDD">
      <w:pPr>
        <w:widowControl w:val="0"/>
        <w:spacing w:before="626" w:line="240" w:lineRule="auto"/>
        <w:ind w:left="2882"/>
        <w:rPr>
          <w:rFonts w:ascii="Arial Narrow" w:eastAsia="Arial Narrow" w:hAnsi="Arial Narrow" w:cs="Arial Narrow"/>
          <w:b/>
          <w:i/>
          <w:sz w:val="24"/>
          <w:szCs w:val="24"/>
        </w:rPr>
      </w:pPr>
    </w:p>
    <w:p w14:paraId="703FA050" w14:textId="77777777" w:rsidR="00CC5BDD" w:rsidRDefault="00CC5BDD">
      <w:pPr>
        <w:widowControl w:val="0"/>
        <w:spacing w:before="626" w:line="240" w:lineRule="auto"/>
        <w:ind w:left="2882"/>
        <w:rPr>
          <w:rFonts w:ascii="Arial Narrow" w:eastAsia="Arial Narrow" w:hAnsi="Arial Narrow" w:cs="Arial Narrow"/>
          <w:b/>
          <w:i/>
          <w:sz w:val="24"/>
          <w:szCs w:val="24"/>
        </w:rPr>
      </w:pPr>
    </w:p>
    <w:p w14:paraId="53F60776" w14:textId="77777777" w:rsidR="00CC5BDD" w:rsidRDefault="00000000">
      <w:pPr>
        <w:widowControl w:val="0"/>
        <w:spacing w:before="626" w:line="240" w:lineRule="auto"/>
        <w:ind w:left="2882"/>
        <w:rPr>
          <w:rFonts w:ascii="Arial Narrow" w:eastAsia="Arial Narrow" w:hAnsi="Arial Narrow" w:cs="Arial Narrow"/>
          <w:b/>
          <w:i/>
          <w:sz w:val="24"/>
          <w:szCs w:val="24"/>
        </w:rPr>
      </w:pPr>
      <w:r>
        <w:rPr>
          <w:rFonts w:ascii="Arial Narrow" w:eastAsia="Arial Narrow" w:hAnsi="Arial Narrow" w:cs="Arial Narrow"/>
          <w:b/>
          <w:i/>
          <w:sz w:val="24"/>
          <w:szCs w:val="24"/>
        </w:rPr>
        <w:t xml:space="preserve">Gráfica 3. Fuente: Elaboración propia. </w:t>
      </w:r>
    </w:p>
    <w:p w14:paraId="20891103" w14:textId="77777777" w:rsidR="00CC5BDD" w:rsidRDefault="00000000">
      <w:pPr>
        <w:widowControl w:val="0"/>
        <w:spacing w:before="215" w:line="240" w:lineRule="auto"/>
        <w:ind w:left="1885"/>
        <w:rPr>
          <w:rFonts w:ascii="Arial Narrow" w:eastAsia="Arial Narrow" w:hAnsi="Arial Narrow" w:cs="Arial Narrow"/>
          <w:b/>
          <w:i/>
          <w:sz w:val="24"/>
          <w:szCs w:val="24"/>
        </w:rPr>
      </w:pPr>
      <w:r>
        <w:rPr>
          <w:rFonts w:ascii="Arial Narrow" w:eastAsia="Arial Narrow" w:hAnsi="Arial Narrow" w:cs="Arial Narrow"/>
          <w:b/>
          <w:i/>
          <w:noProof/>
          <w:sz w:val="24"/>
          <w:szCs w:val="24"/>
        </w:rPr>
        <w:drawing>
          <wp:inline distT="19050" distB="19050" distL="19050" distR="19050" wp14:anchorId="231DE133" wp14:editId="4C55257D">
            <wp:extent cx="3257550" cy="234315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57550" cy="2343150"/>
                    </a:xfrm>
                    <a:prstGeom prst="rect">
                      <a:avLst/>
                    </a:prstGeom>
                    <a:ln/>
                  </pic:spPr>
                </pic:pic>
              </a:graphicData>
            </a:graphic>
          </wp:inline>
        </w:drawing>
      </w:r>
    </w:p>
    <w:p w14:paraId="455E5D15"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octubre de 2021 el medio de comunicación RCN Radio dio a conocer el testimonio de una persona homosexual que fue sometida a una mal llamada terapia de conversión en una nota denominada “Testimonios sobre terapias de conversión” y las prácticas que vulneran los derechos de personas LGBTQ”</w:t>
      </w:r>
      <w:r>
        <w:rPr>
          <w:rFonts w:ascii="Arial Narrow" w:eastAsia="Arial Narrow" w:hAnsi="Arial Narrow" w:cs="Arial Narrow"/>
          <w:sz w:val="24"/>
          <w:szCs w:val="24"/>
          <w:vertAlign w:val="superscript"/>
        </w:rPr>
        <w:footnoteReference w:id="17"/>
      </w:r>
      <w:r>
        <w:rPr>
          <w:rFonts w:ascii="Arial Narrow" w:eastAsia="Arial Narrow" w:hAnsi="Arial Narrow" w:cs="Arial Narrow"/>
          <w:sz w:val="24"/>
          <w:szCs w:val="24"/>
        </w:rPr>
        <w:t xml:space="preserve">. Allí se dio a conocer que “cada terapia de conversión” es decir, cada ECOSIEG, tiene unas características particulares y se publicó un testimonio en el cual la víctima afirma haber asistido a reuniones en donde lo hacían orar con el fin de abandonar su orientación sexual diversa. </w:t>
      </w:r>
    </w:p>
    <w:p w14:paraId="5025C2EC"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mismo mes el colectivo de periodismo feminista Volcánicas publicó el reportaje denominado “inconvertibles: la lucha en contra de las mal llamadas terapias de conversión, una tortura para las personas LGBTI”</w:t>
      </w:r>
      <w:r>
        <w:rPr>
          <w:rFonts w:ascii="Arial Narrow" w:eastAsia="Arial Narrow" w:hAnsi="Arial Narrow" w:cs="Arial Narrow"/>
          <w:sz w:val="24"/>
          <w:szCs w:val="24"/>
          <w:vertAlign w:val="superscript"/>
        </w:rPr>
        <w:footnoteReference w:id="18"/>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en el que se reúne una decena de testimonios de personas que afirman haber sido sometidas a ECOSIEG donde además de intentar cambiar su orientación, identidad o expresión de género, les violentaron y abusaron de sus derechos. </w:t>
      </w:r>
    </w:p>
    <w:p w14:paraId="53B3BED6" w14:textId="77777777" w:rsidR="00CC5BDD" w:rsidRDefault="00000000">
      <w:pPr>
        <w:widowControl w:val="0"/>
        <w:spacing w:before="169" w:line="240" w:lineRule="auto"/>
        <w:jc w:val="both"/>
        <w:rPr>
          <w:rFonts w:ascii="Arial Narrow" w:eastAsia="Arial Narrow" w:hAnsi="Arial Narrow" w:cs="Arial Narrow"/>
          <w:color w:val="1155CC"/>
          <w:sz w:val="24"/>
          <w:szCs w:val="24"/>
        </w:rPr>
      </w:pPr>
      <w:r>
        <w:rPr>
          <w:rFonts w:ascii="Arial Narrow" w:eastAsia="Arial Narrow" w:hAnsi="Arial Narrow" w:cs="Arial Narrow"/>
          <w:sz w:val="24"/>
          <w:szCs w:val="24"/>
        </w:rPr>
        <w:t>Los testimonios tienen en común la manipulación emocional y psicológica ejercida por el entorno cercano de la persona, la patologización de las orientaciones sexuales no heterosexuales, las identidades y expresiones de género diversas y diferentes formas de violencia física y psicológica ejercida en centros de atención o rehabilitación o en iglesias y comunidades religiosas de Colombia.</w:t>
      </w:r>
    </w:p>
    <w:p w14:paraId="31ACEF2F"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febrero de 2022 la revista Semana publicó una investigación denominada “La casa del horror: así torturaban en Bogotá a jóvenes drogadictos, obesos y homosexuales”</w:t>
      </w:r>
      <w:r>
        <w:rPr>
          <w:rFonts w:ascii="Arial Narrow" w:eastAsia="Arial Narrow" w:hAnsi="Arial Narrow" w:cs="Arial Narrow"/>
          <w:sz w:val="24"/>
          <w:szCs w:val="24"/>
          <w:vertAlign w:val="superscript"/>
        </w:rPr>
        <w:footnoteReference w:id="19"/>
      </w:r>
      <w:r>
        <w:rPr>
          <w:rFonts w:ascii="Arial Narrow" w:eastAsia="Arial Narrow" w:hAnsi="Arial Narrow" w:cs="Arial Narrow"/>
          <w:sz w:val="24"/>
          <w:szCs w:val="24"/>
        </w:rPr>
        <w:t xml:space="preserve"> en donde se dio a conocer a la opinión pública que la IPS Resurgir a la vida ubicada en la ciudad de Bogotá fue allanada por la Fiscalía General de la Nación en un operativo en el que se capturaron a cinco personas investigadas por los </w:t>
      </w:r>
      <w:r>
        <w:rPr>
          <w:rFonts w:ascii="Arial Narrow" w:eastAsia="Arial Narrow" w:hAnsi="Arial Narrow" w:cs="Arial Narrow"/>
          <w:sz w:val="24"/>
          <w:szCs w:val="24"/>
        </w:rPr>
        <w:lastRenderedPageBreak/>
        <w:t xml:space="preserve">delitos de tortura agravada, secuestro, amenazas y concierto para delinquir. </w:t>
      </w:r>
    </w:p>
    <w:p w14:paraId="5260B6F0"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operativo se evidenció que la IPS tenía recluida a una persona homosexual a quien trataban de manera soez y vulgar permanentemente. Los testimonios recolectados por el medio de comunicación afirman que a la persona homosexual le repetían que “ahí se iba a volver un hombre” y lo maltrataban físicamente. </w:t>
      </w:r>
    </w:p>
    <w:p w14:paraId="6356FF5C"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investigación revela que la IPS proporcionaba sedantes a los familiares para doblegar la voluntad de la persona y poder así internarla dentro de las instalaciones en donde eran sometidos a un ritual de iniciación y a un régimen de disciplina que controlaba sus necesidades básicas y sanciona las faltas con castigos físicos y violentos tal y como lo confirma el periódico el tiempo en su reportaje “La IPS que funcionaba como una secta en el barrio Normandía”</w:t>
      </w:r>
      <w:r>
        <w:rPr>
          <w:rFonts w:ascii="Arial Narrow" w:eastAsia="Arial Narrow" w:hAnsi="Arial Narrow" w:cs="Arial Narrow"/>
          <w:sz w:val="24"/>
          <w:szCs w:val="24"/>
          <w:vertAlign w:val="superscript"/>
        </w:rPr>
        <w:footnoteReference w:id="20"/>
      </w:r>
    </w:p>
    <w:p w14:paraId="1B8F5506"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abril de 2022 el periódico El tiempo publicó una nota denominada “El duro relato de una colombiana sometida a una terapia de conversión gay” en la que se da cuenta de una historia de vida que ha estado marcada por los ECOSIEG desde terapias hormonales hasta exorcismos, el testimonio es confirmado por otros medios como la BBC</w:t>
      </w:r>
      <w:r>
        <w:rPr>
          <w:rFonts w:ascii="Arial Narrow" w:eastAsia="Arial Narrow" w:hAnsi="Arial Narrow" w:cs="Arial Narrow"/>
          <w:sz w:val="24"/>
          <w:szCs w:val="24"/>
          <w:vertAlign w:val="superscript"/>
        </w:rPr>
        <w:footnoteReference w:id="21"/>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y Noticias RCN</w:t>
      </w:r>
      <w:r>
        <w:rPr>
          <w:rFonts w:ascii="Arial Narrow" w:eastAsia="Arial Narrow" w:hAnsi="Arial Narrow" w:cs="Arial Narrow"/>
          <w:sz w:val="24"/>
          <w:szCs w:val="24"/>
          <w:vertAlign w:val="superscript"/>
        </w:rPr>
        <w:footnoteReference w:id="22"/>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quienes reconocen que los ECOSIEG aún son una práctica frecuente en Colombia y publicaron la historia de una mujer a quien su familia mediante engaños sometió desde que era menor de edad a prácticas degradantes e inhumanas para convertir y cambiar su orientación sexual e identidad de género. </w:t>
      </w:r>
    </w:p>
    <w:p w14:paraId="64BD908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Ahora bien, todas las modalidades de ECOSIEG que se practiquen son inocuas y no tienen sustento científico; Para demostrarlo La Organización Panamericana de la Salud en el año 2012 hizo un llamado a la comunidad internacional alertando que las mal llamadas terapias de conversión no tienen ninguna justificación médica y que al contrario de demostrar ser eficaces representan una grave amenaza para la salud mental y los derechos humanos de las personas LGBTIQ+</w:t>
      </w:r>
      <w:r>
        <w:rPr>
          <w:rFonts w:ascii="Arial Narrow" w:eastAsia="Arial Narrow" w:hAnsi="Arial Narrow" w:cs="Arial Narrow"/>
          <w:sz w:val="24"/>
          <w:szCs w:val="24"/>
          <w:vertAlign w:val="superscript"/>
        </w:rPr>
        <w:footnoteReference w:id="23"/>
      </w:r>
      <w:r>
        <w:rPr>
          <w:rFonts w:ascii="Arial Narrow" w:eastAsia="Arial Narrow" w:hAnsi="Arial Narrow" w:cs="Arial Narrow"/>
          <w:sz w:val="24"/>
          <w:szCs w:val="24"/>
        </w:rPr>
        <w:t>. Igual opinión tiene la Asociación de Psiquiatría Americana quien se opone a la patologización de la diversidad sexual y afirma que la orientación sexual no se puede cambiar y no requiere tratamiento.</w:t>
      </w:r>
      <w:r>
        <w:rPr>
          <w:rFonts w:ascii="Arial Narrow" w:eastAsia="Arial Narrow" w:hAnsi="Arial Narrow" w:cs="Arial Narrow"/>
          <w:sz w:val="24"/>
          <w:szCs w:val="24"/>
          <w:vertAlign w:val="superscript"/>
        </w:rPr>
        <w:footnoteReference w:id="24"/>
      </w:r>
    </w:p>
    <w:p w14:paraId="575EAAF0" w14:textId="77777777" w:rsidR="00CC5BDD" w:rsidRDefault="00000000">
      <w:pPr>
        <w:widowControl w:val="0"/>
        <w:numPr>
          <w:ilvl w:val="0"/>
          <w:numId w:val="1"/>
        </w:numPr>
        <w:spacing w:before="169"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El Derecho Internacional de los Derechos Humanos es vulnerado por los ECOSIEG. </w:t>
      </w:r>
    </w:p>
    <w:p w14:paraId="65D0AADA"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Los ECOSIEG no han demostrado ser eficaces, al contrario, se han constituido como una práctica discriminatoria y violenta que está basada en la patologización de las orientaciones sexuales no heterosexuales y las identidades y expresiones de género diversas y que representan una modalidad de tortura:</w:t>
      </w:r>
    </w:p>
    <w:p w14:paraId="11375C18" w14:textId="77777777" w:rsidR="00CC5BDD" w:rsidRDefault="00000000">
      <w:pPr>
        <w:widowControl w:val="0"/>
        <w:spacing w:before="169" w:line="240" w:lineRule="auto"/>
        <w:ind w:left="720"/>
        <w:jc w:val="both"/>
        <w:rPr>
          <w:rFonts w:ascii="Arial Narrow" w:eastAsia="Arial Narrow" w:hAnsi="Arial Narrow" w:cs="Arial Narrow"/>
          <w:i/>
          <w:sz w:val="24"/>
          <w:szCs w:val="24"/>
        </w:rPr>
      </w:pPr>
      <w:r>
        <w:rPr>
          <w:rFonts w:ascii="Arial Narrow" w:eastAsia="Arial Narrow" w:hAnsi="Arial Narrow" w:cs="Arial Narrow"/>
          <w:i/>
          <w:sz w:val="24"/>
          <w:szCs w:val="24"/>
        </w:rPr>
        <w:t>“dado que la terapia de conversión puede infligir dolor o sufrimiento intenso, dada también la ausencia de una justificación médica y de consentimiento libre e informado y que está arraigada en la discriminación basada en la orientación sexual o la identidad o expresión de género, estas prácticas pueden constituir un acto de tortura o, un ejemplo de otros tratos o penas crueles, inhumanos o degradantes”</w:t>
      </w:r>
      <w:r>
        <w:rPr>
          <w:rFonts w:ascii="Arial Narrow" w:eastAsia="Arial Narrow" w:hAnsi="Arial Narrow" w:cs="Arial Narrow"/>
          <w:i/>
          <w:sz w:val="24"/>
          <w:szCs w:val="24"/>
          <w:vertAlign w:val="superscript"/>
        </w:rPr>
        <w:footnoteReference w:id="25"/>
      </w:r>
    </w:p>
    <w:p w14:paraId="13D4B19B"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Las modalidades de los ECOSIEG van en contra entonces del derecho fundamental a no ser sometido a torturas ni a tratos o penas crueles inhumanas o degradantes consagrado en el artículo 12 de la Constitución Política y en el artículo 5.2 de la Convención Americana sobre Derechos Humanos. El hecho de intentar convertir o reprimir la orientación sexual, identidad o expresión de género de alguien parte de la premisa de no reconocer al otro como igual, lo que genera una discriminación y un escenario de desigualdad en el acceso y disfrute de los Derechos Fundamentales. </w:t>
      </w:r>
    </w:p>
    <w:p w14:paraId="61AE3337"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Así mismo los ECOSIEG se constituyen como un escenario de discriminación en contra de la población LGBTI, lo que contradice el artículo 13 constitucional que establece que todas las personas nacen libres e iguales ante la ley, recibirán la misma protección y trato de las autoridades y gozarán de los mismos derechos, libertades y oportunidades sin ninguna discriminación por razones de sexo, raza, origen, lengua, religión u opinión. </w:t>
      </w:r>
    </w:p>
    <w:p w14:paraId="72EFAFC0"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Ejemplo de lo anterior es la observación general No. 22 del Comité de los Derechos Económicos, Sociales y Culturales de las Naciones Unidas sobre el derecho a la salud sexual y reproductiva, que concluye que los ECOSIEG vulneran el principio de no discriminación que exige que las personas LGBTI sean plenamente respetadas por su orientación sexual, identidad y expresión de género y no deben ser tratadas como pacientes que necesitan ser curados mediante algún tratamiento. </w:t>
      </w:r>
    </w:p>
    <w:p w14:paraId="703652BB"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ese sentido la observación considera que los ECOSIEG pueden causar graves daños psicológicos incluyendo ansiedad, confusión, ira, culpa, vergüenza, baja autoestima y entre otras consecuencias negativas que motivan a las personas LGBTI al suicidio ya que como lo demuestra el Proyecto Global Contra el Odio y el Extremismo las personas LGBTI que han experimentado un ECOSIEG tienen casi el doble de probabilidad de cometer conductas suicidas en comparación con las personas LGBTI que no han experimentado un ECOSIEG.</w:t>
      </w:r>
      <w:r>
        <w:rPr>
          <w:rFonts w:ascii="Arial Narrow" w:eastAsia="Arial Narrow" w:hAnsi="Arial Narrow" w:cs="Arial Narrow"/>
          <w:sz w:val="24"/>
          <w:szCs w:val="24"/>
          <w:vertAlign w:val="superscript"/>
        </w:rPr>
        <w:footnoteReference w:id="26"/>
      </w:r>
    </w:p>
    <w:p w14:paraId="6F10C50B"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Dichas afectaciones son una vulneración clara al Derecho a la Salud reconocido como fundamental en la Ley Estatutaria 1751 de 2015 y en el artículo 12 del Pacto Internacional de Derechos Económicos, Sociales y Culturales ratificado por Colombia por la Ley 74 de 1968.</w:t>
      </w:r>
    </w:p>
    <w:p w14:paraId="71643399"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Además de lo anterior los ECOSIGG representan una vulneración a las libertades fundamentales de cada individuo, particularmente el libre desarrollo de la personalidad consagrado en el artículo 16 de la Constitución Política, la libertad de expresión consagrado en el artículo 20 de la Constitución Política y el derecho al reconocimiento de su personalidad jurídica consagrado en el artículo 14 de la Constitución.</w:t>
      </w:r>
    </w:p>
    <w:p w14:paraId="2C1C777C"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Diferentes organizaciones reconocen que los ECOSIGG suelen practicarse a una edad temprana en la que los niños, niñas y adolescentes son más vulnerables a la presión de sus padres y entorno cercano</w:t>
      </w:r>
      <w:r>
        <w:rPr>
          <w:rFonts w:ascii="Arial Narrow" w:eastAsia="Arial Narrow" w:hAnsi="Arial Narrow" w:cs="Arial Narrow"/>
          <w:sz w:val="24"/>
          <w:szCs w:val="24"/>
          <w:vertAlign w:val="superscript"/>
        </w:rPr>
        <w:footnoteReference w:id="27"/>
      </w:r>
      <w:r>
        <w:rPr>
          <w:rFonts w:ascii="Arial Narrow" w:eastAsia="Arial Narrow" w:hAnsi="Arial Narrow" w:cs="Arial Narrow"/>
          <w:sz w:val="24"/>
          <w:szCs w:val="24"/>
        </w:rPr>
        <w:t xml:space="preserve"> lo que provoca que se internalicen en el menor valores negativos sobre la diversidad sexual y se generen consecuencias negativas en su salud mental</w:t>
      </w:r>
      <w:r>
        <w:rPr>
          <w:rFonts w:ascii="Arial Narrow" w:eastAsia="Arial Narrow" w:hAnsi="Arial Narrow" w:cs="Arial Narrow"/>
          <w:sz w:val="24"/>
          <w:szCs w:val="24"/>
          <w:vertAlign w:val="superscript"/>
        </w:rPr>
        <w:footnoteReference w:id="28"/>
      </w:r>
      <w:r>
        <w:rPr>
          <w:rFonts w:ascii="Arial Narrow" w:eastAsia="Arial Narrow" w:hAnsi="Arial Narrow" w:cs="Arial Narrow"/>
          <w:sz w:val="24"/>
          <w:szCs w:val="24"/>
        </w:rPr>
        <w:t>, lo que va en contra de los Derechos Fundamentales de los menores de edad, que en razón al artículo 44 constitucional tienen un interés superior en el ordenamiento jurídico, y en contra de la Convención Internacional sobre los Derechos del Niño ratificada por Colombia en la Ley 12 de 1991.</w:t>
      </w:r>
      <w:r>
        <w:rPr>
          <w:rFonts w:ascii="Arial Narrow" w:eastAsia="Arial Narrow" w:hAnsi="Arial Narrow" w:cs="Arial Narrow"/>
          <w:sz w:val="24"/>
          <w:szCs w:val="24"/>
          <w:vertAlign w:val="superscript"/>
        </w:rPr>
        <w:footnoteReference w:id="29"/>
      </w:r>
    </w:p>
    <w:p w14:paraId="5B20901C"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otro lado, en el Derecho Internacional de los Derechos Humanos existen unos principios sobre la </w:t>
      </w:r>
      <w:r>
        <w:rPr>
          <w:rFonts w:ascii="Arial Narrow" w:eastAsia="Arial Narrow" w:hAnsi="Arial Narrow" w:cs="Arial Narrow"/>
          <w:sz w:val="24"/>
          <w:szCs w:val="24"/>
        </w:rPr>
        <w:lastRenderedPageBreak/>
        <w:t>aplicación de la legislación internacional de derechos humanos en relación con la orientación sexual y la identidad de género denominados los Principios de Yogyakarta</w:t>
      </w:r>
      <w:r>
        <w:rPr>
          <w:rFonts w:ascii="Arial Narrow" w:eastAsia="Arial Narrow" w:hAnsi="Arial Narrow" w:cs="Arial Narrow"/>
          <w:sz w:val="24"/>
          <w:szCs w:val="24"/>
          <w:vertAlign w:val="superscript"/>
        </w:rPr>
        <w:footnoteReference w:id="30"/>
      </w:r>
      <w:r>
        <w:rPr>
          <w:rFonts w:ascii="Arial Narrow" w:eastAsia="Arial Narrow" w:hAnsi="Arial Narrow" w:cs="Arial Narrow"/>
          <w:sz w:val="24"/>
          <w:szCs w:val="24"/>
        </w:rPr>
        <w:t xml:space="preserve">, los cuales orientan la aplicación de los derechos humanos a la orientación sexual y la identidad de género. </w:t>
      </w:r>
    </w:p>
    <w:p w14:paraId="0B4567A1"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Son 29 principios que buscan brindar recomendaciones a los Estados sobre la garantía para el acceso y el disfrute de los derechos humanos de la población sexualmente diversa, de ellos hay tres que están relacionados con los ECOSIEG y que se pueden ver vulnerados con la ausencia de una prohibición a los ECOSIEG: No discriminación, Reconocimiento de la personalidad jurídica y no ser sometido a tortura, tratos crueles, inhumanos o degradantes.</w:t>
      </w:r>
    </w:p>
    <w:p w14:paraId="00A53CB8" w14:textId="77777777" w:rsidR="00CC5BDD" w:rsidRDefault="00000000">
      <w:pPr>
        <w:widowControl w:val="0"/>
        <w:numPr>
          <w:ilvl w:val="0"/>
          <w:numId w:val="1"/>
        </w:numPr>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Recomendaciones internacionales para legislar sobre los ECOSIEG. </w:t>
      </w:r>
    </w:p>
    <w:p w14:paraId="5E171F4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ECOSIEG han llamado la atención de la comunidad internacional y en particular la de organismos multilaterales y Organizaciones No Gubernamentales activistas por la defensa de los derechos de las personas LGBTI por representar un contexto de discriminación y vulneración de derechos. </w:t>
      </w:r>
    </w:p>
    <w:p w14:paraId="3817EF17"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ECOSIEG se han asociado a una vulneración al derecho a la salud, particularmente como una vulneración a la salud sexual y reproductiva. En ese orden de ideas, la observación general No. 22 del Comité de los Derechos Económicos, Sociales y Culturales de las Naciones Unidas relativa al derecho a la salud sexual y reproductiva reconoce que la población LGBTI es más propensa a ser objeto de discriminación múltiple y en razón de ello recomienda a los Estados contar con leyes que prevengan y eliminen la discriminación, el estigma y los estereotipos negativos en el contexto de la salud sexual. </w:t>
      </w:r>
    </w:p>
    <w:p w14:paraId="093C13CF"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Establece las Naciones Unidas en el documento que los Estados tienen la obligación de proteger a su población de la vulneración de derechos humanos en el contexto de la salud sexual mediante herramientas que eviten la injerencia directa o indirecta de terceros en el disfrute del derecho a la salud sexual y reproductiva, por ello recomienda a los Estados que aprueben leyes que prohíban las prácticas nocivas y los comportamientos de terceros que causen daño a la integridad física o mental o que vulneren el derecho a la salud. </w:t>
      </w:r>
    </w:p>
    <w:p w14:paraId="60D0A67E"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Esa recomendación se acentúa en el Informe “Practica de las llamadas “terapias de conversión”</w:t>
      </w:r>
      <w:r>
        <w:rPr>
          <w:rFonts w:ascii="Arial Narrow" w:eastAsia="Arial Narrow" w:hAnsi="Arial Narrow" w:cs="Arial Narrow"/>
          <w:sz w:val="24"/>
          <w:szCs w:val="24"/>
          <w:vertAlign w:val="superscript"/>
        </w:rPr>
        <w:footnoteReference w:id="31"/>
      </w:r>
      <w:r>
        <w:rPr>
          <w:rFonts w:ascii="Arial Narrow" w:eastAsia="Arial Narrow" w:hAnsi="Arial Narrow" w:cs="Arial Narrow"/>
          <w:sz w:val="24"/>
          <w:szCs w:val="24"/>
        </w:rPr>
        <w:t xml:space="preserve"> del experto independiente sobre la protección contra la violencia y la discriminación por motivos de orientación sexual o identidad de género del Comité de los Derechos Económicos, Sociales y Culturales de las Naciones Unidas, en donde concretamente se recomienda a los Estados que prohíban las terapias de conversión y se ofrecen algunas consideraciones para lograr la prohibición: </w:t>
      </w:r>
    </w:p>
    <w:p w14:paraId="3F9015C0" w14:textId="77777777" w:rsidR="00CC5BDD" w:rsidRDefault="00000000">
      <w:pPr>
        <w:widowControl w:val="0"/>
        <w:spacing w:before="307" w:line="247" w:lineRule="auto"/>
        <w:ind w:left="848" w:right="477" w:hanging="337"/>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 “Estableciendo por las vías jurídicas o administrativas que correspondan, una definición de las prácticas prohibidas y velando por que no se utilicen fondos públicos de manera directa o indirecta, para financiarlas” </w:t>
      </w:r>
    </w:p>
    <w:p w14:paraId="159F48C2" w14:textId="77777777" w:rsidR="00CC5BDD" w:rsidRDefault="00000000">
      <w:pPr>
        <w:widowControl w:val="0"/>
        <w:spacing w:before="307" w:line="247" w:lineRule="auto"/>
        <w:ind w:left="848" w:right="474" w:hanging="337"/>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 “prohibiendo la publicidad de las terapias de conversión y la aplicación de esas terapias en los entornos sanitarios, religiosos, educativos, comunitarios, comerciales o de otra índole ya sean públicos o privados” </w:t>
      </w:r>
    </w:p>
    <w:p w14:paraId="1AB7046F" w14:textId="77777777" w:rsidR="00CC5BDD" w:rsidRDefault="00000000">
      <w:pPr>
        <w:widowControl w:val="0"/>
        <w:spacing w:before="307" w:line="247" w:lineRule="auto"/>
        <w:ind w:left="860" w:right="497" w:hanging="349"/>
        <w:rPr>
          <w:rFonts w:ascii="Arial Narrow" w:eastAsia="Arial Narrow" w:hAnsi="Arial Narrow" w:cs="Arial Narrow"/>
          <w:i/>
          <w:sz w:val="24"/>
          <w:szCs w:val="24"/>
        </w:rPr>
      </w:pPr>
      <w:r>
        <w:rPr>
          <w:rFonts w:ascii="Arial Narrow" w:eastAsia="Arial Narrow" w:hAnsi="Arial Narrow" w:cs="Arial Narrow"/>
          <w:i/>
          <w:sz w:val="24"/>
          <w:szCs w:val="24"/>
        </w:rPr>
        <w:t xml:space="preserve">● “Estableciendo un sistema de sanciones para quienes no respeten la prohibición y velando por que las denuncias se investiguen sin demora” </w:t>
      </w:r>
    </w:p>
    <w:p w14:paraId="7A31D483" w14:textId="77777777" w:rsidR="00CC5BDD" w:rsidRDefault="00000000">
      <w:pPr>
        <w:widowControl w:val="0"/>
        <w:spacing w:before="307" w:line="247" w:lineRule="auto"/>
        <w:ind w:left="855" w:right="472" w:hanging="344"/>
        <w:jc w:val="both"/>
        <w:rPr>
          <w:rFonts w:ascii="Arial Narrow" w:eastAsia="Arial Narrow" w:hAnsi="Arial Narrow" w:cs="Arial Narrow"/>
          <w:sz w:val="24"/>
          <w:szCs w:val="24"/>
        </w:rPr>
      </w:pPr>
      <w:r>
        <w:rPr>
          <w:rFonts w:ascii="Arial Narrow" w:eastAsia="Arial Narrow" w:hAnsi="Arial Narrow" w:cs="Arial Narrow"/>
          <w:i/>
          <w:sz w:val="24"/>
          <w:szCs w:val="24"/>
        </w:rPr>
        <w:lastRenderedPageBreak/>
        <w:t xml:space="preserve">● “Velen por que las orientaciones sexuales y las identidades de género diversas dejen de figurar como patologías en las clasificaciones médicas estatales y no estatales que influyen en las políticas de salud pública y en los diagnósticos realizados en la atención de salud” </w:t>
      </w:r>
    </w:p>
    <w:p w14:paraId="64B29CA6"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informe también exhorta a los Estados a prohibir los ECOSIEG desde la perspectiva del Derecho Internacional de los Derechos Humanos y en particular desde el marco jurídico regional y local relativo a la tortura y otros tratos o penas crueles, inhumanos o degradantes puesto que, afirma el informe: “las terapias de conversión pueden generar la responsabilidad internacional del Estado en cuestión”. </w:t>
      </w:r>
    </w:p>
    <w:p w14:paraId="33307E46"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misma recomendación de prohibición la hace la Comisión Interamericana de Derechos Humanos en su informe “Avances y Desafíos hacia el reconocimiento de los derechos de las personas LGBTI en las Américas” en donde se reconoce que las mal llamadas terapias de conversión “generan daño en la salud física, mental y social y no deberían ser aceptadas como terapias médicas, debiendo, por lo tanto, ser prohibidas”</w:t>
      </w:r>
      <w:r>
        <w:rPr>
          <w:rFonts w:ascii="Arial Narrow" w:eastAsia="Arial Narrow" w:hAnsi="Arial Narrow" w:cs="Arial Narrow"/>
          <w:sz w:val="24"/>
          <w:szCs w:val="24"/>
          <w:vertAlign w:val="superscript"/>
        </w:rPr>
        <w:footnoteReference w:id="32"/>
      </w:r>
    </w:p>
    <w:p w14:paraId="66690178"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diciembre de 2021 la CIDH se manifestó a favor de la Ley de Canadá que prohibió los ECOSIEG a nivel nacional invitando a los estados a “Unirse a Canadá en la erradicación de estas prácticas nocivas promoviendo información objetiva, científica y basada en pruebas sobre el impacto negativo que tienen en la vida, la integridad personal y la salud”</w:t>
      </w:r>
      <w:r>
        <w:rPr>
          <w:rFonts w:ascii="Arial Narrow" w:eastAsia="Arial Narrow" w:hAnsi="Arial Narrow" w:cs="Arial Narrow"/>
          <w:sz w:val="24"/>
          <w:szCs w:val="24"/>
          <w:vertAlign w:val="superscript"/>
        </w:rPr>
        <w:footnoteReference w:id="33"/>
      </w:r>
      <w:r>
        <w:rPr>
          <w:rFonts w:ascii="Arial Narrow" w:eastAsia="Arial Narrow" w:hAnsi="Arial Narrow" w:cs="Arial Narrow"/>
          <w:sz w:val="24"/>
          <w:szCs w:val="24"/>
        </w:rPr>
        <w:t xml:space="preserve"> </w:t>
      </w:r>
    </w:p>
    <w:p w14:paraId="656A41B7"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prohibición de los ECOSIEG permite que las personas no conformes con su género o su orientación sexual puedan acceder de manera libre y voluntaria a otro tipo de intervenciones que no busquen su cambio o represión, sino que partan de la información constructiva de la diversidad sexual, la validación y reafirmación de las orientaciones sexuales y las identidades y expresiones de género diversas. </w:t>
      </w:r>
    </w:p>
    <w:p w14:paraId="3868039D"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Ese tipo de intervención es la recomendación internacional que existe desde la Asociación Psiquiátrica Americana</w:t>
      </w:r>
      <w:r>
        <w:rPr>
          <w:rFonts w:ascii="Arial Narrow" w:eastAsia="Arial Narrow" w:hAnsi="Arial Narrow" w:cs="Arial Narrow"/>
          <w:sz w:val="24"/>
          <w:szCs w:val="24"/>
          <w:vertAlign w:val="superscript"/>
        </w:rPr>
        <w:footnoteReference w:id="34"/>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en donde se exhorta a los profesionales en salud a asumir la atención psicológica de personas no conformes con el género y la orientación sexual desde el respeto por la dignidad humana y los derechos sexuales y reproductivos, para ello se ha expedido el documento “guías para la práctica psicológica con personas transgénero y personas no conformes con el género”</w:t>
      </w:r>
      <w:r>
        <w:rPr>
          <w:rFonts w:ascii="Arial Narrow" w:eastAsia="Arial Narrow" w:hAnsi="Arial Narrow" w:cs="Arial Narrow"/>
          <w:sz w:val="24"/>
          <w:szCs w:val="24"/>
          <w:vertAlign w:val="superscript"/>
        </w:rPr>
        <w:footnoteReference w:id="35"/>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donde se orienta, entre otras cosas, a ser consciente de cómo las actitudes y conocimientos sobre la identidad y expresión de género afecta la calidad de la atención que se presta a las personas sexualmente diversas y sus familias. </w:t>
      </w:r>
    </w:p>
    <w:p w14:paraId="095F7ABA"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prohibición de los ECOSIEG también ha sido recomendada por diferentes Organizaciones No Gubernamentales alrededor del mundo, la siguiente tabla reúne y resume algunos pronunciamientos al respecto: </w:t>
      </w:r>
    </w:p>
    <w:p w14:paraId="2EF3D922" w14:textId="77777777" w:rsidR="00CC5BDD" w:rsidRDefault="00CC5BDD">
      <w:pPr>
        <w:widowControl w:val="0"/>
        <w:spacing w:before="306" w:line="247" w:lineRule="auto"/>
        <w:ind w:right="477"/>
        <w:jc w:val="both"/>
        <w:rPr>
          <w:rFonts w:ascii="Arial Narrow" w:eastAsia="Arial Narrow" w:hAnsi="Arial Narrow" w:cs="Arial Narrow"/>
          <w:sz w:val="24"/>
          <w:szCs w:val="24"/>
        </w:rPr>
      </w:pPr>
    </w:p>
    <w:tbl>
      <w:tblPr>
        <w:tblStyle w:val="a3"/>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7440"/>
      </w:tblGrid>
      <w:tr w:rsidR="00CC5BDD" w14:paraId="18604499" w14:textId="77777777">
        <w:trPr>
          <w:trHeight w:val="760"/>
        </w:trPr>
        <w:tc>
          <w:tcPr>
            <w:tcW w:w="1380" w:type="dxa"/>
            <w:shd w:val="clear" w:color="auto" w:fill="auto"/>
            <w:tcMar>
              <w:top w:w="100" w:type="dxa"/>
              <w:left w:w="100" w:type="dxa"/>
              <w:bottom w:w="100" w:type="dxa"/>
              <w:right w:w="100" w:type="dxa"/>
            </w:tcMar>
          </w:tcPr>
          <w:p w14:paraId="5BDDC398" w14:textId="77777777" w:rsidR="00CC5BDD" w:rsidRDefault="00000000">
            <w:pPr>
              <w:widowControl w:val="0"/>
              <w:spacing w:line="240" w:lineRule="auto"/>
              <w:ind w:left="138"/>
              <w:rPr>
                <w:rFonts w:ascii="Arial Narrow" w:eastAsia="Arial Narrow" w:hAnsi="Arial Narrow" w:cs="Arial Narrow"/>
                <w:b/>
                <w:sz w:val="24"/>
                <w:szCs w:val="24"/>
              </w:rPr>
            </w:pPr>
            <w:r>
              <w:rPr>
                <w:rFonts w:ascii="Arial Narrow" w:eastAsia="Arial Narrow" w:hAnsi="Arial Narrow" w:cs="Arial Narrow"/>
                <w:b/>
                <w:sz w:val="24"/>
                <w:szCs w:val="24"/>
              </w:rPr>
              <w:t xml:space="preserve">ONG </w:t>
            </w:r>
          </w:p>
        </w:tc>
        <w:tc>
          <w:tcPr>
            <w:tcW w:w="7440" w:type="dxa"/>
            <w:shd w:val="clear" w:color="auto" w:fill="auto"/>
            <w:tcMar>
              <w:top w:w="100" w:type="dxa"/>
              <w:left w:w="100" w:type="dxa"/>
              <w:bottom w:w="100" w:type="dxa"/>
              <w:right w:w="100" w:type="dxa"/>
            </w:tcMar>
          </w:tcPr>
          <w:p w14:paraId="65A57AAE" w14:textId="77777777" w:rsidR="00CC5BDD" w:rsidRDefault="00000000">
            <w:pPr>
              <w:widowControl w:val="0"/>
              <w:spacing w:line="229" w:lineRule="auto"/>
              <w:ind w:left="129" w:right="53"/>
              <w:jc w:val="center"/>
              <w:rPr>
                <w:rFonts w:ascii="Arial Narrow" w:eastAsia="Arial Narrow" w:hAnsi="Arial Narrow" w:cs="Arial Narrow"/>
                <w:b/>
                <w:sz w:val="24"/>
                <w:szCs w:val="24"/>
              </w:rPr>
            </w:pPr>
            <w:r>
              <w:rPr>
                <w:rFonts w:ascii="Arial Narrow" w:eastAsia="Arial Narrow" w:hAnsi="Arial Narrow" w:cs="Arial Narrow"/>
                <w:b/>
                <w:sz w:val="24"/>
                <w:szCs w:val="24"/>
              </w:rPr>
              <w:t>Posición sobre los ECOSIEG Recomendación sobre los ECOSIEG</w:t>
            </w:r>
          </w:p>
        </w:tc>
      </w:tr>
      <w:tr w:rsidR="00CC5BDD" w14:paraId="07793591" w14:textId="77777777">
        <w:trPr>
          <w:trHeight w:val="1880"/>
        </w:trPr>
        <w:tc>
          <w:tcPr>
            <w:tcW w:w="1380" w:type="dxa"/>
            <w:shd w:val="clear" w:color="auto" w:fill="auto"/>
            <w:tcMar>
              <w:top w:w="100" w:type="dxa"/>
              <w:left w:w="100" w:type="dxa"/>
              <w:bottom w:w="100" w:type="dxa"/>
              <w:right w:w="100" w:type="dxa"/>
            </w:tcMar>
          </w:tcPr>
          <w:p w14:paraId="40345DD3" w14:textId="77777777" w:rsidR="00CC5BDD" w:rsidRDefault="00000000">
            <w:pPr>
              <w:widowControl w:val="0"/>
              <w:spacing w:line="240" w:lineRule="auto"/>
              <w:ind w:left="140"/>
              <w:rPr>
                <w:rFonts w:ascii="Arial Narrow" w:eastAsia="Arial Narrow" w:hAnsi="Arial Narrow" w:cs="Arial Narrow"/>
                <w:sz w:val="24"/>
                <w:szCs w:val="24"/>
              </w:rPr>
            </w:pPr>
            <w:proofErr w:type="spellStart"/>
            <w:r>
              <w:rPr>
                <w:rFonts w:ascii="Arial Narrow" w:eastAsia="Arial Narrow" w:hAnsi="Arial Narrow" w:cs="Arial Narrow"/>
                <w:sz w:val="24"/>
                <w:szCs w:val="24"/>
              </w:rPr>
              <w:lastRenderedPageBreak/>
              <w:t>OutRight</w:t>
            </w:r>
            <w:proofErr w:type="spellEnd"/>
            <w:r>
              <w:rPr>
                <w:rFonts w:ascii="Arial Narrow" w:eastAsia="Arial Narrow" w:hAnsi="Arial Narrow" w:cs="Arial Narrow"/>
                <w:sz w:val="24"/>
                <w:szCs w:val="24"/>
              </w:rPr>
              <w:t xml:space="preserve"> </w:t>
            </w:r>
          </w:p>
          <w:p w14:paraId="340042FE" w14:textId="77777777" w:rsidR="00CC5BDD" w:rsidRDefault="00000000">
            <w:pPr>
              <w:widowControl w:val="0"/>
              <w:spacing w:line="240" w:lineRule="auto"/>
              <w:ind w:left="130"/>
              <w:rPr>
                <w:rFonts w:ascii="Arial Narrow" w:eastAsia="Arial Narrow" w:hAnsi="Arial Narrow" w:cs="Arial Narrow"/>
                <w:sz w:val="24"/>
                <w:szCs w:val="24"/>
              </w:rPr>
            </w:pPr>
            <w:proofErr w:type="spellStart"/>
            <w:r>
              <w:rPr>
                <w:rFonts w:ascii="Arial Narrow" w:eastAsia="Arial Narrow" w:hAnsi="Arial Narrow" w:cs="Arial Narrow"/>
                <w:sz w:val="24"/>
                <w:szCs w:val="24"/>
              </w:rPr>
              <w:t>Action</w:t>
            </w:r>
            <w:proofErr w:type="spellEnd"/>
            <w:r>
              <w:rPr>
                <w:rFonts w:ascii="Arial Narrow" w:eastAsia="Arial Narrow" w:hAnsi="Arial Narrow" w:cs="Arial Narrow"/>
                <w:sz w:val="24"/>
                <w:szCs w:val="24"/>
              </w:rPr>
              <w:t xml:space="preserve"> </w:t>
            </w:r>
          </w:p>
          <w:p w14:paraId="0916CDDD" w14:textId="77777777" w:rsidR="00CC5BDD" w:rsidRDefault="00000000">
            <w:pPr>
              <w:widowControl w:val="0"/>
              <w:spacing w:line="233" w:lineRule="auto"/>
              <w:ind w:left="134" w:right="79" w:firstLine="14"/>
              <w:rPr>
                <w:rFonts w:ascii="Arial Narrow" w:eastAsia="Arial Narrow" w:hAnsi="Arial Narrow" w:cs="Arial Narrow"/>
                <w:sz w:val="24"/>
                <w:szCs w:val="24"/>
              </w:rPr>
            </w:pPr>
            <w:r>
              <w:rPr>
                <w:rFonts w:ascii="Arial Narrow" w:eastAsia="Arial Narrow" w:hAnsi="Arial Narrow" w:cs="Arial Narrow"/>
                <w:sz w:val="24"/>
                <w:szCs w:val="24"/>
              </w:rPr>
              <w:t>International</w:t>
            </w:r>
            <w:r>
              <w:rPr>
                <w:rFonts w:ascii="Arial Narrow" w:eastAsia="Arial Narrow" w:hAnsi="Arial Narrow" w:cs="Arial Narrow"/>
                <w:sz w:val="24"/>
                <w:szCs w:val="24"/>
                <w:vertAlign w:val="superscript"/>
              </w:rPr>
              <w:footnoteReference w:id="36"/>
            </w:r>
          </w:p>
        </w:tc>
        <w:tc>
          <w:tcPr>
            <w:tcW w:w="7440" w:type="dxa"/>
            <w:shd w:val="clear" w:color="auto" w:fill="auto"/>
            <w:tcMar>
              <w:top w:w="100" w:type="dxa"/>
              <w:left w:w="100" w:type="dxa"/>
              <w:bottom w:w="100" w:type="dxa"/>
              <w:right w:w="100" w:type="dxa"/>
            </w:tcMar>
          </w:tcPr>
          <w:p w14:paraId="4AE4449E" w14:textId="77777777" w:rsidR="00CC5BDD" w:rsidRDefault="00000000">
            <w:pPr>
              <w:widowControl w:val="0"/>
              <w:spacing w:line="240" w:lineRule="auto"/>
              <w:ind w:left="122"/>
              <w:rPr>
                <w:rFonts w:ascii="Arial Narrow" w:eastAsia="Arial Narrow" w:hAnsi="Arial Narrow" w:cs="Arial Narrow"/>
                <w:sz w:val="24"/>
                <w:szCs w:val="24"/>
              </w:rPr>
            </w:pPr>
            <w:r>
              <w:rPr>
                <w:rFonts w:ascii="Arial Narrow" w:eastAsia="Arial Narrow" w:hAnsi="Arial Narrow" w:cs="Arial Narrow"/>
                <w:sz w:val="24"/>
                <w:szCs w:val="24"/>
              </w:rPr>
              <w:t xml:space="preserve">“terapia de conversión” describe el proceso </w:t>
            </w:r>
          </w:p>
          <w:p w14:paraId="3229371E" w14:textId="77777777" w:rsidR="00CC5BDD" w:rsidRDefault="00000000">
            <w:pPr>
              <w:widowControl w:val="0"/>
              <w:spacing w:line="240" w:lineRule="auto"/>
              <w:ind w:right="78"/>
              <w:jc w:val="right"/>
              <w:rPr>
                <w:rFonts w:ascii="Arial Narrow" w:eastAsia="Arial Narrow" w:hAnsi="Arial Narrow" w:cs="Arial Narrow"/>
                <w:sz w:val="24"/>
                <w:szCs w:val="24"/>
              </w:rPr>
            </w:pPr>
            <w:r>
              <w:rPr>
                <w:rFonts w:ascii="Arial Narrow" w:eastAsia="Arial Narrow" w:hAnsi="Arial Narrow" w:cs="Arial Narrow"/>
                <w:sz w:val="24"/>
                <w:szCs w:val="24"/>
              </w:rPr>
              <w:t xml:space="preserve">Prohibir a nivel local y nacional </w:t>
            </w:r>
          </w:p>
          <w:p w14:paraId="72344BF1"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para cambiar, revertir, suprimir o reprimir </w:t>
            </w:r>
          </w:p>
          <w:p w14:paraId="5B5258C8" w14:textId="77777777" w:rsidR="00CC5BDD" w:rsidRDefault="00000000">
            <w:pPr>
              <w:widowControl w:val="0"/>
              <w:spacing w:line="240" w:lineRule="auto"/>
              <w:ind w:right="45"/>
              <w:jc w:val="right"/>
              <w:rPr>
                <w:rFonts w:ascii="Arial Narrow" w:eastAsia="Arial Narrow" w:hAnsi="Arial Narrow" w:cs="Arial Narrow"/>
                <w:sz w:val="24"/>
                <w:szCs w:val="24"/>
              </w:rPr>
            </w:pPr>
            <w:r>
              <w:rPr>
                <w:rFonts w:ascii="Arial Narrow" w:eastAsia="Arial Narrow" w:hAnsi="Arial Narrow" w:cs="Arial Narrow"/>
                <w:sz w:val="24"/>
                <w:szCs w:val="24"/>
              </w:rPr>
              <w:t xml:space="preserve">todas las formas de las “terapias de </w:t>
            </w:r>
          </w:p>
          <w:p w14:paraId="0124D0CB"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una orientación sexual e identidad de </w:t>
            </w:r>
          </w:p>
          <w:p w14:paraId="7C6AB0F1" w14:textId="77777777" w:rsidR="00CC5BDD" w:rsidRDefault="00000000">
            <w:pPr>
              <w:widowControl w:val="0"/>
              <w:spacing w:line="240" w:lineRule="auto"/>
              <w:ind w:right="55"/>
              <w:jc w:val="right"/>
              <w:rPr>
                <w:rFonts w:ascii="Arial Narrow" w:eastAsia="Arial Narrow" w:hAnsi="Arial Narrow" w:cs="Arial Narrow"/>
                <w:sz w:val="24"/>
                <w:szCs w:val="24"/>
              </w:rPr>
            </w:pPr>
            <w:r>
              <w:rPr>
                <w:rFonts w:ascii="Arial Narrow" w:eastAsia="Arial Narrow" w:hAnsi="Arial Narrow" w:cs="Arial Narrow"/>
                <w:sz w:val="24"/>
                <w:szCs w:val="24"/>
              </w:rPr>
              <w:t xml:space="preserve">conversión” y acompañar la </w:t>
            </w:r>
          </w:p>
          <w:p w14:paraId="24130C68" w14:textId="77777777" w:rsidR="00CC5BDD" w:rsidRDefault="00000000">
            <w:pPr>
              <w:widowControl w:val="0"/>
              <w:spacing w:line="240" w:lineRule="auto"/>
              <w:ind w:left="121"/>
              <w:rPr>
                <w:rFonts w:ascii="Arial Narrow" w:eastAsia="Arial Narrow" w:hAnsi="Arial Narrow" w:cs="Arial Narrow"/>
                <w:sz w:val="24"/>
                <w:szCs w:val="24"/>
              </w:rPr>
            </w:pPr>
            <w:r>
              <w:rPr>
                <w:rFonts w:ascii="Arial Narrow" w:eastAsia="Arial Narrow" w:hAnsi="Arial Narrow" w:cs="Arial Narrow"/>
                <w:sz w:val="24"/>
                <w:szCs w:val="24"/>
              </w:rPr>
              <w:t xml:space="preserve">género para alinearla a los cánones </w:t>
            </w:r>
          </w:p>
          <w:p w14:paraId="09CFC4BB" w14:textId="77777777" w:rsidR="00CC5BDD" w:rsidRDefault="00000000">
            <w:pPr>
              <w:widowControl w:val="0"/>
              <w:spacing w:line="240" w:lineRule="auto"/>
              <w:ind w:right="57"/>
              <w:jc w:val="right"/>
              <w:rPr>
                <w:rFonts w:ascii="Arial Narrow" w:eastAsia="Arial Narrow" w:hAnsi="Arial Narrow" w:cs="Arial Narrow"/>
                <w:sz w:val="24"/>
                <w:szCs w:val="24"/>
              </w:rPr>
            </w:pPr>
            <w:r>
              <w:rPr>
                <w:rFonts w:ascii="Arial Narrow" w:eastAsia="Arial Narrow" w:hAnsi="Arial Narrow" w:cs="Arial Narrow"/>
                <w:sz w:val="24"/>
                <w:szCs w:val="24"/>
              </w:rPr>
              <w:t xml:space="preserve">prohibición con medidas que </w:t>
            </w:r>
          </w:p>
          <w:p w14:paraId="02BAF056"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heteronormativos y cisgénero. </w:t>
            </w:r>
          </w:p>
          <w:p w14:paraId="58A2C1C5" w14:textId="77777777" w:rsidR="00CC5BDD" w:rsidRDefault="00000000">
            <w:pPr>
              <w:widowControl w:val="0"/>
              <w:spacing w:line="240" w:lineRule="auto"/>
              <w:ind w:right="56"/>
              <w:jc w:val="right"/>
              <w:rPr>
                <w:rFonts w:ascii="Arial Narrow" w:eastAsia="Arial Narrow" w:hAnsi="Arial Narrow" w:cs="Arial Narrow"/>
                <w:sz w:val="24"/>
                <w:szCs w:val="24"/>
              </w:rPr>
            </w:pPr>
            <w:r>
              <w:rPr>
                <w:rFonts w:ascii="Arial Narrow" w:eastAsia="Arial Narrow" w:hAnsi="Arial Narrow" w:cs="Arial Narrow"/>
                <w:sz w:val="24"/>
                <w:szCs w:val="24"/>
              </w:rPr>
              <w:t xml:space="preserve">permitan aceptar e incluir a la </w:t>
            </w:r>
          </w:p>
          <w:p w14:paraId="76F09B0D" w14:textId="77777777" w:rsidR="00CC5BDD" w:rsidRDefault="00000000">
            <w:pPr>
              <w:widowControl w:val="0"/>
              <w:spacing w:line="240" w:lineRule="auto"/>
              <w:ind w:right="1726"/>
              <w:jc w:val="right"/>
              <w:rPr>
                <w:rFonts w:ascii="Arial Narrow" w:eastAsia="Arial Narrow" w:hAnsi="Arial Narrow" w:cs="Arial Narrow"/>
                <w:sz w:val="24"/>
                <w:szCs w:val="24"/>
              </w:rPr>
            </w:pPr>
            <w:r>
              <w:rPr>
                <w:rFonts w:ascii="Arial Narrow" w:eastAsia="Arial Narrow" w:hAnsi="Arial Narrow" w:cs="Arial Narrow"/>
                <w:sz w:val="24"/>
                <w:szCs w:val="24"/>
              </w:rPr>
              <w:t>población LGBTI.</w:t>
            </w:r>
          </w:p>
        </w:tc>
      </w:tr>
      <w:tr w:rsidR="00CC5BDD" w14:paraId="7832470C" w14:textId="77777777">
        <w:trPr>
          <w:trHeight w:val="1060"/>
        </w:trPr>
        <w:tc>
          <w:tcPr>
            <w:tcW w:w="1380" w:type="dxa"/>
            <w:shd w:val="clear" w:color="auto" w:fill="auto"/>
            <w:tcMar>
              <w:top w:w="100" w:type="dxa"/>
              <w:left w:w="100" w:type="dxa"/>
              <w:bottom w:w="100" w:type="dxa"/>
              <w:right w:w="100" w:type="dxa"/>
            </w:tcMar>
          </w:tcPr>
          <w:p w14:paraId="5008A842" w14:textId="77777777" w:rsidR="00CC5BDD" w:rsidRDefault="00000000">
            <w:pPr>
              <w:widowControl w:val="0"/>
              <w:spacing w:line="240" w:lineRule="auto"/>
              <w:ind w:left="140"/>
              <w:rPr>
                <w:rFonts w:ascii="Arial Narrow" w:eastAsia="Arial Narrow" w:hAnsi="Arial Narrow" w:cs="Arial Narrow"/>
                <w:sz w:val="24"/>
                <w:szCs w:val="24"/>
                <w:vertAlign w:val="superscript"/>
              </w:rPr>
            </w:pPr>
            <w:r>
              <w:rPr>
                <w:rFonts w:ascii="Arial Narrow" w:eastAsia="Arial Narrow" w:hAnsi="Arial Narrow" w:cs="Arial Narrow"/>
                <w:sz w:val="24"/>
                <w:szCs w:val="24"/>
              </w:rPr>
              <w:t>GPAHE</w:t>
            </w:r>
            <w:r>
              <w:rPr>
                <w:rFonts w:ascii="Arial Narrow" w:eastAsia="Arial Narrow" w:hAnsi="Arial Narrow" w:cs="Arial Narrow"/>
                <w:sz w:val="24"/>
                <w:szCs w:val="24"/>
                <w:vertAlign w:val="superscript"/>
              </w:rPr>
              <w:footnoteReference w:id="37"/>
            </w:r>
          </w:p>
        </w:tc>
        <w:tc>
          <w:tcPr>
            <w:tcW w:w="7440" w:type="dxa"/>
            <w:shd w:val="clear" w:color="auto" w:fill="auto"/>
            <w:tcMar>
              <w:top w:w="100" w:type="dxa"/>
              <w:left w:w="100" w:type="dxa"/>
              <w:bottom w:w="100" w:type="dxa"/>
              <w:right w:w="100" w:type="dxa"/>
            </w:tcMar>
          </w:tcPr>
          <w:p w14:paraId="772BC8BC"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la terapia de conversión ha sido condenada </w:t>
            </w:r>
          </w:p>
          <w:p w14:paraId="65C0CF8D" w14:textId="77777777" w:rsidR="00CC5BDD" w:rsidRDefault="00000000">
            <w:pPr>
              <w:widowControl w:val="0"/>
              <w:spacing w:line="240" w:lineRule="auto"/>
              <w:ind w:right="56"/>
              <w:jc w:val="right"/>
              <w:rPr>
                <w:rFonts w:ascii="Arial Narrow" w:eastAsia="Arial Narrow" w:hAnsi="Arial Narrow" w:cs="Arial Narrow"/>
                <w:sz w:val="24"/>
                <w:szCs w:val="24"/>
              </w:rPr>
            </w:pPr>
            <w:r>
              <w:rPr>
                <w:rFonts w:ascii="Arial Narrow" w:eastAsia="Arial Narrow" w:hAnsi="Arial Narrow" w:cs="Arial Narrow"/>
                <w:sz w:val="24"/>
                <w:szCs w:val="24"/>
              </w:rPr>
              <w:t xml:space="preserve">Esas prácticas son </w:t>
            </w:r>
          </w:p>
          <w:p w14:paraId="30E74CC9"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por médicos, </w:t>
            </w:r>
            <w:proofErr w:type="spellStart"/>
            <w:r>
              <w:rPr>
                <w:rFonts w:ascii="Arial Narrow" w:eastAsia="Arial Narrow" w:hAnsi="Arial Narrow" w:cs="Arial Narrow"/>
                <w:sz w:val="24"/>
                <w:szCs w:val="24"/>
              </w:rPr>
              <w:t>psicologos</w:t>
            </w:r>
            <w:proofErr w:type="spellEnd"/>
            <w:r>
              <w:rPr>
                <w:rFonts w:ascii="Arial Narrow" w:eastAsia="Arial Narrow" w:hAnsi="Arial Narrow" w:cs="Arial Narrow"/>
                <w:sz w:val="24"/>
                <w:szCs w:val="24"/>
              </w:rPr>
              <w:t xml:space="preserve"> y organizaciones </w:t>
            </w:r>
          </w:p>
          <w:p w14:paraId="34797876" w14:textId="77777777" w:rsidR="00CC5BDD" w:rsidRDefault="00000000">
            <w:pPr>
              <w:widowControl w:val="0"/>
              <w:spacing w:line="240" w:lineRule="auto"/>
              <w:ind w:right="58"/>
              <w:jc w:val="right"/>
              <w:rPr>
                <w:rFonts w:ascii="Arial Narrow" w:eastAsia="Arial Narrow" w:hAnsi="Arial Narrow" w:cs="Arial Narrow"/>
                <w:sz w:val="24"/>
                <w:szCs w:val="24"/>
              </w:rPr>
            </w:pPr>
            <w:r>
              <w:rPr>
                <w:rFonts w:ascii="Arial Narrow" w:eastAsia="Arial Narrow" w:hAnsi="Arial Narrow" w:cs="Arial Narrow"/>
                <w:sz w:val="24"/>
                <w:szCs w:val="24"/>
              </w:rPr>
              <w:t xml:space="preserve">extremadamente dañinas, es </w:t>
            </w:r>
          </w:p>
          <w:p w14:paraId="330F1E9C"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profesionales en varios </w:t>
            </w:r>
            <w:proofErr w:type="spellStart"/>
            <w:r>
              <w:rPr>
                <w:rFonts w:ascii="Arial Narrow" w:eastAsia="Arial Narrow" w:hAnsi="Arial Narrow" w:cs="Arial Narrow"/>
                <w:sz w:val="24"/>
                <w:szCs w:val="24"/>
              </w:rPr>
              <w:t>paises</w:t>
            </w:r>
            <w:proofErr w:type="spellEnd"/>
            <w:r>
              <w:rPr>
                <w:rFonts w:ascii="Arial Narrow" w:eastAsia="Arial Narrow" w:hAnsi="Arial Narrow" w:cs="Arial Narrow"/>
                <w:sz w:val="24"/>
                <w:szCs w:val="24"/>
              </w:rPr>
              <w:t xml:space="preserve">. </w:t>
            </w:r>
          </w:p>
          <w:p w14:paraId="6616150B" w14:textId="77777777" w:rsidR="00CC5BDD" w:rsidRDefault="00000000">
            <w:pPr>
              <w:widowControl w:val="0"/>
              <w:spacing w:line="240" w:lineRule="auto"/>
              <w:ind w:right="1377"/>
              <w:jc w:val="right"/>
              <w:rPr>
                <w:rFonts w:ascii="Arial Narrow" w:eastAsia="Arial Narrow" w:hAnsi="Arial Narrow" w:cs="Arial Narrow"/>
                <w:sz w:val="24"/>
                <w:szCs w:val="24"/>
              </w:rPr>
            </w:pPr>
            <w:r>
              <w:rPr>
                <w:rFonts w:ascii="Arial Narrow" w:eastAsia="Arial Narrow" w:hAnsi="Arial Narrow" w:cs="Arial Narrow"/>
                <w:sz w:val="24"/>
                <w:szCs w:val="24"/>
              </w:rPr>
              <w:t>necesario prohibirlas.</w:t>
            </w:r>
          </w:p>
        </w:tc>
      </w:tr>
    </w:tbl>
    <w:p w14:paraId="3BDC8175" w14:textId="77777777" w:rsidR="00CC5BDD" w:rsidRDefault="00CC5BDD">
      <w:pPr>
        <w:widowControl w:val="0"/>
        <w:spacing w:line="240" w:lineRule="auto"/>
        <w:rPr>
          <w:rFonts w:ascii="Arial Narrow" w:eastAsia="Arial Narrow" w:hAnsi="Arial Narrow" w:cs="Arial Narrow"/>
          <w:color w:val="1155CC"/>
          <w:sz w:val="24"/>
          <w:szCs w:val="24"/>
        </w:rPr>
      </w:pPr>
    </w:p>
    <w:tbl>
      <w:tblPr>
        <w:tblStyle w:val="a4"/>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7440"/>
      </w:tblGrid>
      <w:tr w:rsidR="00CC5BDD" w14:paraId="5F4FD5EF" w14:textId="77777777">
        <w:trPr>
          <w:trHeight w:val="1880"/>
        </w:trPr>
        <w:tc>
          <w:tcPr>
            <w:tcW w:w="1380" w:type="dxa"/>
            <w:shd w:val="clear" w:color="auto" w:fill="auto"/>
            <w:tcMar>
              <w:top w:w="100" w:type="dxa"/>
              <w:left w:w="100" w:type="dxa"/>
              <w:bottom w:w="100" w:type="dxa"/>
              <w:right w:w="100" w:type="dxa"/>
            </w:tcMar>
          </w:tcPr>
          <w:p w14:paraId="155F4723" w14:textId="77777777" w:rsidR="00CC5BDD" w:rsidRDefault="00000000">
            <w:pPr>
              <w:widowControl w:val="0"/>
              <w:spacing w:line="240" w:lineRule="auto"/>
              <w:ind w:left="130"/>
              <w:rPr>
                <w:rFonts w:ascii="Arial Narrow" w:eastAsia="Arial Narrow" w:hAnsi="Arial Narrow" w:cs="Arial Narrow"/>
                <w:sz w:val="24"/>
                <w:szCs w:val="24"/>
                <w:vertAlign w:val="superscript"/>
              </w:rPr>
            </w:pPr>
            <w:proofErr w:type="spellStart"/>
            <w:r>
              <w:rPr>
                <w:rFonts w:ascii="Arial Narrow" w:eastAsia="Arial Narrow" w:hAnsi="Arial Narrow" w:cs="Arial Narrow"/>
                <w:sz w:val="24"/>
                <w:szCs w:val="24"/>
              </w:rPr>
              <w:t>AllOut</w:t>
            </w:r>
            <w:proofErr w:type="spellEnd"/>
            <w:r>
              <w:rPr>
                <w:rFonts w:ascii="Arial Narrow" w:eastAsia="Arial Narrow" w:hAnsi="Arial Narrow" w:cs="Arial Narrow"/>
                <w:sz w:val="24"/>
                <w:szCs w:val="24"/>
                <w:vertAlign w:val="superscript"/>
              </w:rPr>
              <w:footnoteReference w:id="38"/>
            </w:r>
          </w:p>
        </w:tc>
        <w:tc>
          <w:tcPr>
            <w:tcW w:w="7440" w:type="dxa"/>
            <w:shd w:val="clear" w:color="auto" w:fill="auto"/>
            <w:tcMar>
              <w:top w:w="100" w:type="dxa"/>
              <w:left w:w="100" w:type="dxa"/>
              <w:bottom w:w="100" w:type="dxa"/>
              <w:right w:w="100" w:type="dxa"/>
            </w:tcMar>
          </w:tcPr>
          <w:p w14:paraId="0338D732" w14:textId="77777777" w:rsidR="00CC5BDD" w:rsidRDefault="00000000">
            <w:pPr>
              <w:widowControl w:val="0"/>
              <w:spacing w:line="240" w:lineRule="auto"/>
              <w:ind w:left="123"/>
              <w:rPr>
                <w:rFonts w:ascii="Arial Narrow" w:eastAsia="Arial Narrow" w:hAnsi="Arial Narrow" w:cs="Arial Narrow"/>
                <w:sz w:val="24"/>
                <w:szCs w:val="24"/>
              </w:rPr>
            </w:pPr>
            <w:r>
              <w:rPr>
                <w:rFonts w:ascii="Arial Narrow" w:eastAsia="Arial Narrow" w:hAnsi="Arial Narrow" w:cs="Arial Narrow"/>
                <w:sz w:val="24"/>
                <w:szCs w:val="24"/>
              </w:rPr>
              <w:t xml:space="preserve">Son </w:t>
            </w:r>
            <w:proofErr w:type="spellStart"/>
            <w:r>
              <w:rPr>
                <w:rFonts w:ascii="Arial Narrow" w:eastAsia="Arial Narrow" w:hAnsi="Arial Narrow" w:cs="Arial Narrow"/>
                <w:sz w:val="24"/>
                <w:szCs w:val="24"/>
              </w:rPr>
              <w:t>practicas</w:t>
            </w:r>
            <w:proofErr w:type="spellEnd"/>
            <w:r>
              <w:rPr>
                <w:rFonts w:ascii="Arial Narrow" w:eastAsia="Arial Narrow" w:hAnsi="Arial Narrow" w:cs="Arial Narrow"/>
                <w:sz w:val="24"/>
                <w:szCs w:val="24"/>
              </w:rPr>
              <w:t xml:space="preserve"> que buscan tratar de cambiar </w:t>
            </w:r>
          </w:p>
          <w:p w14:paraId="36A44599" w14:textId="77777777" w:rsidR="00CC5BDD" w:rsidRDefault="00000000">
            <w:pPr>
              <w:widowControl w:val="0"/>
              <w:spacing w:line="240" w:lineRule="auto"/>
              <w:ind w:right="52"/>
              <w:jc w:val="right"/>
              <w:rPr>
                <w:rFonts w:ascii="Arial Narrow" w:eastAsia="Arial Narrow" w:hAnsi="Arial Narrow" w:cs="Arial Narrow"/>
                <w:sz w:val="24"/>
                <w:szCs w:val="24"/>
              </w:rPr>
            </w:pPr>
            <w:r>
              <w:rPr>
                <w:rFonts w:ascii="Arial Narrow" w:eastAsia="Arial Narrow" w:hAnsi="Arial Narrow" w:cs="Arial Narrow"/>
                <w:sz w:val="24"/>
                <w:szCs w:val="24"/>
              </w:rPr>
              <w:t xml:space="preserve">Las prácticas están basadas en la </w:t>
            </w:r>
          </w:p>
          <w:p w14:paraId="570ECD68" w14:textId="77777777" w:rsidR="00CC5BDD" w:rsidRDefault="00000000">
            <w:pPr>
              <w:widowControl w:val="0"/>
              <w:spacing w:line="240" w:lineRule="auto"/>
              <w:ind w:left="121"/>
              <w:rPr>
                <w:rFonts w:ascii="Arial Narrow" w:eastAsia="Arial Narrow" w:hAnsi="Arial Narrow" w:cs="Arial Narrow"/>
                <w:sz w:val="24"/>
                <w:szCs w:val="24"/>
              </w:rPr>
            </w:pPr>
            <w:r>
              <w:rPr>
                <w:rFonts w:ascii="Arial Narrow" w:eastAsia="Arial Narrow" w:hAnsi="Arial Narrow" w:cs="Arial Narrow"/>
                <w:sz w:val="24"/>
                <w:szCs w:val="24"/>
              </w:rPr>
              <w:t xml:space="preserve">o borrar la orientación sexual o identidad de </w:t>
            </w:r>
          </w:p>
          <w:p w14:paraId="6DEB02EB" w14:textId="77777777" w:rsidR="00CC5BDD" w:rsidRDefault="00000000">
            <w:pPr>
              <w:widowControl w:val="0"/>
              <w:spacing w:line="240" w:lineRule="auto"/>
              <w:ind w:right="59"/>
              <w:jc w:val="right"/>
              <w:rPr>
                <w:rFonts w:ascii="Arial Narrow" w:eastAsia="Arial Narrow" w:hAnsi="Arial Narrow" w:cs="Arial Narrow"/>
                <w:sz w:val="24"/>
                <w:szCs w:val="24"/>
              </w:rPr>
            </w:pPr>
            <w:r>
              <w:rPr>
                <w:rFonts w:ascii="Arial Narrow" w:eastAsia="Arial Narrow" w:hAnsi="Arial Narrow" w:cs="Arial Narrow"/>
                <w:sz w:val="24"/>
                <w:szCs w:val="24"/>
              </w:rPr>
              <w:t xml:space="preserve">idea, rechazada por la medicina y </w:t>
            </w:r>
          </w:p>
          <w:p w14:paraId="6BDBE00A" w14:textId="77777777" w:rsidR="00CC5BDD" w:rsidRDefault="00000000">
            <w:pPr>
              <w:widowControl w:val="0"/>
              <w:spacing w:line="240" w:lineRule="auto"/>
              <w:ind w:left="121"/>
              <w:rPr>
                <w:rFonts w:ascii="Arial Narrow" w:eastAsia="Arial Narrow" w:hAnsi="Arial Narrow" w:cs="Arial Narrow"/>
                <w:sz w:val="24"/>
                <w:szCs w:val="24"/>
              </w:rPr>
            </w:pPr>
            <w:r>
              <w:rPr>
                <w:rFonts w:ascii="Arial Narrow" w:eastAsia="Arial Narrow" w:hAnsi="Arial Narrow" w:cs="Arial Narrow"/>
                <w:sz w:val="24"/>
                <w:szCs w:val="24"/>
              </w:rPr>
              <w:t xml:space="preserve">género de una persona para hacerla </w:t>
            </w:r>
          </w:p>
          <w:p w14:paraId="6D2EC469" w14:textId="77777777" w:rsidR="00CC5BDD" w:rsidRDefault="00000000">
            <w:pPr>
              <w:widowControl w:val="0"/>
              <w:spacing w:line="240" w:lineRule="auto"/>
              <w:ind w:right="69"/>
              <w:jc w:val="right"/>
              <w:rPr>
                <w:rFonts w:ascii="Arial Narrow" w:eastAsia="Arial Narrow" w:hAnsi="Arial Narrow" w:cs="Arial Narrow"/>
                <w:sz w:val="24"/>
                <w:szCs w:val="24"/>
              </w:rPr>
            </w:pPr>
            <w:r>
              <w:rPr>
                <w:rFonts w:ascii="Arial Narrow" w:eastAsia="Arial Narrow" w:hAnsi="Arial Narrow" w:cs="Arial Narrow"/>
                <w:sz w:val="24"/>
                <w:szCs w:val="24"/>
              </w:rPr>
              <w:t xml:space="preserve">las ciencias de la salud, de que ser </w:t>
            </w:r>
          </w:p>
          <w:p w14:paraId="3631D5D3"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heterosexual o cisgénero </w:t>
            </w:r>
          </w:p>
          <w:p w14:paraId="30E4C5DD" w14:textId="77777777" w:rsidR="00CC5BDD" w:rsidRDefault="00000000">
            <w:pPr>
              <w:widowControl w:val="0"/>
              <w:spacing w:line="240" w:lineRule="auto"/>
              <w:ind w:right="53"/>
              <w:jc w:val="right"/>
              <w:rPr>
                <w:rFonts w:ascii="Arial Narrow" w:eastAsia="Arial Narrow" w:hAnsi="Arial Narrow" w:cs="Arial Narrow"/>
                <w:sz w:val="24"/>
                <w:szCs w:val="24"/>
              </w:rPr>
            </w:pPr>
            <w:r>
              <w:rPr>
                <w:rFonts w:ascii="Arial Narrow" w:eastAsia="Arial Narrow" w:hAnsi="Arial Narrow" w:cs="Arial Narrow"/>
                <w:sz w:val="24"/>
                <w:szCs w:val="24"/>
              </w:rPr>
              <w:t xml:space="preserve">LGBTI+ es una enfermedad que se </w:t>
            </w:r>
          </w:p>
          <w:p w14:paraId="53876A54" w14:textId="77777777" w:rsidR="00CC5BDD" w:rsidRDefault="00000000">
            <w:pPr>
              <w:widowControl w:val="0"/>
              <w:spacing w:line="240" w:lineRule="auto"/>
              <w:ind w:right="68"/>
              <w:jc w:val="right"/>
              <w:rPr>
                <w:rFonts w:ascii="Arial Narrow" w:eastAsia="Arial Narrow" w:hAnsi="Arial Narrow" w:cs="Arial Narrow"/>
                <w:sz w:val="24"/>
                <w:szCs w:val="24"/>
              </w:rPr>
            </w:pPr>
            <w:r>
              <w:rPr>
                <w:rFonts w:ascii="Arial Narrow" w:eastAsia="Arial Narrow" w:hAnsi="Arial Narrow" w:cs="Arial Narrow"/>
                <w:sz w:val="24"/>
                <w:szCs w:val="24"/>
              </w:rPr>
              <w:t xml:space="preserve">debe curar, por ende deberían estar </w:t>
            </w:r>
          </w:p>
          <w:p w14:paraId="0D06F774" w14:textId="77777777" w:rsidR="00CC5BDD" w:rsidRDefault="00000000">
            <w:pPr>
              <w:widowControl w:val="0"/>
              <w:spacing w:line="240" w:lineRule="auto"/>
              <w:ind w:right="2284"/>
              <w:jc w:val="right"/>
              <w:rPr>
                <w:rFonts w:ascii="Arial Narrow" w:eastAsia="Arial Narrow" w:hAnsi="Arial Narrow" w:cs="Arial Narrow"/>
                <w:sz w:val="24"/>
                <w:szCs w:val="24"/>
              </w:rPr>
            </w:pPr>
            <w:r>
              <w:rPr>
                <w:rFonts w:ascii="Arial Narrow" w:eastAsia="Arial Narrow" w:hAnsi="Arial Narrow" w:cs="Arial Narrow"/>
                <w:sz w:val="24"/>
                <w:szCs w:val="24"/>
              </w:rPr>
              <w:t>prohibidas.</w:t>
            </w:r>
          </w:p>
        </w:tc>
      </w:tr>
      <w:tr w:rsidR="00CC5BDD" w14:paraId="2934B795" w14:textId="77777777">
        <w:trPr>
          <w:trHeight w:val="1320"/>
        </w:trPr>
        <w:tc>
          <w:tcPr>
            <w:tcW w:w="1380" w:type="dxa"/>
            <w:shd w:val="clear" w:color="auto" w:fill="auto"/>
            <w:tcMar>
              <w:top w:w="100" w:type="dxa"/>
              <w:left w:w="100" w:type="dxa"/>
              <w:bottom w:w="100" w:type="dxa"/>
              <w:right w:w="100" w:type="dxa"/>
            </w:tcMar>
          </w:tcPr>
          <w:p w14:paraId="14CF25E4" w14:textId="77777777" w:rsidR="00CC5BDD" w:rsidRDefault="00000000">
            <w:pPr>
              <w:widowControl w:val="0"/>
              <w:spacing w:line="240" w:lineRule="auto"/>
              <w:ind w:left="144"/>
              <w:rPr>
                <w:rFonts w:ascii="Arial Narrow" w:eastAsia="Arial Narrow" w:hAnsi="Arial Narrow" w:cs="Arial Narrow"/>
                <w:sz w:val="24"/>
                <w:szCs w:val="24"/>
                <w:vertAlign w:val="superscript"/>
              </w:rPr>
            </w:pPr>
            <w:r>
              <w:rPr>
                <w:rFonts w:ascii="Arial Narrow" w:eastAsia="Arial Narrow" w:hAnsi="Arial Narrow" w:cs="Arial Narrow"/>
                <w:sz w:val="24"/>
                <w:szCs w:val="24"/>
              </w:rPr>
              <w:t>Liberarte</w:t>
            </w:r>
            <w:r>
              <w:rPr>
                <w:rFonts w:ascii="Arial Narrow" w:eastAsia="Arial Narrow" w:hAnsi="Arial Narrow" w:cs="Arial Narrow"/>
                <w:sz w:val="24"/>
                <w:szCs w:val="24"/>
                <w:vertAlign w:val="superscript"/>
              </w:rPr>
              <w:footnoteReference w:id="39"/>
            </w:r>
          </w:p>
        </w:tc>
        <w:tc>
          <w:tcPr>
            <w:tcW w:w="7440" w:type="dxa"/>
            <w:shd w:val="clear" w:color="auto" w:fill="auto"/>
            <w:tcMar>
              <w:top w:w="100" w:type="dxa"/>
              <w:left w:w="100" w:type="dxa"/>
              <w:bottom w:w="100" w:type="dxa"/>
              <w:right w:w="100" w:type="dxa"/>
            </w:tcMar>
          </w:tcPr>
          <w:p w14:paraId="69ED5D2A" w14:textId="77777777" w:rsidR="00CC5BDD" w:rsidRDefault="00000000">
            <w:pPr>
              <w:widowControl w:val="0"/>
              <w:spacing w:line="240" w:lineRule="auto"/>
              <w:ind w:left="129"/>
              <w:rPr>
                <w:rFonts w:ascii="Arial Narrow" w:eastAsia="Arial Narrow" w:hAnsi="Arial Narrow" w:cs="Arial Narrow"/>
                <w:sz w:val="24"/>
                <w:szCs w:val="24"/>
              </w:rPr>
            </w:pPr>
            <w:r>
              <w:rPr>
                <w:rFonts w:ascii="Arial Narrow" w:eastAsia="Arial Narrow" w:hAnsi="Arial Narrow" w:cs="Arial Narrow"/>
                <w:sz w:val="24"/>
                <w:szCs w:val="24"/>
              </w:rPr>
              <w:t xml:space="preserve">Las terapias de conversión no son éticas y </w:t>
            </w:r>
          </w:p>
          <w:p w14:paraId="521BFD15" w14:textId="77777777" w:rsidR="00CC5BDD" w:rsidRDefault="00000000">
            <w:pPr>
              <w:widowControl w:val="0"/>
              <w:spacing w:line="240" w:lineRule="auto"/>
              <w:ind w:right="53"/>
              <w:jc w:val="right"/>
              <w:rPr>
                <w:rFonts w:ascii="Arial Narrow" w:eastAsia="Arial Narrow" w:hAnsi="Arial Narrow" w:cs="Arial Narrow"/>
                <w:sz w:val="24"/>
                <w:szCs w:val="24"/>
              </w:rPr>
            </w:pPr>
            <w:r>
              <w:rPr>
                <w:rFonts w:ascii="Arial Narrow" w:eastAsia="Arial Narrow" w:hAnsi="Arial Narrow" w:cs="Arial Narrow"/>
                <w:sz w:val="24"/>
                <w:szCs w:val="24"/>
              </w:rPr>
              <w:t xml:space="preserve">Exhorta a los estados a prevenir los </w:t>
            </w:r>
          </w:p>
          <w:p w14:paraId="16C8ECE4" w14:textId="77777777" w:rsidR="00CC5BDD" w:rsidRDefault="00000000">
            <w:pPr>
              <w:widowControl w:val="0"/>
              <w:spacing w:line="240" w:lineRule="auto"/>
              <w:ind w:left="127"/>
              <w:rPr>
                <w:rFonts w:ascii="Arial Narrow" w:eastAsia="Arial Narrow" w:hAnsi="Arial Narrow" w:cs="Arial Narrow"/>
                <w:sz w:val="24"/>
                <w:szCs w:val="24"/>
              </w:rPr>
            </w:pPr>
            <w:r>
              <w:rPr>
                <w:rFonts w:ascii="Arial Narrow" w:eastAsia="Arial Narrow" w:hAnsi="Arial Narrow" w:cs="Arial Narrow"/>
                <w:sz w:val="24"/>
                <w:szCs w:val="24"/>
              </w:rPr>
              <w:t xml:space="preserve">no tienen respaldo científico, alimentan </w:t>
            </w:r>
          </w:p>
          <w:p w14:paraId="3534ADA3" w14:textId="77777777" w:rsidR="00CC5BDD" w:rsidRDefault="00000000">
            <w:pPr>
              <w:widowControl w:val="0"/>
              <w:spacing w:line="240" w:lineRule="auto"/>
              <w:ind w:right="48"/>
              <w:jc w:val="right"/>
              <w:rPr>
                <w:rFonts w:ascii="Arial Narrow" w:eastAsia="Arial Narrow" w:hAnsi="Arial Narrow" w:cs="Arial Narrow"/>
                <w:sz w:val="24"/>
                <w:szCs w:val="24"/>
              </w:rPr>
            </w:pPr>
            <w:r>
              <w:rPr>
                <w:rFonts w:ascii="Arial Narrow" w:eastAsia="Arial Narrow" w:hAnsi="Arial Narrow" w:cs="Arial Narrow"/>
                <w:sz w:val="24"/>
                <w:szCs w:val="24"/>
              </w:rPr>
              <w:t xml:space="preserve">ECOSIEG para que no existan </w:t>
            </w:r>
          </w:p>
          <w:p w14:paraId="40F612A4" w14:textId="77777777" w:rsidR="00CC5BDD" w:rsidRDefault="00000000">
            <w:pPr>
              <w:widowControl w:val="0"/>
              <w:spacing w:line="240" w:lineRule="auto"/>
              <w:ind w:left="121"/>
              <w:rPr>
                <w:rFonts w:ascii="Arial Narrow" w:eastAsia="Arial Narrow" w:hAnsi="Arial Narrow" w:cs="Arial Narrow"/>
                <w:sz w:val="24"/>
                <w:szCs w:val="24"/>
              </w:rPr>
            </w:pPr>
            <w:r>
              <w:rPr>
                <w:rFonts w:ascii="Arial Narrow" w:eastAsia="Arial Narrow" w:hAnsi="Arial Narrow" w:cs="Arial Narrow"/>
                <w:sz w:val="24"/>
                <w:szCs w:val="24"/>
              </w:rPr>
              <w:t xml:space="preserve">sentimientos de vergüenza y culpa. </w:t>
            </w:r>
          </w:p>
          <w:p w14:paraId="3B3601E8" w14:textId="77777777" w:rsidR="00CC5BDD" w:rsidRDefault="00000000">
            <w:pPr>
              <w:widowControl w:val="0"/>
              <w:spacing w:line="240" w:lineRule="auto"/>
              <w:ind w:right="50"/>
              <w:jc w:val="right"/>
              <w:rPr>
                <w:rFonts w:ascii="Arial Narrow" w:eastAsia="Arial Narrow" w:hAnsi="Arial Narrow" w:cs="Arial Narrow"/>
                <w:sz w:val="24"/>
                <w:szCs w:val="24"/>
              </w:rPr>
            </w:pPr>
            <w:r>
              <w:rPr>
                <w:rFonts w:ascii="Arial Narrow" w:eastAsia="Arial Narrow" w:hAnsi="Arial Narrow" w:cs="Arial Narrow"/>
                <w:sz w:val="24"/>
                <w:szCs w:val="24"/>
              </w:rPr>
              <w:t xml:space="preserve">vulneraciones de derechos </w:t>
            </w:r>
          </w:p>
          <w:p w14:paraId="21F40371" w14:textId="77777777" w:rsidR="00CC5BDD" w:rsidRDefault="00000000">
            <w:pPr>
              <w:widowControl w:val="0"/>
              <w:spacing w:line="240" w:lineRule="auto"/>
              <w:ind w:right="2382"/>
              <w:jc w:val="right"/>
              <w:rPr>
                <w:rFonts w:ascii="Arial Narrow" w:eastAsia="Arial Narrow" w:hAnsi="Arial Narrow" w:cs="Arial Narrow"/>
                <w:sz w:val="24"/>
                <w:szCs w:val="24"/>
              </w:rPr>
            </w:pPr>
            <w:r>
              <w:rPr>
                <w:rFonts w:ascii="Arial Narrow" w:eastAsia="Arial Narrow" w:hAnsi="Arial Narrow" w:cs="Arial Narrow"/>
                <w:sz w:val="24"/>
                <w:szCs w:val="24"/>
              </w:rPr>
              <w:t>humanos.</w:t>
            </w:r>
          </w:p>
        </w:tc>
      </w:tr>
    </w:tbl>
    <w:p w14:paraId="66738513" w14:textId="77777777" w:rsidR="00CC5BDD" w:rsidRDefault="00CC5BDD">
      <w:pPr>
        <w:widowControl w:val="0"/>
        <w:rPr>
          <w:rFonts w:ascii="Arial Narrow" w:eastAsia="Arial Narrow" w:hAnsi="Arial Narrow" w:cs="Arial Narrow"/>
          <w:sz w:val="24"/>
          <w:szCs w:val="24"/>
        </w:rPr>
      </w:pPr>
    </w:p>
    <w:p w14:paraId="78C521B6" w14:textId="77777777" w:rsidR="00CC5BDD" w:rsidRDefault="00000000">
      <w:pPr>
        <w:widowControl w:val="0"/>
        <w:spacing w:before="169" w:line="240" w:lineRule="auto"/>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All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Out</w:t>
      </w:r>
      <w:proofErr w:type="spellEnd"/>
      <w:r>
        <w:rPr>
          <w:rFonts w:ascii="Arial Narrow" w:eastAsia="Arial Narrow" w:hAnsi="Arial Narrow" w:cs="Arial Narrow"/>
          <w:sz w:val="24"/>
          <w:szCs w:val="24"/>
        </w:rPr>
        <w:t xml:space="preserve"> es una iniciativa ciudadana global que une esfuerzos en diferentes países del mundo por la defensa de los derechos de las personas LGBTI. En el mes de diciembre de 2021 el movimiento hizo entrega al autor de este proyecto de Ley de cuarenta mil (40.000) firmas recolectadas que reclaman al poder legislativo del país la prohibición de las mal llamadas terapias de conversión.</w:t>
      </w:r>
    </w:p>
    <w:p w14:paraId="3DAB2DF7" w14:textId="77777777" w:rsidR="00CC5BDD" w:rsidRDefault="00CC5BDD">
      <w:pPr>
        <w:widowControl w:val="0"/>
        <w:spacing w:before="169" w:line="240" w:lineRule="auto"/>
        <w:jc w:val="both"/>
        <w:rPr>
          <w:rFonts w:ascii="Arial Narrow" w:eastAsia="Arial Narrow" w:hAnsi="Arial Narrow" w:cs="Arial Narrow"/>
          <w:sz w:val="24"/>
          <w:szCs w:val="24"/>
        </w:rPr>
      </w:pPr>
    </w:p>
    <w:p w14:paraId="6B0F3777" w14:textId="77777777" w:rsidR="00CC5BDD" w:rsidRDefault="00000000">
      <w:pPr>
        <w:widowControl w:val="0"/>
        <w:numPr>
          <w:ilvl w:val="0"/>
          <w:numId w:val="1"/>
        </w:numPr>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Experiencia internacional.</w:t>
      </w:r>
    </w:p>
    <w:p w14:paraId="41CFCF29"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mundo se han producido diferentes legislaciones respecto los ECOSIEG y pueden clasificarse en tres tipos de regulación: la prohibicionista, la </w:t>
      </w:r>
      <w:proofErr w:type="spellStart"/>
      <w:r>
        <w:rPr>
          <w:rFonts w:ascii="Arial Narrow" w:eastAsia="Arial Narrow" w:hAnsi="Arial Narrow" w:cs="Arial Narrow"/>
          <w:sz w:val="24"/>
          <w:szCs w:val="24"/>
        </w:rPr>
        <w:t>restriccionista</w:t>
      </w:r>
      <w:proofErr w:type="spellEnd"/>
      <w:r>
        <w:rPr>
          <w:rFonts w:ascii="Arial Narrow" w:eastAsia="Arial Narrow" w:hAnsi="Arial Narrow" w:cs="Arial Narrow"/>
          <w:sz w:val="24"/>
          <w:szCs w:val="24"/>
        </w:rPr>
        <w:t xml:space="preserve"> y la criminalizadora. </w:t>
      </w:r>
    </w:p>
    <w:p w14:paraId="5C4B2658" w14:textId="77777777" w:rsidR="00CC5BDD" w:rsidRDefault="00000000">
      <w:pPr>
        <w:widowControl w:val="0"/>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Modelo prohibicionista:</w:t>
      </w:r>
    </w:p>
    <w:p w14:paraId="4A0ADEA0"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modelo prohibicionista es aquel que prohíbe y sanciona los ECOSIEG desde su publicidad hasta su práctica y enfatiza en que no pueden ser ofrecidos ni practicados por profesionales y no profesionales de la salud. Ejemplo de ello es el Acuerdo Ministerial No. 767 de la República de Ecuador</w:t>
      </w:r>
      <w:r>
        <w:rPr>
          <w:rFonts w:ascii="Arial Narrow" w:eastAsia="Arial Narrow" w:hAnsi="Arial Narrow" w:cs="Arial Narrow"/>
          <w:sz w:val="24"/>
          <w:szCs w:val="24"/>
          <w:vertAlign w:val="superscript"/>
        </w:rPr>
        <w:footnoteReference w:id="40"/>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que prohíbe a los centros de rehabilitación y a las personas naturales o jurídicas ofrecer, practicar o recomendar tratamientos o terapias que tengan como finalidad la afectación de los Derechos Humanos.</w:t>
      </w:r>
    </w:p>
    <w:p w14:paraId="1E0B861B"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Similar acontece en Malta, en donde la Ley No. IV de 2016</w:t>
      </w:r>
      <w:r>
        <w:rPr>
          <w:rFonts w:ascii="Arial Narrow" w:eastAsia="Arial Narrow" w:hAnsi="Arial Narrow" w:cs="Arial Narrow"/>
          <w:sz w:val="24"/>
          <w:szCs w:val="24"/>
          <w:vertAlign w:val="superscript"/>
        </w:rPr>
        <w:footnoteReference w:id="41"/>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prohíbe enfáticamente a toda persona realizar terapias de conversión en personas vulnerables, realizar cualquier tipo de procedimiento de manera forzada y publicitar cualquier tipo de tratamiento que tenga como finalidad el cambio o la represión de la orientación sexual o la identidad y expresión de género. La Ley en Malta considera como una persona vulnerable a aquella que tiene menos de 16 años de edad o que ha sido declarada como incapaz.</w:t>
      </w:r>
    </w:p>
    <w:p w14:paraId="3B247574" w14:textId="77777777" w:rsidR="00CC5BDD" w:rsidRDefault="00000000">
      <w:pPr>
        <w:widowControl w:val="0"/>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Modelo </w:t>
      </w:r>
      <w:proofErr w:type="spellStart"/>
      <w:r>
        <w:rPr>
          <w:rFonts w:ascii="Arial Narrow" w:eastAsia="Arial Narrow" w:hAnsi="Arial Narrow" w:cs="Arial Narrow"/>
          <w:b/>
          <w:sz w:val="24"/>
          <w:szCs w:val="24"/>
        </w:rPr>
        <w:t>Restriccionista</w:t>
      </w:r>
      <w:proofErr w:type="spellEnd"/>
      <w:r>
        <w:rPr>
          <w:rFonts w:ascii="Arial Narrow" w:eastAsia="Arial Narrow" w:hAnsi="Arial Narrow" w:cs="Arial Narrow"/>
          <w:b/>
          <w:sz w:val="24"/>
          <w:szCs w:val="24"/>
        </w:rPr>
        <w:t xml:space="preserve">: </w:t>
      </w:r>
    </w:p>
    <w:p w14:paraId="00BAAD19"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modelo </w:t>
      </w:r>
      <w:proofErr w:type="spellStart"/>
      <w:r>
        <w:rPr>
          <w:rFonts w:ascii="Arial Narrow" w:eastAsia="Arial Narrow" w:hAnsi="Arial Narrow" w:cs="Arial Narrow"/>
          <w:sz w:val="24"/>
          <w:szCs w:val="24"/>
        </w:rPr>
        <w:t>restriccionista</w:t>
      </w:r>
      <w:proofErr w:type="spellEnd"/>
      <w:r>
        <w:rPr>
          <w:rFonts w:ascii="Arial Narrow" w:eastAsia="Arial Narrow" w:hAnsi="Arial Narrow" w:cs="Arial Narrow"/>
          <w:sz w:val="24"/>
          <w:szCs w:val="24"/>
        </w:rPr>
        <w:t xml:space="preserve"> es aquel que prohíbe la práctica de los ECOSIEG, pero limita la restricción a un sector de la sociedad, generalmente a los profesionales en salud. El hecho de prohibir de manera sectorizada la práctica de los ECOSIEG puede ocasionar que personas no profesionales de la salud con corrientes de pensamiento tendientes a la patologización de la diversidad sexual publiciten y practiquen los ECOSIEG. </w:t>
      </w:r>
    </w:p>
    <w:p w14:paraId="148F5647"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Tal es el caso de la Ley 21331 de Chile</w:t>
      </w:r>
      <w:r>
        <w:rPr>
          <w:rFonts w:ascii="Arial Narrow" w:eastAsia="Arial Narrow" w:hAnsi="Arial Narrow" w:cs="Arial Narrow"/>
          <w:sz w:val="24"/>
          <w:szCs w:val="24"/>
          <w:vertAlign w:val="superscript"/>
        </w:rPr>
        <w:footnoteReference w:id="42"/>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que establece que el diagnóstico del estado de salud mental de una persona puede basarse en criterios relacionados con la identidad u orientación sexual y que deberá establecerse conforme la técnica clínica, lo que tiene como consecuencia que ningún profesional de la salud pueda ofrecer o practicar algún ECOSIEG pues la Ley no contempla la patologización de la diversidad sexual en el sector de la salud. </w:t>
      </w:r>
    </w:p>
    <w:p w14:paraId="59ED8C21"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Igual sucede en Brasil en donde la Ley No. 5.766 prohíbe la patologización de comportamientos y prácticas </w:t>
      </w:r>
      <w:proofErr w:type="spellStart"/>
      <w:r>
        <w:rPr>
          <w:rFonts w:ascii="Arial Narrow" w:eastAsia="Arial Narrow" w:hAnsi="Arial Narrow" w:cs="Arial Narrow"/>
          <w:sz w:val="24"/>
          <w:szCs w:val="24"/>
        </w:rPr>
        <w:t>homoeróticas</w:t>
      </w:r>
      <w:proofErr w:type="spellEnd"/>
      <w:r>
        <w:rPr>
          <w:rFonts w:ascii="Arial Narrow" w:eastAsia="Arial Narrow" w:hAnsi="Arial Narrow" w:cs="Arial Narrow"/>
          <w:sz w:val="24"/>
          <w:szCs w:val="24"/>
        </w:rPr>
        <w:t xml:space="preserve"> y reconoce las expresiones e identidades de género diversas como posibilidades de existencia humana prohibiendo al personal de talento humano en salud prestar y difundir los ECOSIEG. </w:t>
      </w:r>
    </w:p>
    <w:p w14:paraId="0925A505" w14:textId="77777777" w:rsidR="00CC5BDD" w:rsidRDefault="00000000">
      <w:pPr>
        <w:widowControl w:val="0"/>
        <w:spacing w:before="169"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Modelo criminalizador:</w:t>
      </w:r>
    </w:p>
    <w:p w14:paraId="04387681"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modelo criminalizador se caracteriza porque tipifica de manera independiente los ECOSIEG como una conducta delictiva con penas privativas de la libertad para quien los publicite o los practique. Así sucede en Canadá en donde la Ley No. C-4f</w:t>
      </w:r>
      <w:r>
        <w:rPr>
          <w:rFonts w:ascii="Arial Narrow" w:eastAsia="Arial Narrow" w:hAnsi="Arial Narrow" w:cs="Arial Narrow"/>
          <w:sz w:val="24"/>
          <w:szCs w:val="24"/>
          <w:vertAlign w:val="superscript"/>
        </w:rPr>
        <w:footnoteReference w:id="43"/>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reforma el Código Penal contemplando los ECOSIEG como delito y agravando la conducta cuando es cometida en contra de menores de edad. Al igual que </w:t>
      </w:r>
      <w:r>
        <w:rPr>
          <w:rFonts w:ascii="Arial Narrow" w:eastAsia="Arial Narrow" w:hAnsi="Arial Narrow" w:cs="Arial Narrow"/>
          <w:sz w:val="24"/>
          <w:szCs w:val="24"/>
        </w:rPr>
        <w:lastRenderedPageBreak/>
        <w:t>en Francia en donde la Ley contempla penas de hasta 2 años de cárcel y multas de 34.000 USD para quien practique o publicite los ECOSIEG.</w:t>
      </w:r>
    </w:p>
    <w:p w14:paraId="0526E37F" w14:textId="77777777" w:rsidR="00CC5BDD" w:rsidRDefault="00000000">
      <w:pPr>
        <w:widowControl w:val="0"/>
        <w:spacing w:before="169"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siguiente tabla resume las legislaciones internacionales que se han producido respecto los ECOSIEG y que tienen un carácter nacional, es decir, que rigen en todo el territorio del país que la promulgó. </w:t>
      </w:r>
    </w:p>
    <w:p w14:paraId="3FF22E31" w14:textId="77777777" w:rsidR="00CC5BDD" w:rsidRDefault="00CC5BDD">
      <w:pPr>
        <w:widowControl w:val="0"/>
        <w:spacing w:before="306" w:line="247" w:lineRule="auto"/>
        <w:ind w:right="472"/>
        <w:jc w:val="both"/>
        <w:rPr>
          <w:rFonts w:ascii="Arial Narrow" w:eastAsia="Arial Narrow" w:hAnsi="Arial Narrow" w:cs="Arial Narrow"/>
          <w:sz w:val="24"/>
          <w:szCs w:val="24"/>
        </w:rPr>
      </w:pPr>
    </w:p>
    <w:tbl>
      <w:tblPr>
        <w:tblStyle w:val="a5"/>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900"/>
      </w:tblGrid>
      <w:tr w:rsidR="00CC5BDD" w14:paraId="1E4364B5" w14:textId="77777777">
        <w:trPr>
          <w:trHeight w:val="800"/>
        </w:trPr>
        <w:tc>
          <w:tcPr>
            <w:tcW w:w="1940" w:type="dxa"/>
            <w:shd w:val="clear" w:color="auto" w:fill="auto"/>
            <w:tcMar>
              <w:top w:w="100" w:type="dxa"/>
              <w:left w:w="100" w:type="dxa"/>
              <w:bottom w:w="100" w:type="dxa"/>
              <w:right w:w="100" w:type="dxa"/>
            </w:tcMar>
          </w:tcPr>
          <w:p w14:paraId="48E2EA56" w14:textId="77777777" w:rsidR="00CC5BDD" w:rsidRDefault="00000000">
            <w:pPr>
              <w:widowControl w:val="0"/>
              <w:spacing w:line="240" w:lineRule="auto"/>
              <w:ind w:left="144"/>
              <w:rPr>
                <w:rFonts w:ascii="Arial Narrow" w:eastAsia="Arial Narrow" w:hAnsi="Arial Narrow" w:cs="Arial Narrow"/>
                <w:b/>
                <w:sz w:val="24"/>
                <w:szCs w:val="24"/>
              </w:rPr>
            </w:pPr>
            <w:r>
              <w:rPr>
                <w:rFonts w:ascii="Arial Narrow" w:eastAsia="Arial Narrow" w:hAnsi="Arial Narrow" w:cs="Arial Narrow"/>
                <w:b/>
                <w:sz w:val="24"/>
                <w:szCs w:val="24"/>
              </w:rPr>
              <w:t xml:space="preserve">PAÍS </w:t>
            </w:r>
          </w:p>
        </w:tc>
        <w:tc>
          <w:tcPr>
            <w:tcW w:w="6900" w:type="dxa"/>
            <w:shd w:val="clear" w:color="auto" w:fill="auto"/>
            <w:tcMar>
              <w:top w:w="100" w:type="dxa"/>
              <w:left w:w="100" w:type="dxa"/>
              <w:bottom w:w="100" w:type="dxa"/>
              <w:right w:w="100" w:type="dxa"/>
            </w:tcMar>
          </w:tcPr>
          <w:p w14:paraId="4444CB98" w14:textId="77777777" w:rsidR="00CC5BDD" w:rsidRDefault="00000000">
            <w:pPr>
              <w:widowControl w:val="0"/>
              <w:spacing w:line="240" w:lineRule="auto"/>
              <w:ind w:left="134"/>
              <w:rPr>
                <w:rFonts w:ascii="Arial Narrow" w:eastAsia="Arial Narrow" w:hAnsi="Arial Narrow" w:cs="Arial Narrow"/>
                <w:b/>
                <w:sz w:val="24"/>
                <w:szCs w:val="24"/>
              </w:rPr>
            </w:pPr>
            <w:r>
              <w:rPr>
                <w:rFonts w:ascii="Arial Narrow" w:eastAsia="Arial Narrow" w:hAnsi="Arial Narrow" w:cs="Arial Narrow"/>
                <w:b/>
                <w:sz w:val="24"/>
                <w:szCs w:val="24"/>
              </w:rPr>
              <w:t>¿CÓMO REGULARON LOS ECOSIEG?</w:t>
            </w:r>
          </w:p>
        </w:tc>
      </w:tr>
      <w:tr w:rsidR="00CC5BDD" w14:paraId="7D4FECD2" w14:textId="77777777">
        <w:trPr>
          <w:trHeight w:val="1840"/>
        </w:trPr>
        <w:tc>
          <w:tcPr>
            <w:tcW w:w="1940" w:type="dxa"/>
            <w:shd w:val="clear" w:color="auto" w:fill="auto"/>
            <w:tcMar>
              <w:top w:w="100" w:type="dxa"/>
              <w:left w:w="100" w:type="dxa"/>
              <w:bottom w:w="100" w:type="dxa"/>
              <w:right w:w="100" w:type="dxa"/>
            </w:tcMar>
          </w:tcPr>
          <w:p w14:paraId="1A7B291B" w14:textId="77777777" w:rsidR="00CC5BDD" w:rsidRDefault="00000000">
            <w:pPr>
              <w:widowControl w:val="0"/>
              <w:spacing w:line="240" w:lineRule="auto"/>
              <w:ind w:left="144"/>
              <w:rPr>
                <w:rFonts w:ascii="Arial Narrow" w:eastAsia="Arial Narrow" w:hAnsi="Arial Narrow" w:cs="Arial Narrow"/>
                <w:sz w:val="24"/>
                <w:szCs w:val="24"/>
              </w:rPr>
            </w:pPr>
            <w:r>
              <w:rPr>
                <w:rFonts w:ascii="Arial Narrow" w:eastAsia="Arial Narrow" w:hAnsi="Arial Narrow" w:cs="Arial Narrow"/>
                <w:sz w:val="24"/>
                <w:szCs w:val="24"/>
              </w:rPr>
              <w:t xml:space="preserve">BRASIL </w:t>
            </w:r>
          </w:p>
          <w:p w14:paraId="01E4B0E0" w14:textId="77777777" w:rsidR="00CC5BDD" w:rsidRDefault="00000000">
            <w:pPr>
              <w:widowControl w:val="0"/>
              <w:spacing w:before="235" w:line="240" w:lineRule="auto"/>
              <w:ind w:left="144"/>
              <w:rPr>
                <w:rFonts w:ascii="Arial Narrow" w:eastAsia="Arial Narrow" w:hAnsi="Arial Narrow" w:cs="Arial Narrow"/>
                <w:sz w:val="24"/>
                <w:szCs w:val="24"/>
              </w:rPr>
            </w:pPr>
            <w:r>
              <w:rPr>
                <w:rFonts w:ascii="Arial Narrow" w:eastAsia="Arial Narrow" w:hAnsi="Arial Narrow" w:cs="Arial Narrow"/>
                <w:sz w:val="24"/>
                <w:szCs w:val="24"/>
              </w:rPr>
              <w:t>Ley No. 5.766</w:t>
            </w:r>
          </w:p>
        </w:tc>
        <w:tc>
          <w:tcPr>
            <w:tcW w:w="6900" w:type="dxa"/>
            <w:shd w:val="clear" w:color="auto" w:fill="auto"/>
            <w:tcMar>
              <w:top w:w="100" w:type="dxa"/>
              <w:left w:w="100" w:type="dxa"/>
              <w:bottom w:w="100" w:type="dxa"/>
              <w:right w:w="100" w:type="dxa"/>
            </w:tcMar>
          </w:tcPr>
          <w:p w14:paraId="3D624077" w14:textId="77777777" w:rsidR="00CC5BDD" w:rsidRDefault="00000000">
            <w:pPr>
              <w:widowControl w:val="0"/>
              <w:spacing w:line="229" w:lineRule="auto"/>
              <w:ind w:left="131" w:right="53" w:firstLine="8"/>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Prohibió a Psicólogos prestar y difundir </w:t>
            </w:r>
            <w:proofErr w:type="spellStart"/>
            <w:r>
              <w:rPr>
                <w:rFonts w:ascii="Arial Narrow" w:eastAsia="Arial Narrow" w:hAnsi="Arial Narrow" w:cs="Arial Narrow"/>
                <w:sz w:val="24"/>
                <w:szCs w:val="24"/>
              </w:rPr>
              <w:t>ecosieg</w:t>
            </w:r>
            <w:proofErr w:type="spellEnd"/>
            <w:r>
              <w:rPr>
                <w:rFonts w:ascii="Arial Narrow" w:eastAsia="Arial Narrow" w:hAnsi="Arial Narrow" w:cs="Arial Narrow"/>
                <w:sz w:val="24"/>
                <w:szCs w:val="24"/>
              </w:rPr>
              <w:t xml:space="preserve"> además de imponerles la obligación de abstenerse de cualquier acción que favorezca la discriminación por razón de género. Prohibió la patologización de comportamientos y prácticas </w:t>
            </w:r>
            <w:proofErr w:type="spellStart"/>
            <w:r>
              <w:rPr>
                <w:rFonts w:ascii="Arial Narrow" w:eastAsia="Arial Narrow" w:hAnsi="Arial Narrow" w:cs="Arial Narrow"/>
                <w:sz w:val="24"/>
                <w:szCs w:val="24"/>
              </w:rPr>
              <w:t>homoeróticas</w:t>
            </w:r>
            <w:proofErr w:type="spellEnd"/>
            <w:r>
              <w:rPr>
                <w:rFonts w:ascii="Arial Narrow" w:eastAsia="Arial Narrow" w:hAnsi="Arial Narrow" w:cs="Arial Narrow"/>
                <w:sz w:val="24"/>
                <w:szCs w:val="24"/>
              </w:rPr>
              <w:t xml:space="preserve"> al reconocer las expresiones e identidades diversas como posibilidades de existencia humana</w:t>
            </w:r>
          </w:p>
        </w:tc>
      </w:tr>
    </w:tbl>
    <w:p w14:paraId="7E3D3217" w14:textId="77777777" w:rsidR="00CC5BDD" w:rsidRDefault="00CC5BDD">
      <w:pPr>
        <w:widowControl w:val="0"/>
        <w:spacing w:line="240" w:lineRule="auto"/>
        <w:rPr>
          <w:rFonts w:ascii="Arial Narrow" w:eastAsia="Arial Narrow" w:hAnsi="Arial Narrow" w:cs="Arial Narrow"/>
          <w:color w:val="1155CC"/>
          <w:sz w:val="24"/>
          <w:szCs w:val="24"/>
        </w:rPr>
      </w:pPr>
    </w:p>
    <w:tbl>
      <w:tblPr>
        <w:tblStyle w:val="a6"/>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900"/>
      </w:tblGrid>
      <w:tr w:rsidR="00CC5BDD" w14:paraId="0CA2AA01" w14:textId="77777777">
        <w:trPr>
          <w:trHeight w:val="1560"/>
        </w:trPr>
        <w:tc>
          <w:tcPr>
            <w:tcW w:w="1940" w:type="dxa"/>
            <w:shd w:val="clear" w:color="auto" w:fill="auto"/>
            <w:tcMar>
              <w:top w:w="100" w:type="dxa"/>
              <w:left w:w="100" w:type="dxa"/>
              <w:bottom w:w="100" w:type="dxa"/>
              <w:right w:w="100" w:type="dxa"/>
            </w:tcMar>
          </w:tcPr>
          <w:p w14:paraId="0CB79BA9" w14:textId="77777777" w:rsidR="00CC5BDD" w:rsidRDefault="00000000">
            <w:pPr>
              <w:widowControl w:val="0"/>
              <w:spacing w:line="240" w:lineRule="auto"/>
              <w:ind w:left="145"/>
              <w:rPr>
                <w:rFonts w:ascii="Arial Narrow" w:eastAsia="Arial Narrow" w:hAnsi="Arial Narrow" w:cs="Arial Narrow"/>
                <w:sz w:val="24"/>
                <w:szCs w:val="24"/>
              </w:rPr>
            </w:pPr>
            <w:r>
              <w:rPr>
                <w:rFonts w:ascii="Arial Narrow" w:eastAsia="Arial Narrow" w:hAnsi="Arial Narrow" w:cs="Arial Narrow"/>
                <w:sz w:val="24"/>
                <w:szCs w:val="24"/>
              </w:rPr>
              <w:t xml:space="preserve">ECUADOR </w:t>
            </w:r>
          </w:p>
          <w:p w14:paraId="7ADB6D3F" w14:textId="77777777" w:rsidR="00CC5BDD" w:rsidRDefault="00000000">
            <w:pPr>
              <w:widowControl w:val="0"/>
              <w:spacing w:before="235" w:line="229" w:lineRule="auto"/>
              <w:ind w:left="137" w:right="77" w:hanging="7"/>
              <w:rPr>
                <w:rFonts w:ascii="Arial Narrow" w:eastAsia="Arial Narrow" w:hAnsi="Arial Narrow" w:cs="Arial Narrow"/>
                <w:sz w:val="24"/>
                <w:szCs w:val="24"/>
              </w:rPr>
            </w:pPr>
            <w:r>
              <w:rPr>
                <w:rFonts w:ascii="Arial Narrow" w:eastAsia="Arial Narrow" w:hAnsi="Arial Narrow" w:cs="Arial Narrow"/>
                <w:sz w:val="24"/>
                <w:szCs w:val="24"/>
              </w:rPr>
              <w:t>Acuerdo ministerial 000767/2012</w:t>
            </w:r>
          </w:p>
        </w:tc>
        <w:tc>
          <w:tcPr>
            <w:tcW w:w="6900" w:type="dxa"/>
            <w:shd w:val="clear" w:color="auto" w:fill="auto"/>
            <w:tcMar>
              <w:top w:w="100" w:type="dxa"/>
              <w:left w:w="100" w:type="dxa"/>
              <w:bottom w:w="100" w:type="dxa"/>
              <w:right w:w="100" w:type="dxa"/>
            </w:tcMar>
          </w:tcPr>
          <w:p w14:paraId="4EFAF555" w14:textId="77777777" w:rsidR="00CC5BDD" w:rsidRDefault="00000000">
            <w:pPr>
              <w:widowControl w:val="0"/>
              <w:spacing w:line="229" w:lineRule="auto"/>
              <w:ind w:left="131" w:right="52" w:firstLine="8"/>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Prohibió a los centros asistenciales de salud el ofrecer, practicar, recomendar tratamientos o terapias que tengan como finalidad el cambio de la orientación sexual, identidad o expresión de género. Constituyó los </w:t>
            </w:r>
            <w:proofErr w:type="spellStart"/>
            <w:r>
              <w:rPr>
                <w:rFonts w:ascii="Arial Narrow" w:eastAsia="Arial Narrow" w:hAnsi="Arial Narrow" w:cs="Arial Narrow"/>
                <w:sz w:val="24"/>
                <w:szCs w:val="24"/>
              </w:rPr>
              <w:t>ecosieg</w:t>
            </w:r>
            <w:proofErr w:type="spellEnd"/>
            <w:r>
              <w:rPr>
                <w:rFonts w:ascii="Arial Narrow" w:eastAsia="Arial Narrow" w:hAnsi="Arial Narrow" w:cs="Arial Narrow"/>
                <w:sz w:val="24"/>
                <w:szCs w:val="24"/>
              </w:rPr>
              <w:t xml:space="preserve"> como un agravante del delito de tortura.</w:t>
            </w:r>
          </w:p>
        </w:tc>
      </w:tr>
      <w:tr w:rsidR="00CC5BDD" w14:paraId="406A79F4" w14:textId="77777777">
        <w:trPr>
          <w:trHeight w:val="1860"/>
        </w:trPr>
        <w:tc>
          <w:tcPr>
            <w:tcW w:w="1940" w:type="dxa"/>
            <w:shd w:val="clear" w:color="auto" w:fill="auto"/>
            <w:tcMar>
              <w:top w:w="100" w:type="dxa"/>
              <w:left w:w="100" w:type="dxa"/>
              <w:bottom w:w="100" w:type="dxa"/>
              <w:right w:w="100" w:type="dxa"/>
            </w:tcMar>
          </w:tcPr>
          <w:p w14:paraId="57609FF5" w14:textId="77777777" w:rsidR="00CC5BDD" w:rsidRDefault="00000000">
            <w:pPr>
              <w:widowControl w:val="0"/>
              <w:spacing w:line="240" w:lineRule="auto"/>
              <w:ind w:left="144"/>
              <w:rPr>
                <w:rFonts w:ascii="Arial Narrow" w:eastAsia="Arial Narrow" w:hAnsi="Arial Narrow" w:cs="Arial Narrow"/>
                <w:sz w:val="24"/>
                <w:szCs w:val="24"/>
              </w:rPr>
            </w:pPr>
            <w:r>
              <w:rPr>
                <w:rFonts w:ascii="Arial Narrow" w:eastAsia="Arial Narrow" w:hAnsi="Arial Narrow" w:cs="Arial Narrow"/>
                <w:sz w:val="24"/>
                <w:szCs w:val="24"/>
              </w:rPr>
              <w:t xml:space="preserve">MALTA </w:t>
            </w:r>
          </w:p>
          <w:p w14:paraId="30E571AA" w14:textId="77777777" w:rsidR="00CC5BDD" w:rsidRDefault="00000000">
            <w:pPr>
              <w:widowControl w:val="0"/>
              <w:spacing w:before="235" w:line="240" w:lineRule="auto"/>
              <w:ind w:left="130"/>
              <w:rPr>
                <w:rFonts w:ascii="Arial Narrow" w:eastAsia="Arial Narrow" w:hAnsi="Arial Narrow" w:cs="Arial Narrow"/>
                <w:sz w:val="24"/>
                <w:szCs w:val="24"/>
              </w:rPr>
            </w:pPr>
            <w:proofErr w:type="spellStart"/>
            <w:r>
              <w:rPr>
                <w:rFonts w:ascii="Arial Narrow" w:eastAsia="Arial Narrow" w:hAnsi="Arial Narrow" w:cs="Arial Narrow"/>
                <w:sz w:val="24"/>
                <w:szCs w:val="24"/>
              </w:rPr>
              <w:t>Act</w:t>
            </w:r>
            <w:proofErr w:type="spellEnd"/>
            <w:r>
              <w:rPr>
                <w:rFonts w:ascii="Arial Narrow" w:eastAsia="Arial Narrow" w:hAnsi="Arial Narrow" w:cs="Arial Narrow"/>
                <w:sz w:val="24"/>
                <w:szCs w:val="24"/>
              </w:rPr>
              <w:t xml:space="preserve"> IV.</w:t>
            </w:r>
          </w:p>
        </w:tc>
        <w:tc>
          <w:tcPr>
            <w:tcW w:w="6900" w:type="dxa"/>
            <w:shd w:val="clear" w:color="auto" w:fill="auto"/>
            <w:tcMar>
              <w:top w:w="100" w:type="dxa"/>
              <w:left w:w="100" w:type="dxa"/>
              <w:bottom w:w="100" w:type="dxa"/>
              <w:right w:w="100" w:type="dxa"/>
            </w:tcMar>
          </w:tcPr>
          <w:p w14:paraId="6D4663AB" w14:textId="77777777" w:rsidR="00CC5BDD" w:rsidRDefault="00000000">
            <w:pPr>
              <w:widowControl w:val="0"/>
              <w:spacing w:line="229" w:lineRule="auto"/>
              <w:ind w:left="131" w:right="52"/>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estableció como delito los ECOSIEG y prohibió a toda persona hacer ECOSIEG en menores de 16 años y mayores vulnerables, definió las personas vulnerables como aquellas que sufren un trastorno mental, y que enfrentan cualquier situación de dependencia, en consideración el estado psicológico y/o estado </w:t>
            </w:r>
            <w:r>
              <w:rPr>
                <w:rFonts w:ascii="Arial Narrow" w:eastAsia="Arial Narrow" w:hAnsi="Arial Narrow" w:cs="Arial Narrow"/>
                <w:b/>
                <w:sz w:val="24"/>
                <w:szCs w:val="24"/>
              </w:rPr>
              <w:t>emocional</w:t>
            </w:r>
            <w:r>
              <w:rPr>
                <w:rFonts w:ascii="Arial Narrow" w:eastAsia="Arial Narrow" w:hAnsi="Arial Narrow" w:cs="Arial Narrow"/>
                <w:sz w:val="24"/>
                <w:szCs w:val="24"/>
              </w:rPr>
              <w:t>.</w:t>
            </w:r>
          </w:p>
        </w:tc>
      </w:tr>
      <w:tr w:rsidR="00CC5BDD" w14:paraId="531EC604" w14:textId="77777777">
        <w:trPr>
          <w:trHeight w:val="1240"/>
        </w:trPr>
        <w:tc>
          <w:tcPr>
            <w:tcW w:w="1940" w:type="dxa"/>
            <w:shd w:val="clear" w:color="auto" w:fill="auto"/>
            <w:tcMar>
              <w:top w:w="100" w:type="dxa"/>
              <w:left w:w="100" w:type="dxa"/>
              <w:bottom w:w="100" w:type="dxa"/>
              <w:right w:w="100" w:type="dxa"/>
            </w:tcMar>
          </w:tcPr>
          <w:p w14:paraId="4FD54F98" w14:textId="77777777" w:rsidR="00CC5BDD" w:rsidRDefault="00000000">
            <w:pPr>
              <w:widowControl w:val="0"/>
              <w:spacing w:line="240" w:lineRule="auto"/>
              <w:ind w:left="139"/>
              <w:rPr>
                <w:rFonts w:ascii="Arial Narrow" w:eastAsia="Arial Narrow" w:hAnsi="Arial Narrow" w:cs="Arial Narrow"/>
                <w:sz w:val="24"/>
                <w:szCs w:val="24"/>
              </w:rPr>
            </w:pPr>
            <w:r>
              <w:rPr>
                <w:rFonts w:ascii="Arial Narrow" w:eastAsia="Arial Narrow" w:hAnsi="Arial Narrow" w:cs="Arial Narrow"/>
                <w:sz w:val="24"/>
                <w:szCs w:val="24"/>
              </w:rPr>
              <w:t xml:space="preserve">CANADÁ </w:t>
            </w:r>
          </w:p>
          <w:p w14:paraId="455B5EC6" w14:textId="77777777" w:rsidR="00CC5BDD" w:rsidRDefault="00000000">
            <w:pPr>
              <w:widowControl w:val="0"/>
              <w:spacing w:before="235" w:line="240" w:lineRule="auto"/>
              <w:ind w:left="130"/>
              <w:rPr>
                <w:rFonts w:ascii="Arial Narrow" w:eastAsia="Arial Narrow" w:hAnsi="Arial Narrow" w:cs="Arial Narrow"/>
                <w:sz w:val="24"/>
                <w:szCs w:val="24"/>
              </w:rPr>
            </w:pPr>
            <w:proofErr w:type="spellStart"/>
            <w:r>
              <w:rPr>
                <w:rFonts w:ascii="Arial Narrow" w:eastAsia="Arial Narrow" w:hAnsi="Arial Narrow" w:cs="Arial Narrow"/>
                <w:sz w:val="24"/>
                <w:szCs w:val="24"/>
              </w:rPr>
              <w:t>Act</w:t>
            </w:r>
            <w:proofErr w:type="spellEnd"/>
            <w:r>
              <w:rPr>
                <w:rFonts w:ascii="Arial Narrow" w:eastAsia="Arial Narrow" w:hAnsi="Arial Narrow" w:cs="Arial Narrow"/>
                <w:sz w:val="24"/>
                <w:szCs w:val="24"/>
              </w:rPr>
              <w:t>. C-4</w:t>
            </w:r>
          </w:p>
        </w:tc>
        <w:tc>
          <w:tcPr>
            <w:tcW w:w="6900" w:type="dxa"/>
            <w:shd w:val="clear" w:color="auto" w:fill="auto"/>
            <w:tcMar>
              <w:top w:w="100" w:type="dxa"/>
              <w:left w:w="100" w:type="dxa"/>
              <w:bottom w:w="100" w:type="dxa"/>
              <w:right w:w="100" w:type="dxa"/>
            </w:tcMar>
          </w:tcPr>
          <w:p w14:paraId="5D4FA2A0" w14:textId="77777777" w:rsidR="00CC5BDD" w:rsidRDefault="00000000">
            <w:pPr>
              <w:widowControl w:val="0"/>
              <w:spacing w:line="229" w:lineRule="auto"/>
              <w:ind w:left="127" w:right="46"/>
              <w:rPr>
                <w:rFonts w:ascii="Arial Narrow" w:eastAsia="Arial Narrow" w:hAnsi="Arial Narrow" w:cs="Arial Narrow"/>
                <w:sz w:val="24"/>
                <w:szCs w:val="24"/>
              </w:rPr>
            </w:pPr>
            <w:r>
              <w:rPr>
                <w:rFonts w:ascii="Arial Narrow" w:eastAsia="Arial Narrow" w:hAnsi="Arial Narrow" w:cs="Arial Narrow"/>
                <w:sz w:val="24"/>
                <w:szCs w:val="24"/>
              </w:rPr>
              <w:t>volvió delito los ECOSIEG, definió las prácticas y declaró que los ECOSIEG fomentan estereotipos.</w:t>
            </w:r>
          </w:p>
        </w:tc>
      </w:tr>
      <w:tr w:rsidR="00CC5BDD" w14:paraId="0779B9DF" w14:textId="77777777">
        <w:trPr>
          <w:trHeight w:val="3300"/>
        </w:trPr>
        <w:tc>
          <w:tcPr>
            <w:tcW w:w="1940" w:type="dxa"/>
            <w:shd w:val="clear" w:color="auto" w:fill="auto"/>
            <w:tcMar>
              <w:top w:w="100" w:type="dxa"/>
              <w:left w:w="100" w:type="dxa"/>
              <w:bottom w:w="100" w:type="dxa"/>
              <w:right w:w="100" w:type="dxa"/>
            </w:tcMar>
          </w:tcPr>
          <w:p w14:paraId="5E9F64E3" w14:textId="77777777" w:rsidR="00CC5BDD" w:rsidRDefault="00000000">
            <w:pPr>
              <w:widowControl w:val="0"/>
              <w:spacing w:line="240" w:lineRule="auto"/>
              <w:ind w:left="139"/>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CHILE </w:t>
            </w:r>
          </w:p>
          <w:p w14:paraId="23EE45B6" w14:textId="77777777" w:rsidR="00CC5BDD" w:rsidRDefault="00000000">
            <w:pPr>
              <w:widowControl w:val="0"/>
              <w:spacing w:before="235" w:line="240" w:lineRule="auto"/>
              <w:ind w:left="144"/>
              <w:rPr>
                <w:rFonts w:ascii="Arial Narrow" w:eastAsia="Arial Narrow" w:hAnsi="Arial Narrow" w:cs="Arial Narrow"/>
                <w:sz w:val="24"/>
                <w:szCs w:val="24"/>
              </w:rPr>
            </w:pPr>
            <w:r>
              <w:rPr>
                <w:rFonts w:ascii="Arial Narrow" w:eastAsia="Arial Narrow" w:hAnsi="Arial Narrow" w:cs="Arial Narrow"/>
                <w:sz w:val="24"/>
                <w:szCs w:val="24"/>
              </w:rPr>
              <w:t xml:space="preserve">Ley 21.331 </w:t>
            </w:r>
          </w:p>
          <w:p w14:paraId="06F52A84" w14:textId="77777777" w:rsidR="00CC5BDD" w:rsidRDefault="00000000">
            <w:pPr>
              <w:widowControl w:val="0"/>
              <w:spacing w:before="460" w:line="240" w:lineRule="auto"/>
              <w:ind w:left="146"/>
              <w:rPr>
                <w:rFonts w:ascii="Arial Narrow" w:eastAsia="Arial Narrow" w:hAnsi="Arial Narrow" w:cs="Arial Narrow"/>
                <w:sz w:val="24"/>
                <w:szCs w:val="24"/>
              </w:rPr>
            </w:pPr>
            <w:r>
              <w:rPr>
                <w:rFonts w:ascii="Arial Narrow" w:eastAsia="Arial Narrow" w:hAnsi="Arial Narrow" w:cs="Arial Narrow"/>
                <w:sz w:val="24"/>
                <w:szCs w:val="24"/>
              </w:rPr>
              <w:t xml:space="preserve">FRANCIA </w:t>
            </w:r>
          </w:p>
          <w:p w14:paraId="066CC3CD" w14:textId="77777777" w:rsidR="00CC5BDD" w:rsidRDefault="00000000">
            <w:pPr>
              <w:widowControl w:val="0"/>
              <w:spacing w:before="735" w:line="229" w:lineRule="auto"/>
              <w:ind w:left="138" w:right="70" w:firstLine="7"/>
              <w:rPr>
                <w:rFonts w:ascii="Arial Narrow" w:eastAsia="Arial Narrow" w:hAnsi="Arial Narrow" w:cs="Arial Narrow"/>
                <w:sz w:val="24"/>
                <w:szCs w:val="24"/>
              </w:rPr>
            </w:pPr>
            <w:r>
              <w:rPr>
                <w:rFonts w:ascii="Arial Narrow" w:eastAsia="Arial Narrow" w:hAnsi="Arial Narrow" w:cs="Arial Narrow"/>
                <w:sz w:val="24"/>
                <w:szCs w:val="24"/>
              </w:rPr>
              <w:t>FIJI / NAURU / SAMOA</w:t>
            </w:r>
          </w:p>
        </w:tc>
        <w:tc>
          <w:tcPr>
            <w:tcW w:w="6900" w:type="dxa"/>
            <w:shd w:val="clear" w:color="auto" w:fill="auto"/>
            <w:tcMar>
              <w:top w:w="100" w:type="dxa"/>
              <w:left w:w="100" w:type="dxa"/>
              <w:bottom w:w="100" w:type="dxa"/>
              <w:right w:w="100" w:type="dxa"/>
            </w:tcMar>
          </w:tcPr>
          <w:p w14:paraId="15A04BA5" w14:textId="77777777" w:rsidR="00CC5BDD" w:rsidRDefault="00000000">
            <w:pPr>
              <w:widowControl w:val="0"/>
              <w:spacing w:line="229" w:lineRule="auto"/>
              <w:ind w:left="137" w:right="58" w:firstLine="2"/>
              <w:rPr>
                <w:rFonts w:ascii="Arial Narrow" w:eastAsia="Arial Narrow" w:hAnsi="Arial Narrow" w:cs="Arial Narrow"/>
                <w:sz w:val="24"/>
                <w:szCs w:val="24"/>
              </w:rPr>
            </w:pPr>
            <w:r>
              <w:rPr>
                <w:rFonts w:ascii="Arial Narrow" w:eastAsia="Arial Narrow" w:hAnsi="Arial Narrow" w:cs="Arial Narrow"/>
                <w:sz w:val="24"/>
                <w:szCs w:val="24"/>
              </w:rPr>
              <w:t xml:space="preserve">Prohibió que la orientación, identidad y expresión sean considerados para realizar un diagnóstico de salud mental. </w:t>
            </w:r>
          </w:p>
          <w:p w14:paraId="4182A6F3" w14:textId="77777777" w:rsidR="00CC5BDD" w:rsidRDefault="00000000">
            <w:pPr>
              <w:widowControl w:val="0"/>
              <w:spacing w:before="710" w:line="229" w:lineRule="auto"/>
              <w:ind w:left="131" w:right="57" w:firstLine="9"/>
              <w:rPr>
                <w:rFonts w:ascii="Arial Narrow" w:eastAsia="Arial Narrow" w:hAnsi="Arial Narrow" w:cs="Arial Narrow"/>
                <w:sz w:val="24"/>
                <w:szCs w:val="24"/>
              </w:rPr>
            </w:pPr>
            <w:r>
              <w:rPr>
                <w:rFonts w:ascii="Arial Narrow" w:eastAsia="Arial Narrow" w:hAnsi="Arial Narrow" w:cs="Arial Narrow"/>
                <w:sz w:val="24"/>
                <w:szCs w:val="24"/>
              </w:rPr>
              <w:t xml:space="preserve">Estableció los ECOSIEG como delito con penas de 3 años y multas en dinero. </w:t>
            </w:r>
          </w:p>
          <w:p w14:paraId="4C4B7FFC" w14:textId="77777777" w:rsidR="00CC5BDD" w:rsidRDefault="00000000">
            <w:pPr>
              <w:widowControl w:val="0"/>
              <w:spacing w:before="470" w:line="229" w:lineRule="auto"/>
              <w:ind w:left="131" w:right="59" w:firstLine="8"/>
              <w:rPr>
                <w:rFonts w:ascii="Arial Narrow" w:eastAsia="Arial Narrow" w:hAnsi="Arial Narrow" w:cs="Arial Narrow"/>
                <w:sz w:val="24"/>
                <w:szCs w:val="24"/>
              </w:rPr>
            </w:pPr>
            <w:r>
              <w:rPr>
                <w:rFonts w:ascii="Arial Narrow" w:eastAsia="Arial Narrow" w:hAnsi="Arial Narrow" w:cs="Arial Narrow"/>
                <w:sz w:val="24"/>
                <w:szCs w:val="24"/>
              </w:rPr>
              <w:t>Una persona no puede ser considerada mentalmente enferma porque expresa una preferencia u orientación sexual.</w:t>
            </w:r>
          </w:p>
        </w:tc>
      </w:tr>
    </w:tbl>
    <w:p w14:paraId="63DC52E3" w14:textId="77777777" w:rsidR="00CC5BDD" w:rsidRDefault="00CC5BDD">
      <w:pPr>
        <w:jc w:val="both"/>
        <w:rPr>
          <w:rFonts w:ascii="Arial Narrow" w:eastAsia="Arial Narrow" w:hAnsi="Arial Narrow" w:cs="Arial Narrow"/>
          <w:b/>
          <w:sz w:val="24"/>
          <w:szCs w:val="24"/>
        </w:rPr>
      </w:pPr>
    </w:p>
    <w:p w14:paraId="1664B51F" w14:textId="77777777" w:rsidR="00CC5BDD" w:rsidRDefault="00CC5BDD">
      <w:pPr>
        <w:jc w:val="center"/>
        <w:rPr>
          <w:rFonts w:ascii="Arial Narrow" w:eastAsia="Arial Narrow" w:hAnsi="Arial Narrow" w:cs="Arial Narrow"/>
          <w:b/>
          <w:sz w:val="24"/>
          <w:szCs w:val="24"/>
          <w:u w:val="single"/>
        </w:rPr>
      </w:pPr>
    </w:p>
    <w:p w14:paraId="308513E5" w14:textId="77777777" w:rsidR="00CC5BDD" w:rsidRDefault="00000000">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III. CONCLUSIONES</w:t>
      </w:r>
    </w:p>
    <w:p w14:paraId="7C59036B" w14:textId="77777777" w:rsidR="00CC5BDD" w:rsidRDefault="00CC5BDD">
      <w:pPr>
        <w:rPr>
          <w:rFonts w:ascii="Arial Narrow" w:eastAsia="Arial Narrow" w:hAnsi="Arial Narrow" w:cs="Arial Narrow"/>
          <w:b/>
          <w:sz w:val="24"/>
          <w:szCs w:val="24"/>
        </w:rPr>
      </w:pPr>
    </w:p>
    <w:p w14:paraId="7DE507CB"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Atendiendo a lo expuesto, resulta necesario avanzar un Ley que proteja a la población LGBTI, reconociendo que ni la orientación sexual ni la identidad o expresión de género son un factor para valorar la salud mental, por lo cual ninguna persona puede ser sometida a esfuerzos orientados a cambiar o reprimir la diversidad (ECOSIEG). </w:t>
      </w:r>
    </w:p>
    <w:p w14:paraId="5668F48D" w14:textId="77777777" w:rsidR="00CC5BDD" w:rsidRDefault="00CC5BDD">
      <w:pPr>
        <w:jc w:val="both"/>
        <w:rPr>
          <w:rFonts w:ascii="Arial Narrow" w:eastAsia="Arial Narrow" w:hAnsi="Arial Narrow" w:cs="Arial Narrow"/>
          <w:sz w:val="24"/>
          <w:szCs w:val="24"/>
        </w:rPr>
      </w:pPr>
    </w:p>
    <w:p w14:paraId="137A9E2A"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Miles de personas alrededor del mundo han sido sometidas a este tipo de prácticas generando una vulneración a sus derechos como lo son la libertad de expresión, salud sexual y reproductiva y son sometidos a prácticas discriminatorias y tortuosas, por lo cual es necesario avanzar en la materia como ha sucedido en otros países de la región como Chile, Brasil y Ecuador. </w:t>
      </w:r>
    </w:p>
    <w:p w14:paraId="62127C09" w14:textId="77777777" w:rsidR="00CC5BDD" w:rsidRDefault="00CC5BDD">
      <w:pPr>
        <w:jc w:val="both"/>
        <w:rPr>
          <w:rFonts w:ascii="Arial Narrow" w:eastAsia="Arial Narrow" w:hAnsi="Arial Narrow" w:cs="Arial Narrow"/>
          <w:sz w:val="24"/>
          <w:szCs w:val="24"/>
        </w:rPr>
      </w:pPr>
    </w:p>
    <w:p w14:paraId="7A2D49BF" w14:textId="77777777" w:rsidR="00CC5BDD" w:rsidRDefault="00000000">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En ese sentido, este Proyecto de ley es necesario porque está encaminado a proteger los derechos de todos los colombianos relacionados a su sexualidad, género e identidad, por lo cual se propone prohibir: 1). cualquier promoción y práctica de un ECOSIEG; 2). Uso de fondos públicos para la práctica y promoción de los ECOSIEG y demás medidas necesarias para evitar la prestación de estas prácticas tortuosas en la red integral de servicios de salud. </w:t>
      </w:r>
    </w:p>
    <w:p w14:paraId="3673147B" w14:textId="77777777" w:rsidR="00CC5BDD" w:rsidRDefault="00CC5BDD">
      <w:pPr>
        <w:rPr>
          <w:rFonts w:ascii="Arial Narrow" w:eastAsia="Arial Narrow" w:hAnsi="Arial Narrow" w:cs="Arial Narrow"/>
          <w:b/>
          <w:sz w:val="24"/>
          <w:szCs w:val="24"/>
        </w:rPr>
      </w:pPr>
    </w:p>
    <w:p w14:paraId="77E58254" w14:textId="77777777" w:rsidR="00CC5BDD" w:rsidRDefault="00000000">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IV. PROPOSICIÓN</w:t>
      </w:r>
    </w:p>
    <w:p w14:paraId="3AC5D3F1" w14:textId="77777777" w:rsidR="00CC5BDD" w:rsidRDefault="00CC5BDD">
      <w:pPr>
        <w:rPr>
          <w:rFonts w:ascii="Arial Narrow" w:eastAsia="Arial Narrow" w:hAnsi="Arial Narrow" w:cs="Arial Narrow"/>
          <w:b/>
          <w:sz w:val="24"/>
          <w:szCs w:val="24"/>
        </w:rPr>
      </w:pPr>
    </w:p>
    <w:p w14:paraId="52608F1B" w14:textId="6611EC5D"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En virtud de lo anterior, solicito a la Secretaría General de la Cámara de Representantes dar inicio al trámite legislativo respectivo del presente proyecto de ley:</w:t>
      </w:r>
      <w:r>
        <w:rPr>
          <w:rFonts w:ascii="Arial Narrow" w:eastAsia="Arial Narrow" w:hAnsi="Arial Narrow" w:cs="Arial Narrow"/>
          <w:b/>
          <w:i/>
          <w:sz w:val="24"/>
          <w:szCs w:val="24"/>
        </w:rPr>
        <w:t xml:space="preserve"> </w:t>
      </w:r>
      <w:r w:rsidR="001729A3" w:rsidRPr="001729A3">
        <w:rPr>
          <w:rFonts w:ascii="Arial Narrow" w:eastAsia="Arial Narrow" w:hAnsi="Arial Narrow" w:cs="Arial Narrow"/>
          <w:b/>
          <w:i/>
          <w:sz w:val="24"/>
          <w:szCs w:val="24"/>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5D5ECE62" w14:textId="77777777" w:rsidR="00CC5BDD" w:rsidRDefault="00CC5BDD">
      <w:pPr>
        <w:jc w:val="both"/>
        <w:rPr>
          <w:rFonts w:ascii="Arial Narrow" w:eastAsia="Arial Narrow" w:hAnsi="Arial Narrow" w:cs="Arial Narrow"/>
          <w:sz w:val="24"/>
          <w:szCs w:val="24"/>
        </w:rPr>
      </w:pPr>
    </w:p>
    <w:p w14:paraId="19205BB2" w14:textId="77777777" w:rsidR="00CC5BDD" w:rsidRDefault="00CC5BDD">
      <w:pPr>
        <w:jc w:val="both"/>
        <w:rPr>
          <w:rFonts w:ascii="Arial Narrow" w:eastAsia="Arial Narrow" w:hAnsi="Arial Narrow" w:cs="Arial Narrow"/>
          <w:b/>
          <w:sz w:val="24"/>
          <w:szCs w:val="24"/>
        </w:rPr>
      </w:pPr>
    </w:p>
    <w:p w14:paraId="096A8A31" w14:textId="77777777" w:rsidR="00CC5BDD"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Cordialmente, </w:t>
      </w:r>
    </w:p>
    <w:p w14:paraId="57443B10" w14:textId="77777777" w:rsidR="00CC5BDD" w:rsidRDefault="00CC5BDD">
      <w:pPr>
        <w:jc w:val="both"/>
        <w:rPr>
          <w:rFonts w:ascii="Arial Narrow" w:eastAsia="Arial Narrow" w:hAnsi="Arial Narrow" w:cs="Arial Narrow"/>
          <w:sz w:val="24"/>
          <w:szCs w:val="24"/>
        </w:rPr>
      </w:pPr>
    </w:p>
    <w:p w14:paraId="6F9AB6AB" w14:textId="77777777" w:rsidR="00CC5BDD" w:rsidRDefault="00CC5BDD">
      <w:pPr>
        <w:jc w:val="both"/>
        <w:rPr>
          <w:rFonts w:ascii="Arial Narrow" w:eastAsia="Arial Narrow" w:hAnsi="Arial Narrow" w:cs="Arial Narrow"/>
          <w:sz w:val="24"/>
          <w:szCs w:val="24"/>
        </w:rPr>
      </w:pPr>
    </w:p>
    <w:p w14:paraId="1D5EA081" w14:textId="77777777" w:rsidR="00CC5BDD" w:rsidRDefault="00CC5BDD">
      <w:pPr>
        <w:rPr>
          <w:rFonts w:ascii="Arial Narrow" w:eastAsia="Arial Narrow" w:hAnsi="Arial Narrow" w:cs="Arial Narrow"/>
          <w:sz w:val="24"/>
          <w:szCs w:val="24"/>
        </w:rPr>
      </w:pPr>
    </w:p>
    <w:p w14:paraId="24812FC6" w14:textId="77777777" w:rsidR="00CC5BDD" w:rsidRDefault="00CC5BDD">
      <w:pPr>
        <w:rPr>
          <w:rFonts w:ascii="Arial Narrow" w:eastAsia="Arial Narrow" w:hAnsi="Arial Narrow" w:cs="Arial Narrow"/>
          <w:sz w:val="24"/>
          <w:szCs w:val="24"/>
        </w:rPr>
      </w:pPr>
    </w:p>
    <w:p w14:paraId="0B128ECF" w14:textId="77777777" w:rsidR="00CC5BDD" w:rsidRDefault="00CC5BDD">
      <w:pPr>
        <w:rPr>
          <w:rFonts w:ascii="Arial Narrow" w:eastAsia="Arial Narrow" w:hAnsi="Arial Narrow" w:cs="Arial Narrow"/>
          <w:sz w:val="24"/>
          <w:szCs w:val="24"/>
        </w:rPr>
      </w:pPr>
    </w:p>
    <w:p w14:paraId="7ACEFE21" w14:textId="77777777" w:rsidR="00CC5BDD" w:rsidRDefault="00CC5BDD">
      <w:pPr>
        <w:rPr>
          <w:rFonts w:ascii="Arial Narrow" w:eastAsia="Arial Narrow" w:hAnsi="Arial Narrow" w:cs="Arial Narrow"/>
          <w:sz w:val="24"/>
          <w:szCs w:val="24"/>
        </w:rPr>
      </w:pPr>
    </w:p>
    <w:p w14:paraId="71F8247B" w14:textId="77777777" w:rsidR="00CC5BDD" w:rsidRDefault="00CC5BDD">
      <w:pPr>
        <w:widowControl w:val="0"/>
        <w:spacing w:line="240" w:lineRule="auto"/>
        <w:ind w:left="144"/>
        <w:rPr>
          <w:rFonts w:ascii="Arial Narrow" w:eastAsia="Arial Narrow" w:hAnsi="Arial Narrow" w:cs="Arial Narrow"/>
          <w:b/>
          <w:sz w:val="24"/>
          <w:szCs w:val="24"/>
        </w:rPr>
      </w:pPr>
    </w:p>
    <w:p w14:paraId="579C837C" w14:textId="77777777" w:rsidR="00CC5BDD" w:rsidRDefault="00000000">
      <w:pPr>
        <w:widowControl w:val="0"/>
        <w:spacing w:line="240" w:lineRule="auto"/>
        <w:ind w:left="144"/>
        <w:rPr>
          <w:rFonts w:ascii="Arial Narrow" w:eastAsia="Arial Narrow" w:hAnsi="Arial Narrow" w:cs="Arial Narrow"/>
          <w:b/>
          <w:sz w:val="24"/>
          <w:szCs w:val="24"/>
        </w:rPr>
      </w:pPr>
      <w:r>
        <w:rPr>
          <w:rFonts w:ascii="Arial Narrow" w:eastAsia="Arial Narrow" w:hAnsi="Arial Narrow" w:cs="Arial Narrow"/>
          <w:b/>
          <w:sz w:val="24"/>
          <w:szCs w:val="24"/>
        </w:rPr>
        <w:t xml:space="preserve">REFERENCIAS BIBLIOGRÁFICAS. </w:t>
      </w:r>
    </w:p>
    <w:p w14:paraId="2A6D0F2E" w14:textId="77777777" w:rsidR="00CC5BDD" w:rsidRDefault="00000000">
      <w:pPr>
        <w:widowControl w:val="0"/>
        <w:spacing w:before="155" w:line="229" w:lineRule="auto"/>
        <w:ind w:left="136" w:right="480" w:hanging="6"/>
        <w:jc w:val="both"/>
        <w:rPr>
          <w:rFonts w:ascii="Arial Narrow" w:eastAsia="Arial Narrow" w:hAnsi="Arial Narrow" w:cs="Arial Narrow"/>
          <w:sz w:val="24"/>
          <w:szCs w:val="24"/>
        </w:rPr>
      </w:pPr>
      <w:r>
        <w:rPr>
          <w:rFonts w:ascii="Arial Narrow" w:eastAsia="Arial Narrow" w:hAnsi="Arial Narrow" w:cs="Arial Narrow"/>
          <w:sz w:val="24"/>
          <w:szCs w:val="24"/>
        </w:rPr>
        <w:t>APA, 2022. Guías para la práctica psicológica con personas transgénero y personas no conformes con el género. [online] Apa.org. Disponible en: &lt;</w:t>
      </w:r>
      <w:hyperlink r:id="rId11">
        <w:r>
          <w:rPr>
            <w:rFonts w:ascii="Arial Narrow" w:eastAsia="Arial Narrow" w:hAnsi="Arial Narrow" w:cs="Arial Narrow"/>
            <w:color w:val="1155CC"/>
            <w:sz w:val="24"/>
            <w:szCs w:val="24"/>
            <w:u w:val="single"/>
          </w:rPr>
          <w:t>https://www.apa.org/pi/lgbt/resources/guidelines-transgender-spanish.pdf</w:t>
        </w:r>
      </w:hyperlink>
      <w:r>
        <w:rPr>
          <w:rFonts w:ascii="Arial Narrow" w:eastAsia="Arial Narrow" w:hAnsi="Arial Narrow" w:cs="Arial Narrow"/>
          <w:sz w:val="24"/>
          <w:szCs w:val="24"/>
        </w:rPr>
        <w:t xml:space="preserve">&gt; [Consultado 1 May 2022]. </w:t>
      </w:r>
    </w:p>
    <w:p w14:paraId="34EC171A" w14:textId="77777777" w:rsidR="00CC5BDD" w:rsidRDefault="00000000">
      <w:pPr>
        <w:widowControl w:val="0"/>
        <w:spacing w:before="165" w:line="229" w:lineRule="auto"/>
        <w:ind w:left="140" w:right="488" w:hanging="10"/>
        <w:jc w:val="both"/>
        <w:rPr>
          <w:rFonts w:ascii="Arial Narrow" w:eastAsia="Arial Narrow" w:hAnsi="Arial Narrow" w:cs="Arial Narrow"/>
          <w:sz w:val="24"/>
          <w:szCs w:val="24"/>
        </w:rPr>
      </w:pPr>
      <w:r>
        <w:rPr>
          <w:rFonts w:ascii="Arial Narrow" w:eastAsia="Arial Narrow" w:hAnsi="Arial Narrow" w:cs="Arial Narrow"/>
          <w:sz w:val="24"/>
          <w:szCs w:val="24"/>
        </w:rPr>
        <w:t xml:space="preserve">APA, https://www.apa.org. 2022. Orientación sexual </w:t>
      </w:r>
      <w:proofErr w:type="spellStart"/>
      <w:r>
        <w:rPr>
          <w:rFonts w:ascii="Arial Narrow" w:eastAsia="Arial Narrow" w:hAnsi="Arial Narrow" w:cs="Arial Narrow"/>
          <w:sz w:val="24"/>
          <w:szCs w:val="24"/>
        </w:rPr>
        <w:t>y</w:t>
      </w:r>
      <w:proofErr w:type="spellEnd"/>
      <w:r>
        <w:rPr>
          <w:rFonts w:ascii="Arial Narrow" w:eastAsia="Arial Narrow" w:hAnsi="Arial Narrow" w:cs="Arial Narrow"/>
          <w:sz w:val="24"/>
          <w:szCs w:val="24"/>
        </w:rPr>
        <w:t xml:space="preserve"> identidad de género. [online] Disponible en: &lt;</w:t>
      </w:r>
      <w:hyperlink r:id="rId12">
        <w:r>
          <w:rPr>
            <w:rFonts w:ascii="Arial Narrow" w:eastAsia="Arial Narrow" w:hAnsi="Arial Narrow" w:cs="Arial Narrow"/>
            <w:color w:val="1155CC"/>
            <w:sz w:val="24"/>
            <w:szCs w:val="24"/>
            <w:u w:val="single"/>
          </w:rPr>
          <w:t>https://www.apa.org/topics/lgbtq/sexual</w:t>
        </w:r>
      </w:hyperlink>
      <w:r>
        <w:rPr>
          <w:rFonts w:ascii="Arial Narrow" w:eastAsia="Arial Narrow" w:hAnsi="Arial Narrow" w:cs="Arial Narrow"/>
          <w:sz w:val="24"/>
          <w:szCs w:val="24"/>
        </w:rPr>
        <w:t xml:space="preserve">&gt; [Consultado 9 May 2022]. </w:t>
      </w:r>
    </w:p>
    <w:p w14:paraId="603F0D8B" w14:textId="77777777" w:rsidR="00CC5BDD" w:rsidRPr="001729A3" w:rsidRDefault="00000000">
      <w:pPr>
        <w:widowControl w:val="0"/>
        <w:spacing w:before="165" w:line="229" w:lineRule="auto"/>
        <w:ind w:left="140" w:right="493" w:hanging="10"/>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APA, https://www.apa.org. 2022. </w:t>
      </w:r>
      <w:r w:rsidRPr="001729A3">
        <w:rPr>
          <w:rFonts w:ascii="Arial Narrow" w:eastAsia="Arial Narrow" w:hAnsi="Arial Narrow" w:cs="Arial Narrow"/>
          <w:sz w:val="24"/>
          <w:szCs w:val="24"/>
          <w:lang w:val="en-US"/>
        </w:rPr>
        <w:t>Resolution on Appropriate Affirmative Responses to Sexual Orientation Distress and Change Efforts. [online] Available at: &lt;</w:t>
      </w:r>
      <w:hyperlink r:id="rId13">
        <w:r w:rsidRPr="001729A3">
          <w:rPr>
            <w:rFonts w:ascii="Arial Narrow" w:eastAsia="Arial Narrow" w:hAnsi="Arial Narrow" w:cs="Arial Narrow"/>
            <w:color w:val="1155CC"/>
            <w:sz w:val="24"/>
            <w:szCs w:val="24"/>
            <w:u w:val="single"/>
            <w:lang w:val="en-US"/>
          </w:rPr>
          <w:t>https://www.apa.org/about/policy/sexual-orientation</w:t>
        </w:r>
      </w:hyperlink>
      <w:r w:rsidRPr="001729A3">
        <w:rPr>
          <w:rFonts w:ascii="Arial Narrow" w:eastAsia="Arial Narrow" w:hAnsi="Arial Narrow" w:cs="Arial Narrow"/>
          <w:sz w:val="24"/>
          <w:szCs w:val="24"/>
          <w:lang w:val="en-US"/>
        </w:rPr>
        <w:t xml:space="preserve">&gt; [Accessed 9 May 2022] </w:t>
      </w:r>
    </w:p>
    <w:p w14:paraId="6DF78A2D" w14:textId="77777777" w:rsidR="00CC5BDD" w:rsidRPr="001729A3" w:rsidRDefault="00000000">
      <w:pPr>
        <w:widowControl w:val="0"/>
        <w:spacing w:before="165" w:line="229" w:lineRule="auto"/>
        <w:ind w:left="136" w:right="481" w:hanging="6"/>
        <w:jc w:val="both"/>
        <w:rPr>
          <w:rFonts w:ascii="Arial Narrow" w:eastAsia="Arial Narrow" w:hAnsi="Arial Narrow" w:cs="Arial Narrow"/>
          <w:sz w:val="24"/>
          <w:szCs w:val="24"/>
          <w:lang w:val="en-US"/>
        </w:rPr>
      </w:pPr>
      <w:proofErr w:type="spellStart"/>
      <w:r>
        <w:rPr>
          <w:rFonts w:ascii="Arial Narrow" w:eastAsia="Arial Narrow" w:hAnsi="Arial Narrow" w:cs="Arial Narrow"/>
          <w:sz w:val="24"/>
          <w:szCs w:val="24"/>
        </w:rPr>
        <w:t>AllOut</w:t>
      </w:r>
      <w:proofErr w:type="spellEnd"/>
      <w:r>
        <w:rPr>
          <w:rFonts w:ascii="Arial Narrow" w:eastAsia="Arial Narrow" w:hAnsi="Arial Narrow" w:cs="Arial Narrow"/>
          <w:sz w:val="24"/>
          <w:szCs w:val="24"/>
        </w:rPr>
        <w:t xml:space="preserve">, 2022. ¡No más "terapias de conversión" en </w:t>
      </w:r>
      <w:proofErr w:type="gramStart"/>
      <w:r>
        <w:rPr>
          <w:rFonts w:ascii="Arial Narrow" w:eastAsia="Arial Narrow" w:hAnsi="Arial Narrow" w:cs="Arial Narrow"/>
          <w:sz w:val="24"/>
          <w:szCs w:val="24"/>
        </w:rPr>
        <w:t>Colombia!.</w:t>
      </w:r>
      <w:proofErr w:type="gramEnd"/>
      <w:r>
        <w:rPr>
          <w:rFonts w:ascii="Arial Narrow" w:eastAsia="Arial Narrow" w:hAnsi="Arial Narrow" w:cs="Arial Narrow"/>
          <w:sz w:val="24"/>
          <w:szCs w:val="24"/>
        </w:rPr>
        <w:t xml:space="preserve"> </w:t>
      </w:r>
      <w:r w:rsidRPr="001729A3">
        <w:rPr>
          <w:rFonts w:ascii="Arial Narrow" w:eastAsia="Arial Narrow" w:hAnsi="Arial Narrow" w:cs="Arial Narrow"/>
          <w:sz w:val="24"/>
          <w:szCs w:val="24"/>
          <w:lang w:val="en-US"/>
        </w:rPr>
        <w:t xml:space="preserve">[online] Campaigns.allout.org. Disponible </w:t>
      </w:r>
      <w:proofErr w:type="spellStart"/>
      <w:r w:rsidRPr="001729A3">
        <w:rPr>
          <w:rFonts w:ascii="Arial Narrow" w:eastAsia="Arial Narrow" w:hAnsi="Arial Narrow" w:cs="Arial Narrow"/>
          <w:sz w:val="24"/>
          <w:szCs w:val="24"/>
          <w:lang w:val="en-US"/>
        </w:rPr>
        <w:t>en</w:t>
      </w:r>
      <w:proofErr w:type="spellEnd"/>
      <w:r w:rsidRPr="001729A3">
        <w:rPr>
          <w:rFonts w:ascii="Arial Narrow" w:eastAsia="Arial Narrow" w:hAnsi="Arial Narrow" w:cs="Arial Narrow"/>
          <w:sz w:val="24"/>
          <w:szCs w:val="24"/>
          <w:lang w:val="en-US"/>
        </w:rPr>
        <w:t>: &lt;</w:t>
      </w:r>
      <w:hyperlink r:id="rId14">
        <w:r w:rsidRPr="001729A3">
          <w:rPr>
            <w:rFonts w:ascii="Arial Narrow" w:eastAsia="Arial Narrow" w:hAnsi="Arial Narrow" w:cs="Arial Narrow"/>
            <w:color w:val="1155CC"/>
            <w:sz w:val="24"/>
            <w:szCs w:val="24"/>
            <w:u w:val="single"/>
            <w:lang w:val="en-US"/>
          </w:rPr>
          <w:t>https://campaigns.allout.org/es/colombia-conversion-therapy</w:t>
        </w:r>
      </w:hyperlink>
      <w:r w:rsidRPr="001729A3">
        <w:rPr>
          <w:rFonts w:ascii="Arial Narrow" w:eastAsia="Arial Narrow" w:hAnsi="Arial Narrow" w:cs="Arial Narrow"/>
          <w:sz w:val="24"/>
          <w:szCs w:val="24"/>
          <w:lang w:val="en-US"/>
        </w:rPr>
        <w:t>&gt; [</w:t>
      </w:r>
      <w:proofErr w:type="spellStart"/>
      <w:r w:rsidRPr="001729A3">
        <w:rPr>
          <w:rFonts w:ascii="Arial Narrow" w:eastAsia="Arial Narrow" w:hAnsi="Arial Narrow" w:cs="Arial Narrow"/>
          <w:sz w:val="24"/>
          <w:szCs w:val="24"/>
          <w:lang w:val="en-US"/>
        </w:rPr>
        <w:t>Consultado</w:t>
      </w:r>
      <w:proofErr w:type="spellEnd"/>
      <w:r w:rsidRPr="001729A3">
        <w:rPr>
          <w:rFonts w:ascii="Arial Narrow" w:eastAsia="Arial Narrow" w:hAnsi="Arial Narrow" w:cs="Arial Narrow"/>
          <w:sz w:val="24"/>
          <w:szCs w:val="24"/>
          <w:lang w:val="en-US"/>
        </w:rPr>
        <w:t xml:space="preserve"> 17 April 2022]. </w:t>
      </w:r>
    </w:p>
    <w:p w14:paraId="4C7CC3C7" w14:textId="77777777" w:rsidR="00CC5BDD" w:rsidRDefault="00000000">
      <w:pPr>
        <w:widowControl w:val="0"/>
        <w:spacing w:before="165" w:line="229" w:lineRule="auto"/>
        <w:ind w:left="142" w:right="470" w:firstLine="2"/>
        <w:jc w:val="both"/>
        <w:rPr>
          <w:rFonts w:ascii="Arial Narrow" w:eastAsia="Arial Narrow" w:hAnsi="Arial Narrow" w:cs="Arial Narrow"/>
          <w:sz w:val="24"/>
          <w:szCs w:val="24"/>
        </w:rPr>
      </w:pPr>
      <w:r w:rsidRPr="001729A3">
        <w:rPr>
          <w:rFonts w:ascii="Arial Narrow" w:eastAsia="Arial Narrow" w:hAnsi="Arial Narrow" w:cs="Arial Narrow"/>
          <w:sz w:val="24"/>
          <w:szCs w:val="24"/>
          <w:lang w:val="en-US"/>
        </w:rPr>
        <w:t xml:space="preserve">BBC News, 2022. </w:t>
      </w:r>
      <w:r>
        <w:rPr>
          <w:rFonts w:ascii="Arial Narrow" w:eastAsia="Arial Narrow" w:hAnsi="Arial Narrow" w:cs="Arial Narrow"/>
          <w:sz w:val="24"/>
          <w:szCs w:val="24"/>
        </w:rPr>
        <w:t>"Me obligaban a orar y a sacarme al 'demonio' que tenía dentro": el duro relato de una colombiana sometida a una terapia de conversión gay - BBC News Mundo. [online] BBC News Mundo. Disponible en: &lt;</w:t>
      </w:r>
      <w:hyperlink r:id="rId15">
        <w:r>
          <w:rPr>
            <w:rFonts w:ascii="Arial Narrow" w:eastAsia="Arial Narrow" w:hAnsi="Arial Narrow" w:cs="Arial Narrow"/>
            <w:color w:val="1155CC"/>
            <w:sz w:val="24"/>
            <w:szCs w:val="24"/>
            <w:u w:val="single"/>
          </w:rPr>
          <w:t>https://www.bbc.com/mundo/noticias-america-latina-59859117</w:t>
        </w:r>
      </w:hyperlink>
      <w:r>
        <w:rPr>
          <w:rFonts w:ascii="Arial Narrow" w:eastAsia="Arial Narrow" w:hAnsi="Arial Narrow" w:cs="Arial Narrow"/>
          <w:sz w:val="24"/>
          <w:szCs w:val="24"/>
        </w:rPr>
        <w:t>&gt; [Consultado 9 May 2022].</w:t>
      </w:r>
    </w:p>
    <w:p w14:paraId="696F84A1" w14:textId="77777777" w:rsidR="00CC5BDD" w:rsidRDefault="00000000">
      <w:pPr>
        <w:widowControl w:val="0"/>
        <w:spacing w:before="165" w:line="229" w:lineRule="auto"/>
        <w:ind w:left="142" w:right="470" w:firstLine="2"/>
        <w:jc w:val="both"/>
        <w:rPr>
          <w:rFonts w:ascii="Arial Narrow" w:eastAsia="Arial Narrow" w:hAnsi="Arial Narrow" w:cs="Arial Narrow"/>
          <w:sz w:val="24"/>
          <w:szCs w:val="24"/>
        </w:rPr>
      </w:pPr>
      <w:r>
        <w:rPr>
          <w:rFonts w:ascii="Arial Narrow" w:eastAsia="Arial Narrow" w:hAnsi="Arial Narrow" w:cs="Arial Narrow"/>
          <w:sz w:val="24"/>
          <w:szCs w:val="24"/>
        </w:rPr>
        <w:t>CIDH, 2022. [online] Oas.org. Disponible en: &lt;</w:t>
      </w:r>
      <w:hyperlink r:id="rId16">
        <w:r>
          <w:rPr>
            <w:rFonts w:ascii="Arial Narrow" w:eastAsia="Arial Narrow" w:hAnsi="Arial Narrow" w:cs="Arial Narrow"/>
            <w:color w:val="1155CC"/>
            <w:sz w:val="24"/>
            <w:szCs w:val="24"/>
            <w:u w:val="single"/>
          </w:rPr>
          <w:t>http://www.oas.org/en/iachr/reports/pdfs/ViolenceLGBTIPersons.pdf</w:t>
        </w:r>
      </w:hyperlink>
      <w:r>
        <w:rPr>
          <w:rFonts w:ascii="Arial Narrow" w:eastAsia="Arial Narrow" w:hAnsi="Arial Narrow" w:cs="Arial Narrow"/>
          <w:sz w:val="24"/>
          <w:szCs w:val="24"/>
        </w:rPr>
        <w:t xml:space="preserve">&gt; [Consultado 9 May 2022]. </w:t>
      </w:r>
    </w:p>
    <w:p w14:paraId="763FFE6F" w14:textId="77777777" w:rsidR="00CC5BDD" w:rsidRDefault="00000000">
      <w:pPr>
        <w:widowControl w:val="0"/>
        <w:spacing w:before="165" w:line="229" w:lineRule="auto"/>
        <w:ind w:left="139" w:right="473" w:hanging="1"/>
        <w:jc w:val="both"/>
        <w:rPr>
          <w:rFonts w:ascii="Arial Narrow" w:eastAsia="Arial Narrow" w:hAnsi="Arial Narrow" w:cs="Arial Narrow"/>
          <w:sz w:val="24"/>
          <w:szCs w:val="24"/>
        </w:rPr>
      </w:pPr>
      <w:r>
        <w:rPr>
          <w:rFonts w:ascii="Arial Narrow" w:eastAsia="Arial Narrow" w:hAnsi="Arial Narrow" w:cs="Arial Narrow"/>
          <w:sz w:val="24"/>
          <w:szCs w:val="24"/>
        </w:rPr>
        <w:t>CIDH, 2022. Reconocimiento de derechos de personas LGBTI. [online] Oas.org. Disponible en: &lt;</w:t>
      </w:r>
      <w:hyperlink r:id="rId17">
        <w:r>
          <w:rPr>
            <w:rFonts w:ascii="Arial Narrow" w:eastAsia="Arial Narrow" w:hAnsi="Arial Narrow" w:cs="Arial Narrow"/>
            <w:color w:val="1155CC"/>
            <w:sz w:val="24"/>
            <w:szCs w:val="24"/>
            <w:u w:val="single"/>
          </w:rPr>
          <w:t>https://www.oas.org/es/cidh/informes/pdfs/LGBTI-ReconocimientoDerechos2019.pdf</w:t>
        </w:r>
      </w:hyperlink>
      <w:r>
        <w:rPr>
          <w:rFonts w:ascii="Arial Narrow" w:eastAsia="Arial Narrow" w:hAnsi="Arial Narrow" w:cs="Arial Narrow"/>
          <w:sz w:val="24"/>
          <w:szCs w:val="24"/>
        </w:rPr>
        <w:t xml:space="preserve">&gt; [Consultado 3 May 2022]. </w:t>
      </w:r>
    </w:p>
    <w:p w14:paraId="1010E263" w14:textId="77777777" w:rsidR="00CC5BDD" w:rsidRDefault="00000000">
      <w:pPr>
        <w:widowControl w:val="0"/>
        <w:spacing w:before="165" w:line="229" w:lineRule="auto"/>
        <w:ind w:left="139" w:right="473" w:hanging="1"/>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Corte Constitucional, 2014. Sentencia de Tutela T-804 de 2014. MP. Jorge Iván Palacio </w:t>
      </w:r>
      <w:proofErr w:type="spellStart"/>
      <w:r>
        <w:rPr>
          <w:rFonts w:ascii="Arial Narrow" w:eastAsia="Arial Narrow" w:hAnsi="Arial Narrow" w:cs="Arial Narrow"/>
          <w:sz w:val="24"/>
          <w:szCs w:val="24"/>
        </w:rPr>
        <w:t>Palacio</w:t>
      </w:r>
      <w:proofErr w:type="spellEnd"/>
      <w:r>
        <w:rPr>
          <w:rFonts w:ascii="Arial Narrow" w:eastAsia="Arial Narrow" w:hAnsi="Arial Narrow" w:cs="Arial Narrow"/>
          <w:sz w:val="24"/>
          <w:szCs w:val="24"/>
        </w:rPr>
        <w:t xml:space="preserve">. </w:t>
      </w:r>
    </w:p>
    <w:p w14:paraId="72C99F64" w14:textId="77777777" w:rsidR="00CC5BDD" w:rsidRDefault="00000000">
      <w:pPr>
        <w:widowControl w:val="0"/>
        <w:spacing w:before="165" w:line="229" w:lineRule="auto"/>
        <w:ind w:left="139" w:right="473" w:hanging="1"/>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Corte Constitucional, 2017. Sentencia de tutela T-498 de 2017. MP. Cristina Pardo Schlesinger. </w:t>
      </w:r>
    </w:p>
    <w:p w14:paraId="3BF4BEB5" w14:textId="77777777" w:rsidR="00CC5BDD" w:rsidRDefault="00000000">
      <w:pPr>
        <w:widowControl w:val="0"/>
        <w:spacing w:before="165" w:line="229" w:lineRule="auto"/>
        <w:ind w:left="139" w:right="473" w:hanging="1"/>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Corte Constitucional, 2019. Sentencia de Tutela T-447 de 2019. MP. Gloria Stella Ortiz Delgado. </w:t>
      </w:r>
    </w:p>
    <w:p w14:paraId="3744F780" w14:textId="77777777" w:rsidR="00CC5BDD" w:rsidRDefault="00000000">
      <w:pPr>
        <w:widowControl w:val="0"/>
        <w:spacing w:before="165" w:line="229" w:lineRule="auto"/>
        <w:ind w:left="139" w:right="473" w:hanging="1"/>
        <w:jc w:val="both"/>
        <w:rPr>
          <w:rFonts w:ascii="Arial Narrow" w:eastAsia="Arial Narrow" w:hAnsi="Arial Narrow" w:cs="Arial Narrow"/>
          <w:sz w:val="24"/>
          <w:szCs w:val="24"/>
        </w:rPr>
      </w:pPr>
      <w:r>
        <w:rPr>
          <w:rFonts w:ascii="Arial Narrow" w:eastAsia="Arial Narrow" w:hAnsi="Arial Narrow" w:cs="Arial Narrow"/>
          <w:sz w:val="24"/>
          <w:szCs w:val="24"/>
        </w:rPr>
        <w:t xml:space="preserve">Corte Constitucional, 2022. Sentencia de Tutela T-033 de 2022. MP Gloria Stella Ortiz Delgado. </w:t>
      </w:r>
    </w:p>
    <w:p w14:paraId="6BD7C9DB" w14:textId="77777777" w:rsidR="00CC5BDD" w:rsidRDefault="00CC5BDD">
      <w:pPr>
        <w:widowControl w:val="0"/>
        <w:spacing w:before="32" w:line="229" w:lineRule="auto"/>
        <w:ind w:left="139" w:right="473"/>
        <w:jc w:val="both"/>
        <w:rPr>
          <w:rFonts w:ascii="Arial Narrow" w:eastAsia="Arial Narrow" w:hAnsi="Arial Narrow" w:cs="Arial Narrow"/>
          <w:sz w:val="24"/>
          <w:szCs w:val="24"/>
        </w:rPr>
      </w:pPr>
    </w:p>
    <w:p w14:paraId="5067C706" w14:textId="77777777" w:rsidR="00CC5BDD" w:rsidRDefault="00000000">
      <w:pPr>
        <w:widowControl w:val="0"/>
        <w:spacing w:before="32" w:line="229" w:lineRule="auto"/>
        <w:ind w:left="139" w:right="473"/>
        <w:jc w:val="both"/>
        <w:rPr>
          <w:rFonts w:ascii="Arial Narrow" w:eastAsia="Arial Narrow" w:hAnsi="Arial Narrow" w:cs="Arial Narrow"/>
          <w:sz w:val="24"/>
          <w:szCs w:val="24"/>
        </w:rPr>
      </w:pPr>
      <w:r>
        <w:rPr>
          <w:rFonts w:ascii="Arial Narrow" w:eastAsia="Arial Narrow" w:hAnsi="Arial Narrow" w:cs="Arial Narrow"/>
          <w:sz w:val="24"/>
          <w:szCs w:val="24"/>
        </w:rPr>
        <w:t>Congreso Nacional de Chile, “Ley 21331 Del reconocimiento y protección de los derechos de las personas en la atención de la salud mental”, 11 de mayo de 2021.</w:t>
      </w:r>
    </w:p>
    <w:p w14:paraId="384B23BF" w14:textId="77777777" w:rsidR="00CC5BDD" w:rsidRDefault="00CC5BDD">
      <w:pPr>
        <w:widowControl w:val="0"/>
        <w:spacing w:before="32" w:line="229" w:lineRule="auto"/>
        <w:ind w:left="139" w:right="473"/>
        <w:jc w:val="both"/>
        <w:rPr>
          <w:rFonts w:ascii="Arial Narrow" w:eastAsia="Arial Narrow" w:hAnsi="Arial Narrow" w:cs="Arial Narrow"/>
          <w:sz w:val="24"/>
          <w:szCs w:val="24"/>
        </w:rPr>
      </w:pPr>
    </w:p>
    <w:p w14:paraId="35A725D0" w14:textId="77777777" w:rsidR="00CC5BDD" w:rsidRDefault="00000000">
      <w:pPr>
        <w:widowControl w:val="0"/>
        <w:spacing w:before="32" w:line="229" w:lineRule="auto"/>
        <w:ind w:left="139" w:right="473"/>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Comisión Internacional de Juristas, “Principios de YOGYAKARTA”, 2007 </w:t>
      </w:r>
    </w:p>
    <w:p w14:paraId="686264B7" w14:textId="77777777" w:rsidR="00CC5BDD" w:rsidRDefault="00CC5BDD">
      <w:pPr>
        <w:widowControl w:val="0"/>
        <w:spacing w:before="32" w:line="229" w:lineRule="auto"/>
        <w:ind w:left="139" w:right="473"/>
        <w:jc w:val="both"/>
        <w:rPr>
          <w:rFonts w:ascii="Arial Narrow" w:eastAsia="Arial Narrow" w:hAnsi="Arial Narrow" w:cs="Arial Narrow"/>
          <w:sz w:val="24"/>
          <w:szCs w:val="24"/>
        </w:rPr>
      </w:pPr>
    </w:p>
    <w:p w14:paraId="21BEBD9D" w14:textId="77777777" w:rsidR="00CC5BDD" w:rsidRPr="001729A3" w:rsidRDefault="00000000">
      <w:pPr>
        <w:widowControl w:val="0"/>
        <w:spacing w:before="32" w:line="229" w:lineRule="auto"/>
        <w:ind w:left="139" w:right="473"/>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Decreto 762 de 2018. “Por el cual se adopta la política pública para la garantía del ejercicio efectivo de los derechos de las personas con orientaciones sexuales e identidades de género diversas. </w:t>
      </w:r>
      <w:r w:rsidRPr="001729A3">
        <w:rPr>
          <w:rFonts w:ascii="Arial Narrow" w:eastAsia="Arial Narrow" w:hAnsi="Arial Narrow" w:cs="Arial Narrow"/>
          <w:sz w:val="24"/>
          <w:szCs w:val="24"/>
          <w:lang w:val="en-US"/>
        </w:rPr>
        <w:t xml:space="preserve">7 de mayo de 2018, Bogotá, Colombia. </w:t>
      </w:r>
    </w:p>
    <w:p w14:paraId="2D7CF08D" w14:textId="77777777" w:rsidR="00CC5BDD" w:rsidRPr="001729A3" w:rsidRDefault="00CC5BDD">
      <w:pPr>
        <w:widowControl w:val="0"/>
        <w:spacing w:before="32" w:line="229" w:lineRule="auto"/>
        <w:ind w:left="139" w:right="473"/>
        <w:jc w:val="both"/>
        <w:rPr>
          <w:rFonts w:ascii="Arial Narrow" w:eastAsia="Arial Narrow" w:hAnsi="Arial Narrow" w:cs="Arial Narrow"/>
          <w:sz w:val="24"/>
          <w:szCs w:val="24"/>
          <w:lang w:val="en-US"/>
        </w:rPr>
      </w:pPr>
    </w:p>
    <w:p w14:paraId="2D2513C3" w14:textId="77777777" w:rsidR="00CC5BDD" w:rsidRPr="001729A3" w:rsidRDefault="00000000">
      <w:pPr>
        <w:widowControl w:val="0"/>
        <w:spacing w:before="32" w:line="229" w:lineRule="auto"/>
        <w:ind w:left="139" w:right="473"/>
        <w:jc w:val="both"/>
        <w:rPr>
          <w:rFonts w:ascii="Arial Narrow" w:eastAsia="Arial Narrow" w:hAnsi="Arial Narrow" w:cs="Arial Narrow"/>
          <w:sz w:val="24"/>
          <w:szCs w:val="24"/>
          <w:lang w:val="en-US"/>
        </w:rPr>
      </w:pPr>
      <w:r w:rsidRPr="001729A3">
        <w:rPr>
          <w:rFonts w:ascii="Arial Narrow" w:eastAsia="Arial Narrow" w:hAnsi="Arial Narrow" w:cs="Arial Narrow"/>
          <w:sz w:val="24"/>
          <w:szCs w:val="24"/>
          <w:lang w:val="en-US"/>
        </w:rPr>
        <w:t>GPAHE, 2022. Tech companies must protect users from anti-LGBTQ content online. [online] Global Project Against Hate and Extremism. Available at: &lt;https://globalextremism.org/post/new-gpahe-reports-reveal-harmful-conversion-therapy-disinformation -thriving-online-especially-in-</w:t>
      </w:r>
      <w:proofErr w:type="spellStart"/>
      <w:r w:rsidRPr="001729A3">
        <w:rPr>
          <w:rFonts w:ascii="Arial Narrow" w:eastAsia="Arial Narrow" w:hAnsi="Arial Narrow" w:cs="Arial Narrow"/>
          <w:sz w:val="24"/>
          <w:szCs w:val="24"/>
          <w:lang w:val="en-US"/>
        </w:rPr>
        <w:lastRenderedPageBreak/>
        <w:t>non-english</w:t>
      </w:r>
      <w:proofErr w:type="spellEnd"/>
      <w:r w:rsidRPr="001729A3">
        <w:rPr>
          <w:rFonts w:ascii="Arial Narrow" w:eastAsia="Arial Narrow" w:hAnsi="Arial Narrow" w:cs="Arial Narrow"/>
          <w:sz w:val="24"/>
          <w:szCs w:val="24"/>
          <w:lang w:val="en-US"/>
        </w:rPr>
        <w:t xml:space="preserve">-languages/&gt; [Accessed 9 May 2022]. </w:t>
      </w:r>
    </w:p>
    <w:p w14:paraId="0273DEB5" w14:textId="77777777" w:rsidR="00CC5BDD" w:rsidRDefault="00000000">
      <w:pPr>
        <w:widowControl w:val="0"/>
        <w:spacing w:before="165" w:line="229" w:lineRule="auto"/>
        <w:ind w:left="136" w:right="491"/>
        <w:jc w:val="both"/>
        <w:rPr>
          <w:rFonts w:ascii="Arial Narrow" w:eastAsia="Arial Narrow" w:hAnsi="Arial Narrow" w:cs="Arial Narrow"/>
          <w:sz w:val="24"/>
          <w:szCs w:val="24"/>
        </w:rPr>
      </w:pPr>
      <w:r>
        <w:rPr>
          <w:rFonts w:ascii="Arial Narrow" w:eastAsia="Arial Narrow" w:hAnsi="Arial Narrow" w:cs="Arial Narrow"/>
          <w:sz w:val="24"/>
          <w:szCs w:val="24"/>
        </w:rPr>
        <w:t xml:space="preserve">ILGA, M., 2022. [online] Ilga.org. Disponible en: &lt;https://ilga.org/downloads/ILGA_World_poniendole_limites_engano_estudio_juridico_mundial_terapia s_de_conversion.pdf&gt; [Consultado 1 May 2022]. </w:t>
      </w:r>
    </w:p>
    <w:p w14:paraId="32338871" w14:textId="77777777" w:rsidR="00CC5BDD" w:rsidRPr="001729A3" w:rsidRDefault="00000000">
      <w:pPr>
        <w:widowControl w:val="0"/>
        <w:spacing w:before="165" w:line="229" w:lineRule="auto"/>
        <w:ind w:left="130" w:right="468" w:firstLine="5"/>
        <w:jc w:val="both"/>
        <w:rPr>
          <w:rFonts w:ascii="Arial Narrow" w:eastAsia="Arial Narrow" w:hAnsi="Arial Narrow" w:cs="Arial Narrow"/>
          <w:sz w:val="24"/>
          <w:szCs w:val="24"/>
          <w:lang w:val="en-US"/>
        </w:rPr>
      </w:pPr>
      <w:r w:rsidRPr="001729A3">
        <w:rPr>
          <w:rFonts w:ascii="Arial Narrow" w:eastAsia="Arial Narrow" w:hAnsi="Arial Narrow" w:cs="Arial Narrow"/>
          <w:sz w:val="24"/>
          <w:szCs w:val="24"/>
          <w:lang w:val="en-US"/>
        </w:rPr>
        <w:t xml:space="preserve">Journal of Homosexuality, 2022. Parent-Initiated Sexual Orientation Change Efforts </w:t>
      </w:r>
      <w:proofErr w:type="gramStart"/>
      <w:r w:rsidRPr="001729A3">
        <w:rPr>
          <w:rFonts w:ascii="Arial Narrow" w:eastAsia="Arial Narrow" w:hAnsi="Arial Narrow" w:cs="Arial Narrow"/>
          <w:sz w:val="24"/>
          <w:szCs w:val="24"/>
          <w:lang w:val="en-US"/>
        </w:rPr>
        <w:t>With</w:t>
      </w:r>
      <w:proofErr w:type="gramEnd"/>
      <w:r w:rsidRPr="001729A3">
        <w:rPr>
          <w:rFonts w:ascii="Arial Narrow" w:eastAsia="Arial Narrow" w:hAnsi="Arial Narrow" w:cs="Arial Narrow"/>
          <w:sz w:val="24"/>
          <w:szCs w:val="24"/>
          <w:lang w:val="en-US"/>
        </w:rPr>
        <w:t xml:space="preserve"> LGBT Adolescents: Implications for Young Adult Mental Health and Adjustment. [online] Taylor &amp; Francis. Available at: &lt;</w:t>
      </w:r>
      <w:hyperlink r:id="rId18">
        <w:r w:rsidRPr="001729A3">
          <w:rPr>
            <w:rFonts w:ascii="Arial Narrow" w:eastAsia="Arial Narrow" w:hAnsi="Arial Narrow" w:cs="Arial Narrow"/>
            <w:color w:val="1155CC"/>
            <w:sz w:val="24"/>
            <w:szCs w:val="24"/>
            <w:u w:val="single"/>
            <w:lang w:val="en-US"/>
          </w:rPr>
          <w:t>https://www.tandfonline.com/doi/abs/10.1080/00918369.2018.1538407?journalCode=wjhm20</w:t>
        </w:r>
      </w:hyperlink>
      <w:r w:rsidRPr="001729A3">
        <w:rPr>
          <w:rFonts w:ascii="Arial Narrow" w:eastAsia="Arial Narrow" w:hAnsi="Arial Narrow" w:cs="Arial Narrow"/>
          <w:sz w:val="24"/>
          <w:szCs w:val="24"/>
          <w:lang w:val="en-US"/>
        </w:rPr>
        <w:t xml:space="preserve">&gt; </w:t>
      </w:r>
    </w:p>
    <w:p w14:paraId="7E0623DA" w14:textId="77777777" w:rsidR="00CC5BDD" w:rsidRDefault="00000000">
      <w:pPr>
        <w:widowControl w:val="0"/>
        <w:spacing w:before="5" w:line="240" w:lineRule="auto"/>
        <w:ind w:left="143"/>
        <w:jc w:val="both"/>
        <w:rPr>
          <w:rFonts w:ascii="Arial Narrow" w:eastAsia="Arial Narrow" w:hAnsi="Arial Narrow" w:cs="Arial Narrow"/>
          <w:sz w:val="24"/>
          <w:szCs w:val="24"/>
        </w:rPr>
      </w:pPr>
      <w:r>
        <w:rPr>
          <w:rFonts w:ascii="Arial Narrow" w:eastAsia="Arial Narrow" w:hAnsi="Arial Narrow" w:cs="Arial Narrow"/>
          <w:sz w:val="24"/>
          <w:szCs w:val="24"/>
        </w:rPr>
        <w:t>[</w:t>
      </w:r>
      <w:proofErr w:type="spellStart"/>
      <w:r>
        <w:rPr>
          <w:rFonts w:ascii="Arial Narrow" w:eastAsia="Arial Narrow" w:hAnsi="Arial Narrow" w:cs="Arial Narrow"/>
          <w:sz w:val="24"/>
          <w:szCs w:val="24"/>
        </w:rPr>
        <w:t>Accessed</w:t>
      </w:r>
      <w:proofErr w:type="spellEnd"/>
      <w:r>
        <w:rPr>
          <w:rFonts w:ascii="Arial Narrow" w:eastAsia="Arial Narrow" w:hAnsi="Arial Narrow" w:cs="Arial Narrow"/>
          <w:sz w:val="24"/>
          <w:szCs w:val="24"/>
        </w:rPr>
        <w:t xml:space="preserve"> 9 May 2022]. </w:t>
      </w:r>
    </w:p>
    <w:p w14:paraId="4C9A5A01" w14:textId="77777777" w:rsidR="00CC5BDD" w:rsidRDefault="00000000">
      <w:pPr>
        <w:widowControl w:val="0"/>
        <w:spacing w:before="155" w:line="229" w:lineRule="auto"/>
        <w:ind w:left="142" w:right="471" w:firstLine="1"/>
        <w:jc w:val="both"/>
        <w:rPr>
          <w:rFonts w:ascii="Arial Narrow" w:eastAsia="Arial Narrow" w:hAnsi="Arial Narrow" w:cs="Arial Narrow"/>
          <w:sz w:val="24"/>
          <w:szCs w:val="24"/>
        </w:rPr>
      </w:pPr>
      <w:r>
        <w:rPr>
          <w:rFonts w:ascii="Arial Narrow" w:eastAsia="Arial Narrow" w:hAnsi="Arial Narrow" w:cs="Arial Narrow"/>
          <w:sz w:val="24"/>
          <w:szCs w:val="24"/>
        </w:rPr>
        <w:t xml:space="preserve">Ley 12 de 1991, “Por medio de la cual se aprueba la convención sobre los derechos del niño adoptada por la Asamblea General de las Naciones Unidas el 20 de noviembre de 1989”, enero 22 de 1991 </w:t>
      </w:r>
    </w:p>
    <w:p w14:paraId="587BC349" w14:textId="77777777" w:rsidR="00CC5BDD" w:rsidRDefault="00000000">
      <w:pPr>
        <w:widowControl w:val="0"/>
        <w:spacing w:before="165" w:line="229" w:lineRule="auto"/>
        <w:ind w:left="143" w:right="484"/>
        <w:jc w:val="both"/>
        <w:rPr>
          <w:rFonts w:ascii="Arial Narrow" w:eastAsia="Arial Narrow" w:hAnsi="Arial Narrow" w:cs="Arial Narrow"/>
          <w:sz w:val="24"/>
          <w:szCs w:val="24"/>
        </w:rPr>
      </w:pPr>
      <w:r>
        <w:rPr>
          <w:rFonts w:ascii="Arial Narrow" w:eastAsia="Arial Narrow" w:hAnsi="Arial Narrow" w:cs="Arial Narrow"/>
          <w:sz w:val="24"/>
          <w:szCs w:val="24"/>
        </w:rPr>
        <w:t xml:space="preserve">Liberarte, 2022. Terapias de conversión no son éticas ni científicas | LIBERARTE. [online] LIBERARTE. Disponible en: &lt;https://liberarte.co/blog/orientaciones-sexuales-diversas/terapias-de-conversion/&gt; [consultado 5 May 2022]. </w:t>
      </w:r>
    </w:p>
    <w:p w14:paraId="1EFFA914" w14:textId="77777777" w:rsidR="00CC5BDD" w:rsidRPr="001729A3" w:rsidRDefault="00000000">
      <w:pPr>
        <w:widowControl w:val="0"/>
        <w:spacing w:before="165" w:line="229" w:lineRule="auto"/>
        <w:ind w:left="136" w:right="471" w:firstLine="8"/>
        <w:jc w:val="both"/>
        <w:rPr>
          <w:rFonts w:ascii="Arial Narrow" w:eastAsia="Arial Narrow" w:hAnsi="Arial Narrow" w:cs="Arial Narrow"/>
          <w:sz w:val="24"/>
          <w:szCs w:val="24"/>
          <w:lang w:val="en-US"/>
        </w:rPr>
      </w:pPr>
      <w:r w:rsidRPr="001729A3">
        <w:rPr>
          <w:rFonts w:ascii="Arial Narrow" w:eastAsia="Arial Narrow" w:hAnsi="Arial Narrow" w:cs="Arial Narrow"/>
          <w:sz w:val="24"/>
          <w:szCs w:val="24"/>
          <w:lang w:val="en-US"/>
        </w:rPr>
        <w:t xml:space="preserve">Mitchell, C., 2022. OPS/OMS | OPS </w:t>
      </w:r>
      <w:proofErr w:type="spellStart"/>
      <w:r w:rsidRPr="001729A3">
        <w:rPr>
          <w:rFonts w:ascii="Arial Narrow" w:eastAsia="Arial Narrow" w:hAnsi="Arial Narrow" w:cs="Arial Narrow"/>
          <w:sz w:val="24"/>
          <w:szCs w:val="24"/>
          <w:lang w:val="en-US"/>
        </w:rPr>
        <w:t>advierte</w:t>
      </w:r>
      <w:proofErr w:type="spellEnd"/>
      <w:r w:rsidRPr="001729A3">
        <w:rPr>
          <w:rFonts w:ascii="Arial Narrow" w:eastAsia="Arial Narrow" w:hAnsi="Arial Narrow" w:cs="Arial Narrow"/>
          <w:sz w:val="24"/>
          <w:szCs w:val="24"/>
          <w:lang w:val="en-US"/>
        </w:rPr>
        <w:t xml:space="preserve"> que. [online] Pan American Health Organization / World Health Organization. Disponible </w:t>
      </w:r>
      <w:proofErr w:type="spellStart"/>
      <w:r w:rsidRPr="001729A3">
        <w:rPr>
          <w:rFonts w:ascii="Arial Narrow" w:eastAsia="Arial Narrow" w:hAnsi="Arial Narrow" w:cs="Arial Narrow"/>
          <w:sz w:val="24"/>
          <w:szCs w:val="24"/>
          <w:lang w:val="en-US"/>
        </w:rPr>
        <w:t>en</w:t>
      </w:r>
      <w:proofErr w:type="spellEnd"/>
      <w:r w:rsidRPr="001729A3">
        <w:rPr>
          <w:rFonts w:ascii="Arial Narrow" w:eastAsia="Arial Narrow" w:hAnsi="Arial Narrow" w:cs="Arial Narrow"/>
          <w:sz w:val="24"/>
          <w:szCs w:val="24"/>
          <w:lang w:val="en-US"/>
        </w:rPr>
        <w:t>: &lt;https://www3.paho.org/hq/index.php?option=com_content&amp;view=article&amp;id=6803:2012-therapies-chan ge-sexual-orientation-lack-medical-justification-threaten-health&amp;Itemid=1926&amp;lang=es&gt; [</w:t>
      </w:r>
      <w:proofErr w:type="spellStart"/>
      <w:r w:rsidRPr="001729A3">
        <w:rPr>
          <w:rFonts w:ascii="Arial Narrow" w:eastAsia="Arial Narrow" w:hAnsi="Arial Narrow" w:cs="Arial Narrow"/>
          <w:sz w:val="24"/>
          <w:szCs w:val="24"/>
          <w:lang w:val="en-US"/>
        </w:rPr>
        <w:t>Consultado</w:t>
      </w:r>
      <w:proofErr w:type="spellEnd"/>
      <w:r w:rsidRPr="001729A3">
        <w:rPr>
          <w:rFonts w:ascii="Arial Narrow" w:eastAsia="Arial Narrow" w:hAnsi="Arial Narrow" w:cs="Arial Narrow"/>
          <w:sz w:val="24"/>
          <w:szCs w:val="24"/>
          <w:lang w:val="en-US"/>
        </w:rPr>
        <w:t xml:space="preserve"> 9 May 2022]. </w:t>
      </w:r>
    </w:p>
    <w:p w14:paraId="51062AC6"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Ministerio de Salud Pública, “Acuerdo Ministerial 767”, 11 de mayo de 2012. Quito, Ecuador.</w:t>
      </w:r>
    </w:p>
    <w:p w14:paraId="74A3C4D8"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Noticias RCN, 2022. [online] Disponible en: &lt;</w:t>
      </w:r>
      <w:hyperlink r:id="rId19">
        <w:r>
          <w:rPr>
            <w:rFonts w:ascii="Arial Narrow" w:eastAsia="Arial Narrow" w:hAnsi="Arial Narrow" w:cs="Arial Narrow"/>
            <w:color w:val="1155CC"/>
            <w:sz w:val="24"/>
            <w:szCs w:val="24"/>
            <w:u w:val="single"/>
          </w:rPr>
          <w:t>https://www.noticiasrcn.com/tendencias/colombiana-sometida-a-terapias-de-conversion-gay-416612</w:t>
        </w:r>
      </w:hyperlink>
      <w:r>
        <w:rPr>
          <w:rFonts w:ascii="Arial Narrow" w:eastAsia="Arial Narrow" w:hAnsi="Arial Narrow" w:cs="Arial Narrow"/>
          <w:sz w:val="24"/>
          <w:szCs w:val="24"/>
        </w:rPr>
        <w:t xml:space="preserve">&gt; [consultado 6 May 2022]. </w:t>
      </w:r>
    </w:p>
    <w:p w14:paraId="49C38748"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OEA, 2022. CIDH saluda la enmienda del Código Penal que prohíbe los intentos de modificar la orientación sexual, identidad y expresión de género en Canadá. [online] Oas.org. Disponible en &lt;</w:t>
      </w:r>
      <w:hyperlink r:id="rId20">
        <w:r>
          <w:rPr>
            <w:rFonts w:ascii="Arial Narrow" w:eastAsia="Arial Narrow" w:hAnsi="Arial Narrow" w:cs="Arial Narrow"/>
            <w:color w:val="1155CC"/>
            <w:sz w:val="24"/>
            <w:szCs w:val="24"/>
            <w:u w:val="single"/>
          </w:rPr>
          <w:t>https://www.oas.org/pt/CIDH/jsForm/?File=/es/cidh/prensa/comunicados/2021/341.asp</w:t>
        </w:r>
      </w:hyperlink>
      <w:r>
        <w:rPr>
          <w:rFonts w:ascii="Arial Narrow" w:eastAsia="Arial Narrow" w:hAnsi="Arial Narrow" w:cs="Arial Narrow"/>
          <w:sz w:val="24"/>
          <w:szCs w:val="24"/>
        </w:rPr>
        <w:t xml:space="preserve">&gt; [Consultado 1 May 2022]. </w:t>
      </w:r>
    </w:p>
    <w:p w14:paraId="6D29B5E3"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Organización Naciones Unidas, C., 2022. Acabar con las "terapias de conversión", la lucha de un experto en derechos humanos. [online] Noticias ONU. Disponible en: &lt;</w:t>
      </w:r>
      <w:hyperlink r:id="rId21">
        <w:r>
          <w:rPr>
            <w:rFonts w:ascii="Arial Narrow" w:eastAsia="Arial Narrow" w:hAnsi="Arial Narrow" w:cs="Arial Narrow"/>
            <w:color w:val="1155CC"/>
            <w:sz w:val="24"/>
            <w:szCs w:val="24"/>
            <w:u w:val="single"/>
          </w:rPr>
          <w:t>https://news.un.org/es/story/2022/02/1504082</w:t>
        </w:r>
      </w:hyperlink>
      <w:r>
        <w:rPr>
          <w:rFonts w:ascii="Arial Narrow" w:eastAsia="Arial Narrow" w:hAnsi="Arial Narrow" w:cs="Arial Narrow"/>
          <w:sz w:val="24"/>
          <w:szCs w:val="24"/>
        </w:rPr>
        <w:t xml:space="preserve">&gt; [Consultado 5 May 2022]. </w:t>
      </w:r>
    </w:p>
    <w:p w14:paraId="7433B268"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 xml:space="preserve">Organización Mundial de la Salud, 2022. Género y salud. [online] Who.int. Disponible en: &lt;https://www.who.int/es/news-room/fact-sheets/detail/gender#:~:text=Definiciones,personas%20con%2 0identidades%20no%20binarias.&gt; [Consultado 8 May 2022]. </w:t>
      </w:r>
    </w:p>
    <w:p w14:paraId="7E50442D" w14:textId="77777777" w:rsidR="00CC5BDD" w:rsidRPr="001729A3" w:rsidRDefault="00000000">
      <w:pPr>
        <w:widowControl w:val="0"/>
        <w:spacing w:before="165" w:line="240" w:lineRule="auto"/>
        <w:ind w:left="144"/>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Organización Mundial Salud, 2022. Salud sexual. </w:t>
      </w:r>
      <w:r w:rsidRPr="001729A3">
        <w:rPr>
          <w:rFonts w:ascii="Arial Narrow" w:eastAsia="Arial Narrow" w:hAnsi="Arial Narrow" w:cs="Arial Narrow"/>
          <w:sz w:val="24"/>
          <w:szCs w:val="24"/>
          <w:lang w:val="en-US"/>
        </w:rPr>
        <w:t xml:space="preserve">[online] Who.int. Disponible </w:t>
      </w:r>
      <w:proofErr w:type="spellStart"/>
      <w:r w:rsidRPr="001729A3">
        <w:rPr>
          <w:rFonts w:ascii="Arial Narrow" w:eastAsia="Arial Narrow" w:hAnsi="Arial Narrow" w:cs="Arial Narrow"/>
          <w:sz w:val="24"/>
          <w:szCs w:val="24"/>
          <w:lang w:val="en-US"/>
        </w:rPr>
        <w:t>en</w:t>
      </w:r>
      <w:proofErr w:type="spellEnd"/>
      <w:r w:rsidRPr="001729A3">
        <w:rPr>
          <w:rFonts w:ascii="Arial Narrow" w:eastAsia="Arial Narrow" w:hAnsi="Arial Narrow" w:cs="Arial Narrow"/>
          <w:sz w:val="24"/>
          <w:szCs w:val="24"/>
          <w:lang w:val="en-US"/>
        </w:rPr>
        <w:t>: &lt;</w:t>
      </w:r>
      <w:hyperlink r:id="rId22" w:anchor="tab=tab_1">
        <w:r w:rsidRPr="001729A3">
          <w:rPr>
            <w:rFonts w:ascii="Arial Narrow" w:eastAsia="Arial Narrow" w:hAnsi="Arial Narrow" w:cs="Arial Narrow"/>
            <w:color w:val="1155CC"/>
            <w:sz w:val="24"/>
            <w:szCs w:val="24"/>
            <w:u w:val="single"/>
            <w:lang w:val="en-US"/>
          </w:rPr>
          <w:t>https://www.who.int/es/health-topics/sexual-health#tab=tab_1</w:t>
        </w:r>
      </w:hyperlink>
      <w:r w:rsidRPr="001729A3">
        <w:rPr>
          <w:rFonts w:ascii="Arial Narrow" w:eastAsia="Arial Narrow" w:hAnsi="Arial Narrow" w:cs="Arial Narrow"/>
          <w:sz w:val="24"/>
          <w:szCs w:val="24"/>
          <w:lang w:val="en-US"/>
        </w:rPr>
        <w:t>&gt; [</w:t>
      </w:r>
      <w:proofErr w:type="spellStart"/>
      <w:r w:rsidRPr="001729A3">
        <w:rPr>
          <w:rFonts w:ascii="Arial Narrow" w:eastAsia="Arial Narrow" w:hAnsi="Arial Narrow" w:cs="Arial Narrow"/>
          <w:sz w:val="24"/>
          <w:szCs w:val="24"/>
          <w:lang w:val="en-US"/>
        </w:rPr>
        <w:t>Consultado</w:t>
      </w:r>
      <w:proofErr w:type="spellEnd"/>
      <w:r w:rsidRPr="001729A3">
        <w:rPr>
          <w:rFonts w:ascii="Arial Narrow" w:eastAsia="Arial Narrow" w:hAnsi="Arial Narrow" w:cs="Arial Narrow"/>
          <w:sz w:val="24"/>
          <w:szCs w:val="24"/>
          <w:lang w:val="en-US"/>
        </w:rPr>
        <w:t xml:space="preserve"> 4 May 2022]. </w:t>
      </w:r>
    </w:p>
    <w:p w14:paraId="6854710D" w14:textId="77777777" w:rsidR="00CC5BDD" w:rsidRPr="001729A3" w:rsidRDefault="00000000">
      <w:pPr>
        <w:widowControl w:val="0"/>
        <w:spacing w:before="165" w:line="240" w:lineRule="auto"/>
        <w:ind w:left="144"/>
        <w:jc w:val="both"/>
        <w:rPr>
          <w:rFonts w:ascii="Arial Narrow" w:eastAsia="Arial Narrow" w:hAnsi="Arial Narrow" w:cs="Arial Narrow"/>
          <w:sz w:val="24"/>
          <w:szCs w:val="24"/>
          <w:lang w:val="en-US"/>
        </w:rPr>
      </w:pPr>
      <w:proofErr w:type="spellStart"/>
      <w:r w:rsidRPr="001729A3">
        <w:rPr>
          <w:rFonts w:ascii="Arial Narrow" w:eastAsia="Arial Narrow" w:hAnsi="Arial Narrow" w:cs="Arial Narrow"/>
          <w:sz w:val="24"/>
          <w:szCs w:val="24"/>
          <w:lang w:val="en-US"/>
        </w:rPr>
        <w:t>OutRigt</w:t>
      </w:r>
      <w:proofErr w:type="spellEnd"/>
      <w:r w:rsidRPr="001729A3">
        <w:rPr>
          <w:rFonts w:ascii="Arial Narrow" w:eastAsia="Arial Narrow" w:hAnsi="Arial Narrow" w:cs="Arial Narrow"/>
          <w:sz w:val="24"/>
          <w:szCs w:val="24"/>
          <w:lang w:val="en-US"/>
        </w:rPr>
        <w:t xml:space="preserve">, 2022. The Global Reach of So-Called Conversion Therapy. [online] </w:t>
      </w:r>
      <w:proofErr w:type="spellStart"/>
      <w:r w:rsidRPr="001729A3">
        <w:rPr>
          <w:rFonts w:ascii="Arial Narrow" w:eastAsia="Arial Narrow" w:hAnsi="Arial Narrow" w:cs="Arial Narrow"/>
          <w:sz w:val="24"/>
          <w:szCs w:val="24"/>
          <w:lang w:val="en-US"/>
        </w:rPr>
        <w:t>OutRight</w:t>
      </w:r>
      <w:proofErr w:type="spellEnd"/>
      <w:r w:rsidRPr="001729A3">
        <w:rPr>
          <w:rFonts w:ascii="Arial Narrow" w:eastAsia="Arial Narrow" w:hAnsi="Arial Narrow" w:cs="Arial Narrow"/>
          <w:sz w:val="24"/>
          <w:szCs w:val="24"/>
          <w:lang w:val="en-US"/>
        </w:rPr>
        <w:t xml:space="preserve"> Action International. Available at: &lt;</w:t>
      </w:r>
      <w:hyperlink r:id="rId23">
        <w:r w:rsidRPr="001729A3">
          <w:rPr>
            <w:rFonts w:ascii="Arial Narrow" w:eastAsia="Arial Narrow" w:hAnsi="Arial Narrow" w:cs="Arial Narrow"/>
            <w:color w:val="1155CC"/>
            <w:sz w:val="24"/>
            <w:szCs w:val="24"/>
            <w:u w:val="single"/>
            <w:lang w:val="en-US"/>
          </w:rPr>
          <w:t>https://outrightinternational.org/reports/global-reach-so-called-conversion-therapy</w:t>
        </w:r>
      </w:hyperlink>
      <w:r w:rsidRPr="001729A3">
        <w:rPr>
          <w:rFonts w:ascii="Arial Narrow" w:eastAsia="Arial Narrow" w:hAnsi="Arial Narrow" w:cs="Arial Narrow"/>
          <w:sz w:val="24"/>
          <w:szCs w:val="24"/>
          <w:lang w:val="en-US"/>
        </w:rPr>
        <w:t xml:space="preserve">&gt; [Accessed 9 May 2022]. </w:t>
      </w:r>
    </w:p>
    <w:p w14:paraId="0A81DF8F"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Parlamento de Malta, “Ley No. LV, Ley de afirmación de orientación sexual, identidad de género y expresión de género”, 9 de diciembre de 2016.</w:t>
      </w:r>
    </w:p>
    <w:p w14:paraId="336A30A4"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Parlamento de Canadá, “Ley de reforma del código penal, terapia de conversión” 8 de diciembre de 2021.</w:t>
      </w:r>
    </w:p>
    <w:p w14:paraId="0BD8C631"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Profamilia, 2022. ¿Qué son las identidades de género? - Profamilia. [online] Profamilia. Disponible en: &lt;</w:t>
      </w:r>
      <w:hyperlink r:id="rId24">
        <w:r>
          <w:rPr>
            <w:rFonts w:ascii="Arial Narrow" w:eastAsia="Arial Narrow" w:hAnsi="Arial Narrow" w:cs="Arial Narrow"/>
            <w:color w:val="1155CC"/>
            <w:sz w:val="24"/>
            <w:szCs w:val="24"/>
            <w:u w:val="single"/>
          </w:rPr>
          <w:t>https://profamilia.org.co/aprende/diversidad-sexual/identidades-de-genero/</w:t>
        </w:r>
      </w:hyperlink>
      <w:r>
        <w:rPr>
          <w:rFonts w:ascii="Arial Narrow" w:eastAsia="Arial Narrow" w:hAnsi="Arial Narrow" w:cs="Arial Narrow"/>
          <w:sz w:val="24"/>
          <w:szCs w:val="24"/>
        </w:rPr>
        <w:t xml:space="preserve">&gt; [Consultado 3 May 2022]. </w:t>
      </w:r>
    </w:p>
    <w:p w14:paraId="16380BA3"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 xml:space="preserve">RCN radio, 2022. Terapias de conversión y las prácticas que vulneran derechos de personas LGBTQ. [online] RCN Radio. Disponible en: &lt;https://www.rcnradio.com/recomendado-del-editor/testimonios-sobre-terapias-de-conversion-y-las-pra </w:t>
      </w:r>
      <w:proofErr w:type="spellStart"/>
      <w:r>
        <w:rPr>
          <w:rFonts w:ascii="Arial Narrow" w:eastAsia="Arial Narrow" w:hAnsi="Arial Narrow" w:cs="Arial Narrow"/>
          <w:sz w:val="24"/>
          <w:szCs w:val="24"/>
        </w:rPr>
        <w:t>cticas</w:t>
      </w:r>
      <w:proofErr w:type="spellEnd"/>
      <w:r>
        <w:rPr>
          <w:rFonts w:ascii="Arial Narrow" w:eastAsia="Arial Narrow" w:hAnsi="Arial Narrow" w:cs="Arial Narrow"/>
          <w:sz w:val="24"/>
          <w:szCs w:val="24"/>
        </w:rPr>
        <w:t xml:space="preserve">-que-vulneran&gt; [consultado 5 May 2022]. </w:t>
      </w:r>
    </w:p>
    <w:p w14:paraId="7F232AC7"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 xml:space="preserve">Revista Semana, 2022. [online Disponible en&lt;https://www.semana.com/nacion/articulo/la-casa-del-horror-la-ips-donde-torturaban-jovenes-drogad </w:t>
      </w:r>
      <w:proofErr w:type="spellStart"/>
      <w:r>
        <w:rPr>
          <w:rFonts w:ascii="Arial Narrow" w:eastAsia="Arial Narrow" w:hAnsi="Arial Narrow" w:cs="Arial Narrow"/>
          <w:sz w:val="24"/>
          <w:szCs w:val="24"/>
        </w:rPr>
        <w:t>ictos</w:t>
      </w:r>
      <w:proofErr w:type="spellEnd"/>
      <w:r>
        <w:rPr>
          <w:rFonts w:ascii="Arial Narrow" w:eastAsia="Arial Narrow" w:hAnsi="Arial Narrow" w:cs="Arial Narrow"/>
          <w:sz w:val="24"/>
          <w:szCs w:val="24"/>
        </w:rPr>
        <w:t xml:space="preserve">-obesos-y-homosexuales/202201/&gt; [consultado 1 May 2022]. </w:t>
      </w:r>
    </w:p>
    <w:p w14:paraId="032D07D6" w14:textId="77777777" w:rsidR="00CC5BDD" w:rsidRDefault="00000000">
      <w:pPr>
        <w:widowControl w:val="0"/>
        <w:spacing w:before="165" w:line="240" w:lineRule="auto"/>
        <w:ind w:left="144"/>
        <w:jc w:val="both"/>
        <w:rPr>
          <w:rFonts w:ascii="Arial Narrow" w:eastAsia="Arial Narrow" w:hAnsi="Arial Narrow" w:cs="Arial Narrow"/>
          <w:sz w:val="24"/>
          <w:szCs w:val="24"/>
        </w:rPr>
      </w:pPr>
      <w:r>
        <w:rPr>
          <w:rFonts w:ascii="Arial Narrow" w:eastAsia="Arial Narrow" w:hAnsi="Arial Narrow" w:cs="Arial Narrow"/>
          <w:sz w:val="24"/>
          <w:szCs w:val="24"/>
        </w:rPr>
        <w:t xml:space="preserve">Tiempo, C., 2022. La IPS que funcionaba como una secta en el barrio Normandía. [online] El Tiempo. Disponible en: &lt;https://www.eltiempo.com/bogota/detalles-ineditos-de-la-ips-resurgir-a-la-vida-que-torturaba-a-pacient es-654442&gt; [Consultado 9 May 2022]. </w:t>
      </w:r>
    </w:p>
    <w:p w14:paraId="719253D0" w14:textId="77777777" w:rsidR="00CC5BDD" w:rsidRDefault="00000000">
      <w:pPr>
        <w:widowControl w:val="0"/>
        <w:spacing w:before="165" w:line="240" w:lineRule="auto"/>
        <w:ind w:left="144"/>
        <w:jc w:val="both"/>
        <w:rPr>
          <w:rFonts w:ascii="Arial Narrow" w:eastAsia="Arial Narrow" w:hAnsi="Arial Narrow" w:cs="Arial Narrow"/>
          <w:sz w:val="24"/>
          <w:szCs w:val="24"/>
        </w:rPr>
      </w:pPr>
      <w:r w:rsidRPr="001729A3">
        <w:rPr>
          <w:rFonts w:ascii="Arial Narrow" w:eastAsia="Arial Narrow" w:hAnsi="Arial Narrow" w:cs="Arial Narrow"/>
          <w:sz w:val="24"/>
          <w:szCs w:val="24"/>
          <w:lang w:val="en-US"/>
        </w:rPr>
        <w:t xml:space="preserve">UNFE, 2022. UN Free &amp; Equal | DEFINITIONS. </w:t>
      </w:r>
      <w:r>
        <w:rPr>
          <w:rFonts w:ascii="Arial Narrow" w:eastAsia="Arial Narrow" w:hAnsi="Arial Narrow" w:cs="Arial Narrow"/>
          <w:sz w:val="24"/>
          <w:szCs w:val="24"/>
        </w:rPr>
        <w:t xml:space="preserve">[online] UN Free &amp; </w:t>
      </w:r>
      <w:proofErr w:type="spellStart"/>
      <w:r>
        <w:rPr>
          <w:rFonts w:ascii="Arial Narrow" w:eastAsia="Arial Narrow" w:hAnsi="Arial Narrow" w:cs="Arial Narrow"/>
          <w:sz w:val="24"/>
          <w:szCs w:val="24"/>
        </w:rPr>
        <w:t>Equal</w:t>
      </w:r>
      <w:proofErr w:type="spellEnd"/>
      <w:r>
        <w:rPr>
          <w:rFonts w:ascii="Arial Narrow" w:eastAsia="Arial Narrow" w:hAnsi="Arial Narrow" w:cs="Arial Narrow"/>
          <w:sz w:val="24"/>
          <w:szCs w:val="24"/>
        </w:rPr>
        <w:t xml:space="preserve"> Disponible en: &lt;</w:t>
      </w:r>
      <w:hyperlink r:id="rId25">
        <w:r>
          <w:rPr>
            <w:rFonts w:ascii="Arial Narrow" w:eastAsia="Arial Narrow" w:hAnsi="Arial Narrow" w:cs="Arial Narrow"/>
            <w:color w:val="1155CC"/>
            <w:sz w:val="24"/>
            <w:szCs w:val="24"/>
            <w:u w:val="single"/>
          </w:rPr>
          <w:t>https://www.unfe.org/es/definitions/</w:t>
        </w:r>
      </w:hyperlink>
      <w:r>
        <w:rPr>
          <w:rFonts w:ascii="Arial Narrow" w:eastAsia="Arial Narrow" w:hAnsi="Arial Narrow" w:cs="Arial Narrow"/>
          <w:sz w:val="24"/>
          <w:szCs w:val="24"/>
        </w:rPr>
        <w:t xml:space="preserve">&gt; [Consultado 8 May 2022]. </w:t>
      </w:r>
    </w:p>
    <w:p w14:paraId="15A63FD0" w14:textId="77777777" w:rsidR="00CC5BDD" w:rsidRPr="001729A3" w:rsidRDefault="00000000">
      <w:pPr>
        <w:widowControl w:val="0"/>
        <w:spacing w:before="165" w:line="240" w:lineRule="auto"/>
        <w:ind w:left="144"/>
        <w:jc w:val="both"/>
        <w:rPr>
          <w:rFonts w:ascii="Arial Narrow" w:eastAsia="Arial Narrow" w:hAnsi="Arial Narrow" w:cs="Arial Narrow"/>
          <w:sz w:val="24"/>
          <w:szCs w:val="24"/>
          <w:lang w:val="en-US"/>
        </w:rPr>
      </w:pPr>
      <w:r w:rsidRPr="001729A3">
        <w:rPr>
          <w:rFonts w:ascii="Arial Narrow" w:eastAsia="Arial Narrow" w:hAnsi="Arial Narrow" w:cs="Arial Narrow"/>
          <w:sz w:val="24"/>
          <w:szCs w:val="24"/>
          <w:lang w:val="en-US"/>
        </w:rPr>
        <w:t xml:space="preserve">United Nations, 2022. [online] Disponible </w:t>
      </w:r>
      <w:proofErr w:type="spellStart"/>
      <w:r w:rsidRPr="001729A3">
        <w:rPr>
          <w:rFonts w:ascii="Arial Narrow" w:eastAsia="Arial Narrow" w:hAnsi="Arial Narrow" w:cs="Arial Narrow"/>
          <w:sz w:val="24"/>
          <w:szCs w:val="24"/>
          <w:lang w:val="en-US"/>
        </w:rPr>
        <w:t>en</w:t>
      </w:r>
      <w:proofErr w:type="spellEnd"/>
      <w:r w:rsidRPr="001729A3">
        <w:rPr>
          <w:rFonts w:ascii="Arial Narrow" w:eastAsia="Arial Narrow" w:hAnsi="Arial Narrow" w:cs="Arial Narrow"/>
          <w:sz w:val="24"/>
          <w:szCs w:val="24"/>
          <w:lang w:val="en-US"/>
        </w:rPr>
        <w:t>: &lt;</w:t>
      </w:r>
      <w:hyperlink r:id="rId26">
        <w:r w:rsidRPr="001729A3">
          <w:rPr>
            <w:rFonts w:ascii="Arial Narrow" w:eastAsia="Arial Narrow" w:hAnsi="Arial Narrow" w:cs="Arial Narrow"/>
            <w:color w:val="1155CC"/>
            <w:sz w:val="24"/>
            <w:szCs w:val="24"/>
            <w:u w:val="single"/>
            <w:lang w:val="en-US"/>
          </w:rPr>
          <w:t>https://www.ohchr.org/sites/default/files/Documents/Issues/Discrimination/A.HRC.19.41_English.pdf</w:t>
        </w:r>
      </w:hyperlink>
      <w:r w:rsidRPr="001729A3">
        <w:rPr>
          <w:rFonts w:ascii="Arial Narrow" w:eastAsia="Arial Narrow" w:hAnsi="Arial Narrow" w:cs="Arial Narrow"/>
          <w:sz w:val="24"/>
          <w:szCs w:val="24"/>
          <w:lang w:val="en-US"/>
        </w:rPr>
        <w:t>&gt; [</w:t>
      </w:r>
      <w:proofErr w:type="spellStart"/>
      <w:r w:rsidRPr="001729A3">
        <w:rPr>
          <w:rFonts w:ascii="Arial Narrow" w:eastAsia="Arial Narrow" w:hAnsi="Arial Narrow" w:cs="Arial Narrow"/>
          <w:sz w:val="24"/>
          <w:szCs w:val="24"/>
          <w:lang w:val="en-US"/>
        </w:rPr>
        <w:t>Consultado</w:t>
      </w:r>
      <w:proofErr w:type="spellEnd"/>
      <w:r w:rsidRPr="001729A3">
        <w:rPr>
          <w:rFonts w:ascii="Arial Narrow" w:eastAsia="Arial Narrow" w:hAnsi="Arial Narrow" w:cs="Arial Narrow"/>
          <w:sz w:val="24"/>
          <w:szCs w:val="24"/>
          <w:lang w:val="en-US"/>
        </w:rPr>
        <w:t xml:space="preserve"> 1 May 2022].</w:t>
      </w:r>
    </w:p>
    <w:p w14:paraId="25EAD2AD" w14:textId="77777777" w:rsidR="00CC5BDD" w:rsidRDefault="00000000">
      <w:pPr>
        <w:widowControl w:val="0"/>
        <w:spacing w:before="165" w:line="240" w:lineRule="auto"/>
        <w:ind w:left="144"/>
        <w:jc w:val="both"/>
        <w:rPr>
          <w:rFonts w:ascii="Arial Narrow" w:eastAsia="Arial Narrow" w:hAnsi="Arial Narrow" w:cs="Arial Narrow"/>
          <w:b/>
          <w:sz w:val="24"/>
          <w:szCs w:val="24"/>
        </w:rPr>
      </w:pPr>
      <w:r>
        <w:rPr>
          <w:rFonts w:ascii="Arial Narrow" w:eastAsia="Arial Narrow" w:hAnsi="Arial Narrow" w:cs="Arial Narrow"/>
          <w:sz w:val="24"/>
          <w:szCs w:val="24"/>
        </w:rPr>
        <w:t>Volcánicas, 2022. Inconvertibles: La lucha en contra de las mal llamadas “terapias de conversión”, una tortura para las personas LGTBIQ+ - Volcánicas. [online] Volcánicas. Disponible en: &lt;https://volcanicas.com/inconvertibles-la-lucha-en-contra-de-las-mal-llamadas-terapias-de-conversion una-tortura-para-las-personas-</w:t>
      </w:r>
      <w:proofErr w:type="spellStart"/>
      <w:r>
        <w:rPr>
          <w:rFonts w:ascii="Arial Narrow" w:eastAsia="Arial Narrow" w:hAnsi="Arial Narrow" w:cs="Arial Narrow"/>
          <w:sz w:val="24"/>
          <w:szCs w:val="24"/>
        </w:rPr>
        <w:t>lgtbiq</w:t>
      </w:r>
      <w:proofErr w:type="spellEnd"/>
      <w:r>
        <w:rPr>
          <w:rFonts w:ascii="Arial Narrow" w:eastAsia="Arial Narrow" w:hAnsi="Arial Narrow" w:cs="Arial Narrow"/>
          <w:sz w:val="24"/>
          <w:szCs w:val="24"/>
        </w:rPr>
        <w:t xml:space="preserve">/&gt; [Consultado 1 May 2022]. </w:t>
      </w:r>
    </w:p>
    <w:p w14:paraId="3CA0EE98" w14:textId="77777777" w:rsidR="00CC5BDD" w:rsidRDefault="00CC5BDD">
      <w:pPr>
        <w:rPr>
          <w:rFonts w:ascii="Arial Narrow" w:eastAsia="Arial Narrow" w:hAnsi="Arial Narrow" w:cs="Arial Narrow"/>
          <w:sz w:val="24"/>
          <w:szCs w:val="24"/>
        </w:rPr>
      </w:pPr>
    </w:p>
    <w:sectPr w:rsidR="00CC5BD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E79C" w14:textId="77777777" w:rsidR="004F7373" w:rsidRDefault="004F7373">
      <w:pPr>
        <w:spacing w:line="240" w:lineRule="auto"/>
      </w:pPr>
      <w:r>
        <w:separator/>
      </w:r>
    </w:p>
  </w:endnote>
  <w:endnote w:type="continuationSeparator" w:id="0">
    <w:p w14:paraId="0AD6181C" w14:textId="77777777" w:rsidR="004F7373" w:rsidRDefault="004F7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4C57" w14:textId="77777777" w:rsidR="004F7373" w:rsidRDefault="004F7373">
      <w:pPr>
        <w:spacing w:line="240" w:lineRule="auto"/>
      </w:pPr>
      <w:r>
        <w:separator/>
      </w:r>
    </w:p>
  </w:footnote>
  <w:footnote w:type="continuationSeparator" w:id="0">
    <w:p w14:paraId="648ACADC" w14:textId="77777777" w:rsidR="004F7373" w:rsidRDefault="004F7373">
      <w:pPr>
        <w:spacing w:line="240" w:lineRule="auto"/>
      </w:pPr>
      <w:r>
        <w:continuationSeparator/>
      </w:r>
    </w:p>
  </w:footnote>
  <w:footnote w:id="1">
    <w:p w14:paraId="387D59CA" w14:textId="77777777" w:rsidR="00CC5BDD" w:rsidRDefault="00000000">
      <w:pPr>
        <w:spacing w:line="240" w:lineRule="auto"/>
        <w:rPr>
          <w:sz w:val="18"/>
          <w:szCs w:val="18"/>
          <w:vertAlign w:val="superscript"/>
        </w:rPr>
      </w:pPr>
      <w:r>
        <w:rPr>
          <w:vertAlign w:val="superscript"/>
        </w:rPr>
        <w:footnoteRef/>
      </w:r>
      <w:r>
        <w:rPr>
          <w:sz w:val="18"/>
          <w:szCs w:val="18"/>
          <w:vertAlign w:val="superscript"/>
        </w:rPr>
        <w:t xml:space="preserve"> </w:t>
      </w:r>
      <w:r>
        <w:rPr>
          <w:rFonts w:ascii="Arial Narrow" w:eastAsia="Arial Narrow" w:hAnsi="Arial Narrow" w:cs="Arial Narrow"/>
        </w:rPr>
        <w:t xml:space="preserve">Asociación Americana de Psicología, “Resolución </w:t>
      </w:r>
      <w:proofErr w:type="spellStart"/>
      <w:r>
        <w:rPr>
          <w:rFonts w:ascii="Arial Narrow" w:eastAsia="Arial Narrow" w:hAnsi="Arial Narrow" w:cs="Arial Narrow"/>
        </w:rPr>
        <w:t>on</w:t>
      </w:r>
      <w:proofErr w:type="spellEnd"/>
      <w:r>
        <w:rPr>
          <w:rFonts w:ascii="Arial Narrow" w:eastAsia="Arial Narrow" w:hAnsi="Arial Narrow" w:cs="Arial Narrow"/>
        </w:rPr>
        <w:t xml:space="preserve"> </w:t>
      </w:r>
      <w:proofErr w:type="spellStart"/>
      <w:r>
        <w:rPr>
          <w:rFonts w:ascii="Arial Narrow" w:eastAsia="Arial Narrow" w:hAnsi="Arial Narrow" w:cs="Arial Narrow"/>
        </w:rPr>
        <w:t>Appropriate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Affirmative</w:t>
      </w:r>
      <w:proofErr w:type="spellEnd"/>
      <w:r>
        <w:rPr>
          <w:rFonts w:ascii="Arial Narrow" w:eastAsia="Arial Narrow" w:hAnsi="Arial Narrow" w:cs="Arial Narrow"/>
        </w:rPr>
        <w:t xml:space="preserve"> Responses </w:t>
      </w:r>
      <w:proofErr w:type="spellStart"/>
      <w:r>
        <w:rPr>
          <w:rFonts w:ascii="Arial Narrow" w:eastAsia="Arial Narrow" w:hAnsi="Arial Narrow" w:cs="Arial Narrow"/>
        </w:rPr>
        <w:t>to</w:t>
      </w:r>
      <w:proofErr w:type="spellEnd"/>
      <w:r>
        <w:rPr>
          <w:rFonts w:ascii="Arial Narrow" w:eastAsia="Arial Narrow" w:hAnsi="Arial Narrow" w:cs="Arial Narrow"/>
        </w:rPr>
        <w:t xml:space="preserve"> Sexual </w:t>
      </w:r>
      <w:proofErr w:type="spellStart"/>
      <w:r>
        <w:rPr>
          <w:rFonts w:ascii="Arial Narrow" w:eastAsia="Arial Narrow" w:hAnsi="Arial Narrow" w:cs="Arial Narrow"/>
        </w:rPr>
        <w:t>Orientatios</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Distress</w:t>
      </w:r>
      <w:proofErr w:type="spellEnd"/>
      <w:r>
        <w:rPr>
          <w:rFonts w:ascii="Arial Narrow" w:eastAsia="Arial Narrow" w:hAnsi="Arial Narrow" w:cs="Arial Narrow"/>
        </w:rPr>
        <w:t xml:space="preserve"> and Change </w:t>
      </w:r>
      <w:proofErr w:type="spellStart"/>
      <w:r>
        <w:rPr>
          <w:rFonts w:ascii="Arial Narrow" w:eastAsia="Arial Narrow" w:hAnsi="Arial Narrow" w:cs="Arial Narrow"/>
        </w:rPr>
        <w:t>Efforts</w:t>
      </w:r>
      <w:proofErr w:type="spellEnd"/>
      <w:r>
        <w:rPr>
          <w:rFonts w:ascii="Arial Narrow" w:eastAsia="Arial Narrow" w:hAnsi="Arial Narrow" w:cs="Arial Narrow"/>
        </w:rPr>
        <w:t>”, 2009.</w:t>
      </w:r>
    </w:p>
  </w:footnote>
  <w:footnote w:id="2">
    <w:p w14:paraId="3BEA7BB7" w14:textId="77777777" w:rsidR="00CC5BDD" w:rsidRDefault="00000000">
      <w:pPr>
        <w:spacing w:line="240" w:lineRule="auto"/>
        <w:rPr>
          <w:sz w:val="18"/>
          <w:szCs w:val="18"/>
          <w:vertAlign w:val="superscript"/>
        </w:rPr>
      </w:pPr>
      <w:r>
        <w:rPr>
          <w:vertAlign w:val="superscript"/>
        </w:rPr>
        <w:footnoteRef/>
      </w:r>
      <w:r>
        <w:rPr>
          <w:sz w:val="20"/>
          <w:szCs w:val="20"/>
          <w:vertAlign w:val="superscript"/>
        </w:rPr>
        <w:t xml:space="preserve"> </w:t>
      </w:r>
      <w:r>
        <w:rPr>
          <w:rFonts w:ascii="Arial Narrow" w:eastAsia="Arial Narrow" w:hAnsi="Arial Narrow" w:cs="Arial Narrow"/>
        </w:rPr>
        <w:t>Consejo de Derechos Humanos Naciones Unidas. “Informe del experto independiente sobre la protección contra la violencia y la discriminación por motivos de orientación sexual o de género. Practica de las llamadas terapias de conversión”, 3 de julio de 2020.</w:t>
      </w:r>
    </w:p>
  </w:footnote>
  <w:footnote w:id="3">
    <w:p w14:paraId="2D98F373" w14:textId="77777777" w:rsidR="00CC5BDD" w:rsidRDefault="00000000">
      <w:pPr>
        <w:spacing w:line="240" w:lineRule="auto"/>
        <w:rPr>
          <w:sz w:val="18"/>
          <w:szCs w:val="18"/>
          <w:vertAlign w:val="superscript"/>
        </w:rPr>
      </w:pPr>
      <w:r>
        <w:rPr>
          <w:vertAlign w:val="superscript"/>
        </w:rPr>
        <w:footnoteRef/>
      </w:r>
      <w:r>
        <w:rPr>
          <w:sz w:val="20"/>
          <w:szCs w:val="20"/>
          <w:vertAlign w:val="superscript"/>
        </w:rPr>
        <w:t xml:space="preserve"> </w:t>
      </w:r>
      <w:r>
        <w:rPr>
          <w:rFonts w:ascii="Arial Narrow" w:eastAsia="Arial Narrow" w:hAnsi="Arial Narrow" w:cs="Arial Narrow"/>
        </w:rPr>
        <w:t>Asociación Americana de Psicología “Orientación sexual e identidad de género”, 2013.</w:t>
      </w:r>
    </w:p>
  </w:footnote>
  <w:footnote w:id="4">
    <w:p w14:paraId="5FC03FB1"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Organización Mundial de la Salud. “Género y Salud”, 23 de agosto 2018.</w:t>
      </w:r>
    </w:p>
  </w:footnote>
  <w:footnote w:id="5">
    <w:p w14:paraId="6D585CFD"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Organización Mundial de la Salud “La salud sexual y se relación con la salud reproductiva”, 2020.</w:t>
      </w:r>
    </w:p>
  </w:footnote>
  <w:footnote w:id="6">
    <w:p w14:paraId="71F44121"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PROFAMILIA “Diversidad sexual: atención sin discriminación”, 2021.</w:t>
      </w:r>
    </w:p>
  </w:footnote>
  <w:footnote w:id="7">
    <w:p w14:paraId="42738C7E"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UNFE “Libres e Iguales Glosario LGBT”, 2018.</w:t>
      </w:r>
    </w:p>
  </w:footnote>
  <w:footnote w:id="8">
    <w:p w14:paraId="65E1A134"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 xml:space="preserve">Corte </w:t>
      </w:r>
      <w:proofErr w:type="gramStart"/>
      <w:r>
        <w:rPr>
          <w:rFonts w:ascii="Arial Narrow" w:eastAsia="Arial Narrow" w:hAnsi="Arial Narrow" w:cs="Arial Narrow"/>
          <w:sz w:val="24"/>
          <w:szCs w:val="24"/>
        </w:rPr>
        <w:t>Constitucional ,</w:t>
      </w:r>
      <w:proofErr w:type="gramEnd"/>
      <w:r>
        <w:rPr>
          <w:rFonts w:ascii="Arial Narrow" w:eastAsia="Arial Narrow" w:hAnsi="Arial Narrow" w:cs="Arial Narrow"/>
          <w:sz w:val="24"/>
          <w:szCs w:val="24"/>
        </w:rPr>
        <w:t xml:space="preserve"> Sentencia T-804/14.</w:t>
      </w:r>
    </w:p>
  </w:footnote>
  <w:footnote w:id="9">
    <w:p w14:paraId="1BF22328"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Corte Constitucional, Sentencia T-498/17.</w:t>
      </w:r>
    </w:p>
  </w:footnote>
  <w:footnote w:id="10">
    <w:p w14:paraId="333B7226"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Corte Constitucional, Sentencia T-447/19.</w:t>
      </w:r>
    </w:p>
  </w:footnote>
  <w:footnote w:id="11">
    <w:p w14:paraId="0A96F3A0"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Corte Constitucional, Sentencia T-033/22.</w:t>
      </w:r>
    </w:p>
  </w:footnote>
  <w:footnote w:id="12">
    <w:p w14:paraId="5C0CF01B"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Decreto 762 de 2018, por el cual se adopta la política pública para la garantía del ejercicio efectivo de los derechos de las personas con orientaciones sexuales e identidades de género diversas, 7 de mayo de 2018.</w:t>
      </w:r>
    </w:p>
  </w:footnote>
  <w:footnote w:id="13">
    <w:p w14:paraId="77641160" w14:textId="77777777" w:rsidR="00CC5BDD" w:rsidRPr="001729A3" w:rsidRDefault="00000000">
      <w:pPr>
        <w:spacing w:line="240" w:lineRule="auto"/>
        <w:rPr>
          <w:sz w:val="20"/>
          <w:szCs w:val="20"/>
          <w:lang w:val="en-US"/>
        </w:rPr>
      </w:pPr>
      <w:r>
        <w:rPr>
          <w:vertAlign w:val="superscript"/>
        </w:rPr>
        <w:footnoteRef/>
      </w:r>
      <w:r w:rsidRPr="001729A3">
        <w:rPr>
          <w:sz w:val="20"/>
          <w:szCs w:val="20"/>
          <w:lang w:val="en-US"/>
        </w:rPr>
        <w:t xml:space="preserve"> </w:t>
      </w:r>
      <w:r w:rsidRPr="001729A3">
        <w:rPr>
          <w:rFonts w:ascii="Arial Narrow" w:eastAsia="Arial Narrow" w:hAnsi="Arial Narrow" w:cs="Arial Narrow"/>
          <w:sz w:val="24"/>
          <w:szCs w:val="24"/>
          <w:lang w:val="en-US"/>
        </w:rPr>
        <w:t>CIDH, “Violence against lesbian, gay, bisexual, trans and intersex persons in the americas”, 2015.</w:t>
      </w:r>
    </w:p>
  </w:footnote>
  <w:footnote w:id="14">
    <w:p w14:paraId="54FB7A59" w14:textId="77777777" w:rsidR="00CC5BDD" w:rsidRPr="001729A3" w:rsidRDefault="00000000">
      <w:pPr>
        <w:spacing w:line="240" w:lineRule="auto"/>
        <w:rPr>
          <w:sz w:val="20"/>
          <w:szCs w:val="20"/>
          <w:vertAlign w:val="superscript"/>
          <w:lang w:val="en-US"/>
        </w:rPr>
      </w:pPr>
      <w:r>
        <w:rPr>
          <w:vertAlign w:val="superscript"/>
        </w:rPr>
        <w:footnoteRef/>
      </w:r>
      <w:r w:rsidRPr="001729A3">
        <w:rPr>
          <w:sz w:val="20"/>
          <w:szCs w:val="20"/>
          <w:vertAlign w:val="superscript"/>
          <w:lang w:val="en-US"/>
        </w:rPr>
        <w:t xml:space="preserve"> </w:t>
      </w:r>
      <w:r w:rsidRPr="001729A3">
        <w:rPr>
          <w:rFonts w:ascii="Arial Narrow" w:eastAsia="Arial Narrow" w:hAnsi="Arial Narrow" w:cs="Arial Narrow"/>
          <w:sz w:val="24"/>
          <w:szCs w:val="24"/>
          <w:lang w:val="en-US"/>
        </w:rPr>
        <w:t>CIDH, “Violence against lesbian, gay, bisexual, trans and intersex persons in the americas”, 2015.</w:t>
      </w:r>
    </w:p>
  </w:footnote>
  <w:footnote w:id="15">
    <w:p w14:paraId="4E918684"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ILGA, “Poniéndole límites al engaño. Estudio jurídico mundial sobre la regulación legal de las mal llamadas terapias de conversión”, 2020.</w:t>
      </w:r>
    </w:p>
  </w:footnote>
  <w:footnote w:id="16">
    <w:p w14:paraId="3FE25C28"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Volcánicas, “Inconvertibles: la lucha en contra de las mal llamadas terapias de conversión, una tortura para las personas LGBTIQ+”, 5 de octubre de 2021.</w:t>
      </w:r>
    </w:p>
  </w:footnote>
  <w:footnote w:id="17">
    <w:p w14:paraId="69F63B14"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RCN Radio, “Testimonios sobre terapias de conversión y las prácticas que vulneran derechos de personas LGBTQ”, 26 de octubre de 2021.</w:t>
      </w:r>
    </w:p>
  </w:footnote>
  <w:footnote w:id="18">
    <w:p w14:paraId="26455239"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Volcánicas, “Inconvertibles: La lucha en contra de las mal llamadas terapias de conversión, una tortura para las personas LGBTIQ+, 5 de octubre de 2021.</w:t>
      </w:r>
    </w:p>
  </w:footnote>
  <w:footnote w:id="19">
    <w:p w14:paraId="4C701405"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Revista Semana, “La casa del horror: así torturaban en Bogotá a jóvenes drogadictos, obesos y homosexuales”, 2 de febrero de 2022.</w:t>
      </w:r>
    </w:p>
  </w:footnote>
  <w:footnote w:id="20">
    <w:p w14:paraId="02BCF051" w14:textId="77777777" w:rsidR="00CC5BDD" w:rsidRDefault="00000000">
      <w:pPr>
        <w:spacing w:line="240" w:lineRule="auto"/>
        <w:rPr>
          <w:b/>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El Tiempo, “La IPS que funcionaba como una secta en el barrio Normandía”, 28 de febrero de 2022.</w:t>
      </w:r>
    </w:p>
  </w:footnote>
  <w:footnote w:id="21">
    <w:p w14:paraId="255C0781"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BBC News, “Me obligaban a orar ya sacarle al demonio que tenía dentro, el duro relato de una colombiana sometida a una terapia de conversión gay”, 19 de abril de 2022.</w:t>
      </w:r>
    </w:p>
  </w:footnote>
  <w:footnote w:id="22">
    <w:p w14:paraId="56989C8E"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Noticias RCN, “Me hacían exorcismos lanzándome agua bendita, crudo relato de mujer trans colombiana”, 20 de abril de 2022.</w:t>
      </w:r>
    </w:p>
  </w:footnote>
  <w:footnote w:id="23">
    <w:p w14:paraId="37BAE960"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OPS, “OPS advierte que “terapias” de cambio de orientación sexual no tienen justificación médica y amenazan bienestar de las personas”, 17 de mayo de 2012.</w:t>
      </w:r>
    </w:p>
  </w:footnote>
  <w:footnote w:id="24">
    <w:p w14:paraId="1897D009"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APA, “Orientación sexual e identidad de género”, 2013.</w:t>
      </w:r>
    </w:p>
  </w:footnote>
  <w:footnote w:id="25">
    <w:p w14:paraId="131499AD" w14:textId="77777777" w:rsidR="00CC5BDD" w:rsidRPr="001729A3" w:rsidRDefault="00000000">
      <w:pPr>
        <w:spacing w:line="240" w:lineRule="auto"/>
        <w:rPr>
          <w:sz w:val="20"/>
          <w:szCs w:val="20"/>
          <w:vertAlign w:val="superscript"/>
          <w:lang w:val="en-US"/>
        </w:rPr>
      </w:pPr>
      <w:r>
        <w:rPr>
          <w:vertAlign w:val="superscript"/>
        </w:rPr>
        <w:footnoteRef/>
      </w:r>
      <w:r w:rsidRPr="001729A3">
        <w:rPr>
          <w:sz w:val="20"/>
          <w:szCs w:val="20"/>
          <w:vertAlign w:val="superscript"/>
          <w:lang w:val="en-US"/>
        </w:rPr>
        <w:t xml:space="preserve"> </w:t>
      </w:r>
      <w:r w:rsidRPr="001729A3">
        <w:rPr>
          <w:rFonts w:ascii="Arial Narrow" w:eastAsia="Arial Narrow" w:hAnsi="Arial Narrow" w:cs="Arial Narrow"/>
          <w:sz w:val="24"/>
          <w:szCs w:val="24"/>
          <w:lang w:val="en-US"/>
        </w:rPr>
        <w:t>UN, “Discriminatory laws and practices and acts of violence against individuals based on their sexual orientation and gender indentity”, 17 de noviembre de 2011.</w:t>
      </w:r>
    </w:p>
  </w:footnote>
  <w:footnote w:id="26">
    <w:p w14:paraId="1858425D" w14:textId="77777777" w:rsidR="00CC5BDD" w:rsidRPr="001729A3" w:rsidRDefault="00000000">
      <w:pPr>
        <w:spacing w:line="240" w:lineRule="auto"/>
        <w:rPr>
          <w:sz w:val="20"/>
          <w:szCs w:val="20"/>
          <w:lang w:val="en-US"/>
        </w:rPr>
      </w:pPr>
      <w:r>
        <w:rPr>
          <w:vertAlign w:val="superscript"/>
        </w:rPr>
        <w:footnoteRef/>
      </w:r>
      <w:r w:rsidRPr="001729A3">
        <w:rPr>
          <w:sz w:val="20"/>
          <w:szCs w:val="20"/>
          <w:lang w:val="en-US"/>
        </w:rPr>
        <w:t xml:space="preserve"> </w:t>
      </w:r>
      <w:r w:rsidRPr="001729A3">
        <w:rPr>
          <w:rFonts w:ascii="Arial Narrow" w:eastAsia="Arial Narrow" w:hAnsi="Arial Narrow" w:cs="Arial Narrow"/>
          <w:sz w:val="24"/>
          <w:szCs w:val="24"/>
          <w:lang w:val="en-US"/>
        </w:rPr>
        <w:t>GPAHE, “The Players antiLGBTIQ+ conversion therapy proponents who wrongly belive that sexual orientation and gender identity can and should be changed have found a home online”, enero 2022.</w:t>
      </w:r>
    </w:p>
  </w:footnote>
  <w:footnote w:id="27">
    <w:p w14:paraId="0CF6AC53"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APA, “Resolución sobre respuestas afirmativas apropiadas a la angustia por orientación sexual y esfuerzos de cambio”.</w:t>
      </w:r>
    </w:p>
  </w:footnote>
  <w:footnote w:id="28">
    <w:p w14:paraId="6E3DAB04" w14:textId="77777777" w:rsidR="00CC5BDD" w:rsidRPr="001729A3" w:rsidRDefault="00000000">
      <w:pPr>
        <w:spacing w:line="240" w:lineRule="auto"/>
        <w:rPr>
          <w:sz w:val="20"/>
          <w:szCs w:val="20"/>
          <w:lang w:val="en-US"/>
        </w:rPr>
      </w:pPr>
      <w:r>
        <w:rPr>
          <w:vertAlign w:val="superscript"/>
        </w:rPr>
        <w:footnoteRef/>
      </w:r>
      <w:r w:rsidRPr="001729A3">
        <w:rPr>
          <w:sz w:val="20"/>
          <w:szCs w:val="20"/>
          <w:lang w:val="en-US"/>
        </w:rPr>
        <w:t xml:space="preserve"> </w:t>
      </w:r>
      <w:r w:rsidRPr="001729A3">
        <w:rPr>
          <w:rFonts w:ascii="Arial Narrow" w:eastAsia="Arial Narrow" w:hAnsi="Arial Narrow" w:cs="Arial Narrow"/>
          <w:sz w:val="24"/>
          <w:szCs w:val="24"/>
          <w:lang w:val="en-US"/>
        </w:rPr>
        <w:t>Journal of Homosexuality, “Parent-initiated sexual orientation change efforts with LGBT adolescents: implications for young adult mental health and adjustment”, 7 de noviembre de 2018.</w:t>
      </w:r>
    </w:p>
  </w:footnote>
  <w:footnote w:id="29">
    <w:p w14:paraId="4ED6A181" w14:textId="77777777" w:rsidR="00CC5BDD" w:rsidRDefault="00000000">
      <w:pPr>
        <w:spacing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Ley 12 de 1991, “Por medio de la cual se aprueba la convención sobre los derechos del niño adoptada por la Asamblea General de las Naciones Unidas el 20 de noviembre de 1989”, enero 22 de 1991.</w:t>
      </w:r>
    </w:p>
  </w:footnote>
  <w:footnote w:id="30">
    <w:p w14:paraId="1AFE9ED1"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Comisión Internacional de Juristas, “Principios de YOGYAKARTA”, 2007.</w:t>
      </w:r>
    </w:p>
  </w:footnote>
  <w:footnote w:id="31">
    <w:p w14:paraId="351F804F"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Consejo de Derechos Humanos Naciones Unidas. “Informe del experto independiente sobre la protección contra la violencia y la discriminación por motivos de orientación sexual o de género. Práctica de las llamadas terapias de conversión”, 3 de julio de 2020.</w:t>
      </w:r>
    </w:p>
  </w:footnote>
  <w:footnote w:id="32">
    <w:p w14:paraId="148A1C03" w14:textId="77777777" w:rsidR="00CC5BDD" w:rsidRDefault="00000000">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4"/>
          <w:szCs w:val="24"/>
        </w:rPr>
        <w:t>CIDH, “Avances y Desafíos hacia el reconocimiento de los derechos de las personas LGBTI en las Américas”, 7 de diciembre de 2018.</w:t>
      </w:r>
    </w:p>
  </w:footnote>
  <w:footnote w:id="33">
    <w:p w14:paraId="1161533E"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CIDH, “CIDH saluda la enmienda del Código Penal que prohíbe los intentos de modificar la orientación sexual, identidad y expresión de género en Canadá”, 16 de diciembre de 2021.</w:t>
      </w:r>
    </w:p>
  </w:footnote>
  <w:footnote w:id="34">
    <w:p w14:paraId="5DC3352F" w14:textId="77777777" w:rsidR="00CC5BDD" w:rsidRDefault="00000000">
      <w:pPr>
        <w:spacing w:line="240" w:lineRule="auto"/>
        <w:rPr>
          <w:rFonts w:ascii="Arial Narrow" w:eastAsia="Arial Narrow" w:hAnsi="Arial Narrow" w:cs="Arial Narrow"/>
          <w:sz w:val="24"/>
          <w:szCs w:val="24"/>
          <w:vertAlign w:val="superscript"/>
        </w:rPr>
      </w:pPr>
      <w:r>
        <w:rPr>
          <w:vertAlign w:val="superscript"/>
        </w:rPr>
        <w:footnoteRef/>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APA, “Resolución sobre respuestas afirmativas apropiadas a la angustia por orientación sexual y esfuerzos de cambio”.</w:t>
      </w:r>
    </w:p>
  </w:footnote>
  <w:footnote w:id="35">
    <w:p w14:paraId="24DC26BD" w14:textId="77777777" w:rsidR="00CC5BDD" w:rsidRDefault="00000000">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r>
        <w:rPr>
          <w:rFonts w:ascii="Arial Narrow" w:eastAsia="Arial Narrow" w:hAnsi="Arial Narrow" w:cs="Arial Narrow"/>
          <w:sz w:val="24"/>
          <w:szCs w:val="24"/>
        </w:rPr>
        <w:t>APA, “guías para la práctica psicológica con personas transgénero y personas no conformes con el género”, 2015.</w:t>
      </w:r>
    </w:p>
  </w:footnote>
  <w:footnote w:id="36">
    <w:p w14:paraId="2CC6F242" w14:textId="77777777" w:rsidR="00CC5BDD" w:rsidRPr="001729A3" w:rsidRDefault="00000000">
      <w:pPr>
        <w:spacing w:line="240" w:lineRule="auto"/>
        <w:rPr>
          <w:rFonts w:ascii="Arial Narrow" w:eastAsia="Arial Narrow" w:hAnsi="Arial Narrow" w:cs="Arial Narrow"/>
          <w:sz w:val="24"/>
          <w:szCs w:val="24"/>
          <w:vertAlign w:val="superscript"/>
          <w:lang w:val="en-US"/>
        </w:rPr>
      </w:pPr>
      <w:r>
        <w:rPr>
          <w:vertAlign w:val="superscript"/>
        </w:rPr>
        <w:footnoteRef/>
      </w:r>
      <w:r w:rsidRPr="001729A3">
        <w:rPr>
          <w:rFonts w:ascii="Arial Narrow" w:eastAsia="Arial Narrow" w:hAnsi="Arial Narrow" w:cs="Arial Narrow"/>
          <w:sz w:val="24"/>
          <w:szCs w:val="24"/>
          <w:vertAlign w:val="superscript"/>
          <w:lang w:val="en-US"/>
        </w:rPr>
        <w:t xml:space="preserve"> </w:t>
      </w:r>
      <w:r w:rsidRPr="001729A3">
        <w:rPr>
          <w:rFonts w:ascii="Arial Narrow" w:eastAsia="Arial Narrow" w:hAnsi="Arial Narrow" w:cs="Arial Narrow"/>
          <w:sz w:val="24"/>
          <w:szCs w:val="24"/>
          <w:lang w:val="en-US"/>
        </w:rPr>
        <w:t>OutRight, “The global reach of so-called conversion therapy”, 12 de agosto 2019.</w:t>
      </w:r>
    </w:p>
  </w:footnote>
  <w:footnote w:id="37">
    <w:p w14:paraId="6748A065" w14:textId="77777777" w:rsidR="00CC5BDD" w:rsidRPr="001729A3" w:rsidRDefault="00000000">
      <w:pPr>
        <w:spacing w:line="240" w:lineRule="auto"/>
        <w:rPr>
          <w:rFonts w:ascii="Arial Narrow" w:eastAsia="Arial Narrow" w:hAnsi="Arial Narrow" w:cs="Arial Narrow"/>
          <w:sz w:val="24"/>
          <w:szCs w:val="24"/>
          <w:vertAlign w:val="superscript"/>
          <w:lang w:val="en-US"/>
        </w:rPr>
      </w:pPr>
      <w:r>
        <w:rPr>
          <w:vertAlign w:val="superscript"/>
        </w:rPr>
        <w:footnoteRef/>
      </w:r>
      <w:r w:rsidRPr="001729A3">
        <w:rPr>
          <w:rFonts w:ascii="Arial Narrow" w:eastAsia="Arial Narrow" w:hAnsi="Arial Narrow" w:cs="Arial Narrow"/>
          <w:sz w:val="24"/>
          <w:szCs w:val="24"/>
          <w:vertAlign w:val="superscript"/>
          <w:lang w:val="en-US"/>
        </w:rPr>
        <w:t xml:space="preserve"> </w:t>
      </w:r>
      <w:r w:rsidRPr="001729A3">
        <w:rPr>
          <w:rFonts w:ascii="Arial Narrow" w:eastAsia="Arial Narrow" w:hAnsi="Arial Narrow" w:cs="Arial Narrow"/>
          <w:sz w:val="24"/>
          <w:szCs w:val="24"/>
          <w:lang w:val="en-US"/>
        </w:rPr>
        <w:t>GPAHE, “The Players antiLGBTIQ+ conversion therapy proponents who wrongly belive that sexual orientation and gender identity can and should be changed have found a home online”, enero 2022.</w:t>
      </w:r>
    </w:p>
  </w:footnote>
  <w:footnote w:id="38">
    <w:p w14:paraId="683E3B66"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proofErr w:type="spellStart"/>
      <w:r>
        <w:rPr>
          <w:rFonts w:ascii="Arial Narrow" w:eastAsia="Arial Narrow" w:hAnsi="Arial Narrow" w:cs="Arial Narrow"/>
          <w:sz w:val="24"/>
          <w:szCs w:val="24"/>
        </w:rPr>
        <w:t>AllOut</w:t>
      </w:r>
      <w:proofErr w:type="spellEnd"/>
      <w:r>
        <w:rPr>
          <w:rFonts w:ascii="Arial Narrow" w:eastAsia="Arial Narrow" w:hAnsi="Arial Narrow" w:cs="Arial Narrow"/>
          <w:sz w:val="24"/>
          <w:szCs w:val="24"/>
        </w:rPr>
        <w:t>, “Por el fin de las terapias de conversión en Colombia”, 2021.</w:t>
      </w:r>
    </w:p>
  </w:footnote>
  <w:footnote w:id="39">
    <w:p w14:paraId="3679A9CC"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Liberarte “¿necesito una terapia para cambiar mi orientación sexual?”, 2019.</w:t>
      </w:r>
    </w:p>
  </w:footnote>
  <w:footnote w:id="40">
    <w:p w14:paraId="7473C69B"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Ministerio de Salud Pública, “Acuerdo Ministerial 767”, 11 de mayo de 2012.</w:t>
      </w:r>
    </w:p>
  </w:footnote>
  <w:footnote w:id="41">
    <w:p w14:paraId="18971DCD"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Parlamento de Malta, “Ley No. LV, Ley de afirmación de orientación sexual, identidad de género y expresión de género”, 9 de diciembre de 2016.</w:t>
      </w:r>
    </w:p>
  </w:footnote>
  <w:footnote w:id="42">
    <w:p w14:paraId="785EEDC1"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Congreso Nacional de Chile, “Ley 21331 Del reconocimiento y protección de los derechos de las personas en la atención de la salud mental”, 11 de mayo de 2021.</w:t>
      </w:r>
    </w:p>
  </w:footnote>
  <w:footnote w:id="43">
    <w:p w14:paraId="6CD3EC5D" w14:textId="77777777" w:rsidR="00CC5BDD"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4"/>
          <w:szCs w:val="24"/>
        </w:rPr>
        <w:t>Parlamento de Canadá, “Ley de reforma del código penal, terapia de conversión” 8 de diciembre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90C"/>
    <w:multiLevelType w:val="multilevel"/>
    <w:tmpl w:val="0F743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E44E82"/>
    <w:multiLevelType w:val="multilevel"/>
    <w:tmpl w:val="2FA41F7A"/>
    <w:lvl w:ilvl="0">
      <w:start w:val="1"/>
      <w:numFmt w:val="upperRoman"/>
      <w:lvlText w:val="%1."/>
      <w:lvlJc w:val="righ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E67115"/>
    <w:multiLevelType w:val="multilevel"/>
    <w:tmpl w:val="ECB22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1332875">
    <w:abstractNumId w:val="2"/>
  </w:num>
  <w:num w:numId="2" w16cid:durableId="1784953798">
    <w:abstractNumId w:val="1"/>
  </w:num>
  <w:num w:numId="3" w16cid:durableId="126650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DD"/>
    <w:rsid w:val="001729A3"/>
    <w:rsid w:val="004F7373"/>
    <w:rsid w:val="00CC5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FE50"/>
  <w15:docId w15:val="{C3FC520A-8804-4BFE-AE56-1E5E32AC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org/about/policy/sexual-orientation" TargetMode="External"/><Relationship Id="rId18" Type="http://schemas.openxmlformats.org/officeDocument/2006/relationships/hyperlink" Target="https://www.tandfonline.com/doi/abs/10.1080/00918369.2018.1538407?journalCode=wjhm20" TargetMode="External"/><Relationship Id="rId26" Type="http://schemas.openxmlformats.org/officeDocument/2006/relationships/hyperlink" Target="https://www.ohchr.org/sites/default/files/Documents/Issues/Discrimination/A.HRC.19.41_English.pdf" TargetMode="External"/><Relationship Id="rId3" Type="http://schemas.openxmlformats.org/officeDocument/2006/relationships/styles" Target="styles.xml"/><Relationship Id="rId21" Type="http://schemas.openxmlformats.org/officeDocument/2006/relationships/hyperlink" Target="https://news.un.org/es/story/2022/02/1504082" TargetMode="External"/><Relationship Id="rId7" Type="http://schemas.openxmlformats.org/officeDocument/2006/relationships/endnotes" Target="endnotes.xml"/><Relationship Id="rId12" Type="http://schemas.openxmlformats.org/officeDocument/2006/relationships/hyperlink" Target="https://www.apa.org/topics/lgbtq/sexual" TargetMode="External"/><Relationship Id="rId17" Type="http://schemas.openxmlformats.org/officeDocument/2006/relationships/hyperlink" Target="https://www.oas.org/es/cidh/informes/pdfs/LGBTI-ReconocimientoDerechos2019.pdf" TargetMode="External"/><Relationship Id="rId25" Type="http://schemas.openxmlformats.org/officeDocument/2006/relationships/hyperlink" Target="https://www.unfe.org/es/definitions/" TargetMode="External"/><Relationship Id="rId2" Type="http://schemas.openxmlformats.org/officeDocument/2006/relationships/numbering" Target="numbering.xml"/><Relationship Id="rId16" Type="http://schemas.openxmlformats.org/officeDocument/2006/relationships/hyperlink" Target="http://www.oas.org/en/iachr/reports/pdfs/ViolenceLGBTIPersons.pdf" TargetMode="External"/><Relationship Id="rId20" Type="http://schemas.openxmlformats.org/officeDocument/2006/relationships/hyperlink" Target="https://www.oas.org/pt/CIDH/jsForm/?File=/es/cidh/prensa/comunicados/2021/34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pi/lgbt/resources/guidelines-transgender-spanish.pdf" TargetMode="External"/><Relationship Id="rId24" Type="http://schemas.openxmlformats.org/officeDocument/2006/relationships/hyperlink" Target="https://profamilia.org.co/aprende/diversidad-sexual/identidades-de-genero/" TargetMode="External"/><Relationship Id="rId5" Type="http://schemas.openxmlformats.org/officeDocument/2006/relationships/webSettings" Target="webSettings.xml"/><Relationship Id="rId15" Type="http://schemas.openxmlformats.org/officeDocument/2006/relationships/hyperlink" Target="https://www.bbc.com/mundo/noticias-america-latina-59859117" TargetMode="External"/><Relationship Id="rId23" Type="http://schemas.openxmlformats.org/officeDocument/2006/relationships/hyperlink" Target="https://outrightinternational.org/reports/global-reach-so-called-conversion-therapy"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oticiasrcn.com/tendencias/colombiana-sometida-a-terapias-de-conversion-gay-4166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paigns.allout.org/es/colombia-conversion-therapy" TargetMode="External"/><Relationship Id="rId22" Type="http://schemas.openxmlformats.org/officeDocument/2006/relationships/hyperlink" Target="https://www.who.int/es/health-topics/sexual-heal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30HY+1mtxtR1tHMzUmUZMA6Ug==">AMUW2mVz0fF8V1ftP9P0yVKxQAJO6Lh8qQIClYMig4kgub/2M2PWoj1zu2d/7/1xbSPjgibRBmvpNPTqY2TYW9PTZ9ewjvcyC7krzG8t0CRmd7k+4epq9f2pGl+HOrby8dYVH/xBra60bnMXbZee3I4vu6macd3rhJzWLOHICKkm5n4mnUVoHPuxk8NH3MwHqxmph7dCSSUGR0xolOSkv2pt11l8A4Os6q0lmnnjqyA3iWsOw5tv3btRaOQdGPBAOcpZW2tL/I2e/U3gwHGgq5hlyqOadUEwmNhkeYkxmOu7fAEQOhARAwBTQitibIFw2YLitSnKEwUULePJ+G8n8WjrqkYCriFcXi8pUtqu2hdhzTeuYhmoZcwpbMWPl3XWYa6fvXRH3Mp9GzBqBh+SKwe52BDrKrv+DaI26kozslcIiQCqN/yz5XremVDhz2m3iyHcToSH4qYj5VgswAK9p/JF+TPhyvWc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11575</Words>
  <Characters>63668</Characters>
  <Application>Microsoft Office Word</Application>
  <DocSecurity>0</DocSecurity>
  <Lines>530</Lines>
  <Paragraphs>150</Paragraphs>
  <ScaleCrop>false</ScaleCrop>
  <Company/>
  <LinksUpToDate>false</LinksUpToDate>
  <CharactersWithSpaces>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Vargas</dc:creator>
  <cp:lastModifiedBy>Sergio Daniel Vargas Mora</cp:lastModifiedBy>
  <cp:revision>2</cp:revision>
  <dcterms:created xsi:type="dcterms:W3CDTF">2022-11-03T23:51:00Z</dcterms:created>
  <dcterms:modified xsi:type="dcterms:W3CDTF">2022-11-03T23:51:00Z</dcterms:modified>
</cp:coreProperties>
</file>