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B7" w:rsidRPr="00252BED" w:rsidRDefault="00193FA6" w:rsidP="00566C7E">
      <w:pPr>
        <w:shd w:val="clear" w:color="auto" w:fill="FFFFFF"/>
        <w:spacing w:after="2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Bogotá D.C. </w:t>
      </w:r>
      <w:r w:rsidR="00883CCB">
        <w:rPr>
          <w:rFonts w:ascii="Century Gothic" w:eastAsia="Century Gothic" w:hAnsi="Century Gothic" w:cs="Century Gothic"/>
          <w:color w:val="000000" w:themeColor="text1"/>
        </w:rPr>
        <w:t>20</w:t>
      </w:r>
      <w:r w:rsidR="00387BF2">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color w:val="000000" w:themeColor="text1"/>
        </w:rPr>
        <w:t xml:space="preserve">de </w:t>
      </w:r>
      <w:r w:rsidR="00883CCB">
        <w:rPr>
          <w:rFonts w:ascii="Century Gothic" w:eastAsia="Century Gothic" w:hAnsi="Century Gothic" w:cs="Century Gothic"/>
          <w:color w:val="000000" w:themeColor="text1"/>
        </w:rPr>
        <w:t xml:space="preserve">julio </w:t>
      </w:r>
      <w:r w:rsidRPr="00252BED">
        <w:rPr>
          <w:rFonts w:ascii="Century Gothic" w:eastAsia="Century Gothic" w:hAnsi="Century Gothic" w:cs="Century Gothic"/>
          <w:color w:val="000000" w:themeColor="text1"/>
        </w:rPr>
        <w:t>de 2021</w:t>
      </w:r>
    </w:p>
    <w:p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p>
    <w:p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Doctor,</w:t>
      </w:r>
    </w:p>
    <w:p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b/>
          <w:bCs/>
        </w:rPr>
        <w:t>JORGE HUMBERTO MANTILLA SERRANO</w:t>
      </w:r>
    </w:p>
    <w:p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Secretario General</w:t>
      </w:r>
    </w:p>
    <w:p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Cámara de Representantes</w:t>
      </w:r>
    </w:p>
    <w:p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Ciudad</w:t>
      </w:r>
    </w:p>
    <w:p w:rsidR="00883CCB" w:rsidRDefault="00883CCB" w:rsidP="00EC7723">
      <w:pPr>
        <w:shd w:val="clear" w:color="auto" w:fill="FFFFFF"/>
        <w:spacing w:before="100" w:beforeAutospacing="1" w:after="100" w:afterAutospacing="1"/>
        <w:jc w:val="right"/>
        <w:rPr>
          <w:rFonts w:ascii="Century Gothic" w:eastAsia="Times New Roman" w:hAnsi="Century Gothic" w:cs="Calibri"/>
        </w:rPr>
      </w:pPr>
    </w:p>
    <w:p w:rsidR="00EC7723" w:rsidRDefault="00EC7723" w:rsidP="00EC7723">
      <w:pPr>
        <w:shd w:val="clear" w:color="auto" w:fill="FFFFFF"/>
        <w:spacing w:before="100" w:beforeAutospacing="1" w:after="100" w:afterAutospacing="1"/>
        <w:jc w:val="right"/>
        <w:rPr>
          <w:rFonts w:ascii="Century Gothic" w:eastAsia="Times New Roman" w:hAnsi="Century Gothic" w:cs="Calibri"/>
        </w:rPr>
      </w:pPr>
    </w:p>
    <w:p w:rsidR="00883CCB" w:rsidRDefault="00883CCB" w:rsidP="000F0856">
      <w:pPr>
        <w:jc w:val="right"/>
        <w:rPr>
          <w:rFonts w:ascii="Century Gothic" w:eastAsia="Century Gothic" w:hAnsi="Century Gothic" w:cs="Century Gothic"/>
          <w:color w:val="000000" w:themeColor="text1"/>
        </w:rPr>
      </w:pPr>
      <w:r>
        <w:rPr>
          <w:rFonts w:ascii="Century Gothic" w:eastAsia="Times New Roman" w:hAnsi="Century Gothic" w:cs="Calibri"/>
          <w:b/>
        </w:rPr>
        <w:t xml:space="preserve">Referencia: </w:t>
      </w:r>
      <w:r>
        <w:rPr>
          <w:rFonts w:ascii="Century Gothic" w:eastAsia="Times New Roman" w:hAnsi="Century Gothic" w:cs="Calibri"/>
        </w:rPr>
        <w:t>Radicación Proyecto de Ley</w:t>
      </w:r>
      <w:r w:rsidR="00B3015A">
        <w:rPr>
          <w:rFonts w:ascii="Century Gothic" w:eastAsia="Times New Roman" w:hAnsi="Century Gothic" w:cs="Calibri"/>
        </w:rPr>
        <w:t xml:space="preserve"> Estatutaria</w:t>
      </w:r>
      <w:r>
        <w:rPr>
          <w:rFonts w:ascii="Century Gothic" w:eastAsia="Times New Roman" w:hAnsi="Century Gothic" w:cs="Calibri"/>
        </w:rPr>
        <w:t xml:space="preserve"> </w:t>
      </w:r>
      <w:r w:rsidR="000F0856">
        <w:rPr>
          <w:rFonts w:ascii="Century Gothic" w:eastAsia="Times New Roman" w:hAnsi="Century Gothic" w:cs="Calibri"/>
        </w:rPr>
        <w:t>“</w:t>
      </w:r>
      <w:r w:rsidR="000F0856" w:rsidRPr="000F0856">
        <w:rPr>
          <w:rFonts w:ascii="Century Gothic" w:eastAsia="Century Gothic" w:hAnsi="Century Gothic" w:cs="Century Gothic"/>
          <w:color w:val="000000" w:themeColor="text1"/>
        </w:rPr>
        <w:t>Por medio de la cual se promueve el acceso a</w:t>
      </w:r>
      <w:r w:rsidR="000F0856">
        <w:rPr>
          <w:rFonts w:ascii="Century Gothic" w:eastAsia="Century Gothic" w:hAnsi="Century Gothic" w:cs="Century Gothic"/>
          <w:color w:val="000000" w:themeColor="text1"/>
        </w:rPr>
        <w:t xml:space="preserve"> la educación superior pública</w:t>
      </w:r>
      <w:r w:rsidR="0009171D">
        <w:rPr>
          <w:rFonts w:ascii="Century Gothic" w:eastAsia="Century Gothic" w:hAnsi="Century Gothic" w:cs="Century Gothic"/>
          <w:color w:val="000000" w:themeColor="text1"/>
        </w:rPr>
        <w:t xml:space="preserve"> gratuita a las personas en condiciones de </w:t>
      </w:r>
      <w:r w:rsidR="000F0856" w:rsidRPr="000F0856">
        <w:rPr>
          <w:rFonts w:ascii="Century Gothic" w:eastAsia="Century Gothic" w:hAnsi="Century Gothic" w:cs="Century Gothic"/>
          <w:color w:val="000000" w:themeColor="text1"/>
        </w:rPr>
        <w:t>discapacidad”</w:t>
      </w:r>
    </w:p>
    <w:p w:rsidR="000F0856" w:rsidRDefault="000F0856" w:rsidP="000F0856">
      <w:pPr>
        <w:jc w:val="right"/>
        <w:rPr>
          <w:rFonts w:ascii="Century Gothic" w:eastAsia="Times New Roman" w:hAnsi="Century Gothic" w:cs="Calibri"/>
        </w:rPr>
      </w:pPr>
    </w:p>
    <w:p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Respetado secretario. </w:t>
      </w:r>
    </w:p>
    <w:p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Presento a consideración de la Cámara de Representantes el Proyecto de Ley</w:t>
      </w:r>
      <w:r w:rsidR="00781593">
        <w:rPr>
          <w:rFonts w:ascii="Century Gothic" w:eastAsia="Times New Roman" w:hAnsi="Century Gothic" w:cs="Calibri"/>
        </w:rPr>
        <w:t xml:space="preserve"> Estatutaria</w:t>
      </w:r>
      <w:r>
        <w:rPr>
          <w:rFonts w:ascii="Century Gothic" w:eastAsia="Times New Roman" w:hAnsi="Century Gothic" w:cs="Calibri"/>
        </w:rPr>
        <w:t xml:space="preserve"> </w:t>
      </w:r>
      <w:r w:rsidR="0009171D">
        <w:rPr>
          <w:rFonts w:ascii="Century Gothic" w:eastAsia="Times New Roman" w:hAnsi="Century Gothic" w:cs="Calibri"/>
        </w:rPr>
        <w:t>“</w:t>
      </w:r>
      <w:r w:rsidR="0009171D" w:rsidRPr="000F0856">
        <w:rPr>
          <w:rFonts w:ascii="Century Gothic" w:eastAsia="Century Gothic" w:hAnsi="Century Gothic" w:cs="Century Gothic"/>
          <w:color w:val="000000" w:themeColor="text1"/>
        </w:rPr>
        <w:t>Por medio de la cual se promueve el acceso a</w:t>
      </w:r>
      <w:r w:rsidR="0009171D">
        <w:rPr>
          <w:rFonts w:ascii="Century Gothic" w:eastAsia="Century Gothic" w:hAnsi="Century Gothic" w:cs="Century Gothic"/>
          <w:color w:val="000000" w:themeColor="text1"/>
        </w:rPr>
        <w:t xml:space="preserve"> la educación superior pública gratuita</w:t>
      </w:r>
      <w:bookmarkStart w:id="0" w:name="_GoBack"/>
      <w:bookmarkEnd w:id="0"/>
      <w:r w:rsidR="0009171D">
        <w:rPr>
          <w:rFonts w:ascii="Century Gothic" w:eastAsia="Century Gothic" w:hAnsi="Century Gothic" w:cs="Century Gothic"/>
          <w:color w:val="000000" w:themeColor="text1"/>
        </w:rPr>
        <w:t xml:space="preserve"> a las personas en condiciones de </w:t>
      </w:r>
      <w:r w:rsidR="0009171D" w:rsidRPr="000F0856">
        <w:rPr>
          <w:rFonts w:ascii="Century Gothic" w:eastAsia="Century Gothic" w:hAnsi="Century Gothic" w:cs="Century Gothic"/>
          <w:color w:val="000000" w:themeColor="text1"/>
        </w:rPr>
        <w:t>discapacidad</w:t>
      </w:r>
      <w:r w:rsidR="0009171D">
        <w:rPr>
          <w:rFonts w:ascii="Century Gothic" w:eastAsia="Century Gothic" w:hAnsi="Century Gothic" w:cs="Century Gothic"/>
          <w:color w:val="000000" w:themeColor="text1"/>
        </w:rPr>
        <w:t>”</w:t>
      </w:r>
      <w:r>
        <w:rPr>
          <w:rFonts w:ascii="Century Gothic" w:eastAsia="Times New Roman" w:hAnsi="Century Gothic" w:cs="Calibri"/>
        </w:rPr>
        <w:t>, iniciativa legislativa que cumple las disposiciones de la normatividad vigente.</w:t>
      </w:r>
    </w:p>
    <w:p w:rsidR="00883CCB" w:rsidRDefault="00883CCB" w:rsidP="00883CCB">
      <w:pPr>
        <w:textAlignment w:val="center"/>
        <w:rPr>
          <w:rFonts w:ascii="Century Gothic" w:eastAsia="Roboto" w:hAnsi="Century Gothic" w:cs="Roboto"/>
          <w:lang w:eastAsia="es-ES_tradnl"/>
        </w:rPr>
      </w:pPr>
      <w:r>
        <w:rPr>
          <w:rFonts w:ascii="Century Gothic" w:eastAsia="Roboto" w:hAnsi="Century Gothic" w:cs="Roboto"/>
        </w:rPr>
        <w:t>Agradezco surtir el trámite correspondiente.</w:t>
      </w:r>
    </w:p>
    <w:p w:rsidR="00883CCB" w:rsidRDefault="00883CCB" w:rsidP="00883CCB">
      <w:pPr>
        <w:spacing w:before="240"/>
        <w:jc w:val="both"/>
        <w:textAlignment w:val="center"/>
        <w:rPr>
          <w:rFonts w:ascii="Century Gothic" w:hAnsi="Century Gothic"/>
        </w:rPr>
      </w:pPr>
      <w:r>
        <w:rPr>
          <w:rFonts w:ascii="Century Gothic" w:eastAsia="Roboto" w:hAnsi="Century Gothic" w:cs="Roboto"/>
        </w:rPr>
        <w:t xml:space="preserve">Se anexan 4 copias del proyecto en medio físico y una copia en medio magnético. </w:t>
      </w:r>
    </w:p>
    <w:p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ab/>
      </w:r>
    </w:p>
    <w:p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p>
    <w:p w:rsidR="00883CCB" w:rsidRDefault="00883CCB" w:rsidP="006C3EB3">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Cordialmente, </w:t>
      </w:r>
    </w:p>
    <w:p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9">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w:t>
      </w:r>
      <w:r w:rsidR="006572A7">
        <w:rPr>
          <w:rFonts w:ascii="Century Gothic" w:eastAsia="Century Gothic" w:hAnsi="Century Gothic" w:cs="Century Gothic"/>
          <w:b/>
          <w:color w:val="000000"/>
        </w:rPr>
        <w:tab/>
        <w:t xml:space="preserve"> JUAN CARLOS WILLS OSPINA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0">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FELIX ALEJANDRO CHICA CORREA </w:t>
      </w:r>
      <w:r>
        <w:rPr>
          <w:rFonts w:ascii="Century Gothic" w:eastAsia="Century Gothic" w:hAnsi="Century Gothic" w:cs="Century Gothic"/>
          <w:b/>
          <w:color w:val="000000"/>
        </w:rPr>
        <w:tab/>
        <w:t xml:space="preserve">             NIDIA MARCELA OSORIO SALGADO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6572A7" w:rsidRDefault="006572A7"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883CCB" w:rsidRDefault="00883CCB" w:rsidP="00883CCB">
      <w:pPr>
        <w:shd w:val="clear" w:color="auto" w:fill="FFFFFF"/>
        <w:spacing w:after="270"/>
        <w:jc w:val="both"/>
        <w:rPr>
          <w:rFonts w:ascii="Century Gothic" w:eastAsia="Century Gothic" w:hAnsi="Century Gothic" w:cs="Century Gothic"/>
          <w:color w:val="000000" w:themeColor="text1"/>
        </w:rPr>
      </w:pPr>
    </w:p>
    <w:p w:rsidR="006C3EB3" w:rsidRPr="00480A10" w:rsidRDefault="006C3EB3" w:rsidP="004D39E0">
      <w:pPr>
        <w:spacing w:after="240"/>
        <w:jc w:val="center"/>
        <w:rPr>
          <w:rFonts w:ascii="Century Gothic" w:hAnsi="Century Gothic"/>
          <w:b/>
          <w:lang w:val="es-MX"/>
        </w:rPr>
      </w:pPr>
      <w:r w:rsidRPr="00480A10">
        <w:rPr>
          <w:rFonts w:ascii="Century Gothic" w:hAnsi="Century Gothic"/>
          <w:b/>
          <w:lang w:val="es-MX"/>
        </w:rPr>
        <w:t>PROY</w:t>
      </w:r>
      <w:r>
        <w:rPr>
          <w:rFonts w:ascii="Century Gothic" w:hAnsi="Century Gothic"/>
          <w:b/>
          <w:lang w:val="es-MX"/>
        </w:rPr>
        <w:t>ECTO DE LEY</w:t>
      </w:r>
      <w:r w:rsidR="00B3015A">
        <w:rPr>
          <w:rFonts w:ascii="Century Gothic" w:hAnsi="Century Gothic"/>
          <w:b/>
          <w:lang w:val="es-MX"/>
        </w:rPr>
        <w:t xml:space="preserve"> ESTATUTARIA</w:t>
      </w:r>
      <w:r>
        <w:rPr>
          <w:rFonts w:ascii="Century Gothic" w:hAnsi="Century Gothic"/>
          <w:b/>
          <w:lang w:val="es-MX"/>
        </w:rPr>
        <w:t xml:space="preserve"> NÚMERO _____ DE 2021</w:t>
      </w:r>
      <w:r w:rsidRPr="00480A10">
        <w:rPr>
          <w:rFonts w:ascii="Century Gothic" w:hAnsi="Century Gothic"/>
          <w:b/>
          <w:lang w:val="es-MX"/>
        </w:rPr>
        <w:t xml:space="preserve"> CÁMARA</w:t>
      </w:r>
    </w:p>
    <w:p w:rsidR="004D39E0" w:rsidRPr="00413C89" w:rsidRDefault="0009171D" w:rsidP="006C3EB3">
      <w:pPr>
        <w:jc w:val="center"/>
        <w:rPr>
          <w:rFonts w:ascii="Century Gothic" w:hAnsi="Century Gothic"/>
          <w:i/>
          <w:lang w:val="es-MX"/>
        </w:rPr>
      </w:pPr>
      <w:r w:rsidRPr="0009171D">
        <w:rPr>
          <w:rFonts w:ascii="Century Gothic" w:hAnsi="Century Gothic"/>
          <w:i/>
          <w:lang w:val="es-MX"/>
        </w:rPr>
        <w:t>“Por medio de la cual se promueve el acceso a la educación superior pública gratuita a las personas en condiciones de discapacidad</w:t>
      </w:r>
      <w:r w:rsidR="000F0856" w:rsidRPr="000F0856">
        <w:rPr>
          <w:rFonts w:ascii="Century Gothic" w:hAnsi="Century Gothic"/>
          <w:i/>
          <w:lang w:val="es-MX"/>
        </w:rPr>
        <w:t>”</w:t>
      </w:r>
    </w:p>
    <w:p w:rsidR="006C3EB3" w:rsidRPr="00413C89" w:rsidRDefault="006C3EB3" w:rsidP="006C3EB3">
      <w:pPr>
        <w:jc w:val="center"/>
        <w:rPr>
          <w:rFonts w:ascii="Century Gothic" w:hAnsi="Century Gothic"/>
          <w:b/>
          <w:i/>
          <w:lang w:val="es-MX"/>
        </w:rPr>
      </w:pPr>
    </w:p>
    <w:p w:rsidR="006C3EB3" w:rsidRDefault="006C3EB3" w:rsidP="006C3EB3">
      <w:pPr>
        <w:jc w:val="center"/>
        <w:rPr>
          <w:rFonts w:ascii="Century Gothic" w:hAnsi="Century Gothic"/>
          <w:b/>
        </w:rPr>
      </w:pPr>
      <w:r w:rsidRPr="00231D63">
        <w:rPr>
          <w:rFonts w:ascii="Century Gothic" w:hAnsi="Century Gothic"/>
          <w:b/>
        </w:rPr>
        <w:t>EXPOSICIÓN DE MOTIVOS</w:t>
      </w:r>
    </w:p>
    <w:p w:rsidR="004D39E0" w:rsidRPr="00231D63" w:rsidRDefault="004D39E0" w:rsidP="006C3EB3">
      <w:pPr>
        <w:jc w:val="center"/>
        <w:rPr>
          <w:rFonts w:ascii="Century Gothic" w:hAnsi="Century Gothic"/>
        </w:rPr>
      </w:pPr>
    </w:p>
    <w:p w:rsidR="006C3EB3" w:rsidRPr="00C4418A" w:rsidRDefault="006572A7" w:rsidP="006C3EB3">
      <w:pPr>
        <w:numPr>
          <w:ilvl w:val="0"/>
          <w:numId w:val="3"/>
        </w:numPr>
        <w:spacing w:after="160" w:line="259" w:lineRule="auto"/>
        <w:ind w:hanging="179"/>
        <w:jc w:val="both"/>
        <w:rPr>
          <w:rFonts w:ascii="Century Gothic" w:eastAsiaTheme="minorHAnsi" w:hAnsi="Century Gothic" w:cstheme="minorBidi"/>
          <w:lang w:val="es-MX"/>
        </w:rPr>
      </w:pPr>
      <w:r>
        <w:rPr>
          <w:rFonts w:ascii="Century Gothic" w:eastAsia="Century Gothic" w:hAnsi="Century Gothic" w:cs="Century Gothic"/>
          <w:b/>
          <w:color w:val="000000" w:themeColor="text1"/>
        </w:rPr>
        <w:t xml:space="preserve">    ANTECEDENTES </w:t>
      </w:r>
    </w:p>
    <w:p w:rsidR="006C3EB3" w:rsidRPr="00C4418A" w:rsidRDefault="006C3EB3"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y fue archivada por no alcázar a surtir el primer debate en dicha legislatura, razón por la cual se radica nuevamente. </w:t>
      </w:r>
    </w:p>
    <w:p w:rsidR="00B3015A" w:rsidRPr="00B3015A" w:rsidRDefault="00B3015A" w:rsidP="00B3015A">
      <w:pPr>
        <w:numPr>
          <w:ilvl w:val="0"/>
          <w:numId w:val="3"/>
        </w:numPr>
        <w:spacing w:after="160" w:line="259" w:lineRule="auto"/>
        <w:ind w:hanging="179"/>
        <w:jc w:val="both"/>
        <w:rPr>
          <w:rFonts w:ascii="Century Gothic" w:hAnsi="Century Gothic"/>
        </w:rPr>
      </w:pPr>
      <w:r w:rsidRPr="00B3015A">
        <w:rPr>
          <w:rFonts w:ascii="Century Gothic" w:hAnsi="Century Gothic"/>
          <w:b/>
          <w:color w:val="0D0D0D" w:themeColor="text1" w:themeTint="F2"/>
        </w:rPr>
        <w:t>OBJETO DEL PROYECTO</w:t>
      </w:r>
    </w:p>
    <w:p w:rsidR="00B3015A" w:rsidRPr="00B75EED" w:rsidRDefault="00B3015A" w:rsidP="00B3015A">
      <w:pPr>
        <w:jc w:val="both"/>
        <w:rPr>
          <w:rFonts w:ascii="Century Gothic" w:hAnsi="Century Gothic"/>
          <w:color w:val="0D0D0D" w:themeColor="text1" w:themeTint="F2"/>
        </w:rPr>
      </w:pPr>
    </w:p>
    <w:p w:rsidR="00B3015A" w:rsidRPr="00B75EED" w:rsidRDefault="00B3015A" w:rsidP="00B3015A">
      <w:pPr>
        <w:spacing w:line="240" w:lineRule="auto"/>
        <w:jc w:val="both"/>
        <w:textAlignment w:val="baseline"/>
        <w:rPr>
          <w:rFonts w:ascii="Century Gothic" w:eastAsia="Times New Roman" w:hAnsi="Century Gothic" w:cs="Segoe UI"/>
        </w:rPr>
      </w:pPr>
      <w:r w:rsidRPr="002F0C95">
        <w:rPr>
          <w:rFonts w:ascii="Century Gothic" w:eastAsia="Times New Roman" w:hAnsi="Century Gothic" w:cs="Segoe UI"/>
          <w:color w:val="000000"/>
        </w:rPr>
        <w:t xml:space="preserve">El presente </w:t>
      </w:r>
      <w:r>
        <w:rPr>
          <w:rFonts w:ascii="Century Gothic" w:eastAsia="Times New Roman" w:hAnsi="Century Gothic" w:cs="Segoe UI"/>
          <w:color w:val="000000"/>
        </w:rPr>
        <w:t>P</w:t>
      </w:r>
      <w:r w:rsidRPr="002F0C95">
        <w:rPr>
          <w:rFonts w:ascii="Century Gothic" w:eastAsia="Times New Roman" w:hAnsi="Century Gothic" w:cs="Segoe UI"/>
          <w:color w:val="000000"/>
        </w:rPr>
        <w:t>royecto de Ley</w:t>
      </w:r>
      <w:r>
        <w:rPr>
          <w:rFonts w:ascii="Century Gothic" w:eastAsia="Times New Roman" w:hAnsi="Century Gothic" w:cs="Segoe UI"/>
          <w:color w:val="000000"/>
        </w:rPr>
        <w:t xml:space="preserve"> Estatutaria</w:t>
      </w:r>
      <w:r w:rsidRPr="002F0C95">
        <w:rPr>
          <w:rFonts w:ascii="Century Gothic" w:eastAsia="Times New Roman" w:hAnsi="Century Gothic" w:cs="Segoe UI"/>
          <w:color w:val="000000"/>
        </w:rPr>
        <w:t xml:space="preserve"> tiene por objeto garantizar el acceso a la educación superior pública para personas con discapacidad, otorgando gratuidad para lograr el ingreso a la educación </w:t>
      </w:r>
      <w:r>
        <w:rPr>
          <w:rFonts w:ascii="Century Gothic" w:eastAsia="Times New Roman" w:hAnsi="Century Gothic" w:cs="Segoe UI"/>
          <w:color w:val="000000"/>
        </w:rPr>
        <w:t xml:space="preserve">técnica y </w:t>
      </w:r>
      <w:r w:rsidRPr="002F0C95">
        <w:rPr>
          <w:rFonts w:ascii="Century Gothic" w:eastAsia="Times New Roman" w:hAnsi="Century Gothic" w:cs="Segoe UI"/>
          <w:color w:val="000000"/>
        </w:rPr>
        <w:t>superior pública</w:t>
      </w:r>
      <w:r>
        <w:rPr>
          <w:rFonts w:ascii="Century Gothic" w:eastAsia="Times New Roman" w:hAnsi="Century Gothic" w:cs="Segoe UI"/>
          <w:color w:val="000000"/>
        </w:rPr>
        <w:t>, evitando las barreras económicas que se presentan a esta población y fomentan la educación inclusiva.</w:t>
      </w:r>
    </w:p>
    <w:p w:rsidR="00B3015A" w:rsidRPr="00B75EED" w:rsidRDefault="00B3015A" w:rsidP="00B3015A">
      <w:pPr>
        <w:pBdr>
          <w:top w:val="nil"/>
          <w:left w:val="nil"/>
          <w:bottom w:val="nil"/>
          <w:right w:val="nil"/>
          <w:between w:val="nil"/>
        </w:pBdr>
        <w:jc w:val="both"/>
        <w:rPr>
          <w:rFonts w:ascii="Century Gothic" w:hAnsi="Century Gothic"/>
          <w:color w:val="0D0D0D" w:themeColor="text1" w:themeTint="F2"/>
        </w:rPr>
      </w:pPr>
      <w:r w:rsidRPr="00B75EED">
        <w:rPr>
          <w:rFonts w:ascii="Century Gothic" w:hAnsi="Century Gothic"/>
          <w:color w:val="0D0D0D" w:themeColor="text1" w:themeTint="F2"/>
        </w:rPr>
        <w:t xml:space="preserve"> </w:t>
      </w:r>
    </w:p>
    <w:p w:rsidR="00B3015A" w:rsidRPr="00B75EED" w:rsidRDefault="00B3015A" w:rsidP="00B3015A">
      <w:pPr>
        <w:numPr>
          <w:ilvl w:val="0"/>
          <w:numId w:val="3"/>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JUSTIFICACIÓN DEL PROYECTO</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El derecho a la educación es un derecho plasmado en el artículo 67 de la Constitución política de 1991, este derecho juega un papel fundamental dentro de una sociedad, en su desarrollo, cultura, economía y política. Cabe señalar que, aunque existe un amplio marco legal para la garantía de los derechos de las personas con discapacidad, se hace indispensable señalar que en su mayoría se enfrentan a un entorno de alta vulnerabilidad socioeconómica, que limita la posibilidad de alcanzar el proyecto de vida deseado. </w:t>
      </w:r>
    </w:p>
    <w:p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Según la Organización de las Naciones Unidas, Alrededor del 10% de la población mundial (cerca de 650 millones de personas), de las cuales el 80 % de este sector importante viven en países desarrollados. Así mismo, se presentan en los países de la Organización para la Cooperación y el Desarrollo Económicos (OCDE), las tasas de discapacidades más altas en los grupos con menores logros educacionales. El promedio es de 19%, en comparación con 11% entre los que tienen más educación. </w:t>
      </w:r>
    </w:p>
    <w:p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En Colombia, esta situación se ve empeorada como consecuencia de una falta de acceso a servicios sociales, empleo, transporte, infraestructura, cobertura en salud y por supuesto la educación. Actualmente, la falta de pedagogía y de apoyo </w:t>
      </w:r>
      <w:r w:rsidRPr="00143F3B">
        <w:rPr>
          <w:rFonts w:ascii="Century Gothic" w:eastAsia="Times New Roman" w:hAnsi="Century Gothic" w:cs="Segoe UI"/>
        </w:rPr>
        <w:lastRenderedPageBreak/>
        <w:t>hacia esta población, ha permitido la discriminación en cuanto al acceso a la educación que de manera lenta ha permitido el acceso a la educación en básica primaria y se secundaria.</w:t>
      </w:r>
    </w:p>
    <w:p w:rsidR="00B3015A" w:rsidRDefault="00B3015A" w:rsidP="00B3015A">
      <w:pPr>
        <w:shd w:val="clear" w:color="auto" w:fill="FFFFFF"/>
        <w:spacing w:line="240" w:lineRule="auto"/>
        <w:jc w:val="both"/>
        <w:textAlignment w:val="baseline"/>
        <w:rPr>
          <w:rFonts w:ascii="Century Gothic" w:eastAsia="Times New Roman" w:hAnsi="Century Gothic" w:cs="Segoe UI"/>
          <w:b/>
        </w:rPr>
      </w:pPr>
    </w:p>
    <w:p w:rsidR="00B3015A" w:rsidRPr="00093B62" w:rsidRDefault="00B3015A" w:rsidP="00B3015A">
      <w:pPr>
        <w:shd w:val="clear" w:color="auto" w:fill="FFFFFF"/>
        <w:spacing w:line="240" w:lineRule="auto"/>
        <w:jc w:val="both"/>
        <w:textAlignment w:val="baseline"/>
        <w:rPr>
          <w:rFonts w:ascii="Century Gothic" w:eastAsia="Times New Roman" w:hAnsi="Century Gothic" w:cs="Segoe UI"/>
          <w:b/>
        </w:rPr>
      </w:pPr>
    </w:p>
    <w:p w:rsidR="00B3015A" w:rsidRDefault="00B3015A" w:rsidP="00B3015A">
      <w:pPr>
        <w:shd w:val="clear" w:color="auto" w:fill="FFFFFF"/>
        <w:spacing w:line="240" w:lineRule="auto"/>
        <w:jc w:val="both"/>
        <w:textAlignment w:val="baseline"/>
        <w:rPr>
          <w:rFonts w:ascii="Century Gothic" w:eastAsia="Times New Roman" w:hAnsi="Century Gothic" w:cs="Segoe UI"/>
          <w:b/>
        </w:rPr>
      </w:pPr>
      <w:r w:rsidRPr="00093B62">
        <w:rPr>
          <w:rFonts w:ascii="Century Gothic" w:eastAsia="Times New Roman" w:hAnsi="Century Gothic" w:cs="Segoe UI"/>
          <w:b/>
        </w:rPr>
        <w:t xml:space="preserve">MARCO LEGAL </w:t>
      </w:r>
    </w:p>
    <w:p w:rsidR="00B3015A" w:rsidRDefault="00B3015A" w:rsidP="00B3015A">
      <w:pPr>
        <w:shd w:val="clear" w:color="auto" w:fill="FFFFFF"/>
        <w:spacing w:line="240" w:lineRule="auto"/>
        <w:jc w:val="both"/>
        <w:textAlignment w:val="baseline"/>
        <w:rPr>
          <w:rFonts w:ascii="Century Gothic" w:eastAsia="Times New Roman" w:hAnsi="Century Gothic" w:cs="Segoe UI"/>
          <w:b/>
        </w:rPr>
      </w:pPr>
    </w:p>
    <w:p w:rsidR="00B3015A" w:rsidRPr="00C27D5A" w:rsidRDefault="00B3015A" w:rsidP="00B3015A">
      <w:pPr>
        <w:shd w:val="clear" w:color="auto" w:fill="FFFFFF"/>
        <w:spacing w:line="240" w:lineRule="auto"/>
        <w:jc w:val="both"/>
        <w:textAlignment w:val="baseline"/>
        <w:rPr>
          <w:rFonts w:ascii="Century Gothic" w:eastAsia="Times New Roman" w:hAnsi="Century Gothic" w:cs="Segoe UI"/>
        </w:rPr>
      </w:pPr>
      <w:r w:rsidRPr="00C27D5A">
        <w:rPr>
          <w:rFonts w:ascii="Century Gothic" w:eastAsia="Times New Roman" w:hAnsi="Century Gothic" w:cs="Segoe UI"/>
        </w:rPr>
        <w:t>Dentro del marco legal es importante establecer las acciones que el Estado Colombiano ha venido adelantando en pro de la población con discapacidad en el país. Para el año 2009 la legislación colombiana aprobó la Convención sobre los Derechos de las Personas con Discapacidad, la cual fue adoptada por la Asamblea General de las Naciones Unidas en el 2006, un paso significativo para la inclusión dentro del territorio Nacional</w:t>
      </w:r>
      <w:r>
        <w:rPr>
          <w:rFonts w:ascii="Century Gothic" w:eastAsia="Times New Roman" w:hAnsi="Century Gothic" w:cs="Segoe UI"/>
        </w:rPr>
        <w:t xml:space="preserve">, </w:t>
      </w:r>
      <w:r w:rsidRPr="00C27D5A">
        <w:rPr>
          <w:rFonts w:ascii="Century Gothic" w:eastAsia="Times New Roman" w:hAnsi="Century Gothic" w:cs="Segoe UI"/>
        </w:rPr>
        <w:t xml:space="preserve">según informe Regional de las Américas del año 2004, presentado en la ONU, Colombia figura entre los 10 países calificados </w:t>
      </w:r>
      <w:proofErr w:type="gramStart"/>
      <w:r w:rsidRPr="00C27D5A">
        <w:rPr>
          <w:rFonts w:ascii="Century Gothic" w:eastAsia="Times New Roman" w:hAnsi="Century Gothic" w:cs="Segoe UI"/>
        </w:rPr>
        <w:t>como“</w:t>
      </w:r>
      <w:r>
        <w:rPr>
          <w:rFonts w:ascii="Century Gothic" w:eastAsia="Times New Roman" w:hAnsi="Century Gothic" w:cs="Segoe UI"/>
        </w:rPr>
        <w:t xml:space="preserve"> </w:t>
      </w:r>
      <w:r w:rsidRPr="00C27D5A">
        <w:rPr>
          <w:rFonts w:ascii="Century Gothic" w:eastAsia="Times New Roman" w:hAnsi="Century Gothic" w:cs="Segoe UI"/>
        </w:rPr>
        <w:t>moderadamente</w:t>
      </w:r>
      <w:proofErr w:type="gramEnd"/>
      <w:r w:rsidRPr="00C27D5A">
        <w:rPr>
          <w:rFonts w:ascii="Century Gothic" w:eastAsia="Times New Roman" w:hAnsi="Century Gothic" w:cs="Segoe UI"/>
        </w:rPr>
        <w:t xml:space="preserve"> Incluyentes”, lo anterior dentro del marco del derecho internacional. </w:t>
      </w:r>
    </w:p>
    <w:p w:rsidR="00B3015A" w:rsidRPr="00760254"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760254" w:rsidRDefault="00B3015A" w:rsidP="00B3015A">
      <w:pPr>
        <w:shd w:val="clear" w:color="auto" w:fill="FFFFFF"/>
        <w:spacing w:line="240" w:lineRule="auto"/>
        <w:jc w:val="both"/>
        <w:textAlignment w:val="baseline"/>
        <w:rPr>
          <w:rFonts w:ascii="Century Gothic" w:eastAsia="Times New Roman" w:hAnsi="Century Gothic" w:cs="Segoe UI"/>
        </w:rPr>
      </w:pPr>
      <w:r w:rsidRPr="00760254">
        <w:rPr>
          <w:rFonts w:ascii="Century Gothic" w:eastAsia="Times New Roman" w:hAnsi="Century Gothic" w:cs="Segoe UI"/>
        </w:rPr>
        <w:t>La Constitución Política de 1991 estableció diferentes derechos que garantizan el desarrollo de las personas iniciando por el articulo 13 el cual establece:</w:t>
      </w:r>
    </w:p>
    <w:p w:rsidR="00B3015A" w:rsidRPr="00760254"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r w:rsidRPr="00760254">
        <w:rPr>
          <w:rFonts w:ascii="Century Gothic" w:eastAsia="Times New Roman" w:hAnsi="Century Gothic" w:cs="Segoe UI"/>
          <w:i/>
          <w:iCs/>
        </w:rPr>
        <w:t>“Todas las personas nacen libres e iguales ante la ley, recibirán la misma protección y trato de las autoridades y gozarán</w:t>
      </w:r>
      <w:r w:rsidRPr="0041095F">
        <w:rPr>
          <w:rFonts w:ascii="Century Gothic" w:eastAsia="Times New Roman" w:hAnsi="Century Gothic" w:cs="Segoe UI"/>
          <w:i/>
          <w:iCs/>
        </w:rPr>
        <w:t xml:space="preserve"> de los mismos derechos, libertades y oportunidades sin ninguna discriminación por razones de sexo, raza, origen nacional o familiar, lengua, religión, opinión política o filosófica.</w:t>
      </w: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r w:rsidRPr="0041095F">
        <w:rPr>
          <w:rFonts w:ascii="Century Gothic" w:eastAsia="Times New Roman" w:hAnsi="Century Gothic" w:cs="Segoe UI"/>
          <w:i/>
          <w:iCs/>
        </w:rPr>
        <w:t>El Estado promoverá las condiciones para que la igualdad sea real y efectiva y adoptará medidas en favor de grupos discriminados o marginados.</w:t>
      </w: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r w:rsidRPr="0041095F">
        <w:rPr>
          <w:rFonts w:ascii="Century Gothic" w:eastAsia="Times New Roman" w:hAnsi="Century Gothic" w:cs="Segoe UI"/>
          <w:i/>
          <w:iCs/>
        </w:rPr>
        <w:t xml:space="preserve">El Estado protegerá especialmente a aquellas personas </w:t>
      </w:r>
      <w:proofErr w:type="gramStart"/>
      <w:r w:rsidRPr="0041095F">
        <w:rPr>
          <w:rFonts w:ascii="Century Gothic" w:eastAsia="Times New Roman" w:hAnsi="Century Gothic" w:cs="Segoe UI"/>
          <w:i/>
          <w:iCs/>
        </w:rPr>
        <w:t>que</w:t>
      </w:r>
      <w:proofErr w:type="gramEnd"/>
      <w:r w:rsidRPr="0041095F">
        <w:rPr>
          <w:rFonts w:ascii="Century Gothic" w:eastAsia="Times New Roman" w:hAnsi="Century Gothic" w:cs="Segoe UI"/>
          <w:i/>
          <w:iCs/>
        </w:rPr>
        <w:t xml:space="preserve"> por su condición económica, física o mental, se encuentren en circunstancia de debilidad manifiesta y sancionará los abusos o maltratos que contra ellas se cometan.”</w:t>
      </w: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De igual manera, en el artículo 47 Constitucional establece la obligación de estado para adelantar políticas para las personas que requieran atención especializada de la siguiente manera:</w:t>
      </w: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r w:rsidRPr="0041095F">
        <w:rPr>
          <w:rFonts w:ascii="Century Gothic" w:eastAsia="Times New Roman" w:hAnsi="Century Gothic" w:cs="Segoe UI"/>
          <w:i/>
          <w:iCs/>
        </w:rPr>
        <w:t>“El Estado adelantará una política de previsión, rehabilitación e integración social para los disminuidos físicos, sensoriales y psíquicos, a quienes se prestará la atención especializada que requieran.”</w:t>
      </w:r>
      <w:r w:rsidRPr="0041095F">
        <w:rPr>
          <w:rFonts w:ascii="Century Gothic" w:eastAsia="Times New Roman" w:hAnsi="Century Gothic" w:cs="Segoe UI"/>
          <w:i/>
          <w:iCs/>
        </w:rPr>
        <w:tab/>
      </w: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i/>
          <w:iCs/>
        </w:rPr>
      </w:pPr>
      <w:r w:rsidRPr="0041095F">
        <w:rPr>
          <w:rFonts w:ascii="Century Gothic" w:eastAsia="Times New Roman" w:hAnsi="Century Gothic" w:cs="Segoe UI"/>
          <w:i/>
          <w:iCs/>
        </w:rPr>
        <w:lastRenderedPageBreak/>
        <w:t>“Es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i/>
          <w:iCs/>
        </w:rPr>
      </w:pP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 xml:space="preserve"> En el artículo 68 establece como obligación del estado la erradicación del analfabetismo y el desarrollo de la educación en personas con limitaciones físicas o mentales;</w:t>
      </w:r>
    </w:p>
    <w:p w:rsidR="00B3015A" w:rsidRPr="0041095F" w:rsidRDefault="00B3015A" w:rsidP="00B3015A">
      <w:pPr>
        <w:shd w:val="clear" w:color="auto" w:fill="FFFFFF"/>
        <w:spacing w:line="240" w:lineRule="auto"/>
        <w:ind w:left="720" w:firstLine="720"/>
        <w:jc w:val="both"/>
        <w:textAlignment w:val="baseline"/>
        <w:rPr>
          <w:rFonts w:ascii="Century Gothic" w:eastAsia="Times New Roman" w:hAnsi="Century Gothic" w:cs="Segoe UI"/>
        </w:rPr>
      </w:pPr>
      <w:r w:rsidRPr="0041095F">
        <w:rPr>
          <w:rFonts w:ascii="Century Gothic" w:eastAsia="Times New Roman" w:hAnsi="Century Gothic" w:cs="Segoe UI"/>
          <w:i/>
          <w:iCs/>
        </w:rPr>
        <w:t>“La erradicación del analfabetismo y la educación de personas con limitaciones físicas o mentales, o con capacidades excepcionales, son obligaciones especiales del Estado.”</w:t>
      </w:r>
      <w:r w:rsidRPr="0041095F">
        <w:rPr>
          <w:rFonts w:ascii="Century Gothic" w:eastAsia="Times New Roman" w:hAnsi="Century Gothic" w:cs="Segoe UI"/>
        </w:rPr>
        <w:t xml:space="preserve"> </w:t>
      </w:r>
    </w:p>
    <w:p w:rsidR="00B3015A" w:rsidRPr="0041095F"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Por otra parte, en la Ley 115 de 1994 Ley General de Educación, en su título II capítulo 1 correspondiente a la educación para personas con limitaciones o capacidades excepcionales, se encuentra que los establecimientos educativos deben garantizar la integración académica y social de la población en condición de discapacidad, determino el apoyo y fomento Estatal para programas e instituciones con enfoque inclusivo. Igualmente, en esta ley nace el deber de incorporar dentro de los planes de desarrollo el diseño de programas pedagógicos y aulas especializadas que atiendan a la población en condición de discapacidad, iniciativas que a la fecha reciben la totalidad del apoyo estatal.</w:t>
      </w:r>
    </w:p>
    <w:p w:rsidR="00B3015A" w:rsidRDefault="00B3015A" w:rsidP="00B3015A">
      <w:pPr>
        <w:shd w:val="clear" w:color="auto" w:fill="FFFFFF"/>
        <w:spacing w:line="240" w:lineRule="auto"/>
        <w:jc w:val="both"/>
        <w:textAlignment w:val="baseline"/>
        <w:rPr>
          <w:rFonts w:ascii="Century Gothic" w:eastAsia="Times New Roman" w:hAnsi="Century Gothic" w:cs="Segoe UI"/>
          <w:b/>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b/>
        </w:rPr>
        <w:t>JURISPRUDENCIA</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E</w:t>
      </w:r>
      <w:r>
        <w:rPr>
          <w:rFonts w:ascii="Century Gothic" w:eastAsia="Times New Roman" w:hAnsi="Century Gothic" w:cs="Segoe UI"/>
        </w:rPr>
        <w:t>n e</w:t>
      </w:r>
      <w:r w:rsidRPr="00093B62">
        <w:rPr>
          <w:rFonts w:ascii="Century Gothic" w:eastAsia="Times New Roman" w:hAnsi="Century Gothic" w:cs="Segoe UI"/>
        </w:rPr>
        <w:t>l análisis jurisprudencial</w:t>
      </w:r>
      <w:r>
        <w:rPr>
          <w:rFonts w:ascii="Century Gothic" w:eastAsia="Times New Roman" w:hAnsi="Century Gothic" w:cs="Segoe UI"/>
        </w:rPr>
        <w:t>,</w:t>
      </w:r>
      <w:r w:rsidRPr="00093B62">
        <w:rPr>
          <w:rFonts w:ascii="Century Gothic" w:eastAsia="Times New Roman" w:hAnsi="Century Gothic" w:cs="Segoe UI"/>
        </w:rPr>
        <w:t xml:space="preserve"> la Sentencia</w:t>
      </w:r>
      <w:r>
        <w:rPr>
          <w:rFonts w:ascii="Century Gothic" w:eastAsia="Times New Roman" w:hAnsi="Century Gothic" w:cs="Segoe UI"/>
        </w:rPr>
        <w:t xml:space="preserve"> </w:t>
      </w:r>
      <w:r w:rsidRPr="00093B62">
        <w:rPr>
          <w:rFonts w:ascii="Century Gothic" w:eastAsia="Times New Roman" w:hAnsi="Century Gothic" w:cs="Segoe UI"/>
        </w:rPr>
        <w:t>T-598/13 la Corte Constitucional</w:t>
      </w:r>
      <w:r>
        <w:rPr>
          <w:rFonts w:ascii="Century Gothic" w:eastAsia="Times New Roman" w:hAnsi="Century Gothic" w:cs="Segoe UI"/>
        </w:rPr>
        <w:t xml:space="preserve"> </w:t>
      </w:r>
      <w:r w:rsidRPr="00093B62">
        <w:rPr>
          <w:rFonts w:ascii="Century Gothic" w:eastAsia="Times New Roman" w:hAnsi="Century Gothic" w:cs="Segoe UI"/>
        </w:rPr>
        <w:t>menciona que los niños, niñas, jóvenes y adultos con discapacidad, gozan de especial protección del Estado y son titulares de los derechos fundamentales a la educación y a la igualdad</w:t>
      </w:r>
      <w:r>
        <w:rPr>
          <w:rFonts w:ascii="Century Gothic" w:eastAsia="Times New Roman" w:hAnsi="Century Gothic" w:cs="Segoe UI"/>
        </w:rPr>
        <w:t>, por lo cual,</w:t>
      </w:r>
      <w:r w:rsidRPr="00093B62">
        <w:rPr>
          <w:rFonts w:ascii="Century Gothic" w:eastAsia="Times New Roman" w:hAnsi="Century Gothic" w:cs="Segoe UI"/>
        </w:rPr>
        <w:t xml:space="preserve"> </w:t>
      </w:r>
      <w:r>
        <w:rPr>
          <w:rFonts w:ascii="Century Gothic" w:eastAsia="Times New Roman" w:hAnsi="Century Gothic" w:cs="Segoe UI"/>
        </w:rPr>
        <w:t>se</w:t>
      </w:r>
      <w:r w:rsidRPr="00093B62">
        <w:rPr>
          <w:rFonts w:ascii="Century Gothic" w:eastAsia="Times New Roman" w:hAnsi="Century Gothic" w:cs="Segoe UI"/>
        </w:rPr>
        <w:t xml:space="preserve"> puede reclamar</w:t>
      </w:r>
      <w:r>
        <w:rPr>
          <w:rFonts w:ascii="Century Gothic" w:eastAsia="Times New Roman" w:hAnsi="Century Gothic" w:cs="Segoe UI"/>
        </w:rPr>
        <w:t xml:space="preserve"> </w:t>
      </w:r>
      <w:r w:rsidRPr="00093B62">
        <w:rPr>
          <w:rFonts w:ascii="Century Gothic" w:eastAsia="Times New Roman" w:hAnsi="Century Gothic" w:cs="Segoe UI"/>
        </w:rPr>
        <w:t>por vía de acción de tutela</w:t>
      </w:r>
      <w:r>
        <w:rPr>
          <w:rFonts w:ascii="Century Gothic" w:eastAsia="Times New Roman" w:hAnsi="Century Gothic" w:cs="Segoe UI"/>
        </w:rPr>
        <w:t>. De la misma manera, en la Sentencia</w:t>
      </w:r>
      <w:r w:rsidRPr="00093B62">
        <w:rPr>
          <w:rFonts w:ascii="Century Gothic" w:eastAsia="Times New Roman" w:hAnsi="Century Gothic" w:cs="Segoe UI"/>
        </w:rPr>
        <w:t xml:space="preserve"> T-850/</w:t>
      </w:r>
      <w:proofErr w:type="gramStart"/>
      <w:r w:rsidRPr="00093B62">
        <w:rPr>
          <w:rFonts w:ascii="Century Gothic" w:eastAsia="Times New Roman" w:hAnsi="Century Gothic" w:cs="Segoe UI"/>
        </w:rPr>
        <w:t>14</w:t>
      </w:r>
      <w:r>
        <w:rPr>
          <w:rFonts w:ascii="Century Gothic" w:eastAsia="Times New Roman" w:hAnsi="Century Gothic" w:cs="Segoe UI"/>
        </w:rPr>
        <w:t xml:space="preserve">, </w:t>
      </w:r>
      <w:r w:rsidRPr="00093B62">
        <w:rPr>
          <w:rFonts w:ascii="Century Gothic" w:eastAsia="Times New Roman" w:hAnsi="Century Gothic" w:cs="Segoe UI"/>
        </w:rPr>
        <w:t xml:space="preserve"> reconoció</w:t>
      </w:r>
      <w:proofErr w:type="gramEnd"/>
      <w:r w:rsidRPr="00093B62">
        <w:rPr>
          <w:rFonts w:ascii="Century Gothic" w:eastAsia="Times New Roman" w:hAnsi="Century Gothic" w:cs="Segoe UI"/>
        </w:rPr>
        <w:t xml:space="preserve"> que </w:t>
      </w:r>
      <w:r>
        <w:rPr>
          <w:rFonts w:ascii="Century Gothic" w:eastAsia="Times New Roman" w:hAnsi="Century Gothic" w:cs="Segoe UI"/>
        </w:rPr>
        <w:t xml:space="preserve">las personas con discapacidad </w:t>
      </w:r>
      <w:r w:rsidRPr="00093B62">
        <w:rPr>
          <w:rFonts w:ascii="Century Gothic" w:eastAsia="Times New Roman" w:hAnsi="Century Gothic" w:cs="Segoe UI"/>
        </w:rPr>
        <w:t>son personas</w:t>
      </w:r>
      <w:r>
        <w:rPr>
          <w:rFonts w:ascii="Century Gothic" w:eastAsia="Times New Roman" w:hAnsi="Century Gothic" w:cs="Segoe UI"/>
        </w:rPr>
        <w:t xml:space="preserve"> </w:t>
      </w:r>
      <w:r w:rsidRPr="00093B62">
        <w:rPr>
          <w:rFonts w:ascii="Century Gothic" w:eastAsia="Times New Roman" w:hAnsi="Century Gothic" w:cs="Segoe UI"/>
        </w:rPr>
        <w:t xml:space="preserve">capaces de gozar plenamente de todos sus derechos fundamentales entre los cuales se encuentra el derecho a la educación, razón por la cual, corresponde al Estado garantizar el goce efectivo de todos sus derechos, en las condiciones más favorables posibles.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Cuando se trata de personas en situación de discapacidad, la educación debe prestarse en condiciones de igualdad, atendiendo las particularidades de cada caso, de tal forma que el proceso de aprendizaje se adapte a sus condiciones y en este sentido pueda acceder al </w:t>
      </w:r>
      <w:r>
        <w:rPr>
          <w:rFonts w:ascii="Century Gothic" w:eastAsia="Times New Roman" w:hAnsi="Century Gothic" w:cs="Segoe UI"/>
        </w:rPr>
        <w:t xml:space="preserve">derecho </w:t>
      </w:r>
      <w:r w:rsidRPr="00093B62">
        <w:rPr>
          <w:rFonts w:ascii="Century Gothic" w:eastAsia="Times New Roman" w:hAnsi="Century Gothic" w:cs="Segoe UI"/>
        </w:rPr>
        <w:t>como cualquier persona</w:t>
      </w:r>
      <w:r>
        <w:rPr>
          <w:rFonts w:ascii="Century Gothic" w:eastAsia="Times New Roman" w:hAnsi="Century Gothic" w:cs="Segoe UI"/>
        </w:rPr>
        <w:t xml:space="preserve">. A este grupo poblacional </w:t>
      </w:r>
      <w:r w:rsidRPr="00093B62">
        <w:rPr>
          <w:rFonts w:ascii="Century Gothic" w:eastAsia="Times New Roman" w:hAnsi="Century Gothic" w:cs="Segoe UI"/>
        </w:rPr>
        <w:t xml:space="preserve">se les debe garantizar una educación inclusiva, que consiste en ampliar el espectro de inclusión de personas con necesidades educativas especiales, más allá del acceso a la escuela regular.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A su vez </w:t>
      </w:r>
      <w:r>
        <w:rPr>
          <w:rFonts w:ascii="Century Gothic" w:eastAsia="Times New Roman" w:hAnsi="Century Gothic" w:cs="Segoe UI"/>
        </w:rPr>
        <w:t xml:space="preserve">la Corte Constitucional </w:t>
      </w:r>
      <w:r w:rsidRPr="00093B62">
        <w:rPr>
          <w:rFonts w:ascii="Century Gothic" w:eastAsia="Times New Roman" w:hAnsi="Century Gothic" w:cs="Segoe UI"/>
        </w:rPr>
        <w:t>determin</w:t>
      </w:r>
      <w:r>
        <w:rPr>
          <w:rFonts w:ascii="Century Gothic" w:eastAsia="Times New Roman" w:hAnsi="Century Gothic" w:cs="Segoe UI"/>
        </w:rPr>
        <w:t>ó</w:t>
      </w:r>
      <w:r w:rsidRPr="00093B62">
        <w:rPr>
          <w:rFonts w:ascii="Century Gothic" w:eastAsia="Times New Roman" w:hAnsi="Century Gothic" w:cs="Segoe UI"/>
        </w:rPr>
        <w:t xml:space="preserve"> que el Estado tiene la obligación de garantizar a la población con discapacidad el acceso a la educación superior, a través de programas, medidas y/o acciones afirmativas que permitan la inclusión </w:t>
      </w:r>
      <w:r w:rsidRPr="00093B62">
        <w:rPr>
          <w:rFonts w:ascii="Century Gothic" w:eastAsia="Times New Roman" w:hAnsi="Century Gothic" w:cs="Segoe UI"/>
        </w:rPr>
        <w:lastRenderedPageBreak/>
        <w:t xml:space="preserve">de esta población a la sociedad, y con ello proteger el principio de no discriminación.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Por otra parte, l</w:t>
      </w:r>
      <w:r w:rsidRPr="00093B62">
        <w:rPr>
          <w:rFonts w:ascii="Century Gothic" w:eastAsia="Times New Roman" w:hAnsi="Century Gothic" w:cs="Segoe UI"/>
        </w:rPr>
        <w:t xml:space="preserve">a </w:t>
      </w:r>
      <w:r>
        <w:rPr>
          <w:rFonts w:ascii="Century Gothic" w:eastAsia="Times New Roman" w:hAnsi="Century Gothic" w:cs="Segoe UI"/>
        </w:rPr>
        <w:t>C</w:t>
      </w:r>
      <w:r w:rsidRPr="00093B62">
        <w:rPr>
          <w:rFonts w:ascii="Century Gothic" w:eastAsia="Times New Roman" w:hAnsi="Century Gothic" w:cs="Segoe UI"/>
        </w:rPr>
        <w:t xml:space="preserve">orte </w:t>
      </w:r>
      <w:r>
        <w:rPr>
          <w:rFonts w:ascii="Century Gothic" w:eastAsia="Times New Roman" w:hAnsi="Century Gothic" w:cs="Segoe UI"/>
        </w:rPr>
        <w:t>C</w:t>
      </w:r>
      <w:r w:rsidRPr="00093B62">
        <w:rPr>
          <w:rFonts w:ascii="Century Gothic" w:eastAsia="Times New Roman" w:hAnsi="Century Gothic" w:cs="Segoe UI"/>
        </w:rPr>
        <w:t>onstitucional en Sentencia T-097/16, determin</w:t>
      </w:r>
      <w:r>
        <w:rPr>
          <w:rFonts w:ascii="Century Gothic" w:eastAsia="Times New Roman" w:hAnsi="Century Gothic" w:cs="Segoe UI"/>
        </w:rPr>
        <w:t>ó</w:t>
      </w:r>
      <w:r w:rsidRPr="00093B62">
        <w:rPr>
          <w:rFonts w:ascii="Century Gothic" w:eastAsia="Times New Roman" w:hAnsi="Century Gothic" w:cs="Segoe UI"/>
        </w:rPr>
        <w:t xml:space="preserve"> que es deber del Estado adelantar acciones dirigidas a lograr la satisfacción de sus derechos</w:t>
      </w:r>
      <w:r>
        <w:rPr>
          <w:rFonts w:ascii="Century Gothic" w:eastAsia="Times New Roman" w:hAnsi="Century Gothic" w:cs="Segoe UI"/>
        </w:rPr>
        <w:t xml:space="preserve"> y </w:t>
      </w:r>
      <w:r w:rsidRPr="00093B62">
        <w:rPr>
          <w:rFonts w:ascii="Century Gothic" w:eastAsia="Times New Roman" w:hAnsi="Century Gothic" w:cs="Segoe UI"/>
        </w:rPr>
        <w:t>en el marco de igualdad de oportunidades y remoción de las barreras de acceso a los bienes sociales</w:t>
      </w:r>
      <w:r>
        <w:rPr>
          <w:rFonts w:ascii="Century Gothic" w:eastAsia="Times New Roman" w:hAnsi="Century Gothic" w:cs="Segoe UI"/>
        </w:rPr>
        <w:t>. Por lo tanto, Es deber del</w:t>
      </w:r>
      <w:r w:rsidRPr="00093B62">
        <w:rPr>
          <w:rFonts w:ascii="Century Gothic" w:eastAsia="Times New Roman" w:hAnsi="Century Gothic" w:cs="Segoe UI"/>
        </w:rPr>
        <w:t xml:space="preserve"> Estado, adelantar acciones afirmativas en favor de todas aquellas personas </w:t>
      </w:r>
      <w:r>
        <w:rPr>
          <w:rFonts w:ascii="Century Gothic" w:eastAsia="Times New Roman" w:hAnsi="Century Gothic" w:cs="Segoe UI"/>
        </w:rPr>
        <w:t>en condición de discapacidad</w:t>
      </w:r>
      <w:r w:rsidRPr="0089296B">
        <w:rPr>
          <w:rFonts w:ascii="Century Gothic" w:eastAsia="Times New Roman" w:hAnsi="Century Gothic" w:cs="Segoe UI"/>
        </w:rPr>
        <w:t xml:space="preserve">, a quienes debe garantizar no solo las condiciones para equilibrar su desventaja fáctica sino, sobre todo, a fin de lograr su integración real a la sociedad.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esta manera, s</w:t>
      </w:r>
      <w:r w:rsidRPr="0089296B">
        <w:rPr>
          <w:rFonts w:ascii="Century Gothic" w:eastAsia="Times New Roman" w:hAnsi="Century Gothic" w:cs="Segoe UI"/>
        </w:rPr>
        <w:t>i el Estado omite diferenciar positivamente en los eventos de personas en situación de discapacidad permite que la condición natural de desigualdad y desprotección se mantenga</w:t>
      </w:r>
      <w:r>
        <w:rPr>
          <w:rFonts w:ascii="Century Gothic" w:eastAsia="Times New Roman" w:hAnsi="Century Gothic" w:cs="Segoe UI"/>
        </w:rPr>
        <w:t xml:space="preserve">, </w:t>
      </w:r>
      <w:r w:rsidRPr="0089296B">
        <w:rPr>
          <w:rFonts w:ascii="Century Gothic" w:eastAsia="Times New Roman" w:hAnsi="Century Gothic" w:cs="Segoe UI"/>
        </w:rPr>
        <w:t>impid</w:t>
      </w:r>
      <w:r>
        <w:rPr>
          <w:rFonts w:ascii="Century Gothic" w:eastAsia="Times New Roman" w:hAnsi="Century Gothic" w:cs="Segoe UI"/>
        </w:rPr>
        <w:t>iendo</w:t>
      </w:r>
      <w:r w:rsidRPr="0089296B">
        <w:rPr>
          <w:rFonts w:ascii="Century Gothic" w:eastAsia="Times New Roman" w:hAnsi="Century Gothic" w:cs="Segoe UI"/>
        </w:rPr>
        <w:t xml:space="preserve"> participar e integrarse socialmente, ejercer plenamente sus prerrogativas y asumir sus obligaciones</w:t>
      </w:r>
      <w:r>
        <w:rPr>
          <w:rFonts w:ascii="Century Gothic" w:eastAsia="Times New Roman" w:hAnsi="Century Gothic" w:cs="Segoe UI"/>
        </w:rPr>
        <w:t xml:space="preserve"> </w:t>
      </w:r>
      <w:r w:rsidRPr="0089296B">
        <w:rPr>
          <w:rFonts w:ascii="Century Gothic" w:eastAsia="Times New Roman" w:hAnsi="Century Gothic" w:cs="Segoe UI"/>
        </w:rPr>
        <w:t>vulnera</w:t>
      </w:r>
      <w:r>
        <w:rPr>
          <w:rFonts w:ascii="Century Gothic" w:eastAsia="Times New Roman" w:hAnsi="Century Gothic" w:cs="Segoe UI"/>
        </w:rPr>
        <w:t>ndo</w:t>
      </w:r>
      <w:r w:rsidRPr="0089296B">
        <w:rPr>
          <w:rFonts w:ascii="Century Gothic" w:eastAsia="Times New Roman" w:hAnsi="Century Gothic" w:cs="Segoe UI"/>
        </w:rPr>
        <w:t xml:space="preserve"> sus derechos fundamentales.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Por otra parte en temas específicos de educación superior en Colombia para personas con discapacidad la Corte Constituciona</w:t>
      </w:r>
      <w:r>
        <w:rPr>
          <w:rFonts w:ascii="Century Gothic" w:eastAsia="Times New Roman" w:hAnsi="Century Gothic" w:cs="Segoe UI"/>
        </w:rPr>
        <w:t>l</w:t>
      </w:r>
      <w:r w:rsidRPr="0089296B">
        <w:rPr>
          <w:rFonts w:ascii="Century Gothic" w:eastAsia="Times New Roman" w:hAnsi="Century Gothic" w:cs="Segoe UI"/>
        </w:rPr>
        <w:t xml:space="preserve">, en Sentencia T- 850/14, aclara que </w:t>
      </w:r>
      <w:r>
        <w:rPr>
          <w:rFonts w:ascii="Century Gothic" w:eastAsia="Times New Roman" w:hAnsi="Century Gothic" w:cs="Segoe UI"/>
        </w:rPr>
        <w:t>l</w:t>
      </w:r>
      <w:r w:rsidRPr="0089296B">
        <w:rPr>
          <w:rFonts w:ascii="Century Gothic" w:eastAsia="Times New Roman" w:hAnsi="Century Gothic" w:cs="Segoe UI"/>
        </w:rPr>
        <w:t xml:space="preserve">a ley 30 de 1992, por medio de la cual se reglamenta el servicio público cultural de la Educación Superior, establece que este derecho es un proceso que posibilita el desarrollo de las potencialidades del ser humano de una manera integral </w:t>
      </w:r>
      <w:r>
        <w:rPr>
          <w:rFonts w:ascii="Century Gothic" w:eastAsia="Times New Roman" w:hAnsi="Century Gothic" w:cs="Segoe UI"/>
        </w:rPr>
        <w:t xml:space="preserve">y </w:t>
      </w:r>
      <w:r w:rsidRPr="0089296B">
        <w:rPr>
          <w:rFonts w:ascii="Century Gothic" w:eastAsia="Times New Roman" w:hAnsi="Century Gothic" w:cs="Segoe UI"/>
        </w:rPr>
        <w:t>que tiene por objeto el pleno desarrollo de los alumnos y su formación académica o profesional, inherente a la finalidad social del Estado, de manera textual se hace necesario extractar el siguiente aparte</w:t>
      </w:r>
      <w:r>
        <w:rPr>
          <w:rFonts w:ascii="Century Gothic" w:eastAsia="Times New Roman" w:hAnsi="Century Gothic" w:cs="Segoe UI"/>
        </w:rPr>
        <w:t>:</w:t>
      </w: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i/>
        </w:rPr>
      </w:pPr>
      <w:r w:rsidRPr="0089296B">
        <w:rPr>
          <w:rFonts w:ascii="Century Gothic" w:eastAsia="Times New Roman" w:hAnsi="Century Gothic" w:cs="Segoe UI"/>
          <w:i/>
        </w:rPr>
        <w:t>“De conformidad con la normativa interna, la jurisprudencia constitucional y en armonía con Bloque de Constitucionalidad, la educación superior, se convierte en una obligación progresiva que debe ser garantizada y promovida por el Estado, la sociedad y la familia, sin que resulte admisible ningún tipo de restricción o desconocimiento que impida su ejercicio.</w:t>
      </w: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i/>
        </w:rPr>
      </w:pP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i/>
        </w:rPr>
      </w:pPr>
      <w:r w:rsidRPr="0089296B">
        <w:rPr>
          <w:rFonts w:ascii="Century Gothic" w:eastAsia="Times New Roman" w:hAnsi="Century Gothic" w:cs="Segoe UI"/>
          <w:i/>
        </w:rPr>
        <w:t>(vi) Cuando se desconocen las obligaciones constitucionales de carácter prestacional y programático, derivadas de un derecho fundamental, puesto que la entidad responsable de garantizar el goce de un derecho ni siquiera cuenta con un programa o con una política pública que le permita avanzar progresivamente en el cumplimiento de</w:t>
      </w:r>
      <w:r>
        <w:rPr>
          <w:rFonts w:ascii="Century Gothic" w:eastAsia="Times New Roman" w:hAnsi="Century Gothic" w:cs="Segoe UI"/>
          <w:i/>
        </w:rPr>
        <w:t xml:space="preserve"> sus obligaciones correlativas.</w:t>
      </w:r>
      <w:r>
        <w:rPr>
          <w:rStyle w:val="Refdenotaalpie"/>
          <w:rFonts w:ascii="Century Gothic" w:eastAsia="Times New Roman" w:hAnsi="Century Gothic" w:cs="Segoe UI"/>
          <w:i/>
        </w:rPr>
        <w:footnoteReference w:id="2"/>
      </w: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i/>
        </w:rPr>
      </w:pP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i/>
        </w:rPr>
      </w:pPr>
      <w:r w:rsidRPr="0089296B">
        <w:rPr>
          <w:rFonts w:ascii="Century Gothic" w:eastAsia="Times New Roman" w:hAnsi="Century Gothic" w:cs="Segoe UI"/>
          <w:i/>
        </w:rPr>
        <w:t>(vii) Cuando las prestaciones programáticas que surgen de los derechos fundamentales no se pueden garantizar de manera inmediata. No obstante, el alcance de la exigibilidad debe aumentar con el paso del tiempo, con el mejoramiento de las capacidades de gestión administrativa y con la disponibilidad de recursos, con el objeto de asegurar el goce efectivo del derecho, en especial de su dimensión prestacional.</w:t>
      </w:r>
      <w:r>
        <w:rPr>
          <w:rFonts w:ascii="Century Gothic" w:eastAsia="Times New Roman" w:hAnsi="Century Gothic" w:cs="Segoe UI"/>
          <w:i/>
        </w:rPr>
        <w:t>”</w:t>
      </w:r>
    </w:p>
    <w:p w:rsidR="00B3015A" w:rsidRDefault="00B3015A" w:rsidP="00B3015A">
      <w:pPr>
        <w:shd w:val="clear" w:color="auto" w:fill="FFFFFF"/>
        <w:spacing w:line="240" w:lineRule="auto"/>
        <w:jc w:val="both"/>
        <w:textAlignment w:val="baseline"/>
        <w:rPr>
          <w:rFonts w:ascii="Century Gothic" w:eastAsia="Times New Roman" w:hAnsi="Century Gothic" w:cs="Segoe UI"/>
          <w: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Ahora bien</w:t>
      </w:r>
      <w:r>
        <w:rPr>
          <w:rFonts w:ascii="Century Gothic" w:eastAsia="Times New Roman" w:hAnsi="Century Gothic" w:cs="Segoe UI"/>
        </w:rPr>
        <w:t>,</w:t>
      </w:r>
      <w:r w:rsidRPr="0089296B">
        <w:rPr>
          <w:rFonts w:ascii="Century Gothic" w:eastAsia="Times New Roman" w:hAnsi="Century Gothic" w:cs="Segoe UI"/>
        </w:rPr>
        <w:t xml:space="preserve"> sobre la gratuidad de la educación superior en sentencia C-376 de 2010 la Corte Constitucional, en concepto entregado por parte del Ministerio de educación, el derecho a la gratuidad de la educación se sitúa como una obligación suplementaria del mandato de accesibilidad</w:t>
      </w:r>
      <w:r>
        <w:rPr>
          <w:rFonts w:ascii="Century Gothic" w:eastAsia="Times New Roman" w:hAnsi="Century Gothic" w:cs="Segoe UI"/>
        </w:rPr>
        <w:t>,</w:t>
      </w:r>
      <w:r w:rsidRPr="0089296B">
        <w:rPr>
          <w:rFonts w:ascii="Century Gothic" w:eastAsia="Times New Roman" w:hAnsi="Century Gothic" w:cs="Segoe UI"/>
        </w:rPr>
        <w:t xml:space="preserve"> ya que busca garantizar que no existan obstáculos económicos en el acceso y permanencia de las personas en los procesos educativos.</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left="720" w:firstLine="720"/>
        <w:jc w:val="both"/>
        <w:textAlignment w:val="baseline"/>
        <w:rPr>
          <w:rFonts w:ascii="Century Gothic" w:eastAsia="Times New Roman" w:hAnsi="Century Gothic" w:cs="Segoe UI"/>
          <w:i/>
        </w:rPr>
      </w:pPr>
      <w:r>
        <w:rPr>
          <w:rFonts w:ascii="Century Gothic" w:eastAsia="Times New Roman" w:hAnsi="Century Gothic" w:cs="Segoe UI"/>
          <w:i/>
        </w:rPr>
        <w:t>“</w:t>
      </w:r>
      <w:r w:rsidRPr="0089296B">
        <w:rPr>
          <w:rFonts w:ascii="Century Gothic" w:eastAsia="Times New Roman" w:hAnsi="Century Gothic" w:cs="Segoe UI"/>
          <w:i/>
        </w:rPr>
        <w:t>La gratuidad, parte entonces de una idea básica: si una persona tiene un derecho es deber del Estado remover todos los obstáculos económicos que se interponen para que esta persona pueda gozar de ese derecho. En el caso colombiano, sostiene, existen obstáculos económicos de acceso a la educación que se encuentran empíricamente verificados. Cita la encuesta de calidad de vida (DANE: 2003) según la cual el 6.5% de los niños entre los 5 a los 11 años está por fuera de la educación y de ellos, el 20.7% no asiste por razones esencialmente económicas. Esta circunstancia se agrava con la edad, en la población de 12 a 17 años, este porcentaje es del 50%.”</w:t>
      </w:r>
    </w:p>
    <w:p w:rsidR="00B3015A" w:rsidRDefault="00B3015A" w:rsidP="00B3015A">
      <w:pPr>
        <w:shd w:val="clear" w:color="auto" w:fill="FFFFFF"/>
        <w:spacing w:line="240" w:lineRule="auto"/>
        <w:jc w:val="both"/>
        <w:textAlignment w:val="baseline"/>
        <w:rPr>
          <w:rFonts w:ascii="Century Gothic" w:eastAsia="Times New Roman" w:hAnsi="Century Gothic" w:cs="Segoe UI"/>
          <w: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b/>
        </w:rPr>
        <w:t xml:space="preserve">PROBLEMÁTICA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Para una política de educación superior inclusiva, las principales barreras para la</w:t>
      </w:r>
      <w:r>
        <w:rPr>
          <w:rFonts w:ascii="Century Gothic" w:eastAsia="Times New Roman" w:hAnsi="Century Gothic" w:cs="Segoe UI"/>
        </w:rPr>
        <w:t>s</w:t>
      </w:r>
      <w:r w:rsidRPr="0089296B">
        <w:rPr>
          <w:rFonts w:ascii="Century Gothic" w:eastAsia="Times New Roman" w:hAnsi="Century Gothic" w:cs="Segoe UI"/>
        </w:rPr>
        <w:t xml:space="preserve"> </w:t>
      </w:r>
      <w:r>
        <w:rPr>
          <w:rFonts w:ascii="Century Gothic" w:eastAsia="Times New Roman" w:hAnsi="Century Gothic" w:cs="Segoe UI"/>
        </w:rPr>
        <w:t xml:space="preserve">personas en condición de discapacidad </w:t>
      </w:r>
      <w:r w:rsidRPr="0089296B">
        <w:rPr>
          <w:rFonts w:ascii="Century Gothic" w:eastAsia="Times New Roman" w:hAnsi="Century Gothic" w:cs="Segoe UI"/>
        </w:rPr>
        <w:t xml:space="preserve">son principalmente: el acceso a información crediticia insuficiente, pruebas de admisión y pruebas de Estado inadecuadas, ausencia de pedagogías desde la educación media, avances mínimos en la solución de las barreras arquitectónicas, sobrecarga presupuestal para contratar servicios de interpretación y monitores, oferta insuficiente de personal capacitado, escasa oferta académica, escaso acceso a modalidades de educación con uso de TIC, insuficiente investigación sobre las problemáticas de inclusión, débil calidad de los programas de formación de intérpretes, condiciones pedagógicas inadecuadas.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Además se evidencia l</w:t>
      </w:r>
      <w:r w:rsidRPr="0089296B">
        <w:rPr>
          <w:rFonts w:ascii="Century Gothic" w:eastAsia="Times New Roman" w:hAnsi="Century Gothic" w:cs="Segoe UI"/>
        </w:rPr>
        <w:t>a falta de capacitación docente para atender a la</w:t>
      </w:r>
      <w:r>
        <w:rPr>
          <w:rFonts w:ascii="Century Gothic" w:eastAsia="Times New Roman" w:hAnsi="Century Gothic" w:cs="Segoe UI"/>
        </w:rPr>
        <w:t xml:space="preserve">s personas en condición de </w:t>
      </w:r>
      <w:proofErr w:type="gramStart"/>
      <w:r>
        <w:rPr>
          <w:rFonts w:ascii="Century Gothic" w:eastAsia="Times New Roman" w:hAnsi="Century Gothic" w:cs="Segoe UI"/>
        </w:rPr>
        <w:t>discapacidad</w:t>
      </w:r>
      <w:r w:rsidRPr="0089296B">
        <w:rPr>
          <w:rFonts w:ascii="Century Gothic" w:eastAsia="Times New Roman" w:hAnsi="Century Gothic" w:cs="Segoe UI"/>
        </w:rPr>
        <w:t xml:space="preserve">, </w:t>
      </w:r>
      <w:r>
        <w:rPr>
          <w:rFonts w:ascii="Century Gothic" w:eastAsia="Times New Roman" w:hAnsi="Century Gothic" w:cs="Segoe UI"/>
        </w:rPr>
        <w:t xml:space="preserve"> lo</w:t>
      </w:r>
      <w:proofErr w:type="gramEnd"/>
      <w:r>
        <w:rPr>
          <w:rFonts w:ascii="Century Gothic" w:eastAsia="Times New Roman" w:hAnsi="Century Gothic" w:cs="Segoe UI"/>
        </w:rPr>
        <w:t xml:space="preserve"> cual se presenta </w:t>
      </w:r>
      <w:r w:rsidRPr="0089296B">
        <w:rPr>
          <w:rFonts w:ascii="Century Gothic" w:eastAsia="Times New Roman" w:hAnsi="Century Gothic" w:cs="Segoe UI"/>
        </w:rPr>
        <w:t>un desconocimiento en estrategias para atender a esta población</w:t>
      </w:r>
      <w:r>
        <w:rPr>
          <w:rFonts w:ascii="Century Gothic" w:eastAsia="Times New Roman" w:hAnsi="Century Gothic" w:cs="Segoe UI"/>
        </w:rPr>
        <w:t xml:space="preserve">. En </w:t>
      </w:r>
      <w:r w:rsidRPr="0089296B">
        <w:rPr>
          <w:rFonts w:ascii="Century Gothic" w:eastAsia="Times New Roman" w:hAnsi="Century Gothic" w:cs="Segoe UI"/>
        </w:rPr>
        <w:t xml:space="preserve">una encuesta aplicada en Bogotá arrojó que solo el 28,9 % de ellos se sentían preparados para educar estudiantes con discapacidad física y solo el 19,6 % para atender alumnos con discapacidades sensoriales o mentales. Por esto, </w:t>
      </w:r>
      <w:r>
        <w:rPr>
          <w:rFonts w:ascii="Century Gothic" w:eastAsia="Times New Roman" w:hAnsi="Century Gothic" w:cs="Segoe UI"/>
        </w:rPr>
        <w:t xml:space="preserve">se plantea </w:t>
      </w:r>
      <w:r w:rsidRPr="0089296B">
        <w:rPr>
          <w:rFonts w:ascii="Century Gothic" w:eastAsia="Times New Roman" w:hAnsi="Century Gothic" w:cs="Segoe UI"/>
        </w:rPr>
        <w:t>que es un reto establecer políticas para esto: estrategias pedagógicas, adaptaciones curriculares, programas culturales y deportivos incluyentes y estrategias de comunicación y sensibilización en las I</w:t>
      </w:r>
      <w:r>
        <w:rPr>
          <w:rFonts w:ascii="Century Gothic" w:eastAsia="Times New Roman" w:hAnsi="Century Gothic" w:cs="Segoe UI"/>
        </w:rPr>
        <w:t>nstituciones de Educación Superior</w:t>
      </w:r>
      <w:r w:rsidRPr="0089296B">
        <w:rPr>
          <w:rFonts w:ascii="Century Gothic" w:eastAsia="Times New Roman" w:hAnsi="Century Gothic" w:cs="Segoe UI"/>
        </w:rPr>
        <w:t xml:space="preserve">.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De los avances registrados de los últimos años en la educación superior</w:t>
      </w:r>
      <w:r>
        <w:rPr>
          <w:rFonts w:ascii="Century Gothic" w:eastAsia="Times New Roman" w:hAnsi="Century Gothic" w:cs="Segoe UI"/>
        </w:rPr>
        <w:t>,</w:t>
      </w:r>
      <w:r w:rsidRPr="0089296B">
        <w:rPr>
          <w:rFonts w:ascii="Century Gothic" w:eastAsia="Times New Roman" w:hAnsi="Century Gothic" w:cs="Segoe UI"/>
        </w:rPr>
        <w:t xml:space="preserve"> se evidencian grandes retos para los actores del sistema educativo nacional, como antecedente se hace importante destacar que en el plan sectorial de educación 2010-2014 se priorizo la educación de calidad como el camino para la prosperidad </w:t>
      </w:r>
      <w:r w:rsidRPr="0089296B">
        <w:rPr>
          <w:rFonts w:ascii="Century Gothic" w:eastAsia="Times New Roman" w:hAnsi="Century Gothic" w:cs="Segoe UI"/>
        </w:rPr>
        <w:lastRenderedPageBreak/>
        <w:t>en razón a la amplia relación entre los procesos educativos del país como el crecimiento la productividad, la competitividad y la disminución de la pobreza e inequidad.</w:t>
      </w:r>
      <w:r>
        <w:rPr>
          <w:rFonts w:ascii="Century Gothic" w:eastAsia="Times New Roman" w:hAnsi="Century Gothic" w:cs="Segoe UI"/>
        </w:rPr>
        <w:t xml:space="preserve"> </w:t>
      </w:r>
      <w:r w:rsidRPr="0089296B">
        <w:rPr>
          <w:rFonts w:ascii="Century Gothic" w:eastAsia="Times New Roman" w:hAnsi="Century Gothic" w:cs="Segoe UI"/>
        </w:rPr>
        <w:t>En esta vía, se defin</w:t>
      </w:r>
      <w:r>
        <w:rPr>
          <w:rFonts w:ascii="Century Gothic" w:eastAsia="Times New Roman" w:hAnsi="Century Gothic" w:cs="Segoe UI"/>
        </w:rPr>
        <w:t>ió</w:t>
      </w:r>
      <w:r w:rsidRPr="0089296B">
        <w:rPr>
          <w:rFonts w:ascii="Century Gothic" w:eastAsia="Times New Roman" w:hAnsi="Century Gothic" w:cs="Segoe UI"/>
        </w:rPr>
        <w:t xml:space="preserve"> dentro de los énfasis de política educativa la necesidad de reducir las brechas existentes entre las poblaciones, las regiones y las instituciones y prestar</w:t>
      </w:r>
      <w:r>
        <w:rPr>
          <w:rFonts w:ascii="Century Gothic" w:eastAsia="Times New Roman" w:hAnsi="Century Gothic" w:cs="Segoe UI"/>
        </w:rPr>
        <w:t xml:space="preserve"> </w:t>
      </w:r>
      <w:r w:rsidRPr="0089296B">
        <w:rPr>
          <w:rFonts w:ascii="Century Gothic" w:eastAsia="Times New Roman" w:hAnsi="Century Gothic" w:cs="Segoe UI"/>
        </w:rPr>
        <w:t xml:space="preserve">por parte del Estado el acceso a educación superior pública gratuita para este colectivo poblacional.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Teniendo en cuenta la relación que existe entre pobreza y discapacida</w:t>
      </w:r>
      <w:r>
        <w:rPr>
          <w:rFonts w:ascii="Century Gothic" w:eastAsia="Times New Roman" w:hAnsi="Century Gothic" w:cs="Segoe UI"/>
        </w:rPr>
        <w:t>d,</w:t>
      </w:r>
      <w:r w:rsidRPr="0089296B">
        <w:rPr>
          <w:rFonts w:ascii="Century Gothic" w:eastAsia="Times New Roman" w:hAnsi="Century Gothic" w:cs="Segoe UI"/>
        </w:rPr>
        <w:t xml:space="preserve"> debido a las dificultades para acceder a oportunidades laborales se evidencia que el porcentaje de personas en situación de discapacidad en la población calificada como pobre es cerca del doble de ese porcentaje en la población total del país</w:t>
      </w:r>
      <w:r>
        <w:rPr>
          <w:rFonts w:ascii="Century Gothic" w:eastAsia="Times New Roman" w:hAnsi="Century Gothic" w:cs="Segoe UI"/>
        </w:rPr>
        <w:t>. A</w:t>
      </w:r>
      <w:r w:rsidRPr="0089296B">
        <w:rPr>
          <w:rFonts w:ascii="Century Gothic" w:eastAsia="Times New Roman" w:hAnsi="Century Gothic" w:cs="Segoe UI"/>
        </w:rPr>
        <w:t xml:space="preserve"> su vez también las personas en situación de discapacidad viven con menos de un salario mínimo mensual legal vigente (SMMLV), pertenecen a los estratos más bajos, no tienen trabajo, tienen baja escolaridad, necesitan rehabilitación para el trabajo y </w:t>
      </w:r>
      <w:r>
        <w:rPr>
          <w:rFonts w:ascii="Century Gothic" w:eastAsia="Times New Roman" w:hAnsi="Century Gothic" w:cs="Segoe UI"/>
        </w:rPr>
        <w:t xml:space="preserve">en ocasiones </w:t>
      </w:r>
      <w:r w:rsidRPr="0089296B">
        <w:rPr>
          <w:rFonts w:ascii="Century Gothic" w:eastAsia="Times New Roman" w:hAnsi="Century Gothic" w:cs="Segoe UI"/>
        </w:rPr>
        <w:t xml:space="preserve">no tienen afiliación en salud. En adición, existe una diferencia porcentual por género, caso en el cual las mujeres parecen constituir un grupo con mayor vulnerabilidad.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Pr="000A3642" w:rsidRDefault="00B3015A" w:rsidP="00B3015A">
      <w:pPr>
        <w:shd w:val="clear" w:color="auto" w:fill="FFFFFF"/>
        <w:spacing w:line="240" w:lineRule="auto"/>
        <w:jc w:val="both"/>
        <w:textAlignment w:val="baseline"/>
        <w:rPr>
          <w:rFonts w:ascii="Century Gothic" w:eastAsia="Times New Roman" w:hAnsi="Century Gothic" w:cs="Segoe UI"/>
          <w:b/>
        </w:rPr>
      </w:pPr>
      <w:r w:rsidRPr="000A3642">
        <w:rPr>
          <w:rFonts w:ascii="Century Gothic" w:eastAsia="Times New Roman" w:hAnsi="Century Gothic" w:cs="Segoe UI"/>
          <w:b/>
        </w:rPr>
        <w:t xml:space="preserve">INCIDENCIA DE LA LEY 1618 DE 2013 EN PROCESOS DE GARANTÍA DEL DERECHO A LA EDUCACIÓN INCLUSIVA.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Con la información encontrada en el reporte del DANE, se puede establecer que la problemática de educación en todas sus modalidades para niños, niñas, adolescentes y adultos con necesidades educativas especiales, es muy profunda, con la implementación de la Ley de Inclusión 1618 de 2013 se propiciaron espacios en los que las escuelas están obligadas a matricular y garantizar el derecho a la educación de todos los niños y jóvenes con barreras para el aprendizaje</w:t>
      </w:r>
      <w:r>
        <w:rPr>
          <w:rFonts w:ascii="Century Gothic" w:eastAsia="Times New Roman" w:hAnsi="Century Gothic" w:cs="Segoe UI"/>
        </w:rPr>
        <w:t>.</w:t>
      </w:r>
      <w:r w:rsidRPr="0089296B">
        <w:rPr>
          <w:rFonts w:ascii="Century Gothic" w:eastAsia="Times New Roman" w:hAnsi="Century Gothic" w:cs="Segoe UI"/>
        </w:rPr>
        <w:t xml:space="preserve"> </w:t>
      </w:r>
      <w:r>
        <w:rPr>
          <w:rFonts w:ascii="Century Gothic" w:eastAsia="Times New Roman" w:hAnsi="Century Gothic" w:cs="Segoe UI"/>
        </w:rPr>
        <w:t>P</w:t>
      </w:r>
      <w:r w:rsidRPr="0089296B">
        <w:rPr>
          <w:rFonts w:ascii="Century Gothic" w:eastAsia="Times New Roman" w:hAnsi="Century Gothic" w:cs="Segoe UI"/>
        </w:rPr>
        <w:t xml:space="preserve">or ende, el maestro revierta sus paradigmas y asuma la tarea de manera impositiva sin haber sido preparado para ello, en este punto se inicia la problemática, toda vez que son cargas en las cuales no se tiene un presupuesto designado para una efectiva capacitación.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De la misma manera, las herramientas metodológicas y físicas que posee son pocas, el contexto social y familiar no es el apropiado para que la familia asuma la tarea junto con la institución educativa donde en ocasiones, la misma familia no acepta las limitaciones de sus hijos. En la actualidad en Colombia, hay más de 2 millones de habitantes con limitaciones físicas, mentales, sensoriales o múltiples; como consecuencia de la implementación de la ley 1618 de 2013 se deben buscar mecanismos para el acceso efectivo a la educación superior; en donde prevalezcan los siguientes aspectos: </w:t>
      </w: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Educación inclusiva en todas modalidades por todos ciclos de vida con articulación y pertinencia al mercado laboral. </w:t>
      </w:r>
    </w:p>
    <w:p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Formación de docentes. </w:t>
      </w: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lastRenderedPageBreak/>
        <w:t>• Oferta territorial e implementación del Decreto 1421 de 2017.</w:t>
      </w: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C84B3A">
        <w:rPr>
          <w:rFonts w:ascii="Century Gothic" w:eastAsia="Times New Roman" w:hAnsi="Century Gothic" w:cs="Segoe UI"/>
        </w:rPr>
        <w:t xml:space="preserve">• Inclusión educativa para la productividad y desarrollo social y comunitario. </w:t>
      </w:r>
    </w:p>
    <w:p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rsidR="00B3015A" w:rsidRPr="0089296B" w:rsidRDefault="00B3015A" w:rsidP="00B3015A">
      <w:pPr>
        <w:shd w:val="clear" w:color="auto" w:fill="FFFFFF"/>
        <w:spacing w:line="240" w:lineRule="auto"/>
        <w:jc w:val="both"/>
        <w:textAlignment w:val="baseline"/>
        <w:rPr>
          <w:rFonts w:ascii="Century Gothic" w:eastAsia="Times New Roman" w:hAnsi="Century Gothic" w:cs="Segoe UI"/>
        </w:rPr>
      </w:pPr>
      <w:r w:rsidRPr="00C84B3A">
        <w:rPr>
          <w:rFonts w:ascii="Century Gothic" w:eastAsia="Times New Roman" w:hAnsi="Century Gothic" w:cs="Segoe UI"/>
        </w:rPr>
        <w:t>En conclusión con la presente iniciativa legislativa se debe garantizar el acceso a programas de educación gratuita en todos los niveles y sin importar la edad, con oferta de educación presencial o virtual para dirigido a familias y/o cuidadores de personas con discapacidad y/o con condición de educación especial y articulada con programas de inclusión socio laboral para esta misma población, las anteriores acciones en cabeza del Ministerio de Educación Nacional, Secretarías de Educación, Instituciones Educativas Públicas, SENA, Cajas de Compensación, Universidades.</w:t>
      </w:r>
    </w:p>
    <w:p w:rsidR="00B3015A" w:rsidRPr="0089296B" w:rsidRDefault="00B3015A" w:rsidP="00B3015A">
      <w:pPr>
        <w:shd w:val="clear" w:color="auto" w:fill="FFFFFF"/>
        <w:spacing w:line="240" w:lineRule="auto"/>
        <w:jc w:val="both"/>
        <w:textAlignment w:val="baseline"/>
        <w:rPr>
          <w:rFonts w:ascii="Century Gothic" w:eastAsia="Times New Roman" w:hAnsi="Century Gothic" w:cs="Segoe UI"/>
        </w:rPr>
      </w:pPr>
    </w:p>
    <w:p w:rsidR="00B3015A" w:rsidRDefault="00B3015A" w:rsidP="00B3015A">
      <w:pPr>
        <w:shd w:val="clear" w:color="auto" w:fill="FFFFFF"/>
        <w:spacing w:line="240" w:lineRule="auto"/>
        <w:jc w:val="both"/>
        <w:textAlignment w:val="baseline"/>
        <w:rPr>
          <w:rFonts w:ascii="Century Gothic" w:eastAsia="Times New Roman" w:hAnsi="Century Gothic" w:cs="Segoe UI"/>
        </w:rPr>
      </w:pPr>
    </w:p>
    <w:p w:rsidR="00F90D38" w:rsidRPr="006C3EB3" w:rsidRDefault="00F90D38" w:rsidP="00A33083">
      <w:pPr>
        <w:pBdr>
          <w:top w:val="nil"/>
          <w:left w:val="nil"/>
          <w:bottom w:val="nil"/>
          <w:right w:val="nil"/>
          <w:between w:val="nil"/>
        </w:pBdr>
        <w:jc w:val="both"/>
        <w:rPr>
          <w:rFonts w:ascii="Century Gothic" w:eastAsia="Century Gothic" w:hAnsi="Century Gothic" w:cs="Century Gothic"/>
          <w:color w:val="000000" w:themeColor="text1"/>
          <w:lang w:val="es-MX"/>
        </w:rPr>
      </w:pPr>
    </w:p>
    <w:p w:rsidR="00F90D38" w:rsidRPr="00A33083" w:rsidRDefault="00F90D38" w:rsidP="00A33083">
      <w:pPr>
        <w:pBdr>
          <w:top w:val="nil"/>
          <w:left w:val="nil"/>
          <w:bottom w:val="nil"/>
          <w:right w:val="nil"/>
          <w:between w:val="nil"/>
        </w:pBdr>
        <w:jc w:val="both"/>
        <w:rPr>
          <w:rStyle w:val="Ninguno"/>
          <w:rFonts w:ascii="Century Gothic" w:eastAsia="Century Gothic" w:hAnsi="Century Gothic" w:cs="Century Gothic"/>
          <w:color w:val="000000" w:themeColor="text1"/>
          <w:lang w:val="es-CO"/>
        </w:rPr>
      </w:pPr>
      <w:r>
        <w:rPr>
          <w:rFonts w:ascii="Century Gothic" w:eastAsia="Century Gothic" w:hAnsi="Century Gothic" w:cs="Century Gothic"/>
          <w:color w:val="000000" w:themeColor="text1"/>
        </w:rPr>
        <w:t>Cordialmente,</w:t>
      </w:r>
    </w:p>
    <w:p w:rsidR="00A33083" w:rsidRDefault="00F90D38" w:rsidP="00F90D38">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1">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JUAN CARLOS WILLS OSPINA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2">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E1C1D" w:rsidRDefault="005E1C1D" w:rsidP="005E1C1D">
      <w:pPr>
        <w:shd w:val="clear" w:color="auto" w:fill="FFFFFF"/>
        <w:spacing w:after="270"/>
        <w:jc w:val="both"/>
        <w:rPr>
          <w:rFonts w:ascii="Century Gothic" w:eastAsia="Century Gothic" w:hAnsi="Century Gothic" w:cs="Century Gothic"/>
          <w:color w:val="000000" w:themeColor="text1"/>
        </w:rPr>
      </w:pPr>
    </w:p>
    <w:p w:rsidR="00B3015A" w:rsidRDefault="00B3015A" w:rsidP="00EB1FB2">
      <w:pPr>
        <w:rPr>
          <w:rFonts w:ascii="Century Gothic" w:eastAsia="Century Gothic" w:hAnsi="Century Gothic" w:cs="Century Gothic"/>
          <w:color w:val="000000" w:themeColor="text1"/>
        </w:rPr>
      </w:pPr>
    </w:p>
    <w:p w:rsidR="00B3015A" w:rsidRDefault="00B3015A" w:rsidP="00EB1FB2">
      <w:pPr>
        <w:rPr>
          <w:rFonts w:ascii="Century Gothic" w:eastAsia="Century Gothic" w:hAnsi="Century Gothic" w:cs="Century Gothic"/>
          <w:color w:val="000000" w:themeColor="text1"/>
        </w:rPr>
      </w:pPr>
    </w:p>
    <w:p w:rsidR="008D5693" w:rsidRDefault="008D5693" w:rsidP="00EB1FB2">
      <w:pPr>
        <w:rPr>
          <w:rFonts w:ascii="Century Gothic" w:eastAsia="Century Gothic" w:hAnsi="Century Gothic" w:cs="Century Gothic"/>
          <w:color w:val="000000" w:themeColor="text1"/>
        </w:rPr>
      </w:pPr>
    </w:p>
    <w:p w:rsidR="008D5693" w:rsidRPr="00252BED" w:rsidRDefault="00193FA6"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252BED">
        <w:rPr>
          <w:rFonts w:ascii="Century Gothic" w:eastAsia="Century Gothic" w:hAnsi="Century Gothic" w:cs="Century Gothic"/>
          <w:color w:val="000000" w:themeColor="text1"/>
        </w:rPr>
        <w:lastRenderedPageBreak/>
        <w:t xml:space="preserve">     </w:t>
      </w:r>
      <w:r w:rsidR="008D5693" w:rsidRPr="00252BED">
        <w:rPr>
          <w:rFonts w:ascii="Century Gothic" w:eastAsia="Century Gothic" w:hAnsi="Century Gothic" w:cs="Century Gothic"/>
          <w:b/>
          <w:color w:val="000000" w:themeColor="text1"/>
        </w:rPr>
        <w:t>PROYECTO DE LEY</w:t>
      </w:r>
      <w:r w:rsidR="00B3015A">
        <w:rPr>
          <w:rFonts w:ascii="Century Gothic" w:eastAsia="Century Gothic" w:hAnsi="Century Gothic" w:cs="Century Gothic"/>
          <w:b/>
          <w:color w:val="000000" w:themeColor="text1"/>
        </w:rPr>
        <w:t xml:space="preserve"> ESTATUTARIA</w:t>
      </w:r>
      <w:r w:rsidR="008D5693" w:rsidRPr="00252BED">
        <w:rPr>
          <w:rFonts w:ascii="Century Gothic" w:eastAsia="Century Gothic" w:hAnsi="Century Gothic" w:cs="Century Gothic"/>
          <w:b/>
          <w:color w:val="000000" w:themeColor="text1"/>
        </w:rPr>
        <w:t xml:space="preserve"> </w:t>
      </w:r>
      <w:r w:rsidR="00A33083">
        <w:rPr>
          <w:rFonts w:ascii="Century Gothic" w:eastAsia="Century Gothic" w:hAnsi="Century Gothic" w:cs="Century Gothic"/>
          <w:b/>
          <w:color w:val="000000" w:themeColor="text1"/>
        </w:rPr>
        <w:t>___</w:t>
      </w:r>
      <w:r w:rsidR="008D5693" w:rsidRPr="00252BED">
        <w:rPr>
          <w:rFonts w:ascii="Century Gothic" w:eastAsia="Century Gothic" w:hAnsi="Century Gothic" w:cs="Century Gothic"/>
          <w:b/>
          <w:color w:val="000000" w:themeColor="text1"/>
        </w:rPr>
        <w:t xml:space="preserve"> DE 2021 CÁMARA</w:t>
      </w:r>
    </w:p>
    <w:p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rsidR="00B3015A" w:rsidRDefault="0009171D" w:rsidP="0009171D">
      <w:pPr>
        <w:shd w:val="clear" w:color="auto" w:fill="FFFFFF"/>
        <w:spacing w:line="240" w:lineRule="auto"/>
        <w:jc w:val="center"/>
        <w:textAlignment w:val="baseline"/>
        <w:rPr>
          <w:rFonts w:ascii="Century Gothic" w:eastAsia="Times New Roman" w:hAnsi="Century Gothic" w:cs="Segoe UI"/>
          <w:b/>
          <w:color w:val="000000"/>
        </w:rPr>
      </w:pPr>
      <w:r w:rsidRPr="0009171D">
        <w:rPr>
          <w:rFonts w:ascii="Century Gothic" w:eastAsia="Times New Roman" w:hAnsi="Century Gothic" w:cs="Segoe UI"/>
          <w:b/>
          <w:color w:val="000000"/>
        </w:rPr>
        <w:t>“POR MEDIO DE LA CUAL SE PROMUEVE EL ACCESO A LA EDUCACIÓN SUPERIOR PÚBLICA GRATUITA A LAS PERSONAS EN CONDICIONES DE DISCAPACIDAD</w:t>
      </w:r>
      <w:r>
        <w:rPr>
          <w:rFonts w:ascii="Century Gothic" w:eastAsia="Times New Roman" w:hAnsi="Century Gothic" w:cs="Segoe UI"/>
          <w:b/>
          <w:color w:val="000000"/>
        </w:rPr>
        <w:t>”</w:t>
      </w:r>
    </w:p>
    <w:p w:rsidR="0009171D" w:rsidRPr="00B75EED" w:rsidRDefault="0009171D" w:rsidP="0009171D">
      <w:pPr>
        <w:shd w:val="clear" w:color="auto" w:fill="FFFFFF"/>
        <w:spacing w:line="240" w:lineRule="auto"/>
        <w:jc w:val="center"/>
        <w:textAlignment w:val="baseline"/>
        <w:rPr>
          <w:rFonts w:ascii="Century Gothic" w:eastAsia="Times New Roman" w:hAnsi="Century Gothic" w:cs="Segoe UI"/>
        </w:rPr>
      </w:pPr>
    </w:p>
    <w:p w:rsidR="00B3015A" w:rsidRDefault="00B3015A" w:rsidP="00B3015A">
      <w:pPr>
        <w:shd w:val="clear" w:color="auto" w:fill="FFFFFF"/>
        <w:spacing w:line="240" w:lineRule="auto"/>
        <w:jc w:val="center"/>
        <w:textAlignment w:val="baseline"/>
        <w:rPr>
          <w:rFonts w:ascii="Century Gothic" w:eastAsia="Times New Roman" w:hAnsi="Century Gothic" w:cs="Segoe UI"/>
          <w:b/>
          <w:bCs/>
          <w:color w:val="000000"/>
        </w:rPr>
      </w:pPr>
      <w:r w:rsidRPr="00B75EED">
        <w:rPr>
          <w:rFonts w:ascii="Century Gothic" w:eastAsia="Times New Roman" w:hAnsi="Century Gothic" w:cs="Segoe UI"/>
          <w:b/>
          <w:bCs/>
          <w:color w:val="000000"/>
        </w:rPr>
        <w:t xml:space="preserve">EL CONGRESO </w:t>
      </w:r>
      <w:r>
        <w:rPr>
          <w:rFonts w:ascii="Century Gothic" w:eastAsia="Times New Roman" w:hAnsi="Century Gothic" w:cs="Segoe UI"/>
          <w:b/>
          <w:bCs/>
          <w:color w:val="000000"/>
        </w:rPr>
        <w:t>DE COLOMBIA</w:t>
      </w:r>
    </w:p>
    <w:p w:rsidR="00B3015A" w:rsidRDefault="00B3015A" w:rsidP="00B3015A">
      <w:pPr>
        <w:shd w:val="clear" w:color="auto" w:fill="FFFFFF"/>
        <w:spacing w:line="240" w:lineRule="auto"/>
        <w:jc w:val="center"/>
        <w:textAlignment w:val="baseline"/>
        <w:rPr>
          <w:rFonts w:ascii="Century Gothic" w:eastAsia="Times New Roman" w:hAnsi="Century Gothic" w:cs="Segoe UI"/>
          <w:b/>
          <w:bCs/>
          <w:color w:val="000000"/>
        </w:rPr>
      </w:pPr>
    </w:p>
    <w:p w:rsidR="00B3015A" w:rsidRDefault="00B3015A" w:rsidP="00B3015A">
      <w:pPr>
        <w:shd w:val="clear" w:color="auto" w:fill="FFFFFF"/>
        <w:spacing w:line="240" w:lineRule="auto"/>
        <w:jc w:val="center"/>
        <w:textAlignment w:val="baseline"/>
        <w:rPr>
          <w:rFonts w:ascii="Century Gothic" w:eastAsia="Times New Roman" w:hAnsi="Century Gothic" w:cs="Segoe UI"/>
          <w:b/>
          <w:bCs/>
          <w:color w:val="000000"/>
        </w:rPr>
      </w:pPr>
    </w:p>
    <w:p w:rsidR="00B3015A" w:rsidRPr="00B3015A" w:rsidRDefault="00B3015A" w:rsidP="00B3015A">
      <w:pPr>
        <w:shd w:val="clear" w:color="auto" w:fill="FFFFFF"/>
        <w:spacing w:line="240" w:lineRule="auto"/>
        <w:jc w:val="center"/>
        <w:textAlignment w:val="baseline"/>
        <w:rPr>
          <w:rFonts w:ascii="Century Gothic" w:eastAsia="Times New Roman" w:hAnsi="Century Gothic" w:cs="Segoe UI"/>
          <w:b/>
          <w:bCs/>
          <w:color w:val="000000"/>
        </w:rPr>
      </w:pPr>
      <w:r w:rsidRPr="00B75EED">
        <w:rPr>
          <w:rFonts w:ascii="Century Gothic" w:eastAsia="Times New Roman" w:hAnsi="Century Gothic" w:cs="Segoe UI"/>
          <w:b/>
          <w:bCs/>
          <w:color w:val="000000"/>
        </w:rPr>
        <w:t>DECRETA</w:t>
      </w:r>
      <w:r>
        <w:rPr>
          <w:rFonts w:ascii="Century Gothic" w:eastAsia="Times New Roman" w:hAnsi="Century Gothic" w:cs="Segoe UI"/>
        </w:rPr>
        <w:t>:</w:t>
      </w:r>
    </w:p>
    <w:p w:rsidR="00B3015A" w:rsidRPr="00B75EED" w:rsidRDefault="00B3015A" w:rsidP="00B3015A">
      <w:pPr>
        <w:shd w:val="clear" w:color="auto" w:fill="FFFFFF"/>
        <w:spacing w:line="240" w:lineRule="auto"/>
        <w:jc w:val="both"/>
        <w:textAlignment w:val="baseline"/>
        <w:rPr>
          <w:rFonts w:ascii="Century Gothic" w:eastAsia="Times New Roman" w:hAnsi="Century Gothic" w:cs="Times New Roman"/>
          <w:lang w:val="es-ES_tradnl"/>
        </w:rPr>
      </w:pPr>
      <w:r w:rsidRPr="00B75EED">
        <w:rPr>
          <w:rFonts w:ascii="Century Gothic" w:eastAsia="Times New Roman" w:hAnsi="Century Gothic" w:cs="Segoe UI"/>
        </w:rPr>
        <w:t> </w:t>
      </w:r>
    </w:p>
    <w:p w:rsidR="00B3015A" w:rsidRDefault="00B3015A" w:rsidP="00B3015A">
      <w:pPr>
        <w:jc w:val="both"/>
        <w:rPr>
          <w:rFonts w:ascii="Century Gothic" w:hAnsi="Century Gothic"/>
          <w:b/>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ARTÍCULO </w:t>
      </w:r>
      <w:r>
        <w:rPr>
          <w:rFonts w:ascii="Century Gothic" w:hAnsi="Century Gothic"/>
          <w:b/>
          <w:color w:val="0D0D0D" w:themeColor="text1" w:themeTint="F2"/>
        </w:rPr>
        <w:t>1°</w:t>
      </w:r>
      <w:r w:rsidRPr="000A3642">
        <w:rPr>
          <w:rFonts w:ascii="Century Gothic" w:hAnsi="Century Gothic"/>
          <w:b/>
          <w:color w:val="0D0D0D" w:themeColor="text1" w:themeTint="F2"/>
        </w:rPr>
        <w:t xml:space="preserve">: </w:t>
      </w:r>
      <w:r w:rsidRPr="000A3642">
        <w:rPr>
          <w:rFonts w:ascii="Century Gothic" w:hAnsi="Century Gothic"/>
          <w:color w:val="0D0D0D" w:themeColor="text1" w:themeTint="F2"/>
        </w:rPr>
        <w:t xml:space="preserve">Atención educativa especial. Son objeto de atención educativa especial las personas con los siguientes diagnósticos: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1. Limitación o disfunción auditiva.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2. Pérdida parcial o completa de la visión.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3. Limitaciones de movilidad y/o personas en condición de movilidad reducida.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4. Las discapacidades múltiples entendidas como la presencia combinada de varias discapacidades de nivel intelectual, auditivo, visual y motor, parálisis cerebral, epilepsia, escoliosis, autismo, hidrocefalia, y problemas conductuales.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5. Problemas Específicos aprendizaje</w:t>
      </w:r>
      <w:r>
        <w:rPr>
          <w:rFonts w:ascii="Century Gothic" w:hAnsi="Century Gothic"/>
          <w:color w:val="0D0D0D" w:themeColor="text1" w:themeTint="F2"/>
        </w:rPr>
        <w:t>.</w:t>
      </w:r>
    </w:p>
    <w:p w:rsidR="00B3015A" w:rsidRDefault="00B3015A" w:rsidP="00B3015A">
      <w:pPr>
        <w:jc w:val="both"/>
        <w:rPr>
          <w:rFonts w:ascii="Century Gothic" w:hAnsi="Century Gothic"/>
          <w:b/>
          <w:color w:val="0D0D0D" w:themeColor="text1" w:themeTint="F2"/>
        </w:rPr>
      </w:pPr>
    </w:p>
    <w:p w:rsidR="00B3015A" w:rsidRDefault="00B3015A" w:rsidP="00B3015A">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ARTICULO 2º. </w:t>
      </w:r>
      <w:r w:rsidRPr="000A3642">
        <w:rPr>
          <w:rFonts w:ascii="Century Gothic" w:hAnsi="Century Gothic"/>
          <w:color w:val="0D0D0D" w:themeColor="text1" w:themeTint="F2"/>
        </w:rPr>
        <w:t>Modifíquese el Artículo 11 de la Ley 1618 de 2013, el cual quedará así:</w:t>
      </w:r>
    </w:p>
    <w:p w:rsidR="00B3015A" w:rsidRPr="000A3642" w:rsidRDefault="00B3015A" w:rsidP="00B3015A">
      <w:pPr>
        <w:jc w:val="both"/>
        <w:rPr>
          <w:rFonts w:ascii="Century Gothic" w:hAnsi="Century Gothic"/>
          <w:b/>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ARTÍCULO 11. DERECHO A LA EDUCACIÓN. </w:t>
      </w:r>
      <w:r w:rsidRPr="000A3642">
        <w:rPr>
          <w:rFonts w:ascii="Century Gothic" w:hAnsi="Century Gothic"/>
          <w:color w:val="0D0D0D" w:themeColor="text1" w:themeTint="F2"/>
        </w:rPr>
        <w:t>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1. En consecuencia, el Ministerio de Educación deberá, en lo concerniente a la educación preescolar básica, media y superior Pública en las modalidades de Formación Técnica Profesional, Tecnológica y Superior pública.</w:t>
      </w: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lastRenderedPageBreak/>
        <w:t>a) Crear y promover una cultura de respeto a la diversidad desde la perspectiva de los niños, niñas, jóvenes y adultos con necesidades educativas especiales, como sujetos de derecho, específicamente su reconocimiento e integración en los establecimientos educativos oficiales y privados e instituciones de educación superior;</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Garantizar el derecho de los niños, niñas, jóvenes y adultos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Definir el concepto de acceso y permanencia educativa con calidad para las personas con discapacidad, y los lineamientos en el marco de la inclusión;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Garantizar la asignación de recursos para la atención educativa a las personas con discapacidad y/o con condiciones de educación especial, de conformidad con lo establecido por la o las normas que lo sustituyan;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f) Diseñar en el término de dos (2) años a partir de la entrada en vigencia de la presente Ley un programa intersectorial de desarrollo y asistencia para las familias de los niños, niñas, adolescentes y jóvenes con discapacidad;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Incluir dentro del programa nacional de alfabetización metas claras para la reducción del analfabetismo de jóvenes, adultas y adultos con discapacidad y/o con condición de educación especial, para garantizar su inclusión, teniendo presente la importancia que tiene para la educación de los niños y las niñas que padres y madres sepan leer y escribir;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k) Garantizar la enseñanza primaria gratuita y obligatoria de la educación secundaria, así como asegurar que los jóvenes y adultos con discapacidad y/o con condición de educación especial,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Para garantizar el acceso efectivo de las personas con discapacidad y/o con condición de educación especial, que ingresen a una universidad pública estarán exentos de pago el valor de matrícula establecido por la institución de educación superior pública en las modalidades de Formación Técnica Profesional, Tecnológica y Profesional;</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 2. Las entidades territoriales certificadas en educación deberán: a) Promover una movilización social que reconozca a los niños, jóvenes y adultos con discapacidad como sujetos de la política y no como objeto de la asistencia social. Los niños, niñas, adolescentes y adultos con discapacidad y/o con condición de educación especial, tienen todos los derechos de cualquier ser humano y, además, algunos derechos adicionales establecidos para garantizar su protección;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Fomentar en sus establecimientos educativos una cultura inclusiva de respeto al derecho a una educación de calidad para las personas con discapacidad y/o con condición de educación especial que desarrolle sus competencias básicas y ciudadanas;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Orientar y acompañar a los establecimientos educativos para la identificación de las barreras que impiden el acceso, permanencia y calidad del sistema </w:t>
      </w:r>
      <w:r w:rsidRPr="000A3642">
        <w:rPr>
          <w:rFonts w:ascii="Century Gothic" w:hAnsi="Century Gothic"/>
          <w:color w:val="0D0D0D" w:themeColor="text1" w:themeTint="F2"/>
        </w:rPr>
        <w:lastRenderedPageBreak/>
        <w:t xml:space="preserve">educativo de los niños, niñas, jóvenes y adultos con necesidades educativas especiales de su entorno;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Orientar y acompañar a sus establecimientos educativos para identificar recursos en su entorno y ajustar su organización escolar y su proyecto pedagógico para superar las barreras que impiden el acceso y la permanencia con calidad para las personas con discapacidad y/o con condición de educación especial, en el marco de la inclusión.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Garantizar el adecuado uso de los recursos para la atención educativa a las personas con discapacidad y/o con condición de educación especial y reportar la información sobre uso de dichos recursos, de conformidad con lo dispuesto por el Ministerio de Educación Nacional;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Reportar la información sobre atención educativa a personas con discapacidad y/o con condición de educación especial en el Sistema Nacional de Información de Educación, de conformidad con lo dispuesto por el Ministerio de Educación Nacional;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Fomentar la prevención sobre cualquier caso de exclusión o discriminación de estudiantes con discapacidad y/o con condición de educación especial en los establecimientos educativos estatales y privados;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Proveer los servicios de apoyo educativo necesarios para la inclusión en condiciones de igualdad de las personas con discapacidad y/o con condición de educación especial. Estos servicios incluyen, entre otros: intérpretes, guías-intérpretes, modelos lingüísticos, personal de apoyo, personal en el aula y en la institución.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3. Los establecimientos educativos estatales y privados deberán: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Identificar las barreras que impiden el acceso, la permanencia y el derecho a una educación de calidad a personas con necesidades educativas especiales;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Ajustar los planes de mejoramiento institucionales para la inclusión, a partir del índice de inclusión y de acuerdo con los lineamientos que el Ministerio de Educación Nacional establezca sobre el tema;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Realizar seguimiento a la permanencia educativa de los estudiantes con necesidades educativas especiales y adoptar las medidas pertinentes para garantizar su permanencia escolar;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e) Reportar la información sobre atención educativa a personas con discapacidad en el sistema nacional de información de educación, de conformidad con lo dispuesto por el Ministerio de Educación Nacional;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f) Implementar acciones de prevención sobre cualquier caso de exclusión o discriminación de estudiantes con discapacidad en los establecimientos educativos estatales y privados;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Propender por que el personal docente sea idóneo y suficiente para el desarrollo de los procesos de inclusión social, así como fomentar su formación y capacitación permanente;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Adaptar sus currículos y en general todas las prácticas didácticas, metodológicas y pedagógicas que desarrollen para incluir efectivamente a todas las personas con discapacidad y/o con condición de educación especial.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lastRenderedPageBreak/>
        <w:t xml:space="preserve">4. El Ministerio de Educación Nacional deberá, en relación con la educación superior: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a) Consolidar la política de educación inclusiva y equitativa conforme al artículo 24 de la Convención de Naciones Unidas sobre los Derechos de las Personas con Discapacidad y/o con condición de educación especial, la Ley general de educación y los lineamientos de educación para todos de la Unesco;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y/o con condición de educación especial;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El Ministerio de Educación Nacional acorde con el marco legal vigente, incorporará criterios de inclusión educativa de personas con discapacidad y/o con condición de educación especial y accesibilidad como elementos necesarios dentro de las estrategias, mecanismos e instrumentos de verificación de las condiciones de calidad de la educación superior pública;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e) Incentivar el diseño de programas de formación de docentes regulares, para la inclusión educativa de la diversidad, la flexibilización curricular y en especial, la enseñanza a todas las personas con discapacidad y/o con condición de educación especial, que cumplan con estándares de calidad;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w:t>
      </w:r>
      <w:r w:rsidRPr="000A3642">
        <w:rPr>
          <w:rFonts w:ascii="Century Gothic" w:hAnsi="Century Gothic"/>
          <w:color w:val="0D0D0D" w:themeColor="text1" w:themeTint="F2"/>
        </w:rPr>
        <w:lastRenderedPageBreak/>
        <w:t xml:space="preserve">de personas con discapacidad y/o con condición de educación especial y la accesibilidad en la prestación del servicio educativo de calidad a dicha población;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y/o con condición de educación especial;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Las instituciones de educación superior deberán promover la sensibilización y capacitación de los licenciados y maestros en todas las disciplinas y la inclusión del tema de discapacidad y/o con condición de educación especial en todos los currículos desde un enfoque intersectorial;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rsidR="00B3015A" w:rsidRPr="000A3642" w:rsidRDefault="00B3015A" w:rsidP="00B3015A">
      <w:pPr>
        <w:jc w:val="both"/>
        <w:rPr>
          <w:rFonts w:ascii="Century Gothic" w:hAnsi="Century Gothic"/>
          <w:color w:val="0D0D0D" w:themeColor="text1" w:themeTint="F2"/>
        </w:rPr>
      </w:pP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y/o con condición de educación especial, y con el fin de garantizar un mayor acceso a las oportunidades de aprendizaje, en particular en las zonas rurales, alejadas y desfavorecidas; </w:t>
      </w:r>
    </w:p>
    <w:p w:rsidR="00B3015A" w:rsidRPr="000A3642" w:rsidRDefault="00B3015A" w:rsidP="00B3015A">
      <w:pPr>
        <w:jc w:val="both"/>
        <w:rPr>
          <w:rFonts w:ascii="Century Gothic" w:hAnsi="Century Gothic"/>
          <w:color w:val="0D0D0D" w:themeColor="text1" w:themeTint="F2"/>
        </w:rPr>
      </w:pPr>
      <w:r w:rsidRPr="000A3642">
        <w:rPr>
          <w:rFonts w:ascii="Century Gothic" w:hAnsi="Century Gothic"/>
          <w:color w:val="0D0D0D" w:themeColor="text1" w:themeTint="F2"/>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rsidR="00B3015A" w:rsidRPr="000A3642" w:rsidRDefault="00B3015A" w:rsidP="00B3015A">
      <w:pPr>
        <w:jc w:val="both"/>
        <w:rPr>
          <w:rFonts w:ascii="Century Gothic" w:hAnsi="Century Gothic"/>
          <w:b/>
          <w:color w:val="0D0D0D" w:themeColor="text1" w:themeTint="F2"/>
        </w:rPr>
      </w:pPr>
    </w:p>
    <w:p w:rsidR="00B3015A" w:rsidRPr="000A3642" w:rsidRDefault="00B3015A" w:rsidP="00B3015A">
      <w:pPr>
        <w:jc w:val="both"/>
        <w:rPr>
          <w:rFonts w:ascii="Century Gothic" w:hAnsi="Century Gothic"/>
          <w:b/>
          <w:color w:val="0D0D0D" w:themeColor="text1" w:themeTint="F2"/>
        </w:rPr>
      </w:pPr>
    </w:p>
    <w:p w:rsidR="00B3015A" w:rsidRPr="000A3642" w:rsidRDefault="00B3015A" w:rsidP="00B3015A">
      <w:pPr>
        <w:jc w:val="both"/>
        <w:rPr>
          <w:rFonts w:ascii="Century Gothic" w:hAnsi="Century Gothic"/>
          <w:b/>
          <w:color w:val="0D0D0D" w:themeColor="text1" w:themeTint="F2"/>
        </w:rPr>
      </w:pPr>
      <w:r w:rsidRPr="000A3642">
        <w:rPr>
          <w:rFonts w:ascii="Century Gothic" w:hAnsi="Century Gothic"/>
          <w:b/>
          <w:color w:val="0D0D0D" w:themeColor="text1" w:themeTint="F2"/>
        </w:rPr>
        <w:t>ARTÍCULO</w:t>
      </w:r>
      <w:r>
        <w:rPr>
          <w:rFonts w:ascii="Century Gothic" w:hAnsi="Century Gothic"/>
          <w:b/>
          <w:color w:val="0D0D0D" w:themeColor="text1" w:themeTint="F2"/>
        </w:rPr>
        <w:t xml:space="preserve"> 3</w:t>
      </w:r>
      <w:r w:rsidRPr="000A3642">
        <w:rPr>
          <w:rFonts w:ascii="Century Gothic" w:hAnsi="Century Gothic"/>
          <w:b/>
          <w:color w:val="0D0D0D" w:themeColor="text1" w:themeTint="F2"/>
        </w:rPr>
        <w:t xml:space="preserve">. </w:t>
      </w:r>
      <w:r w:rsidRPr="000A3642">
        <w:rPr>
          <w:rFonts w:ascii="Century Gothic" w:hAnsi="Century Gothic"/>
          <w:color w:val="0D0D0D" w:themeColor="text1" w:themeTint="F2"/>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0A3642">
        <w:rPr>
          <w:rFonts w:ascii="Century Gothic" w:hAnsi="Century Gothic"/>
          <w:b/>
          <w:color w:val="0D0D0D" w:themeColor="text1" w:themeTint="F2"/>
        </w:rPr>
        <w:t xml:space="preserve"> </w:t>
      </w:r>
    </w:p>
    <w:p w:rsidR="00B3015A" w:rsidRPr="000A3642" w:rsidRDefault="00B3015A" w:rsidP="00B3015A">
      <w:pPr>
        <w:jc w:val="both"/>
        <w:rPr>
          <w:rFonts w:ascii="Century Gothic" w:hAnsi="Century Gothic"/>
          <w:b/>
          <w:color w:val="0D0D0D" w:themeColor="text1" w:themeTint="F2"/>
        </w:rPr>
      </w:pPr>
    </w:p>
    <w:p w:rsidR="00B3015A" w:rsidRPr="000A3642" w:rsidRDefault="00B3015A" w:rsidP="00B3015A">
      <w:pPr>
        <w:jc w:val="both"/>
        <w:rPr>
          <w:rFonts w:ascii="Century Gothic" w:hAnsi="Century Gothic"/>
          <w:b/>
          <w:color w:val="0D0D0D" w:themeColor="text1" w:themeTint="F2"/>
        </w:rPr>
      </w:pPr>
      <w:r w:rsidRPr="000A3642">
        <w:rPr>
          <w:rFonts w:ascii="Century Gothic" w:hAnsi="Century Gothic"/>
          <w:b/>
          <w:color w:val="0D0D0D" w:themeColor="text1" w:themeTint="F2"/>
        </w:rPr>
        <w:lastRenderedPageBreak/>
        <w:t>Parágrafo 1.</w:t>
      </w:r>
      <w:r w:rsidRPr="000A3642">
        <w:rPr>
          <w:rFonts w:ascii="Century Gothic" w:hAnsi="Century Gothic"/>
          <w:color w:val="0D0D0D" w:themeColor="text1" w:themeTint="F2"/>
        </w:rPr>
        <w:t xml:space="preserve"> Si la cifra del tres por ciento (3%) de que habla este artículo da como resultado cifras de enteros con decimales, automáticamente este resultado se incrementara a la unidad entera inmediatamente superior.</w:t>
      </w:r>
      <w:r w:rsidRPr="000A3642">
        <w:rPr>
          <w:rFonts w:ascii="Century Gothic" w:hAnsi="Century Gothic"/>
          <w:b/>
          <w:color w:val="0D0D0D" w:themeColor="text1" w:themeTint="F2"/>
        </w:rPr>
        <w:t xml:space="preserve"> </w:t>
      </w:r>
    </w:p>
    <w:p w:rsidR="00B3015A" w:rsidRPr="000A3642" w:rsidRDefault="00B3015A" w:rsidP="00B3015A">
      <w:pPr>
        <w:jc w:val="both"/>
        <w:rPr>
          <w:rFonts w:ascii="Century Gothic" w:hAnsi="Century Gothic"/>
          <w:b/>
          <w:color w:val="0D0D0D" w:themeColor="text1" w:themeTint="F2"/>
        </w:rPr>
      </w:pPr>
    </w:p>
    <w:p w:rsidR="00B3015A" w:rsidRDefault="00B3015A" w:rsidP="00B3015A">
      <w:pPr>
        <w:jc w:val="both"/>
        <w:rPr>
          <w:rFonts w:ascii="Century Gothic" w:hAnsi="Century Gothic"/>
          <w:b/>
          <w:color w:val="0D0D0D" w:themeColor="text1" w:themeTint="F2"/>
        </w:rPr>
      </w:pPr>
      <w:r w:rsidRPr="000A3642">
        <w:rPr>
          <w:rFonts w:ascii="Century Gothic" w:hAnsi="Century Gothic"/>
          <w:b/>
          <w:color w:val="0D0D0D" w:themeColor="text1" w:themeTint="F2"/>
        </w:rPr>
        <w:t xml:space="preserve">Parágrafo 2. </w:t>
      </w:r>
      <w:r w:rsidRPr="000A3642">
        <w:rPr>
          <w:rFonts w:ascii="Century Gothic" w:hAnsi="Century Gothic"/>
          <w:color w:val="0D0D0D" w:themeColor="text1" w:themeTint="F2"/>
        </w:rPr>
        <w:t>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p w:rsidR="00B3015A" w:rsidRPr="000A3642" w:rsidRDefault="00B3015A" w:rsidP="00B3015A">
      <w:pPr>
        <w:jc w:val="both"/>
        <w:rPr>
          <w:rFonts w:ascii="Century Gothic" w:hAnsi="Century Gothic"/>
          <w:b/>
          <w:color w:val="0D0D0D" w:themeColor="text1" w:themeTint="F2"/>
        </w:rPr>
      </w:pPr>
    </w:p>
    <w:p w:rsidR="00B3015A" w:rsidRPr="00B75EED" w:rsidRDefault="00B3015A" w:rsidP="00B3015A">
      <w:pPr>
        <w:jc w:val="both"/>
        <w:rPr>
          <w:rFonts w:ascii="Century Gothic" w:hAnsi="Century Gothic"/>
          <w:b/>
          <w:color w:val="0D0D0D" w:themeColor="text1" w:themeTint="F2"/>
        </w:rPr>
      </w:pPr>
      <w:r w:rsidRPr="000A3642">
        <w:rPr>
          <w:rFonts w:ascii="Century Gothic" w:hAnsi="Century Gothic"/>
          <w:b/>
          <w:color w:val="0D0D0D" w:themeColor="text1" w:themeTint="F2"/>
        </w:rPr>
        <w:t xml:space="preserve">ARTÍCULO 4º. VIGENCIA Y DEROGATORIA. </w:t>
      </w:r>
      <w:r w:rsidRPr="000A3642">
        <w:rPr>
          <w:rFonts w:ascii="Century Gothic" w:hAnsi="Century Gothic"/>
          <w:color w:val="0D0D0D" w:themeColor="text1" w:themeTint="F2"/>
        </w:rPr>
        <w:t>La presente Ley rige a partir de la fecha de su publicación y deroga todas las disposiciones que le sean contrarias.</w:t>
      </w:r>
    </w:p>
    <w:p w:rsidR="00B3015A" w:rsidRPr="00B75EED" w:rsidRDefault="00B3015A" w:rsidP="00B3015A">
      <w:pPr>
        <w:rPr>
          <w:rFonts w:ascii="Century Gothic" w:hAnsi="Century Gothic"/>
          <w:color w:val="0D0D0D" w:themeColor="text1" w:themeTint="F2"/>
        </w:rPr>
      </w:pPr>
      <w:r w:rsidRPr="00B75EED">
        <w:rPr>
          <w:rFonts w:ascii="Century Gothic" w:hAnsi="Century Gothic"/>
          <w:color w:val="0D0D0D" w:themeColor="text1" w:themeTint="F2"/>
        </w:rPr>
        <w:t xml:space="preserve"> </w:t>
      </w:r>
    </w:p>
    <w:p w:rsidR="008D5693" w:rsidRPr="00252BED" w:rsidRDefault="008D5693" w:rsidP="00CA7CAC">
      <w:pPr>
        <w:pBdr>
          <w:top w:val="nil"/>
          <w:left w:val="nil"/>
          <w:bottom w:val="nil"/>
          <w:right w:val="nil"/>
          <w:between w:val="nil"/>
        </w:pBdr>
        <w:jc w:val="both"/>
        <w:rPr>
          <w:rFonts w:ascii="Century Gothic" w:eastAsia="Century Gothic" w:hAnsi="Century Gothic" w:cs="Century Gothic"/>
          <w:color w:val="000000" w:themeColor="text1"/>
        </w:rPr>
      </w:pPr>
    </w:p>
    <w:p w:rsidR="008D5693" w:rsidRPr="00252BED"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rsidR="008D5693"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3">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JUAN CARLOS WILLS OSPINA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rsidR="006572A7" w:rsidRDefault="00174B8F"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4">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E1C1D" w:rsidRDefault="005E1C1D" w:rsidP="005E1C1D">
      <w:pPr>
        <w:shd w:val="clear" w:color="auto" w:fill="FFFFFF"/>
        <w:ind w:left="708" w:hanging="708"/>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b/>
        <w:t xml:space="preserve">        </w:t>
      </w:r>
    </w:p>
    <w:sectPr w:rsidR="005E1C1D">
      <w:headerReference w:type="default" r:id="rId15"/>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8F" w:rsidRDefault="00174B8F">
      <w:pPr>
        <w:spacing w:line="240" w:lineRule="auto"/>
      </w:pPr>
      <w:r>
        <w:separator/>
      </w:r>
    </w:p>
  </w:endnote>
  <w:endnote w:type="continuationSeparator" w:id="0">
    <w:p w:rsidR="00174B8F" w:rsidRDefault="00174B8F">
      <w:pPr>
        <w:spacing w:line="240" w:lineRule="auto"/>
      </w:pPr>
      <w:r>
        <w:continuationSeparator/>
      </w:r>
    </w:p>
  </w:endnote>
  <w:endnote w:type="continuationNotice" w:id="1">
    <w:p w:rsidR="00174B8F" w:rsidRDefault="00174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default"/>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8F" w:rsidRDefault="00174B8F">
      <w:pPr>
        <w:spacing w:line="240" w:lineRule="auto"/>
      </w:pPr>
      <w:r>
        <w:separator/>
      </w:r>
    </w:p>
  </w:footnote>
  <w:footnote w:type="continuationSeparator" w:id="0">
    <w:p w:rsidR="00174B8F" w:rsidRDefault="00174B8F">
      <w:pPr>
        <w:spacing w:line="240" w:lineRule="auto"/>
      </w:pPr>
      <w:r>
        <w:continuationSeparator/>
      </w:r>
    </w:p>
  </w:footnote>
  <w:footnote w:type="continuationNotice" w:id="1">
    <w:p w:rsidR="00174B8F" w:rsidRDefault="00174B8F">
      <w:pPr>
        <w:spacing w:line="240" w:lineRule="auto"/>
      </w:pPr>
    </w:p>
  </w:footnote>
  <w:footnote w:id="2">
    <w:p w:rsidR="00B3015A" w:rsidRDefault="00B3015A" w:rsidP="00B3015A">
      <w:pPr>
        <w:pStyle w:val="Textonotapie"/>
      </w:pPr>
      <w:r>
        <w:rPr>
          <w:rStyle w:val="Refdenotaalpie"/>
        </w:rPr>
        <w:footnoteRef/>
      </w:r>
      <w:r>
        <w:t xml:space="preserve"> Sentencia T-595 de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lang w:val="en-US" w:eastAsia="en-US"/>
      </w:rPr>
      <w:drawing>
        <wp:inline distT="0" distB="0" distL="0" distR="0" wp14:anchorId="3C213870" wp14:editId="617EF74E">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 w15:restartNumberingAfterBreak="0">
    <w:nsid w:val="083102B7"/>
    <w:multiLevelType w:val="hybridMultilevel"/>
    <w:tmpl w:val="F7C26B28"/>
    <w:lvl w:ilvl="0" w:tplc="66D0B276">
      <w:start w:val="1"/>
      <w:numFmt w:val="lowerLetter"/>
      <w:lvlText w:val="%1)"/>
      <w:lvlJc w:val="left"/>
      <w:pPr>
        <w:ind w:left="60"/>
      </w:pPr>
      <w:rPr>
        <w:rFonts w:ascii="Century Gothic" w:eastAsia="Century" w:hAnsi="Century Gothic" w:cs="Century" w:hint="default"/>
        <w:b w:val="0"/>
        <w:i w:val="0"/>
        <w:strike w:val="0"/>
        <w:dstrike w:val="0"/>
        <w:color w:val="000000"/>
        <w:sz w:val="22"/>
        <w:szCs w:val="22"/>
        <w:u w:val="none" w:color="000000"/>
        <w:bdr w:val="none" w:sz="0" w:space="0" w:color="auto"/>
        <w:shd w:val="clear" w:color="auto" w:fill="auto"/>
        <w:vertAlign w:val="baseline"/>
      </w:rPr>
    </w:lvl>
    <w:lvl w:ilvl="1" w:tplc="16703DF4">
      <w:start w:val="1"/>
      <w:numFmt w:val="lowerLetter"/>
      <w:lvlText w:val="%2"/>
      <w:lvlJc w:val="left"/>
      <w:pPr>
        <w:ind w:left="13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2" w:tplc="0B4CC35A">
      <w:start w:val="1"/>
      <w:numFmt w:val="lowerRoman"/>
      <w:lvlText w:val="%3"/>
      <w:lvlJc w:val="left"/>
      <w:pPr>
        <w:ind w:left="21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3" w:tplc="D3586FE8">
      <w:start w:val="1"/>
      <w:numFmt w:val="decimal"/>
      <w:lvlText w:val="%4"/>
      <w:lvlJc w:val="left"/>
      <w:pPr>
        <w:ind w:left="28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4" w:tplc="9E768BF4">
      <w:start w:val="1"/>
      <w:numFmt w:val="lowerLetter"/>
      <w:lvlText w:val="%5"/>
      <w:lvlJc w:val="left"/>
      <w:pPr>
        <w:ind w:left="354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5" w:tplc="BA76EC94">
      <w:start w:val="1"/>
      <w:numFmt w:val="lowerRoman"/>
      <w:lvlText w:val="%6"/>
      <w:lvlJc w:val="left"/>
      <w:pPr>
        <w:ind w:left="426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6" w:tplc="7408C38C">
      <w:start w:val="1"/>
      <w:numFmt w:val="decimal"/>
      <w:lvlText w:val="%7"/>
      <w:lvlJc w:val="left"/>
      <w:pPr>
        <w:ind w:left="49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7" w:tplc="7A2A02F6">
      <w:start w:val="1"/>
      <w:numFmt w:val="lowerLetter"/>
      <w:lvlText w:val="%8"/>
      <w:lvlJc w:val="left"/>
      <w:pPr>
        <w:ind w:left="57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8" w:tplc="E5D231E6">
      <w:start w:val="1"/>
      <w:numFmt w:val="lowerRoman"/>
      <w:lvlText w:val="%9"/>
      <w:lvlJc w:val="left"/>
      <w:pPr>
        <w:ind w:left="64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E0EFC"/>
    <w:multiLevelType w:val="hybridMultilevel"/>
    <w:tmpl w:val="A53C8E30"/>
    <w:lvl w:ilvl="0" w:tplc="3830EA14">
      <w:start w:val="1"/>
      <w:numFmt w:val="decimal"/>
      <w:lvlText w:val="%1."/>
      <w:lvlJc w:val="left"/>
      <w:pPr>
        <w:ind w:left="3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4" w15:restartNumberingAfterBreak="0">
    <w:nsid w:val="30B00DD7"/>
    <w:multiLevelType w:val="hybridMultilevel"/>
    <w:tmpl w:val="117C22C2"/>
    <w:lvl w:ilvl="0" w:tplc="CAF4924E">
      <w:start w:val="1"/>
      <w:numFmt w:val="upperLetter"/>
      <w:lvlText w:val="%1."/>
      <w:lvlJc w:val="left"/>
      <w:pPr>
        <w:ind w:left="376"/>
      </w:pPr>
      <w:rPr>
        <w:rFonts w:ascii="Century Gothic" w:eastAsia="Century" w:hAnsi="Century Gothic" w:cs="Century" w:hint="default"/>
        <w:b/>
        <w:bCs/>
        <w:i w:val="0"/>
        <w:strike w:val="0"/>
        <w:dstrike w:val="0"/>
        <w:color w:val="000000"/>
        <w:sz w:val="22"/>
        <w:szCs w:val="22"/>
        <w:u w:val="none" w:color="000000"/>
        <w:bdr w:val="none" w:sz="0" w:space="0" w:color="auto"/>
        <w:shd w:val="clear" w:color="auto" w:fill="auto"/>
        <w:vertAlign w:val="baseline"/>
      </w:rPr>
    </w:lvl>
    <w:lvl w:ilvl="1" w:tplc="237CD2D0">
      <w:start w:val="1"/>
      <w:numFmt w:val="lowerLetter"/>
      <w:lvlText w:val="%2"/>
      <w:lvlJc w:val="left"/>
      <w:pPr>
        <w:ind w:left="15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2" w:tplc="074AE37E">
      <w:start w:val="1"/>
      <w:numFmt w:val="lowerRoman"/>
      <w:lvlText w:val="%3"/>
      <w:lvlJc w:val="left"/>
      <w:pPr>
        <w:ind w:left="22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3" w:tplc="DC08DA2E">
      <w:start w:val="1"/>
      <w:numFmt w:val="decimal"/>
      <w:lvlText w:val="%4"/>
      <w:lvlJc w:val="left"/>
      <w:pPr>
        <w:ind w:left="29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4" w:tplc="C4A811F4">
      <w:start w:val="1"/>
      <w:numFmt w:val="lowerLetter"/>
      <w:lvlText w:val="%5"/>
      <w:lvlJc w:val="left"/>
      <w:pPr>
        <w:ind w:left="369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5" w:tplc="20663140">
      <w:start w:val="1"/>
      <w:numFmt w:val="lowerRoman"/>
      <w:lvlText w:val="%6"/>
      <w:lvlJc w:val="left"/>
      <w:pPr>
        <w:ind w:left="441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6" w:tplc="EA40285E">
      <w:start w:val="1"/>
      <w:numFmt w:val="decimal"/>
      <w:lvlText w:val="%7"/>
      <w:lvlJc w:val="left"/>
      <w:pPr>
        <w:ind w:left="51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7" w:tplc="E5FCAEDC">
      <w:start w:val="1"/>
      <w:numFmt w:val="lowerLetter"/>
      <w:lvlText w:val="%8"/>
      <w:lvlJc w:val="left"/>
      <w:pPr>
        <w:ind w:left="58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8" w:tplc="E102ABD8">
      <w:start w:val="1"/>
      <w:numFmt w:val="lowerRoman"/>
      <w:lvlText w:val="%9"/>
      <w:lvlJc w:val="left"/>
      <w:pPr>
        <w:ind w:left="65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F502E"/>
    <w:multiLevelType w:val="hybridMultilevel"/>
    <w:tmpl w:val="5D3AD87C"/>
    <w:lvl w:ilvl="0" w:tplc="8774E53E">
      <w:start w:val="1"/>
      <w:numFmt w:val="decimal"/>
      <w:lvlText w:val="%1."/>
      <w:lvlJc w:val="left"/>
      <w:pPr>
        <w:ind w:left="193"/>
      </w:pPr>
      <w:rPr>
        <w:rFonts w:ascii="Century Gothic" w:eastAsia="Century" w:hAnsi="Century Gothic" w:cs="Century" w:hint="default"/>
        <w:b w:val="0"/>
        <w:i w:val="0"/>
        <w:strike w:val="0"/>
        <w:dstrike w:val="0"/>
        <w:color w:val="090909"/>
        <w:sz w:val="22"/>
        <w:szCs w:val="22"/>
        <w:u w:val="none" w:color="000000"/>
        <w:bdr w:val="none" w:sz="0" w:space="0" w:color="auto"/>
        <w:shd w:val="clear" w:color="auto" w:fill="auto"/>
        <w:vertAlign w:val="baseline"/>
      </w:rPr>
    </w:lvl>
    <w:lvl w:ilvl="1" w:tplc="E8189F9E">
      <w:start w:val="1"/>
      <w:numFmt w:val="lowerLetter"/>
      <w:lvlText w:val="%2"/>
      <w:lvlJc w:val="left"/>
      <w:pPr>
        <w:ind w:left="12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2" w:tplc="194A7372">
      <w:start w:val="1"/>
      <w:numFmt w:val="lowerRoman"/>
      <w:lvlText w:val="%3"/>
      <w:lvlJc w:val="left"/>
      <w:pPr>
        <w:ind w:left="19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3" w:tplc="45FA0928">
      <w:start w:val="1"/>
      <w:numFmt w:val="decimal"/>
      <w:lvlText w:val="%4"/>
      <w:lvlJc w:val="left"/>
      <w:pPr>
        <w:ind w:left="27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4" w:tplc="7CA428F0">
      <w:start w:val="1"/>
      <w:numFmt w:val="lowerLetter"/>
      <w:lvlText w:val="%5"/>
      <w:lvlJc w:val="left"/>
      <w:pPr>
        <w:ind w:left="343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5" w:tplc="C7102C68">
      <w:start w:val="1"/>
      <w:numFmt w:val="lowerRoman"/>
      <w:lvlText w:val="%6"/>
      <w:lvlJc w:val="left"/>
      <w:pPr>
        <w:ind w:left="415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6" w:tplc="20E414AA">
      <w:start w:val="1"/>
      <w:numFmt w:val="decimal"/>
      <w:lvlText w:val="%7"/>
      <w:lvlJc w:val="left"/>
      <w:pPr>
        <w:ind w:left="48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7" w:tplc="12E05EF8">
      <w:start w:val="1"/>
      <w:numFmt w:val="lowerLetter"/>
      <w:lvlText w:val="%8"/>
      <w:lvlJc w:val="left"/>
      <w:pPr>
        <w:ind w:left="55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8" w:tplc="EE5CDD22">
      <w:start w:val="1"/>
      <w:numFmt w:val="lowerRoman"/>
      <w:lvlText w:val="%9"/>
      <w:lvlJc w:val="left"/>
      <w:pPr>
        <w:ind w:left="63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abstractNum>
  <w:abstractNum w:abstractNumId="7"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7"/>
  </w:num>
  <w:num w:numId="3">
    <w:abstractNumId w:val="0"/>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24470"/>
    <w:rsid w:val="000305A5"/>
    <w:rsid w:val="00036C14"/>
    <w:rsid w:val="00037E21"/>
    <w:rsid w:val="00042A93"/>
    <w:rsid w:val="0004531D"/>
    <w:rsid w:val="00046521"/>
    <w:rsid w:val="000504AF"/>
    <w:rsid w:val="00055BFB"/>
    <w:rsid w:val="000650CB"/>
    <w:rsid w:val="00073660"/>
    <w:rsid w:val="000754FA"/>
    <w:rsid w:val="00076544"/>
    <w:rsid w:val="00077E9F"/>
    <w:rsid w:val="00082C76"/>
    <w:rsid w:val="0008340B"/>
    <w:rsid w:val="00084491"/>
    <w:rsid w:val="00086A1A"/>
    <w:rsid w:val="0009171D"/>
    <w:rsid w:val="00094423"/>
    <w:rsid w:val="00096D94"/>
    <w:rsid w:val="000970C3"/>
    <w:rsid w:val="000A1416"/>
    <w:rsid w:val="000A3CC7"/>
    <w:rsid w:val="000A4D2A"/>
    <w:rsid w:val="000A5E19"/>
    <w:rsid w:val="000A5FE0"/>
    <w:rsid w:val="000B38F2"/>
    <w:rsid w:val="000C267A"/>
    <w:rsid w:val="000C3BDD"/>
    <w:rsid w:val="000C6646"/>
    <w:rsid w:val="000C746A"/>
    <w:rsid w:val="000D7DC8"/>
    <w:rsid w:val="000E18B4"/>
    <w:rsid w:val="000E20E2"/>
    <w:rsid w:val="000E241A"/>
    <w:rsid w:val="000E2A49"/>
    <w:rsid w:val="000E39CA"/>
    <w:rsid w:val="000E5AF8"/>
    <w:rsid w:val="000E658D"/>
    <w:rsid w:val="000F0856"/>
    <w:rsid w:val="000F4D0C"/>
    <w:rsid w:val="000F6155"/>
    <w:rsid w:val="000F7EE2"/>
    <w:rsid w:val="00101DB1"/>
    <w:rsid w:val="00104A2C"/>
    <w:rsid w:val="0010657D"/>
    <w:rsid w:val="00110146"/>
    <w:rsid w:val="00111D43"/>
    <w:rsid w:val="00112899"/>
    <w:rsid w:val="001208F9"/>
    <w:rsid w:val="00120990"/>
    <w:rsid w:val="0012226D"/>
    <w:rsid w:val="001222C4"/>
    <w:rsid w:val="0012568C"/>
    <w:rsid w:val="001274AE"/>
    <w:rsid w:val="00130994"/>
    <w:rsid w:val="00130C67"/>
    <w:rsid w:val="00136110"/>
    <w:rsid w:val="0014029C"/>
    <w:rsid w:val="00141D88"/>
    <w:rsid w:val="00144639"/>
    <w:rsid w:val="001522B1"/>
    <w:rsid w:val="00154886"/>
    <w:rsid w:val="00156D14"/>
    <w:rsid w:val="00160C7F"/>
    <w:rsid w:val="00163F1F"/>
    <w:rsid w:val="0016602D"/>
    <w:rsid w:val="0016662A"/>
    <w:rsid w:val="00167D81"/>
    <w:rsid w:val="00172260"/>
    <w:rsid w:val="00172D9A"/>
    <w:rsid w:val="00174B8F"/>
    <w:rsid w:val="00174C69"/>
    <w:rsid w:val="00175065"/>
    <w:rsid w:val="00176E1E"/>
    <w:rsid w:val="00182594"/>
    <w:rsid w:val="00182B26"/>
    <w:rsid w:val="00183116"/>
    <w:rsid w:val="0019267F"/>
    <w:rsid w:val="0019308B"/>
    <w:rsid w:val="00193BE2"/>
    <w:rsid w:val="00193FA6"/>
    <w:rsid w:val="00194971"/>
    <w:rsid w:val="00196D92"/>
    <w:rsid w:val="00196F5B"/>
    <w:rsid w:val="001B51BB"/>
    <w:rsid w:val="001B75FF"/>
    <w:rsid w:val="001B7EFF"/>
    <w:rsid w:val="001C508B"/>
    <w:rsid w:val="001C7277"/>
    <w:rsid w:val="001C7E43"/>
    <w:rsid w:val="001D2B24"/>
    <w:rsid w:val="001D578D"/>
    <w:rsid w:val="001D5DBB"/>
    <w:rsid w:val="001D7459"/>
    <w:rsid w:val="001E34A8"/>
    <w:rsid w:val="001F1D1A"/>
    <w:rsid w:val="001F238F"/>
    <w:rsid w:val="001F2C16"/>
    <w:rsid w:val="001F5AE4"/>
    <w:rsid w:val="0020470A"/>
    <w:rsid w:val="00210CB3"/>
    <w:rsid w:val="00211B6A"/>
    <w:rsid w:val="0021522D"/>
    <w:rsid w:val="00216A7F"/>
    <w:rsid w:val="00234A13"/>
    <w:rsid w:val="0023564B"/>
    <w:rsid w:val="0024296A"/>
    <w:rsid w:val="002433FA"/>
    <w:rsid w:val="002470EA"/>
    <w:rsid w:val="00247B5F"/>
    <w:rsid w:val="00252BED"/>
    <w:rsid w:val="00261CA1"/>
    <w:rsid w:val="00265D26"/>
    <w:rsid w:val="00266F1C"/>
    <w:rsid w:val="0027376C"/>
    <w:rsid w:val="00274F6D"/>
    <w:rsid w:val="0027585B"/>
    <w:rsid w:val="00275B59"/>
    <w:rsid w:val="0027731C"/>
    <w:rsid w:val="00280852"/>
    <w:rsid w:val="00280924"/>
    <w:rsid w:val="002846D5"/>
    <w:rsid w:val="0029459B"/>
    <w:rsid w:val="002A1189"/>
    <w:rsid w:val="002A1B39"/>
    <w:rsid w:val="002A6D06"/>
    <w:rsid w:val="002B1044"/>
    <w:rsid w:val="002B50C5"/>
    <w:rsid w:val="002C4AD8"/>
    <w:rsid w:val="002C5880"/>
    <w:rsid w:val="002D32BB"/>
    <w:rsid w:val="002D6DD0"/>
    <w:rsid w:val="002E281B"/>
    <w:rsid w:val="002E4727"/>
    <w:rsid w:val="002E5E71"/>
    <w:rsid w:val="002F35DE"/>
    <w:rsid w:val="002F76D5"/>
    <w:rsid w:val="00302CE5"/>
    <w:rsid w:val="00303AB7"/>
    <w:rsid w:val="0030725D"/>
    <w:rsid w:val="003124D9"/>
    <w:rsid w:val="00313EB4"/>
    <w:rsid w:val="00316315"/>
    <w:rsid w:val="00322B5A"/>
    <w:rsid w:val="00324ED4"/>
    <w:rsid w:val="0033259F"/>
    <w:rsid w:val="003326B8"/>
    <w:rsid w:val="003328A3"/>
    <w:rsid w:val="00333920"/>
    <w:rsid w:val="00335E71"/>
    <w:rsid w:val="00343273"/>
    <w:rsid w:val="003436FF"/>
    <w:rsid w:val="00351EFC"/>
    <w:rsid w:val="00353E77"/>
    <w:rsid w:val="0035448B"/>
    <w:rsid w:val="00356002"/>
    <w:rsid w:val="003576C3"/>
    <w:rsid w:val="00361AA2"/>
    <w:rsid w:val="00361AC7"/>
    <w:rsid w:val="00362B99"/>
    <w:rsid w:val="003637B0"/>
    <w:rsid w:val="00363833"/>
    <w:rsid w:val="00365B38"/>
    <w:rsid w:val="00367253"/>
    <w:rsid w:val="00371687"/>
    <w:rsid w:val="0037250E"/>
    <w:rsid w:val="0037261A"/>
    <w:rsid w:val="003814BF"/>
    <w:rsid w:val="00381903"/>
    <w:rsid w:val="003827C7"/>
    <w:rsid w:val="00383421"/>
    <w:rsid w:val="00386382"/>
    <w:rsid w:val="00387BF2"/>
    <w:rsid w:val="0039003A"/>
    <w:rsid w:val="00395DB7"/>
    <w:rsid w:val="003A28BB"/>
    <w:rsid w:val="003A2AD0"/>
    <w:rsid w:val="003B409B"/>
    <w:rsid w:val="003B4CDB"/>
    <w:rsid w:val="003C03FF"/>
    <w:rsid w:val="003C0FD9"/>
    <w:rsid w:val="003C1107"/>
    <w:rsid w:val="003C1CBB"/>
    <w:rsid w:val="003C3602"/>
    <w:rsid w:val="003C50E1"/>
    <w:rsid w:val="003C5132"/>
    <w:rsid w:val="003D2A64"/>
    <w:rsid w:val="003E4CB8"/>
    <w:rsid w:val="003E5F97"/>
    <w:rsid w:val="003E685D"/>
    <w:rsid w:val="003F7119"/>
    <w:rsid w:val="00406161"/>
    <w:rsid w:val="004155A5"/>
    <w:rsid w:val="00415D41"/>
    <w:rsid w:val="00415EDF"/>
    <w:rsid w:val="004226F5"/>
    <w:rsid w:val="0043056E"/>
    <w:rsid w:val="00432F69"/>
    <w:rsid w:val="00433FEC"/>
    <w:rsid w:val="00437048"/>
    <w:rsid w:val="00437D7A"/>
    <w:rsid w:val="00440D29"/>
    <w:rsid w:val="0044199C"/>
    <w:rsid w:val="004433EA"/>
    <w:rsid w:val="00443707"/>
    <w:rsid w:val="00446D03"/>
    <w:rsid w:val="00451B5A"/>
    <w:rsid w:val="00454096"/>
    <w:rsid w:val="00456676"/>
    <w:rsid w:val="00457B27"/>
    <w:rsid w:val="00461FC0"/>
    <w:rsid w:val="004656DA"/>
    <w:rsid w:val="004668C8"/>
    <w:rsid w:val="00466CBF"/>
    <w:rsid w:val="00470344"/>
    <w:rsid w:val="00472D02"/>
    <w:rsid w:val="00475A43"/>
    <w:rsid w:val="00480448"/>
    <w:rsid w:val="00484EA9"/>
    <w:rsid w:val="00486138"/>
    <w:rsid w:val="004927FF"/>
    <w:rsid w:val="004939C6"/>
    <w:rsid w:val="00495D5B"/>
    <w:rsid w:val="0049657B"/>
    <w:rsid w:val="00497966"/>
    <w:rsid w:val="00497DA1"/>
    <w:rsid w:val="004A107A"/>
    <w:rsid w:val="004A5C7A"/>
    <w:rsid w:val="004A6214"/>
    <w:rsid w:val="004B03E5"/>
    <w:rsid w:val="004B1866"/>
    <w:rsid w:val="004B6F72"/>
    <w:rsid w:val="004C134E"/>
    <w:rsid w:val="004C1EB1"/>
    <w:rsid w:val="004C2331"/>
    <w:rsid w:val="004C2A8D"/>
    <w:rsid w:val="004C4F04"/>
    <w:rsid w:val="004D2E6C"/>
    <w:rsid w:val="004D384B"/>
    <w:rsid w:val="004D39E0"/>
    <w:rsid w:val="004D735D"/>
    <w:rsid w:val="004D7D63"/>
    <w:rsid w:val="004E51F6"/>
    <w:rsid w:val="004E776F"/>
    <w:rsid w:val="004F42F4"/>
    <w:rsid w:val="005005FC"/>
    <w:rsid w:val="0050689E"/>
    <w:rsid w:val="005146F2"/>
    <w:rsid w:val="00515D20"/>
    <w:rsid w:val="00523CFF"/>
    <w:rsid w:val="0052598D"/>
    <w:rsid w:val="005328E2"/>
    <w:rsid w:val="005340A7"/>
    <w:rsid w:val="005346AF"/>
    <w:rsid w:val="0053525F"/>
    <w:rsid w:val="00540137"/>
    <w:rsid w:val="00540BE9"/>
    <w:rsid w:val="0054163C"/>
    <w:rsid w:val="00544B73"/>
    <w:rsid w:val="00551DC6"/>
    <w:rsid w:val="00552ADA"/>
    <w:rsid w:val="00555F5C"/>
    <w:rsid w:val="00556BE7"/>
    <w:rsid w:val="00560C62"/>
    <w:rsid w:val="0056211E"/>
    <w:rsid w:val="00563A2D"/>
    <w:rsid w:val="00564299"/>
    <w:rsid w:val="00564DFA"/>
    <w:rsid w:val="0056645E"/>
    <w:rsid w:val="00566C7E"/>
    <w:rsid w:val="00574639"/>
    <w:rsid w:val="005759C5"/>
    <w:rsid w:val="00581301"/>
    <w:rsid w:val="00582EC3"/>
    <w:rsid w:val="00583AAE"/>
    <w:rsid w:val="00586086"/>
    <w:rsid w:val="005879D6"/>
    <w:rsid w:val="005974C3"/>
    <w:rsid w:val="005A04CE"/>
    <w:rsid w:val="005A0638"/>
    <w:rsid w:val="005A230E"/>
    <w:rsid w:val="005A6343"/>
    <w:rsid w:val="005A6609"/>
    <w:rsid w:val="005B15F2"/>
    <w:rsid w:val="005B7BC5"/>
    <w:rsid w:val="005C186C"/>
    <w:rsid w:val="005C1F73"/>
    <w:rsid w:val="005C4185"/>
    <w:rsid w:val="005C69C9"/>
    <w:rsid w:val="005C7C46"/>
    <w:rsid w:val="005E0869"/>
    <w:rsid w:val="005E1C1D"/>
    <w:rsid w:val="005E33D7"/>
    <w:rsid w:val="005E5257"/>
    <w:rsid w:val="005E7594"/>
    <w:rsid w:val="005E76F3"/>
    <w:rsid w:val="005F1053"/>
    <w:rsid w:val="005F1FC8"/>
    <w:rsid w:val="005F711E"/>
    <w:rsid w:val="005F7CAB"/>
    <w:rsid w:val="00603E8D"/>
    <w:rsid w:val="00611C47"/>
    <w:rsid w:val="0061339C"/>
    <w:rsid w:val="00614C59"/>
    <w:rsid w:val="00616B4B"/>
    <w:rsid w:val="0062187F"/>
    <w:rsid w:val="00626CAA"/>
    <w:rsid w:val="00632C78"/>
    <w:rsid w:val="00640B07"/>
    <w:rsid w:val="00650A1B"/>
    <w:rsid w:val="0065277F"/>
    <w:rsid w:val="006572A7"/>
    <w:rsid w:val="00660256"/>
    <w:rsid w:val="00660529"/>
    <w:rsid w:val="006606D0"/>
    <w:rsid w:val="00664EE6"/>
    <w:rsid w:val="0066521F"/>
    <w:rsid w:val="00670573"/>
    <w:rsid w:val="006772E9"/>
    <w:rsid w:val="00680779"/>
    <w:rsid w:val="006870AA"/>
    <w:rsid w:val="00692616"/>
    <w:rsid w:val="00692C75"/>
    <w:rsid w:val="00694D74"/>
    <w:rsid w:val="00695342"/>
    <w:rsid w:val="006A493E"/>
    <w:rsid w:val="006A57E3"/>
    <w:rsid w:val="006A7527"/>
    <w:rsid w:val="006B16D4"/>
    <w:rsid w:val="006B26B0"/>
    <w:rsid w:val="006B2BA0"/>
    <w:rsid w:val="006C2025"/>
    <w:rsid w:val="006C2F39"/>
    <w:rsid w:val="006C3EB3"/>
    <w:rsid w:val="006C74CE"/>
    <w:rsid w:val="006D1878"/>
    <w:rsid w:val="006E44CE"/>
    <w:rsid w:val="006E75B5"/>
    <w:rsid w:val="006E7C06"/>
    <w:rsid w:val="006F688E"/>
    <w:rsid w:val="00703A77"/>
    <w:rsid w:val="00703B58"/>
    <w:rsid w:val="00704B0D"/>
    <w:rsid w:val="00706156"/>
    <w:rsid w:val="0070629A"/>
    <w:rsid w:val="00710A57"/>
    <w:rsid w:val="00724B02"/>
    <w:rsid w:val="0072698B"/>
    <w:rsid w:val="007323C0"/>
    <w:rsid w:val="007363A3"/>
    <w:rsid w:val="00740690"/>
    <w:rsid w:val="00741859"/>
    <w:rsid w:val="0074435F"/>
    <w:rsid w:val="007469C7"/>
    <w:rsid w:val="00751EA7"/>
    <w:rsid w:val="0075417D"/>
    <w:rsid w:val="0075704D"/>
    <w:rsid w:val="0076130F"/>
    <w:rsid w:val="00761497"/>
    <w:rsid w:val="007662F9"/>
    <w:rsid w:val="007720EC"/>
    <w:rsid w:val="007735FB"/>
    <w:rsid w:val="00776EFC"/>
    <w:rsid w:val="007810E7"/>
    <w:rsid w:val="00781593"/>
    <w:rsid w:val="0078478C"/>
    <w:rsid w:val="00796DA7"/>
    <w:rsid w:val="00797D1F"/>
    <w:rsid w:val="007A0F12"/>
    <w:rsid w:val="007A3E10"/>
    <w:rsid w:val="007A4356"/>
    <w:rsid w:val="007B372C"/>
    <w:rsid w:val="007B4775"/>
    <w:rsid w:val="007B4E76"/>
    <w:rsid w:val="007B5FAE"/>
    <w:rsid w:val="007C0A3C"/>
    <w:rsid w:val="007D255A"/>
    <w:rsid w:val="007E0885"/>
    <w:rsid w:val="007E0F37"/>
    <w:rsid w:val="007E7C9A"/>
    <w:rsid w:val="007E7FD1"/>
    <w:rsid w:val="007F11DE"/>
    <w:rsid w:val="007F6343"/>
    <w:rsid w:val="0080077D"/>
    <w:rsid w:val="008012B0"/>
    <w:rsid w:val="008020B4"/>
    <w:rsid w:val="00803496"/>
    <w:rsid w:val="00805FE4"/>
    <w:rsid w:val="008106DB"/>
    <w:rsid w:val="00811EBE"/>
    <w:rsid w:val="008178C2"/>
    <w:rsid w:val="00821BE9"/>
    <w:rsid w:val="008222A0"/>
    <w:rsid w:val="008227A7"/>
    <w:rsid w:val="00826911"/>
    <w:rsid w:val="008342F4"/>
    <w:rsid w:val="00835992"/>
    <w:rsid w:val="008444EB"/>
    <w:rsid w:val="00845407"/>
    <w:rsid w:val="00845DF6"/>
    <w:rsid w:val="00851791"/>
    <w:rsid w:val="00855CAB"/>
    <w:rsid w:val="00857092"/>
    <w:rsid w:val="008603B1"/>
    <w:rsid w:val="00861D5B"/>
    <w:rsid w:val="00862E59"/>
    <w:rsid w:val="00862E5D"/>
    <w:rsid w:val="00863B19"/>
    <w:rsid w:val="00864B22"/>
    <w:rsid w:val="00865901"/>
    <w:rsid w:val="00867085"/>
    <w:rsid w:val="00867796"/>
    <w:rsid w:val="008762BD"/>
    <w:rsid w:val="00876C43"/>
    <w:rsid w:val="008772B8"/>
    <w:rsid w:val="00880032"/>
    <w:rsid w:val="0088067E"/>
    <w:rsid w:val="00880922"/>
    <w:rsid w:val="00883CCB"/>
    <w:rsid w:val="008A048A"/>
    <w:rsid w:val="008A0ABC"/>
    <w:rsid w:val="008A1104"/>
    <w:rsid w:val="008A4632"/>
    <w:rsid w:val="008A5BC7"/>
    <w:rsid w:val="008A62AC"/>
    <w:rsid w:val="008B21FF"/>
    <w:rsid w:val="008B3B36"/>
    <w:rsid w:val="008B3FC6"/>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910226"/>
    <w:rsid w:val="00910DC2"/>
    <w:rsid w:val="009115D0"/>
    <w:rsid w:val="00912AA5"/>
    <w:rsid w:val="009165EB"/>
    <w:rsid w:val="00916D8E"/>
    <w:rsid w:val="00924671"/>
    <w:rsid w:val="00924C33"/>
    <w:rsid w:val="00925936"/>
    <w:rsid w:val="0092604A"/>
    <w:rsid w:val="00935699"/>
    <w:rsid w:val="0093677B"/>
    <w:rsid w:val="00942ABD"/>
    <w:rsid w:val="009439BA"/>
    <w:rsid w:val="00961C82"/>
    <w:rsid w:val="00963DCD"/>
    <w:rsid w:val="00967FEB"/>
    <w:rsid w:val="009712D1"/>
    <w:rsid w:val="00973B26"/>
    <w:rsid w:val="00975766"/>
    <w:rsid w:val="009840BB"/>
    <w:rsid w:val="00991048"/>
    <w:rsid w:val="0099151C"/>
    <w:rsid w:val="0099208B"/>
    <w:rsid w:val="0099342A"/>
    <w:rsid w:val="009934A1"/>
    <w:rsid w:val="0099411F"/>
    <w:rsid w:val="009A4B63"/>
    <w:rsid w:val="009A5FF1"/>
    <w:rsid w:val="009A6E50"/>
    <w:rsid w:val="009B2272"/>
    <w:rsid w:val="009B293D"/>
    <w:rsid w:val="009B3674"/>
    <w:rsid w:val="009C17BD"/>
    <w:rsid w:val="009C30C5"/>
    <w:rsid w:val="009C4D5D"/>
    <w:rsid w:val="009C7809"/>
    <w:rsid w:val="009D2415"/>
    <w:rsid w:val="009D674E"/>
    <w:rsid w:val="009E19CA"/>
    <w:rsid w:val="009E6D18"/>
    <w:rsid w:val="009F150A"/>
    <w:rsid w:val="009F3ADC"/>
    <w:rsid w:val="00A02BFF"/>
    <w:rsid w:val="00A039F1"/>
    <w:rsid w:val="00A05C33"/>
    <w:rsid w:val="00A10FA2"/>
    <w:rsid w:val="00A11072"/>
    <w:rsid w:val="00A12A11"/>
    <w:rsid w:val="00A14C37"/>
    <w:rsid w:val="00A16735"/>
    <w:rsid w:val="00A20C0A"/>
    <w:rsid w:val="00A22DC2"/>
    <w:rsid w:val="00A25032"/>
    <w:rsid w:val="00A32800"/>
    <w:rsid w:val="00A33083"/>
    <w:rsid w:val="00A35B3D"/>
    <w:rsid w:val="00A470A2"/>
    <w:rsid w:val="00A47F9A"/>
    <w:rsid w:val="00A506BE"/>
    <w:rsid w:val="00A52158"/>
    <w:rsid w:val="00A54583"/>
    <w:rsid w:val="00A57EB9"/>
    <w:rsid w:val="00A65CB7"/>
    <w:rsid w:val="00A7134F"/>
    <w:rsid w:val="00A7212B"/>
    <w:rsid w:val="00A724E9"/>
    <w:rsid w:val="00A774F5"/>
    <w:rsid w:val="00A80138"/>
    <w:rsid w:val="00A8237F"/>
    <w:rsid w:val="00A85166"/>
    <w:rsid w:val="00A91B7E"/>
    <w:rsid w:val="00A923DD"/>
    <w:rsid w:val="00A94E97"/>
    <w:rsid w:val="00A95DBB"/>
    <w:rsid w:val="00A964D5"/>
    <w:rsid w:val="00AC15BD"/>
    <w:rsid w:val="00AC6756"/>
    <w:rsid w:val="00AD21A1"/>
    <w:rsid w:val="00AD288F"/>
    <w:rsid w:val="00AD2958"/>
    <w:rsid w:val="00AD5A24"/>
    <w:rsid w:val="00AD653D"/>
    <w:rsid w:val="00AF22F5"/>
    <w:rsid w:val="00AF33FC"/>
    <w:rsid w:val="00AF57FB"/>
    <w:rsid w:val="00AF6B46"/>
    <w:rsid w:val="00B023D8"/>
    <w:rsid w:val="00B057A9"/>
    <w:rsid w:val="00B113EF"/>
    <w:rsid w:val="00B12C18"/>
    <w:rsid w:val="00B14704"/>
    <w:rsid w:val="00B15575"/>
    <w:rsid w:val="00B17AA4"/>
    <w:rsid w:val="00B17BC1"/>
    <w:rsid w:val="00B21F60"/>
    <w:rsid w:val="00B22B97"/>
    <w:rsid w:val="00B3015A"/>
    <w:rsid w:val="00B31BA1"/>
    <w:rsid w:val="00B37088"/>
    <w:rsid w:val="00B378C9"/>
    <w:rsid w:val="00B420B0"/>
    <w:rsid w:val="00B42EC0"/>
    <w:rsid w:val="00B44BCE"/>
    <w:rsid w:val="00B471F3"/>
    <w:rsid w:val="00B515E4"/>
    <w:rsid w:val="00B53867"/>
    <w:rsid w:val="00B55401"/>
    <w:rsid w:val="00B565CB"/>
    <w:rsid w:val="00B5661F"/>
    <w:rsid w:val="00B5796F"/>
    <w:rsid w:val="00B6270F"/>
    <w:rsid w:val="00B63464"/>
    <w:rsid w:val="00B65239"/>
    <w:rsid w:val="00B66A6F"/>
    <w:rsid w:val="00B67672"/>
    <w:rsid w:val="00B707AE"/>
    <w:rsid w:val="00B75B6E"/>
    <w:rsid w:val="00B76865"/>
    <w:rsid w:val="00B815AD"/>
    <w:rsid w:val="00B823FF"/>
    <w:rsid w:val="00B824D7"/>
    <w:rsid w:val="00B83817"/>
    <w:rsid w:val="00B84432"/>
    <w:rsid w:val="00B87C86"/>
    <w:rsid w:val="00B90416"/>
    <w:rsid w:val="00B91EA6"/>
    <w:rsid w:val="00B92BC2"/>
    <w:rsid w:val="00B95AF8"/>
    <w:rsid w:val="00B966AA"/>
    <w:rsid w:val="00BA24C8"/>
    <w:rsid w:val="00BA2A93"/>
    <w:rsid w:val="00BA4759"/>
    <w:rsid w:val="00BA4A6A"/>
    <w:rsid w:val="00BA4B76"/>
    <w:rsid w:val="00BA56CC"/>
    <w:rsid w:val="00BA7D70"/>
    <w:rsid w:val="00BB0212"/>
    <w:rsid w:val="00BB5AD8"/>
    <w:rsid w:val="00BB6D92"/>
    <w:rsid w:val="00BC0594"/>
    <w:rsid w:val="00BC25CD"/>
    <w:rsid w:val="00BC3045"/>
    <w:rsid w:val="00BC3B7E"/>
    <w:rsid w:val="00BC4765"/>
    <w:rsid w:val="00BC6A8C"/>
    <w:rsid w:val="00BD3CCA"/>
    <w:rsid w:val="00BE1AA4"/>
    <w:rsid w:val="00BE6A24"/>
    <w:rsid w:val="00BE7E91"/>
    <w:rsid w:val="00BF60A9"/>
    <w:rsid w:val="00BF67D7"/>
    <w:rsid w:val="00BF6B16"/>
    <w:rsid w:val="00C03F4F"/>
    <w:rsid w:val="00C04234"/>
    <w:rsid w:val="00C05FFE"/>
    <w:rsid w:val="00C15218"/>
    <w:rsid w:val="00C163F8"/>
    <w:rsid w:val="00C21BA3"/>
    <w:rsid w:val="00C223E2"/>
    <w:rsid w:val="00C242D8"/>
    <w:rsid w:val="00C2718C"/>
    <w:rsid w:val="00C27E59"/>
    <w:rsid w:val="00C316FC"/>
    <w:rsid w:val="00C37A16"/>
    <w:rsid w:val="00C4045F"/>
    <w:rsid w:val="00C421AB"/>
    <w:rsid w:val="00C43EE7"/>
    <w:rsid w:val="00C4694B"/>
    <w:rsid w:val="00C46DC4"/>
    <w:rsid w:val="00C611A9"/>
    <w:rsid w:val="00C63A93"/>
    <w:rsid w:val="00C65F98"/>
    <w:rsid w:val="00C73447"/>
    <w:rsid w:val="00C76FFA"/>
    <w:rsid w:val="00C94B4F"/>
    <w:rsid w:val="00C96B77"/>
    <w:rsid w:val="00CA7F8B"/>
    <w:rsid w:val="00CC008D"/>
    <w:rsid w:val="00CC0310"/>
    <w:rsid w:val="00CC6DAE"/>
    <w:rsid w:val="00CC6F9E"/>
    <w:rsid w:val="00CE1249"/>
    <w:rsid w:val="00CE1493"/>
    <w:rsid w:val="00CE3FAA"/>
    <w:rsid w:val="00CF197F"/>
    <w:rsid w:val="00CF4F24"/>
    <w:rsid w:val="00CF6EDE"/>
    <w:rsid w:val="00D03EA2"/>
    <w:rsid w:val="00D12400"/>
    <w:rsid w:val="00D12D61"/>
    <w:rsid w:val="00D2108A"/>
    <w:rsid w:val="00D2193C"/>
    <w:rsid w:val="00D272AC"/>
    <w:rsid w:val="00D308A0"/>
    <w:rsid w:val="00D32375"/>
    <w:rsid w:val="00D3304C"/>
    <w:rsid w:val="00D334DD"/>
    <w:rsid w:val="00D3718F"/>
    <w:rsid w:val="00D3751C"/>
    <w:rsid w:val="00D41325"/>
    <w:rsid w:val="00D415A1"/>
    <w:rsid w:val="00D43B88"/>
    <w:rsid w:val="00D444A0"/>
    <w:rsid w:val="00D4777E"/>
    <w:rsid w:val="00D503D7"/>
    <w:rsid w:val="00D52B35"/>
    <w:rsid w:val="00D53D85"/>
    <w:rsid w:val="00D54C9E"/>
    <w:rsid w:val="00D558CE"/>
    <w:rsid w:val="00D62B5B"/>
    <w:rsid w:val="00D63907"/>
    <w:rsid w:val="00D7318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1ACA"/>
    <w:rsid w:val="00DB2652"/>
    <w:rsid w:val="00DC0CA5"/>
    <w:rsid w:val="00DC1035"/>
    <w:rsid w:val="00DD0625"/>
    <w:rsid w:val="00DD1284"/>
    <w:rsid w:val="00DD2362"/>
    <w:rsid w:val="00DD5FAE"/>
    <w:rsid w:val="00DD68A1"/>
    <w:rsid w:val="00DD7271"/>
    <w:rsid w:val="00DE590F"/>
    <w:rsid w:val="00DE6284"/>
    <w:rsid w:val="00DF163D"/>
    <w:rsid w:val="00DF437B"/>
    <w:rsid w:val="00DF589C"/>
    <w:rsid w:val="00E0011E"/>
    <w:rsid w:val="00E00618"/>
    <w:rsid w:val="00E0163A"/>
    <w:rsid w:val="00E06685"/>
    <w:rsid w:val="00E12667"/>
    <w:rsid w:val="00E15F87"/>
    <w:rsid w:val="00E16078"/>
    <w:rsid w:val="00E16C99"/>
    <w:rsid w:val="00E2053B"/>
    <w:rsid w:val="00E26812"/>
    <w:rsid w:val="00E30E63"/>
    <w:rsid w:val="00E3135B"/>
    <w:rsid w:val="00E3583E"/>
    <w:rsid w:val="00E366C5"/>
    <w:rsid w:val="00E471CA"/>
    <w:rsid w:val="00E52E2F"/>
    <w:rsid w:val="00E53CB9"/>
    <w:rsid w:val="00E54762"/>
    <w:rsid w:val="00E549D5"/>
    <w:rsid w:val="00E56C36"/>
    <w:rsid w:val="00E574B6"/>
    <w:rsid w:val="00E717C4"/>
    <w:rsid w:val="00E71FB7"/>
    <w:rsid w:val="00E73698"/>
    <w:rsid w:val="00E80D19"/>
    <w:rsid w:val="00E85334"/>
    <w:rsid w:val="00E869D9"/>
    <w:rsid w:val="00E936DD"/>
    <w:rsid w:val="00E96C45"/>
    <w:rsid w:val="00E97A3D"/>
    <w:rsid w:val="00EA2AB0"/>
    <w:rsid w:val="00EB1FB2"/>
    <w:rsid w:val="00EB4B38"/>
    <w:rsid w:val="00EC06A5"/>
    <w:rsid w:val="00EC40CF"/>
    <w:rsid w:val="00EC52CC"/>
    <w:rsid w:val="00EC5795"/>
    <w:rsid w:val="00EC7723"/>
    <w:rsid w:val="00ED1E8B"/>
    <w:rsid w:val="00ED5B8B"/>
    <w:rsid w:val="00EE12D1"/>
    <w:rsid w:val="00EE695D"/>
    <w:rsid w:val="00EF0A2A"/>
    <w:rsid w:val="00EF1AAC"/>
    <w:rsid w:val="00EF26C6"/>
    <w:rsid w:val="00EF3D43"/>
    <w:rsid w:val="00EF3E75"/>
    <w:rsid w:val="00EF6790"/>
    <w:rsid w:val="00F04371"/>
    <w:rsid w:val="00F216DB"/>
    <w:rsid w:val="00F23DAB"/>
    <w:rsid w:val="00F37444"/>
    <w:rsid w:val="00F40658"/>
    <w:rsid w:val="00F51014"/>
    <w:rsid w:val="00F518B5"/>
    <w:rsid w:val="00F6493D"/>
    <w:rsid w:val="00F7361E"/>
    <w:rsid w:val="00F74B78"/>
    <w:rsid w:val="00F77217"/>
    <w:rsid w:val="00F804E2"/>
    <w:rsid w:val="00F81BCA"/>
    <w:rsid w:val="00F83D13"/>
    <w:rsid w:val="00F90D38"/>
    <w:rsid w:val="00F94D57"/>
    <w:rsid w:val="00F94DC7"/>
    <w:rsid w:val="00FB4B2C"/>
    <w:rsid w:val="00FB5AF9"/>
    <w:rsid w:val="00FB600D"/>
    <w:rsid w:val="00FB753E"/>
    <w:rsid w:val="00FB75F4"/>
    <w:rsid w:val="00FC08E4"/>
    <w:rsid w:val="00FC7D7D"/>
    <w:rsid w:val="00FD37DD"/>
    <w:rsid w:val="00FD7BD1"/>
    <w:rsid w:val="00FE140E"/>
    <w:rsid w:val="00FE476F"/>
    <w:rsid w:val="00FE6053"/>
    <w:rsid w:val="00FE6F4B"/>
    <w:rsid w:val="00FE7FF1"/>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32D7"/>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250897761">
      <w:bodyDiv w:val="1"/>
      <w:marLeft w:val="0"/>
      <w:marRight w:val="0"/>
      <w:marTop w:val="0"/>
      <w:marBottom w:val="0"/>
      <w:divBdr>
        <w:top w:val="none" w:sz="0" w:space="0" w:color="auto"/>
        <w:left w:val="none" w:sz="0" w:space="0" w:color="auto"/>
        <w:bottom w:val="none" w:sz="0" w:space="0" w:color="auto"/>
        <w:right w:val="none" w:sz="0" w:space="0" w:color="auto"/>
      </w:divBdr>
    </w:div>
    <w:div w:id="362755873">
      <w:bodyDiv w:val="1"/>
      <w:marLeft w:val="0"/>
      <w:marRight w:val="0"/>
      <w:marTop w:val="0"/>
      <w:marBottom w:val="0"/>
      <w:divBdr>
        <w:top w:val="none" w:sz="0" w:space="0" w:color="auto"/>
        <w:left w:val="none" w:sz="0" w:space="0" w:color="auto"/>
        <w:bottom w:val="none" w:sz="0" w:space="0" w:color="auto"/>
        <w:right w:val="none" w:sz="0" w:space="0" w:color="auto"/>
      </w:divBdr>
    </w:div>
    <w:div w:id="398674802">
      <w:bodyDiv w:val="1"/>
      <w:marLeft w:val="0"/>
      <w:marRight w:val="0"/>
      <w:marTop w:val="0"/>
      <w:marBottom w:val="0"/>
      <w:divBdr>
        <w:top w:val="none" w:sz="0" w:space="0" w:color="auto"/>
        <w:left w:val="none" w:sz="0" w:space="0" w:color="auto"/>
        <w:bottom w:val="none" w:sz="0" w:space="0" w:color="auto"/>
        <w:right w:val="none" w:sz="0" w:space="0" w:color="auto"/>
      </w:divBdr>
    </w:div>
    <w:div w:id="743257815">
      <w:bodyDiv w:val="1"/>
      <w:marLeft w:val="0"/>
      <w:marRight w:val="0"/>
      <w:marTop w:val="0"/>
      <w:marBottom w:val="0"/>
      <w:divBdr>
        <w:top w:val="none" w:sz="0" w:space="0" w:color="auto"/>
        <w:left w:val="none" w:sz="0" w:space="0" w:color="auto"/>
        <w:bottom w:val="none" w:sz="0" w:space="0" w:color="auto"/>
        <w:right w:val="none" w:sz="0" w:space="0" w:color="auto"/>
      </w:divBdr>
    </w:div>
    <w:div w:id="935095785">
      <w:bodyDiv w:val="1"/>
      <w:marLeft w:val="0"/>
      <w:marRight w:val="0"/>
      <w:marTop w:val="0"/>
      <w:marBottom w:val="0"/>
      <w:divBdr>
        <w:top w:val="none" w:sz="0" w:space="0" w:color="auto"/>
        <w:left w:val="none" w:sz="0" w:space="0" w:color="auto"/>
        <w:bottom w:val="none" w:sz="0" w:space="0" w:color="auto"/>
        <w:right w:val="none" w:sz="0" w:space="0" w:color="auto"/>
      </w:divBdr>
    </w:div>
    <w:div w:id="1098253053">
      <w:bodyDiv w:val="1"/>
      <w:marLeft w:val="0"/>
      <w:marRight w:val="0"/>
      <w:marTop w:val="0"/>
      <w:marBottom w:val="0"/>
      <w:divBdr>
        <w:top w:val="none" w:sz="0" w:space="0" w:color="auto"/>
        <w:left w:val="none" w:sz="0" w:space="0" w:color="auto"/>
        <w:bottom w:val="none" w:sz="0" w:space="0" w:color="auto"/>
        <w:right w:val="none" w:sz="0" w:space="0" w:color="auto"/>
      </w:divBdr>
    </w:div>
    <w:div w:id="1329746201">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representantes/armando-antonio-zabarain-de-ar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mara.gov.co/representantes/alfredo-ape-cuello-bau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representantes/armando-antonio-zabarain-de-ar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mara.gov.co/representantes/alfredo-ape-cuello-baute" TargetMode="Externa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www.camara.gov.co/representantes/alfredo-ape-cuello-ba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7B700-F607-48F2-B70E-B8FF55EF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5722</Words>
  <Characters>32618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Rodriguez Prieto</dc:creator>
  <cp:lastModifiedBy>Juan Sebastian Rodriguez Prieto</cp:lastModifiedBy>
  <cp:revision>3</cp:revision>
  <dcterms:created xsi:type="dcterms:W3CDTF">2021-07-13T20:27:00Z</dcterms:created>
  <dcterms:modified xsi:type="dcterms:W3CDTF">2021-07-15T22:08:00Z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