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C7BE39" w14:textId="77777777" w:rsidR="003746FA" w:rsidRDefault="003746FA" w:rsidP="003746FA">
      <w:pPr>
        <w:kinsoku w:val="0"/>
        <w:overflowPunct w:val="0"/>
        <w:autoSpaceDE w:val="0"/>
        <w:autoSpaceDN w:val="0"/>
        <w:adjustRightInd w:val="0"/>
        <w:spacing w:after="0" w:line="282" w:lineRule="exact"/>
        <w:ind w:left="39"/>
        <w:jc w:val="both"/>
        <w:rPr>
          <w:rFonts w:ascii="Times New Roman" w:hAnsi="Times New Roman" w:cs="Times New Roman"/>
          <w:sz w:val="24"/>
          <w:szCs w:val="24"/>
          <w:lang w:val="es-MX"/>
        </w:rPr>
      </w:pPr>
      <w:r>
        <w:rPr>
          <w:rFonts w:ascii="Times New Roman" w:hAnsi="Times New Roman" w:cs="Times New Roman"/>
          <w:sz w:val="24"/>
          <w:szCs w:val="24"/>
          <w:lang w:val="es-MX"/>
        </w:rPr>
        <w:t>Bogotá D.C. 20 de julio de 2021</w:t>
      </w:r>
    </w:p>
    <w:p w14:paraId="60D96B5E" w14:textId="77777777" w:rsidR="003746FA" w:rsidRDefault="003746FA" w:rsidP="003746FA">
      <w:pPr>
        <w:kinsoku w:val="0"/>
        <w:overflowPunct w:val="0"/>
        <w:autoSpaceDE w:val="0"/>
        <w:autoSpaceDN w:val="0"/>
        <w:adjustRightInd w:val="0"/>
        <w:spacing w:after="0" w:line="282" w:lineRule="exact"/>
        <w:ind w:left="39"/>
        <w:jc w:val="both"/>
        <w:rPr>
          <w:rFonts w:ascii="Times New Roman" w:hAnsi="Times New Roman" w:cs="Times New Roman"/>
          <w:sz w:val="24"/>
          <w:szCs w:val="24"/>
          <w:lang w:val="es-MX"/>
        </w:rPr>
      </w:pPr>
    </w:p>
    <w:p w14:paraId="0FF8ED1D" w14:textId="77777777" w:rsidR="003746FA" w:rsidRDefault="003746FA" w:rsidP="003746FA">
      <w:pPr>
        <w:kinsoku w:val="0"/>
        <w:overflowPunct w:val="0"/>
        <w:autoSpaceDE w:val="0"/>
        <w:autoSpaceDN w:val="0"/>
        <w:adjustRightInd w:val="0"/>
        <w:spacing w:after="0" w:line="282" w:lineRule="exact"/>
        <w:ind w:left="39"/>
        <w:jc w:val="both"/>
        <w:rPr>
          <w:rFonts w:ascii="Times New Roman" w:hAnsi="Times New Roman" w:cs="Times New Roman"/>
          <w:sz w:val="24"/>
          <w:szCs w:val="24"/>
          <w:lang w:val="es-MX"/>
        </w:rPr>
      </w:pPr>
    </w:p>
    <w:p w14:paraId="5BAD1D97" w14:textId="77777777" w:rsidR="003746FA" w:rsidRPr="00106058" w:rsidRDefault="003746FA" w:rsidP="003746FA">
      <w:pPr>
        <w:kinsoku w:val="0"/>
        <w:overflowPunct w:val="0"/>
        <w:autoSpaceDE w:val="0"/>
        <w:autoSpaceDN w:val="0"/>
        <w:adjustRightInd w:val="0"/>
        <w:spacing w:after="0" w:line="282" w:lineRule="exact"/>
        <w:ind w:left="39"/>
        <w:jc w:val="both"/>
        <w:rPr>
          <w:rFonts w:ascii="Times New Roman" w:hAnsi="Times New Roman" w:cs="Times New Roman"/>
          <w:sz w:val="24"/>
          <w:szCs w:val="24"/>
          <w:lang w:val="es-MX"/>
        </w:rPr>
      </w:pPr>
    </w:p>
    <w:p w14:paraId="1B552291" w14:textId="77777777" w:rsidR="003746FA" w:rsidRPr="00106058" w:rsidRDefault="003746FA" w:rsidP="003746FA">
      <w:pPr>
        <w:kinsoku w:val="0"/>
        <w:overflowPunct w:val="0"/>
        <w:autoSpaceDE w:val="0"/>
        <w:autoSpaceDN w:val="0"/>
        <w:adjustRightInd w:val="0"/>
        <w:spacing w:after="0" w:line="282" w:lineRule="exact"/>
        <w:ind w:left="39"/>
        <w:jc w:val="both"/>
        <w:rPr>
          <w:rFonts w:ascii="Times New Roman" w:hAnsi="Times New Roman" w:cs="Times New Roman"/>
          <w:sz w:val="24"/>
          <w:szCs w:val="24"/>
          <w:lang w:val="es-MX"/>
        </w:rPr>
      </w:pPr>
      <w:r w:rsidRPr="00106058">
        <w:rPr>
          <w:rFonts w:ascii="Times New Roman" w:hAnsi="Times New Roman" w:cs="Times New Roman"/>
          <w:sz w:val="24"/>
          <w:szCs w:val="24"/>
          <w:lang w:val="es-MX"/>
        </w:rPr>
        <w:t xml:space="preserve">Honorable </w:t>
      </w:r>
      <w:proofErr w:type="gramStart"/>
      <w:r w:rsidRPr="00106058">
        <w:rPr>
          <w:rFonts w:ascii="Times New Roman" w:hAnsi="Times New Roman" w:cs="Times New Roman"/>
          <w:sz w:val="24"/>
          <w:szCs w:val="24"/>
          <w:lang w:val="es-MX"/>
        </w:rPr>
        <w:t>Presidente</w:t>
      </w:r>
      <w:proofErr w:type="gramEnd"/>
    </w:p>
    <w:p w14:paraId="2C1BE00E" w14:textId="77777777" w:rsidR="003746FA" w:rsidRPr="00106058" w:rsidRDefault="003746FA" w:rsidP="003746FA">
      <w:pPr>
        <w:kinsoku w:val="0"/>
        <w:overflowPunct w:val="0"/>
        <w:autoSpaceDE w:val="0"/>
        <w:autoSpaceDN w:val="0"/>
        <w:adjustRightInd w:val="0"/>
        <w:spacing w:after="0" w:line="282" w:lineRule="exact"/>
        <w:ind w:left="39"/>
        <w:jc w:val="both"/>
        <w:rPr>
          <w:rFonts w:ascii="Times New Roman" w:hAnsi="Times New Roman" w:cs="Times New Roman"/>
          <w:b/>
          <w:bCs/>
          <w:sz w:val="24"/>
          <w:szCs w:val="24"/>
          <w:lang w:val="es-MX"/>
        </w:rPr>
      </w:pPr>
      <w:r w:rsidRPr="00106058">
        <w:rPr>
          <w:rFonts w:ascii="Times New Roman" w:hAnsi="Times New Roman" w:cs="Times New Roman"/>
          <w:b/>
          <w:bCs/>
          <w:sz w:val="24"/>
          <w:szCs w:val="24"/>
          <w:lang w:val="es-MX"/>
        </w:rPr>
        <w:t>MESA DIRECTIVA</w:t>
      </w:r>
    </w:p>
    <w:p w14:paraId="446F4896" w14:textId="77777777" w:rsidR="003746FA" w:rsidRDefault="003746FA" w:rsidP="003746FA">
      <w:pPr>
        <w:kinsoku w:val="0"/>
        <w:overflowPunct w:val="0"/>
        <w:autoSpaceDE w:val="0"/>
        <w:autoSpaceDN w:val="0"/>
        <w:adjustRightInd w:val="0"/>
        <w:spacing w:after="0" w:line="282" w:lineRule="exact"/>
        <w:ind w:left="39"/>
        <w:jc w:val="both"/>
        <w:rPr>
          <w:rFonts w:ascii="Times New Roman" w:hAnsi="Times New Roman" w:cs="Times New Roman"/>
          <w:sz w:val="24"/>
          <w:szCs w:val="24"/>
          <w:lang w:val="es-MX"/>
        </w:rPr>
      </w:pPr>
      <w:r w:rsidRPr="00106058">
        <w:rPr>
          <w:rFonts w:ascii="Times New Roman" w:hAnsi="Times New Roman" w:cs="Times New Roman"/>
          <w:sz w:val="24"/>
          <w:szCs w:val="24"/>
          <w:lang w:val="es-MX"/>
        </w:rPr>
        <w:t>Cámara de Representantes del Congreso de la República</w:t>
      </w:r>
    </w:p>
    <w:p w14:paraId="7C40719D" w14:textId="77777777" w:rsidR="003746FA" w:rsidRDefault="003746FA" w:rsidP="003746FA">
      <w:pPr>
        <w:kinsoku w:val="0"/>
        <w:overflowPunct w:val="0"/>
        <w:autoSpaceDE w:val="0"/>
        <w:autoSpaceDN w:val="0"/>
        <w:adjustRightInd w:val="0"/>
        <w:spacing w:after="0" w:line="282" w:lineRule="exact"/>
        <w:ind w:left="39"/>
        <w:jc w:val="both"/>
        <w:rPr>
          <w:rFonts w:ascii="Times New Roman" w:hAnsi="Times New Roman" w:cs="Times New Roman"/>
          <w:sz w:val="24"/>
          <w:szCs w:val="24"/>
          <w:lang w:val="es-MX"/>
        </w:rPr>
      </w:pPr>
      <w:r w:rsidRPr="00106058">
        <w:rPr>
          <w:rFonts w:ascii="Times New Roman" w:hAnsi="Times New Roman" w:cs="Times New Roman"/>
          <w:sz w:val="24"/>
          <w:szCs w:val="24"/>
          <w:lang w:val="es-MX"/>
        </w:rPr>
        <w:t>Ciudad</w:t>
      </w:r>
      <w:r>
        <w:rPr>
          <w:rFonts w:ascii="Times New Roman" w:hAnsi="Times New Roman" w:cs="Times New Roman"/>
          <w:sz w:val="24"/>
          <w:szCs w:val="24"/>
          <w:lang w:val="es-MX"/>
        </w:rPr>
        <w:t>.</w:t>
      </w:r>
    </w:p>
    <w:p w14:paraId="4F538D0B" w14:textId="77777777" w:rsidR="003746FA" w:rsidRDefault="003746FA" w:rsidP="003746FA">
      <w:pPr>
        <w:kinsoku w:val="0"/>
        <w:overflowPunct w:val="0"/>
        <w:autoSpaceDE w:val="0"/>
        <w:autoSpaceDN w:val="0"/>
        <w:adjustRightInd w:val="0"/>
        <w:spacing w:after="0" w:line="282" w:lineRule="exact"/>
        <w:ind w:left="39"/>
        <w:jc w:val="both"/>
        <w:rPr>
          <w:rFonts w:ascii="Times New Roman" w:hAnsi="Times New Roman" w:cs="Times New Roman"/>
          <w:sz w:val="24"/>
          <w:szCs w:val="24"/>
          <w:lang w:val="es-MX"/>
        </w:rPr>
      </w:pPr>
    </w:p>
    <w:p w14:paraId="5356C652" w14:textId="77777777" w:rsidR="003746FA" w:rsidRPr="00106058" w:rsidRDefault="003746FA" w:rsidP="003746FA">
      <w:pPr>
        <w:kinsoku w:val="0"/>
        <w:overflowPunct w:val="0"/>
        <w:autoSpaceDE w:val="0"/>
        <w:autoSpaceDN w:val="0"/>
        <w:adjustRightInd w:val="0"/>
        <w:spacing w:after="0" w:line="282" w:lineRule="exact"/>
        <w:ind w:left="39"/>
        <w:jc w:val="both"/>
        <w:rPr>
          <w:rFonts w:ascii="Times New Roman" w:hAnsi="Times New Roman" w:cs="Times New Roman"/>
          <w:sz w:val="24"/>
          <w:szCs w:val="24"/>
          <w:lang w:val="es-MX"/>
        </w:rPr>
      </w:pPr>
    </w:p>
    <w:p w14:paraId="43032423" w14:textId="77777777" w:rsidR="003746FA" w:rsidRPr="005F123D" w:rsidRDefault="003746FA" w:rsidP="003746FA">
      <w:pPr>
        <w:ind w:left="1440" w:hanging="1440"/>
        <w:jc w:val="both"/>
        <w:rPr>
          <w:rFonts w:ascii="Times New Roman" w:hAnsi="Times New Roman" w:cs="Times New Roman"/>
          <w:lang w:val="es-MX"/>
        </w:rPr>
      </w:pPr>
      <w:r w:rsidRPr="005F123D">
        <w:rPr>
          <w:rFonts w:ascii="Times New Roman" w:hAnsi="Times New Roman" w:cs="Times New Roman"/>
          <w:sz w:val="24"/>
          <w:szCs w:val="24"/>
          <w:lang w:val="es-MX"/>
        </w:rPr>
        <w:t>Asunto:</w:t>
      </w:r>
      <w:r w:rsidRPr="005F123D">
        <w:rPr>
          <w:rFonts w:ascii="Times New Roman" w:hAnsi="Times New Roman" w:cs="Times New Roman"/>
          <w:sz w:val="24"/>
          <w:szCs w:val="24"/>
          <w:lang w:val="es-MX"/>
        </w:rPr>
        <w:tab/>
        <w:t xml:space="preserve">Proyecto de Ley No. </w:t>
      </w:r>
      <w:r>
        <w:rPr>
          <w:rFonts w:ascii="Times New Roman" w:hAnsi="Times New Roman" w:cs="Times New Roman"/>
          <w:sz w:val="24"/>
          <w:szCs w:val="24"/>
          <w:lang w:val="es-MX"/>
        </w:rPr>
        <w:t xml:space="preserve">___ </w:t>
      </w:r>
      <w:r w:rsidRPr="005F123D">
        <w:rPr>
          <w:rFonts w:ascii="Times New Roman" w:hAnsi="Times New Roman" w:cs="Times New Roman"/>
          <w:sz w:val="24"/>
          <w:szCs w:val="24"/>
          <w:lang w:val="es-MX"/>
        </w:rPr>
        <w:t>de 2021</w:t>
      </w:r>
      <w:r w:rsidRPr="005F123D">
        <w:rPr>
          <w:rFonts w:ascii="Times New Roman" w:hAnsi="Times New Roman" w:cs="Times New Roman"/>
          <w:lang w:val="es-MX"/>
        </w:rPr>
        <w:t xml:space="preserve"> “</w:t>
      </w:r>
      <w:r w:rsidRPr="005F123D">
        <w:rPr>
          <w:rFonts w:ascii="Times New Roman" w:hAnsi="Times New Roman" w:cs="Times New Roman"/>
          <w:b/>
          <w:sz w:val="24"/>
          <w:szCs w:val="24"/>
          <w:lang w:val="es-MX"/>
        </w:rPr>
        <w:t xml:space="preserve">Por medio de la cual se prohíbe en </w:t>
      </w:r>
      <w:r>
        <w:rPr>
          <w:rFonts w:ascii="Times New Roman" w:hAnsi="Times New Roman" w:cs="Times New Roman"/>
          <w:b/>
          <w:sz w:val="24"/>
          <w:szCs w:val="24"/>
          <w:lang w:val="es-MX"/>
        </w:rPr>
        <w:t xml:space="preserve">el territorio continental y costa fuera de la República de Colombia </w:t>
      </w:r>
      <w:r w:rsidRPr="005F123D">
        <w:rPr>
          <w:rFonts w:ascii="Times New Roman" w:hAnsi="Times New Roman" w:cs="Times New Roman"/>
          <w:b/>
          <w:sz w:val="24"/>
          <w:szCs w:val="24"/>
          <w:lang w:val="es-MX"/>
        </w:rPr>
        <w:t xml:space="preserve">la </w:t>
      </w:r>
      <w:r>
        <w:rPr>
          <w:rFonts w:ascii="Times New Roman" w:hAnsi="Times New Roman" w:cs="Times New Roman"/>
          <w:b/>
          <w:sz w:val="24"/>
          <w:szCs w:val="24"/>
          <w:lang w:val="es-MX"/>
        </w:rPr>
        <w:t xml:space="preserve">aplicación combinada </w:t>
      </w:r>
      <w:r w:rsidRPr="005F123D">
        <w:rPr>
          <w:rFonts w:ascii="Times New Roman" w:hAnsi="Times New Roman" w:cs="Times New Roman"/>
          <w:b/>
          <w:sz w:val="24"/>
          <w:szCs w:val="24"/>
          <w:lang w:val="es-MX"/>
        </w:rPr>
        <w:t>de la</w:t>
      </w:r>
      <w:r>
        <w:rPr>
          <w:rFonts w:ascii="Times New Roman" w:hAnsi="Times New Roman" w:cs="Times New Roman"/>
          <w:b/>
          <w:sz w:val="24"/>
          <w:szCs w:val="24"/>
          <w:lang w:val="es-MX"/>
        </w:rPr>
        <w:t>s</w:t>
      </w:r>
      <w:r w:rsidRPr="005F123D">
        <w:rPr>
          <w:rFonts w:ascii="Times New Roman" w:hAnsi="Times New Roman" w:cs="Times New Roman"/>
          <w:b/>
          <w:sz w:val="24"/>
          <w:szCs w:val="24"/>
          <w:lang w:val="es-MX"/>
        </w:rPr>
        <w:t xml:space="preserve"> Técnica</w:t>
      </w:r>
      <w:r>
        <w:rPr>
          <w:rFonts w:ascii="Times New Roman" w:hAnsi="Times New Roman" w:cs="Times New Roman"/>
          <w:b/>
          <w:sz w:val="24"/>
          <w:szCs w:val="24"/>
          <w:lang w:val="es-MX"/>
        </w:rPr>
        <w:t>s No Convencionales</w:t>
      </w:r>
      <w:r w:rsidRPr="005F123D">
        <w:rPr>
          <w:rFonts w:ascii="Times New Roman" w:hAnsi="Times New Roman" w:cs="Times New Roman"/>
          <w:b/>
          <w:sz w:val="24"/>
          <w:szCs w:val="24"/>
          <w:lang w:val="es-MX"/>
        </w:rPr>
        <w:t xml:space="preserve"> de Fracturamiento Hidráulico Multietapa </w:t>
      </w:r>
      <w:r>
        <w:rPr>
          <w:rFonts w:ascii="Times New Roman" w:hAnsi="Times New Roman" w:cs="Times New Roman"/>
          <w:b/>
          <w:sz w:val="24"/>
          <w:szCs w:val="24"/>
          <w:lang w:val="es-MX"/>
        </w:rPr>
        <w:t>y Perforación Horizontal</w:t>
      </w:r>
      <w:r w:rsidRPr="005F123D">
        <w:rPr>
          <w:rFonts w:ascii="Times New Roman" w:hAnsi="Times New Roman" w:cs="Times New Roman"/>
          <w:b/>
          <w:sz w:val="24"/>
          <w:szCs w:val="24"/>
          <w:lang w:val="es-MX"/>
        </w:rPr>
        <w:t xml:space="preserve">, </w:t>
      </w:r>
      <w:r>
        <w:rPr>
          <w:rFonts w:ascii="Times New Roman" w:hAnsi="Times New Roman" w:cs="Times New Roman"/>
          <w:b/>
          <w:sz w:val="24"/>
          <w:szCs w:val="24"/>
          <w:lang w:val="es-MX"/>
        </w:rPr>
        <w:t xml:space="preserve">desde Plataformas Multipozo, en los Yacimientos No Convencionales de Hidrocarburos conocidos como Roca Generadora, </w:t>
      </w:r>
      <w:r w:rsidRPr="005F123D">
        <w:rPr>
          <w:rFonts w:ascii="Times New Roman" w:hAnsi="Times New Roman" w:cs="Times New Roman"/>
          <w:b/>
          <w:sz w:val="24"/>
          <w:szCs w:val="24"/>
          <w:lang w:val="es-MX"/>
        </w:rPr>
        <w:t>y se dictan otras disposiciones</w:t>
      </w:r>
      <w:r w:rsidRPr="005F123D">
        <w:rPr>
          <w:rFonts w:ascii="Times New Roman" w:hAnsi="Times New Roman" w:cs="Times New Roman"/>
          <w:lang w:val="es-MX"/>
        </w:rPr>
        <w:t>”.</w:t>
      </w:r>
    </w:p>
    <w:p w14:paraId="6A8E1F37" w14:textId="77777777" w:rsidR="003746FA" w:rsidRDefault="003746FA" w:rsidP="003746FA">
      <w:pPr>
        <w:kinsoku w:val="0"/>
        <w:overflowPunct w:val="0"/>
        <w:autoSpaceDE w:val="0"/>
        <w:autoSpaceDN w:val="0"/>
        <w:adjustRightInd w:val="0"/>
        <w:spacing w:after="0" w:line="282" w:lineRule="exact"/>
        <w:ind w:left="39"/>
        <w:jc w:val="both"/>
        <w:rPr>
          <w:rFonts w:ascii="Times New Roman" w:hAnsi="Times New Roman" w:cs="Times New Roman"/>
          <w:sz w:val="24"/>
          <w:szCs w:val="24"/>
          <w:lang w:val="es-MX"/>
        </w:rPr>
      </w:pPr>
    </w:p>
    <w:p w14:paraId="69506C47" w14:textId="77777777" w:rsidR="003746FA" w:rsidRDefault="003746FA" w:rsidP="003746FA">
      <w:pPr>
        <w:kinsoku w:val="0"/>
        <w:overflowPunct w:val="0"/>
        <w:autoSpaceDE w:val="0"/>
        <w:autoSpaceDN w:val="0"/>
        <w:adjustRightInd w:val="0"/>
        <w:spacing w:after="0" w:line="282" w:lineRule="exact"/>
        <w:ind w:left="39"/>
        <w:jc w:val="both"/>
        <w:rPr>
          <w:rFonts w:ascii="Times New Roman" w:hAnsi="Times New Roman" w:cs="Times New Roman"/>
          <w:sz w:val="24"/>
          <w:szCs w:val="24"/>
          <w:lang w:val="es-MX"/>
        </w:rPr>
      </w:pPr>
    </w:p>
    <w:p w14:paraId="4D56BDD4" w14:textId="77777777" w:rsidR="003746FA" w:rsidRPr="00106058" w:rsidRDefault="003746FA" w:rsidP="003746FA">
      <w:pPr>
        <w:kinsoku w:val="0"/>
        <w:overflowPunct w:val="0"/>
        <w:autoSpaceDE w:val="0"/>
        <w:autoSpaceDN w:val="0"/>
        <w:adjustRightInd w:val="0"/>
        <w:spacing w:after="0" w:line="282" w:lineRule="exact"/>
        <w:ind w:left="39"/>
        <w:jc w:val="both"/>
        <w:rPr>
          <w:rFonts w:ascii="Times New Roman" w:hAnsi="Times New Roman" w:cs="Times New Roman"/>
          <w:sz w:val="24"/>
          <w:szCs w:val="24"/>
          <w:lang w:val="es-MX"/>
        </w:rPr>
      </w:pPr>
      <w:r w:rsidRPr="00106058">
        <w:rPr>
          <w:rFonts w:ascii="Times New Roman" w:hAnsi="Times New Roman" w:cs="Times New Roman"/>
          <w:sz w:val="24"/>
          <w:szCs w:val="24"/>
          <w:lang w:val="es-MX"/>
        </w:rPr>
        <w:t>Respetado presidente,</w:t>
      </w:r>
    </w:p>
    <w:p w14:paraId="13BD4649" w14:textId="77777777" w:rsidR="003746FA" w:rsidRPr="00106058" w:rsidRDefault="003746FA" w:rsidP="003746FA">
      <w:pPr>
        <w:kinsoku w:val="0"/>
        <w:overflowPunct w:val="0"/>
        <w:autoSpaceDE w:val="0"/>
        <w:autoSpaceDN w:val="0"/>
        <w:adjustRightInd w:val="0"/>
        <w:spacing w:after="0" w:line="282" w:lineRule="exact"/>
        <w:ind w:left="39"/>
        <w:jc w:val="both"/>
        <w:rPr>
          <w:rFonts w:ascii="Times New Roman" w:hAnsi="Times New Roman" w:cs="Times New Roman"/>
          <w:sz w:val="24"/>
          <w:szCs w:val="24"/>
          <w:lang w:val="es-MX"/>
        </w:rPr>
      </w:pPr>
    </w:p>
    <w:p w14:paraId="5F3E10F2" w14:textId="77777777" w:rsidR="003746FA" w:rsidRPr="00106058" w:rsidRDefault="003746FA" w:rsidP="003746FA">
      <w:pPr>
        <w:kinsoku w:val="0"/>
        <w:overflowPunct w:val="0"/>
        <w:autoSpaceDE w:val="0"/>
        <w:autoSpaceDN w:val="0"/>
        <w:adjustRightInd w:val="0"/>
        <w:spacing w:after="0" w:line="282" w:lineRule="exact"/>
        <w:ind w:left="39"/>
        <w:jc w:val="both"/>
        <w:rPr>
          <w:rFonts w:ascii="Times New Roman" w:hAnsi="Times New Roman" w:cs="Times New Roman"/>
          <w:sz w:val="24"/>
          <w:szCs w:val="24"/>
          <w:lang w:val="es-MX"/>
        </w:rPr>
      </w:pPr>
      <w:r>
        <w:rPr>
          <w:rFonts w:ascii="Times New Roman" w:hAnsi="Times New Roman" w:cs="Times New Roman"/>
          <w:sz w:val="24"/>
          <w:szCs w:val="24"/>
          <w:lang w:val="es-MX"/>
        </w:rPr>
        <w:t>En mi</w:t>
      </w:r>
      <w:r w:rsidRPr="00106058">
        <w:rPr>
          <w:rFonts w:ascii="Times New Roman" w:hAnsi="Times New Roman" w:cs="Times New Roman"/>
          <w:sz w:val="24"/>
          <w:szCs w:val="24"/>
          <w:lang w:val="es-MX"/>
        </w:rPr>
        <w:t xml:space="preserve"> condición</w:t>
      </w:r>
      <w:r>
        <w:rPr>
          <w:rFonts w:ascii="Times New Roman" w:hAnsi="Times New Roman" w:cs="Times New Roman"/>
          <w:sz w:val="24"/>
          <w:szCs w:val="24"/>
          <w:lang w:val="es-MX"/>
        </w:rPr>
        <w:t xml:space="preserve"> de Congresista</w:t>
      </w:r>
      <w:r w:rsidRPr="00106058">
        <w:rPr>
          <w:rFonts w:ascii="Times New Roman" w:hAnsi="Times New Roman" w:cs="Times New Roman"/>
          <w:sz w:val="24"/>
          <w:szCs w:val="24"/>
          <w:lang w:val="es-MX"/>
        </w:rPr>
        <w:t xml:space="preserve"> de la Cámara de Representantes de la</w:t>
      </w:r>
      <w:r>
        <w:rPr>
          <w:rFonts w:ascii="Times New Roman" w:hAnsi="Times New Roman" w:cs="Times New Roman"/>
          <w:sz w:val="24"/>
          <w:szCs w:val="24"/>
          <w:lang w:val="es-MX"/>
        </w:rPr>
        <w:t xml:space="preserve"> República de Colombia, radico</w:t>
      </w:r>
      <w:r w:rsidRPr="00106058">
        <w:rPr>
          <w:rFonts w:ascii="Times New Roman" w:hAnsi="Times New Roman" w:cs="Times New Roman"/>
          <w:sz w:val="24"/>
          <w:szCs w:val="24"/>
          <w:lang w:val="es-MX"/>
        </w:rPr>
        <w:t xml:space="preserve"> el presente Proyecto</w:t>
      </w:r>
      <w:r>
        <w:rPr>
          <w:rFonts w:ascii="Times New Roman" w:hAnsi="Times New Roman" w:cs="Times New Roman"/>
          <w:sz w:val="24"/>
          <w:szCs w:val="24"/>
          <w:lang w:val="es-MX"/>
        </w:rPr>
        <w:t xml:space="preserve"> de Ley que prohíbe, en el territorio nacional, el uso o aplicación combinada de dos tecnologías no convencionales para la exploración y explotación de hidrocarburos en un tipo de yacimiento no convencional conocido como roca generadora</w:t>
      </w:r>
      <w:r w:rsidRPr="00106058">
        <w:rPr>
          <w:rFonts w:ascii="Times New Roman" w:hAnsi="Times New Roman" w:cs="Times New Roman"/>
          <w:sz w:val="24"/>
          <w:szCs w:val="24"/>
          <w:lang w:val="es-MX"/>
        </w:rPr>
        <w:t>.</w:t>
      </w:r>
    </w:p>
    <w:p w14:paraId="6B1CF71E" w14:textId="77777777" w:rsidR="003746FA" w:rsidRPr="00106058" w:rsidRDefault="003746FA" w:rsidP="003746FA">
      <w:pPr>
        <w:kinsoku w:val="0"/>
        <w:overflowPunct w:val="0"/>
        <w:autoSpaceDE w:val="0"/>
        <w:autoSpaceDN w:val="0"/>
        <w:adjustRightInd w:val="0"/>
        <w:spacing w:after="0" w:line="282" w:lineRule="exact"/>
        <w:ind w:left="39"/>
        <w:jc w:val="both"/>
        <w:rPr>
          <w:rFonts w:ascii="Times New Roman" w:hAnsi="Times New Roman" w:cs="Times New Roman"/>
          <w:sz w:val="24"/>
          <w:szCs w:val="24"/>
          <w:lang w:val="es-MX"/>
        </w:rPr>
      </w:pPr>
    </w:p>
    <w:p w14:paraId="5141269E" w14:textId="77777777" w:rsidR="003746FA" w:rsidRPr="004A49CA" w:rsidRDefault="003746FA" w:rsidP="003746FA">
      <w:pPr>
        <w:kinsoku w:val="0"/>
        <w:overflowPunct w:val="0"/>
        <w:autoSpaceDE w:val="0"/>
        <w:autoSpaceDN w:val="0"/>
        <w:adjustRightInd w:val="0"/>
        <w:spacing w:after="0" w:line="282" w:lineRule="exact"/>
        <w:ind w:left="39"/>
        <w:jc w:val="both"/>
        <w:rPr>
          <w:rFonts w:ascii="Times New Roman" w:hAnsi="Times New Roman" w:cs="Times New Roman"/>
          <w:sz w:val="24"/>
          <w:szCs w:val="24"/>
          <w:lang w:val="es-MX"/>
        </w:rPr>
      </w:pPr>
      <w:r>
        <w:rPr>
          <w:rFonts w:ascii="Times New Roman" w:hAnsi="Times New Roman" w:cs="Times New Roman"/>
          <w:sz w:val="24"/>
          <w:szCs w:val="24"/>
          <w:lang w:val="es-MX"/>
        </w:rPr>
        <w:t>De tal forma, presento</w:t>
      </w:r>
      <w:r w:rsidRPr="00106058">
        <w:rPr>
          <w:rFonts w:ascii="Times New Roman" w:hAnsi="Times New Roman" w:cs="Times New Roman"/>
          <w:sz w:val="24"/>
          <w:szCs w:val="24"/>
          <w:lang w:val="es-MX"/>
        </w:rPr>
        <w:t xml:space="preserve"> a consideración del Congreso de la República este proyecto </w:t>
      </w:r>
      <w:r w:rsidRPr="005B3D8D">
        <w:rPr>
          <w:rFonts w:ascii="Times New Roman" w:hAnsi="Times New Roman" w:cs="Times New Roman"/>
          <w:b/>
          <w:i/>
          <w:iCs/>
          <w:sz w:val="24"/>
          <w:szCs w:val="24"/>
          <w:lang w:val="es-MX"/>
        </w:rPr>
        <w:t xml:space="preserve">“Por medio de la cual se prohíbe en el territorio continental y costa fuera de la República de Colombia la aplicación combinada de las Técnicas No Convencionales de Fracturamiento Hidráulico Multietapa y Perforación Horizontal o Multilateral, desde Plataformas Multipozo, en Yacimientos No Convencionales de Hidrocarburos de Roca Generadora, y </w:t>
      </w:r>
      <w:r w:rsidRPr="005B3D8D">
        <w:rPr>
          <w:rFonts w:ascii="Times New Roman" w:hAnsi="Times New Roman" w:cs="Times New Roman"/>
          <w:b/>
          <w:i/>
          <w:iCs/>
          <w:sz w:val="24"/>
          <w:szCs w:val="24"/>
          <w:lang w:val="es-MX"/>
        </w:rPr>
        <w:lastRenderedPageBreak/>
        <w:t>se dictan otras disposiciones”</w:t>
      </w:r>
      <w:r w:rsidRPr="005B3D8D">
        <w:rPr>
          <w:rFonts w:ascii="Times New Roman" w:hAnsi="Times New Roman" w:cs="Times New Roman"/>
          <w:i/>
          <w:iCs/>
          <w:sz w:val="24"/>
          <w:szCs w:val="24"/>
          <w:lang w:val="es-MX"/>
        </w:rPr>
        <w:t>.</w:t>
      </w:r>
      <w:r>
        <w:rPr>
          <w:rFonts w:ascii="Times New Roman" w:hAnsi="Times New Roman" w:cs="Times New Roman"/>
          <w:i/>
          <w:iCs/>
          <w:sz w:val="24"/>
          <w:szCs w:val="24"/>
          <w:lang w:val="es-MX"/>
        </w:rPr>
        <w:t>,</w:t>
      </w:r>
      <w:r w:rsidRPr="00106058">
        <w:rPr>
          <w:rFonts w:ascii="Times New Roman" w:hAnsi="Times New Roman" w:cs="Times New Roman"/>
          <w:i/>
          <w:iCs/>
          <w:sz w:val="24"/>
          <w:szCs w:val="24"/>
          <w:lang w:val="es-MX"/>
        </w:rPr>
        <w:t xml:space="preserve"> </w:t>
      </w:r>
      <w:r w:rsidRPr="00106058">
        <w:rPr>
          <w:rFonts w:ascii="Times New Roman" w:hAnsi="Times New Roman" w:cs="Times New Roman"/>
          <w:sz w:val="24"/>
          <w:szCs w:val="24"/>
          <w:lang w:val="es-MX"/>
        </w:rPr>
        <w:t>con el fin de iniciar el trámite correspondiente y cumplir con las exigencias dictadas por la</w:t>
      </w:r>
      <w:r>
        <w:rPr>
          <w:rFonts w:ascii="Times New Roman" w:hAnsi="Times New Roman" w:cs="Times New Roman"/>
          <w:sz w:val="24"/>
          <w:szCs w:val="24"/>
          <w:lang w:val="es-MX"/>
        </w:rPr>
        <w:t xml:space="preserve"> </w:t>
      </w:r>
      <w:r w:rsidRPr="004A49CA">
        <w:rPr>
          <w:rFonts w:ascii="Times New Roman" w:hAnsi="Times New Roman" w:cs="Times New Roman"/>
          <w:sz w:val="24"/>
          <w:szCs w:val="24"/>
          <w:lang w:val="es-MX"/>
        </w:rPr>
        <w:t>Constitución y la ley.</w:t>
      </w:r>
    </w:p>
    <w:p w14:paraId="4B736AD1" w14:textId="77777777" w:rsidR="003746FA" w:rsidRPr="004A49CA" w:rsidRDefault="003746FA" w:rsidP="003746FA">
      <w:pPr>
        <w:kinsoku w:val="0"/>
        <w:overflowPunct w:val="0"/>
        <w:autoSpaceDE w:val="0"/>
        <w:autoSpaceDN w:val="0"/>
        <w:adjustRightInd w:val="0"/>
        <w:spacing w:after="0" w:line="282" w:lineRule="exact"/>
        <w:ind w:left="39"/>
        <w:jc w:val="both"/>
        <w:rPr>
          <w:rFonts w:ascii="Times New Roman" w:hAnsi="Times New Roman" w:cs="Times New Roman"/>
          <w:sz w:val="24"/>
          <w:szCs w:val="24"/>
          <w:lang w:val="es-MX"/>
        </w:rPr>
      </w:pPr>
    </w:p>
    <w:p w14:paraId="25D5B197" w14:textId="77777777" w:rsidR="003746FA" w:rsidRPr="00FE3352" w:rsidRDefault="003746FA" w:rsidP="003746FA">
      <w:pPr>
        <w:kinsoku w:val="0"/>
        <w:overflowPunct w:val="0"/>
        <w:autoSpaceDE w:val="0"/>
        <w:autoSpaceDN w:val="0"/>
        <w:adjustRightInd w:val="0"/>
        <w:spacing w:after="0" w:line="282" w:lineRule="exact"/>
        <w:ind w:left="39"/>
        <w:jc w:val="both"/>
        <w:rPr>
          <w:rFonts w:ascii="Times New Roman" w:hAnsi="Times New Roman" w:cs="Times New Roman"/>
          <w:iCs/>
          <w:sz w:val="24"/>
          <w:szCs w:val="24"/>
          <w:lang w:val="es-MX"/>
        </w:rPr>
      </w:pPr>
      <w:r w:rsidRPr="00FE3352">
        <w:rPr>
          <w:rFonts w:ascii="Times New Roman" w:hAnsi="Times New Roman" w:cs="Times New Roman"/>
          <w:iCs/>
          <w:sz w:val="24"/>
          <w:szCs w:val="24"/>
          <w:lang w:val="es-MX"/>
        </w:rPr>
        <w:t>Cordialmente,</w:t>
      </w:r>
    </w:p>
    <w:p w14:paraId="120AA348" w14:textId="77777777" w:rsidR="003746FA" w:rsidRDefault="003746FA" w:rsidP="003746FA">
      <w:pPr>
        <w:kinsoku w:val="0"/>
        <w:overflowPunct w:val="0"/>
        <w:autoSpaceDE w:val="0"/>
        <w:autoSpaceDN w:val="0"/>
        <w:adjustRightInd w:val="0"/>
        <w:spacing w:after="0" w:line="282" w:lineRule="exact"/>
        <w:jc w:val="both"/>
        <w:rPr>
          <w:rFonts w:ascii="Times New Roman" w:hAnsi="Times New Roman" w:cs="Times New Roman"/>
          <w:iCs/>
          <w:sz w:val="24"/>
          <w:szCs w:val="24"/>
          <w:lang w:val="es-MX"/>
        </w:rPr>
      </w:pPr>
    </w:p>
    <w:p w14:paraId="3D26C830" w14:textId="77777777" w:rsidR="003746FA" w:rsidRPr="00FE3352" w:rsidRDefault="003746FA" w:rsidP="003746FA">
      <w:pPr>
        <w:kinsoku w:val="0"/>
        <w:overflowPunct w:val="0"/>
        <w:autoSpaceDE w:val="0"/>
        <w:autoSpaceDN w:val="0"/>
        <w:adjustRightInd w:val="0"/>
        <w:spacing w:after="0" w:line="282" w:lineRule="exact"/>
        <w:jc w:val="both"/>
        <w:rPr>
          <w:rFonts w:ascii="Times New Roman" w:hAnsi="Times New Roman" w:cs="Times New Roman"/>
          <w:iCs/>
          <w:sz w:val="24"/>
          <w:szCs w:val="24"/>
          <w:lang w:val="es-MX"/>
        </w:rPr>
      </w:pPr>
    </w:p>
    <w:p w14:paraId="13DABAC6" w14:textId="2F85892A" w:rsidR="003746FA" w:rsidRDefault="003746FA" w:rsidP="003746FA">
      <w:pPr>
        <w:pStyle w:val="Sinespaciado"/>
        <w:rPr>
          <w:lang w:val="es-MX"/>
        </w:rPr>
      </w:pPr>
    </w:p>
    <w:p w14:paraId="30EBDE42" w14:textId="77777777" w:rsidR="00FC4E89" w:rsidRPr="00FE3352" w:rsidRDefault="00FC4E89" w:rsidP="003746FA">
      <w:pPr>
        <w:pStyle w:val="Sinespaciado"/>
        <w:rPr>
          <w:lang w:val="es-MX"/>
        </w:rPr>
      </w:pPr>
    </w:p>
    <w:p w14:paraId="493BEF88" w14:textId="77777777" w:rsidR="003746FA" w:rsidRPr="00FE3352" w:rsidRDefault="003746FA" w:rsidP="003746FA">
      <w:pPr>
        <w:pStyle w:val="Sinespaciado"/>
        <w:jc w:val="both"/>
        <w:rPr>
          <w:sz w:val="24"/>
          <w:szCs w:val="24"/>
          <w:lang w:val="es-MX"/>
        </w:rPr>
      </w:pPr>
      <w:r w:rsidRPr="00FE3352">
        <w:rPr>
          <w:sz w:val="24"/>
          <w:szCs w:val="24"/>
          <w:lang w:val="es-MX"/>
        </w:rPr>
        <w:t>____________________________________</w:t>
      </w:r>
    </w:p>
    <w:p w14:paraId="1B6117B0" w14:textId="77777777" w:rsidR="003746FA" w:rsidRPr="00B20D71" w:rsidRDefault="003746FA" w:rsidP="003746FA">
      <w:pPr>
        <w:kinsoku w:val="0"/>
        <w:overflowPunct w:val="0"/>
        <w:autoSpaceDE w:val="0"/>
        <w:autoSpaceDN w:val="0"/>
        <w:adjustRightInd w:val="0"/>
        <w:spacing w:after="0" w:line="282" w:lineRule="exact"/>
        <w:ind w:left="39"/>
        <w:jc w:val="both"/>
        <w:rPr>
          <w:rFonts w:ascii="Times New Roman" w:hAnsi="Times New Roman" w:cs="Times New Roman"/>
          <w:b/>
          <w:iCs/>
          <w:sz w:val="24"/>
          <w:szCs w:val="24"/>
          <w:lang w:val="es-MX"/>
        </w:rPr>
      </w:pPr>
      <w:r w:rsidRPr="00B20D71">
        <w:rPr>
          <w:rFonts w:ascii="Times New Roman" w:hAnsi="Times New Roman" w:cs="Times New Roman"/>
          <w:b/>
          <w:iCs/>
          <w:sz w:val="24"/>
          <w:szCs w:val="24"/>
          <w:lang w:val="es-MX"/>
        </w:rPr>
        <w:t>CÉSAR AUGUSTO ORTÍZ ZORRO</w:t>
      </w:r>
    </w:p>
    <w:p w14:paraId="76D68843" w14:textId="7E4166B4" w:rsidR="003746FA" w:rsidRPr="00B20D71" w:rsidRDefault="003746FA" w:rsidP="003746FA">
      <w:pPr>
        <w:kinsoku w:val="0"/>
        <w:overflowPunct w:val="0"/>
        <w:autoSpaceDE w:val="0"/>
        <w:autoSpaceDN w:val="0"/>
        <w:adjustRightInd w:val="0"/>
        <w:spacing w:after="0" w:line="282" w:lineRule="exact"/>
        <w:ind w:left="39"/>
        <w:jc w:val="both"/>
        <w:rPr>
          <w:rFonts w:ascii="Times New Roman" w:hAnsi="Times New Roman" w:cs="Times New Roman"/>
          <w:iCs/>
          <w:sz w:val="24"/>
          <w:szCs w:val="24"/>
          <w:lang w:val="es-MX"/>
        </w:rPr>
      </w:pPr>
      <w:r w:rsidRPr="00B20D71">
        <w:rPr>
          <w:rFonts w:ascii="Times New Roman" w:hAnsi="Times New Roman" w:cs="Times New Roman"/>
          <w:iCs/>
          <w:sz w:val="24"/>
          <w:szCs w:val="24"/>
          <w:lang w:val="es-MX"/>
        </w:rPr>
        <w:t xml:space="preserve">Representante </w:t>
      </w:r>
      <w:r>
        <w:rPr>
          <w:rFonts w:ascii="Times New Roman" w:hAnsi="Times New Roman" w:cs="Times New Roman"/>
          <w:iCs/>
          <w:sz w:val="24"/>
          <w:szCs w:val="24"/>
          <w:lang w:val="es-MX"/>
        </w:rPr>
        <w:t>a la</w:t>
      </w:r>
      <w:r w:rsidRPr="00B20D71">
        <w:rPr>
          <w:rFonts w:ascii="Times New Roman" w:hAnsi="Times New Roman" w:cs="Times New Roman"/>
          <w:iCs/>
          <w:sz w:val="24"/>
          <w:szCs w:val="24"/>
          <w:lang w:val="es-MX"/>
        </w:rPr>
        <w:t xml:space="preserve"> Cámara</w:t>
      </w:r>
    </w:p>
    <w:p w14:paraId="1F365D91" w14:textId="17B05ACB" w:rsidR="003746FA" w:rsidRPr="00B20D71" w:rsidRDefault="003746FA" w:rsidP="003746FA">
      <w:pPr>
        <w:kinsoku w:val="0"/>
        <w:overflowPunct w:val="0"/>
        <w:autoSpaceDE w:val="0"/>
        <w:autoSpaceDN w:val="0"/>
        <w:adjustRightInd w:val="0"/>
        <w:spacing w:after="0" w:line="282" w:lineRule="exact"/>
        <w:ind w:left="39"/>
        <w:jc w:val="both"/>
        <w:rPr>
          <w:rFonts w:ascii="Times New Roman" w:hAnsi="Times New Roman" w:cs="Times New Roman"/>
          <w:iCs/>
          <w:sz w:val="24"/>
          <w:szCs w:val="24"/>
          <w:lang w:val="es-MX"/>
        </w:rPr>
      </w:pPr>
      <w:r w:rsidRPr="00B20D71">
        <w:rPr>
          <w:rFonts w:ascii="Times New Roman" w:hAnsi="Times New Roman" w:cs="Times New Roman"/>
          <w:iCs/>
          <w:sz w:val="24"/>
          <w:szCs w:val="24"/>
          <w:lang w:val="es-MX"/>
        </w:rPr>
        <w:t>Partido Alianza Verde.</w:t>
      </w:r>
    </w:p>
    <w:p w14:paraId="03B03475" w14:textId="77777777" w:rsidR="003746FA" w:rsidRDefault="003746FA" w:rsidP="003746FA">
      <w:pPr>
        <w:kinsoku w:val="0"/>
        <w:overflowPunct w:val="0"/>
        <w:autoSpaceDE w:val="0"/>
        <w:autoSpaceDN w:val="0"/>
        <w:adjustRightInd w:val="0"/>
        <w:spacing w:after="0" w:line="282" w:lineRule="exact"/>
        <w:ind w:left="39"/>
        <w:jc w:val="both"/>
        <w:rPr>
          <w:rFonts w:ascii="Times New Roman" w:hAnsi="Times New Roman" w:cs="Times New Roman"/>
          <w:sz w:val="24"/>
          <w:szCs w:val="24"/>
          <w:lang w:val="es-MX"/>
        </w:rPr>
      </w:pPr>
    </w:p>
    <w:p w14:paraId="73BE12F5" w14:textId="0BEBB05F" w:rsidR="00141906" w:rsidRDefault="00141906" w:rsidP="003746FA"/>
    <w:p w14:paraId="6BD9EA1A" w14:textId="21F6CD20" w:rsidR="003746FA" w:rsidRDefault="003746FA" w:rsidP="003746FA"/>
    <w:p w14:paraId="14280AD6" w14:textId="5F346EC9" w:rsidR="003746FA" w:rsidRDefault="003746FA" w:rsidP="003746FA"/>
    <w:p w14:paraId="798AF3F3" w14:textId="62BDB6CC" w:rsidR="003746FA" w:rsidRDefault="003746FA" w:rsidP="003746FA"/>
    <w:p w14:paraId="231AA453" w14:textId="501ED36D" w:rsidR="003746FA" w:rsidRDefault="003746FA" w:rsidP="003746FA"/>
    <w:p w14:paraId="49A1DD2E" w14:textId="61AF0CB8" w:rsidR="003746FA" w:rsidRDefault="003746FA" w:rsidP="003746FA"/>
    <w:p w14:paraId="1387D4F9" w14:textId="5D021E09" w:rsidR="003746FA" w:rsidRDefault="003746FA" w:rsidP="003746FA"/>
    <w:p w14:paraId="35472759" w14:textId="05BD4047" w:rsidR="003746FA" w:rsidRDefault="003746FA" w:rsidP="003746FA"/>
    <w:p w14:paraId="48578716" w14:textId="60E61FAC" w:rsidR="003746FA" w:rsidRDefault="003746FA" w:rsidP="003746FA"/>
    <w:p w14:paraId="591DD953" w14:textId="63BA672F" w:rsidR="003746FA" w:rsidRDefault="003746FA" w:rsidP="003746FA"/>
    <w:p w14:paraId="011574C8" w14:textId="77777777" w:rsidR="00FC4E89" w:rsidRDefault="00FC4E89" w:rsidP="003746FA"/>
    <w:p w14:paraId="209FBCA0" w14:textId="2B13F9AD" w:rsidR="003746FA" w:rsidRDefault="003746FA" w:rsidP="003746FA"/>
    <w:p w14:paraId="385E3A7D" w14:textId="11F6A2AF" w:rsidR="003746FA" w:rsidRDefault="003746FA" w:rsidP="003746FA"/>
    <w:p w14:paraId="3DCBBBD0" w14:textId="4BF0E2CB" w:rsidR="003746FA" w:rsidRDefault="003746FA" w:rsidP="003746FA"/>
    <w:p w14:paraId="7BAA4870" w14:textId="77777777" w:rsidR="003746FA" w:rsidRPr="004A49CA" w:rsidRDefault="003746FA" w:rsidP="003746FA">
      <w:pPr>
        <w:jc w:val="center"/>
        <w:rPr>
          <w:rFonts w:ascii="Times New Roman" w:hAnsi="Times New Roman" w:cs="Times New Roman"/>
          <w:sz w:val="28"/>
          <w:szCs w:val="28"/>
          <w:lang w:val="es-MX"/>
        </w:rPr>
      </w:pPr>
      <w:r w:rsidRPr="004A49CA">
        <w:rPr>
          <w:rFonts w:ascii="Times New Roman" w:hAnsi="Times New Roman" w:cs="Times New Roman"/>
          <w:b/>
          <w:bCs/>
          <w:sz w:val="28"/>
          <w:szCs w:val="28"/>
          <w:lang w:val="es-MX"/>
        </w:rPr>
        <w:lastRenderedPageBreak/>
        <w:t>PROYECTO DE LEY NÚMERO ___ DE 2021</w:t>
      </w:r>
    </w:p>
    <w:p w14:paraId="4EA9DA1C" w14:textId="77777777" w:rsidR="003746FA" w:rsidRPr="005B3D8D" w:rsidRDefault="003746FA" w:rsidP="003746FA">
      <w:pPr>
        <w:jc w:val="center"/>
        <w:rPr>
          <w:rFonts w:ascii="Times New Roman" w:hAnsi="Times New Roman" w:cs="Times New Roman"/>
          <w:b/>
          <w:i/>
          <w:sz w:val="24"/>
          <w:szCs w:val="24"/>
          <w:lang w:val="es-MX"/>
        </w:rPr>
      </w:pPr>
      <w:r w:rsidRPr="005B3D8D">
        <w:rPr>
          <w:rFonts w:ascii="Times New Roman" w:hAnsi="Times New Roman" w:cs="Times New Roman"/>
          <w:b/>
          <w:i/>
          <w:lang w:val="es-MX"/>
        </w:rPr>
        <w:t>“</w:t>
      </w:r>
      <w:r w:rsidRPr="005B3D8D">
        <w:rPr>
          <w:rFonts w:ascii="Times New Roman" w:hAnsi="Times New Roman" w:cs="Times New Roman"/>
          <w:b/>
          <w:i/>
          <w:sz w:val="24"/>
          <w:szCs w:val="24"/>
          <w:lang w:val="es-MX"/>
        </w:rPr>
        <w:t>Por medio de la cual se prohíbe en el territorio continental y costa fuera de la República de Colombia la aplicación combinada de las Técnicas No Convencionales de Fracturamiento Hidráulico Multietapa y Perforación Horizontal o Multilateral, desde Plataformas Multipozo, en Yacimientos No Convencionales de Hidrocarburos de Roca Generadora, y se dictan otras disposiciones</w:t>
      </w:r>
      <w:r w:rsidRPr="005B3D8D">
        <w:rPr>
          <w:rFonts w:ascii="Times New Roman" w:hAnsi="Times New Roman" w:cs="Times New Roman"/>
          <w:b/>
          <w:i/>
          <w:lang w:val="es-MX"/>
        </w:rPr>
        <w:t>”.</w:t>
      </w:r>
    </w:p>
    <w:p w14:paraId="652153E3" w14:textId="77777777" w:rsidR="003746FA" w:rsidRPr="004A49CA" w:rsidRDefault="003746FA" w:rsidP="003746FA">
      <w:pPr>
        <w:jc w:val="center"/>
        <w:rPr>
          <w:rFonts w:ascii="Times New Roman" w:hAnsi="Times New Roman" w:cs="Times New Roman"/>
          <w:sz w:val="28"/>
          <w:szCs w:val="28"/>
          <w:lang w:val="es-MX"/>
        </w:rPr>
      </w:pPr>
      <w:r w:rsidRPr="004A49CA">
        <w:rPr>
          <w:rFonts w:ascii="Times New Roman" w:hAnsi="Times New Roman" w:cs="Times New Roman"/>
          <w:sz w:val="28"/>
          <w:szCs w:val="28"/>
          <w:lang w:val="es-MX"/>
        </w:rPr>
        <w:t>El Congreso de Colombia</w:t>
      </w:r>
    </w:p>
    <w:p w14:paraId="4A9C2500" w14:textId="77777777" w:rsidR="003746FA" w:rsidRPr="00BD3697" w:rsidRDefault="003746FA" w:rsidP="003746FA">
      <w:pPr>
        <w:jc w:val="center"/>
        <w:rPr>
          <w:rFonts w:ascii="Times New Roman" w:hAnsi="Times New Roman" w:cs="Times New Roman"/>
          <w:b/>
          <w:sz w:val="28"/>
          <w:szCs w:val="28"/>
          <w:lang w:val="es-MX"/>
        </w:rPr>
      </w:pPr>
      <w:r w:rsidRPr="00BD3697">
        <w:rPr>
          <w:rFonts w:ascii="Times New Roman" w:hAnsi="Times New Roman" w:cs="Times New Roman"/>
          <w:b/>
          <w:sz w:val="28"/>
          <w:szCs w:val="28"/>
          <w:lang w:val="es-MX"/>
        </w:rPr>
        <w:t>DECRETA:</w:t>
      </w:r>
    </w:p>
    <w:p w14:paraId="63443C4D" w14:textId="77777777" w:rsidR="003746FA" w:rsidRPr="00BA5D6F" w:rsidRDefault="003746FA" w:rsidP="003746FA">
      <w:pPr>
        <w:jc w:val="center"/>
        <w:rPr>
          <w:rFonts w:ascii="Times New Roman" w:hAnsi="Times New Roman" w:cs="Times New Roman"/>
          <w:sz w:val="24"/>
          <w:szCs w:val="24"/>
          <w:lang w:val="es-MX"/>
        </w:rPr>
      </w:pPr>
    </w:p>
    <w:p w14:paraId="4BCA44DE" w14:textId="77777777" w:rsidR="003746FA" w:rsidRDefault="003746FA" w:rsidP="003746FA">
      <w:pPr>
        <w:jc w:val="both"/>
        <w:rPr>
          <w:rFonts w:ascii="Times New Roman" w:hAnsi="Times New Roman" w:cs="Times New Roman"/>
          <w:bCs/>
          <w:sz w:val="24"/>
          <w:szCs w:val="24"/>
          <w:lang w:val="es-MX"/>
        </w:rPr>
      </w:pPr>
      <w:r w:rsidRPr="00BA5D6F">
        <w:rPr>
          <w:rFonts w:ascii="Times New Roman" w:hAnsi="Times New Roman" w:cs="Times New Roman"/>
          <w:b/>
          <w:bCs/>
          <w:sz w:val="24"/>
          <w:szCs w:val="24"/>
          <w:lang w:val="es-MX"/>
        </w:rPr>
        <w:t xml:space="preserve">ARTÍCULO 1°. PROHIBICIÓN. </w:t>
      </w:r>
      <w:r w:rsidRPr="00CA0BA7">
        <w:rPr>
          <w:rFonts w:ascii="Times New Roman" w:hAnsi="Times New Roman" w:cs="Times New Roman"/>
          <w:bCs/>
          <w:sz w:val="24"/>
          <w:szCs w:val="24"/>
          <w:lang w:val="es-MX"/>
        </w:rPr>
        <w:t>E</w:t>
      </w:r>
      <w:r>
        <w:rPr>
          <w:rFonts w:ascii="Times New Roman" w:hAnsi="Times New Roman" w:cs="Times New Roman"/>
          <w:bCs/>
          <w:sz w:val="24"/>
          <w:szCs w:val="24"/>
          <w:lang w:val="es-MX"/>
        </w:rPr>
        <w:t>l Congreso de la República de Colombia, dentro de su d</w:t>
      </w:r>
      <w:r w:rsidRPr="00CA0BA7">
        <w:rPr>
          <w:rFonts w:ascii="Times New Roman" w:hAnsi="Times New Roman" w:cs="Times New Roman"/>
          <w:bCs/>
          <w:sz w:val="24"/>
          <w:szCs w:val="24"/>
          <w:lang w:val="es-MX"/>
        </w:rPr>
        <w:t xml:space="preserve">eber </w:t>
      </w:r>
      <w:r>
        <w:rPr>
          <w:rFonts w:ascii="Times New Roman" w:hAnsi="Times New Roman" w:cs="Times New Roman"/>
          <w:bCs/>
          <w:sz w:val="24"/>
          <w:szCs w:val="24"/>
          <w:lang w:val="es-MX"/>
        </w:rPr>
        <w:t>constitucional,</w:t>
      </w:r>
      <w:r w:rsidRPr="00125712">
        <w:rPr>
          <w:rFonts w:ascii="Times New Roman" w:hAnsi="Times New Roman" w:cs="Times New Roman"/>
          <w:bCs/>
          <w:sz w:val="24"/>
          <w:szCs w:val="24"/>
          <w:lang w:val="es-MX"/>
        </w:rPr>
        <w:t xml:space="preserve"> </w:t>
      </w:r>
      <w:r>
        <w:rPr>
          <w:rFonts w:ascii="Times New Roman" w:hAnsi="Times New Roman" w:cs="Times New Roman"/>
          <w:bCs/>
          <w:sz w:val="24"/>
          <w:szCs w:val="24"/>
          <w:lang w:val="es-MX"/>
        </w:rPr>
        <w:t>enmarcado dentro de los Artículos 8, 49, 79, 80, 81, 95, 333, 334 y 360, de determinar las condiciones para la explotación de los recursos naturales no renovables, garantizando la preservación de un ambiente sano, la diversidad e integridad ambiental, así como la protección de las riquezas culturales y naturales de la nación, previniendo y controlando los factores que pongan en peligro la vida o la salud de las personas, decide, bajo el principio de precaución, prohibir en el territorio soberano continental y costa fuera de la nación, la aplicación o uso combinado de las técnicas no convencionales de fracturamiento hidráulico “multietapa” y “perforación horizontal o multilateral”, desde plataformas “multipozo”, en yacimientos no convencionales de hidrocarburos del tipo “roca generadora”.</w:t>
      </w:r>
    </w:p>
    <w:p w14:paraId="29C0CBE5" w14:textId="77777777" w:rsidR="003746FA" w:rsidRDefault="003746FA" w:rsidP="003746FA">
      <w:pPr>
        <w:jc w:val="both"/>
        <w:rPr>
          <w:rFonts w:ascii="Times New Roman" w:hAnsi="Times New Roman" w:cs="Times New Roman"/>
          <w:sz w:val="24"/>
          <w:szCs w:val="24"/>
          <w:lang w:val="es-MX"/>
        </w:rPr>
      </w:pPr>
      <w:r>
        <w:rPr>
          <w:rFonts w:ascii="Times New Roman" w:hAnsi="Times New Roman" w:cs="Times New Roman"/>
          <w:b/>
          <w:bCs/>
          <w:sz w:val="24"/>
          <w:szCs w:val="24"/>
          <w:lang w:val="es-MX"/>
        </w:rPr>
        <w:t>ARTÍCULO 2°. DEFINICIO</w:t>
      </w:r>
      <w:r w:rsidRPr="00BA5D6F">
        <w:rPr>
          <w:rFonts w:ascii="Times New Roman" w:hAnsi="Times New Roman" w:cs="Times New Roman"/>
          <w:b/>
          <w:bCs/>
          <w:sz w:val="24"/>
          <w:szCs w:val="24"/>
          <w:lang w:val="es-MX"/>
        </w:rPr>
        <w:t>N</w:t>
      </w:r>
      <w:r>
        <w:rPr>
          <w:rFonts w:ascii="Times New Roman" w:hAnsi="Times New Roman" w:cs="Times New Roman"/>
          <w:b/>
          <w:bCs/>
          <w:sz w:val="24"/>
          <w:szCs w:val="24"/>
          <w:lang w:val="es-MX"/>
        </w:rPr>
        <w:t>ES</w:t>
      </w:r>
      <w:r w:rsidRPr="00BA5D6F">
        <w:rPr>
          <w:rFonts w:ascii="Times New Roman" w:hAnsi="Times New Roman" w:cs="Times New Roman"/>
          <w:b/>
          <w:bCs/>
          <w:sz w:val="24"/>
          <w:szCs w:val="24"/>
          <w:lang w:val="es-MX"/>
        </w:rPr>
        <w:t xml:space="preserve">. </w:t>
      </w:r>
      <w:r w:rsidRPr="00BA5D6F">
        <w:rPr>
          <w:rFonts w:ascii="Times New Roman" w:hAnsi="Times New Roman" w:cs="Times New Roman"/>
          <w:sz w:val="24"/>
          <w:szCs w:val="24"/>
          <w:lang w:val="es-MX"/>
        </w:rPr>
        <w:t>Para los efectos de esta ley</w:t>
      </w:r>
      <w:r>
        <w:rPr>
          <w:rFonts w:ascii="Times New Roman" w:hAnsi="Times New Roman" w:cs="Times New Roman"/>
          <w:sz w:val="24"/>
          <w:szCs w:val="24"/>
          <w:lang w:val="es-MX"/>
        </w:rPr>
        <w:t xml:space="preserve"> y las actividades de exploración y explotación de hidrocarburos en Colombia, se adoptan las siguientes definiciones y siglas:</w:t>
      </w:r>
    </w:p>
    <w:p w14:paraId="645AE276" w14:textId="77777777" w:rsidR="003746FA" w:rsidRDefault="003746FA" w:rsidP="003746FA">
      <w:pPr>
        <w:jc w:val="both"/>
        <w:rPr>
          <w:rFonts w:ascii="Times New Roman" w:hAnsi="Times New Roman" w:cs="Times New Roman"/>
          <w:sz w:val="24"/>
          <w:szCs w:val="24"/>
          <w:lang w:val="es-MX"/>
        </w:rPr>
      </w:pPr>
      <w:r w:rsidRPr="00AE4F6E">
        <w:rPr>
          <w:rFonts w:ascii="Times New Roman" w:hAnsi="Times New Roman" w:cs="Times New Roman"/>
          <w:b/>
          <w:sz w:val="24"/>
          <w:szCs w:val="24"/>
          <w:lang w:val="es-MX"/>
        </w:rPr>
        <w:t>2.1.</w:t>
      </w:r>
      <w:r>
        <w:rPr>
          <w:rFonts w:ascii="Times New Roman" w:hAnsi="Times New Roman" w:cs="Times New Roman"/>
          <w:sz w:val="24"/>
          <w:szCs w:val="24"/>
          <w:lang w:val="es-MX"/>
        </w:rPr>
        <w:t xml:space="preserve"> </w:t>
      </w:r>
      <w:r w:rsidRPr="00054629">
        <w:rPr>
          <w:rFonts w:ascii="Times New Roman" w:hAnsi="Times New Roman" w:cs="Times New Roman"/>
          <w:b/>
          <w:sz w:val="24"/>
          <w:szCs w:val="24"/>
          <w:lang w:val="es-MX"/>
        </w:rPr>
        <w:t>Hidrocarburo:</w:t>
      </w:r>
      <w:r>
        <w:rPr>
          <w:rFonts w:ascii="Times New Roman" w:hAnsi="Times New Roman" w:cs="Times New Roman"/>
          <w:sz w:val="24"/>
          <w:szCs w:val="24"/>
          <w:lang w:val="es-MX"/>
        </w:rPr>
        <w:t xml:space="preserve"> compuesto orgánico constituido principalmente por la mezcla natural de carbono e hidrógeno, así como también de aquellas sustancias que los acompañan o se derivan de ellos.</w:t>
      </w:r>
    </w:p>
    <w:p w14:paraId="0DAEB3A5" w14:textId="77777777" w:rsidR="003746FA" w:rsidRDefault="003746FA" w:rsidP="003746FA">
      <w:pPr>
        <w:jc w:val="both"/>
        <w:rPr>
          <w:rFonts w:ascii="Times New Roman" w:hAnsi="Times New Roman" w:cs="Times New Roman"/>
          <w:sz w:val="24"/>
          <w:szCs w:val="24"/>
          <w:lang w:val="es-MX"/>
        </w:rPr>
      </w:pPr>
      <w:r w:rsidRPr="00AE4F6E">
        <w:rPr>
          <w:rFonts w:ascii="Times New Roman" w:hAnsi="Times New Roman" w:cs="Times New Roman"/>
          <w:b/>
          <w:sz w:val="24"/>
          <w:szCs w:val="24"/>
          <w:lang w:val="es-MX"/>
        </w:rPr>
        <w:t>2.2.</w:t>
      </w:r>
      <w:r>
        <w:rPr>
          <w:rFonts w:ascii="Times New Roman" w:hAnsi="Times New Roman" w:cs="Times New Roman"/>
          <w:sz w:val="24"/>
          <w:szCs w:val="24"/>
          <w:lang w:val="es-MX"/>
        </w:rPr>
        <w:t xml:space="preserve"> </w:t>
      </w:r>
      <w:r w:rsidRPr="00054629">
        <w:rPr>
          <w:rFonts w:ascii="Times New Roman" w:hAnsi="Times New Roman" w:cs="Times New Roman"/>
          <w:b/>
          <w:sz w:val="24"/>
          <w:szCs w:val="24"/>
          <w:lang w:val="es-MX"/>
        </w:rPr>
        <w:t>Yacimiento de Hidrocarburos - YH:</w:t>
      </w:r>
      <w:r w:rsidRPr="00FD3946">
        <w:rPr>
          <w:lang w:val="es-MX"/>
        </w:rPr>
        <w:t xml:space="preserve"> </w:t>
      </w:r>
      <w:r w:rsidRPr="00FD3946">
        <w:rPr>
          <w:rFonts w:ascii="Times New Roman" w:hAnsi="Times New Roman" w:cs="Times New Roman"/>
          <w:sz w:val="24"/>
          <w:szCs w:val="24"/>
          <w:lang w:val="es-MX"/>
        </w:rPr>
        <w:t xml:space="preserve">Es el área procedente del mapa estructural o de curvas de </w:t>
      </w:r>
      <w:proofErr w:type="spellStart"/>
      <w:r w:rsidRPr="00FD3946">
        <w:rPr>
          <w:rFonts w:ascii="Times New Roman" w:hAnsi="Times New Roman" w:cs="Times New Roman"/>
          <w:sz w:val="24"/>
          <w:szCs w:val="24"/>
          <w:lang w:val="es-MX"/>
        </w:rPr>
        <w:t>isonivel</w:t>
      </w:r>
      <w:proofErr w:type="spellEnd"/>
      <w:r w:rsidRPr="00FD3946">
        <w:rPr>
          <w:rFonts w:ascii="Times New Roman" w:hAnsi="Times New Roman" w:cs="Times New Roman"/>
          <w:sz w:val="24"/>
          <w:szCs w:val="24"/>
          <w:lang w:val="es-MX"/>
        </w:rPr>
        <w:t xml:space="preserve"> del tope de la formación</w:t>
      </w:r>
      <w:r>
        <w:rPr>
          <w:rFonts w:ascii="Times New Roman" w:hAnsi="Times New Roman" w:cs="Times New Roman"/>
          <w:sz w:val="24"/>
          <w:szCs w:val="24"/>
          <w:lang w:val="es-MX"/>
        </w:rPr>
        <w:t xml:space="preserve"> </w:t>
      </w:r>
      <w:r w:rsidRPr="00FD3946">
        <w:rPr>
          <w:rFonts w:ascii="Times New Roman" w:hAnsi="Times New Roman" w:cs="Times New Roman"/>
          <w:sz w:val="24"/>
          <w:szCs w:val="24"/>
          <w:lang w:val="es-MX"/>
        </w:rPr>
        <w:t>productora de un yacimiento de hidrocarburos, delimitada por los bordes de la trampa la cual está definida por el nivel de contacto agua</w:t>
      </w:r>
      <w:r>
        <w:rPr>
          <w:rFonts w:ascii="Times New Roman" w:hAnsi="Times New Roman" w:cs="Times New Roman"/>
          <w:sz w:val="24"/>
          <w:szCs w:val="24"/>
          <w:lang w:val="es-MX"/>
        </w:rPr>
        <w:t xml:space="preserve"> – </w:t>
      </w:r>
      <w:r w:rsidRPr="00FD3946">
        <w:rPr>
          <w:rFonts w:ascii="Times New Roman" w:hAnsi="Times New Roman" w:cs="Times New Roman"/>
          <w:sz w:val="24"/>
          <w:szCs w:val="24"/>
          <w:lang w:val="es-MX"/>
        </w:rPr>
        <w:lastRenderedPageBreak/>
        <w:t>hidrocarburos</w:t>
      </w:r>
      <w:r>
        <w:rPr>
          <w:rFonts w:ascii="Times New Roman" w:hAnsi="Times New Roman" w:cs="Times New Roman"/>
          <w:sz w:val="24"/>
          <w:szCs w:val="24"/>
          <w:lang w:val="es-MX"/>
        </w:rPr>
        <w:t xml:space="preserve"> </w:t>
      </w:r>
      <w:r w:rsidRPr="00FD3946">
        <w:rPr>
          <w:rFonts w:ascii="Times New Roman" w:hAnsi="Times New Roman" w:cs="Times New Roman"/>
          <w:sz w:val="24"/>
          <w:szCs w:val="24"/>
          <w:lang w:val="es-MX"/>
        </w:rPr>
        <w:t>hallado o el nivel más bajo conocido de hidrocarburos, fallas, plegamientos, cambios de facies, roca sello o cualquier otro</w:t>
      </w:r>
      <w:r>
        <w:rPr>
          <w:rFonts w:ascii="Times New Roman" w:hAnsi="Times New Roman" w:cs="Times New Roman"/>
          <w:sz w:val="24"/>
          <w:szCs w:val="24"/>
          <w:lang w:val="es-MX"/>
        </w:rPr>
        <w:t xml:space="preserve"> </w:t>
      </w:r>
      <w:r w:rsidRPr="00FD3946">
        <w:rPr>
          <w:rFonts w:ascii="Times New Roman" w:hAnsi="Times New Roman" w:cs="Times New Roman"/>
          <w:sz w:val="24"/>
          <w:szCs w:val="24"/>
          <w:lang w:val="es-MX"/>
        </w:rPr>
        <w:t xml:space="preserve">evento geológico que no permita la transferencia de fluidos a través de él. </w:t>
      </w:r>
      <w:r>
        <w:rPr>
          <w:rFonts w:ascii="Times New Roman" w:hAnsi="Times New Roman" w:cs="Times New Roman"/>
          <w:sz w:val="24"/>
          <w:szCs w:val="24"/>
          <w:lang w:val="es-MX"/>
        </w:rPr>
        <w:t xml:space="preserve">Para </w:t>
      </w:r>
      <w:r w:rsidRPr="00FD3946">
        <w:rPr>
          <w:rFonts w:ascii="Times New Roman" w:hAnsi="Times New Roman" w:cs="Times New Roman"/>
          <w:sz w:val="24"/>
          <w:szCs w:val="24"/>
          <w:lang w:val="es-MX"/>
        </w:rPr>
        <w:t>determinar el</w:t>
      </w:r>
      <w:r>
        <w:rPr>
          <w:rFonts w:ascii="Times New Roman" w:hAnsi="Times New Roman" w:cs="Times New Roman"/>
          <w:sz w:val="24"/>
          <w:szCs w:val="24"/>
          <w:lang w:val="es-MX"/>
        </w:rPr>
        <w:t xml:space="preserve"> </w:t>
      </w:r>
      <w:r w:rsidRPr="00FD3946">
        <w:rPr>
          <w:rFonts w:ascii="Times New Roman" w:hAnsi="Times New Roman" w:cs="Times New Roman"/>
          <w:sz w:val="24"/>
          <w:szCs w:val="24"/>
          <w:lang w:val="es-MX"/>
        </w:rPr>
        <w:t>Área del Yacimiento de Hidrocarburos, ésta será consid</w:t>
      </w:r>
      <w:r>
        <w:rPr>
          <w:rFonts w:ascii="Times New Roman" w:hAnsi="Times New Roman" w:cs="Times New Roman"/>
          <w:sz w:val="24"/>
          <w:szCs w:val="24"/>
          <w:lang w:val="es-MX"/>
        </w:rPr>
        <w:t>erada la proyección a</w:t>
      </w:r>
      <w:r w:rsidRPr="00FD3946">
        <w:rPr>
          <w:rFonts w:ascii="Times New Roman" w:hAnsi="Times New Roman" w:cs="Times New Roman"/>
          <w:sz w:val="24"/>
          <w:szCs w:val="24"/>
          <w:lang w:val="es-MX"/>
        </w:rPr>
        <w:t xml:space="preserve"> superficie </w:t>
      </w:r>
      <w:proofErr w:type="gramStart"/>
      <w:r w:rsidRPr="00FD3946">
        <w:rPr>
          <w:rFonts w:ascii="Times New Roman" w:hAnsi="Times New Roman" w:cs="Times New Roman"/>
          <w:sz w:val="24"/>
          <w:szCs w:val="24"/>
          <w:lang w:val="es-MX"/>
        </w:rPr>
        <w:t>del mismo</w:t>
      </w:r>
      <w:proofErr w:type="gramEnd"/>
      <w:r w:rsidRPr="00FD3946">
        <w:rPr>
          <w:rFonts w:ascii="Times New Roman" w:hAnsi="Times New Roman" w:cs="Times New Roman"/>
          <w:sz w:val="24"/>
          <w:szCs w:val="24"/>
          <w:lang w:val="es-MX"/>
        </w:rPr>
        <w:t>, teniendo en cuenta los criterios de</w:t>
      </w:r>
      <w:r>
        <w:rPr>
          <w:rFonts w:ascii="Times New Roman" w:hAnsi="Times New Roman" w:cs="Times New Roman"/>
          <w:sz w:val="24"/>
          <w:szCs w:val="24"/>
          <w:lang w:val="es-MX"/>
        </w:rPr>
        <w:t xml:space="preserve"> </w:t>
      </w:r>
      <w:r w:rsidRPr="00FD3946">
        <w:rPr>
          <w:rFonts w:ascii="Times New Roman" w:hAnsi="Times New Roman" w:cs="Times New Roman"/>
          <w:sz w:val="24"/>
          <w:szCs w:val="24"/>
          <w:lang w:val="es-MX"/>
        </w:rPr>
        <w:t>delimitación descritos.</w:t>
      </w:r>
      <w:r>
        <w:rPr>
          <w:rFonts w:ascii="Times New Roman" w:hAnsi="Times New Roman" w:cs="Times New Roman"/>
          <w:sz w:val="24"/>
          <w:szCs w:val="24"/>
          <w:lang w:val="es-MX"/>
        </w:rPr>
        <w:t xml:space="preserve">  </w:t>
      </w:r>
    </w:p>
    <w:p w14:paraId="022E6E34" w14:textId="77777777" w:rsidR="003746FA" w:rsidRDefault="003746FA" w:rsidP="003746FA">
      <w:pPr>
        <w:jc w:val="both"/>
        <w:rPr>
          <w:rFonts w:ascii="Times New Roman" w:hAnsi="Times New Roman" w:cs="Times New Roman"/>
          <w:sz w:val="24"/>
          <w:szCs w:val="24"/>
          <w:lang w:val="es-MX"/>
        </w:rPr>
      </w:pPr>
      <w:r w:rsidRPr="00AE4F6E">
        <w:rPr>
          <w:rFonts w:ascii="Times New Roman" w:hAnsi="Times New Roman" w:cs="Times New Roman"/>
          <w:b/>
          <w:sz w:val="24"/>
          <w:szCs w:val="24"/>
          <w:lang w:val="es-MX"/>
        </w:rPr>
        <w:t>2.3.</w:t>
      </w:r>
      <w:r>
        <w:rPr>
          <w:rFonts w:ascii="Times New Roman" w:hAnsi="Times New Roman" w:cs="Times New Roman"/>
          <w:sz w:val="24"/>
          <w:szCs w:val="24"/>
          <w:lang w:val="es-MX"/>
        </w:rPr>
        <w:t xml:space="preserve"> </w:t>
      </w:r>
      <w:r w:rsidRPr="00054629">
        <w:rPr>
          <w:rFonts w:ascii="Times New Roman" w:hAnsi="Times New Roman" w:cs="Times New Roman"/>
          <w:b/>
          <w:sz w:val="24"/>
          <w:szCs w:val="24"/>
          <w:lang w:val="es-MX"/>
        </w:rPr>
        <w:t>Yacimientos Convencionales - YC:</w:t>
      </w:r>
      <w:r>
        <w:rPr>
          <w:rFonts w:ascii="Times New Roman" w:hAnsi="Times New Roman" w:cs="Times New Roman"/>
          <w:sz w:val="24"/>
          <w:szCs w:val="24"/>
          <w:lang w:val="es-MX"/>
        </w:rPr>
        <w:t xml:space="preserve"> Formaciones</w:t>
      </w:r>
      <w:r w:rsidRPr="00FD3946">
        <w:rPr>
          <w:rFonts w:ascii="Times New Roman" w:hAnsi="Times New Roman" w:cs="Times New Roman"/>
          <w:sz w:val="24"/>
          <w:szCs w:val="24"/>
          <w:lang w:val="es-MX"/>
        </w:rPr>
        <w:t xml:space="preserve"> rocosa</w:t>
      </w:r>
      <w:r>
        <w:rPr>
          <w:rFonts w:ascii="Times New Roman" w:hAnsi="Times New Roman" w:cs="Times New Roman"/>
          <w:sz w:val="24"/>
          <w:szCs w:val="24"/>
          <w:lang w:val="es-MX"/>
        </w:rPr>
        <w:t>s</w:t>
      </w:r>
      <w:r w:rsidRPr="00FD3946">
        <w:rPr>
          <w:rFonts w:ascii="Times New Roman" w:hAnsi="Times New Roman" w:cs="Times New Roman"/>
          <w:sz w:val="24"/>
          <w:szCs w:val="24"/>
          <w:lang w:val="es-MX"/>
        </w:rPr>
        <w:t xml:space="preserve"> donde ocurren acumulaciones de hidrocarburos en trampas estratigráficas y/o</w:t>
      </w:r>
      <w:r>
        <w:rPr>
          <w:rFonts w:ascii="Times New Roman" w:hAnsi="Times New Roman" w:cs="Times New Roman"/>
          <w:sz w:val="24"/>
          <w:szCs w:val="24"/>
          <w:lang w:val="es-MX"/>
        </w:rPr>
        <w:t xml:space="preserve"> </w:t>
      </w:r>
      <w:r w:rsidRPr="00FD3946">
        <w:rPr>
          <w:rFonts w:ascii="Times New Roman" w:hAnsi="Times New Roman" w:cs="Times New Roman"/>
          <w:sz w:val="24"/>
          <w:szCs w:val="24"/>
          <w:lang w:val="es-MX"/>
        </w:rPr>
        <w:t>estructurales. Está</w:t>
      </w:r>
      <w:r>
        <w:rPr>
          <w:rFonts w:ascii="Times New Roman" w:hAnsi="Times New Roman" w:cs="Times New Roman"/>
          <w:sz w:val="24"/>
          <w:szCs w:val="24"/>
          <w:lang w:val="es-MX"/>
        </w:rPr>
        <w:t>n</w:t>
      </w:r>
      <w:r w:rsidRPr="00FD3946">
        <w:rPr>
          <w:rFonts w:ascii="Times New Roman" w:hAnsi="Times New Roman" w:cs="Times New Roman"/>
          <w:sz w:val="24"/>
          <w:szCs w:val="24"/>
          <w:lang w:val="es-MX"/>
        </w:rPr>
        <w:t xml:space="preserve"> limitado</w:t>
      </w:r>
      <w:r>
        <w:rPr>
          <w:rFonts w:ascii="Times New Roman" w:hAnsi="Times New Roman" w:cs="Times New Roman"/>
          <w:sz w:val="24"/>
          <w:szCs w:val="24"/>
          <w:lang w:val="es-MX"/>
        </w:rPr>
        <w:t>s</w:t>
      </w:r>
      <w:r w:rsidRPr="00FD3946">
        <w:rPr>
          <w:rFonts w:ascii="Times New Roman" w:hAnsi="Times New Roman" w:cs="Times New Roman"/>
          <w:sz w:val="24"/>
          <w:szCs w:val="24"/>
          <w:lang w:val="es-MX"/>
        </w:rPr>
        <w:t xml:space="preserve"> por barreras geológicas, tales como estratos impermeables, condiciones estructurales y agua en las</w:t>
      </w:r>
      <w:r>
        <w:rPr>
          <w:rFonts w:ascii="Times New Roman" w:hAnsi="Times New Roman" w:cs="Times New Roman"/>
          <w:sz w:val="24"/>
          <w:szCs w:val="24"/>
          <w:lang w:val="es-MX"/>
        </w:rPr>
        <w:t xml:space="preserve"> </w:t>
      </w:r>
      <w:r w:rsidRPr="00FD3946">
        <w:rPr>
          <w:rFonts w:ascii="Times New Roman" w:hAnsi="Times New Roman" w:cs="Times New Roman"/>
          <w:sz w:val="24"/>
          <w:szCs w:val="24"/>
          <w:lang w:val="es-MX"/>
        </w:rPr>
        <w:t>formaciones, y se encuentra</w:t>
      </w:r>
      <w:r>
        <w:rPr>
          <w:rFonts w:ascii="Times New Roman" w:hAnsi="Times New Roman" w:cs="Times New Roman"/>
          <w:sz w:val="24"/>
          <w:szCs w:val="24"/>
          <w:lang w:val="es-MX"/>
        </w:rPr>
        <w:t>n</w:t>
      </w:r>
      <w:r w:rsidRPr="00FD3946">
        <w:rPr>
          <w:rFonts w:ascii="Times New Roman" w:hAnsi="Times New Roman" w:cs="Times New Roman"/>
          <w:sz w:val="24"/>
          <w:szCs w:val="24"/>
          <w:lang w:val="es-MX"/>
        </w:rPr>
        <w:t xml:space="preserve"> efectivamente aislado</w:t>
      </w:r>
      <w:r>
        <w:rPr>
          <w:rFonts w:ascii="Times New Roman" w:hAnsi="Times New Roman" w:cs="Times New Roman"/>
          <w:sz w:val="24"/>
          <w:szCs w:val="24"/>
          <w:lang w:val="es-MX"/>
        </w:rPr>
        <w:t>s</w:t>
      </w:r>
      <w:r w:rsidRPr="00FD3946">
        <w:rPr>
          <w:rFonts w:ascii="Times New Roman" w:hAnsi="Times New Roman" w:cs="Times New Roman"/>
          <w:sz w:val="24"/>
          <w:szCs w:val="24"/>
          <w:lang w:val="es-MX"/>
        </w:rPr>
        <w:t xml:space="preserve"> de cualquier yacimiento que pueda estar presente en la misma área o estructura</w:t>
      </w:r>
      <w:r>
        <w:rPr>
          <w:rFonts w:ascii="Times New Roman" w:hAnsi="Times New Roman" w:cs="Times New Roman"/>
          <w:sz w:val="24"/>
          <w:szCs w:val="24"/>
          <w:lang w:val="es-MX"/>
        </w:rPr>
        <w:t xml:space="preserve"> </w:t>
      </w:r>
      <w:r w:rsidRPr="00FD3946">
        <w:rPr>
          <w:rFonts w:ascii="Times New Roman" w:hAnsi="Times New Roman" w:cs="Times New Roman"/>
          <w:sz w:val="24"/>
          <w:szCs w:val="24"/>
          <w:lang w:val="es-MX"/>
        </w:rPr>
        <w:t>geológica.</w:t>
      </w:r>
    </w:p>
    <w:p w14:paraId="4A466947" w14:textId="77777777" w:rsidR="003746FA" w:rsidRDefault="003746FA" w:rsidP="003746FA">
      <w:pPr>
        <w:jc w:val="both"/>
        <w:rPr>
          <w:rFonts w:ascii="Times New Roman" w:hAnsi="Times New Roman" w:cs="Times New Roman"/>
          <w:sz w:val="24"/>
          <w:szCs w:val="24"/>
          <w:lang w:val="es-MX"/>
        </w:rPr>
      </w:pPr>
      <w:r w:rsidRPr="00AE4F6E">
        <w:rPr>
          <w:rFonts w:ascii="Times New Roman" w:hAnsi="Times New Roman" w:cs="Times New Roman"/>
          <w:b/>
          <w:sz w:val="24"/>
          <w:szCs w:val="24"/>
          <w:lang w:val="es-MX"/>
        </w:rPr>
        <w:t>2.4.</w:t>
      </w:r>
      <w:r w:rsidRPr="00AE4F6E">
        <w:rPr>
          <w:rFonts w:ascii="Times New Roman" w:hAnsi="Times New Roman" w:cs="Times New Roman"/>
          <w:sz w:val="24"/>
          <w:szCs w:val="24"/>
          <w:lang w:val="es-MX"/>
        </w:rPr>
        <w:t xml:space="preserve"> </w:t>
      </w:r>
      <w:r w:rsidRPr="00054629">
        <w:rPr>
          <w:rFonts w:ascii="Times New Roman" w:hAnsi="Times New Roman" w:cs="Times New Roman"/>
          <w:b/>
          <w:sz w:val="24"/>
          <w:szCs w:val="24"/>
          <w:lang w:val="es-MX"/>
        </w:rPr>
        <w:t>Yacimientos No Convencionales - YNC:</w:t>
      </w:r>
      <w:r w:rsidRPr="00AE4F6E">
        <w:rPr>
          <w:rFonts w:ascii="Times New Roman" w:hAnsi="Times New Roman" w:cs="Times New Roman"/>
          <w:sz w:val="24"/>
          <w:szCs w:val="24"/>
          <w:lang w:val="es-MX"/>
        </w:rPr>
        <w:t xml:space="preserve"> son aquellos Yacimientos que no se producen a tasas económicas o tienen muy baja rentabilidad o </w:t>
      </w:r>
      <w:r>
        <w:rPr>
          <w:rFonts w:ascii="Times New Roman" w:hAnsi="Times New Roman" w:cs="Times New Roman"/>
          <w:sz w:val="24"/>
          <w:szCs w:val="24"/>
          <w:lang w:val="es-MX"/>
        </w:rPr>
        <w:t>incluso pueden generar pérdidas. R</w:t>
      </w:r>
      <w:r w:rsidRPr="00AE4F6E">
        <w:rPr>
          <w:rFonts w:ascii="Times New Roman" w:hAnsi="Times New Roman" w:cs="Times New Roman"/>
          <w:sz w:val="24"/>
          <w:szCs w:val="24"/>
          <w:lang w:val="es-MX"/>
        </w:rPr>
        <w:t>equieren la aplicación de tratamiento</w:t>
      </w:r>
      <w:r>
        <w:rPr>
          <w:rFonts w:ascii="Times New Roman" w:hAnsi="Times New Roman" w:cs="Times New Roman"/>
          <w:sz w:val="24"/>
          <w:szCs w:val="24"/>
          <w:lang w:val="es-MX"/>
        </w:rPr>
        <w:t>s intensivos de estimulación y Técnicas o T</w:t>
      </w:r>
      <w:r w:rsidRPr="00AE4F6E">
        <w:rPr>
          <w:rFonts w:ascii="Times New Roman" w:hAnsi="Times New Roman" w:cs="Times New Roman"/>
          <w:sz w:val="24"/>
          <w:szCs w:val="24"/>
          <w:lang w:val="es-MX"/>
        </w:rPr>
        <w:t>ecnologías No Convencionales para ser producidos; son pobres en porosidad y permeabilidad; y algunos no tiene sello.</w:t>
      </w:r>
      <w:r>
        <w:rPr>
          <w:rFonts w:ascii="Times New Roman" w:hAnsi="Times New Roman" w:cs="Times New Roman"/>
          <w:sz w:val="24"/>
          <w:szCs w:val="24"/>
          <w:lang w:val="es-MX"/>
        </w:rPr>
        <w:t xml:space="preserve"> Entre ellos se incluyen los siguientes tipos: Rocas Generadoras - RG, Gas Metano Asociado a Mantos de Carbón – CBM, Petróleo o Gas en Arenas o Carbonatos Apretados, Arenas Bituminosas, e Hidratos de Metano. </w:t>
      </w:r>
    </w:p>
    <w:p w14:paraId="0A419EF7" w14:textId="77777777" w:rsidR="003746FA" w:rsidRDefault="003746FA" w:rsidP="003746FA">
      <w:pPr>
        <w:jc w:val="both"/>
        <w:rPr>
          <w:rFonts w:ascii="Times New Roman" w:hAnsi="Times New Roman" w:cs="Times New Roman"/>
          <w:sz w:val="24"/>
          <w:szCs w:val="24"/>
          <w:lang w:val="es-MX"/>
        </w:rPr>
      </w:pPr>
      <w:r w:rsidRPr="00815188">
        <w:rPr>
          <w:rFonts w:ascii="Times New Roman" w:hAnsi="Times New Roman" w:cs="Times New Roman"/>
          <w:b/>
          <w:sz w:val="24"/>
          <w:szCs w:val="24"/>
          <w:lang w:val="es-MX"/>
        </w:rPr>
        <w:t>2.5.</w:t>
      </w:r>
      <w:r>
        <w:rPr>
          <w:rFonts w:ascii="Times New Roman" w:hAnsi="Times New Roman" w:cs="Times New Roman"/>
          <w:sz w:val="24"/>
          <w:szCs w:val="24"/>
          <w:lang w:val="es-MX"/>
        </w:rPr>
        <w:t xml:space="preserve"> </w:t>
      </w:r>
      <w:r w:rsidRPr="00054629">
        <w:rPr>
          <w:rFonts w:ascii="Times New Roman" w:hAnsi="Times New Roman" w:cs="Times New Roman"/>
          <w:b/>
          <w:sz w:val="24"/>
          <w:szCs w:val="24"/>
          <w:lang w:val="es-MX"/>
        </w:rPr>
        <w:t>Roca Generadora - RG:</w:t>
      </w:r>
      <w:r>
        <w:rPr>
          <w:rFonts w:ascii="Times New Roman" w:hAnsi="Times New Roman" w:cs="Times New Roman"/>
          <w:sz w:val="24"/>
          <w:szCs w:val="24"/>
          <w:lang w:val="es-MX"/>
        </w:rPr>
        <w:t xml:space="preserve">  es aquella F</w:t>
      </w:r>
      <w:r w:rsidRPr="00214F68">
        <w:rPr>
          <w:rFonts w:ascii="Times New Roman" w:hAnsi="Times New Roman" w:cs="Times New Roman"/>
          <w:sz w:val="24"/>
          <w:szCs w:val="24"/>
          <w:lang w:val="es-MX"/>
        </w:rPr>
        <w:t>ormación</w:t>
      </w:r>
      <w:r>
        <w:rPr>
          <w:rFonts w:ascii="Times New Roman" w:hAnsi="Times New Roman" w:cs="Times New Roman"/>
          <w:sz w:val="24"/>
          <w:szCs w:val="24"/>
          <w:lang w:val="es-MX"/>
        </w:rPr>
        <w:t xml:space="preserve"> o Roca de Lutita (</w:t>
      </w:r>
      <w:proofErr w:type="spellStart"/>
      <w:r>
        <w:rPr>
          <w:rFonts w:ascii="Times New Roman" w:hAnsi="Times New Roman" w:cs="Times New Roman"/>
          <w:sz w:val="24"/>
          <w:szCs w:val="24"/>
          <w:lang w:val="es-MX"/>
        </w:rPr>
        <w:t>Shale</w:t>
      </w:r>
      <w:proofErr w:type="spellEnd"/>
      <w:r>
        <w:rPr>
          <w:rFonts w:ascii="Times New Roman" w:hAnsi="Times New Roman" w:cs="Times New Roman"/>
          <w:sz w:val="24"/>
          <w:szCs w:val="24"/>
          <w:lang w:val="es-MX"/>
        </w:rPr>
        <w:t xml:space="preserve">) o Roca Carbonatada </w:t>
      </w:r>
      <w:r w:rsidRPr="00214F68">
        <w:rPr>
          <w:rFonts w:ascii="Times New Roman" w:hAnsi="Times New Roman" w:cs="Times New Roman"/>
          <w:sz w:val="24"/>
          <w:szCs w:val="24"/>
          <w:lang w:val="es-MX"/>
        </w:rPr>
        <w:t>del subsuelo</w:t>
      </w:r>
      <w:r>
        <w:rPr>
          <w:rFonts w:ascii="Times New Roman" w:hAnsi="Times New Roman" w:cs="Times New Roman"/>
          <w:sz w:val="24"/>
          <w:szCs w:val="24"/>
          <w:lang w:val="es-MX"/>
        </w:rPr>
        <w:t>,</w:t>
      </w:r>
      <w:r w:rsidRPr="00214F68">
        <w:rPr>
          <w:rFonts w:ascii="Times New Roman" w:hAnsi="Times New Roman" w:cs="Times New Roman"/>
          <w:sz w:val="24"/>
          <w:szCs w:val="24"/>
          <w:lang w:val="es-MX"/>
        </w:rPr>
        <w:t xml:space="preserve"> rica en materia orgánica, donde gracias a condiciones fisicoquímicos apropiadas de presión y temperatura, se dieron los procesos de diagénesis, </w:t>
      </w:r>
      <w:proofErr w:type="spellStart"/>
      <w:r w:rsidRPr="00214F68">
        <w:rPr>
          <w:rFonts w:ascii="Times New Roman" w:hAnsi="Times New Roman" w:cs="Times New Roman"/>
          <w:sz w:val="24"/>
          <w:szCs w:val="24"/>
          <w:lang w:val="es-MX"/>
        </w:rPr>
        <w:t>catagénesis</w:t>
      </w:r>
      <w:proofErr w:type="spellEnd"/>
      <w:r w:rsidRPr="00214F68">
        <w:rPr>
          <w:rFonts w:ascii="Times New Roman" w:hAnsi="Times New Roman" w:cs="Times New Roman"/>
          <w:sz w:val="24"/>
          <w:szCs w:val="24"/>
          <w:lang w:val="es-MX"/>
        </w:rPr>
        <w:t xml:space="preserve"> y </w:t>
      </w:r>
      <w:proofErr w:type="spellStart"/>
      <w:r w:rsidRPr="00214F68">
        <w:rPr>
          <w:rFonts w:ascii="Times New Roman" w:hAnsi="Times New Roman" w:cs="Times New Roman"/>
          <w:sz w:val="24"/>
          <w:szCs w:val="24"/>
          <w:lang w:val="es-MX"/>
        </w:rPr>
        <w:t>metagénesis</w:t>
      </w:r>
      <w:proofErr w:type="spellEnd"/>
      <w:r w:rsidRPr="00214F68">
        <w:rPr>
          <w:rFonts w:ascii="Times New Roman" w:hAnsi="Times New Roman" w:cs="Times New Roman"/>
          <w:sz w:val="24"/>
          <w:szCs w:val="24"/>
          <w:lang w:val="es-MX"/>
        </w:rPr>
        <w:t>, para la forma</w:t>
      </w:r>
      <w:r>
        <w:rPr>
          <w:rFonts w:ascii="Times New Roman" w:hAnsi="Times New Roman" w:cs="Times New Roman"/>
          <w:sz w:val="24"/>
          <w:szCs w:val="24"/>
          <w:lang w:val="es-MX"/>
        </w:rPr>
        <w:t>ción de hidrocarburos</w:t>
      </w:r>
      <w:r w:rsidRPr="00214F68">
        <w:rPr>
          <w:rFonts w:ascii="Times New Roman" w:hAnsi="Times New Roman" w:cs="Times New Roman"/>
          <w:sz w:val="24"/>
          <w:szCs w:val="24"/>
          <w:lang w:val="es-MX"/>
        </w:rPr>
        <w:t>.</w:t>
      </w:r>
      <w:r>
        <w:rPr>
          <w:rFonts w:ascii="Times New Roman" w:hAnsi="Times New Roman" w:cs="Times New Roman"/>
          <w:sz w:val="24"/>
          <w:szCs w:val="24"/>
          <w:lang w:val="es-MX"/>
        </w:rPr>
        <w:t xml:space="preserve"> Los Yacimientos No Convencionales de Roca Generadora </w:t>
      </w:r>
      <w:r w:rsidRPr="00AE4F6E">
        <w:rPr>
          <w:rFonts w:ascii="Times New Roman" w:hAnsi="Times New Roman" w:cs="Times New Roman"/>
          <w:sz w:val="24"/>
          <w:szCs w:val="24"/>
          <w:lang w:val="es-MX"/>
        </w:rPr>
        <w:t xml:space="preserve">presentan acumulaciones predominantemente regionales </w:t>
      </w:r>
      <w:r>
        <w:rPr>
          <w:rFonts w:ascii="Times New Roman" w:hAnsi="Times New Roman" w:cs="Times New Roman"/>
          <w:sz w:val="24"/>
          <w:szCs w:val="24"/>
          <w:lang w:val="es-MX"/>
        </w:rPr>
        <w:t>y extensas.</w:t>
      </w:r>
    </w:p>
    <w:p w14:paraId="127C2FDE" w14:textId="77777777" w:rsidR="003746FA" w:rsidRPr="00214F68" w:rsidRDefault="003746FA" w:rsidP="003746FA">
      <w:pPr>
        <w:jc w:val="both"/>
        <w:rPr>
          <w:rFonts w:ascii="Times New Roman" w:hAnsi="Times New Roman" w:cs="Times New Roman"/>
          <w:sz w:val="24"/>
          <w:szCs w:val="24"/>
          <w:lang w:val="es-MX"/>
        </w:rPr>
      </w:pPr>
      <w:r w:rsidRPr="00054629">
        <w:rPr>
          <w:rFonts w:ascii="Times New Roman" w:hAnsi="Times New Roman" w:cs="Times New Roman"/>
          <w:b/>
          <w:sz w:val="24"/>
          <w:szCs w:val="24"/>
          <w:lang w:val="es-MX"/>
        </w:rPr>
        <w:t>2.6.</w:t>
      </w:r>
      <w:r>
        <w:rPr>
          <w:rFonts w:ascii="Times New Roman" w:hAnsi="Times New Roman" w:cs="Times New Roman"/>
          <w:b/>
          <w:sz w:val="24"/>
          <w:szCs w:val="24"/>
          <w:lang w:val="es-MX"/>
        </w:rPr>
        <w:t xml:space="preserve"> </w:t>
      </w:r>
      <w:r w:rsidRPr="00054629">
        <w:rPr>
          <w:rFonts w:ascii="Times New Roman" w:hAnsi="Times New Roman" w:cs="Times New Roman"/>
          <w:b/>
          <w:sz w:val="24"/>
          <w:szCs w:val="24"/>
          <w:lang w:val="es-MX"/>
        </w:rPr>
        <w:t xml:space="preserve">Formación: </w:t>
      </w:r>
      <w:r>
        <w:rPr>
          <w:rFonts w:ascii="Times New Roman" w:hAnsi="Times New Roman" w:cs="Times New Roman"/>
          <w:sz w:val="24"/>
          <w:szCs w:val="24"/>
          <w:lang w:val="es-MX"/>
        </w:rPr>
        <w:t xml:space="preserve">Unidad </w:t>
      </w:r>
      <w:proofErr w:type="spellStart"/>
      <w:r>
        <w:rPr>
          <w:rFonts w:ascii="Times New Roman" w:hAnsi="Times New Roman" w:cs="Times New Roman"/>
          <w:sz w:val="24"/>
          <w:szCs w:val="24"/>
          <w:lang w:val="es-MX"/>
        </w:rPr>
        <w:t>litoestratigráfica</w:t>
      </w:r>
      <w:proofErr w:type="spellEnd"/>
      <w:r>
        <w:rPr>
          <w:rFonts w:ascii="Times New Roman" w:hAnsi="Times New Roman" w:cs="Times New Roman"/>
          <w:sz w:val="24"/>
          <w:szCs w:val="24"/>
          <w:lang w:val="es-MX"/>
        </w:rPr>
        <w:t xml:space="preserve"> con límites definidos y caracterí</w:t>
      </w:r>
      <w:r w:rsidRPr="00054629">
        <w:rPr>
          <w:rFonts w:ascii="Times New Roman" w:hAnsi="Times New Roman" w:cs="Times New Roman"/>
          <w:sz w:val="24"/>
          <w:szCs w:val="24"/>
          <w:lang w:val="es-MX"/>
        </w:rPr>
        <w:t>sticas litológicas propias.</w:t>
      </w:r>
    </w:p>
    <w:p w14:paraId="41450BB9" w14:textId="77777777" w:rsidR="003746FA" w:rsidRPr="00054629" w:rsidRDefault="003746FA" w:rsidP="003746FA">
      <w:pPr>
        <w:jc w:val="both"/>
        <w:rPr>
          <w:rFonts w:ascii="Times New Roman" w:hAnsi="Times New Roman" w:cs="Times New Roman"/>
          <w:sz w:val="24"/>
          <w:szCs w:val="24"/>
          <w:lang w:val="es-MX"/>
        </w:rPr>
      </w:pPr>
      <w:r w:rsidRPr="00AE4F6E">
        <w:rPr>
          <w:rFonts w:ascii="Times New Roman" w:hAnsi="Times New Roman" w:cs="Times New Roman"/>
          <w:b/>
          <w:sz w:val="24"/>
          <w:szCs w:val="24"/>
          <w:lang w:val="es-MX"/>
        </w:rPr>
        <w:t>2.7.</w:t>
      </w:r>
      <w:r>
        <w:rPr>
          <w:rFonts w:ascii="Times New Roman" w:hAnsi="Times New Roman" w:cs="Times New Roman"/>
          <w:sz w:val="24"/>
          <w:szCs w:val="24"/>
          <w:lang w:val="es-MX"/>
        </w:rPr>
        <w:t xml:space="preserve"> </w:t>
      </w:r>
      <w:r w:rsidRPr="00054629">
        <w:rPr>
          <w:rFonts w:ascii="Times New Roman" w:hAnsi="Times New Roman" w:cs="Times New Roman"/>
          <w:b/>
          <w:sz w:val="24"/>
          <w:szCs w:val="24"/>
          <w:lang w:val="es-MX"/>
        </w:rPr>
        <w:t>Pozo:</w:t>
      </w:r>
      <w:r>
        <w:rPr>
          <w:rFonts w:ascii="Times New Roman" w:hAnsi="Times New Roman" w:cs="Times New Roman"/>
          <w:sz w:val="24"/>
          <w:szCs w:val="24"/>
          <w:lang w:val="es-MX"/>
        </w:rPr>
        <w:t xml:space="preserve"> </w:t>
      </w:r>
      <w:r w:rsidRPr="00054629">
        <w:rPr>
          <w:rFonts w:ascii="Times New Roman" w:hAnsi="Times New Roman" w:cs="Times New Roman"/>
          <w:sz w:val="24"/>
          <w:szCs w:val="24"/>
          <w:lang w:val="es-MX"/>
        </w:rPr>
        <w:t>Ob</w:t>
      </w:r>
      <w:r>
        <w:rPr>
          <w:rFonts w:ascii="Times New Roman" w:hAnsi="Times New Roman" w:cs="Times New Roman"/>
          <w:sz w:val="24"/>
          <w:szCs w:val="24"/>
          <w:lang w:val="es-MX"/>
        </w:rPr>
        <w:t>ra especializada de la ingenierí</w:t>
      </w:r>
      <w:r w:rsidRPr="00054629">
        <w:rPr>
          <w:rFonts w:ascii="Times New Roman" w:hAnsi="Times New Roman" w:cs="Times New Roman"/>
          <w:sz w:val="24"/>
          <w:szCs w:val="24"/>
          <w:lang w:val="es-MX"/>
        </w:rPr>
        <w:t>a de petróleos consistente, en un hueco perforado a través del subsuelo, con el objeto de conducir los fluidos de un yacimiento a superficie. Se diferencia de las obras civiles realizadas para la construcción del pozo, tales como vías de acceso, locaciones y edificaciones.</w:t>
      </w:r>
    </w:p>
    <w:p w14:paraId="10DF9B44" w14:textId="77777777" w:rsidR="003746FA" w:rsidRDefault="003746FA" w:rsidP="003746FA">
      <w:pPr>
        <w:jc w:val="both"/>
        <w:rPr>
          <w:rFonts w:ascii="Times New Roman" w:hAnsi="Times New Roman" w:cs="Times New Roman"/>
          <w:sz w:val="24"/>
          <w:szCs w:val="24"/>
          <w:lang w:val="es-MX"/>
        </w:rPr>
      </w:pPr>
      <w:r w:rsidRPr="00280936">
        <w:rPr>
          <w:rFonts w:ascii="Times New Roman" w:hAnsi="Times New Roman" w:cs="Times New Roman"/>
          <w:b/>
          <w:sz w:val="24"/>
          <w:szCs w:val="24"/>
          <w:lang w:val="es-MX"/>
        </w:rPr>
        <w:lastRenderedPageBreak/>
        <w:t>2.8.</w:t>
      </w:r>
      <w:r>
        <w:rPr>
          <w:rFonts w:ascii="Times New Roman" w:hAnsi="Times New Roman" w:cs="Times New Roman"/>
          <w:sz w:val="24"/>
          <w:szCs w:val="24"/>
          <w:lang w:val="es-MX"/>
        </w:rPr>
        <w:t xml:space="preserve"> </w:t>
      </w:r>
      <w:r w:rsidRPr="00054629">
        <w:rPr>
          <w:rFonts w:ascii="Times New Roman" w:hAnsi="Times New Roman" w:cs="Times New Roman"/>
          <w:b/>
          <w:sz w:val="24"/>
          <w:szCs w:val="24"/>
          <w:lang w:val="es-MX"/>
        </w:rPr>
        <w:t>Pozo o Perforación Vertical - PV:</w:t>
      </w:r>
      <w:r>
        <w:rPr>
          <w:rFonts w:ascii="Times New Roman" w:hAnsi="Times New Roman" w:cs="Times New Roman"/>
          <w:sz w:val="24"/>
          <w:szCs w:val="24"/>
          <w:lang w:val="es-MX"/>
        </w:rPr>
        <w:t xml:space="preserve"> </w:t>
      </w:r>
      <w:r w:rsidRPr="00280936">
        <w:rPr>
          <w:rFonts w:ascii="Times New Roman" w:hAnsi="Times New Roman" w:cs="Times New Roman"/>
          <w:sz w:val="24"/>
          <w:szCs w:val="24"/>
          <w:lang w:val="es-MX"/>
        </w:rPr>
        <w:t>Pozo</w:t>
      </w:r>
      <w:r>
        <w:rPr>
          <w:rFonts w:ascii="Times New Roman" w:hAnsi="Times New Roman" w:cs="Times New Roman"/>
          <w:sz w:val="24"/>
          <w:szCs w:val="24"/>
          <w:lang w:val="es-MX"/>
        </w:rPr>
        <w:t xml:space="preserve"> </w:t>
      </w:r>
      <w:r w:rsidRPr="00280936">
        <w:rPr>
          <w:rFonts w:ascii="Times New Roman" w:hAnsi="Times New Roman" w:cs="Times New Roman"/>
          <w:sz w:val="24"/>
          <w:szCs w:val="24"/>
          <w:lang w:val="es-MX"/>
        </w:rPr>
        <w:t xml:space="preserve">cuya desviación respecto a la vertical </w:t>
      </w:r>
      <w:r>
        <w:rPr>
          <w:rFonts w:ascii="Times New Roman" w:hAnsi="Times New Roman" w:cs="Times New Roman"/>
          <w:sz w:val="24"/>
          <w:szCs w:val="24"/>
          <w:lang w:val="es-MX"/>
        </w:rPr>
        <w:t>no es mayor a 30</w:t>
      </w:r>
      <w:r w:rsidRPr="00280936">
        <w:rPr>
          <w:rFonts w:ascii="Times New Roman" w:hAnsi="Times New Roman" w:cs="Times New Roman"/>
          <w:sz w:val="24"/>
          <w:szCs w:val="24"/>
          <w:lang w:val="es-MX"/>
        </w:rPr>
        <w:t xml:space="preserve"> grados</w:t>
      </w:r>
      <w:r>
        <w:rPr>
          <w:rFonts w:ascii="Times New Roman" w:hAnsi="Times New Roman" w:cs="Times New Roman"/>
          <w:sz w:val="24"/>
          <w:szCs w:val="24"/>
          <w:lang w:val="es-MX"/>
        </w:rPr>
        <w:t>. Estos pozos son perforados con tecnología convencional de rotaria o top drive.</w:t>
      </w:r>
    </w:p>
    <w:p w14:paraId="6D54381F" w14:textId="77777777" w:rsidR="003746FA" w:rsidRDefault="003746FA" w:rsidP="003746FA">
      <w:pPr>
        <w:jc w:val="both"/>
        <w:rPr>
          <w:rFonts w:ascii="Times New Roman" w:hAnsi="Times New Roman" w:cs="Times New Roman"/>
          <w:sz w:val="24"/>
          <w:szCs w:val="24"/>
          <w:lang w:val="es-MX"/>
        </w:rPr>
      </w:pPr>
      <w:r w:rsidRPr="005B2E4B">
        <w:rPr>
          <w:rFonts w:ascii="Times New Roman" w:hAnsi="Times New Roman" w:cs="Times New Roman"/>
          <w:b/>
          <w:sz w:val="24"/>
          <w:szCs w:val="24"/>
          <w:lang w:val="es-MX"/>
        </w:rPr>
        <w:t>2.9.</w:t>
      </w:r>
      <w:r>
        <w:rPr>
          <w:rFonts w:ascii="Times New Roman" w:hAnsi="Times New Roman" w:cs="Times New Roman"/>
          <w:sz w:val="24"/>
          <w:szCs w:val="24"/>
          <w:lang w:val="es-MX"/>
        </w:rPr>
        <w:t xml:space="preserve"> </w:t>
      </w:r>
      <w:r w:rsidRPr="00054629">
        <w:rPr>
          <w:rFonts w:ascii="Times New Roman" w:hAnsi="Times New Roman" w:cs="Times New Roman"/>
          <w:b/>
          <w:sz w:val="24"/>
          <w:szCs w:val="24"/>
          <w:lang w:val="es-MX"/>
        </w:rPr>
        <w:t>Pozo o Perforación Direccional – PD:</w:t>
      </w:r>
      <w:r>
        <w:rPr>
          <w:rFonts w:ascii="Times New Roman" w:hAnsi="Times New Roman" w:cs="Times New Roman"/>
          <w:sz w:val="24"/>
          <w:szCs w:val="24"/>
          <w:lang w:val="es-MX"/>
        </w:rPr>
        <w:t xml:space="preserve"> </w:t>
      </w:r>
      <w:r w:rsidRPr="00280936">
        <w:rPr>
          <w:rFonts w:ascii="Times New Roman" w:hAnsi="Times New Roman" w:cs="Times New Roman"/>
          <w:sz w:val="24"/>
          <w:szCs w:val="24"/>
          <w:lang w:val="es-MX"/>
        </w:rPr>
        <w:t>Pozo</w:t>
      </w:r>
      <w:r>
        <w:rPr>
          <w:rFonts w:ascii="Times New Roman" w:hAnsi="Times New Roman" w:cs="Times New Roman"/>
          <w:sz w:val="24"/>
          <w:szCs w:val="24"/>
          <w:lang w:val="es-MX"/>
        </w:rPr>
        <w:t xml:space="preserve"> </w:t>
      </w:r>
      <w:r w:rsidRPr="00280936">
        <w:rPr>
          <w:rFonts w:ascii="Times New Roman" w:hAnsi="Times New Roman" w:cs="Times New Roman"/>
          <w:sz w:val="24"/>
          <w:szCs w:val="24"/>
          <w:lang w:val="es-MX"/>
        </w:rPr>
        <w:t>cuya de</w:t>
      </w:r>
      <w:r>
        <w:rPr>
          <w:rFonts w:ascii="Times New Roman" w:hAnsi="Times New Roman" w:cs="Times New Roman"/>
          <w:sz w:val="24"/>
          <w:szCs w:val="24"/>
          <w:lang w:val="es-MX"/>
        </w:rPr>
        <w:t>sviación respecto a la vertical es mayor a 30</w:t>
      </w:r>
      <w:r w:rsidRPr="00280936">
        <w:rPr>
          <w:rFonts w:ascii="Times New Roman" w:hAnsi="Times New Roman" w:cs="Times New Roman"/>
          <w:sz w:val="24"/>
          <w:szCs w:val="24"/>
          <w:lang w:val="es-MX"/>
        </w:rPr>
        <w:t xml:space="preserve"> grados</w:t>
      </w:r>
      <w:r>
        <w:rPr>
          <w:rFonts w:ascii="Times New Roman" w:hAnsi="Times New Roman" w:cs="Times New Roman"/>
          <w:sz w:val="24"/>
          <w:szCs w:val="24"/>
          <w:lang w:val="es-MX"/>
        </w:rPr>
        <w:t xml:space="preserve"> e inferior a 60 grados. Estos pozos son perforados con tecnología convencional de rotaria o top drive.</w:t>
      </w:r>
    </w:p>
    <w:p w14:paraId="52F9F4D9" w14:textId="77777777" w:rsidR="003746FA" w:rsidRDefault="003746FA" w:rsidP="003746FA">
      <w:pPr>
        <w:jc w:val="both"/>
        <w:rPr>
          <w:rFonts w:ascii="Times New Roman" w:hAnsi="Times New Roman" w:cs="Times New Roman"/>
          <w:sz w:val="24"/>
          <w:szCs w:val="24"/>
          <w:lang w:val="es-MX"/>
        </w:rPr>
      </w:pPr>
      <w:r>
        <w:rPr>
          <w:rFonts w:ascii="Times New Roman" w:hAnsi="Times New Roman" w:cs="Times New Roman"/>
          <w:b/>
          <w:sz w:val="24"/>
          <w:szCs w:val="24"/>
          <w:lang w:val="es-MX"/>
        </w:rPr>
        <w:t>2.10</w:t>
      </w:r>
      <w:r w:rsidRPr="00280936">
        <w:rPr>
          <w:rFonts w:ascii="Times New Roman" w:hAnsi="Times New Roman" w:cs="Times New Roman"/>
          <w:b/>
          <w:sz w:val="24"/>
          <w:szCs w:val="24"/>
          <w:lang w:val="es-MX"/>
        </w:rPr>
        <w:t>.</w:t>
      </w:r>
      <w:r>
        <w:rPr>
          <w:rFonts w:ascii="Times New Roman" w:hAnsi="Times New Roman" w:cs="Times New Roman"/>
          <w:sz w:val="24"/>
          <w:szCs w:val="24"/>
          <w:lang w:val="es-MX"/>
        </w:rPr>
        <w:t xml:space="preserve"> </w:t>
      </w:r>
      <w:r w:rsidRPr="00054629">
        <w:rPr>
          <w:rFonts w:ascii="Times New Roman" w:hAnsi="Times New Roman" w:cs="Times New Roman"/>
          <w:b/>
          <w:sz w:val="24"/>
          <w:szCs w:val="24"/>
          <w:lang w:val="es-MX"/>
        </w:rPr>
        <w:t>Pozo o Perforación Horizontal - PH:</w:t>
      </w:r>
      <w:r>
        <w:rPr>
          <w:rFonts w:ascii="Times New Roman" w:hAnsi="Times New Roman" w:cs="Times New Roman"/>
          <w:sz w:val="24"/>
          <w:szCs w:val="24"/>
          <w:lang w:val="es-MX"/>
        </w:rPr>
        <w:t xml:space="preserve"> </w:t>
      </w:r>
      <w:r w:rsidRPr="00280936">
        <w:rPr>
          <w:rFonts w:ascii="Times New Roman" w:hAnsi="Times New Roman" w:cs="Times New Roman"/>
          <w:sz w:val="24"/>
          <w:szCs w:val="24"/>
          <w:lang w:val="es-MX"/>
        </w:rPr>
        <w:t>Pozo</w:t>
      </w:r>
      <w:r>
        <w:rPr>
          <w:rFonts w:ascii="Times New Roman" w:hAnsi="Times New Roman" w:cs="Times New Roman"/>
          <w:sz w:val="24"/>
          <w:szCs w:val="24"/>
          <w:lang w:val="es-MX"/>
        </w:rPr>
        <w:t xml:space="preserve"> que</w:t>
      </w:r>
      <w:r w:rsidRPr="00280936">
        <w:rPr>
          <w:rFonts w:ascii="Times New Roman" w:hAnsi="Times New Roman" w:cs="Times New Roman"/>
          <w:sz w:val="24"/>
          <w:szCs w:val="24"/>
          <w:lang w:val="es-MX"/>
        </w:rPr>
        <w:t xml:space="preserve"> contiene una sección</w:t>
      </w:r>
      <w:r>
        <w:rPr>
          <w:rFonts w:ascii="Times New Roman" w:hAnsi="Times New Roman" w:cs="Times New Roman"/>
          <w:sz w:val="24"/>
          <w:szCs w:val="24"/>
          <w:lang w:val="es-MX"/>
        </w:rPr>
        <w:t xml:space="preserve"> horizontal</w:t>
      </w:r>
      <w:r w:rsidRPr="00280936">
        <w:rPr>
          <w:rFonts w:ascii="Times New Roman" w:hAnsi="Times New Roman" w:cs="Times New Roman"/>
          <w:sz w:val="24"/>
          <w:szCs w:val="24"/>
          <w:lang w:val="es-MX"/>
        </w:rPr>
        <w:t xml:space="preserve"> cuya desviación respecto a la vertical </w:t>
      </w:r>
      <w:r>
        <w:rPr>
          <w:rFonts w:ascii="Times New Roman" w:hAnsi="Times New Roman" w:cs="Times New Roman"/>
          <w:sz w:val="24"/>
          <w:szCs w:val="24"/>
          <w:lang w:val="es-MX"/>
        </w:rPr>
        <w:t>es mayor a 6</w:t>
      </w:r>
      <w:r w:rsidRPr="00280936">
        <w:rPr>
          <w:rFonts w:ascii="Times New Roman" w:hAnsi="Times New Roman" w:cs="Times New Roman"/>
          <w:sz w:val="24"/>
          <w:szCs w:val="24"/>
          <w:lang w:val="es-MX"/>
        </w:rPr>
        <w:t>0 grados</w:t>
      </w:r>
      <w:r>
        <w:rPr>
          <w:rFonts w:ascii="Times New Roman" w:hAnsi="Times New Roman" w:cs="Times New Roman"/>
          <w:sz w:val="24"/>
          <w:szCs w:val="24"/>
          <w:lang w:val="es-MX"/>
        </w:rPr>
        <w:t>, la cual se perfora con tecnología no convencional de motor de fondo,</w:t>
      </w:r>
      <w:r w:rsidRPr="00280936">
        <w:rPr>
          <w:rFonts w:ascii="Times New Roman" w:hAnsi="Times New Roman" w:cs="Times New Roman"/>
          <w:sz w:val="24"/>
          <w:szCs w:val="24"/>
          <w:lang w:val="es-MX"/>
        </w:rPr>
        <w:t xml:space="preserve"> y se proyecta más de 100 pies dentro de la formación de interés.</w:t>
      </w:r>
    </w:p>
    <w:p w14:paraId="5A32FEC6" w14:textId="77777777" w:rsidR="003746FA" w:rsidRPr="00280936" w:rsidRDefault="003746FA" w:rsidP="003746FA">
      <w:pPr>
        <w:jc w:val="both"/>
        <w:rPr>
          <w:rFonts w:ascii="Times New Roman" w:hAnsi="Times New Roman" w:cs="Times New Roman"/>
          <w:sz w:val="24"/>
          <w:szCs w:val="24"/>
          <w:lang w:val="es-MX"/>
        </w:rPr>
      </w:pPr>
      <w:r>
        <w:rPr>
          <w:rFonts w:ascii="Times New Roman" w:hAnsi="Times New Roman" w:cs="Times New Roman"/>
          <w:b/>
          <w:sz w:val="24"/>
          <w:szCs w:val="24"/>
          <w:lang w:val="es-MX"/>
        </w:rPr>
        <w:t>2.11</w:t>
      </w:r>
      <w:r w:rsidRPr="00FB4FB3">
        <w:rPr>
          <w:rFonts w:ascii="Times New Roman" w:hAnsi="Times New Roman" w:cs="Times New Roman"/>
          <w:b/>
          <w:sz w:val="24"/>
          <w:szCs w:val="24"/>
          <w:lang w:val="es-MX"/>
        </w:rPr>
        <w:t>.</w:t>
      </w:r>
      <w:r>
        <w:rPr>
          <w:rFonts w:ascii="Times New Roman" w:hAnsi="Times New Roman" w:cs="Times New Roman"/>
          <w:sz w:val="24"/>
          <w:szCs w:val="24"/>
          <w:lang w:val="es-MX"/>
        </w:rPr>
        <w:t xml:space="preserve"> </w:t>
      </w:r>
      <w:r w:rsidRPr="00150538">
        <w:rPr>
          <w:rFonts w:ascii="Times New Roman" w:hAnsi="Times New Roman" w:cs="Times New Roman"/>
          <w:b/>
          <w:sz w:val="24"/>
          <w:szCs w:val="24"/>
          <w:lang w:val="es-MX"/>
        </w:rPr>
        <w:t>Pozo o Perforación Multilateral – PML:</w:t>
      </w:r>
      <w:r>
        <w:rPr>
          <w:rFonts w:ascii="Times New Roman" w:hAnsi="Times New Roman" w:cs="Times New Roman"/>
          <w:sz w:val="24"/>
          <w:szCs w:val="24"/>
          <w:lang w:val="es-MX"/>
        </w:rPr>
        <w:t xml:space="preserve"> Pozo que contiene dos o más secciones desviadas de la vertical, sin importar el ángulo, las cuales se perforan con tecnología convencional top drive o rotaria, o tecnología no convencional de motor de fondo, y cada una de estas secciones se proyectan más de 100 pies dentro de la formación de interés o en dos o más formaciones.</w:t>
      </w:r>
    </w:p>
    <w:p w14:paraId="7164D8E1" w14:textId="77777777" w:rsidR="003746FA" w:rsidRDefault="003746FA" w:rsidP="003746FA">
      <w:pPr>
        <w:jc w:val="both"/>
        <w:rPr>
          <w:rFonts w:ascii="Times New Roman" w:hAnsi="Times New Roman" w:cs="Times New Roman"/>
          <w:sz w:val="24"/>
          <w:szCs w:val="24"/>
          <w:lang w:val="es-MX"/>
        </w:rPr>
      </w:pPr>
      <w:r>
        <w:rPr>
          <w:rFonts w:ascii="Times New Roman" w:hAnsi="Times New Roman" w:cs="Times New Roman"/>
          <w:b/>
          <w:sz w:val="24"/>
          <w:szCs w:val="24"/>
          <w:lang w:val="es-MX"/>
        </w:rPr>
        <w:t>2.</w:t>
      </w:r>
      <w:r w:rsidRPr="00AE4F6E">
        <w:rPr>
          <w:rFonts w:ascii="Times New Roman" w:hAnsi="Times New Roman" w:cs="Times New Roman"/>
          <w:b/>
          <w:sz w:val="24"/>
          <w:szCs w:val="24"/>
          <w:lang w:val="es-MX"/>
        </w:rPr>
        <w:t>.</w:t>
      </w:r>
      <w:r>
        <w:rPr>
          <w:rFonts w:ascii="Times New Roman" w:hAnsi="Times New Roman" w:cs="Times New Roman"/>
          <w:b/>
          <w:sz w:val="24"/>
          <w:szCs w:val="24"/>
          <w:lang w:val="es-MX"/>
        </w:rPr>
        <w:t>12.</w:t>
      </w:r>
      <w:r>
        <w:rPr>
          <w:rFonts w:ascii="Times New Roman" w:hAnsi="Times New Roman" w:cs="Times New Roman"/>
          <w:sz w:val="24"/>
          <w:szCs w:val="24"/>
          <w:lang w:val="es-MX"/>
        </w:rPr>
        <w:t xml:space="preserve"> </w:t>
      </w:r>
      <w:r w:rsidRPr="00150538">
        <w:rPr>
          <w:rFonts w:ascii="Times New Roman" w:hAnsi="Times New Roman" w:cs="Times New Roman"/>
          <w:b/>
          <w:sz w:val="24"/>
          <w:szCs w:val="24"/>
          <w:lang w:val="es-MX"/>
        </w:rPr>
        <w:t>Plataforma Multipozo - PM:</w:t>
      </w:r>
      <w:r>
        <w:rPr>
          <w:rFonts w:ascii="Times New Roman" w:hAnsi="Times New Roman" w:cs="Times New Roman"/>
          <w:sz w:val="24"/>
          <w:szCs w:val="24"/>
          <w:lang w:val="es-MX"/>
        </w:rPr>
        <w:t xml:space="preserve"> locación superficial desde donde se perfora un c</w:t>
      </w:r>
      <w:r w:rsidRPr="00447A30">
        <w:rPr>
          <w:rFonts w:ascii="Times New Roman" w:hAnsi="Times New Roman" w:cs="Times New Roman"/>
          <w:sz w:val="24"/>
          <w:szCs w:val="24"/>
          <w:lang w:val="es-MX"/>
        </w:rPr>
        <w:t xml:space="preserve">onjunto de pozos, mínimo tres (3) hasta diez (10) pozos, </w:t>
      </w:r>
      <w:r>
        <w:rPr>
          <w:rFonts w:ascii="Times New Roman" w:hAnsi="Times New Roman" w:cs="Times New Roman"/>
          <w:sz w:val="24"/>
          <w:szCs w:val="24"/>
          <w:lang w:val="es-MX"/>
        </w:rPr>
        <w:t xml:space="preserve">en un arreglo </w:t>
      </w:r>
      <w:r w:rsidRPr="00447A30">
        <w:rPr>
          <w:rFonts w:ascii="Times New Roman" w:hAnsi="Times New Roman" w:cs="Times New Roman"/>
          <w:sz w:val="24"/>
          <w:szCs w:val="24"/>
          <w:lang w:val="es-MX"/>
        </w:rPr>
        <w:t>cuya característica está dada por la cercanía geográf</w:t>
      </w:r>
      <w:r>
        <w:rPr>
          <w:rFonts w:ascii="Times New Roman" w:hAnsi="Times New Roman" w:cs="Times New Roman"/>
          <w:sz w:val="24"/>
          <w:szCs w:val="24"/>
          <w:lang w:val="es-MX"/>
        </w:rPr>
        <w:t>ica y propiedades de yacimientos, convencionales o no convencionales,</w:t>
      </w:r>
      <w:r w:rsidRPr="00447A30">
        <w:rPr>
          <w:rFonts w:ascii="Times New Roman" w:hAnsi="Times New Roman" w:cs="Times New Roman"/>
          <w:sz w:val="24"/>
          <w:szCs w:val="24"/>
          <w:lang w:val="es-MX"/>
        </w:rPr>
        <w:t xml:space="preserve"> similares</w:t>
      </w:r>
      <w:r>
        <w:rPr>
          <w:rFonts w:ascii="Times New Roman" w:hAnsi="Times New Roman" w:cs="Times New Roman"/>
          <w:sz w:val="24"/>
          <w:szCs w:val="24"/>
          <w:lang w:val="es-MX"/>
        </w:rPr>
        <w:t>,</w:t>
      </w:r>
      <w:r w:rsidRPr="00447A30">
        <w:rPr>
          <w:rFonts w:ascii="Times New Roman" w:hAnsi="Times New Roman" w:cs="Times New Roman"/>
          <w:sz w:val="24"/>
          <w:szCs w:val="24"/>
          <w:lang w:val="es-MX"/>
        </w:rPr>
        <w:t xml:space="preserve"> para maximizar la eficiencia de producción.</w:t>
      </w:r>
    </w:p>
    <w:p w14:paraId="44E11F9B" w14:textId="77777777" w:rsidR="003746FA" w:rsidRDefault="003746FA" w:rsidP="003746FA">
      <w:pPr>
        <w:pStyle w:val="Sinespaciado"/>
        <w:jc w:val="both"/>
        <w:rPr>
          <w:lang w:val="es-MX"/>
        </w:rPr>
      </w:pPr>
      <w:r>
        <w:rPr>
          <w:b/>
          <w:lang w:val="es-MX"/>
        </w:rPr>
        <w:t>2.13</w:t>
      </w:r>
      <w:r w:rsidRPr="00AE4F6E">
        <w:rPr>
          <w:b/>
          <w:lang w:val="es-MX"/>
        </w:rPr>
        <w:t>.</w:t>
      </w:r>
      <w:r>
        <w:rPr>
          <w:lang w:val="es-MX"/>
        </w:rPr>
        <w:t xml:space="preserve"> </w:t>
      </w:r>
      <w:r w:rsidRPr="00150538">
        <w:rPr>
          <w:rFonts w:ascii="Times New Roman" w:hAnsi="Times New Roman" w:cs="Times New Roman"/>
          <w:b/>
          <w:sz w:val="24"/>
          <w:szCs w:val="24"/>
          <w:lang w:val="es-MX"/>
        </w:rPr>
        <w:t>Campo:</w:t>
      </w:r>
      <w:r w:rsidRPr="00FB769E">
        <w:rPr>
          <w:rFonts w:ascii="Times New Roman" w:hAnsi="Times New Roman" w:cs="Times New Roman"/>
          <w:sz w:val="24"/>
          <w:szCs w:val="24"/>
          <w:lang w:val="es-MX"/>
        </w:rPr>
        <w:t xml:space="preserve"> área superficial en cuyo subsuelo existe uno o más yacimientos, o la proyección a superficie del yacimiento o yacimientos ubicados en el subsuelo de la misma área</w:t>
      </w:r>
      <w:r>
        <w:rPr>
          <w:rFonts w:ascii="Times New Roman" w:hAnsi="Times New Roman" w:cs="Times New Roman"/>
          <w:sz w:val="24"/>
          <w:szCs w:val="24"/>
          <w:lang w:val="es-MX"/>
        </w:rPr>
        <w:t>, los cuales están agrupados o relacionados con la misma característica estructural geológica</w:t>
      </w:r>
      <w:r w:rsidRPr="00FB769E">
        <w:rPr>
          <w:rFonts w:ascii="Times New Roman" w:hAnsi="Times New Roman" w:cs="Times New Roman"/>
          <w:sz w:val="24"/>
          <w:szCs w:val="24"/>
          <w:lang w:val="es-MX"/>
        </w:rPr>
        <w:t>.</w:t>
      </w:r>
    </w:p>
    <w:p w14:paraId="0B865E7E" w14:textId="77777777" w:rsidR="003746FA" w:rsidRDefault="003746FA" w:rsidP="003746FA">
      <w:pPr>
        <w:pStyle w:val="Sinespaciado"/>
        <w:jc w:val="both"/>
        <w:rPr>
          <w:lang w:val="es-MX"/>
        </w:rPr>
      </w:pPr>
    </w:p>
    <w:p w14:paraId="3CE3D1CE" w14:textId="77777777" w:rsidR="003746FA" w:rsidRDefault="003746FA" w:rsidP="003746FA">
      <w:pPr>
        <w:jc w:val="both"/>
        <w:rPr>
          <w:rFonts w:ascii="Times New Roman" w:hAnsi="Times New Roman" w:cs="Times New Roman"/>
          <w:sz w:val="24"/>
          <w:szCs w:val="24"/>
          <w:lang w:val="es-MX"/>
        </w:rPr>
      </w:pPr>
      <w:r>
        <w:rPr>
          <w:rFonts w:ascii="Times New Roman" w:hAnsi="Times New Roman" w:cs="Times New Roman"/>
          <w:b/>
          <w:sz w:val="24"/>
          <w:szCs w:val="24"/>
          <w:lang w:val="es-MX"/>
        </w:rPr>
        <w:t>2.14</w:t>
      </w:r>
      <w:r w:rsidRPr="00280936">
        <w:rPr>
          <w:rFonts w:ascii="Times New Roman" w:hAnsi="Times New Roman" w:cs="Times New Roman"/>
          <w:b/>
          <w:sz w:val="24"/>
          <w:szCs w:val="24"/>
          <w:lang w:val="es-MX"/>
        </w:rPr>
        <w:t>.</w:t>
      </w:r>
      <w:r>
        <w:rPr>
          <w:lang w:val="es-MX"/>
        </w:rPr>
        <w:t xml:space="preserve"> </w:t>
      </w:r>
      <w:r w:rsidRPr="00150538">
        <w:rPr>
          <w:rFonts w:ascii="Times New Roman" w:hAnsi="Times New Roman" w:cs="Times New Roman"/>
          <w:b/>
          <w:sz w:val="24"/>
          <w:szCs w:val="24"/>
          <w:lang w:val="es-MX"/>
        </w:rPr>
        <w:t>Fracturamiento Hidráulico o Estimulación Hidráulica – FH o EH:</w:t>
      </w:r>
      <w:r w:rsidRPr="00923CD0">
        <w:rPr>
          <w:rFonts w:ascii="Times New Roman" w:hAnsi="Times New Roman" w:cs="Times New Roman"/>
          <w:sz w:val="24"/>
          <w:szCs w:val="24"/>
          <w:lang w:val="es-MX"/>
        </w:rPr>
        <w:t xml:space="preserve"> Tratamiento a la formación de interés o productora de un pozo a través del uso de un fluido de estimulación con el objetivo de mejorar su productividad. Esta estimulación se realiza a través del bombeo de un fluido compuesto por agua, químicos y propante a</w:t>
      </w:r>
      <w:r>
        <w:rPr>
          <w:rFonts w:ascii="Times New Roman" w:hAnsi="Times New Roman" w:cs="Times New Roman"/>
          <w:sz w:val="24"/>
          <w:szCs w:val="24"/>
          <w:lang w:val="es-MX"/>
        </w:rPr>
        <w:t xml:space="preserve"> una</w:t>
      </w:r>
      <w:r w:rsidRPr="00923CD0">
        <w:rPr>
          <w:rFonts w:ascii="Times New Roman" w:hAnsi="Times New Roman" w:cs="Times New Roman"/>
          <w:sz w:val="24"/>
          <w:szCs w:val="24"/>
          <w:lang w:val="es-MX"/>
        </w:rPr>
        <w:t xml:space="preserve"> presión</w:t>
      </w:r>
      <w:r>
        <w:rPr>
          <w:rFonts w:ascii="Times New Roman" w:hAnsi="Times New Roman" w:cs="Times New Roman"/>
          <w:sz w:val="24"/>
          <w:szCs w:val="24"/>
          <w:lang w:val="es-MX"/>
        </w:rPr>
        <w:t xml:space="preserve"> superior a la presión de fractura de la roca o formación,</w:t>
      </w:r>
      <w:r w:rsidRPr="00923CD0">
        <w:rPr>
          <w:rFonts w:ascii="Times New Roman" w:hAnsi="Times New Roman" w:cs="Times New Roman"/>
          <w:sz w:val="24"/>
          <w:szCs w:val="24"/>
          <w:lang w:val="es-MX"/>
        </w:rPr>
        <w:t xml:space="preserve"> por el hueco del pozo, con el fin de inducir fracturas en la </w:t>
      </w:r>
      <w:r w:rsidRPr="00923CD0">
        <w:rPr>
          <w:rFonts w:ascii="Times New Roman" w:hAnsi="Times New Roman" w:cs="Times New Roman"/>
          <w:sz w:val="24"/>
          <w:szCs w:val="24"/>
          <w:lang w:val="es-MX"/>
        </w:rPr>
        <w:lastRenderedPageBreak/>
        <w:t>roca</w:t>
      </w:r>
      <w:r>
        <w:rPr>
          <w:rFonts w:ascii="Times New Roman" w:hAnsi="Times New Roman" w:cs="Times New Roman"/>
          <w:sz w:val="24"/>
          <w:szCs w:val="24"/>
          <w:lang w:val="es-MX"/>
        </w:rPr>
        <w:t xml:space="preserve"> o formación, para generar una</w:t>
      </w:r>
      <w:r w:rsidRPr="00923CD0">
        <w:rPr>
          <w:rFonts w:ascii="Times New Roman" w:hAnsi="Times New Roman" w:cs="Times New Roman"/>
          <w:sz w:val="24"/>
          <w:szCs w:val="24"/>
          <w:lang w:val="es-MX"/>
        </w:rPr>
        <w:t xml:space="preserve"> permeabilidad</w:t>
      </w:r>
      <w:r>
        <w:rPr>
          <w:rFonts w:ascii="Times New Roman" w:hAnsi="Times New Roman" w:cs="Times New Roman"/>
          <w:sz w:val="24"/>
          <w:szCs w:val="24"/>
          <w:lang w:val="es-MX"/>
        </w:rPr>
        <w:t xml:space="preserve"> secundaria o aumentar la permeabilidad natural</w:t>
      </w:r>
      <w:r w:rsidRPr="00923CD0">
        <w:rPr>
          <w:rFonts w:ascii="Times New Roman" w:hAnsi="Times New Roman" w:cs="Times New Roman"/>
          <w:sz w:val="24"/>
          <w:szCs w:val="24"/>
          <w:lang w:val="es-MX"/>
        </w:rPr>
        <w:t>.</w:t>
      </w:r>
    </w:p>
    <w:p w14:paraId="0AF49100" w14:textId="77777777" w:rsidR="003746FA" w:rsidRDefault="003746FA" w:rsidP="003746FA">
      <w:pPr>
        <w:jc w:val="both"/>
        <w:rPr>
          <w:rFonts w:ascii="Times New Roman" w:hAnsi="Times New Roman" w:cs="Times New Roman"/>
          <w:sz w:val="24"/>
          <w:szCs w:val="24"/>
          <w:lang w:val="es-MX"/>
        </w:rPr>
      </w:pPr>
      <w:r w:rsidRPr="00D80EF3">
        <w:rPr>
          <w:rFonts w:ascii="Times New Roman" w:hAnsi="Times New Roman" w:cs="Times New Roman"/>
          <w:b/>
          <w:sz w:val="24"/>
          <w:szCs w:val="24"/>
          <w:lang w:val="es-MX"/>
        </w:rPr>
        <w:t>2</w:t>
      </w:r>
      <w:r>
        <w:rPr>
          <w:rFonts w:ascii="Times New Roman" w:hAnsi="Times New Roman" w:cs="Times New Roman"/>
          <w:b/>
          <w:sz w:val="24"/>
          <w:szCs w:val="24"/>
          <w:lang w:val="es-MX"/>
        </w:rPr>
        <w:t>.15</w:t>
      </w:r>
      <w:r w:rsidRPr="00D80EF3">
        <w:rPr>
          <w:rFonts w:ascii="Times New Roman" w:hAnsi="Times New Roman" w:cs="Times New Roman"/>
          <w:b/>
          <w:sz w:val="24"/>
          <w:szCs w:val="24"/>
          <w:lang w:val="es-MX"/>
        </w:rPr>
        <w:t>.</w:t>
      </w:r>
      <w:r>
        <w:rPr>
          <w:rFonts w:ascii="Times New Roman" w:hAnsi="Times New Roman" w:cs="Times New Roman"/>
          <w:sz w:val="24"/>
          <w:szCs w:val="24"/>
          <w:lang w:val="es-MX"/>
        </w:rPr>
        <w:t xml:space="preserve"> </w:t>
      </w:r>
      <w:r w:rsidRPr="00150538">
        <w:rPr>
          <w:rFonts w:ascii="Times New Roman" w:hAnsi="Times New Roman" w:cs="Times New Roman"/>
          <w:b/>
          <w:sz w:val="24"/>
          <w:szCs w:val="24"/>
          <w:lang w:val="es-MX"/>
        </w:rPr>
        <w:t>Fracturamiento Hidráulico o Estimulación Hidráulica Convencional – FHC o EHC:</w:t>
      </w:r>
      <w:r>
        <w:rPr>
          <w:rFonts w:ascii="Times New Roman" w:hAnsi="Times New Roman" w:cs="Times New Roman"/>
          <w:sz w:val="24"/>
          <w:szCs w:val="24"/>
          <w:lang w:val="es-MX"/>
        </w:rPr>
        <w:t xml:space="preserve"> cuando el fracturamiento o la estimulación hidráulica se hace con una o dos etapas en un mismo pozo.</w:t>
      </w:r>
    </w:p>
    <w:p w14:paraId="636B5336" w14:textId="77777777" w:rsidR="003746FA" w:rsidRPr="00923CD0" w:rsidRDefault="003746FA" w:rsidP="003746FA">
      <w:pPr>
        <w:jc w:val="both"/>
        <w:rPr>
          <w:rFonts w:ascii="Times New Roman" w:hAnsi="Times New Roman" w:cs="Times New Roman"/>
          <w:sz w:val="24"/>
          <w:szCs w:val="24"/>
          <w:lang w:val="es-MX"/>
        </w:rPr>
      </w:pPr>
      <w:r>
        <w:rPr>
          <w:rFonts w:ascii="Times New Roman" w:hAnsi="Times New Roman" w:cs="Times New Roman"/>
          <w:b/>
          <w:sz w:val="24"/>
          <w:szCs w:val="24"/>
          <w:lang w:val="es-MX"/>
        </w:rPr>
        <w:t>2.16</w:t>
      </w:r>
      <w:r w:rsidRPr="00D80EF3">
        <w:rPr>
          <w:rFonts w:ascii="Times New Roman" w:hAnsi="Times New Roman" w:cs="Times New Roman"/>
          <w:b/>
          <w:sz w:val="24"/>
          <w:szCs w:val="24"/>
          <w:lang w:val="es-MX"/>
        </w:rPr>
        <w:t>.</w:t>
      </w:r>
      <w:r>
        <w:rPr>
          <w:rFonts w:ascii="Times New Roman" w:hAnsi="Times New Roman" w:cs="Times New Roman"/>
          <w:sz w:val="24"/>
          <w:szCs w:val="24"/>
          <w:lang w:val="es-MX"/>
        </w:rPr>
        <w:t xml:space="preserve"> </w:t>
      </w:r>
      <w:r w:rsidRPr="00150538">
        <w:rPr>
          <w:rFonts w:ascii="Times New Roman" w:hAnsi="Times New Roman" w:cs="Times New Roman"/>
          <w:b/>
          <w:sz w:val="24"/>
          <w:szCs w:val="24"/>
          <w:lang w:val="es-MX"/>
        </w:rPr>
        <w:t>Fracturamiento Hidráulico o Estimulación Hidráulica Multietapa – FHME o EHME:</w:t>
      </w:r>
      <w:r>
        <w:rPr>
          <w:rFonts w:ascii="Times New Roman" w:hAnsi="Times New Roman" w:cs="Times New Roman"/>
          <w:sz w:val="24"/>
          <w:szCs w:val="24"/>
          <w:lang w:val="es-MX"/>
        </w:rPr>
        <w:t xml:space="preserve"> cuando el fracturamiento o la estimulación hidráulica se hace con tres o más etapas en un mismo pozo. El fracturamiento hidráulico multietapa se considera una técnica no convencional.</w:t>
      </w:r>
    </w:p>
    <w:p w14:paraId="276430E2" w14:textId="77777777" w:rsidR="003746FA" w:rsidRPr="00322533" w:rsidRDefault="003746FA" w:rsidP="003746FA">
      <w:pPr>
        <w:jc w:val="both"/>
        <w:rPr>
          <w:rFonts w:ascii="Times New Roman" w:hAnsi="Times New Roman" w:cs="Times New Roman"/>
          <w:sz w:val="24"/>
          <w:szCs w:val="24"/>
          <w:lang w:val="es-MX"/>
        </w:rPr>
      </w:pPr>
      <w:r w:rsidRPr="00280936">
        <w:rPr>
          <w:rFonts w:ascii="Times New Roman" w:hAnsi="Times New Roman" w:cs="Times New Roman"/>
          <w:b/>
          <w:sz w:val="24"/>
          <w:szCs w:val="24"/>
          <w:lang w:val="es-MX"/>
        </w:rPr>
        <w:t>2</w:t>
      </w:r>
      <w:r>
        <w:rPr>
          <w:rFonts w:ascii="Times New Roman" w:hAnsi="Times New Roman" w:cs="Times New Roman"/>
          <w:b/>
          <w:sz w:val="24"/>
          <w:szCs w:val="24"/>
          <w:lang w:val="es-MX"/>
        </w:rPr>
        <w:t>.17</w:t>
      </w:r>
      <w:r w:rsidRPr="00280936">
        <w:rPr>
          <w:rFonts w:ascii="Times New Roman" w:hAnsi="Times New Roman" w:cs="Times New Roman"/>
          <w:b/>
          <w:sz w:val="24"/>
          <w:szCs w:val="24"/>
          <w:lang w:val="es-MX"/>
        </w:rPr>
        <w:t>.</w:t>
      </w:r>
      <w:r>
        <w:rPr>
          <w:rFonts w:ascii="Times New Roman" w:hAnsi="Times New Roman" w:cs="Times New Roman"/>
          <w:b/>
          <w:sz w:val="24"/>
          <w:szCs w:val="24"/>
          <w:lang w:val="es-MX"/>
        </w:rPr>
        <w:t xml:space="preserve"> </w:t>
      </w:r>
      <w:r w:rsidRPr="00150538">
        <w:rPr>
          <w:rFonts w:ascii="Times New Roman" w:hAnsi="Times New Roman" w:cs="Times New Roman"/>
          <w:b/>
          <w:sz w:val="24"/>
          <w:szCs w:val="24"/>
          <w:lang w:val="es-MX"/>
        </w:rPr>
        <w:t>Propante o apuntalante:</w:t>
      </w:r>
      <w:r>
        <w:rPr>
          <w:rFonts w:ascii="Times New Roman" w:hAnsi="Times New Roman" w:cs="Times New Roman"/>
          <w:sz w:val="24"/>
          <w:szCs w:val="24"/>
          <w:lang w:val="es-MX"/>
        </w:rPr>
        <w:t xml:space="preserve"> </w:t>
      </w:r>
      <w:r w:rsidRPr="00322533">
        <w:rPr>
          <w:rFonts w:ascii="Times New Roman" w:hAnsi="Times New Roman" w:cs="Times New Roman"/>
          <w:sz w:val="24"/>
          <w:szCs w:val="24"/>
          <w:lang w:val="es-MX"/>
        </w:rPr>
        <w:t>Constituyente del fluido de estimulación hidráulica usualmente arena</w:t>
      </w:r>
      <w:r>
        <w:rPr>
          <w:rFonts w:ascii="Times New Roman" w:hAnsi="Times New Roman" w:cs="Times New Roman"/>
          <w:sz w:val="24"/>
          <w:szCs w:val="24"/>
          <w:lang w:val="es-MX"/>
        </w:rPr>
        <w:t xml:space="preserve"> natural de sílice, generalmente recubierta de resina,</w:t>
      </w:r>
      <w:r w:rsidRPr="00322533">
        <w:rPr>
          <w:rFonts w:ascii="Times New Roman" w:hAnsi="Times New Roman" w:cs="Times New Roman"/>
          <w:sz w:val="24"/>
          <w:szCs w:val="24"/>
          <w:lang w:val="es-MX"/>
        </w:rPr>
        <w:t xml:space="preserve"> o material granulado</w:t>
      </w:r>
      <w:r>
        <w:rPr>
          <w:rFonts w:ascii="Times New Roman" w:hAnsi="Times New Roman" w:cs="Times New Roman"/>
          <w:sz w:val="24"/>
          <w:szCs w:val="24"/>
          <w:lang w:val="es-MX"/>
        </w:rPr>
        <w:t xml:space="preserve"> sintético a base de cerámica; el cual </w:t>
      </w:r>
      <w:r w:rsidRPr="00322533">
        <w:rPr>
          <w:rFonts w:ascii="Times New Roman" w:hAnsi="Times New Roman" w:cs="Times New Roman"/>
          <w:sz w:val="24"/>
          <w:szCs w:val="24"/>
          <w:lang w:val="es-MX"/>
        </w:rPr>
        <w:t>se utiliza para mantener la fractura abierta una vez la presión de la estimulación hidráulica se reduce.</w:t>
      </w:r>
    </w:p>
    <w:p w14:paraId="49B42804" w14:textId="77777777" w:rsidR="003746FA" w:rsidRDefault="003746FA" w:rsidP="003746FA">
      <w:pPr>
        <w:jc w:val="both"/>
        <w:rPr>
          <w:rFonts w:ascii="Times New Roman" w:hAnsi="Times New Roman" w:cs="Times New Roman"/>
          <w:sz w:val="24"/>
          <w:szCs w:val="24"/>
          <w:lang w:val="es-MX"/>
        </w:rPr>
      </w:pPr>
      <w:r>
        <w:rPr>
          <w:rFonts w:ascii="Times New Roman" w:hAnsi="Times New Roman" w:cs="Times New Roman"/>
          <w:b/>
          <w:sz w:val="24"/>
          <w:szCs w:val="24"/>
          <w:lang w:val="es-MX"/>
        </w:rPr>
        <w:t>2.18</w:t>
      </w:r>
      <w:r w:rsidRPr="00FB4FB3">
        <w:rPr>
          <w:rFonts w:ascii="Times New Roman" w:hAnsi="Times New Roman" w:cs="Times New Roman"/>
          <w:b/>
          <w:sz w:val="24"/>
          <w:szCs w:val="24"/>
          <w:lang w:val="es-MX"/>
        </w:rPr>
        <w:t>.</w:t>
      </w:r>
      <w:r>
        <w:rPr>
          <w:rFonts w:ascii="Times New Roman" w:hAnsi="Times New Roman" w:cs="Times New Roman"/>
          <w:sz w:val="24"/>
          <w:szCs w:val="24"/>
          <w:lang w:val="es-MX"/>
        </w:rPr>
        <w:t xml:space="preserve"> </w:t>
      </w:r>
      <w:r w:rsidRPr="00150538">
        <w:rPr>
          <w:rFonts w:ascii="Times New Roman" w:hAnsi="Times New Roman" w:cs="Times New Roman"/>
          <w:b/>
          <w:sz w:val="24"/>
          <w:szCs w:val="24"/>
          <w:lang w:val="es-MX"/>
        </w:rPr>
        <w:t>Fractura Inducida – FI:</w:t>
      </w:r>
      <w:r>
        <w:rPr>
          <w:rFonts w:ascii="Times New Roman" w:hAnsi="Times New Roman" w:cs="Times New Roman"/>
          <w:sz w:val="24"/>
          <w:szCs w:val="24"/>
          <w:lang w:val="es-MX"/>
        </w:rPr>
        <w:t xml:space="preserve"> </w:t>
      </w:r>
      <w:r w:rsidRPr="008B228A">
        <w:rPr>
          <w:rFonts w:ascii="Times New Roman" w:hAnsi="Times New Roman" w:cs="Times New Roman"/>
          <w:sz w:val="24"/>
          <w:szCs w:val="24"/>
          <w:lang w:val="es-MX"/>
        </w:rPr>
        <w:t>fractura</w:t>
      </w:r>
      <w:r>
        <w:rPr>
          <w:rFonts w:ascii="Times New Roman" w:hAnsi="Times New Roman" w:cs="Times New Roman"/>
          <w:sz w:val="24"/>
          <w:szCs w:val="24"/>
          <w:lang w:val="es-MX"/>
        </w:rPr>
        <w:t xml:space="preserve"> producida artificialmente en una roca o yacimiento, </w:t>
      </w:r>
      <w:r w:rsidRPr="008B228A">
        <w:rPr>
          <w:rFonts w:ascii="Times New Roman" w:hAnsi="Times New Roman" w:cs="Times New Roman"/>
          <w:sz w:val="24"/>
          <w:szCs w:val="24"/>
          <w:lang w:val="es-MX"/>
        </w:rPr>
        <w:t>producto de la</w:t>
      </w:r>
      <w:r>
        <w:rPr>
          <w:rFonts w:ascii="Times New Roman" w:hAnsi="Times New Roman" w:cs="Times New Roman"/>
          <w:sz w:val="24"/>
          <w:szCs w:val="24"/>
          <w:lang w:val="es-MX"/>
        </w:rPr>
        <w:t xml:space="preserve"> </w:t>
      </w:r>
      <w:r w:rsidRPr="008B228A">
        <w:rPr>
          <w:rFonts w:ascii="Times New Roman" w:hAnsi="Times New Roman" w:cs="Times New Roman"/>
          <w:sz w:val="24"/>
          <w:szCs w:val="24"/>
          <w:lang w:val="es-MX"/>
        </w:rPr>
        <w:t xml:space="preserve">estimulación </w:t>
      </w:r>
      <w:r>
        <w:rPr>
          <w:rFonts w:ascii="Times New Roman" w:hAnsi="Times New Roman" w:cs="Times New Roman"/>
          <w:sz w:val="24"/>
          <w:szCs w:val="24"/>
          <w:lang w:val="es-MX"/>
        </w:rPr>
        <w:t>o el fracturamiento hidráulico de un</w:t>
      </w:r>
      <w:r w:rsidRPr="008B228A">
        <w:rPr>
          <w:rFonts w:ascii="Times New Roman" w:hAnsi="Times New Roman" w:cs="Times New Roman"/>
          <w:sz w:val="24"/>
          <w:szCs w:val="24"/>
          <w:lang w:val="es-MX"/>
        </w:rPr>
        <w:t xml:space="preserve"> pozo.</w:t>
      </w:r>
    </w:p>
    <w:p w14:paraId="1F6FFA18" w14:textId="77777777" w:rsidR="003746FA" w:rsidRPr="007E2973" w:rsidRDefault="003746FA" w:rsidP="003746FA">
      <w:pPr>
        <w:jc w:val="both"/>
        <w:rPr>
          <w:rFonts w:ascii="Times New Roman" w:hAnsi="Times New Roman" w:cs="Times New Roman"/>
          <w:sz w:val="24"/>
          <w:szCs w:val="24"/>
          <w:lang w:val="es-MX"/>
        </w:rPr>
      </w:pPr>
      <w:r w:rsidRPr="008B228A">
        <w:rPr>
          <w:rFonts w:ascii="Times New Roman" w:hAnsi="Times New Roman" w:cs="Times New Roman"/>
          <w:b/>
          <w:sz w:val="24"/>
          <w:szCs w:val="24"/>
          <w:lang w:val="es-MX"/>
        </w:rPr>
        <w:t>2.19.</w:t>
      </w:r>
      <w:r>
        <w:rPr>
          <w:rFonts w:ascii="Times New Roman" w:hAnsi="Times New Roman" w:cs="Times New Roman"/>
          <w:sz w:val="24"/>
          <w:szCs w:val="24"/>
          <w:lang w:val="es-MX"/>
        </w:rPr>
        <w:t xml:space="preserve"> </w:t>
      </w:r>
      <w:r w:rsidRPr="00150538">
        <w:rPr>
          <w:rFonts w:ascii="Times New Roman" w:hAnsi="Times New Roman" w:cs="Times New Roman"/>
          <w:b/>
          <w:sz w:val="24"/>
          <w:szCs w:val="24"/>
          <w:lang w:val="es-MX"/>
        </w:rPr>
        <w:t>Fluido de Fracturamiento - FF:</w:t>
      </w:r>
      <w:r>
        <w:rPr>
          <w:rFonts w:ascii="Times New Roman" w:hAnsi="Times New Roman" w:cs="Times New Roman"/>
          <w:sz w:val="24"/>
          <w:szCs w:val="24"/>
          <w:lang w:val="es-MX"/>
        </w:rPr>
        <w:t xml:space="preserve"> es el fluido natural o sintético inyectado a través del pozo a una presión superior a la presión de fractura de la roca, formación o yacimiento, con el fin de generar fracturas inducidas en la misma. S</w:t>
      </w:r>
      <w:r w:rsidRPr="00C74655">
        <w:rPr>
          <w:rFonts w:ascii="Times New Roman" w:hAnsi="Times New Roman" w:cs="Times New Roman"/>
          <w:sz w:val="24"/>
          <w:szCs w:val="24"/>
          <w:lang w:val="es-MX"/>
        </w:rPr>
        <w:t>e compone en promedio de 94,6% de agua</w:t>
      </w:r>
      <w:r>
        <w:rPr>
          <w:rFonts w:ascii="Times New Roman" w:hAnsi="Times New Roman" w:cs="Times New Roman"/>
          <w:sz w:val="24"/>
          <w:szCs w:val="24"/>
          <w:lang w:val="es-MX"/>
        </w:rPr>
        <w:t>, un 5,23% de propante o apuntalante,</w:t>
      </w:r>
      <w:r w:rsidRPr="00C74655">
        <w:rPr>
          <w:rFonts w:ascii="Times New Roman" w:hAnsi="Times New Roman" w:cs="Times New Roman"/>
          <w:sz w:val="24"/>
          <w:szCs w:val="24"/>
          <w:lang w:val="es-MX"/>
        </w:rPr>
        <w:t xml:space="preserve"> y </w:t>
      </w:r>
      <w:r>
        <w:rPr>
          <w:rFonts w:ascii="Times New Roman" w:hAnsi="Times New Roman" w:cs="Times New Roman"/>
          <w:sz w:val="24"/>
          <w:szCs w:val="24"/>
          <w:lang w:val="es-MX"/>
        </w:rPr>
        <w:t xml:space="preserve">un </w:t>
      </w:r>
      <w:r w:rsidRPr="00C74655">
        <w:rPr>
          <w:rFonts w:ascii="Times New Roman" w:hAnsi="Times New Roman" w:cs="Times New Roman"/>
          <w:sz w:val="24"/>
          <w:szCs w:val="24"/>
          <w:lang w:val="es-MX"/>
        </w:rPr>
        <w:t>0, 17%</w:t>
      </w:r>
      <w:r>
        <w:rPr>
          <w:rFonts w:ascii="Times New Roman" w:hAnsi="Times New Roman" w:cs="Times New Roman"/>
          <w:sz w:val="24"/>
          <w:szCs w:val="24"/>
          <w:lang w:val="es-MX"/>
        </w:rPr>
        <w:t xml:space="preserve"> de químicos, representados principalmente por surfactantes, ácido muriático, antibacteriales, reductores de fricción e inhibidores de escala. </w:t>
      </w:r>
    </w:p>
    <w:p w14:paraId="25DA3FFD" w14:textId="77777777" w:rsidR="003746FA" w:rsidRPr="00322533" w:rsidRDefault="003746FA" w:rsidP="003746FA">
      <w:pPr>
        <w:jc w:val="both"/>
        <w:rPr>
          <w:rFonts w:ascii="Times New Roman" w:hAnsi="Times New Roman" w:cs="Times New Roman"/>
          <w:sz w:val="24"/>
          <w:szCs w:val="24"/>
          <w:lang w:val="es-MX"/>
        </w:rPr>
      </w:pPr>
      <w:r>
        <w:rPr>
          <w:rFonts w:ascii="Times New Roman" w:hAnsi="Times New Roman" w:cs="Times New Roman"/>
          <w:b/>
          <w:sz w:val="24"/>
          <w:szCs w:val="24"/>
          <w:lang w:val="es-MX"/>
        </w:rPr>
        <w:t>2.20</w:t>
      </w:r>
      <w:r w:rsidRPr="00322533">
        <w:rPr>
          <w:rFonts w:ascii="Times New Roman" w:hAnsi="Times New Roman" w:cs="Times New Roman"/>
          <w:b/>
          <w:sz w:val="24"/>
          <w:szCs w:val="24"/>
          <w:lang w:val="es-MX"/>
        </w:rPr>
        <w:t>.</w:t>
      </w:r>
      <w:r>
        <w:rPr>
          <w:rFonts w:ascii="Times New Roman" w:hAnsi="Times New Roman" w:cs="Times New Roman"/>
          <w:sz w:val="24"/>
          <w:szCs w:val="24"/>
          <w:lang w:val="es-MX"/>
        </w:rPr>
        <w:t xml:space="preserve"> </w:t>
      </w:r>
      <w:r w:rsidRPr="00150538">
        <w:rPr>
          <w:rFonts w:ascii="Times New Roman" w:hAnsi="Times New Roman" w:cs="Times New Roman"/>
          <w:b/>
          <w:sz w:val="24"/>
          <w:szCs w:val="24"/>
          <w:lang w:val="es-MX"/>
        </w:rPr>
        <w:t>Residuo NORM:</w:t>
      </w:r>
      <w:r w:rsidRPr="00322533">
        <w:rPr>
          <w:rFonts w:ascii="Times New Roman" w:hAnsi="Times New Roman" w:cs="Times New Roman"/>
          <w:sz w:val="24"/>
          <w:szCs w:val="24"/>
          <w:lang w:val="es-MX"/>
        </w:rPr>
        <w:t xml:space="preserve"> Material residual de un proceso, que contiene materiales radiactivos naturales (NORM) o que está contaminado con ellos. Un residuo NORM puede o no ser reutilizado.</w:t>
      </w:r>
      <w:r>
        <w:rPr>
          <w:rFonts w:ascii="Times New Roman" w:hAnsi="Times New Roman" w:cs="Times New Roman"/>
          <w:sz w:val="24"/>
          <w:szCs w:val="24"/>
          <w:lang w:val="es-MX"/>
        </w:rPr>
        <w:t xml:space="preserve"> Si para los m</w:t>
      </w:r>
      <w:r w:rsidRPr="00071129">
        <w:rPr>
          <w:rFonts w:ascii="Times New Roman" w:hAnsi="Times New Roman" w:cs="Times New Roman"/>
          <w:sz w:val="24"/>
          <w:szCs w:val="24"/>
          <w:lang w:val="es-MX"/>
        </w:rPr>
        <w:t>ateriales radiactivos naturales (NORM) no se prevé</w:t>
      </w:r>
      <w:r>
        <w:rPr>
          <w:rFonts w:ascii="Times New Roman" w:hAnsi="Times New Roman" w:cs="Times New Roman"/>
          <w:sz w:val="24"/>
          <w:szCs w:val="24"/>
          <w:lang w:val="es-MX"/>
        </w:rPr>
        <w:t xml:space="preserve"> </w:t>
      </w:r>
      <w:r w:rsidRPr="00071129">
        <w:rPr>
          <w:rFonts w:ascii="Times New Roman" w:hAnsi="Times New Roman" w:cs="Times New Roman"/>
          <w:sz w:val="24"/>
          <w:szCs w:val="24"/>
          <w:lang w:val="es-MX"/>
        </w:rPr>
        <w:t>un uso posterior</w:t>
      </w:r>
      <w:r>
        <w:rPr>
          <w:rFonts w:ascii="Times New Roman" w:hAnsi="Times New Roman" w:cs="Times New Roman"/>
          <w:sz w:val="24"/>
          <w:szCs w:val="24"/>
          <w:lang w:val="es-MX"/>
        </w:rPr>
        <w:t>, se considerará un desecho NORM</w:t>
      </w:r>
      <w:r w:rsidRPr="00071129">
        <w:rPr>
          <w:rFonts w:ascii="Times New Roman" w:hAnsi="Times New Roman" w:cs="Times New Roman"/>
          <w:sz w:val="24"/>
          <w:szCs w:val="24"/>
          <w:lang w:val="es-MX"/>
        </w:rPr>
        <w:t>.</w:t>
      </w:r>
    </w:p>
    <w:p w14:paraId="40D59B83" w14:textId="77777777" w:rsidR="003746FA" w:rsidRDefault="003746FA" w:rsidP="003746FA">
      <w:pPr>
        <w:jc w:val="both"/>
        <w:rPr>
          <w:rFonts w:ascii="Times New Roman" w:hAnsi="Times New Roman" w:cs="Times New Roman"/>
          <w:sz w:val="24"/>
          <w:szCs w:val="24"/>
          <w:lang w:val="es-MX"/>
        </w:rPr>
      </w:pPr>
      <w:r w:rsidRPr="00322533">
        <w:rPr>
          <w:rFonts w:ascii="Times New Roman" w:hAnsi="Times New Roman" w:cs="Times New Roman"/>
          <w:b/>
          <w:sz w:val="24"/>
          <w:szCs w:val="24"/>
          <w:lang w:val="es-MX"/>
        </w:rPr>
        <w:t>2.</w:t>
      </w:r>
      <w:r>
        <w:rPr>
          <w:rFonts w:ascii="Times New Roman" w:hAnsi="Times New Roman" w:cs="Times New Roman"/>
          <w:b/>
          <w:sz w:val="24"/>
          <w:szCs w:val="24"/>
          <w:lang w:val="es-MX"/>
        </w:rPr>
        <w:t>21</w:t>
      </w:r>
      <w:r w:rsidRPr="00322533">
        <w:rPr>
          <w:rFonts w:ascii="Times New Roman" w:hAnsi="Times New Roman" w:cs="Times New Roman"/>
          <w:b/>
          <w:sz w:val="24"/>
          <w:szCs w:val="24"/>
          <w:lang w:val="es-MX"/>
        </w:rPr>
        <w:t>.</w:t>
      </w:r>
      <w:r>
        <w:rPr>
          <w:rFonts w:ascii="Times New Roman" w:hAnsi="Times New Roman" w:cs="Times New Roman"/>
          <w:sz w:val="24"/>
          <w:szCs w:val="24"/>
          <w:lang w:val="es-MX"/>
        </w:rPr>
        <w:t xml:space="preserve"> </w:t>
      </w:r>
      <w:r w:rsidRPr="00150538">
        <w:rPr>
          <w:rFonts w:ascii="Times New Roman" w:hAnsi="Times New Roman" w:cs="Times New Roman"/>
          <w:b/>
          <w:sz w:val="24"/>
          <w:szCs w:val="24"/>
          <w:lang w:val="es-MX"/>
        </w:rPr>
        <w:t>Sismicidad Desencadenada (</w:t>
      </w:r>
      <w:proofErr w:type="spellStart"/>
      <w:r w:rsidRPr="00150538">
        <w:rPr>
          <w:rFonts w:ascii="Times New Roman" w:hAnsi="Times New Roman" w:cs="Times New Roman"/>
          <w:b/>
          <w:sz w:val="24"/>
          <w:szCs w:val="24"/>
          <w:lang w:val="es-MX"/>
        </w:rPr>
        <w:t>Triggered</w:t>
      </w:r>
      <w:proofErr w:type="spellEnd"/>
      <w:r w:rsidRPr="00150538">
        <w:rPr>
          <w:rFonts w:ascii="Times New Roman" w:hAnsi="Times New Roman" w:cs="Times New Roman"/>
          <w:b/>
          <w:sz w:val="24"/>
          <w:szCs w:val="24"/>
          <w:lang w:val="es-MX"/>
        </w:rPr>
        <w:t xml:space="preserve"> </w:t>
      </w:r>
      <w:proofErr w:type="spellStart"/>
      <w:r w:rsidRPr="00150538">
        <w:rPr>
          <w:rFonts w:ascii="Times New Roman" w:hAnsi="Times New Roman" w:cs="Times New Roman"/>
          <w:b/>
          <w:sz w:val="24"/>
          <w:szCs w:val="24"/>
          <w:lang w:val="es-MX"/>
        </w:rPr>
        <w:t>Seismicity</w:t>
      </w:r>
      <w:proofErr w:type="spellEnd"/>
      <w:r w:rsidRPr="00150538">
        <w:rPr>
          <w:rFonts w:ascii="Times New Roman" w:hAnsi="Times New Roman" w:cs="Times New Roman"/>
          <w:b/>
          <w:sz w:val="24"/>
          <w:szCs w:val="24"/>
          <w:lang w:val="es-MX"/>
        </w:rPr>
        <w:t>):</w:t>
      </w:r>
      <w:r w:rsidRPr="00322533">
        <w:rPr>
          <w:rFonts w:ascii="Times New Roman" w:hAnsi="Times New Roman" w:cs="Times New Roman"/>
          <w:sz w:val="24"/>
          <w:szCs w:val="24"/>
          <w:lang w:val="es-MX"/>
        </w:rPr>
        <w:t xml:space="preserve"> Sismicidad provocada por una perturbación menor que desencadena una liberación de energía en una falla geológicamente </w:t>
      </w:r>
      <w:r>
        <w:rPr>
          <w:rFonts w:ascii="Times New Roman" w:hAnsi="Times New Roman" w:cs="Times New Roman"/>
          <w:sz w:val="24"/>
          <w:szCs w:val="24"/>
          <w:lang w:val="es-MX"/>
        </w:rPr>
        <w:t>activa, o en una falla natural inferida que se activa cuando en su sello se acumulan presiones hidrostáticas producto de la migración de fluidos a través de ella.</w:t>
      </w:r>
      <w:r w:rsidRPr="00322533">
        <w:rPr>
          <w:rFonts w:ascii="Times New Roman" w:hAnsi="Times New Roman" w:cs="Times New Roman"/>
          <w:sz w:val="24"/>
          <w:szCs w:val="24"/>
          <w:lang w:val="es-MX"/>
        </w:rPr>
        <w:t xml:space="preserve"> Esta sismicidad</w:t>
      </w:r>
      <w:r>
        <w:rPr>
          <w:rFonts w:ascii="Times New Roman" w:hAnsi="Times New Roman" w:cs="Times New Roman"/>
          <w:sz w:val="24"/>
          <w:szCs w:val="24"/>
          <w:lang w:val="es-MX"/>
        </w:rPr>
        <w:t xml:space="preserve"> es no </w:t>
      </w:r>
      <w:r>
        <w:rPr>
          <w:rFonts w:ascii="Times New Roman" w:hAnsi="Times New Roman" w:cs="Times New Roman"/>
          <w:sz w:val="24"/>
          <w:szCs w:val="24"/>
          <w:lang w:val="es-MX"/>
        </w:rPr>
        <w:lastRenderedPageBreak/>
        <w:t>inducida cuando ocurre</w:t>
      </w:r>
      <w:r w:rsidRPr="00322533">
        <w:rPr>
          <w:rFonts w:ascii="Times New Roman" w:hAnsi="Times New Roman" w:cs="Times New Roman"/>
          <w:sz w:val="24"/>
          <w:szCs w:val="24"/>
          <w:lang w:val="es-MX"/>
        </w:rPr>
        <w:t xml:space="preserve"> como parte </w:t>
      </w:r>
      <w:r>
        <w:rPr>
          <w:rFonts w:ascii="Times New Roman" w:hAnsi="Times New Roman" w:cs="Times New Roman"/>
          <w:sz w:val="24"/>
          <w:szCs w:val="24"/>
          <w:lang w:val="es-MX"/>
        </w:rPr>
        <w:t xml:space="preserve">de un proceso geológico natural, y es inducida cuando ocurre por la interconexión de fracturas inducidas con fallas naturales activas o inactivas e inferidas, si la acumulación de fluidos genera una presión hidrostática superior a la presión </w:t>
      </w:r>
      <w:proofErr w:type="spellStart"/>
      <w:r>
        <w:rPr>
          <w:rFonts w:ascii="Times New Roman" w:hAnsi="Times New Roman" w:cs="Times New Roman"/>
          <w:sz w:val="24"/>
          <w:szCs w:val="24"/>
          <w:lang w:val="es-MX"/>
        </w:rPr>
        <w:t>litostática</w:t>
      </w:r>
      <w:proofErr w:type="spellEnd"/>
      <w:r>
        <w:rPr>
          <w:rFonts w:ascii="Times New Roman" w:hAnsi="Times New Roman" w:cs="Times New Roman"/>
          <w:sz w:val="24"/>
          <w:szCs w:val="24"/>
          <w:lang w:val="es-MX"/>
        </w:rPr>
        <w:t xml:space="preserve"> en dicho punto.</w:t>
      </w:r>
      <w:r w:rsidRPr="00322533">
        <w:rPr>
          <w:rFonts w:ascii="Times New Roman" w:hAnsi="Times New Roman" w:cs="Times New Roman"/>
          <w:sz w:val="24"/>
          <w:szCs w:val="24"/>
          <w:lang w:val="es-MX"/>
        </w:rPr>
        <w:t xml:space="preserve"> La intensidad de la actividad sísmica dependerá del tamaño de la falla.</w:t>
      </w:r>
      <w:r>
        <w:rPr>
          <w:rFonts w:ascii="Times New Roman" w:hAnsi="Times New Roman" w:cs="Times New Roman"/>
          <w:sz w:val="24"/>
          <w:szCs w:val="24"/>
          <w:lang w:val="es-MX"/>
        </w:rPr>
        <w:t xml:space="preserve"> </w:t>
      </w:r>
    </w:p>
    <w:p w14:paraId="5DBBB8D2" w14:textId="77777777" w:rsidR="003746FA" w:rsidRDefault="003746FA" w:rsidP="003746FA">
      <w:pPr>
        <w:jc w:val="both"/>
        <w:rPr>
          <w:rFonts w:ascii="Times New Roman" w:hAnsi="Times New Roman" w:cs="Times New Roman"/>
          <w:sz w:val="24"/>
          <w:szCs w:val="24"/>
          <w:lang w:val="es-MX"/>
        </w:rPr>
      </w:pPr>
      <w:r w:rsidRPr="009B271B">
        <w:rPr>
          <w:rFonts w:ascii="Times New Roman" w:hAnsi="Times New Roman" w:cs="Times New Roman"/>
          <w:b/>
          <w:sz w:val="24"/>
          <w:szCs w:val="24"/>
          <w:lang w:val="es-MX"/>
        </w:rPr>
        <w:t>2.22.</w:t>
      </w:r>
      <w:r>
        <w:rPr>
          <w:rFonts w:ascii="Times New Roman" w:hAnsi="Times New Roman" w:cs="Times New Roman"/>
          <w:sz w:val="24"/>
          <w:szCs w:val="24"/>
          <w:lang w:val="es-MX"/>
        </w:rPr>
        <w:t xml:space="preserve"> </w:t>
      </w:r>
      <w:r w:rsidRPr="00150538">
        <w:rPr>
          <w:rFonts w:ascii="Times New Roman" w:hAnsi="Times New Roman" w:cs="Times New Roman"/>
          <w:b/>
          <w:sz w:val="24"/>
          <w:szCs w:val="24"/>
          <w:lang w:val="es-MX"/>
        </w:rPr>
        <w:t xml:space="preserve">Superposición de Ondas: </w:t>
      </w:r>
      <w:r>
        <w:rPr>
          <w:rFonts w:ascii="Times New Roman" w:hAnsi="Times New Roman" w:cs="Times New Roman"/>
          <w:sz w:val="24"/>
          <w:szCs w:val="24"/>
          <w:lang w:val="es-MX"/>
        </w:rPr>
        <w:t>c</w:t>
      </w:r>
      <w:r w:rsidRPr="009B271B">
        <w:rPr>
          <w:rFonts w:ascii="Times New Roman" w:hAnsi="Times New Roman" w:cs="Times New Roman"/>
          <w:sz w:val="24"/>
          <w:szCs w:val="24"/>
          <w:lang w:val="es-MX"/>
        </w:rPr>
        <w:t>uando dos ondas se encuentran en un</w:t>
      </w:r>
      <w:r>
        <w:rPr>
          <w:rFonts w:ascii="Times New Roman" w:hAnsi="Times New Roman" w:cs="Times New Roman"/>
          <w:sz w:val="24"/>
          <w:szCs w:val="24"/>
          <w:lang w:val="es-MX"/>
        </w:rPr>
        <w:t xml:space="preserve"> punto o una región del espacio y</w:t>
      </w:r>
      <w:r w:rsidRPr="009B271B">
        <w:rPr>
          <w:rFonts w:ascii="Times New Roman" w:hAnsi="Times New Roman" w:cs="Times New Roman"/>
          <w:sz w:val="24"/>
          <w:szCs w:val="24"/>
          <w:lang w:val="es-MX"/>
        </w:rPr>
        <w:t xml:space="preserve"> el resultado es una nueva onda cuya perturbación es la suma de las perturbaciones de las dos ondas originales.</w:t>
      </w:r>
      <w:r>
        <w:rPr>
          <w:rFonts w:ascii="Times New Roman" w:hAnsi="Times New Roman" w:cs="Times New Roman"/>
          <w:sz w:val="24"/>
          <w:szCs w:val="24"/>
          <w:lang w:val="es-MX"/>
        </w:rPr>
        <w:t xml:space="preserve"> La superposición de ondas puede ser constructiva (</w:t>
      </w:r>
      <w:r w:rsidRPr="009B271B">
        <w:rPr>
          <w:rFonts w:ascii="Times New Roman" w:hAnsi="Times New Roman" w:cs="Times New Roman"/>
          <w:sz w:val="24"/>
          <w:szCs w:val="24"/>
          <w:lang w:val="es-MX"/>
        </w:rPr>
        <w:t>se produce cuando las ondas chocan o se superponen en fases, obteniendo una onda resultante de mayor amplitud que las ondas iniciales</w:t>
      </w:r>
      <w:r>
        <w:rPr>
          <w:rFonts w:ascii="Times New Roman" w:hAnsi="Times New Roman" w:cs="Times New Roman"/>
          <w:sz w:val="24"/>
          <w:szCs w:val="24"/>
          <w:lang w:val="es-MX"/>
        </w:rPr>
        <w:t>), o destructiva (</w:t>
      </w:r>
      <w:r w:rsidRPr="009B271B">
        <w:rPr>
          <w:rFonts w:ascii="Times New Roman" w:hAnsi="Times New Roman" w:cs="Times New Roman"/>
          <w:sz w:val="24"/>
          <w:szCs w:val="24"/>
          <w:lang w:val="es-MX"/>
        </w:rPr>
        <w:t xml:space="preserve">es la superposición de ondas en </w:t>
      </w:r>
      <w:proofErr w:type="spellStart"/>
      <w:r w:rsidRPr="009B271B">
        <w:rPr>
          <w:rFonts w:ascii="Times New Roman" w:hAnsi="Times New Roman" w:cs="Times New Roman"/>
          <w:sz w:val="24"/>
          <w:szCs w:val="24"/>
          <w:lang w:val="es-MX"/>
        </w:rPr>
        <w:t>antifase</w:t>
      </w:r>
      <w:proofErr w:type="spellEnd"/>
      <w:r w:rsidRPr="009B271B">
        <w:rPr>
          <w:rFonts w:ascii="Times New Roman" w:hAnsi="Times New Roman" w:cs="Times New Roman"/>
          <w:sz w:val="24"/>
          <w:szCs w:val="24"/>
          <w:lang w:val="es-MX"/>
        </w:rPr>
        <w:t>, obteniendo una onda resultante de menor amplitud que las ondas iniciales</w:t>
      </w:r>
      <w:r>
        <w:rPr>
          <w:rFonts w:ascii="Times New Roman" w:hAnsi="Times New Roman" w:cs="Times New Roman"/>
          <w:sz w:val="24"/>
          <w:szCs w:val="24"/>
          <w:lang w:val="es-MX"/>
        </w:rPr>
        <w:t>)</w:t>
      </w:r>
      <w:r w:rsidRPr="009B271B">
        <w:rPr>
          <w:rFonts w:ascii="Times New Roman" w:hAnsi="Times New Roman" w:cs="Times New Roman"/>
          <w:sz w:val="24"/>
          <w:szCs w:val="24"/>
          <w:lang w:val="es-MX"/>
        </w:rPr>
        <w:t>.</w:t>
      </w:r>
    </w:p>
    <w:p w14:paraId="05AE2E07" w14:textId="77777777" w:rsidR="003746FA" w:rsidRPr="00322533" w:rsidRDefault="003746FA" w:rsidP="003746FA">
      <w:pPr>
        <w:jc w:val="both"/>
        <w:rPr>
          <w:rFonts w:ascii="Times New Roman" w:hAnsi="Times New Roman" w:cs="Times New Roman"/>
          <w:sz w:val="24"/>
          <w:szCs w:val="24"/>
          <w:lang w:val="es-MX"/>
        </w:rPr>
      </w:pPr>
      <w:r>
        <w:rPr>
          <w:rFonts w:ascii="Times New Roman" w:hAnsi="Times New Roman" w:cs="Times New Roman"/>
          <w:b/>
          <w:sz w:val="24"/>
          <w:szCs w:val="24"/>
          <w:lang w:val="es-MX"/>
        </w:rPr>
        <w:t>2.23</w:t>
      </w:r>
      <w:r w:rsidRPr="00BB6B8A">
        <w:rPr>
          <w:rFonts w:ascii="Times New Roman" w:hAnsi="Times New Roman" w:cs="Times New Roman"/>
          <w:b/>
          <w:sz w:val="24"/>
          <w:szCs w:val="24"/>
          <w:lang w:val="es-MX"/>
        </w:rPr>
        <w:t xml:space="preserve">. </w:t>
      </w:r>
      <w:r w:rsidRPr="00150538">
        <w:rPr>
          <w:rFonts w:ascii="Times New Roman" w:hAnsi="Times New Roman" w:cs="Times New Roman"/>
          <w:b/>
          <w:sz w:val="24"/>
          <w:szCs w:val="24"/>
          <w:lang w:val="es-MX"/>
        </w:rPr>
        <w:t>Residuo o Desecho Tóxico:</w:t>
      </w:r>
      <w:r>
        <w:rPr>
          <w:rFonts w:ascii="Times New Roman" w:hAnsi="Times New Roman" w:cs="Times New Roman"/>
          <w:sz w:val="24"/>
          <w:szCs w:val="24"/>
          <w:lang w:val="es-MX"/>
        </w:rPr>
        <w:t xml:space="preserve"> </w:t>
      </w:r>
      <w:r w:rsidRPr="00BB6B8A">
        <w:rPr>
          <w:rFonts w:ascii="Times New Roman" w:hAnsi="Times New Roman" w:cs="Times New Roman"/>
          <w:sz w:val="24"/>
          <w:szCs w:val="24"/>
          <w:lang w:val="es-MX"/>
        </w:rPr>
        <w:t xml:space="preserve">aquel </w:t>
      </w:r>
      <w:r>
        <w:rPr>
          <w:rFonts w:ascii="Times New Roman" w:hAnsi="Times New Roman" w:cs="Times New Roman"/>
          <w:sz w:val="24"/>
          <w:szCs w:val="24"/>
          <w:lang w:val="es-MX"/>
        </w:rPr>
        <w:t>residuo o desecho que tiene la</w:t>
      </w:r>
      <w:r w:rsidRPr="00BB6B8A">
        <w:rPr>
          <w:rFonts w:ascii="Times New Roman" w:hAnsi="Times New Roman" w:cs="Times New Roman"/>
          <w:sz w:val="24"/>
          <w:szCs w:val="24"/>
          <w:lang w:val="es-MX"/>
        </w:rPr>
        <w:t xml:space="preserve"> virtud </w:t>
      </w:r>
      <w:r>
        <w:rPr>
          <w:rFonts w:ascii="Times New Roman" w:hAnsi="Times New Roman" w:cs="Times New Roman"/>
          <w:sz w:val="24"/>
          <w:szCs w:val="24"/>
          <w:lang w:val="es-MX"/>
        </w:rPr>
        <w:t>o</w:t>
      </w:r>
      <w:r w:rsidRPr="00BB6B8A">
        <w:rPr>
          <w:rFonts w:ascii="Times New Roman" w:hAnsi="Times New Roman" w:cs="Times New Roman"/>
          <w:sz w:val="24"/>
          <w:szCs w:val="24"/>
          <w:lang w:val="es-MX"/>
        </w:rPr>
        <w:t xml:space="preserve"> capacidad de provocar efectos biológicos indeseables o adversos</w:t>
      </w:r>
      <w:r>
        <w:rPr>
          <w:rFonts w:ascii="Times New Roman" w:hAnsi="Times New Roman" w:cs="Times New Roman"/>
          <w:sz w:val="24"/>
          <w:szCs w:val="24"/>
          <w:lang w:val="es-MX"/>
        </w:rPr>
        <w:t>, y</w:t>
      </w:r>
      <w:r w:rsidRPr="00BB6B8A">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se considera peligroso porque </w:t>
      </w:r>
      <w:r w:rsidRPr="00BB6B8A">
        <w:rPr>
          <w:rFonts w:ascii="Times New Roman" w:hAnsi="Times New Roman" w:cs="Times New Roman"/>
          <w:sz w:val="24"/>
          <w:szCs w:val="24"/>
          <w:lang w:val="es-MX"/>
        </w:rPr>
        <w:t>puede causar daño a la salud humana y/o al ambiente.</w:t>
      </w:r>
      <w:r>
        <w:rPr>
          <w:rFonts w:ascii="Times New Roman" w:hAnsi="Times New Roman" w:cs="Times New Roman"/>
          <w:sz w:val="24"/>
          <w:szCs w:val="24"/>
          <w:lang w:val="es-MX"/>
        </w:rPr>
        <w:t xml:space="preserve"> </w:t>
      </w:r>
    </w:p>
    <w:p w14:paraId="06287EF0" w14:textId="77777777" w:rsidR="003746FA" w:rsidRDefault="003746FA" w:rsidP="003746FA">
      <w:pPr>
        <w:pStyle w:val="Sinespaciado"/>
        <w:jc w:val="both"/>
        <w:rPr>
          <w:rFonts w:ascii="Times New Roman" w:hAnsi="Times New Roman" w:cs="Times New Roman"/>
          <w:sz w:val="24"/>
          <w:szCs w:val="24"/>
          <w:lang w:val="es-MX"/>
        </w:rPr>
      </w:pPr>
      <w:r w:rsidRPr="00150538">
        <w:rPr>
          <w:rFonts w:ascii="Times New Roman" w:hAnsi="Times New Roman" w:cs="Times New Roman"/>
          <w:b/>
          <w:sz w:val="24"/>
          <w:szCs w:val="24"/>
          <w:lang w:val="es-MX"/>
        </w:rPr>
        <w:t>Parágrafo:</w:t>
      </w:r>
      <w:r>
        <w:rPr>
          <w:rFonts w:ascii="Times New Roman" w:hAnsi="Times New Roman" w:cs="Times New Roman"/>
          <w:sz w:val="24"/>
          <w:szCs w:val="24"/>
          <w:lang w:val="es-MX"/>
        </w:rPr>
        <w:t xml:space="preserve"> solo será equiparable una única plataforma multipozo como un campo, cuando desde dicha plataforma se drene todo el yacimiento o varios </w:t>
      </w:r>
      <w:r w:rsidRPr="00FB769E">
        <w:rPr>
          <w:rFonts w:ascii="Times New Roman" w:hAnsi="Times New Roman" w:cs="Times New Roman"/>
          <w:sz w:val="24"/>
          <w:szCs w:val="24"/>
          <w:lang w:val="es-MX"/>
        </w:rPr>
        <w:t xml:space="preserve">yacimientos </w:t>
      </w:r>
      <w:r>
        <w:rPr>
          <w:rFonts w:ascii="Times New Roman" w:hAnsi="Times New Roman" w:cs="Times New Roman"/>
          <w:sz w:val="24"/>
          <w:szCs w:val="24"/>
          <w:lang w:val="es-MX"/>
        </w:rPr>
        <w:t xml:space="preserve">agrupados </w:t>
      </w:r>
      <w:r w:rsidRPr="00FB769E">
        <w:rPr>
          <w:rFonts w:ascii="Times New Roman" w:hAnsi="Times New Roman" w:cs="Times New Roman"/>
          <w:sz w:val="24"/>
          <w:szCs w:val="24"/>
          <w:lang w:val="es-MX"/>
        </w:rPr>
        <w:t>ubicados en el subsuelo de la misma área</w:t>
      </w:r>
      <w:r>
        <w:rPr>
          <w:rFonts w:ascii="Times New Roman" w:hAnsi="Times New Roman" w:cs="Times New Roman"/>
          <w:sz w:val="24"/>
          <w:szCs w:val="24"/>
          <w:lang w:val="es-MX"/>
        </w:rPr>
        <w:t xml:space="preserve">; sean estos convencionales o no convencionales. </w:t>
      </w:r>
    </w:p>
    <w:p w14:paraId="5A9A8019" w14:textId="77777777" w:rsidR="003746FA" w:rsidRDefault="003746FA" w:rsidP="003746FA">
      <w:pPr>
        <w:pStyle w:val="Sinespaciado"/>
        <w:jc w:val="both"/>
        <w:rPr>
          <w:rFonts w:ascii="Times New Roman" w:hAnsi="Times New Roman" w:cs="Times New Roman"/>
          <w:sz w:val="24"/>
          <w:szCs w:val="24"/>
          <w:lang w:val="es-MX"/>
        </w:rPr>
      </w:pPr>
    </w:p>
    <w:p w14:paraId="743120C9" w14:textId="77777777" w:rsidR="003746FA" w:rsidRPr="00BA5D6F" w:rsidRDefault="003746FA" w:rsidP="003746FA">
      <w:pPr>
        <w:jc w:val="both"/>
        <w:rPr>
          <w:rFonts w:ascii="Times New Roman" w:hAnsi="Times New Roman" w:cs="Times New Roman"/>
          <w:sz w:val="24"/>
          <w:szCs w:val="24"/>
          <w:lang w:val="es-MX"/>
        </w:rPr>
      </w:pPr>
      <w:r w:rsidRPr="00BA5D6F">
        <w:rPr>
          <w:rFonts w:ascii="Times New Roman" w:hAnsi="Times New Roman" w:cs="Times New Roman"/>
          <w:b/>
          <w:bCs/>
          <w:sz w:val="24"/>
          <w:szCs w:val="24"/>
          <w:lang w:val="es-MX"/>
        </w:rPr>
        <w:t>A</w:t>
      </w:r>
      <w:r>
        <w:rPr>
          <w:rFonts w:ascii="Times New Roman" w:hAnsi="Times New Roman" w:cs="Times New Roman"/>
          <w:b/>
          <w:bCs/>
          <w:sz w:val="24"/>
          <w:szCs w:val="24"/>
          <w:lang w:val="es-MX"/>
        </w:rPr>
        <w:t>RTÍCULO 3</w:t>
      </w:r>
      <w:r w:rsidRPr="00BA5D6F">
        <w:rPr>
          <w:rFonts w:ascii="Times New Roman" w:hAnsi="Times New Roman" w:cs="Times New Roman"/>
          <w:b/>
          <w:bCs/>
          <w:sz w:val="24"/>
          <w:szCs w:val="24"/>
          <w:lang w:val="es-MX"/>
        </w:rPr>
        <w:t xml:space="preserve">°. VIGENCIA Y DEROGATORIAS. </w:t>
      </w:r>
      <w:r w:rsidRPr="00BA5D6F">
        <w:rPr>
          <w:rFonts w:ascii="Times New Roman" w:hAnsi="Times New Roman" w:cs="Times New Roman"/>
          <w:sz w:val="24"/>
          <w:szCs w:val="24"/>
          <w:lang w:val="es-MX"/>
        </w:rPr>
        <w:t>La presente ley rige a partir de su promulgación y deroga todas las dispos</w:t>
      </w:r>
      <w:r>
        <w:rPr>
          <w:rFonts w:ascii="Times New Roman" w:hAnsi="Times New Roman" w:cs="Times New Roman"/>
          <w:sz w:val="24"/>
          <w:szCs w:val="24"/>
          <w:lang w:val="es-MX"/>
        </w:rPr>
        <w:t>iciones que le sean contrarias.</w:t>
      </w:r>
    </w:p>
    <w:p w14:paraId="1BC3B9D4" w14:textId="77777777" w:rsidR="003746FA" w:rsidRDefault="003746FA" w:rsidP="003746FA">
      <w:pPr>
        <w:jc w:val="both"/>
        <w:rPr>
          <w:rFonts w:ascii="Times New Roman" w:hAnsi="Times New Roman" w:cs="Times New Roman"/>
          <w:sz w:val="24"/>
          <w:szCs w:val="24"/>
          <w:lang w:val="es-MX"/>
        </w:rPr>
      </w:pPr>
    </w:p>
    <w:p w14:paraId="3EBCC8C4" w14:textId="77777777" w:rsidR="003746FA" w:rsidRPr="00FE3352" w:rsidRDefault="003746FA" w:rsidP="003746FA">
      <w:pPr>
        <w:kinsoku w:val="0"/>
        <w:overflowPunct w:val="0"/>
        <w:autoSpaceDE w:val="0"/>
        <w:autoSpaceDN w:val="0"/>
        <w:adjustRightInd w:val="0"/>
        <w:spacing w:after="0" w:line="282" w:lineRule="exact"/>
        <w:ind w:left="39"/>
        <w:jc w:val="both"/>
        <w:rPr>
          <w:rFonts w:ascii="Times New Roman" w:hAnsi="Times New Roman" w:cs="Times New Roman"/>
          <w:iCs/>
          <w:sz w:val="24"/>
          <w:szCs w:val="24"/>
          <w:lang w:val="es-MX"/>
        </w:rPr>
      </w:pPr>
      <w:r w:rsidRPr="00FE3352">
        <w:rPr>
          <w:rFonts w:ascii="Times New Roman" w:hAnsi="Times New Roman" w:cs="Times New Roman"/>
          <w:iCs/>
          <w:sz w:val="24"/>
          <w:szCs w:val="24"/>
          <w:lang w:val="es-MX"/>
        </w:rPr>
        <w:t>Cordialmente,</w:t>
      </w:r>
    </w:p>
    <w:p w14:paraId="6B6EDD5E" w14:textId="77777777" w:rsidR="003746FA" w:rsidRDefault="003746FA" w:rsidP="003746FA">
      <w:pPr>
        <w:kinsoku w:val="0"/>
        <w:overflowPunct w:val="0"/>
        <w:autoSpaceDE w:val="0"/>
        <w:autoSpaceDN w:val="0"/>
        <w:adjustRightInd w:val="0"/>
        <w:spacing w:after="0" w:line="282" w:lineRule="exact"/>
        <w:ind w:left="39"/>
        <w:jc w:val="both"/>
        <w:rPr>
          <w:rFonts w:ascii="Times New Roman" w:hAnsi="Times New Roman" w:cs="Times New Roman"/>
          <w:iCs/>
          <w:sz w:val="24"/>
          <w:szCs w:val="24"/>
          <w:lang w:val="es-MX"/>
        </w:rPr>
      </w:pPr>
    </w:p>
    <w:p w14:paraId="172F5B02" w14:textId="77777777" w:rsidR="003746FA" w:rsidRDefault="003746FA" w:rsidP="003746FA">
      <w:pPr>
        <w:kinsoku w:val="0"/>
        <w:overflowPunct w:val="0"/>
        <w:autoSpaceDE w:val="0"/>
        <w:autoSpaceDN w:val="0"/>
        <w:adjustRightInd w:val="0"/>
        <w:spacing w:after="0" w:line="282" w:lineRule="exact"/>
        <w:ind w:left="39"/>
        <w:jc w:val="both"/>
        <w:rPr>
          <w:rFonts w:ascii="Times New Roman" w:hAnsi="Times New Roman" w:cs="Times New Roman"/>
          <w:iCs/>
          <w:sz w:val="24"/>
          <w:szCs w:val="24"/>
          <w:lang w:val="es-MX"/>
        </w:rPr>
      </w:pPr>
    </w:p>
    <w:p w14:paraId="0EC318F2" w14:textId="77777777" w:rsidR="003746FA" w:rsidRPr="00B20D71" w:rsidRDefault="003746FA" w:rsidP="003746FA">
      <w:pPr>
        <w:kinsoku w:val="0"/>
        <w:overflowPunct w:val="0"/>
        <w:autoSpaceDE w:val="0"/>
        <w:autoSpaceDN w:val="0"/>
        <w:adjustRightInd w:val="0"/>
        <w:spacing w:after="0" w:line="282" w:lineRule="exact"/>
        <w:ind w:left="39"/>
        <w:jc w:val="both"/>
        <w:rPr>
          <w:rFonts w:ascii="Times New Roman" w:hAnsi="Times New Roman" w:cs="Times New Roman"/>
          <w:iCs/>
          <w:sz w:val="24"/>
          <w:szCs w:val="24"/>
          <w:lang w:val="es-MX"/>
        </w:rPr>
      </w:pPr>
    </w:p>
    <w:p w14:paraId="6DA0BEBF" w14:textId="77777777" w:rsidR="003746FA" w:rsidRPr="005F123D" w:rsidRDefault="003746FA" w:rsidP="003746FA">
      <w:pPr>
        <w:spacing w:after="0" w:line="240" w:lineRule="auto"/>
        <w:rPr>
          <w:sz w:val="24"/>
          <w:szCs w:val="24"/>
          <w:lang w:val="es-MX"/>
        </w:rPr>
      </w:pPr>
      <w:r w:rsidRPr="005F123D">
        <w:rPr>
          <w:sz w:val="24"/>
          <w:szCs w:val="24"/>
          <w:lang w:val="es-MX"/>
        </w:rPr>
        <w:t>_____________________________</w:t>
      </w:r>
      <w:r>
        <w:rPr>
          <w:sz w:val="24"/>
          <w:szCs w:val="24"/>
          <w:lang w:val="es-MX"/>
        </w:rPr>
        <w:t>___</w:t>
      </w:r>
    </w:p>
    <w:p w14:paraId="4AC2A67D" w14:textId="77777777" w:rsidR="003746FA" w:rsidRPr="00B20D71" w:rsidRDefault="003746FA" w:rsidP="003746FA">
      <w:pPr>
        <w:kinsoku w:val="0"/>
        <w:overflowPunct w:val="0"/>
        <w:autoSpaceDE w:val="0"/>
        <w:autoSpaceDN w:val="0"/>
        <w:adjustRightInd w:val="0"/>
        <w:spacing w:after="0" w:line="282" w:lineRule="exact"/>
        <w:jc w:val="both"/>
        <w:rPr>
          <w:rFonts w:ascii="Times New Roman" w:hAnsi="Times New Roman" w:cs="Times New Roman"/>
          <w:b/>
          <w:iCs/>
          <w:sz w:val="24"/>
          <w:szCs w:val="24"/>
          <w:lang w:val="es-MX"/>
        </w:rPr>
      </w:pPr>
      <w:r w:rsidRPr="00B20D71">
        <w:rPr>
          <w:rFonts w:ascii="Times New Roman" w:hAnsi="Times New Roman" w:cs="Times New Roman"/>
          <w:b/>
          <w:iCs/>
          <w:sz w:val="24"/>
          <w:szCs w:val="24"/>
          <w:lang w:val="es-MX"/>
        </w:rPr>
        <w:t>CÉSAR AUGUSTO ORTÍZ ZORRO</w:t>
      </w:r>
    </w:p>
    <w:p w14:paraId="2879E20D" w14:textId="69EC9839" w:rsidR="003746FA" w:rsidRPr="00B20D71" w:rsidRDefault="003746FA" w:rsidP="003746FA">
      <w:pPr>
        <w:kinsoku w:val="0"/>
        <w:overflowPunct w:val="0"/>
        <w:autoSpaceDE w:val="0"/>
        <w:autoSpaceDN w:val="0"/>
        <w:adjustRightInd w:val="0"/>
        <w:spacing w:after="0" w:line="282" w:lineRule="exact"/>
        <w:ind w:left="39"/>
        <w:jc w:val="both"/>
        <w:rPr>
          <w:rFonts w:ascii="Times New Roman" w:hAnsi="Times New Roman" w:cs="Times New Roman"/>
          <w:iCs/>
          <w:sz w:val="24"/>
          <w:szCs w:val="24"/>
          <w:lang w:val="es-MX"/>
        </w:rPr>
      </w:pPr>
      <w:r w:rsidRPr="00B20D71">
        <w:rPr>
          <w:rFonts w:ascii="Times New Roman" w:hAnsi="Times New Roman" w:cs="Times New Roman"/>
          <w:iCs/>
          <w:sz w:val="24"/>
          <w:szCs w:val="24"/>
          <w:lang w:val="es-MX"/>
        </w:rPr>
        <w:t xml:space="preserve">Representante </w:t>
      </w:r>
      <w:r>
        <w:rPr>
          <w:rFonts w:ascii="Times New Roman" w:hAnsi="Times New Roman" w:cs="Times New Roman"/>
          <w:iCs/>
          <w:sz w:val="24"/>
          <w:szCs w:val="24"/>
          <w:lang w:val="es-MX"/>
        </w:rPr>
        <w:t>a la</w:t>
      </w:r>
      <w:r w:rsidRPr="00B20D71">
        <w:rPr>
          <w:rFonts w:ascii="Times New Roman" w:hAnsi="Times New Roman" w:cs="Times New Roman"/>
          <w:iCs/>
          <w:sz w:val="24"/>
          <w:szCs w:val="24"/>
          <w:lang w:val="es-MX"/>
        </w:rPr>
        <w:t xml:space="preserve"> Cámara</w:t>
      </w:r>
    </w:p>
    <w:p w14:paraId="66E1E1FD" w14:textId="3686BF52" w:rsidR="003746FA" w:rsidRPr="00B20D71" w:rsidRDefault="003746FA" w:rsidP="003746FA">
      <w:pPr>
        <w:kinsoku w:val="0"/>
        <w:overflowPunct w:val="0"/>
        <w:autoSpaceDE w:val="0"/>
        <w:autoSpaceDN w:val="0"/>
        <w:adjustRightInd w:val="0"/>
        <w:spacing w:after="0" w:line="282" w:lineRule="exact"/>
        <w:ind w:left="39"/>
        <w:jc w:val="both"/>
        <w:rPr>
          <w:rFonts w:ascii="Times New Roman" w:hAnsi="Times New Roman" w:cs="Times New Roman"/>
          <w:iCs/>
          <w:sz w:val="24"/>
          <w:szCs w:val="24"/>
          <w:lang w:val="es-MX"/>
        </w:rPr>
      </w:pPr>
      <w:r w:rsidRPr="00B20D71">
        <w:rPr>
          <w:rFonts w:ascii="Times New Roman" w:hAnsi="Times New Roman" w:cs="Times New Roman"/>
          <w:iCs/>
          <w:sz w:val="24"/>
          <w:szCs w:val="24"/>
          <w:lang w:val="es-MX"/>
        </w:rPr>
        <w:t>Partido Alianza Verde.</w:t>
      </w:r>
    </w:p>
    <w:p w14:paraId="7339637B" w14:textId="3498C071" w:rsidR="003746FA" w:rsidRDefault="003746FA" w:rsidP="003746FA"/>
    <w:p w14:paraId="7067B4FA" w14:textId="77777777" w:rsidR="00FC4E89" w:rsidRPr="00FC4E89" w:rsidRDefault="00FC4E89" w:rsidP="00FC4E89">
      <w:pPr>
        <w:jc w:val="center"/>
        <w:rPr>
          <w:rFonts w:ascii="Times New Roman" w:eastAsia="Calibri" w:hAnsi="Times New Roman" w:cs="Times New Roman"/>
          <w:sz w:val="28"/>
          <w:szCs w:val="28"/>
          <w:lang w:val="es-MX"/>
        </w:rPr>
      </w:pPr>
      <w:r w:rsidRPr="00FC4E89">
        <w:rPr>
          <w:rFonts w:ascii="Times New Roman" w:eastAsia="Calibri" w:hAnsi="Times New Roman" w:cs="Times New Roman"/>
          <w:b/>
          <w:bCs/>
          <w:sz w:val="28"/>
          <w:szCs w:val="28"/>
          <w:lang w:val="es-MX"/>
        </w:rPr>
        <w:lastRenderedPageBreak/>
        <w:t>PROYECTO DE LEY NÚMERO ___ DE 2021</w:t>
      </w:r>
    </w:p>
    <w:p w14:paraId="5596DFE4" w14:textId="77777777" w:rsidR="00FC4E89" w:rsidRPr="00FC4E89" w:rsidRDefault="00FC4E89" w:rsidP="00FC4E89">
      <w:pPr>
        <w:jc w:val="center"/>
        <w:rPr>
          <w:rFonts w:ascii="Times New Roman" w:eastAsia="Calibri" w:hAnsi="Times New Roman" w:cs="Times New Roman"/>
          <w:b/>
          <w:i/>
          <w:sz w:val="24"/>
          <w:szCs w:val="24"/>
          <w:lang w:val="es-MX"/>
        </w:rPr>
      </w:pPr>
      <w:r w:rsidRPr="00FC4E89">
        <w:rPr>
          <w:rFonts w:ascii="Times New Roman" w:eastAsia="Calibri" w:hAnsi="Times New Roman" w:cs="Times New Roman"/>
          <w:b/>
          <w:i/>
          <w:lang w:val="es-MX"/>
        </w:rPr>
        <w:t>“</w:t>
      </w:r>
      <w:r w:rsidRPr="00FC4E89">
        <w:rPr>
          <w:rFonts w:ascii="Times New Roman" w:eastAsia="Calibri" w:hAnsi="Times New Roman" w:cs="Times New Roman"/>
          <w:b/>
          <w:i/>
          <w:sz w:val="24"/>
          <w:szCs w:val="24"/>
          <w:lang w:val="es-MX"/>
        </w:rPr>
        <w:t>Por medio de la cual se prohíbe en el territorio continental y costa fuera de la República de Colombia la aplicación combinada de las Técnicas No Convencionales de Fracturamiento Hidráulico Multietapa y Perforación Horizontal o Multilateral, desde Plataformas Multipozo, en Yacimientos No Convencionales de Hidrocarburos de Roca Generadora, y se dictan otras disposiciones</w:t>
      </w:r>
      <w:r w:rsidRPr="00FC4E89">
        <w:rPr>
          <w:rFonts w:ascii="Times New Roman" w:eastAsia="Calibri" w:hAnsi="Times New Roman" w:cs="Times New Roman"/>
          <w:b/>
          <w:i/>
          <w:lang w:val="es-MX"/>
        </w:rPr>
        <w:t>”.</w:t>
      </w:r>
    </w:p>
    <w:p w14:paraId="18181E73" w14:textId="77777777" w:rsidR="00FC4E89" w:rsidRPr="00FC4E89" w:rsidRDefault="00FC4E89" w:rsidP="00FC4E89">
      <w:pPr>
        <w:rPr>
          <w:rFonts w:ascii="Times New Roman" w:eastAsia="Calibri" w:hAnsi="Times New Roman" w:cs="Times New Roman"/>
          <w:sz w:val="24"/>
          <w:szCs w:val="24"/>
          <w:lang w:val="es-MX"/>
        </w:rPr>
      </w:pPr>
    </w:p>
    <w:p w14:paraId="7054D57A" w14:textId="77777777" w:rsidR="00FC4E89" w:rsidRPr="00FC4E89" w:rsidRDefault="00FC4E89" w:rsidP="00FC4E89">
      <w:pPr>
        <w:jc w:val="center"/>
        <w:rPr>
          <w:rFonts w:ascii="Times New Roman" w:eastAsia="Times New Roman" w:hAnsi="Times New Roman" w:cs="Times New Roman"/>
          <w:b/>
          <w:color w:val="000000"/>
          <w:sz w:val="24"/>
          <w:szCs w:val="24"/>
          <w:lang w:val="es-MX"/>
        </w:rPr>
      </w:pPr>
      <w:r w:rsidRPr="00FC4E89">
        <w:rPr>
          <w:rFonts w:ascii="Times New Roman" w:eastAsia="Times New Roman" w:hAnsi="Times New Roman" w:cs="Times New Roman"/>
          <w:b/>
          <w:color w:val="000000"/>
          <w:sz w:val="24"/>
          <w:szCs w:val="24"/>
          <w:highlight w:val="white"/>
          <w:lang w:val="es-MX"/>
        </w:rPr>
        <w:t>ÍNDICE DE LA EXPOSICIÓN DE MOTIVOS</w:t>
      </w:r>
    </w:p>
    <w:p w14:paraId="018E8FE7" w14:textId="77777777" w:rsidR="00FC4E89" w:rsidRPr="00FC4E89" w:rsidRDefault="00FC4E89" w:rsidP="00FC4E89">
      <w:pPr>
        <w:jc w:val="center"/>
        <w:rPr>
          <w:rFonts w:ascii="Times New Roman" w:eastAsia="Times New Roman" w:hAnsi="Times New Roman" w:cs="Times New Roman"/>
          <w:b/>
          <w:color w:val="000000"/>
          <w:sz w:val="24"/>
          <w:szCs w:val="24"/>
          <w:lang w:val="es-MX"/>
        </w:rPr>
      </w:pPr>
    </w:p>
    <w:p w14:paraId="553337A8" w14:textId="36F8D86F" w:rsidR="00FC4E89" w:rsidRPr="00FC4E89" w:rsidRDefault="00FC4E89" w:rsidP="00FC4E89">
      <w:pPr>
        <w:numPr>
          <w:ilvl w:val="0"/>
          <w:numId w:val="3"/>
        </w:numPr>
        <w:contextualSpacing/>
        <w:jc w:val="both"/>
        <w:rPr>
          <w:rFonts w:ascii="Times New Roman" w:eastAsia="Calibri" w:hAnsi="Times New Roman" w:cs="Times New Roman"/>
          <w:sz w:val="28"/>
          <w:szCs w:val="28"/>
          <w:lang w:val="es-MX"/>
        </w:rPr>
      </w:pPr>
      <w:r w:rsidRPr="00FC4E89">
        <w:rPr>
          <w:rFonts w:ascii="Times New Roman" w:eastAsia="Calibri" w:hAnsi="Times New Roman" w:cs="Times New Roman"/>
          <w:sz w:val="28"/>
          <w:szCs w:val="28"/>
          <w:lang w:val="es-MX"/>
        </w:rPr>
        <w:t>Introducción</w:t>
      </w:r>
    </w:p>
    <w:p w14:paraId="28EAFE5A" w14:textId="5A8B592D" w:rsidR="00FC4E89" w:rsidRPr="00FC4E89" w:rsidRDefault="00FC4E89" w:rsidP="00FC4E89">
      <w:pPr>
        <w:numPr>
          <w:ilvl w:val="0"/>
          <w:numId w:val="3"/>
        </w:numPr>
        <w:contextualSpacing/>
        <w:jc w:val="both"/>
        <w:rPr>
          <w:rFonts w:ascii="Times New Roman" w:eastAsia="Calibri" w:hAnsi="Times New Roman" w:cs="Times New Roman"/>
          <w:sz w:val="28"/>
          <w:szCs w:val="28"/>
          <w:lang w:val="es-MX"/>
        </w:rPr>
      </w:pPr>
      <w:r w:rsidRPr="00FC4E89">
        <w:rPr>
          <w:rFonts w:ascii="Times New Roman" w:eastAsia="Calibri" w:hAnsi="Times New Roman" w:cs="Times New Roman"/>
          <w:sz w:val="28"/>
          <w:szCs w:val="28"/>
          <w:lang w:val="es-MX"/>
        </w:rPr>
        <w:t>Objeto del proyecto de ley</w:t>
      </w:r>
    </w:p>
    <w:p w14:paraId="5A2C8B3A" w14:textId="3AF10450" w:rsidR="00FC4E89" w:rsidRPr="00FC4E89" w:rsidRDefault="00FC4E89" w:rsidP="00FC4E89">
      <w:pPr>
        <w:numPr>
          <w:ilvl w:val="0"/>
          <w:numId w:val="3"/>
        </w:numPr>
        <w:contextualSpacing/>
        <w:jc w:val="both"/>
        <w:rPr>
          <w:rFonts w:ascii="Times New Roman" w:eastAsia="Calibri" w:hAnsi="Times New Roman" w:cs="Times New Roman"/>
          <w:sz w:val="28"/>
          <w:szCs w:val="28"/>
          <w:lang w:val="es-MX"/>
        </w:rPr>
      </w:pPr>
      <w:r w:rsidRPr="00FC4E89">
        <w:rPr>
          <w:rFonts w:ascii="Times New Roman" w:eastAsia="Calibri" w:hAnsi="Times New Roman" w:cs="Times New Roman"/>
          <w:sz w:val="28"/>
          <w:szCs w:val="28"/>
          <w:lang w:val="es-MX"/>
        </w:rPr>
        <w:t>Justificación</w:t>
      </w:r>
    </w:p>
    <w:p w14:paraId="79E60350" w14:textId="77777777" w:rsidR="00FC4E89" w:rsidRPr="00FC4E89" w:rsidRDefault="00FC4E89" w:rsidP="00FC4E89">
      <w:pPr>
        <w:numPr>
          <w:ilvl w:val="0"/>
          <w:numId w:val="4"/>
        </w:numPr>
        <w:contextualSpacing/>
        <w:jc w:val="both"/>
        <w:rPr>
          <w:rFonts w:ascii="Times New Roman" w:eastAsia="Calibri" w:hAnsi="Times New Roman" w:cs="Times New Roman"/>
          <w:sz w:val="28"/>
          <w:szCs w:val="28"/>
          <w:lang w:val="es-MX"/>
        </w:rPr>
      </w:pPr>
      <w:r w:rsidRPr="00FC4E89">
        <w:rPr>
          <w:rFonts w:ascii="Times New Roman" w:eastAsia="Calibri" w:hAnsi="Times New Roman" w:cs="Times New Roman"/>
          <w:sz w:val="28"/>
          <w:szCs w:val="28"/>
          <w:lang w:val="es-MX"/>
        </w:rPr>
        <w:t>Algunos conceptos técnicos</w:t>
      </w:r>
    </w:p>
    <w:p w14:paraId="081A0CB3" w14:textId="77777777" w:rsidR="00FC4E89" w:rsidRPr="00FC4E89" w:rsidRDefault="00FC4E89" w:rsidP="00FC4E89">
      <w:pPr>
        <w:numPr>
          <w:ilvl w:val="0"/>
          <w:numId w:val="4"/>
        </w:numPr>
        <w:contextualSpacing/>
        <w:jc w:val="both"/>
        <w:rPr>
          <w:rFonts w:ascii="Times New Roman" w:eastAsia="Calibri" w:hAnsi="Times New Roman" w:cs="Times New Roman"/>
          <w:sz w:val="28"/>
          <w:szCs w:val="28"/>
          <w:lang w:val="es-MX"/>
        </w:rPr>
      </w:pPr>
      <w:r w:rsidRPr="00FC4E89">
        <w:rPr>
          <w:rFonts w:ascii="Times New Roman" w:eastAsia="Calibri" w:hAnsi="Times New Roman" w:cs="Times New Roman"/>
          <w:sz w:val="28"/>
          <w:szCs w:val="28"/>
          <w:lang w:val="es-MX"/>
        </w:rPr>
        <w:t>Impactos y Riesgos</w:t>
      </w:r>
    </w:p>
    <w:p w14:paraId="6A65F396" w14:textId="77777777" w:rsidR="00FC4E89" w:rsidRPr="00FC4E89" w:rsidRDefault="00FC4E89" w:rsidP="00FC4E89">
      <w:pPr>
        <w:numPr>
          <w:ilvl w:val="1"/>
          <w:numId w:val="4"/>
        </w:numPr>
        <w:contextualSpacing/>
        <w:jc w:val="both"/>
        <w:rPr>
          <w:rFonts w:ascii="Times New Roman" w:eastAsia="Calibri" w:hAnsi="Times New Roman" w:cs="Times New Roman"/>
          <w:sz w:val="28"/>
          <w:szCs w:val="28"/>
          <w:lang w:val="es-MX"/>
        </w:rPr>
      </w:pPr>
      <w:r w:rsidRPr="00FC4E89">
        <w:rPr>
          <w:rFonts w:ascii="Times New Roman" w:eastAsia="Calibri" w:hAnsi="Times New Roman" w:cs="Times New Roman"/>
          <w:sz w:val="28"/>
          <w:szCs w:val="28"/>
          <w:lang w:val="es-MX"/>
        </w:rPr>
        <w:t>Uso masivo de agua</w:t>
      </w:r>
    </w:p>
    <w:p w14:paraId="643EA30C" w14:textId="77777777" w:rsidR="00FC4E89" w:rsidRPr="00FC4E89" w:rsidRDefault="00FC4E89" w:rsidP="00FC4E89">
      <w:pPr>
        <w:numPr>
          <w:ilvl w:val="1"/>
          <w:numId w:val="4"/>
        </w:numPr>
        <w:contextualSpacing/>
        <w:jc w:val="both"/>
        <w:rPr>
          <w:rFonts w:ascii="Times New Roman" w:eastAsia="Calibri" w:hAnsi="Times New Roman" w:cs="Times New Roman"/>
          <w:sz w:val="28"/>
          <w:szCs w:val="28"/>
          <w:lang w:val="es-MX"/>
        </w:rPr>
      </w:pPr>
      <w:r w:rsidRPr="00FC4E89">
        <w:rPr>
          <w:rFonts w:ascii="Times New Roman" w:eastAsia="Calibri" w:hAnsi="Times New Roman" w:cs="Times New Roman"/>
          <w:sz w:val="28"/>
          <w:szCs w:val="28"/>
          <w:lang w:val="es-MX"/>
        </w:rPr>
        <w:t xml:space="preserve">Uso masivo de arena </w:t>
      </w:r>
    </w:p>
    <w:p w14:paraId="5201F03B" w14:textId="77777777" w:rsidR="00FC4E89" w:rsidRPr="00FC4E89" w:rsidRDefault="00FC4E89" w:rsidP="00FC4E89">
      <w:pPr>
        <w:numPr>
          <w:ilvl w:val="1"/>
          <w:numId w:val="4"/>
        </w:numPr>
        <w:contextualSpacing/>
        <w:jc w:val="both"/>
        <w:rPr>
          <w:rFonts w:ascii="Times New Roman" w:eastAsia="Calibri" w:hAnsi="Times New Roman" w:cs="Times New Roman"/>
          <w:sz w:val="28"/>
          <w:szCs w:val="28"/>
          <w:lang w:val="es-MX"/>
        </w:rPr>
      </w:pPr>
      <w:r w:rsidRPr="00FC4E89">
        <w:rPr>
          <w:rFonts w:ascii="Times New Roman" w:eastAsia="Calibri" w:hAnsi="Times New Roman" w:cs="Times New Roman"/>
          <w:sz w:val="28"/>
          <w:szCs w:val="28"/>
          <w:lang w:val="es-MX"/>
        </w:rPr>
        <w:t>Uso de químicos en concentraciones tóxicas</w:t>
      </w:r>
    </w:p>
    <w:p w14:paraId="2F69DE5A" w14:textId="77777777" w:rsidR="00FC4E89" w:rsidRPr="00FC4E89" w:rsidRDefault="00FC4E89" w:rsidP="00FC4E89">
      <w:pPr>
        <w:numPr>
          <w:ilvl w:val="1"/>
          <w:numId w:val="4"/>
        </w:numPr>
        <w:contextualSpacing/>
        <w:jc w:val="both"/>
        <w:rPr>
          <w:rFonts w:ascii="Times New Roman" w:eastAsia="Calibri" w:hAnsi="Times New Roman" w:cs="Times New Roman"/>
          <w:sz w:val="28"/>
          <w:szCs w:val="28"/>
          <w:lang w:val="es-MX"/>
        </w:rPr>
      </w:pPr>
      <w:r w:rsidRPr="00FC4E89">
        <w:rPr>
          <w:rFonts w:ascii="Times New Roman" w:eastAsia="Calibri" w:hAnsi="Times New Roman" w:cs="Times New Roman"/>
          <w:sz w:val="28"/>
          <w:szCs w:val="28"/>
          <w:lang w:val="es-MX"/>
        </w:rPr>
        <w:t>Ripios de perforación</w:t>
      </w:r>
    </w:p>
    <w:p w14:paraId="0B83F126" w14:textId="77777777" w:rsidR="00FC4E89" w:rsidRPr="00FC4E89" w:rsidRDefault="00FC4E89" w:rsidP="00FC4E89">
      <w:pPr>
        <w:numPr>
          <w:ilvl w:val="1"/>
          <w:numId w:val="4"/>
        </w:numPr>
        <w:contextualSpacing/>
        <w:jc w:val="both"/>
        <w:rPr>
          <w:rFonts w:ascii="Times New Roman" w:eastAsia="Calibri" w:hAnsi="Times New Roman" w:cs="Times New Roman"/>
          <w:sz w:val="28"/>
          <w:szCs w:val="28"/>
          <w:lang w:val="es-MX"/>
        </w:rPr>
      </w:pPr>
      <w:r w:rsidRPr="00FC4E89">
        <w:rPr>
          <w:rFonts w:ascii="Times New Roman" w:eastAsia="Calibri" w:hAnsi="Times New Roman" w:cs="Times New Roman"/>
          <w:sz w:val="28"/>
          <w:szCs w:val="28"/>
          <w:lang w:val="es-MX"/>
        </w:rPr>
        <w:t>Residuos del fracturamiento multietapa.</w:t>
      </w:r>
    </w:p>
    <w:p w14:paraId="5FC6F919" w14:textId="77777777" w:rsidR="00FC4E89" w:rsidRPr="00FC4E89" w:rsidRDefault="00FC4E89" w:rsidP="00FC4E89">
      <w:pPr>
        <w:numPr>
          <w:ilvl w:val="1"/>
          <w:numId w:val="4"/>
        </w:numPr>
        <w:contextualSpacing/>
        <w:jc w:val="both"/>
        <w:rPr>
          <w:rFonts w:ascii="Times New Roman" w:eastAsia="Calibri" w:hAnsi="Times New Roman" w:cs="Times New Roman"/>
          <w:sz w:val="28"/>
          <w:szCs w:val="28"/>
          <w:lang w:val="es-MX"/>
        </w:rPr>
      </w:pPr>
      <w:r w:rsidRPr="00FC4E89">
        <w:rPr>
          <w:rFonts w:ascii="Times New Roman" w:eastAsia="Calibri" w:hAnsi="Times New Roman" w:cs="Times New Roman"/>
          <w:sz w:val="28"/>
          <w:szCs w:val="28"/>
          <w:lang w:val="es-MX"/>
        </w:rPr>
        <w:t>Interconexión entre fracturas inducidas y fallas naturales</w:t>
      </w:r>
    </w:p>
    <w:p w14:paraId="6F4F1A0F" w14:textId="494EE13A" w:rsidR="00FC4E89" w:rsidRPr="00FC4E89" w:rsidRDefault="00FC4E89" w:rsidP="00FC4E89">
      <w:pPr>
        <w:numPr>
          <w:ilvl w:val="0"/>
          <w:numId w:val="3"/>
        </w:numPr>
        <w:contextualSpacing/>
        <w:jc w:val="both"/>
        <w:rPr>
          <w:rFonts w:ascii="Times New Roman" w:eastAsia="Calibri" w:hAnsi="Times New Roman" w:cs="Times New Roman"/>
          <w:sz w:val="28"/>
          <w:szCs w:val="28"/>
          <w:lang w:val="es-MX"/>
        </w:rPr>
      </w:pPr>
      <w:r>
        <w:rPr>
          <w:rFonts w:ascii="Times New Roman" w:eastAsia="Calibri" w:hAnsi="Times New Roman" w:cs="Times New Roman"/>
          <w:sz w:val="28"/>
          <w:szCs w:val="28"/>
          <w:lang w:val="es-MX"/>
        </w:rPr>
        <w:t>S</w:t>
      </w:r>
      <w:r w:rsidRPr="00FC4E89">
        <w:rPr>
          <w:rFonts w:ascii="Times New Roman" w:eastAsia="Calibri" w:hAnsi="Times New Roman" w:cs="Times New Roman"/>
          <w:sz w:val="28"/>
          <w:szCs w:val="28"/>
          <w:lang w:val="es-MX"/>
        </w:rPr>
        <w:t>eguridad energética nacional y autosuficiencia petrolera.</w:t>
      </w:r>
    </w:p>
    <w:p w14:paraId="48A79375" w14:textId="6DB99C96" w:rsidR="00FC4E89" w:rsidRPr="00FC4E89" w:rsidRDefault="00FC4E89" w:rsidP="00FC4E89">
      <w:pPr>
        <w:numPr>
          <w:ilvl w:val="0"/>
          <w:numId w:val="3"/>
        </w:numPr>
        <w:contextualSpacing/>
        <w:jc w:val="both"/>
        <w:rPr>
          <w:rFonts w:ascii="Times New Roman" w:eastAsia="Calibri" w:hAnsi="Times New Roman" w:cs="Times New Roman"/>
          <w:sz w:val="28"/>
          <w:szCs w:val="28"/>
          <w:lang w:val="es-MX"/>
        </w:rPr>
      </w:pPr>
      <w:r w:rsidRPr="00FC4E89">
        <w:rPr>
          <w:rFonts w:ascii="Times New Roman" w:eastAsia="Calibri" w:hAnsi="Times New Roman" w:cs="Times New Roman"/>
          <w:sz w:val="28"/>
          <w:szCs w:val="28"/>
          <w:lang w:val="es-MX"/>
        </w:rPr>
        <w:t>Marco jurídico</w:t>
      </w:r>
    </w:p>
    <w:p w14:paraId="5FD0B975" w14:textId="4C8D1DBD" w:rsidR="00FC4E89" w:rsidRPr="00FC4E89" w:rsidRDefault="00FC4E89" w:rsidP="00FC4E89">
      <w:pPr>
        <w:numPr>
          <w:ilvl w:val="0"/>
          <w:numId w:val="3"/>
        </w:numPr>
        <w:contextualSpacing/>
        <w:jc w:val="both"/>
        <w:rPr>
          <w:rFonts w:ascii="Times New Roman" w:eastAsia="Calibri" w:hAnsi="Times New Roman" w:cs="Times New Roman"/>
          <w:sz w:val="28"/>
          <w:szCs w:val="28"/>
          <w:lang w:val="es-MX"/>
        </w:rPr>
      </w:pPr>
      <w:r w:rsidRPr="00FC4E89">
        <w:rPr>
          <w:rFonts w:ascii="Times New Roman" w:eastAsia="Calibri" w:hAnsi="Times New Roman" w:cs="Times New Roman"/>
          <w:sz w:val="28"/>
          <w:szCs w:val="28"/>
          <w:lang w:val="es-MX"/>
        </w:rPr>
        <w:t>Derecho comparado</w:t>
      </w:r>
    </w:p>
    <w:p w14:paraId="6567A20E" w14:textId="77777777" w:rsidR="00FC4E89" w:rsidRPr="00FC4E89" w:rsidRDefault="00FC4E89" w:rsidP="00FC4E89">
      <w:pPr>
        <w:jc w:val="both"/>
        <w:rPr>
          <w:rFonts w:ascii="Times New Roman" w:eastAsia="Calibri" w:hAnsi="Times New Roman" w:cs="Times New Roman"/>
          <w:sz w:val="28"/>
          <w:szCs w:val="28"/>
          <w:lang w:val="es-MX"/>
        </w:rPr>
      </w:pPr>
      <w:r w:rsidRPr="00FC4E89">
        <w:rPr>
          <w:rFonts w:ascii="Times New Roman" w:eastAsia="Calibri" w:hAnsi="Times New Roman" w:cs="Times New Roman"/>
          <w:sz w:val="28"/>
          <w:szCs w:val="28"/>
          <w:lang w:val="es-MX"/>
        </w:rPr>
        <w:t>Referencias Bibliográficas.</w:t>
      </w:r>
    </w:p>
    <w:p w14:paraId="3F3D65AB" w14:textId="77777777" w:rsidR="00FC4E89" w:rsidRPr="00FC4E89" w:rsidRDefault="00FC4E89" w:rsidP="00FC4E89">
      <w:pPr>
        <w:jc w:val="both"/>
        <w:rPr>
          <w:rFonts w:ascii="Times New Roman" w:eastAsia="Calibri" w:hAnsi="Times New Roman" w:cs="Times New Roman"/>
          <w:sz w:val="28"/>
          <w:szCs w:val="28"/>
          <w:lang w:val="es-MX"/>
        </w:rPr>
      </w:pPr>
    </w:p>
    <w:p w14:paraId="31722B90" w14:textId="77777777" w:rsidR="00FC4E89" w:rsidRPr="00FC4E89" w:rsidRDefault="00FC4E89" w:rsidP="00FC4E89">
      <w:pPr>
        <w:jc w:val="center"/>
        <w:rPr>
          <w:rFonts w:ascii="Times New Roman" w:eastAsia="Calibri" w:hAnsi="Times New Roman" w:cs="Times New Roman"/>
          <w:b/>
          <w:bCs/>
          <w:sz w:val="28"/>
          <w:szCs w:val="28"/>
          <w:lang w:val="es-MX"/>
        </w:rPr>
      </w:pPr>
    </w:p>
    <w:p w14:paraId="03FDF002" w14:textId="77777777" w:rsidR="00FC4E89" w:rsidRPr="00FC4E89" w:rsidRDefault="00FC4E89" w:rsidP="00FC4E89">
      <w:pPr>
        <w:jc w:val="center"/>
        <w:rPr>
          <w:rFonts w:ascii="Times New Roman" w:eastAsia="Calibri" w:hAnsi="Times New Roman" w:cs="Times New Roman"/>
          <w:sz w:val="28"/>
          <w:szCs w:val="28"/>
          <w:lang w:val="es-MX"/>
        </w:rPr>
      </w:pPr>
      <w:r w:rsidRPr="00FC4E89">
        <w:rPr>
          <w:rFonts w:ascii="Times New Roman" w:eastAsia="Calibri" w:hAnsi="Times New Roman" w:cs="Times New Roman"/>
          <w:b/>
          <w:bCs/>
          <w:sz w:val="28"/>
          <w:szCs w:val="28"/>
          <w:lang w:val="es-MX"/>
        </w:rPr>
        <w:lastRenderedPageBreak/>
        <w:t>PROYECTO DE LEY NÚMERO ___ DE 2021</w:t>
      </w:r>
    </w:p>
    <w:p w14:paraId="3FED3526" w14:textId="77777777" w:rsidR="00FC4E89" w:rsidRPr="00FC4E89" w:rsidRDefault="00FC4E89" w:rsidP="00FC4E89">
      <w:pPr>
        <w:jc w:val="center"/>
        <w:rPr>
          <w:rFonts w:ascii="Times New Roman" w:eastAsia="Calibri" w:hAnsi="Times New Roman" w:cs="Times New Roman"/>
          <w:b/>
          <w:i/>
          <w:sz w:val="24"/>
          <w:szCs w:val="24"/>
          <w:lang w:val="es-MX"/>
        </w:rPr>
      </w:pPr>
      <w:r w:rsidRPr="00FC4E89">
        <w:rPr>
          <w:rFonts w:ascii="Times New Roman" w:eastAsia="Calibri" w:hAnsi="Times New Roman" w:cs="Times New Roman"/>
          <w:b/>
          <w:i/>
          <w:lang w:val="es-MX"/>
        </w:rPr>
        <w:t>“</w:t>
      </w:r>
      <w:r w:rsidRPr="00FC4E89">
        <w:rPr>
          <w:rFonts w:ascii="Times New Roman" w:eastAsia="Calibri" w:hAnsi="Times New Roman" w:cs="Times New Roman"/>
          <w:b/>
          <w:i/>
          <w:sz w:val="24"/>
          <w:szCs w:val="24"/>
          <w:lang w:val="es-MX"/>
        </w:rPr>
        <w:t>Por medio de la cual se prohíbe en el territorio continental y costa fuera de la República de Colombia la aplicación combinada de las Técnicas No Convencionales de Fracturamiento Hidráulico Multietapa y Perforación Horizontal o Multilateral, desde Plataformas Multipozo, en Yacimientos No Convencionales de Hidrocarburos de Roca Generadora, y se dictan otras disposiciones</w:t>
      </w:r>
      <w:r w:rsidRPr="00FC4E89">
        <w:rPr>
          <w:rFonts w:ascii="Times New Roman" w:eastAsia="Calibri" w:hAnsi="Times New Roman" w:cs="Times New Roman"/>
          <w:b/>
          <w:i/>
          <w:lang w:val="es-MX"/>
        </w:rPr>
        <w:t>”.</w:t>
      </w:r>
    </w:p>
    <w:p w14:paraId="0A1CC408" w14:textId="77777777" w:rsidR="00FC4E89" w:rsidRPr="00FC4E89" w:rsidRDefault="00FC4E89" w:rsidP="00FC4E89">
      <w:pPr>
        <w:rPr>
          <w:rFonts w:ascii="Times New Roman" w:eastAsia="Calibri" w:hAnsi="Times New Roman" w:cs="Times New Roman"/>
          <w:sz w:val="24"/>
          <w:szCs w:val="24"/>
          <w:lang w:val="es-MX"/>
        </w:rPr>
      </w:pPr>
    </w:p>
    <w:p w14:paraId="0C99167D" w14:textId="77777777" w:rsidR="00FC4E89" w:rsidRPr="00FC4E89" w:rsidRDefault="00FC4E89" w:rsidP="00FC4E89">
      <w:pPr>
        <w:jc w:val="center"/>
        <w:rPr>
          <w:rFonts w:ascii="Times New Roman" w:eastAsia="Calibri" w:hAnsi="Times New Roman" w:cs="Times New Roman"/>
          <w:b/>
          <w:sz w:val="28"/>
          <w:szCs w:val="28"/>
          <w:lang w:val="es-MX"/>
        </w:rPr>
      </w:pPr>
      <w:r w:rsidRPr="00FC4E89">
        <w:rPr>
          <w:rFonts w:ascii="Times New Roman" w:eastAsia="Calibri" w:hAnsi="Times New Roman" w:cs="Times New Roman"/>
          <w:b/>
          <w:sz w:val="28"/>
          <w:szCs w:val="28"/>
          <w:lang w:val="es-MX"/>
        </w:rPr>
        <w:t>EXPOSICIÓN DE MOTIVOS</w:t>
      </w:r>
    </w:p>
    <w:p w14:paraId="680079FF" w14:textId="77777777" w:rsidR="00FC4E89" w:rsidRPr="00FC4E89" w:rsidRDefault="00FC4E89" w:rsidP="00FC4E89">
      <w:pPr>
        <w:jc w:val="both"/>
        <w:rPr>
          <w:rFonts w:ascii="Times New Roman" w:eastAsia="Calibri" w:hAnsi="Times New Roman" w:cs="Times New Roman"/>
          <w:sz w:val="28"/>
          <w:szCs w:val="28"/>
          <w:lang w:val="es-MX"/>
        </w:rPr>
      </w:pPr>
    </w:p>
    <w:p w14:paraId="75551B80" w14:textId="77777777" w:rsidR="00FC4E89" w:rsidRPr="00FC4E89" w:rsidRDefault="00FC4E89" w:rsidP="00FC4E89">
      <w:pPr>
        <w:numPr>
          <w:ilvl w:val="0"/>
          <w:numId w:val="5"/>
        </w:numPr>
        <w:contextualSpacing/>
        <w:jc w:val="both"/>
        <w:rPr>
          <w:rFonts w:ascii="Times New Roman" w:eastAsia="Calibri" w:hAnsi="Times New Roman" w:cs="Times New Roman"/>
          <w:b/>
          <w:sz w:val="24"/>
          <w:szCs w:val="24"/>
          <w:lang w:val="es-MX"/>
        </w:rPr>
      </w:pPr>
      <w:r w:rsidRPr="00FC4E89">
        <w:rPr>
          <w:rFonts w:ascii="Times New Roman" w:eastAsia="Calibri" w:hAnsi="Times New Roman" w:cs="Times New Roman"/>
          <w:b/>
          <w:sz w:val="24"/>
          <w:szCs w:val="24"/>
          <w:lang w:val="es-MX"/>
        </w:rPr>
        <w:t xml:space="preserve">INTRODUCCIÓN </w:t>
      </w:r>
    </w:p>
    <w:p w14:paraId="5D0D04F8" w14:textId="77777777" w:rsidR="00FC4E89" w:rsidRPr="00FC4E89" w:rsidRDefault="00FC4E89" w:rsidP="00FC4E89">
      <w:pPr>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 xml:space="preserve">Este proyecto de ley se estructura planteando los argumentos políticos y científicos más relevantes para </w:t>
      </w:r>
      <w:r w:rsidRPr="00FC4E89">
        <w:rPr>
          <w:rFonts w:ascii="Times New Roman" w:eastAsia="Calibri" w:hAnsi="Times New Roman" w:cs="Times New Roman"/>
          <w:b/>
          <w:i/>
          <w:sz w:val="24"/>
          <w:szCs w:val="24"/>
          <w:lang w:val="es-MX"/>
        </w:rPr>
        <w:t>prohibir la</w:t>
      </w:r>
      <w:r w:rsidRPr="00FC4E89">
        <w:rPr>
          <w:rFonts w:ascii="Times New Roman" w:eastAsia="Calibri" w:hAnsi="Times New Roman" w:cs="Times New Roman"/>
          <w:sz w:val="24"/>
          <w:szCs w:val="24"/>
          <w:lang w:val="es-MX"/>
        </w:rPr>
        <w:t xml:space="preserve"> </w:t>
      </w:r>
      <w:r w:rsidRPr="00FC4E89">
        <w:rPr>
          <w:rFonts w:ascii="Times New Roman" w:eastAsia="Calibri" w:hAnsi="Times New Roman" w:cs="Times New Roman"/>
          <w:b/>
          <w:i/>
          <w:sz w:val="24"/>
          <w:szCs w:val="24"/>
          <w:lang w:val="es-MX"/>
        </w:rPr>
        <w:t>aplicación combinada de las Técnicas No Convencionales de Fracturamiento Hidráulico Multietapa y Perforación Horizontal o Multilateral, desde Plataformas Multipozo, en Yacimientos No Convencionales de Hidrocarburos de Roca Generadora</w:t>
      </w:r>
      <w:r w:rsidRPr="00FC4E89">
        <w:rPr>
          <w:rFonts w:ascii="Times New Roman" w:eastAsia="Calibri" w:hAnsi="Times New Roman" w:cs="Times New Roman"/>
          <w:sz w:val="24"/>
          <w:szCs w:val="24"/>
          <w:lang w:val="es-MX"/>
        </w:rPr>
        <w:t>. Los apartes de este texto son los siguientes cinco:</w:t>
      </w:r>
    </w:p>
    <w:p w14:paraId="57848784" w14:textId="77777777" w:rsidR="00FC4E89" w:rsidRPr="00FC4E89" w:rsidRDefault="00FC4E89" w:rsidP="00FC4E89">
      <w:pPr>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 xml:space="preserve">En primer lugar, se argumenta el objeto del proyecto de ley, con sustento normativo constitucional, por el cual busca prohibir el uso o aplicación combinada de las técnicas no convencionales de fracturamiento hidráulico multietapa y perforación horizontal o multilateral, desde plataformas multipozo, en yacimientos no convencionales de hidrocarburos de roca generadora. La Constitución colombiana ha sido llamada constitución ecológica por marcar un derrotero claramente ambiental que, entre otras, se basa en los principios de proteger las riquezas naturales y el patrimonio ecológico de la Nación (Art. 8), la función ecológica de la propiedad (Art. 58), el derecho a gozar de un ambiente sano (Art. 79), y el ambiente como límite a la actividad económica (Art.334). Adicionalmente, nuestro ordenamiento constitucional ha incorporado principios desarrollados en el derecho internacional y doméstico como los siguientes: el de precaución, según el cual no es necesario tener certeza científica de que una actividad causa daños y la forma en que los causa, para tomar medidas para prevenirlos; el de prevención que obliga a los Estados a prevenir los </w:t>
      </w:r>
      <w:r w:rsidRPr="00FC4E89">
        <w:rPr>
          <w:rFonts w:ascii="Times New Roman" w:eastAsia="Calibri" w:hAnsi="Times New Roman" w:cs="Times New Roman"/>
          <w:sz w:val="24"/>
          <w:szCs w:val="24"/>
          <w:lang w:val="es-MX"/>
        </w:rPr>
        <w:lastRenderedPageBreak/>
        <w:t xml:space="preserve">daños cuando estos son conocidos; el de transparencia en materia ambiental, y el de solidaridad intergeneracional frente al cambio climático, entre otros. </w:t>
      </w:r>
    </w:p>
    <w:p w14:paraId="124FC299" w14:textId="77777777" w:rsidR="00FC4E89" w:rsidRPr="00FC4E89" w:rsidRDefault="00FC4E89" w:rsidP="00FC4E89">
      <w:pPr>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 xml:space="preserve">En segundo lugar, el proyecto de ley se justifica a través de la descripción de los riesgos que conlleva la aplicación combinada del fracturamiento hidráulico multietapa y la perforación horizontal o multilateral, desde plataformas multipozo, en yacimientos no convencionales de hidrocarburos de roca generadora. Así como también se justifica su prohibición con base en los aspectos económicos y contractuales del negocio. Desde el punto de vista de los riesgos ambientales, se hace necesario mitigar la emisión de gases efecto de invernadero, como el metano y el CO2, para enfrentar de forma efectiva la crisis climática, por un lado, y fortalecer la resiliencia ecosistémica, social, económica y cultural de los territorios del país, por el otro. La crisis climática, como se describe en este punto, es el mayor reto que la humanidad ha enfrentado como especie. Hacerlo con efectividad implica rapidez y contundencia, como fue el compromiso de Colombia con la ratificación del Acuerdo de París. El Congreso actual tiene una responsabilidad histórica: enfrentar el reto de garantizar las condiciones de vida para las próximas generaciones, que hoy es posible hacer con madurez política y los conocimientos y tecnologías que ofrece el siglo XXI. </w:t>
      </w:r>
    </w:p>
    <w:p w14:paraId="18E933C9" w14:textId="77777777" w:rsidR="00FC4E89" w:rsidRPr="00FC4E89" w:rsidRDefault="00FC4E89" w:rsidP="00FC4E89">
      <w:pPr>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 xml:space="preserve">Los hidrocarburos de yacimientos convencionales y los de yacimientos no convencionales explotados con tecnologías convencionales (como se ha venido haciendo tradicionalmente en Colombia), deben apalancar el mayor uso de las energías renovables o complementarias, manteniendo el equilibrio económico; los hidrocarburos provenientes de yacimientos no convencionales tipo roca generadora explotados mediante la tecnología del fracturamiento hidráulico multietapa a través de pozos horizontales o multilaterales, desde plataformas multipozo, deben dejarse bajo el subsuelo por muchas razones, entre ellas su bajísima tasa de retorno energético, sus altas contribuciones en emisiones de gases efecto de invernadero como el metano y el CO2, y porque su escala de explotación –y la contaminación que generan– son de tal magnitud que puede poner en riesgo la capacidad de adaptación de territorios que ya son vulnerables a eventos climáticos. </w:t>
      </w:r>
    </w:p>
    <w:p w14:paraId="45747572" w14:textId="77777777" w:rsidR="00FC4E89" w:rsidRPr="00FC4E89" w:rsidRDefault="00FC4E89" w:rsidP="00FC4E89">
      <w:pPr>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 xml:space="preserve">Igualmente hay que tener en cuenta que las rocas generadoras son yacimientos de gran extensión (regionales), comparados con los yacimientos convencionales. En particular, la Formación La Luna (YNC de RG), en la cuenca sedimentaria del Magdalena Medio, se extiende </w:t>
      </w:r>
      <w:proofErr w:type="spellStart"/>
      <w:r w:rsidRPr="00FC4E89">
        <w:rPr>
          <w:rFonts w:ascii="Times New Roman" w:eastAsia="Calibri" w:hAnsi="Times New Roman" w:cs="Times New Roman"/>
          <w:sz w:val="24"/>
          <w:szCs w:val="24"/>
          <w:lang w:val="es-MX"/>
        </w:rPr>
        <w:t>arealmente</w:t>
      </w:r>
      <w:proofErr w:type="spellEnd"/>
      <w:r w:rsidRPr="00FC4E89">
        <w:rPr>
          <w:rFonts w:ascii="Times New Roman" w:eastAsia="Calibri" w:hAnsi="Times New Roman" w:cs="Times New Roman"/>
          <w:sz w:val="24"/>
          <w:szCs w:val="24"/>
          <w:lang w:val="es-MX"/>
        </w:rPr>
        <w:t xml:space="preserve"> por 8200 kilómetros cuadrados, de norte a sur desde el municipio de </w:t>
      </w:r>
      <w:r w:rsidRPr="00FC4E89">
        <w:rPr>
          <w:rFonts w:ascii="Times New Roman" w:eastAsia="Calibri" w:hAnsi="Times New Roman" w:cs="Times New Roman"/>
          <w:sz w:val="24"/>
          <w:szCs w:val="24"/>
          <w:lang w:val="es-MX"/>
        </w:rPr>
        <w:lastRenderedPageBreak/>
        <w:t xml:space="preserve">Aguachica hasta el sur del municipio de Cimitarra, y de oriente a occidente desde el piedemonte occidental de la cordillera oriental, hasta el piedemonte oriental de la cordillera occidental; mientras que el yacimiento convencional más grande, descubierto en la misma cuenta, es el correspondiente al campo La </w:t>
      </w:r>
      <w:proofErr w:type="spellStart"/>
      <w:r w:rsidRPr="00FC4E89">
        <w:rPr>
          <w:rFonts w:ascii="Times New Roman" w:eastAsia="Calibri" w:hAnsi="Times New Roman" w:cs="Times New Roman"/>
          <w:sz w:val="24"/>
          <w:szCs w:val="24"/>
          <w:lang w:val="es-MX"/>
        </w:rPr>
        <w:t>Cira</w:t>
      </w:r>
      <w:proofErr w:type="spellEnd"/>
      <w:r w:rsidRPr="00FC4E89">
        <w:rPr>
          <w:rFonts w:ascii="Times New Roman" w:eastAsia="Calibri" w:hAnsi="Times New Roman" w:cs="Times New Roman"/>
          <w:sz w:val="24"/>
          <w:szCs w:val="24"/>
          <w:lang w:val="es-MX"/>
        </w:rPr>
        <w:t xml:space="preserve"> Infantas, el cual tiene solo 62 kilómetros cuadrados. En consecuencia, por tratarse de una industria tan invasiva como lo es la petrolera, la aplicación de esta técnica no convencional en este tipo de YNC, implica una ocupación territorial regional, con unas consecuencias ambientales, sociales y de salubridad de enormes proporciones; de difícil remediación y restauración, con un posible desplazamiento masivo de las comunidades de la región; cambios en sus procesos productivos; y resquebrajamiento de la seguridad alimentaria.</w:t>
      </w:r>
    </w:p>
    <w:p w14:paraId="1FCA5E93" w14:textId="77777777" w:rsidR="00FC4E89" w:rsidRPr="00FC4E89" w:rsidRDefault="00FC4E89" w:rsidP="00FC4E89">
      <w:pPr>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Los impactos locales del área de influencia directa de cada locación o plataforma multipozo, será mucho mayor a la generada por la industria petrolera tradicional, pues la cantidad de pozos implica también mayor probabilidad de ocurrencia de fallas y de riesgo de incidentes ambientales. Esto es particularmente grave, si se tiene en cuenta que el fluido para realizar el fracturamiento hidráulico multietapa a través de pozos horizontales en roca generadora, utiliza químicos en concentraciones tóxicas, difíciles y muy costosos de tratar o remediar para devolverle al agua su potabilidad, generando impactos no solo en el sitio de captación, sino también en los puntos de vertimiento, incluso con partículas de material radioactivo natural (NORM por su sigla en inglés) y material natural radioactivo técnicamente mejorado al oxidarse en superficie (TENORM por su sigla en inglés), que son absorbidos de la roca generadora por el fluido fracturante en el momento de fracturarla. Igualmente, los ripios o residuos de la perforación que quedan expuestos en piscinas o Zonas de Disposición de Materiales Extraídos (</w:t>
      </w:r>
      <w:proofErr w:type="spellStart"/>
      <w:r w:rsidRPr="00FC4E89">
        <w:rPr>
          <w:rFonts w:ascii="Times New Roman" w:eastAsia="Calibri" w:hAnsi="Times New Roman" w:cs="Times New Roman"/>
          <w:sz w:val="24"/>
          <w:szCs w:val="24"/>
          <w:lang w:val="es-MX"/>
        </w:rPr>
        <w:t>ZODMEs</w:t>
      </w:r>
      <w:proofErr w:type="spellEnd"/>
      <w:r w:rsidRPr="00FC4E89">
        <w:rPr>
          <w:rFonts w:ascii="Times New Roman" w:eastAsia="Calibri" w:hAnsi="Times New Roman" w:cs="Times New Roman"/>
          <w:sz w:val="24"/>
          <w:szCs w:val="24"/>
          <w:lang w:val="es-MX"/>
        </w:rPr>
        <w:t xml:space="preserve">), están altamente contaminados con lodos de perforación, elementos radiactivos y minerales pesados. </w:t>
      </w:r>
    </w:p>
    <w:p w14:paraId="319ADDCF" w14:textId="77777777" w:rsidR="00FC4E89" w:rsidRPr="00FC4E89" w:rsidRDefault="00FC4E89" w:rsidP="00FC4E89">
      <w:pPr>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 xml:space="preserve">Adicionalmente, el fracturamiento hidráulico multietapa de rocas generadoras a través de pozos horizontales o multilaterales, desde plataformas multipozo, donde se ha implementado (USA, Canadá, México, Inglaterra, China, Australia y Argentina), ha generado nidos de micro sismicidad, producidos por la reinyección de los fluidos </w:t>
      </w:r>
      <w:proofErr w:type="spellStart"/>
      <w:r w:rsidRPr="00FC4E89">
        <w:rPr>
          <w:rFonts w:ascii="Times New Roman" w:eastAsia="Calibri" w:hAnsi="Times New Roman" w:cs="Times New Roman"/>
          <w:sz w:val="24"/>
          <w:szCs w:val="24"/>
          <w:lang w:val="es-MX"/>
        </w:rPr>
        <w:t>fracturantes</w:t>
      </w:r>
      <w:proofErr w:type="spellEnd"/>
      <w:r w:rsidRPr="00FC4E89">
        <w:rPr>
          <w:rFonts w:ascii="Times New Roman" w:eastAsia="Calibri" w:hAnsi="Times New Roman" w:cs="Times New Roman"/>
          <w:sz w:val="24"/>
          <w:szCs w:val="24"/>
          <w:lang w:val="es-MX"/>
        </w:rPr>
        <w:t xml:space="preserve"> al subsuelo a presiones por encima de la presión de fractura de la roca (otro fracturamiento hidráulico), o por la acumulación de fluidos (petróleo, gas y/o fluido fracturante), que migran desde la roca generadora fracturada a través de la interconexión de las fracturas inducidas con las fallas naturales inferidas y de cizalla que se encuentran en la zona. La micro sismicidad se genera </w:t>
      </w:r>
      <w:r w:rsidRPr="00FC4E89">
        <w:rPr>
          <w:rFonts w:ascii="Times New Roman" w:eastAsia="Calibri" w:hAnsi="Times New Roman" w:cs="Times New Roman"/>
          <w:sz w:val="24"/>
          <w:szCs w:val="24"/>
          <w:lang w:val="es-MX"/>
        </w:rPr>
        <w:lastRenderedPageBreak/>
        <w:t xml:space="preserve">con el rompimiento de los sellos de las fallas naturales inferidas de cizalla, cuando la presión hidrostática acumulada supera la presión </w:t>
      </w:r>
      <w:proofErr w:type="spellStart"/>
      <w:r w:rsidRPr="00FC4E89">
        <w:rPr>
          <w:rFonts w:ascii="Times New Roman" w:eastAsia="Calibri" w:hAnsi="Times New Roman" w:cs="Times New Roman"/>
          <w:sz w:val="24"/>
          <w:szCs w:val="24"/>
          <w:lang w:val="es-MX"/>
        </w:rPr>
        <w:t>litostática</w:t>
      </w:r>
      <w:proofErr w:type="spellEnd"/>
      <w:r w:rsidRPr="00FC4E89">
        <w:rPr>
          <w:rFonts w:ascii="Times New Roman" w:eastAsia="Calibri" w:hAnsi="Times New Roman" w:cs="Times New Roman"/>
          <w:sz w:val="24"/>
          <w:szCs w:val="24"/>
          <w:lang w:val="es-MX"/>
        </w:rPr>
        <w:t xml:space="preserve">. Esta micro sismicidad afectará la infraestructura pública y privada de la zona y poblaciones aledañas, al igual que activaría las diaclasas por donde corre el agua de escorrentía de quebradas y nacederos, profundizándolas, afectando la demanda de este precioso y vital líquido en la región donde se aplique el fracturamiento hidráulico multietapa a través de pozos horizontales en roca generadora. En Colombia, y particularmente en el Valle Medio del Magdalena, donde ya existe un nido sísmico natural (el segundo más activo del planeta), generar otro nido sísmico inducido, sería terriblemente catastrófico, debido a la resonancia que se puede presentar por la superposición de los dos nidos sísmicos (los </w:t>
      </w:r>
      <w:proofErr w:type="gramStart"/>
      <w:r w:rsidRPr="00FC4E89">
        <w:rPr>
          <w:rFonts w:ascii="Times New Roman" w:eastAsia="Calibri" w:hAnsi="Times New Roman" w:cs="Times New Roman"/>
          <w:sz w:val="24"/>
          <w:szCs w:val="24"/>
          <w:lang w:val="es-MX"/>
        </w:rPr>
        <w:t>micro sismos</w:t>
      </w:r>
      <w:proofErr w:type="gramEnd"/>
      <w:r w:rsidRPr="00FC4E89">
        <w:rPr>
          <w:rFonts w:ascii="Times New Roman" w:eastAsia="Calibri" w:hAnsi="Times New Roman" w:cs="Times New Roman"/>
          <w:sz w:val="24"/>
          <w:szCs w:val="24"/>
          <w:lang w:val="es-MX"/>
        </w:rPr>
        <w:t xml:space="preserve"> se suman, generando sismos de gran magnitud).</w:t>
      </w:r>
    </w:p>
    <w:p w14:paraId="1D3C0EB7" w14:textId="77777777" w:rsidR="00FC4E89" w:rsidRPr="00FC4E89" w:rsidRDefault="00FC4E89" w:rsidP="00FC4E89">
      <w:pPr>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 xml:space="preserve">En la tercera parte, se demuestra que no es preciso señalar que la seguridad energética y la autosuficiencia petrolera dependa de la explotación de los yacimientos no convencionales tipo roca generadora con fracturamiento hidráulico multietapa a través de pozos horizontales o multilaterales. Se explica el por qué no es buen negocio para el país por la baja participación en la renta petrolera, debido al actual modelo contractual concesionario, en comparación al modelo de contractual de asociación con el cual se dio el descubrimiento y la explotación de los yacimientos convencionales y de los no convencionales explotados convencionalmente. En el caso la exploración y explotación de las Rocas Generadoras mediante técnicas no convencionales, en forma directa o asociada, por parte de la empresa petrolera estatal Ecopetrol S.A, tampoco es un buen negocio, y se asume un riesgo muy alto; pues este tipo de YNC tienen baja o nula permeabilidad, su tasa de declinación es tan alta (dejan de ser productivos a los pocos años), lo cual requiere grandes inversiones por ser necesaria la perforación de múltiples pozos horizontales desde una misma plataforma, y luego fracturarlos en múltiples etapas o secciones, lo que implica el uso masivo de insumos o enormes cantidades de recursos, como agua para preparar el fluido de fracturamiento, químicos en concentraciones tóxicas para darle las propiedades reológicas a dicho fluido, y grandes volúmenes de arena como material propante o de empaquetamiento para sostener abiertas las fracturas inducidas. Operación que se repite cada 2, 3 o 4 años debido a la declinación exponencial de la producción, hasta lograr fracturar la roca generadora los 360° alrededor de la plataforma multipozo. La explotación de este tipo de yacimiento mediante esta </w:t>
      </w:r>
      <w:proofErr w:type="gramStart"/>
      <w:r w:rsidRPr="00FC4E89">
        <w:rPr>
          <w:rFonts w:ascii="Times New Roman" w:eastAsia="Calibri" w:hAnsi="Times New Roman" w:cs="Times New Roman"/>
          <w:sz w:val="24"/>
          <w:szCs w:val="24"/>
          <w:lang w:val="es-MX"/>
        </w:rPr>
        <w:t>técnica,</w:t>
      </w:r>
      <w:proofErr w:type="gramEnd"/>
      <w:r w:rsidRPr="00FC4E89">
        <w:rPr>
          <w:rFonts w:ascii="Times New Roman" w:eastAsia="Calibri" w:hAnsi="Times New Roman" w:cs="Times New Roman"/>
          <w:sz w:val="24"/>
          <w:szCs w:val="24"/>
          <w:lang w:val="es-MX"/>
        </w:rPr>
        <w:t xml:space="preserve"> ha dejado en quiebra económica muchas empresas petroleras en Estados Unidos, Canadá y Australia. </w:t>
      </w:r>
    </w:p>
    <w:p w14:paraId="240D4505" w14:textId="77777777" w:rsidR="00FC4E89" w:rsidRPr="00FC4E89" w:rsidRDefault="00FC4E89" w:rsidP="00FC4E89">
      <w:pPr>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lastRenderedPageBreak/>
        <w:t xml:space="preserve">Pero sobre todo debe tenerse en cuenta que en el actual modelo de contrato para la Exploración y Explotación de hidrocarburos firmados por la Agencia Nacional de Hidrocarburos (ANH), la participación en la producción para el país a través de </w:t>
      </w:r>
      <w:proofErr w:type="gramStart"/>
      <w:r w:rsidRPr="00FC4E89">
        <w:rPr>
          <w:rFonts w:ascii="Times New Roman" w:eastAsia="Calibri" w:hAnsi="Times New Roman" w:cs="Times New Roman"/>
          <w:sz w:val="24"/>
          <w:szCs w:val="24"/>
          <w:lang w:val="es-MX"/>
        </w:rPr>
        <w:t>la misma</w:t>
      </w:r>
      <w:proofErr w:type="gramEnd"/>
      <w:r w:rsidRPr="00FC4E89">
        <w:rPr>
          <w:rFonts w:ascii="Times New Roman" w:eastAsia="Calibri" w:hAnsi="Times New Roman" w:cs="Times New Roman"/>
          <w:sz w:val="24"/>
          <w:szCs w:val="24"/>
          <w:lang w:val="es-MX"/>
        </w:rPr>
        <w:t xml:space="preserve"> ANH, es irrisoria, pues en promedio se recibirá el 3.7% de la producción total. En el caso de los 9 contratos ya firmados para la exploración y explotación de YNC tipo RG con la técnica del FH multietapa a través de PH, existen dos contratos con cero por ciento de participación, cinco con el 1%, uno con el 2% y otro con el 3%. Por otro lado, la participación por precios altos (otro derecho económico para el país), se dará cuando la producción acumulada por “campo” (no por contrato), supere 5 millones de barriles, y el precio supere los 80 dólares el barril; lo cual, con el “</w:t>
      </w:r>
      <w:proofErr w:type="spellStart"/>
      <w:r w:rsidRPr="00FC4E89">
        <w:rPr>
          <w:rFonts w:ascii="Times New Roman" w:eastAsia="Calibri" w:hAnsi="Times New Roman" w:cs="Times New Roman"/>
          <w:sz w:val="24"/>
          <w:szCs w:val="24"/>
          <w:lang w:val="es-MX"/>
        </w:rPr>
        <w:t>fracking</w:t>
      </w:r>
      <w:proofErr w:type="spellEnd"/>
      <w:r w:rsidRPr="00FC4E89">
        <w:rPr>
          <w:rFonts w:ascii="Times New Roman" w:eastAsia="Calibri" w:hAnsi="Times New Roman" w:cs="Times New Roman"/>
          <w:sz w:val="24"/>
          <w:szCs w:val="24"/>
          <w:lang w:val="es-MX"/>
        </w:rPr>
        <w:t xml:space="preserve">” no se logrará, porque cada plataforma multipozo será considerada un “campo” independiente, donde nunca se llegará a una producción acumulada de 5 millones de barriles, debido al bajo factor de recobro de este tipo de yacimientos, los cuales se agotan rápidamente por su baja o nula permeabilidad. Igualmente, según las cláusulas del contrato, el contratista inversionista tiene libre disponibilidad del hidrocarburo que produzca, no estando obligado a venderlo para la refinación interna; y si lo vende, se le debe pagar a precio internacional como si lo importáramos. Otro derecho económico son las regalías, las cuales, para los contratos nuevos, se liquidan con base en la Ley 756 de 2002, donde se establece una tarifa o tasa porcentual escalonada según la producción por “campo” (no con base en la producción total del contrato). Además, existen descuentos en la tasa dependiendo de la calidad del crudo y el lugar geográfico donde se encuentre el “campo”. Lo anterior ha llevado, según estadísticas oficiales de la ANH, al recaudo de regalías del 7% en promedio para campos descubiertos bajo los contratos firmados por la ANH. De la misma manera, </w:t>
      </w:r>
      <w:proofErr w:type="gramStart"/>
      <w:r w:rsidRPr="00FC4E89">
        <w:rPr>
          <w:rFonts w:ascii="Times New Roman" w:eastAsia="Calibri" w:hAnsi="Times New Roman" w:cs="Times New Roman"/>
          <w:sz w:val="24"/>
          <w:szCs w:val="24"/>
          <w:lang w:val="es-MX"/>
        </w:rPr>
        <w:t>de acuerdo al</w:t>
      </w:r>
      <w:proofErr w:type="gramEnd"/>
      <w:r w:rsidRPr="00FC4E89">
        <w:rPr>
          <w:rFonts w:ascii="Times New Roman" w:eastAsia="Calibri" w:hAnsi="Times New Roman" w:cs="Times New Roman"/>
          <w:sz w:val="24"/>
          <w:szCs w:val="24"/>
          <w:lang w:val="es-MX"/>
        </w:rPr>
        <w:t xml:space="preserve"> contrato y a las Leyes 1530 de 2012 y 2056 de 2020, la ANH hace el recaudo de las regalías en dinero, con los descuentos correspondientes por transporte, almacenamiento, trasiego y comercialización. O sea, no recauda las regalías en especie, porque la ANH no es una empresa operadora, no tiene líneas de flujo (oleoductos y gasoductos), no tiene infraestructura de almacenamiento, y no refina. Por último, hay que tener en cuenta que la ANH o el país no recibirá o heredará este tipo de campos de hidrocarburos provenientes de YNC tipo RG, porque este tipo de yacimientos se agotan rápidamente. Su vida útil no supera los 20 años, y el contrato es por 24 años, con posibles prórrogas, sin el contratista los solicita. Hoy el país tiene autosuficiencia petrolera, gracias a la producción de los campos maduros que Ecopetrol S.A opera y que recibió después de la </w:t>
      </w:r>
      <w:r w:rsidRPr="00FC4E89">
        <w:rPr>
          <w:rFonts w:ascii="Times New Roman" w:eastAsia="Calibri" w:hAnsi="Times New Roman" w:cs="Times New Roman"/>
          <w:sz w:val="24"/>
          <w:szCs w:val="24"/>
          <w:lang w:val="es-MX"/>
        </w:rPr>
        <w:lastRenderedPageBreak/>
        <w:t>terminación de los contratos de asociación y las antiguas concesiones. Con el “</w:t>
      </w:r>
      <w:proofErr w:type="spellStart"/>
      <w:r w:rsidRPr="00FC4E89">
        <w:rPr>
          <w:rFonts w:ascii="Times New Roman" w:eastAsia="Calibri" w:hAnsi="Times New Roman" w:cs="Times New Roman"/>
          <w:sz w:val="24"/>
          <w:szCs w:val="24"/>
          <w:lang w:val="es-MX"/>
        </w:rPr>
        <w:t>fracking</w:t>
      </w:r>
      <w:proofErr w:type="spellEnd"/>
      <w:r w:rsidRPr="00FC4E89">
        <w:rPr>
          <w:rFonts w:ascii="Times New Roman" w:eastAsia="Calibri" w:hAnsi="Times New Roman" w:cs="Times New Roman"/>
          <w:sz w:val="24"/>
          <w:szCs w:val="24"/>
          <w:lang w:val="es-MX"/>
        </w:rPr>
        <w:t>” eso no ocurrirá.</w:t>
      </w:r>
    </w:p>
    <w:p w14:paraId="2C1D8FAF" w14:textId="77777777" w:rsidR="00FC4E89" w:rsidRPr="00FC4E89" w:rsidRDefault="00FC4E89" w:rsidP="00FC4E89">
      <w:pPr>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Tampoco es cierto que al país le queden reservas de petróleo para 7 años y de gas para 8, pues el gobierno se refiere es a las reservas PROBADAS, que son como la “caja menor” de cualquier empresa. Según el documento del Sistema de Administración de Recursos Petroleros (“</w:t>
      </w:r>
      <w:proofErr w:type="spellStart"/>
      <w:r w:rsidRPr="00FC4E89">
        <w:rPr>
          <w:rFonts w:ascii="Times New Roman" w:eastAsia="Calibri" w:hAnsi="Times New Roman" w:cs="Times New Roman"/>
          <w:sz w:val="24"/>
          <w:szCs w:val="24"/>
          <w:lang w:val="es-MX"/>
        </w:rPr>
        <w:t>Petroleum</w:t>
      </w:r>
      <w:proofErr w:type="spellEnd"/>
      <w:r w:rsidRPr="00FC4E89">
        <w:rPr>
          <w:rFonts w:ascii="Times New Roman" w:eastAsia="Calibri" w:hAnsi="Times New Roman" w:cs="Times New Roman"/>
          <w:sz w:val="24"/>
          <w:szCs w:val="24"/>
          <w:lang w:val="es-MX"/>
        </w:rPr>
        <w:t xml:space="preserve"> </w:t>
      </w:r>
      <w:proofErr w:type="spellStart"/>
      <w:r w:rsidRPr="00FC4E89">
        <w:rPr>
          <w:rFonts w:ascii="Times New Roman" w:eastAsia="Calibri" w:hAnsi="Times New Roman" w:cs="Times New Roman"/>
          <w:sz w:val="24"/>
          <w:szCs w:val="24"/>
          <w:lang w:val="es-MX"/>
        </w:rPr>
        <w:t>Resources</w:t>
      </w:r>
      <w:proofErr w:type="spellEnd"/>
      <w:r w:rsidRPr="00FC4E89">
        <w:rPr>
          <w:rFonts w:ascii="Times New Roman" w:eastAsia="Calibri" w:hAnsi="Times New Roman" w:cs="Times New Roman"/>
          <w:sz w:val="24"/>
          <w:szCs w:val="24"/>
          <w:lang w:val="es-MX"/>
        </w:rPr>
        <w:t xml:space="preserve"> Management </w:t>
      </w:r>
      <w:proofErr w:type="spellStart"/>
      <w:r w:rsidRPr="00FC4E89">
        <w:rPr>
          <w:rFonts w:ascii="Times New Roman" w:eastAsia="Calibri" w:hAnsi="Times New Roman" w:cs="Times New Roman"/>
          <w:sz w:val="24"/>
          <w:szCs w:val="24"/>
          <w:lang w:val="es-MX"/>
        </w:rPr>
        <w:t>System</w:t>
      </w:r>
      <w:proofErr w:type="spellEnd"/>
      <w:r w:rsidRPr="00FC4E89">
        <w:rPr>
          <w:rFonts w:ascii="Times New Roman" w:eastAsia="Calibri" w:hAnsi="Times New Roman" w:cs="Times New Roman"/>
          <w:sz w:val="24"/>
          <w:szCs w:val="24"/>
          <w:lang w:val="es-MX"/>
        </w:rPr>
        <w:t xml:space="preserve"> - PRMS”), adoptado por parte del equipo técnico de la Gerencia de Reservas y Operaciones (GRO), de la ANH, como método de evaluación de los Recursos y Reservas de hidrocarburos existentes en el país, </w:t>
      </w:r>
      <w:proofErr w:type="gramStart"/>
      <w:r w:rsidRPr="00FC4E89">
        <w:rPr>
          <w:rFonts w:ascii="Times New Roman" w:eastAsia="Calibri" w:hAnsi="Times New Roman" w:cs="Times New Roman"/>
          <w:sz w:val="24"/>
          <w:szCs w:val="24"/>
          <w:lang w:val="es-MX"/>
        </w:rPr>
        <w:t>de acuerdo a</w:t>
      </w:r>
      <w:proofErr w:type="gramEnd"/>
      <w:r w:rsidRPr="00FC4E89">
        <w:rPr>
          <w:rFonts w:ascii="Times New Roman" w:eastAsia="Calibri" w:hAnsi="Times New Roman" w:cs="Times New Roman"/>
          <w:sz w:val="24"/>
          <w:szCs w:val="24"/>
          <w:lang w:val="es-MX"/>
        </w:rPr>
        <w:t xml:space="preserve"> la Resolución No. 77 de 22 de febrero de 2019… “Por medio del cual se actualiza la metodología de valoración de recursos y reservas de hidrocarburos del país, en desarrollo del Acuerdo No. 11 de 2008 y del Acuerdo No. 003 de 2018, expedidos por la Agencia Nacional de Hidrocarburos”, la definición de reservas PROBADAS es: “una categoría incremental de cantidades recuperables estimadas asociadas con un grado definido de incertidumbre. Las Reservas probadas son aquellas cantidades de petróleo, que mediante el análisis de datos de geociencias y de ingeniería, pueden ser estimadas con certeza razonable, para ser comercialmente recuperadas a partir de una fecha dada en adelante de yacimientos conocidos y bajo condiciones económicas definidas, métodos de operación y regulaciones gubernamentales. Si se usan métodos determinísticos, el término “certeza razonable” pretende expresar un alto grado de confianza de que las cantidades serán recuperadas. Si se usan métodos probabilísticos, debería haber por lo menos un 90% de probabilidad de que las cantidades realmente recuperadas igualen o excedan las estimaciones”.  Lo anterior significa que las reservas probadas son aquellas desarrolladas a través de la perforación de los pozos, con las correspondientes líneas de flujo, estaciones de recolección, plantas de tratamiento y oleoductos o gasoductos para la entrega al cliente con un nivel de confianza superior al 90%; y cuando se refieren a reservas probadas de gas, son aquellas que ya se comercializaron, o se vendieron. Lo anterior significa que las reservas probadas de gas que reporta el </w:t>
      </w:r>
      <w:proofErr w:type="gramStart"/>
      <w:r w:rsidRPr="00FC4E89">
        <w:rPr>
          <w:rFonts w:ascii="Times New Roman" w:eastAsia="Calibri" w:hAnsi="Times New Roman" w:cs="Times New Roman"/>
          <w:sz w:val="24"/>
          <w:szCs w:val="24"/>
          <w:lang w:val="es-MX"/>
        </w:rPr>
        <w:t>gobierno,</w:t>
      </w:r>
      <w:proofErr w:type="gramEnd"/>
      <w:r w:rsidRPr="00FC4E89">
        <w:rPr>
          <w:rFonts w:ascii="Times New Roman" w:eastAsia="Calibri" w:hAnsi="Times New Roman" w:cs="Times New Roman"/>
          <w:sz w:val="24"/>
          <w:szCs w:val="24"/>
          <w:lang w:val="es-MX"/>
        </w:rPr>
        <w:t xml:space="preserve"> son las que ya se vendieron en las subastas hechas por Ecopetrol S.A, y que se producirán hasta el 2028.</w:t>
      </w:r>
    </w:p>
    <w:p w14:paraId="051DEF44" w14:textId="77777777" w:rsidR="00FC4E89" w:rsidRPr="00FC4E89" w:rsidRDefault="00FC4E89" w:rsidP="00FC4E89">
      <w:pPr>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 xml:space="preserve">De acuerdo a las propias estadísticas de la ANH, las reservas probadas de petróleo, en los últimos 20 años se han mantenido entre 1500 y 2000 millones de barriles, pues a medida que se extraen, se INCORPORAN más barriles como reservas probadas desarrollando reservas de petróleo original en sitio ya descubiertas (POES); y las de gas se han mantenido entre 3.5 </w:t>
      </w:r>
      <w:r w:rsidRPr="00FC4E89">
        <w:rPr>
          <w:rFonts w:ascii="Times New Roman" w:eastAsia="Calibri" w:hAnsi="Times New Roman" w:cs="Times New Roman"/>
          <w:sz w:val="24"/>
          <w:szCs w:val="24"/>
          <w:lang w:val="es-MX"/>
        </w:rPr>
        <w:lastRenderedPageBreak/>
        <w:t>y 5.4 Tera pies cúbicos, sin nuevos descubrimientos, pues es mucho mayor el gas producido fiscalizado que el comercializado. Así las cosas, actualmente se producen 1945 millones de pies cúbicos de gas por día, fiscalizados o medidos; y se comercializan 1100 millones de pies cúbicos. La diferencia (845 millones de pies cúbicos), son reinyectados a los yacimientos de donde provienen.</w:t>
      </w:r>
    </w:p>
    <w:p w14:paraId="6870AA24" w14:textId="77777777" w:rsidR="00FC4E89" w:rsidRPr="00FC4E89" w:rsidRDefault="00FC4E89" w:rsidP="00FC4E89">
      <w:pPr>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 xml:space="preserve">Según la ANH, en respuesta del pasado 18 de enero, dada al cuestionario enviado por la Comisión V de la Cámara de Representantes, durante toda la historia petrolera de Colombia, se han descubierto 65500 millones de barriles de petróleo (POES), y 27 Tera pies cúbicos de gas (GOES); de los cuales se han extraído 10500 millones de barriles de petróleo, para un factor de recobro del 16%; y 10.5 Tera pies cúbicos de gas, para un factor de recobro del 39%. </w:t>
      </w:r>
      <w:proofErr w:type="gramStart"/>
      <w:r w:rsidRPr="00FC4E89">
        <w:rPr>
          <w:rFonts w:ascii="Times New Roman" w:eastAsia="Calibri" w:hAnsi="Times New Roman" w:cs="Times New Roman"/>
          <w:sz w:val="24"/>
          <w:szCs w:val="24"/>
          <w:lang w:val="es-MX"/>
        </w:rPr>
        <w:t>De acuerdo a</w:t>
      </w:r>
      <w:proofErr w:type="gramEnd"/>
      <w:r w:rsidRPr="00FC4E89">
        <w:rPr>
          <w:rFonts w:ascii="Times New Roman" w:eastAsia="Calibri" w:hAnsi="Times New Roman" w:cs="Times New Roman"/>
          <w:sz w:val="24"/>
          <w:szCs w:val="24"/>
          <w:lang w:val="es-MX"/>
        </w:rPr>
        <w:t xml:space="preserve"> lo anterior, si se continua con el mismo proceso de desarrollo de las reservas de petróleo ya descubiertas (convencionales), hasta lograr el 40% de factor de recobro promedio mundial, el país tiene un potencial de reservas por desarrollar, para 43 años, produciendo a una tasa de un millón de barriles por día. Así mismo, en cuanto al gas, si mantenemos el mismo ritmo de producción de 1100 millones de pies cúbicos por día, tendremos gas para 20 años, hasta llegar al factor de recobro del 70%, que es la vida útil promedio de un yacimiento de gas. Conclusión: mientras que </w:t>
      </w:r>
      <w:proofErr w:type="gramStart"/>
      <w:r w:rsidRPr="00FC4E89">
        <w:rPr>
          <w:rFonts w:ascii="Times New Roman" w:eastAsia="Calibri" w:hAnsi="Times New Roman" w:cs="Times New Roman"/>
          <w:sz w:val="24"/>
          <w:szCs w:val="24"/>
          <w:lang w:val="es-MX"/>
        </w:rPr>
        <w:t>EE:UU</w:t>
      </w:r>
      <w:proofErr w:type="gramEnd"/>
      <w:r w:rsidRPr="00FC4E89">
        <w:rPr>
          <w:rFonts w:ascii="Times New Roman" w:eastAsia="Calibri" w:hAnsi="Times New Roman" w:cs="Times New Roman"/>
          <w:sz w:val="24"/>
          <w:szCs w:val="24"/>
          <w:lang w:val="es-MX"/>
        </w:rPr>
        <w:t xml:space="preserve"> tuvo que implementar el “</w:t>
      </w:r>
      <w:proofErr w:type="spellStart"/>
      <w:r w:rsidRPr="00FC4E89">
        <w:rPr>
          <w:rFonts w:ascii="Times New Roman" w:eastAsia="Calibri" w:hAnsi="Times New Roman" w:cs="Times New Roman"/>
          <w:sz w:val="24"/>
          <w:szCs w:val="24"/>
          <w:lang w:val="es-MX"/>
        </w:rPr>
        <w:t>fracking</w:t>
      </w:r>
      <w:proofErr w:type="spellEnd"/>
      <w:r w:rsidRPr="00FC4E89">
        <w:rPr>
          <w:rFonts w:ascii="Times New Roman" w:eastAsia="Calibri" w:hAnsi="Times New Roman" w:cs="Times New Roman"/>
          <w:sz w:val="24"/>
          <w:szCs w:val="24"/>
          <w:lang w:val="es-MX"/>
        </w:rPr>
        <w:t>”, porque su factor de recobro para petróleo convencional llegó al 60% en el año 2000… Colombia no lo requiere.</w:t>
      </w:r>
    </w:p>
    <w:p w14:paraId="453C07E3" w14:textId="77777777" w:rsidR="00FC4E89" w:rsidRPr="00FC4E89" w:rsidRDefault="00FC4E89" w:rsidP="00FC4E89">
      <w:pPr>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 xml:space="preserve">El sector de hidrocarburos tiene una gran importancia para la economía nacional, pero su aporte al PIB es muchísimo menor que el de sectores como manufacturas, comercio y agricultura, aunque tiene la capacidad de afectarlos por medio de sus efectos cambiarios que hacen más barato importar bienes y servicios. Por lo tanto, el de hidrocarburos es un sector que depende de los inestables precios del mercado internacional y no ayuda a la recuperación de la economía, como tampoco a la industrialización ni a la diversificación de la canasta familiar. Actualmente, existen 229 beneficios tributarios que las benefician y otras prerrogativas. El sector apenas aportó el 10,83% del recaudo total por impuestos de renta, pero el 82% provino de Ecopetrol. Las regalías, por su parte, se descuentan del impuesto de renta, lo que reduce aún más la suma que se paga al fisco nacional. Este sector es además muy poco intensivo en empleo porque la mayor parte del empleo es indirecto, y la generación de valor por la exportación es muy baja. Este aparte termina destacando que los países petroleros tienen en promedio un Índice de Pobreza Multidimensional 2.26 veces mayor que </w:t>
      </w:r>
      <w:r w:rsidRPr="00FC4E89">
        <w:rPr>
          <w:rFonts w:ascii="Times New Roman" w:eastAsia="Calibri" w:hAnsi="Times New Roman" w:cs="Times New Roman"/>
          <w:sz w:val="24"/>
          <w:szCs w:val="24"/>
          <w:lang w:val="es-MX"/>
        </w:rPr>
        <w:lastRenderedPageBreak/>
        <w:t>el promedio nacional y la reprimarización de la economía y el aumento de la dependencia de los hidrocarburos solo permitirá la prosperidad de un sector muy minoritario de la sociedad, a costa de las condiciones de vida de las actuales y futuras generaciones.</w:t>
      </w:r>
    </w:p>
    <w:p w14:paraId="2B075D04" w14:textId="77777777" w:rsidR="00FC4E89" w:rsidRPr="00FC4E89" w:rsidRDefault="00FC4E89" w:rsidP="00FC4E89">
      <w:pPr>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En la cuarta parte de esta exposición de motivos se describe el marco jurídico o el desarrollo normativo para la exploración y explotación de yacimientos no convencionales en Colombia, dentro de los que se encuentran las Rocas Generadoras, mediante el uso combinado de tecnologías no convencionales, como lo es el Fracturamiento Hidráulico Multietapa y la Perforación Horizontal y/o Multilateral, desde Plataformas Multipozo.</w:t>
      </w:r>
    </w:p>
    <w:p w14:paraId="54883C37" w14:textId="77777777" w:rsidR="00FC4E89" w:rsidRPr="00FC4E89" w:rsidRDefault="00FC4E89" w:rsidP="00FC4E89">
      <w:pPr>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Finalmente, se presenta una extensa tabla con los países o regiones que han prohibido o puesto moratorias la explotación de los YNC tipo RG, con FH multietapa a través de PH; y los instrumentos normativos por medio de los cuales lo han hecho, así como pronunciamientos de las Naciones Unidas en la materia. Finalmente, este acápite describe cómo en Colombia existe una moratoria judicial, que sigue vigente, a partir de una decisión del Consejo de Estado que suspende las normas que daban sustento a la explotación en Colombia de los YNC tipo RG, con FH multietapa a través de PH. Este Tribunal permitió la realización de los Proyectos Piloto de Investigación Integral bajo una serie de exigencias; sin embargo, la regulación del gobierno no las cumple.</w:t>
      </w:r>
    </w:p>
    <w:p w14:paraId="097AFB0D" w14:textId="77777777" w:rsidR="00FC4E89" w:rsidRPr="00FC4E89" w:rsidRDefault="00FC4E89" w:rsidP="00FC4E89">
      <w:pPr>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Todos los elementos presentados dejan claro que los tiempos actuales necesitan de políticas públicas ajustadas a los retos climáticos y efectivas para enfrentarlos, capaces de conservar la integridad de los territorios y disminuir su vulnerabilidad, proteger el agua, la salud pública y los suelos; construir paz, diversificar la economía a partir de sectores estables, generadores de empleo y sustentables, y leales a los principios constitucionales que persigue una República democrática, diversa y digna. Es hora de dejar atrás la dependencia de los hidrocarburos y transitar rápidamente a energías renovables como una oportunidad para cerrar brechas socioeconómicas y de participación en Colombia. La prohibición de la explotación de los YNC tipo RG, con FH multietapa a través de PH, es un paso sine qua non en esta dirección.</w:t>
      </w:r>
    </w:p>
    <w:p w14:paraId="4DFDD8DF" w14:textId="5CBACB27" w:rsidR="00FC4E89" w:rsidRDefault="00FC4E89" w:rsidP="00FC4E89">
      <w:pPr>
        <w:jc w:val="both"/>
        <w:rPr>
          <w:rFonts w:ascii="Times New Roman" w:eastAsia="Calibri" w:hAnsi="Times New Roman" w:cs="Times New Roman"/>
          <w:sz w:val="28"/>
          <w:szCs w:val="28"/>
          <w:lang w:val="es-MX"/>
        </w:rPr>
      </w:pPr>
    </w:p>
    <w:p w14:paraId="05107BCD" w14:textId="77777777" w:rsidR="00FC4E89" w:rsidRPr="00FC4E89" w:rsidRDefault="00FC4E89" w:rsidP="00FC4E89">
      <w:pPr>
        <w:jc w:val="both"/>
        <w:rPr>
          <w:rFonts w:ascii="Times New Roman" w:eastAsia="Calibri" w:hAnsi="Times New Roman" w:cs="Times New Roman"/>
          <w:sz w:val="28"/>
          <w:szCs w:val="28"/>
          <w:lang w:val="es-MX"/>
        </w:rPr>
      </w:pPr>
    </w:p>
    <w:p w14:paraId="1E75B0DD" w14:textId="77777777" w:rsidR="00FC4E89" w:rsidRPr="00FC4E89" w:rsidRDefault="00FC4E89" w:rsidP="00FC4E89">
      <w:pPr>
        <w:numPr>
          <w:ilvl w:val="0"/>
          <w:numId w:val="5"/>
        </w:numPr>
        <w:contextualSpacing/>
        <w:jc w:val="both"/>
        <w:rPr>
          <w:rFonts w:ascii="Times New Roman" w:eastAsia="Calibri" w:hAnsi="Times New Roman" w:cs="Times New Roman"/>
          <w:b/>
          <w:sz w:val="24"/>
          <w:szCs w:val="24"/>
          <w:lang w:val="es-MX"/>
        </w:rPr>
      </w:pPr>
      <w:r w:rsidRPr="00FC4E89">
        <w:rPr>
          <w:rFonts w:ascii="Times New Roman" w:eastAsia="Calibri" w:hAnsi="Times New Roman" w:cs="Times New Roman"/>
          <w:b/>
          <w:sz w:val="24"/>
          <w:szCs w:val="24"/>
          <w:lang w:val="es-MX"/>
        </w:rPr>
        <w:lastRenderedPageBreak/>
        <w:t>OBJETO DEL PROYECTO DE LEY.</w:t>
      </w:r>
    </w:p>
    <w:p w14:paraId="240EDD90" w14:textId="77777777" w:rsidR="00FC4E89" w:rsidRPr="00FC4E89" w:rsidRDefault="00FC4E89" w:rsidP="00FC4E89">
      <w:pPr>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 xml:space="preserve">Es deber del Congreso de la República establecer los términos para que el Estado intervenga en la explotación de los recursos naturales dentro de un marco de preservación de un ambiente sano (Art. 334 de la Constitución Política), y determinar las condiciones para la explotación de los recursos naturales no renovables, como lo son los hidrocarburos (Art. 360 de la Constitución Política). </w:t>
      </w:r>
    </w:p>
    <w:p w14:paraId="69569788" w14:textId="77777777" w:rsidR="00FC4E89" w:rsidRPr="00FC4E89" w:rsidRDefault="00FC4E89" w:rsidP="00FC4E89">
      <w:pPr>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La prohibición en el territorio continental y costa fuera de la República de Colombia de la “</w:t>
      </w:r>
      <w:r w:rsidRPr="00FC4E89">
        <w:rPr>
          <w:rFonts w:ascii="Times New Roman" w:eastAsia="Calibri" w:hAnsi="Times New Roman" w:cs="Times New Roman"/>
          <w:b/>
          <w:i/>
          <w:sz w:val="24"/>
          <w:szCs w:val="24"/>
          <w:lang w:val="es-MX"/>
        </w:rPr>
        <w:t>aplicación combinada de las Técnicas No Convencionales de Fracturamiento Hidráulico Multietapa y Perforación Horizontal o Multilateral, desde Plataformas Multipozo, en Yacimientos No Convencionales de Hidrocarburos de Roca Generadora</w:t>
      </w:r>
      <w:r w:rsidRPr="00FC4E89">
        <w:rPr>
          <w:rFonts w:ascii="Times New Roman" w:eastAsia="Calibri" w:hAnsi="Times New Roman" w:cs="Times New Roman"/>
          <w:sz w:val="24"/>
          <w:szCs w:val="24"/>
          <w:lang w:val="es-MX"/>
        </w:rPr>
        <w:t xml:space="preserve">”, es una decisión de enorme importancia para el país entero ante las inminentes amenazas ambientales, económicas, sociales y culturales que conlleva la explotación de hidrocarburos no convencionales provenientes de Rocas Generadoras, mediante la aplicación combinada de técnicas no convencionales que conllevan el uso masivo de agua y arena natural, mezclada con productos químicos en concentraciones tóxicas, que a su vez provoca la extracción de ripios de la roca generadora, producto de su perforación horizontal, los cuales están compuestos por minerales pesados e isotopos radioactivos que quedarán expuestos en Zonas de Disposición de Materiales de Excavación (ZODME), y en piscinas con lodos de perforación ricos en residuos tóxicos, y fluidos de fracturamiento o estimulación contaminados con químicos y materiales radiactivos naturales (NORM). Estos </w:t>
      </w:r>
      <w:proofErr w:type="spellStart"/>
      <w:r w:rsidRPr="00FC4E89">
        <w:rPr>
          <w:rFonts w:ascii="Times New Roman" w:eastAsia="Calibri" w:hAnsi="Times New Roman" w:cs="Times New Roman"/>
          <w:sz w:val="24"/>
          <w:szCs w:val="24"/>
          <w:lang w:val="es-MX"/>
        </w:rPr>
        <w:t>ZODMEs</w:t>
      </w:r>
      <w:proofErr w:type="spellEnd"/>
      <w:r w:rsidRPr="00FC4E89">
        <w:rPr>
          <w:rFonts w:ascii="Times New Roman" w:eastAsia="Calibri" w:hAnsi="Times New Roman" w:cs="Times New Roman"/>
          <w:sz w:val="24"/>
          <w:szCs w:val="24"/>
          <w:lang w:val="es-MX"/>
        </w:rPr>
        <w:t xml:space="preserve"> y piscinas quedarán expuestas a lo largo y ancho de áreas superficiales tan extensas como el Valle Medio del Magdalena. </w:t>
      </w:r>
    </w:p>
    <w:p w14:paraId="3A001B6A" w14:textId="77777777" w:rsidR="00FC4E89" w:rsidRPr="00FC4E89" w:rsidRDefault="00FC4E89" w:rsidP="00FC4E89">
      <w:pPr>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No sobra recordar que es obligación del Estado y las personas proteger las riquezas culturales y naturales de la nación (Art. 8 de la Constitución Política), y prevenir y controlar los factores que generen deterioro ambiental (Art. 80 de la Constitución Política); así como la prohibición de la introducción y exposición superficial, en el territorio nacional, de desechos tóxicos (Art. 81 de la Constitución Política).</w:t>
      </w:r>
    </w:p>
    <w:p w14:paraId="312897A3" w14:textId="77777777" w:rsidR="00FC4E89" w:rsidRPr="00FC4E89" w:rsidRDefault="00FC4E89" w:rsidP="00FC4E89">
      <w:pPr>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 xml:space="preserve">El incumplimiento de estos artículos de la Constitución Política acarrea riesgos contra la salud pública, por lo cual este proyecto de ley busca garantizar el cuidado integral de la salud de las comunidades del área de influencia directa y el saneamiento ambiental (Art. 49 de la Constitución Política), y sobre todo, garantizar que todas las personas que conforman esta </w:t>
      </w:r>
      <w:r w:rsidRPr="00FC4E89">
        <w:rPr>
          <w:rFonts w:ascii="Times New Roman" w:eastAsia="Calibri" w:hAnsi="Times New Roman" w:cs="Times New Roman"/>
          <w:sz w:val="24"/>
          <w:szCs w:val="24"/>
          <w:lang w:val="es-MX"/>
        </w:rPr>
        <w:lastRenderedPageBreak/>
        <w:t xml:space="preserve">nación, mantengan el derecho a gozar de un ambiente sano, protegiendo la diversidad e integridad del ambiente (Art. 79 de la Constitución Política), exigiendo que la industria petrolera obre conforme al principio de solidaridad social, evitando acciones o situaciones que pongan en peligro la vida o la salud de las personas, y protegiendo los recursos naturales y la conservación de un ambiente sano (Art. 95 de la Constitución Política). La libertad económica, así sea de utilidad pública, como lo es la industria petrolera, tiene un límite cuando así lo exija el interés social, el ambiente y el patrimonio cultural de la nación (Art. 333 de la Constitución Política). </w:t>
      </w:r>
    </w:p>
    <w:p w14:paraId="7D4E11CA" w14:textId="77777777" w:rsidR="00FC4E89" w:rsidRPr="00FC4E89" w:rsidRDefault="00FC4E89" w:rsidP="00FC4E89">
      <w:pPr>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Así las cosas, en aplicación del principio de precaución, es al Congreso de la República a quien le compete la decisión de “</w:t>
      </w:r>
      <w:r w:rsidRPr="00FC4E89">
        <w:rPr>
          <w:rFonts w:ascii="Times New Roman" w:eastAsia="Calibri" w:hAnsi="Times New Roman" w:cs="Times New Roman"/>
          <w:b/>
          <w:i/>
          <w:sz w:val="24"/>
          <w:szCs w:val="24"/>
          <w:lang w:val="es-MX"/>
        </w:rPr>
        <w:t>prohibir la aplicación combinada de las Técnicas No Convencionales de Fracturamiento Hidráulico Multietapa y Perforación Horizontal o Multilateral, desde Plataformas Multipozo, en Yacimientos No Convencionales de Hidrocarburos de Roca Generadora</w:t>
      </w:r>
      <w:r w:rsidRPr="00FC4E89">
        <w:rPr>
          <w:rFonts w:ascii="Times New Roman" w:eastAsia="Calibri" w:hAnsi="Times New Roman" w:cs="Times New Roman"/>
          <w:sz w:val="24"/>
          <w:szCs w:val="24"/>
          <w:lang w:val="es-MX"/>
        </w:rPr>
        <w:t xml:space="preserve">”; responsabilidad que se está cumpliendo con la presentación y posterior aprobación de este proyecto de ley. </w:t>
      </w:r>
    </w:p>
    <w:p w14:paraId="370D80D3" w14:textId="77777777" w:rsidR="00FC4E89" w:rsidRPr="00FC4E89" w:rsidRDefault="00FC4E89" w:rsidP="00FC4E89">
      <w:pPr>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La correcta gestión de los recursos naturales y en particular de los recursos energéticos es crucial para el desarrollo económico y sostenible de países desarrollados y en desarrollo, como es el caso de Colombia. En la actualidad se usan grandes cantidades de energía para mantener el modelo mundial de desarrollo económico, así como su modelo de producción y consumo asociado. Un recurso fundamental de uso en Colombia son los combustibles fósiles provenientes de Yacimientos No Convencionales (YNC), como el gas asociado a mantos de carbón (campo Paujil en el Departamento del Cesar), el gas de arenas apretadas o “</w:t>
      </w:r>
      <w:proofErr w:type="spellStart"/>
      <w:r w:rsidRPr="00FC4E89">
        <w:rPr>
          <w:rFonts w:ascii="Times New Roman" w:eastAsia="Calibri" w:hAnsi="Times New Roman" w:cs="Times New Roman"/>
          <w:sz w:val="24"/>
          <w:szCs w:val="24"/>
          <w:lang w:val="es-MX"/>
        </w:rPr>
        <w:t>tight</w:t>
      </w:r>
      <w:proofErr w:type="spellEnd"/>
      <w:r w:rsidRPr="00FC4E89">
        <w:rPr>
          <w:rFonts w:ascii="Times New Roman" w:eastAsia="Calibri" w:hAnsi="Times New Roman" w:cs="Times New Roman"/>
          <w:sz w:val="24"/>
          <w:szCs w:val="24"/>
          <w:lang w:val="es-MX"/>
        </w:rPr>
        <w:t xml:space="preserve"> gas </w:t>
      </w:r>
      <w:proofErr w:type="spellStart"/>
      <w:r w:rsidRPr="00FC4E89">
        <w:rPr>
          <w:rFonts w:ascii="Times New Roman" w:eastAsia="Calibri" w:hAnsi="Times New Roman" w:cs="Times New Roman"/>
          <w:sz w:val="24"/>
          <w:szCs w:val="24"/>
          <w:lang w:val="es-MX"/>
        </w:rPr>
        <w:t>sands</w:t>
      </w:r>
      <w:proofErr w:type="spellEnd"/>
      <w:r w:rsidRPr="00FC4E89">
        <w:rPr>
          <w:rFonts w:ascii="Times New Roman" w:eastAsia="Calibri" w:hAnsi="Times New Roman" w:cs="Times New Roman"/>
          <w:sz w:val="24"/>
          <w:szCs w:val="24"/>
          <w:lang w:val="es-MX"/>
        </w:rPr>
        <w:t xml:space="preserve">” (campos como Cusiana, Cupiagua, Pauto, Floreña y Volcanera en el Departamento de Casanare), gas asociado a carbonatos apretados (campos del Catatumbo – Norte de Santander, como </w:t>
      </w:r>
      <w:proofErr w:type="spellStart"/>
      <w:r w:rsidRPr="00FC4E89">
        <w:rPr>
          <w:rFonts w:ascii="Times New Roman" w:eastAsia="Calibri" w:hAnsi="Times New Roman" w:cs="Times New Roman"/>
          <w:sz w:val="24"/>
          <w:szCs w:val="24"/>
          <w:lang w:val="es-MX"/>
        </w:rPr>
        <w:t>Petrólea</w:t>
      </w:r>
      <w:proofErr w:type="spellEnd"/>
      <w:r w:rsidRPr="00FC4E89">
        <w:rPr>
          <w:rFonts w:ascii="Times New Roman" w:eastAsia="Calibri" w:hAnsi="Times New Roman" w:cs="Times New Roman"/>
          <w:sz w:val="24"/>
          <w:szCs w:val="24"/>
          <w:lang w:val="es-MX"/>
        </w:rPr>
        <w:t xml:space="preserve">), el petróleo asociado a arenas apretadas (campo Guando en Melgar – Tolima), o petróleo asociado a rocas generadoras (como los campos de </w:t>
      </w:r>
      <w:proofErr w:type="spellStart"/>
      <w:r w:rsidRPr="00FC4E89">
        <w:rPr>
          <w:rFonts w:ascii="Times New Roman" w:eastAsia="Calibri" w:hAnsi="Times New Roman" w:cs="Times New Roman"/>
          <w:sz w:val="24"/>
          <w:szCs w:val="24"/>
          <w:lang w:val="es-MX"/>
        </w:rPr>
        <w:t>Totumal</w:t>
      </w:r>
      <w:proofErr w:type="spellEnd"/>
      <w:r w:rsidRPr="00FC4E89">
        <w:rPr>
          <w:rFonts w:ascii="Times New Roman" w:eastAsia="Calibri" w:hAnsi="Times New Roman" w:cs="Times New Roman"/>
          <w:sz w:val="24"/>
          <w:szCs w:val="24"/>
          <w:lang w:val="es-MX"/>
        </w:rPr>
        <w:t xml:space="preserve">, </w:t>
      </w:r>
      <w:proofErr w:type="spellStart"/>
      <w:r w:rsidRPr="00FC4E89">
        <w:rPr>
          <w:rFonts w:ascii="Times New Roman" w:eastAsia="Calibri" w:hAnsi="Times New Roman" w:cs="Times New Roman"/>
          <w:sz w:val="24"/>
          <w:szCs w:val="24"/>
          <w:lang w:val="es-MX"/>
        </w:rPr>
        <w:t>Buturama</w:t>
      </w:r>
      <w:proofErr w:type="spellEnd"/>
      <w:r w:rsidRPr="00FC4E89">
        <w:rPr>
          <w:rFonts w:ascii="Times New Roman" w:eastAsia="Calibri" w:hAnsi="Times New Roman" w:cs="Times New Roman"/>
          <w:sz w:val="24"/>
          <w:szCs w:val="24"/>
          <w:lang w:val="es-MX"/>
        </w:rPr>
        <w:t xml:space="preserve"> y Pital en el Valle Medio del Magdalena), todos explotados con </w:t>
      </w:r>
      <w:r w:rsidRPr="00FC4E89">
        <w:rPr>
          <w:rFonts w:ascii="Times New Roman" w:eastAsia="Calibri" w:hAnsi="Times New Roman" w:cs="Times New Roman"/>
          <w:b/>
          <w:sz w:val="24"/>
          <w:szCs w:val="24"/>
          <w:lang w:val="es-MX"/>
        </w:rPr>
        <w:t>TECNOLOGÍAS CONVENCIONALES</w:t>
      </w:r>
      <w:r w:rsidRPr="00FC4E89">
        <w:rPr>
          <w:rFonts w:ascii="Times New Roman" w:eastAsia="Calibri" w:hAnsi="Times New Roman" w:cs="Times New Roman"/>
          <w:sz w:val="24"/>
          <w:szCs w:val="24"/>
          <w:lang w:val="es-MX"/>
        </w:rPr>
        <w:t xml:space="preserve">, cuyo impacto ambiental es bajo o moderado. </w:t>
      </w:r>
    </w:p>
    <w:p w14:paraId="1C13DDAB" w14:textId="554551B3" w:rsidR="00FC4E89" w:rsidRPr="00FC4E89" w:rsidRDefault="00FC4E89" w:rsidP="00FC4E89">
      <w:pPr>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 xml:space="preserve">En otros países como Canadá, </w:t>
      </w:r>
      <w:proofErr w:type="gramStart"/>
      <w:r w:rsidRPr="00FC4E89">
        <w:rPr>
          <w:rFonts w:ascii="Times New Roman" w:eastAsia="Calibri" w:hAnsi="Times New Roman" w:cs="Times New Roman"/>
          <w:sz w:val="24"/>
          <w:szCs w:val="24"/>
          <w:lang w:val="es-MX"/>
        </w:rPr>
        <w:t>EE:UU</w:t>
      </w:r>
      <w:proofErr w:type="gramEnd"/>
      <w:r w:rsidRPr="00FC4E89">
        <w:rPr>
          <w:rFonts w:ascii="Times New Roman" w:eastAsia="Calibri" w:hAnsi="Times New Roman" w:cs="Times New Roman"/>
          <w:sz w:val="24"/>
          <w:szCs w:val="24"/>
          <w:lang w:val="es-MX"/>
        </w:rPr>
        <w:t xml:space="preserve">, China, Australia y Argentina, se explotan grandes cantidades de petróleo y gas desde YNC de RG, usando la técnica No Convencional del fracturamiento hidráulico multietapa a través de pozos horizontales y/o multilaterales, con demasiados impactos ambientales, los cuales se buscan prohibir en Colombia, mediante este </w:t>
      </w:r>
      <w:r w:rsidRPr="00FC4E89">
        <w:rPr>
          <w:rFonts w:ascii="Times New Roman" w:eastAsia="Calibri" w:hAnsi="Times New Roman" w:cs="Times New Roman"/>
          <w:sz w:val="24"/>
          <w:szCs w:val="24"/>
          <w:lang w:val="es-MX"/>
        </w:rPr>
        <w:lastRenderedPageBreak/>
        <w:t xml:space="preserve">proyecto de ley. Este tipo de Yacimientos No Convencionales de Roca Generadora explotados mediante la técnica no convencional de fracturamiento hidráulico multietapa a través de pozos horizontales o multilaterales y desde plataformas multipozo, se han constituido en el mecanismo de una importante ampliación de la frontera petrolera y del crecimiento económico de las naciones que lo han implementado. Sin embargo, los altos impactos y riesgos ambientales asociados a la forma como se explotan ponen en duda la conveniencia de su uso para el acceso a las reservas hidrocarburíferas de este tipo de yacimientos. </w:t>
      </w:r>
    </w:p>
    <w:p w14:paraId="412BB9BF" w14:textId="77777777" w:rsidR="00FC4E89" w:rsidRPr="00FC4E89" w:rsidRDefault="00FC4E89" w:rsidP="00FC4E89">
      <w:pPr>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Debido a esto, y con el fin de justificar la prohibición del uso de la técnica no convencional de fracturamiento hidráulico multietapa a través de pozos horizontales o multilaterales, desde plataformas multipozo, en yacimientos no convencionales tipo roca generadora… a continuación se presentan las definiciones y riesgos de esta técnica, y las condiciones que presenta la institucionalidad ambiental colombiana para enfrentar dichos impactos.</w:t>
      </w:r>
    </w:p>
    <w:p w14:paraId="458198F2" w14:textId="77777777" w:rsidR="00FC4E89" w:rsidRPr="00FC4E89" w:rsidRDefault="00FC4E89" w:rsidP="00FC4E89">
      <w:pPr>
        <w:jc w:val="both"/>
        <w:rPr>
          <w:rFonts w:ascii="Times New Roman" w:eastAsia="Calibri" w:hAnsi="Times New Roman" w:cs="Times New Roman"/>
          <w:sz w:val="28"/>
          <w:szCs w:val="28"/>
          <w:lang w:val="es-MX"/>
        </w:rPr>
      </w:pPr>
    </w:p>
    <w:p w14:paraId="17D55D79" w14:textId="77777777" w:rsidR="00FC4E89" w:rsidRPr="00FC4E89" w:rsidRDefault="00FC4E89" w:rsidP="00FC4E89">
      <w:pPr>
        <w:numPr>
          <w:ilvl w:val="0"/>
          <w:numId w:val="5"/>
        </w:numPr>
        <w:contextualSpacing/>
        <w:jc w:val="both"/>
        <w:rPr>
          <w:rFonts w:ascii="Times New Roman" w:eastAsia="Calibri" w:hAnsi="Times New Roman" w:cs="Times New Roman"/>
          <w:sz w:val="28"/>
          <w:szCs w:val="28"/>
          <w:lang w:val="es-MX"/>
        </w:rPr>
      </w:pPr>
      <w:r w:rsidRPr="00FC4E89">
        <w:rPr>
          <w:rFonts w:ascii="Times New Roman" w:eastAsia="Calibri" w:hAnsi="Times New Roman" w:cs="Times New Roman"/>
          <w:sz w:val="28"/>
          <w:szCs w:val="28"/>
          <w:lang w:val="es-MX"/>
        </w:rPr>
        <w:t>JUSTIFICACIÓN.</w:t>
      </w:r>
    </w:p>
    <w:p w14:paraId="6F6FB176" w14:textId="77777777" w:rsidR="00FC4E89" w:rsidRPr="00FC4E89" w:rsidRDefault="00FC4E89" w:rsidP="00FC4E89">
      <w:pPr>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 xml:space="preserve">Como miembro del Congreso de la República, con fundamento en la libertad de configuración legislativa, y en ejercicio de su competencia expresa para determinar las condiciones para la explotación de los recursos naturales no renovables, asignada por el artículo 360 de la Constitución Política, mediante este proyecto de ley, pretendo que el Congreso </w:t>
      </w:r>
      <w:r w:rsidRPr="00FC4E89">
        <w:rPr>
          <w:rFonts w:ascii="Times New Roman" w:eastAsia="Calibri" w:hAnsi="Times New Roman" w:cs="Times New Roman"/>
          <w:b/>
          <w:i/>
          <w:sz w:val="24"/>
          <w:szCs w:val="24"/>
          <w:lang w:val="es-MX"/>
        </w:rPr>
        <w:t>prohíba</w:t>
      </w:r>
      <w:r w:rsidRPr="00FC4E89">
        <w:rPr>
          <w:rFonts w:ascii="Times New Roman" w:eastAsia="Calibri" w:hAnsi="Times New Roman" w:cs="Times New Roman"/>
          <w:sz w:val="24"/>
          <w:szCs w:val="24"/>
          <w:lang w:val="es-MX"/>
        </w:rPr>
        <w:t xml:space="preserve"> </w:t>
      </w:r>
      <w:r w:rsidRPr="00FC4E89">
        <w:rPr>
          <w:rFonts w:ascii="Times New Roman" w:eastAsia="Calibri" w:hAnsi="Times New Roman" w:cs="Times New Roman"/>
          <w:b/>
          <w:i/>
          <w:sz w:val="24"/>
          <w:szCs w:val="24"/>
          <w:lang w:val="es-MX"/>
        </w:rPr>
        <w:t>la aplicación combinada de las Técnicas No Convencionales de Fracturamiento Hidráulico Multietapa y Perforación Horizontal o Multilateral, desde Plataformas Multipozo, en Yacimientos No Convencionales de Hidrocarburos de Roca Generadora</w:t>
      </w:r>
      <w:r w:rsidRPr="00FC4E89">
        <w:rPr>
          <w:rFonts w:ascii="Times New Roman" w:eastAsia="Calibri" w:hAnsi="Times New Roman" w:cs="Times New Roman"/>
          <w:sz w:val="24"/>
          <w:szCs w:val="24"/>
          <w:lang w:val="es-MX"/>
        </w:rPr>
        <w:t>, inspirado en las garantías básicas superiores a gozar de un ambiente sano, un desarrollo sostenible, el respeto por la vida y salud de los colombianos, y prevenir los factores de deterioro ambiental.</w:t>
      </w:r>
    </w:p>
    <w:p w14:paraId="2AF7F926" w14:textId="77777777" w:rsidR="00FC4E89" w:rsidRPr="00FC4E89" w:rsidRDefault="00FC4E89" w:rsidP="00FC4E89">
      <w:pPr>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 xml:space="preserve">La carta política autoriza la explotación de los recursos naturales no renovables de hidrocarburos que se encuentren en el subsuelo, independientemente que se trate de yacimientos convencionales o no convencionales, conforme al mandato de los artículos 334 y 360 de la Constitución, pero la misma norma superior le asigna la facultad para determinar las condiciones para la explotación de gas y petróleo. En efecto, el legislador podrá autorizar </w:t>
      </w:r>
      <w:r w:rsidRPr="00FC4E89">
        <w:rPr>
          <w:rFonts w:ascii="Times New Roman" w:eastAsia="Calibri" w:hAnsi="Times New Roman" w:cs="Times New Roman"/>
          <w:sz w:val="24"/>
          <w:szCs w:val="24"/>
          <w:lang w:val="es-MX"/>
        </w:rPr>
        <w:lastRenderedPageBreak/>
        <w:t xml:space="preserve">o prohibir la utilización de ciertas técnicas para la exploración y explotación de recursos </w:t>
      </w:r>
      <w:proofErr w:type="spellStart"/>
      <w:r w:rsidRPr="00FC4E89">
        <w:rPr>
          <w:rFonts w:ascii="Times New Roman" w:eastAsia="Calibri" w:hAnsi="Times New Roman" w:cs="Times New Roman"/>
          <w:sz w:val="24"/>
          <w:szCs w:val="24"/>
          <w:lang w:val="es-MX"/>
        </w:rPr>
        <w:t>hidrocarburíferos</w:t>
      </w:r>
      <w:proofErr w:type="spellEnd"/>
      <w:r w:rsidRPr="00FC4E89">
        <w:rPr>
          <w:rFonts w:ascii="Times New Roman" w:eastAsia="Calibri" w:hAnsi="Times New Roman" w:cs="Times New Roman"/>
          <w:sz w:val="24"/>
          <w:szCs w:val="24"/>
          <w:lang w:val="es-MX"/>
        </w:rPr>
        <w:t>, atendiendo las garantías básicas citadas y los principios constitucionales y convencionales de precaución y prevención con ocasión del desarrollo de las actividades extractivas citadas.</w:t>
      </w:r>
    </w:p>
    <w:p w14:paraId="061DF542" w14:textId="2CFA4A48" w:rsidR="00FC4E89" w:rsidRPr="00FC4E89" w:rsidRDefault="00FC4E89" w:rsidP="00FC4E89">
      <w:pPr>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 xml:space="preserve">De otra parte, la legislación nacional y los acuerdos internacionales ambientales que Colombia suscribió y posteriormente los ratificó el Congreso de la República, establece que la falta de certeza </w:t>
      </w:r>
      <w:r w:rsidR="00FF153B" w:rsidRPr="00FC4E89">
        <w:rPr>
          <w:rFonts w:ascii="Times New Roman" w:eastAsia="Calibri" w:hAnsi="Times New Roman" w:cs="Times New Roman"/>
          <w:sz w:val="24"/>
          <w:szCs w:val="24"/>
          <w:lang w:val="es-MX"/>
        </w:rPr>
        <w:t>científica</w:t>
      </w:r>
      <w:r w:rsidRPr="00FC4E89">
        <w:rPr>
          <w:rFonts w:ascii="Times New Roman" w:eastAsia="Calibri" w:hAnsi="Times New Roman" w:cs="Times New Roman"/>
          <w:sz w:val="24"/>
          <w:szCs w:val="24"/>
          <w:lang w:val="es-MX"/>
        </w:rPr>
        <w:t xml:space="preserve"> no deberá utilizarse como razón para postergar la adopción de medidas eficaces para impedir la degradación del medio ambiente. </w:t>
      </w:r>
    </w:p>
    <w:p w14:paraId="46569F45" w14:textId="77777777" w:rsidR="00FC4E89" w:rsidRPr="00FC4E89" w:rsidRDefault="00FC4E89" w:rsidP="00FC4E89">
      <w:pPr>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Para el caso de “</w:t>
      </w:r>
      <w:r w:rsidRPr="00FC4E89">
        <w:rPr>
          <w:rFonts w:ascii="Times New Roman" w:eastAsia="Calibri" w:hAnsi="Times New Roman" w:cs="Times New Roman"/>
          <w:b/>
          <w:i/>
          <w:sz w:val="24"/>
          <w:szCs w:val="24"/>
          <w:lang w:val="es-MX"/>
        </w:rPr>
        <w:t>la aplicación combinada de las Técnicas No Convencionales de Fracturamiento Hidráulico Multietapa y Perforación Horizontal o Multilateral, desde Plataformas Multipozo, en Yacimientos No Convencionales de Hidrocarburos de Roca Generadora”</w:t>
      </w:r>
      <w:r w:rsidRPr="00FC4E89">
        <w:rPr>
          <w:rFonts w:ascii="Times New Roman" w:eastAsia="Calibri" w:hAnsi="Times New Roman" w:cs="Times New Roman"/>
          <w:sz w:val="24"/>
          <w:szCs w:val="24"/>
          <w:lang w:val="es-MX"/>
        </w:rPr>
        <w:t>,  el legislador ésta en mora para la adopción de esas medidas  prohibitivas en atención a este principio de precaución, como sí lo hizo el honorable Consejo de Estado al suspender provisionalmente los actos administrativos que habilita la utilización de dicha técnica, para la exploración y explotación de hidrocarburos en este tipo de yacimientos no convencionales, por conllevar un daño potencial o riesgo al medio ambiente y a la salud humana.</w:t>
      </w:r>
    </w:p>
    <w:p w14:paraId="0429000C" w14:textId="19007224" w:rsidR="00FC4E89" w:rsidRDefault="00FC4E89" w:rsidP="00FC4E89">
      <w:pPr>
        <w:jc w:val="both"/>
        <w:rPr>
          <w:rFonts w:ascii="Times New Roman" w:eastAsia="Calibri" w:hAnsi="Times New Roman" w:cs="Times New Roman"/>
          <w:sz w:val="24"/>
          <w:szCs w:val="24"/>
          <w:lang w:val="es-MX"/>
        </w:rPr>
      </w:pPr>
    </w:p>
    <w:p w14:paraId="41279B95" w14:textId="27886811" w:rsidR="00FF153B" w:rsidRDefault="00FF153B" w:rsidP="00FC4E89">
      <w:pPr>
        <w:jc w:val="both"/>
        <w:rPr>
          <w:rFonts w:ascii="Times New Roman" w:eastAsia="Calibri" w:hAnsi="Times New Roman" w:cs="Times New Roman"/>
          <w:sz w:val="24"/>
          <w:szCs w:val="24"/>
          <w:lang w:val="es-MX"/>
        </w:rPr>
      </w:pPr>
    </w:p>
    <w:p w14:paraId="370D0BD9" w14:textId="0A8C5C1A" w:rsidR="00FF153B" w:rsidRDefault="00FF153B" w:rsidP="00FC4E89">
      <w:pPr>
        <w:jc w:val="both"/>
        <w:rPr>
          <w:rFonts w:ascii="Times New Roman" w:eastAsia="Calibri" w:hAnsi="Times New Roman" w:cs="Times New Roman"/>
          <w:sz w:val="24"/>
          <w:szCs w:val="24"/>
          <w:lang w:val="es-MX"/>
        </w:rPr>
      </w:pPr>
    </w:p>
    <w:p w14:paraId="45B603DF" w14:textId="72BF6537" w:rsidR="00FF153B" w:rsidRDefault="00FF153B" w:rsidP="00FC4E89">
      <w:pPr>
        <w:jc w:val="both"/>
        <w:rPr>
          <w:rFonts w:ascii="Times New Roman" w:eastAsia="Calibri" w:hAnsi="Times New Roman" w:cs="Times New Roman"/>
          <w:sz w:val="24"/>
          <w:szCs w:val="24"/>
          <w:lang w:val="es-MX"/>
        </w:rPr>
      </w:pPr>
    </w:p>
    <w:p w14:paraId="339ADBB4" w14:textId="56EB5172" w:rsidR="00FF153B" w:rsidRDefault="00FF153B" w:rsidP="00FC4E89">
      <w:pPr>
        <w:jc w:val="both"/>
        <w:rPr>
          <w:rFonts w:ascii="Times New Roman" w:eastAsia="Calibri" w:hAnsi="Times New Roman" w:cs="Times New Roman"/>
          <w:sz w:val="24"/>
          <w:szCs w:val="24"/>
          <w:lang w:val="es-MX"/>
        </w:rPr>
      </w:pPr>
    </w:p>
    <w:p w14:paraId="1CA06014" w14:textId="4F9294B0" w:rsidR="00FF153B" w:rsidRDefault="00FF153B" w:rsidP="00FC4E89">
      <w:pPr>
        <w:jc w:val="both"/>
        <w:rPr>
          <w:rFonts w:ascii="Times New Roman" w:eastAsia="Calibri" w:hAnsi="Times New Roman" w:cs="Times New Roman"/>
          <w:sz w:val="24"/>
          <w:szCs w:val="24"/>
          <w:lang w:val="es-MX"/>
        </w:rPr>
      </w:pPr>
    </w:p>
    <w:p w14:paraId="455F1155" w14:textId="6B28CB35" w:rsidR="00FF153B" w:rsidRDefault="00FF153B" w:rsidP="00FC4E89">
      <w:pPr>
        <w:jc w:val="both"/>
        <w:rPr>
          <w:rFonts w:ascii="Times New Roman" w:eastAsia="Calibri" w:hAnsi="Times New Roman" w:cs="Times New Roman"/>
          <w:sz w:val="24"/>
          <w:szCs w:val="24"/>
          <w:lang w:val="es-MX"/>
        </w:rPr>
      </w:pPr>
    </w:p>
    <w:p w14:paraId="1708AE96" w14:textId="77777777" w:rsidR="00FF153B" w:rsidRPr="00FC4E89" w:rsidRDefault="00FF153B" w:rsidP="00FC4E89">
      <w:pPr>
        <w:jc w:val="both"/>
        <w:rPr>
          <w:rFonts w:ascii="Times New Roman" w:eastAsia="Calibri" w:hAnsi="Times New Roman" w:cs="Times New Roman"/>
          <w:sz w:val="24"/>
          <w:szCs w:val="24"/>
          <w:lang w:val="es-MX"/>
        </w:rPr>
      </w:pPr>
    </w:p>
    <w:p w14:paraId="33F38801" w14:textId="77777777" w:rsidR="00FC4E89" w:rsidRPr="00FC4E89" w:rsidRDefault="00FC4E89" w:rsidP="00FC4E89">
      <w:pPr>
        <w:jc w:val="both"/>
        <w:rPr>
          <w:rFonts w:ascii="Times New Roman" w:eastAsia="Calibri" w:hAnsi="Times New Roman" w:cs="Times New Roman"/>
          <w:sz w:val="24"/>
          <w:szCs w:val="24"/>
          <w:lang w:val="es-MX"/>
        </w:rPr>
      </w:pPr>
    </w:p>
    <w:p w14:paraId="20B55852" w14:textId="77777777" w:rsidR="00FC4E89" w:rsidRPr="00FC4E89" w:rsidRDefault="00FC4E89" w:rsidP="00FC4E89">
      <w:pPr>
        <w:numPr>
          <w:ilvl w:val="0"/>
          <w:numId w:val="6"/>
        </w:numPr>
        <w:contextualSpacing/>
        <w:jc w:val="both"/>
        <w:rPr>
          <w:rFonts w:ascii="Times New Roman" w:eastAsia="Calibri" w:hAnsi="Times New Roman" w:cs="Times New Roman"/>
          <w:sz w:val="28"/>
          <w:szCs w:val="28"/>
          <w:lang w:val="es-MX"/>
        </w:rPr>
      </w:pPr>
      <w:r w:rsidRPr="00FC4E89">
        <w:rPr>
          <w:rFonts w:ascii="Times New Roman" w:eastAsia="Calibri" w:hAnsi="Times New Roman" w:cs="Times New Roman"/>
          <w:sz w:val="28"/>
          <w:szCs w:val="28"/>
          <w:lang w:val="es-MX"/>
        </w:rPr>
        <w:lastRenderedPageBreak/>
        <w:t>ALGUNOS CONCEPTOS TÉCNICOS:</w:t>
      </w:r>
    </w:p>
    <w:p w14:paraId="6809FFFA" w14:textId="77777777" w:rsidR="00FC4E89" w:rsidRPr="00FC4E89" w:rsidRDefault="00FC4E89" w:rsidP="00FC4E89">
      <w:pPr>
        <w:contextualSpacing/>
        <w:jc w:val="both"/>
        <w:rPr>
          <w:rFonts w:ascii="Times New Roman" w:eastAsia="Calibri" w:hAnsi="Times New Roman" w:cs="Times New Roman"/>
          <w:sz w:val="28"/>
          <w:szCs w:val="28"/>
          <w:lang w:val="es-MX"/>
        </w:rPr>
      </w:pPr>
    </w:p>
    <w:p w14:paraId="62AE10E1" w14:textId="77777777" w:rsidR="00FC4E89" w:rsidRPr="00FC4E89" w:rsidRDefault="00FC4E89" w:rsidP="00FC4E89">
      <w:pPr>
        <w:contextualSpacing/>
        <w:rPr>
          <w:rFonts w:ascii="Times New Roman" w:eastAsia="Calibri" w:hAnsi="Times New Roman" w:cs="Times New Roman"/>
          <w:sz w:val="28"/>
          <w:szCs w:val="28"/>
          <w:lang w:val="es-MX"/>
        </w:rPr>
      </w:pPr>
      <w:r w:rsidRPr="00FC4E89">
        <w:rPr>
          <w:rFonts w:ascii="Calibri" w:eastAsia="Calibri" w:hAnsi="Calibri" w:cs="Times New Roman"/>
          <w:noProof/>
          <w:lang w:val="en-US"/>
        </w:rPr>
        <w:drawing>
          <wp:inline distT="0" distB="0" distL="0" distR="0" wp14:anchorId="599BEA06" wp14:editId="4D6DCED5">
            <wp:extent cx="4671369" cy="3085841"/>
            <wp:effectExtent l="0" t="0" r="0" b="635"/>
            <wp:docPr id="11" name="Imagen 11" descr="Gas asociado a mantos de carbón(GMC) 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s asociado a mantos de carbón(GMC) UTS"/>
                    <pic:cNvPicPr>
                      <a:picLocks noChangeAspect="1" noChangeArrowheads="1"/>
                    </pic:cNvPicPr>
                  </pic:nvPicPr>
                  <pic:blipFill rotWithShape="1">
                    <a:blip r:embed="rId8">
                      <a:extLst>
                        <a:ext uri="{28A0092B-C50C-407E-A947-70E740481C1C}">
                          <a14:useLocalDpi xmlns:a14="http://schemas.microsoft.com/office/drawing/2010/main" val="0"/>
                        </a:ext>
                      </a:extLst>
                    </a:blip>
                    <a:srcRect l="6933" t="10355" r="5033" b="12278"/>
                    <a:stretch/>
                  </pic:blipFill>
                  <pic:spPr bwMode="auto">
                    <a:xfrm>
                      <a:off x="0" y="0"/>
                      <a:ext cx="4714198" cy="3114133"/>
                    </a:xfrm>
                    <a:prstGeom prst="rect">
                      <a:avLst/>
                    </a:prstGeom>
                    <a:noFill/>
                    <a:ln>
                      <a:noFill/>
                    </a:ln>
                    <a:extLst>
                      <a:ext uri="{53640926-AAD7-44D8-BBD7-CCE9431645EC}">
                        <a14:shadowObscured xmlns:a14="http://schemas.microsoft.com/office/drawing/2010/main"/>
                      </a:ext>
                    </a:extLst>
                  </pic:spPr>
                </pic:pic>
              </a:graphicData>
            </a:graphic>
          </wp:inline>
        </w:drawing>
      </w:r>
    </w:p>
    <w:p w14:paraId="4ACA79A1" w14:textId="77777777" w:rsidR="00FC4E89" w:rsidRPr="00FC4E89" w:rsidRDefault="00FC4E89" w:rsidP="00FC4E89">
      <w:pPr>
        <w:contextualSpacing/>
        <w:rPr>
          <w:rFonts w:ascii="Times New Roman" w:eastAsia="Calibri" w:hAnsi="Times New Roman" w:cs="Times New Roman"/>
          <w:sz w:val="28"/>
          <w:szCs w:val="28"/>
          <w:lang w:val="es-MX"/>
        </w:rPr>
      </w:pPr>
    </w:p>
    <w:p w14:paraId="54A8F2EC" w14:textId="77777777" w:rsidR="00FC4E89" w:rsidRPr="00FC4E89" w:rsidRDefault="00FC4E89" w:rsidP="00FC4E89">
      <w:pPr>
        <w:jc w:val="both"/>
        <w:rPr>
          <w:rFonts w:ascii="Times New Roman" w:eastAsia="Calibri" w:hAnsi="Times New Roman" w:cs="Times New Roman"/>
          <w:sz w:val="24"/>
          <w:szCs w:val="24"/>
          <w:lang w:val="es-ES"/>
        </w:rPr>
      </w:pPr>
      <w:r w:rsidRPr="00FC4E89">
        <w:rPr>
          <w:rFonts w:ascii="Times New Roman" w:eastAsia="Calibri" w:hAnsi="Times New Roman" w:cs="Times New Roman"/>
          <w:sz w:val="24"/>
          <w:szCs w:val="24"/>
          <w:lang w:val="es-ES"/>
        </w:rPr>
        <w:t xml:space="preserve">En primer lugar, hay que tener claros ciertos conceptos como, por ejemplo: se debe diferenciar un </w:t>
      </w:r>
      <w:r w:rsidRPr="00FC4E89">
        <w:rPr>
          <w:rFonts w:ascii="Times New Roman" w:eastAsia="Calibri" w:hAnsi="Times New Roman" w:cs="Times New Roman"/>
          <w:b/>
          <w:sz w:val="24"/>
          <w:szCs w:val="24"/>
          <w:lang w:val="es-ES"/>
        </w:rPr>
        <w:t>Yacimiento</w:t>
      </w:r>
      <w:r w:rsidRPr="00FC4E89">
        <w:rPr>
          <w:rFonts w:ascii="Times New Roman" w:eastAsia="Calibri" w:hAnsi="Times New Roman" w:cs="Times New Roman"/>
          <w:sz w:val="24"/>
          <w:szCs w:val="24"/>
          <w:lang w:val="es-ES"/>
        </w:rPr>
        <w:t xml:space="preserve"> </w:t>
      </w:r>
      <w:r w:rsidRPr="00FC4E89">
        <w:rPr>
          <w:rFonts w:ascii="Times New Roman" w:eastAsia="Calibri" w:hAnsi="Times New Roman" w:cs="Times New Roman"/>
          <w:b/>
          <w:sz w:val="24"/>
          <w:szCs w:val="24"/>
          <w:lang w:val="es-ES"/>
        </w:rPr>
        <w:t xml:space="preserve">Convencional </w:t>
      </w:r>
      <w:r w:rsidRPr="00FC4E89">
        <w:rPr>
          <w:rFonts w:ascii="Times New Roman" w:eastAsia="Calibri" w:hAnsi="Times New Roman" w:cs="Times New Roman"/>
          <w:sz w:val="24"/>
          <w:szCs w:val="24"/>
          <w:lang w:val="es-ES"/>
        </w:rPr>
        <w:t xml:space="preserve">de Hidrocarburos, de un </w:t>
      </w:r>
      <w:r w:rsidRPr="00FC4E89">
        <w:rPr>
          <w:rFonts w:ascii="Times New Roman" w:eastAsia="Calibri" w:hAnsi="Times New Roman" w:cs="Times New Roman"/>
          <w:b/>
          <w:sz w:val="24"/>
          <w:szCs w:val="24"/>
          <w:lang w:val="es-ES"/>
        </w:rPr>
        <w:t>Yacimiento</w:t>
      </w:r>
      <w:r w:rsidRPr="00FC4E89">
        <w:rPr>
          <w:rFonts w:ascii="Times New Roman" w:eastAsia="Calibri" w:hAnsi="Times New Roman" w:cs="Times New Roman"/>
          <w:sz w:val="24"/>
          <w:szCs w:val="24"/>
          <w:lang w:val="es-ES"/>
        </w:rPr>
        <w:t xml:space="preserve"> </w:t>
      </w:r>
      <w:r w:rsidRPr="00FC4E89">
        <w:rPr>
          <w:rFonts w:ascii="Times New Roman" w:eastAsia="Calibri" w:hAnsi="Times New Roman" w:cs="Times New Roman"/>
          <w:b/>
          <w:sz w:val="24"/>
          <w:szCs w:val="24"/>
          <w:lang w:val="es-ES"/>
        </w:rPr>
        <w:t>No Convencional</w:t>
      </w:r>
      <w:r w:rsidRPr="00FC4E89">
        <w:rPr>
          <w:rFonts w:ascii="Times New Roman" w:eastAsia="Calibri" w:hAnsi="Times New Roman" w:cs="Times New Roman"/>
          <w:sz w:val="24"/>
          <w:szCs w:val="24"/>
          <w:lang w:val="es-ES"/>
        </w:rPr>
        <w:t xml:space="preserve"> de Hidrocarburos. </w:t>
      </w:r>
    </w:p>
    <w:p w14:paraId="707C34FA" w14:textId="77777777" w:rsidR="00FC4E89" w:rsidRPr="00FC4E89" w:rsidRDefault="00FC4E89" w:rsidP="00FC4E89">
      <w:pPr>
        <w:jc w:val="both"/>
        <w:rPr>
          <w:rFonts w:ascii="Times New Roman" w:eastAsia="Calibri" w:hAnsi="Times New Roman" w:cs="Times New Roman"/>
          <w:sz w:val="24"/>
          <w:szCs w:val="24"/>
          <w:lang w:val="es-ES"/>
        </w:rPr>
      </w:pPr>
    </w:p>
    <w:p w14:paraId="68095494" w14:textId="77777777" w:rsidR="00FC4E89" w:rsidRPr="00FC4E89" w:rsidRDefault="00FC4E89" w:rsidP="00FC4E89">
      <w:pPr>
        <w:spacing w:after="0"/>
        <w:jc w:val="center"/>
        <w:rPr>
          <w:rFonts w:ascii="Times New Roman" w:eastAsia="Calibri" w:hAnsi="Times New Roman" w:cs="Times New Roman"/>
          <w:sz w:val="24"/>
          <w:szCs w:val="24"/>
          <w:lang w:val="es-ES"/>
        </w:rPr>
      </w:pPr>
      <w:r w:rsidRPr="00FC4E89">
        <w:rPr>
          <w:rFonts w:ascii="Calibri" w:eastAsia="Calibri" w:hAnsi="Calibri" w:cs="Times New Roman"/>
          <w:noProof/>
          <w:lang w:val="en-US"/>
        </w:rPr>
        <w:lastRenderedPageBreak/>
        <w:drawing>
          <wp:inline distT="0" distB="0" distL="0" distR="0" wp14:anchorId="08A49561" wp14:editId="2D034F1B">
            <wp:extent cx="2573218" cy="175373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452" t="24673" r="18383" b="21073"/>
                    <a:stretch/>
                  </pic:blipFill>
                  <pic:spPr bwMode="auto">
                    <a:xfrm>
                      <a:off x="0" y="0"/>
                      <a:ext cx="2616527" cy="1783253"/>
                    </a:xfrm>
                    <a:prstGeom prst="rect">
                      <a:avLst/>
                    </a:prstGeom>
                    <a:ln>
                      <a:noFill/>
                    </a:ln>
                    <a:extLst>
                      <a:ext uri="{53640926-AAD7-44D8-BBD7-CCE9431645EC}">
                        <a14:shadowObscured xmlns:a14="http://schemas.microsoft.com/office/drawing/2010/main"/>
                      </a:ext>
                    </a:extLst>
                  </pic:spPr>
                </pic:pic>
              </a:graphicData>
            </a:graphic>
          </wp:inline>
        </w:drawing>
      </w:r>
      <w:r w:rsidRPr="00FC4E89">
        <w:rPr>
          <w:rFonts w:ascii="Calibri" w:eastAsia="Calibri" w:hAnsi="Calibri" w:cs="Times New Roman"/>
          <w:noProof/>
          <w:sz w:val="16"/>
          <w:szCs w:val="16"/>
          <w:lang w:val="en-US"/>
        </w:rPr>
        <w:drawing>
          <wp:inline distT="0" distB="0" distL="0" distR="0" wp14:anchorId="72FE805E" wp14:editId="288F93E1">
            <wp:extent cx="2157095" cy="172734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263" t="17732" r="11634" b="13510"/>
                    <a:stretch/>
                  </pic:blipFill>
                  <pic:spPr bwMode="auto">
                    <a:xfrm>
                      <a:off x="0" y="0"/>
                      <a:ext cx="2210277" cy="1769926"/>
                    </a:xfrm>
                    <a:prstGeom prst="rect">
                      <a:avLst/>
                    </a:prstGeom>
                    <a:ln>
                      <a:noFill/>
                    </a:ln>
                    <a:extLst>
                      <a:ext uri="{53640926-AAD7-44D8-BBD7-CCE9431645EC}">
                        <a14:shadowObscured xmlns:a14="http://schemas.microsoft.com/office/drawing/2010/main"/>
                      </a:ext>
                    </a:extLst>
                  </pic:spPr>
                </pic:pic>
              </a:graphicData>
            </a:graphic>
          </wp:inline>
        </w:drawing>
      </w:r>
    </w:p>
    <w:p w14:paraId="48FE920C" w14:textId="77777777" w:rsidR="00FC4E89" w:rsidRPr="00FC4E89" w:rsidRDefault="00FC4E89" w:rsidP="00FC4E89">
      <w:pPr>
        <w:jc w:val="center"/>
        <w:rPr>
          <w:rFonts w:ascii="Calibri" w:eastAsia="Calibri" w:hAnsi="Calibri" w:cs="Calibri"/>
          <w:b/>
          <w:sz w:val="16"/>
          <w:szCs w:val="16"/>
          <w:lang w:val="es-ES"/>
        </w:rPr>
      </w:pPr>
      <w:r w:rsidRPr="00FC4E89">
        <w:rPr>
          <w:rFonts w:ascii="Calibri" w:eastAsia="Calibri" w:hAnsi="Calibri" w:cs="Calibri"/>
          <w:b/>
          <w:sz w:val="16"/>
          <w:szCs w:val="16"/>
          <w:lang w:val="es-ES"/>
        </w:rPr>
        <w:t>Yacimiento Convencional y Tipos de Roca que lo conforman</w:t>
      </w:r>
    </w:p>
    <w:p w14:paraId="6935BFDB" w14:textId="77777777" w:rsidR="00FC4E89" w:rsidRPr="00FC4E89" w:rsidRDefault="00FC4E89" w:rsidP="00FC4E89">
      <w:pPr>
        <w:jc w:val="both"/>
        <w:rPr>
          <w:rFonts w:ascii="Times New Roman" w:eastAsia="Calibri" w:hAnsi="Times New Roman" w:cs="Times New Roman"/>
          <w:sz w:val="24"/>
          <w:szCs w:val="24"/>
          <w:lang w:val="es-ES"/>
        </w:rPr>
      </w:pPr>
    </w:p>
    <w:p w14:paraId="4E0E2B2B" w14:textId="77777777" w:rsidR="00FC4E89" w:rsidRPr="00FC4E89" w:rsidRDefault="00FC4E89" w:rsidP="00FC4E89">
      <w:pPr>
        <w:jc w:val="both"/>
        <w:rPr>
          <w:rFonts w:ascii="Times New Roman" w:eastAsia="Calibri" w:hAnsi="Times New Roman" w:cs="Times New Roman"/>
          <w:sz w:val="24"/>
          <w:szCs w:val="24"/>
          <w:lang w:val="es-ES"/>
        </w:rPr>
      </w:pPr>
      <w:r w:rsidRPr="00FC4E89">
        <w:rPr>
          <w:rFonts w:ascii="Times New Roman" w:eastAsia="Calibri" w:hAnsi="Times New Roman" w:cs="Times New Roman"/>
          <w:noProof/>
          <w:sz w:val="24"/>
          <w:szCs w:val="24"/>
          <w:lang w:val="es-MX"/>
        </w:rPr>
        <w:t>Los Yacimientos Convencionales son aquellos que son producidos a tasas económicas o con alta rentabilidad; no requieren tratamientos mayores de estimulación; ocurre en acumulaciones discretas de trampas estratificadas; las rocas donde están almacenados poseen buena porosidad y permeabilidad; están asociados a reservas limitadas; son fáciles de desarrollar; y el yacimiento presenta sello.</w:t>
      </w:r>
    </w:p>
    <w:p w14:paraId="109AFF12" w14:textId="77777777" w:rsidR="00FC4E89" w:rsidRPr="00FC4E89" w:rsidRDefault="00FC4E89" w:rsidP="00FC4E89">
      <w:pPr>
        <w:spacing w:after="0"/>
        <w:jc w:val="both"/>
        <w:rPr>
          <w:rFonts w:ascii="Times New Roman" w:eastAsia="Calibri" w:hAnsi="Times New Roman" w:cs="Times New Roman"/>
          <w:noProof/>
          <w:sz w:val="24"/>
          <w:szCs w:val="24"/>
          <w:lang w:val="es-MX"/>
        </w:rPr>
      </w:pPr>
    </w:p>
    <w:p w14:paraId="2537FEFA" w14:textId="77777777" w:rsidR="00FC4E89" w:rsidRPr="00FC4E89" w:rsidRDefault="00FC4E89" w:rsidP="00FC4E89">
      <w:pPr>
        <w:spacing w:after="0"/>
        <w:jc w:val="center"/>
        <w:rPr>
          <w:rFonts w:ascii="Calibri" w:eastAsia="Calibri" w:hAnsi="Calibri" w:cs="Times New Roman"/>
          <w:noProof/>
          <w:lang w:val="es-MX"/>
        </w:rPr>
      </w:pPr>
      <w:r w:rsidRPr="00FC4E89">
        <w:rPr>
          <w:rFonts w:ascii="Calibri" w:eastAsia="Calibri" w:hAnsi="Calibri" w:cs="Times New Roman"/>
          <w:noProof/>
          <w:lang w:val="en-US"/>
        </w:rPr>
        <w:drawing>
          <wp:inline distT="0" distB="0" distL="0" distR="0" wp14:anchorId="2728F0C9" wp14:editId="68AA24E3">
            <wp:extent cx="2531395" cy="1970468"/>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7264" r="116"/>
                    <a:stretch/>
                  </pic:blipFill>
                  <pic:spPr bwMode="auto">
                    <a:xfrm>
                      <a:off x="0" y="0"/>
                      <a:ext cx="2553988" cy="1988054"/>
                    </a:xfrm>
                    <a:prstGeom prst="rect">
                      <a:avLst/>
                    </a:prstGeom>
                    <a:ln>
                      <a:noFill/>
                    </a:ln>
                    <a:extLst>
                      <a:ext uri="{53640926-AAD7-44D8-BBD7-CCE9431645EC}">
                        <a14:shadowObscured xmlns:a14="http://schemas.microsoft.com/office/drawing/2010/main"/>
                      </a:ext>
                    </a:extLst>
                  </pic:spPr>
                </pic:pic>
              </a:graphicData>
            </a:graphic>
          </wp:inline>
        </w:drawing>
      </w:r>
      <w:r w:rsidRPr="00FC4E89">
        <w:rPr>
          <w:rFonts w:ascii="Calibri" w:eastAsia="Calibri" w:hAnsi="Calibri" w:cs="Times New Roman"/>
          <w:noProof/>
          <w:lang w:val="es-MX"/>
        </w:rPr>
        <w:t xml:space="preserve">       </w:t>
      </w:r>
      <w:r w:rsidRPr="00FC4E89">
        <w:rPr>
          <w:rFonts w:ascii="Calibri" w:eastAsia="Calibri" w:hAnsi="Calibri" w:cs="Times New Roman"/>
          <w:noProof/>
          <w:lang w:val="en-US"/>
        </w:rPr>
        <w:drawing>
          <wp:inline distT="0" distB="0" distL="0" distR="0" wp14:anchorId="6255F872" wp14:editId="17292168">
            <wp:extent cx="2295192" cy="1944594"/>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46961" cy="2073180"/>
                    </a:xfrm>
                    <a:prstGeom prst="rect">
                      <a:avLst/>
                    </a:prstGeom>
                  </pic:spPr>
                </pic:pic>
              </a:graphicData>
            </a:graphic>
          </wp:inline>
        </w:drawing>
      </w:r>
    </w:p>
    <w:p w14:paraId="703D8174" w14:textId="77777777" w:rsidR="00FC4E89" w:rsidRPr="00FC4E89" w:rsidRDefault="00FC4E89" w:rsidP="00FC4E89">
      <w:pPr>
        <w:spacing w:after="0"/>
        <w:jc w:val="center"/>
        <w:rPr>
          <w:rFonts w:ascii="Calibri" w:eastAsia="Calibri" w:hAnsi="Calibri" w:cs="Times New Roman"/>
          <w:noProof/>
          <w:sz w:val="16"/>
          <w:szCs w:val="16"/>
          <w:lang w:val="es-MX"/>
        </w:rPr>
      </w:pPr>
      <w:r w:rsidRPr="00FC4E89">
        <w:rPr>
          <w:rFonts w:ascii="Calibri" w:eastAsia="Calibri" w:hAnsi="Calibri" w:cs="Times New Roman"/>
          <w:noProof/>
          <w:sz w:val="16"/>
          <w:szCs w:val="16"/>
          <w:lang w:val="es-MX"/>
        </w:rPr>
        <w:t>Tipos de Yacimientos No Convencionales</w:t>
      </w:r>
    </w:p>
    <w:p w14:paraId="029C27AB" w14:textId="77777777" w:rsidR="00FC4E89" w:rsidRPr="00FC4E89" w:rsidRDefault="00FC4E89" w:rsidP="00FC4E89">
      <w:pPr>
        <w:spacing w:after="0"/>
        <w:jc w:val="center"/>
        <w:rPr>
          <w:rFonts w:ascii="Times New Roman" w:eastAsia="Calibri" w:hAnsi="Times New Roman" w:cs="Times New Roman"/>
          <w:noProof/>
          <w:sz w:val="18"/>
          <w:szCs w:val="18"/>
          <w:lang w:val="es-MX"/>
        </w:rPr>
      </w:pPr>
    </w:p>
    <w:p w14:paraId="3BAA8D95" w14:textId="77777777" w:rsidR="00FC4E89" w:rsidRPr="00FC4E89" w:rsidRDefault="00FC4E89" w:rsidP="00FC4E89">
      <w:pPr>
        <w:spacing w:after="0" w:line="240" w:lineRule="auto"/>
        <w:jc w:val="both"/>
        <w:rPr>
          <w:rFonts w:ascii="Calibri" w:eastAsia="Calibri" w:hAnsi="Calibri" w:cs="Times New Roman"/>
          <w:sz w:val="16"/>
          <w:szCs w:val="16"/>
          <w:lang w:val="es-ES"/>
        </w:rPr>
      </w:pPr>
    </w:p>
    <w:p w14:paraId="19066B65" w14:textId="77777777" w:rsidR="00FC4E89" w:rsidRPr="00FC4E89" w:rsidRDefault="00FC4E89" w:rsidP="00FC4E89">
      <w:pPr>
        <w:jc w:val="both"/>
        <w:rPr>
          <w:rFonts w:ascii="Times New Roman" w:eastAsia="Calibri" w:hAnsi="Times New Roman" w:cs="Times New Roman"/>
          <w:sz w:val="24"/>
          <w:szCs w:val="24"/>
          <w:lang w:val="es-ES"/>
        </w:rPr>
      </w:pPr>
      <w:r w:rsidRPr="00FC4E89">
        <w:rPr>
          <w:rFonts w:ascii="Times New Roman" w:eastAsia="Calibri" w:hAnsi="Times New Roman" w:cs="Times New Roman"/>
          <w:sz w:val="24"/>
          <w:szCs w:val="24"/>
          <w:lang w:val="es-ES"/>
        </w:rPr>
        <w:lastRenderedPageBreak/>
        <w:t>En cambio, los Yacimientos No Convencionales no se producen a tasas económicas o tienen muy baja rentabilidad o incluso pueden generar pérdidas; requieren la aplicación de tratamientos intensivos de estimulación y tecnologías No Convencionales para ser producidos; presentan acumulaciones predominantemente regionales y extensas; las rocas que contienen estos hidrocarburos son pobres en porosidad y permeabilidad; y algunos no tiene sello. En particular una ROCA GENERADORA tipo SHALE (LUTITA), o CARBONATADA, se caracteriza por carecer de PERMEABILIDAD, como es el caso de las rocas o formaciones: La Luna, Tablazo, Simití, La Paja y Rosa Blanca, ubicadas en lo más profundo (Cretáceo) de la cuenca sedimentaria del Valle Medio del Magdalena – VMM. Estas Rocas Generadoras se extienden de manera regional, a lo largo y ancho de toda la cuenca, con un área de más de 8.000 Kilómetros Cuadrados, como se observa en la siguiente figura…</w:t>
      </w:r>
    </w:p>
    <w:p w14:paraId="2652B924" w14:textId="77777777" w:rsidR="00FC4E89" w:rsidRPr="00FC4E89" w:rsidRDefault="00FC4E89" w:rsidP="00FC4E89">
      <w:pPr>
        <w:spacing w:after="0"/>
        <w:jc w:val="center"/>
        <w:rPr>
          <w:rFonts w:ascii="Times New Roman" w:eastAsia="Calibri" w:hAnsi="Times New Roman" w:cs="Times New Roman"/>
          <w:sz w:val="24"/>
          <w:szCs w:val="24"/>
          <w:lang w:val="es-ES"/>
        </w:rPr>
      </w:pPr>
      <w:r w:rsidRPr="00FC4E89">
        <w:rPr>
          <w:rFonts w:ascii="Calibri" w:eastAsia="Calibri" w:hAnsi="Calibri" w:cs="Times New Roman"/>
          <w:noProof/>
          <w:lang w:val="en-US"/>
        </w:rPr>
        <w:drawing>
          <wp:inline distT="0" distB="0" distL="0" distR="0" wp14:anchorId="1FF34D27" wp14:editId="53E397C0">
            <wp:extent cx="3554569" cy="2666127"/>
            <wp:effectExtent l="0" t="0" r="8255" b="1270"/>
            <wp:docPr id="2293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378"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21810" t="6681" r="21482" b="12068"/>
                    <a:stretch/>
                  </pic:blipFill>
                  <pic:spPr bwMode="auto">
                    <a:xfrm>
                      <a:off x="0" y="0"/>
                      <a:ext cx="3577341" cy="2683208"/>
                    </a:xfrm>
                    <a:prstGeom prst="rect">
                      <a:avLst/>
                    </a:prstGeom>
                    <a:noFill/>
                    <a:ln>
                      <a:noFill/>
                    </a:ln>
                    <a:effectLst/>
                  </pic:spPr>
                </pic:pic>
              </a:graphicData>
            </a:graphic>
          </wp:inline>
        </w:drawing>
      </w:r>
    </w:p>
    <w:p w14:paraId="4E955D70" w14:textId="77777777" w:rsidR="00FC4E89" w:rsidRPr="00FC4E89" w:rsidRDefault="00FC4E89" w:rsidP="00FC4E89">
      <w:pPr>
        <w:spacing w:line="240" w:lineRule="auto"/>
        <w:jc w:val="center"/>
        <w:rPr>
          <w:rFonts w:ascii="Calibri" w:eastAsia="Calibri" w:hAnsi="Calibri" w:cs="Calibri"/>
          <w:sz w:val="16"/>
          <w:szCs w:val="16"/>
          <w:lang w:val="es-ES"/>
        </w:rPr>
      </w:pPr>
      <w:r w:rsidRPr="00FC4E89">
        <w:rPr>
          <w:rFonts w:ascii="Calibri" w:eastAsia="Calibri" w:hAnsi="Calibri" w:cs="Calibri"/>
          <w:sz w:val="16"/>
          <w:szCs w:val="16"/>
          <w:lang w:val="es-MX"/>
        </w:rPr>
        <w:t>Extensión y ubicación de la formación La Luna en el VMM</w:t>
      </w:r>
    </w:p>
    <w:p w14:paraId="532E76D7" w14:textId="77777777" w:rsidR="00FC4E89" w:rsidRPr="00FC4E89" w:rsidRDefault="00FC4E89" w:rsidP="00FC4E89">
      <w:pPr>
        <w:jc w:val="both"/>
        <w:rPr>
          <w:rFonts w:ascii="Times New Roman" w:eastAsia="Calibri" w:hAnsi="Times New Roman" w:cs="Times New Roman"/>
          <w:sz w:val="24"/>
          <w:szCs w:val="24"/>
          <w:lang w:val="es-ES"/>
        </w:rPr>
      </w:pPr>
      <w:r w:rsidRPr="00FC4E89">
        <w:rPr>
          <w:rFonts w:ascii="Times New Roman" w:eastAsia="Calibri" w:hAnsi="Times New Roman" w:cs="Times New Roman"/>
          <w:sz w:val="24"/>
          <w:szCs w:val="24"/>
          <w:lang w:val="es-ES"/>
        </w:rPr>
        <w:t xml:space="preserve">Igualmente, existen y se debe diferenciar las </w:t>
      </w:r>
      <w:r w:rsidRPr="00FC4E89">
        <w:rPr>
          <w:rFonts w:ascii="Times New Roman" w:eastAsia="Calibri" w:hAnsi="Times New Roman" w:cs="Times New Roman"/>
          <w:b/>
          <w:sz w:val="24"/>
          <w:szCs w:val="24"/>
          <w:lang w:val="es-ES"/>
        </w:rPr>
        <w:t>Tecnologías</w:t>
      </w:r>
      <w:r w:rsidRPr="00FC4E89">
        <w:rPr>
          <w:rFonts w:ascii="Times New Roman" w:eastAsia="Calibri" w:hAnsi="Times New Roman" w:cs="Times New Roman"/>
          <w:sz w:val="24"/>
          <w:szCs w:val="24"/>
          <w:lang w:val="es-ES"/>
        </w:rPr>
        <w:t xml:space="preserve"> </w:t>
      </w:r>
      <w:r w:rsidRPr="00FC4E89">
        <w:rPr>
          <w:rFonts w:ascii="Times New Roman" w:eastAsia="Calibri" w:hAnsi="Times New Roman" w:cs="Times New Roman"/>
          <w:b/>
          <w:sz w:val="24"/>
          <w:szCs w:val="24"/>
          <w:lang w:val="es-ES"/>
        </w:rPr>
        <w:t>Convencionales</w:t>
      </w:r>
      <w:r w:rsidRPr="00FC4E89">
        <w:rPr>
          <w:rFonts w:ascii="Times New Roman" w:eastAsia="Calibri" w:hAnsi="Times New Roman" w:cs="Times New Roman"/>
          <w:sz w:val="24"/>
          <w:szCs w:val="24"/>
          <w:lang w:val="es-ES"/>
        </w:rPr>
        <w:t xml:space="preserve"> que se usan en la Industria Petrolera, de las </w:t>
      </w:r>
      <w:r w:rsidRPr="00FC4E89">
        <w:rPr>
          <w:rFonts w:ascii="Times New Roman" w:eastAsia="Calibri" w:hAnsi="Times New Roman" w:cs="Times New Roman"/>
          <w:b/>
          <w:sz w:val="24"/>
          <w:szCs w:val="24"/>
          <w:lang w:val="es-ES"/>
        </w:rPr>
        <w:t>Tecnologías No Convencionales</w:t>
      </w:r>
      <w:r w:rsidRPr="00FC4E89">
        <w:rPr>
          <w:rFonts w:ascii="Times New Roman" w:eastAsia="Calibri" w:hAnsi="Times New Roman" w:cs="Times New Roman"/>
          <w:sz w:val="24"/>
          <w:szCs w:val="24"/>
          <w:lang w:val="es-ES"/>
        </w:rPr>
        <w:t>.</w:t>
      </w:r>
    </w:p>
    <w:p w14:paraId="3891F830" w14:textId="77777777" w:rsidR="00FC4E89" w:rsidRPr="00FC4E89" w:rsidRDefault="00FC4E89" w:rsidP="00FC4E89">
      <w:pPr>
        <w:jc w:val="both"/>
        <w:rPr>
          <w:rFonts w:ascii="Calibri" w:eastAsia="Calibri" w:hAnsi="Calibri" w:cs="Times New Roman"/>
          <w:lang w:val="es-ES"/>
        </w:rPr>
      </w:pPr>
    </w:p>
    <w:p w14:paraId="52EB1A5C" w14:textId="77777777" w:rsidR="00FC4E89" w:rsidRPr="00FC4E89" w:rsidRDefault="00FC4E89" w:rsidP="00FC4E89">
      <w:pPr>
        <w:jc w:val="center"/>
        <w:rPr>
          <w:rFonts w:ascii="Calibri" w:eastAsia="Calibri" w:hAnsi="Calibri" w:cs="Times New Roman"/>
          <w:lang w:val="es-ES"/>
        </w:rPr>
      </w:pPr>
      <w:r w:rsidRPr="00FC4E89">
        <w:rPr>
          <w:rFonts w:ascii="Calibri" w:eastAsia="Calibri" w:hAnsi="Calibri" w:cs="Times New Roman"/>
          <w:noProof/>
          <w:lang w:val="en-US"/>
        </w:rPr>
        <w:lastRenderedPageBreak/>
        <w:drawing>
          <wp:inline distT="0" distB="0" distL="0" distR="0" wp14:anchorId="5D417EA2" wp14:editId="34A3FD8B">
            <wp:extent cx="2485623" cy="2344652"/>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2951" r="45123" b="10397"/>
                    <a:stretch/>
                  </pic:blipFill>
                  <pic:spPr bwMode="auto">
                    <a:xfrm>
                      <a:off x="0" y="0"/>
                      <a:ext cx="2685610" cy="2533297"/>
                    </a:xfrm>
                    <a:prstGeom prst="rect">
                      <a:avLst/>
                    </a:prstGeom>
                    <a:ln>
                      <a:noFill/>
                    </a:ln>
                    <a:extLst>
                      <a:ext uri="{53640926-AAD7-44D8-BBD7-CCE9431645EC}">
                        <a14:shadowObscured xmlns:a14="http://schemas.microsoft.com/office/drawing/2010/main"/>
                      </a:ext>
                    </a:extLst>
                  </pic:spPr>
                </pic:pic>
              </a:graphicData>
            </a:graphic>
          </wp:inline>
        </w:drawing>
      </w:r>
      <w:r w:rsidRPr="00FC4E89">
        <w:rPr>
          <w:rFonts w:ascii="Calibri" w:eastAsia="Calibri" w:hAnsi="Calibri" w:cs="Times New Roman"/>
          <w:lang w:val="es-ES"/>
        </w:rPr>
        <w:t xml:space="preserve">      </w:t>
      </w:r>
      <w:r w:rsidRPr="00FC4E89">
        <w:rPr>
          <w:rFonts w:ascii="Calibri" w:eastAsia="Calibri" w:hAnsi="Calibri" w:cs="Times New Roman"/>
          <w:noProof/>
          <w:lang w:val="en-US"/>
        </w:rPr>
        <w:drawing>
          <wp:inline distT="0" distB="0" distL="0" distR="0" wp14:anchorId="12429E88" wp14:editId="20C88380">
            <wp:extent cx="2343955" cy="225141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374" t="7363" r="45821" b="19586"/>
                    <a:stretch/>
                  </pic:blipFill>
                  <pic:spPr bwMode="auto">
                    <a:xfrm>
                      <a:off x="0" y="0"/>
                      <a:ext cx="2381571" cy="2287544"/>
                    </a:xfrm>
                    <a:prstGeom prst="rect">
                      <a:avLst/>
                    </a:prstGeom>
                    <a:ln>
                      <a:noFill/>
                    </a:ln>
                    <a:extLst>
                      <a:ext uri="{53640926-AAD7-44D8-BBD7-CCE9431645EC}">
                        <a14:shadowObscured xmlns:a14="http://schemas.microsoft.com/office/drawing/2010/main"/>
                      </a:ext>
                    </a:extLst>
                  </pic:spPr>
                </pic:pic>
              </a:graphicData>
            </a:graphic>
          </wp:inline>
        </w:drawing>
      </w:r>
    </w:p>
    <w:p w14:paraId="205F1BDB" w14:textId="77777777" w:rsidR="00FC4E89" w:rsidRPr="00FC4E89" w:rsidRDefault="00FC4E89" w:rsidP="00FC4E89">
      <w:pPr>
        <w:jc w:val="both"/>
        <w:rPr>
          <w:rFonts w:ascii="Calibri" w:eastAsia="Calibri" w:hAnsi="Calibri" w:cs="Times New Roman"/>
          <w:sz w:val="16"/>
          <w:szCs w:val="16"/>
          <w:lang w:val="es-ES"/>
        </w:rPr>
      </w:pPr>
      <w:r w:rsidRPr="00FC4E89">
        <w:rPr>
          <w:rFonts w:ascii="Calibri" w:eastAsia="Calibri" w:hAnsi="Calibri" w:cs="Times New Roman"/>
          <w:lang w:val="es-ES"/>
        </w:rPr>
        <w:t xml:space="preserve">        </w:t>
      </w:r>
      <w:r w:rsidRPr="00FC4E89">
        <w:rPr>
          <w:rFonts w:ascii="Calibri" w:eastAsia="Calibri" w:hAnsi="Calibri" w:cs="Times New Roman"/>
          <w:sz w:val="16"/>
          <w:szCs w:val="16"/>
          <w:lang w:val="es-ES"/>
        </w:rPr>
        <w:t xml:space="preserve">Tecnología Convencional de Perforación con mesa rotaria.              Tecnología Convencional de Perforación con Top Drive. </w:t>
      </w:r>
    </w:p>
    <w:p w14:paraId="7BBC71A1" w14:textId="77777777" w:rsidR="00FC4E89" w:rsidRPr="00FC4E89" w:rsidRDefault="00FC4E89" w:rsidP="00FC4E89">
      <w:pPr>
        <w:jc w:val="both"/>
        <w:rPr>
          <w:rFonts w:ascii="Times New Roman" w:eastAsia="Calibri" w:hAnsi="Times New Roman" w:cs="Times New Roman"/>
          <w:sz w:val="24"/>
          <w:szCs w:val="24"/>
          <w:lang w:val="es-ES"/>
        </w:rPr>
      </w:pPr>
      <w:r w:rsidRPr="00FC4E89">
        <w:rPr>
          <w:rFonts w:ascii="Times New Roman" w:eastAsia="Calibri" w:hAnsi="Times New Roman" w:cs="Times New Roman"/>
          <w:sz w:val="24"/>
          <w:szCs w:val="24"/>
          <w:lang w:val="es-ES"/>
        </w:rPr>
        <w:t xml:space="preserve">Por ejemplo: existe la perforación convencional con taladro de mesa rotaria, Kelly y </w:t>
      </w:r>
      <w:proofErr w:type="spellStart"/>
      <w:r w:rsidRPr="00FC4E89">
        <w:rPr>
          <w:rFonts w:ascii="Times New Roman" w:eastAsia="Calibri" w:hAnsi="Times New Roman" w:cs="Times New Roman"/>
          <w:sz w:val="24"/>
          <w:szCs w:val="24"/>
          <w:lang w:val="es-ES"/>
        </w:rPr>
        <w:t>Swivel</w:t>
      </w:r>
      <w:proofErr w:type="spellEnd"/>
      <w:r w:rsidRPr="00FC4E89">
        <w:rPr>
          <w:rFonts w:ascii="Times New Roman" w:eastAsia="Calibri" w:hAnsi="Times New Roman" w:cs="Times New Roman"/>
          <w:sz w:val="24"/>
          <w:szCs w:val="24"/>
          <w:lang w:val="es-ES"/>
        </w:rPr>
        <w:t xml:space="preserve">; y taladros con Top Drive. También existen pozos convencionales verticales o direccionales, y existen pozos no convencionales horizontales y multilaterales perforados con motor de fondo. La técnica de la Perforación Horizontal (PH), la desarrolló el Instituto Francés del Petróleo en 1983, y originalmente se conoció como “Turbo Drill”, hoy Motor de Fondo. Tecnología en la cual la sarta de perforación no rota, permitiendo que se pueda perforar horizontalmente o en diferentes direcciones, pues la única que rota es la broca; la cual está conectada a un Rotor. El Rotor gira y hace girar la broca, gracias a la energía hidráulica del lodo que circula entre un </w:t>
      </w:r>
      <w:proofErr w:type="spellStart"/>
      <w:r w:rsidRPr="00FC4E89">
        <w:rPr>
          <w:rFonts w:ascii="Times New Roman" w:eastAsia="Calibri" w:hAnsi="Times New Roman" w:cs="Times New Roman"/>
          <w:sz w:val="24"/>
          <w:szCs w:val="24"/>
          <w:lang w:val="es-ES"/>
        </w:rPr>
        <w:t>Stator</w:t>
      </w:r>
      <w:proofErr w:type="spellEnd"/>
      <w:r w:rsidRPr="00FC4E89">
        <w:rPr>
          <w:rFonts w:ascii="Times New Roman" w:eastAsia="Calibri" w:hAnsi="Times New Roman" w:cs="Times New Roman"/>
          <w:sz w:val="24"/>
          <w:szCs w:val="24"/>
          <w:lang w:val="es-ES"/>
        </w:rPr>
        <w:t xml:space="preserve"> y el Rotor.</w:t>
      </w:r>
    </w:p>
    <w:p w14:paraId="07601BDD" w14:textId="77777777" w:rsidR="00FC4E89" w:rsidRPr="00FC4E89" w:rsidRDefault="00FC4E89" w:rsidP="00FC4E89">
      <w:pPr>
        <w:jc w:val="both"/>
        <w:rPr>
          <w:rFonts w:ascii="Calibri" w:eastAsia="Calibri" w:hAnsi="Calibri" w:cs="Times New Roman"/>
          <w:lang w:val="es-ES"/>
        </w:rPr>
      </w:pPr>
      <w:r w:rsidRPr="00FC4E89">
        <w:rPr>
          <w:rFonts w:ascii="Calibri" w:eastAsia="Calibri" w:hAnsi="Calibri" w:cs="Times New Roman"/>
          <w:noProof/>
          <w:lang w:val="en-US"/>
        </w:rPr>
        <w:lastRenderedPageBreak/>
        <w:drawing>
          <wp:inline distT="0" distB="0" distL="0" distR="0" wp14:anchorId="476992E7" wp14:editId="383573BF">
            <wp:extent cx="2720975" cy="2203698"/>
            <wp:effectExtent l="0" t="0" r="3175"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6422" t="32438" r="4030" b="5848"/>
                    <a:stretch/>
                  </pic:blipFill>
                  <pic:spPr bwMode="auto">
                    <a:xfrm>
                      <a:off x="0" y="0"/>
                      <a:ext cx="2726126" cy="2207869"/>
                    </a:xfrm>
                    <a:prstGeom prst="rect">
                      <a:avLst/>
                    </a:prstGeom>
                    <a:ln>
                      <a:noFill/>
                    </a:ln>
                    <a:extLst>
                      <a:ext uri="{53640926-AAD7-44D8-BBD7-CCE9431645EC}">
                        <a14:shadowObscured xmlns:a14="http://schemas.microsoft.com/office/drawing/2010/main"/>
                      </a:ext>
                    </a:extLst>
                  </pic:spPr>
                </pic:pic>
              </a:graphicData>
            </a:graphic>
          </wp:inline>
        </w:drawing>
      </w:r>
      <w:r w:rsidRPr="00FC4E89">
        <w:rPr>
          <w:rFonts w:ascii="Calibri" w:eastAsia="Calibri" w:hAnsi="Calibri" w:cs="Times New Roman"/>
          <w:lang w:val="es-ES"/>
        </w:rPr>
        <w:t xml:space="preserve">  </w:t>
      </w:r>
      <w:r w:rsidRPr="00FC4E89">
        <w:rPr>
          <w:rFonts w:ascii="Calibri" w:eastAsia="Calibri" w:hAnsi="Calibri" w:cs="Times New Roman"/>
          <w:noProof/>
          <w:lang w:val="en-US"/>
        </w:rPr>
        <w:drawing>
          <wp:inline distT="0" distB="0" distL="0" distR="0" wp14:anchorId="75A63954" wp14:editId="04F24EA5">
            <wp:extent cx="2804615" cy="219844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031" t="15920" r="5523"/>
                    <a:stretch/>
                  </pic:blipFill>
                  <pic:spPr bwMode="auto">
                    <a:xfrm>
                      <a:off x="0" y="0"/>
                      <a:ext cx="2811238" cy="2203640"/>
                    </a:xfrm>
                    <a:prstGeom prst="rect">
                      <a:avLst/>
                    </a:prstGeom>
                    <a:ln>
                      <a:noFill/>
                    </a:ln>
                    <a:extLst>
                      <a:ext uri="{53640926-AAD7-44D8-BBD7-CCE9431645EC}">
                        <a14:shadowObscured xmlns:a14="http://schemas.microsoft.com/office/drawing/2010/main"/>
                      </a:ext>
                    </a:extLst>
                  </pic:spPr>
                </pic:pic>
              </a:graphicData>
            </a:graphic>
          </wp:inline>
        </w:drawing>
      </w:r>
    </w:p>
    <w:p w14:paraId="0D198FD5" w14:textId="77777777" w:rsidR="00FC4E89" w:rsidRPr="00FC4E89" w:rsidRDefault="00FC4E89" w:rsidP="00FC4E89">
      <w:pPr>
        <w:jc w:val="both"/>
        <w:rPr>
          <w:rFonts w:ascii="Calibri" w:eastAsia="Calibri" w:hAnsi="Calibri" w:cs="Times New Roman"/>
          <w:sz w:val="16"/>
          <w:szCs w:val="16"/>
          <w:lang w:val="es-ES"/>
        </w:rPr>
      </w:pPr>
      <w:r w:rsidRPr="00FC4E89">
        <w:rPr>
          <w:rFonts w:ascii="Calibri" w:eastAsia="Calibri" w:hAnsi="Calibri" w:cs="Times New Roman"/>
          <w:sz w:val="16"/>
          <w:szCs w:val="16"/>
          <w:lang w:val="es-ES"/>
        </w:rPr>
        <w:t>Pozos Vertical y Direccional perforados con Rotaria o Top Drive.       Pozos Horizontales perforados con Motor de Fondo.</w:t>
      </w:r>
    </w:p>
    <w:p w14:paraId="28AF87BE" w14:textId="77777777" w:rsidR="00FC4E89" w:rsidRPr="00FC4E89" w:rsidRDefault="00FC4E89" w:rsidP="00FC4E89">
      <w:pPr>
        <w:contextualSpacing/>
        <w:jc w:val="both"/>
        <w:rPr>
          <w:rFonts w:ascii="Times New Roman" w:eastAsia="Calibri" w:hAnsi="Times New Roman" w:cs="Times New Roman"/>
          <w:b/>
          <w:sz w:val="28"/>
          <w:szCs w:val="28"/>
          <w:lang w:val="es-MX"/>
        </w:rPr>
      </w:pPr>
      <w:r w:rsidRPr="00FC4E89">
        <w:rPr>
          <w:rFonts w:ascii="Times New Roman" w:eastAsia="Calibri" w:hAnsi="Times New Roman" w:cs="Times New Roman"/>
          <w:sz w:val="24"/>
          <w:szCs w:val="24"/>
          <w:lang w:val="es-MX"/>
        </w:rPr>
        <w:t xml:space="preserve">Con el uso de esta tecnología de perforación con motor de fondo, se logran múltiples diseños y formas geométricas de los pozos, y se alcanzan distancias perimetrales horizontales, en el fondo, a través de una misma roca, de hasta 3.5 kilómetros (11 mil pies). </w:t>
      </w:r>
    </w:p>
    <w:p w14:paraId="70F741B0" w14:textId="77777777" w:rsidR="00FC4E89" w:rsidRPr="00FC4E89" w:rsidRDefault="00FC4E89" w:rsidP="00FC4E89">
      <w:pPr>
        <w:contextualSpacing/>
        <w:rPr>
          <w:rFonts w:ascii="Times New Roman" w:eastAsia="Calibri" w:hAnsi="Times New Roman" w:cs="Times New Roman"/>
          <w:b/>
          <w:sz w:val="24"/>
          <w:szCs w:val="24"/>
          <w:lang w:val="es-MX"/>
        </w:rPr>
      </w:pPr>
    </w:p>
    <w:p w14:paraId="589FE995" w14:textId="77777777" w:rsidR="00FC4E89" w:rsidRPr="00FC4E89" w:rsidRDefault="00FC4E89" w:rsidP="00FC4E89">
      <w:pPr>
        <w:jc w:val="both"/>
        <w:rPr>
          <w:rFonts w:ascii="Times New Roman" w:eastAsia="Calibri" w:hAnsi="Times New Roman" w:cs="Times New Roman"/>
          <w:sz w:val="24"/>
          <w:szCs w:val="24"/>
          <w:lang w:val="es-ES"/>
        </w:rPr>
      </w:pPr>
      <w:r w:rsidRPr="00FC4E89">
        <w:rPr>
          <w:rFonts w:ascii="Times New Roman" w:eastAsia="Calibri" w:hAnsi="Times New Roman" w:cs="Times New Roman"/>
          <w:sz w:val="24"/>
          <w:szCs w:val="24"/>
          <w:lang w:val="es-MX"/>
        </w:rPr>
        <w:t>O sea</w:t>
      </w:r>
      <w:r w:rsidRPr="00FC4E89">
        <w:rPr>
          <w:rFonts w:ascii="Times New Roman" w:eastAsia="Calibri" w:hAnsi="Times New Roman" w:cs="Times New Roman"/>
          <w:sz w:val="24"/>
          <w:szCs w:val="24"/>
          <w:lang w:val="es-ES"/>
        </w:rPr>
        <w:t xml:space="preserve">, se pueden encontrar campos petroleros cuyo yacimiento es CONVENCIONAL y se le aplica tecnología NO CONVENCIONAL, como por ejemplo el caso de Castilla, </w:t>
      </w:r>
      <w:proofErr w:type="spellStart"/>
      <w:r w:rsidRPr="00FC4E89">
        <w:rPr>
          <w:rFonts w:ascii="Times New Roman" w:eastAsia="Calibri" w:hAnsi="Times New Roman" w:cs="Times New Roman"/>
          <w:sz w:val="24"/>
          <w:szCs w:val="24"/>
          <w:lang w:val="es-ES"/>
        </w:rPr>
        <w:t>Chichimene</w:t>
      </w:r>
      <w:proofErr w:type="spellEnd"/>
      <w:r w:rsidRPr="00FC4E89">
        <w:rPr>
          <w:rFonts w:ascii="Times New Roman" w:eastAsia="Calibri" w:hAnsi="Times New Roman" w:cs="Times New Roman"/>
          <w:sz w:val="24"/>
          <w:szCs w:val="24"/>
          <w:lang w:val="es-ES"/>
        </w:rPr>
        <w:t xml:space="preserve">, </w:t>
      </w:r>
      <w:proofErr w:type="spellStart"/>
      <w:r w:rsidRPr="00FC4E89">
        <w:rPr>
          <w:rFonts w:ascii="Times New Roman" w:eastAsia="Calibri" w:hAnsi="Times New Roman" w:cs="Times New Roman"/>
          <w:sz w:val="24"/>
          <w:szCs w:val="24"/>
          <w:lang w:val="es-ES"/>
        </w:rPr>
        <w:t>Chuchupa</w:t>
      </w:r>
      <w:proofErr w:type="spellEnd"/>
      <w:r w:rsidRPr="00FC4E89">
        <w:rPr>
          <w:rFonts w:ascii="Times New Roman" w:eastAsia="Calibri" w:hAnsi="Times New Roman" w:cs="Times New Roman"/>
          <w:sz w:val="24"/>
          <w:szCs w:val="24"/>
          <w:lang w:val="es-ES"/>
        </w:rPr>
        <w:t xml:space="preserve"> B, y Chipirón en Caño de Limón, donde encontramos Yacimientos Convencionales de Arenisca con plataformas multipozo y perforación horizontal, sin fracturamiento hidráulico o con una sola etapa de fracturamiento, pero no con fracturamiento hidráulico multietapa. Este tipo se hidrocarburo se cataloga como convencional.</w:t>
      </w:r>
    </w:p>
    <w:p w14:paraId="09D0E1A8" w14:textId="77777777" w:rsidR="00FC4E89" w:rsidRPr="00FC4E89" w:rsidRDefault="00FC4E89" w:rsidP="00FC4E89">
      <w:pPr>
        <w:jc w:val="both"/>
        <w:rPr>
          <w:rFonts w:ascii="Times New Roman" w:eastAsia="Calibri" w:hAnsi="Times New Roman" w:cs="Times New Roman"/>
          <w:sz w:val="24"/>
          <w:szCs w:val="24"/>
          <w:lang w:val="es-ES"/>
        </w:rPr>
      </w:pPr>
    </w:p>
    <w:p w14:paraId="2D6DAC6B" w14:textId="77777777" w:rsidR="00FC4E89" w:rsidRPr="00FC4E89" w:rsidRDefault="00FC4E89" w:rsidP="00FC4E89">
      <w:pPr>
        <w:spacing w:after="0"/>
        <w:jc w:val="both"/>
        <w:rPr>
          <w:rFonts w:ascii="Calibri" w:eastAsia="Calibri" w:hAnsi="Calibri" w:cs="Times New Roman"/>
          <w:sz w:val="16"/>
          <w:szCs w:val="16"/>
          <w:lang w:val="es-ES"/>
        </w:rPr>
      </w:pPr>
      <w:r w:rsidRPr="00FC4E89">
        <w:rPr>
          <w:rFonts w:ascii="Calibri" w:eastAsia="Calibri" w:hAnsi="Calibri" w:cs="Times New Roman"/>
          <w:noProof/>
          <w:lang w:val="en-US"/>
        </w:rPr>
        <w:lastRenderedPageBreak/>
        <w:drawing>
          <wp:inline distT="0" distB="0" distL="0" distR="0" wp14:anchorId="5EBFBE9F" wp14:editId="7D00B9D1">
            <wp:extent cx="2635882" cy="2002665"/>
            <wp:effectExtent l="0" t="0" r="0" b="0"/>
            <wp:docPr id="1" name="Imagen 1" descr="Fue tendida una red férrea elevada de 3,5 kilómet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e tendida una red férrea elevada de 3,5 kilómetro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0679" cy="2127873"/>
                    </a:xfrm>
                    <a:prstGeom prst="rect">
                      <a:avLst/>
                    </a:prstGeom>
                    <a:noFill/>
                    <a:ln>
                      <a:noFill/>
                    </a:ln>
                  </pic:spPr>
                </pic:pic>
              </a:graphicData>
            </a:graphic>
          </wp:inline>
        </w:drawing>
      </w:r>
      <w:r w:rsidRPr="00FC4E89">
        <w:rPr>
          <w:rFonts w:ascii="Calibri" w:eastAsia="Calibri" w:hAnsi="Calibri" w:cs="Times New Roman"/>
          <w:noProof/>
          <w:lang w:val="es-MX"/>
        </w:rPr>
        <w:t xml:space="preserve">     </w:t>
      </w:r>
      <w:r w:rsidRPr="00FC4E89">
        <w:rPr>
          <w:rFonts w:ascii="Calibri" w:eastAsia="Calibri" w:hAnsi="Calibri" w:cs="Times New Roman"/>
          <w:noProof/>
          <w:lang w:val="en-US"/>
        </w:rPr>
        <w:drawing>
          <wp:inline distT="0" distB="0" distL="0" distR="0" wp14:anchorId="1FE581E3" wp14:editId="42B497CA">
            <wp:extent cx="2680592" cy="1996226"/>
            <wp:effectExtent l="0" t="0" r="5715" b="4445"/>
            <wp:docPr id="10" name="Imagen 1" descr="CAMBPO BALLENAS   ECOPE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BPO BALLENAS   ECOPETRO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1370" cy="2063828"/>
                    </a:xfrm>
                    <a:prstGeom prst="rect">
                      <a:avLst/>
                    </a:prstGeom>
                    <a:noFill/>
                    <a:ln>
                      <a:noFill/>
                    </a:ln>
                  </pic:spPr>
                </pic:pic>
              </a:graphicData>
            </a:graphic>
          </wp:inline>
        </w:drawing>
      </w:r>
      <w:r w:rsidRPr="00FC4E89">
        <w:rPr>
          <w:rFonts w:ascii="Calibri" w:eastAsia="Calibri" w:hAnsi="Calibri" w:cs="Times New Roman"/>
          <w:sz w:val="16"/>
          <w:szCs w:val="16"/>
          <w:lang w:val="es-ES"/>
        </w:rPr>
        <w:t xml:space="preserve">Plataforma multipozo de Chipirón con pozos horizontales.                      Plataforma multipozo de </w:t>
      </w:r>
      <w:proofErr w:type="spellStart"/>
      <w:r w:rsidRPr="00FC4E89">
        <w:rPr>
          <w:rFonts w:ascii="Calibri" w:eastAsia="Calibri" w:hAnsi="Calibri" w:cs="Times New Roman"/>
          <w:sz w:val="16"/>
          <w:szCs w:val="16"/>
          <w:lang w:val="es-ES"/>
        </w:rPr>
        <w:t>Chuchupa</w:t>
      </w:r>
      <w:proofErr w:type="spellEnd"/>
      <w:r w:rsidRPr="00FC4E89">
        <w:rPr>
          <w:rFonts w:ascii="Calibri" w:eastAsia="Calibri" w:hAnsi="Calibri" w:cs="Times New Roman"/>
          <w:sz w:val="16"/>
          <w:szCs w:val="16"/>
          <w:lang w:val="es-ES"/>
        </w:rPr>
        <w:t xml:space="preserve"> B.         </w:t>
      </w:r>
    </w:p>
    <w:p w14:paraId="637C5C29" w14:textId="77777777" w:rsidR="00FC4E89" w:rsidRPr="00FC4E89" w:rsidRDefault="00FC4E89" w:rsidP="00FC4E89">
      <w:pPr>
        <w:jc w:val="both"/>
        <w:rPr>
          <w:rFonts w:ascii="Times New Roman" w:eastAsia="Calibri" w:hAnsi="Times New Roman" w:cs="Times New Roman"/>
          <w:sz w:val="24"/>
          <w:szCs w:val="24"/>
          <w:lang w:val="es-ES"/>
        </w:rPr>
      </w:pPr>
    </w:p>
    <w:p w14:paraId="34E88230" w14:textId="77777777" w:rsidR="00FC4E89" w:rsidRPr="00FC4E89" w:rsidRDefault="00FC4E89" w:rsidP="00FC4E89">
      <w:pPr>
        <w:jc w:val="both"/>
        <w:rPr>
          <w:rFonts w:ascii="Calibri" w:eastAsia="Calibri" w:hAnsi="Calibri" w:cs="Times New Roman"/>
          <w:lang w:val="es-ES"/>
        </w:rPr>
      </w:pPr>
      <w:r w:rsidRPr="00FC4E89">
        <w:rPr>
          <w:rFonts w:ascii="Times New Roman" w:eastAsia="Calibri" w:hAnsi="Times New Roman" w:cs="Times New Roman"/>
          <w:sz w:val="24"/>
          <w:szCs w:val="24"/>
          <w:lang w:val="es-ES"/>
        </w:rPr>
        <w:t xml:space="preserve">Igualmente, en Colombia existen Yacimientos No Convencionales, tipo arenas apretadas, con tecnología </w:t>
      </w:r>
      <w:r w:rsidRPr="00FC4E89">
        <w:rPr>
          <w:rFonts w:ascii="Times New Roman" w:eastAsia="Calibri" w:hAnsi="Times New Roman" w:cs="Times New Roman"/>
          <w:b/>
          <w:sz w:val="24"/>
          <w:szCs w:val="24"/>
          <w:lang w:val="es-ES"/>
        </w:rPr>
        <w:t>convencional,</w:t>
      </w:r>
      <w:r w:rsidRPr="00FC4E89">
        <w:rPr>
          <w:rFonts w:ascii="Times New Roman" w:eastAsia="Calibri" w:hAnsi="Times New Roman" w:cs="Times New Roman"/>
          <w:sz w:val="24"/>
          <w:szCs w:val="24"/>
          <w:lang w:val="es-ES"/>
        </w:rPr>
        <w:t xml:space="preserve"> catalogados como campos con hidrocarburos convencionales; como es el caso de Cusiana y </w:t>
      </w:r>
      <w:proofErr w:type="spellStart"/>
      <w:r w:rsidRPr="00FC4E89">
        <w:rPr>
          <w:rFonts w:ascii="Times New Roman" w:eastAsia="Calibri" w:hAnsi="Times New Roman" w:cs="Times New Roman"/>
          <w:sz w:val="24"/>
          <w:szCs w:val="24"/>
          <w:lang w:val="es-ES"/>
        </w:rPr>
        <w:t>Cupiagua</w:t>
      </w:r>
      <w:proofErr w:type="spellEnd"/>
      <w:r w:rsidRPr="00FC4E89">
        <w:rPr>
          <w:rFonts w:ascii="Times New Roman" w:eastAsia="Calibri" w:hAnsi="Times New Roman" w:cs="Times New Roman"/>
          <w:sz w:val="24"/>
          <w:szCs w:val="24"/>
          <w:lang w:val="es-ES"/>
        </w:rPr>
        <w:t xml:space="preserve"> en Casanare, donde el 80% de los pozos han sido fracturados; o el caso del campo Guando en Melgar - Tolima, donde el 100% de los pozos han sido fracturados por poseer, el yacimiento, muy baja permeabilidad. En estos casos se usa tecnología convencional de Fracturamiento Hidráulico a través de pozos verticales o direccionales. También, podemos tener Yacimientos No Convencionales, tipo Roca Generadora, explotados con Tecnología Convencional de pozos verticales, sin Fracturamiento Hidráulico, porque el yacimiento ya está naturalmente fracturado… como ocurre en la mayoría de </w:t>
      </w:r>
      <w:proofErr w:type="gramStart"/>
      <w:r w:rsidRPr="00FC4E89">
        <w:rPr>
          <w:rFonts w:ascii="Times New Roman" w:eastAsia="Calibri" w:hAnsi="Times New Roman" w:cs="Times New Roman"/>
          <w:sz w:val="24"/>
          <w:szCs w:val="24"/>
          <w:lang w:val="es-ES"/>
        </w:rPr>
        <w:t>campos</w:t>
      </w:r>
      <w:proofErr w:type="gramEnd"/>
      <w:r w:rsidRPr="00FC4E89">
        <w:rPr>
          <w:rFonts w:ascii="Times New Roman" w:eastAsia="Calibri" w:hAnsi="Times New Roman" w:cs="Times New Roman"/>
          <w:sz w:val="24"/>
          <w:szCs w:val="24"/>
          <w:lang w:val="es-ES"/>
        </w:rPr>
        <w:t xml:space="preserve"> convencionales del Catatumbo, como </w:t>
      </w:r>
      <w:proofErr w:type="spellStart"/>
      <w:r w:rsidRPr="00FC4E89">
        <w:rPr>
          <w:rFonts w:ascii="Times New Roman" w:eastAsia="Calibri" w:hAnsi="Times New Roman" w:cs="Times New Roman"/>
          <w:sz w:val="24"/>
          <w:szCs w:val="24"/>
          <w:lang w:val="es-ES"/>
        </w:rPr>
        <w:t>Petrólea</w:t>
      </w:r>
      <w:proofErr w:type="spellEnd"/>
      <w:r w:rsidRPr="00FC4E89">
        <w:rPr>
          <w:rFonts w:ascii="Times New Roman" w:eastAsia="Calibri" w:hAnsi="Times New Roman" w:cs="Times New Roman"/>
          <w:sz w:val="24"/>
          <w:szCs w:val="24"/>
          <w:lang w:val="es-ES"/>
        </w:rPr>
        <w:t xml:space="preserve">, los cuales producen de las formaciones La Luna, </w:t>
      </w:r>
      <w:proofErr w:type="spellStart"/>
      <w:r w:rsidRPr="00FC4E89">
        <w:rPr>
          <w:rFonts w:ascii="Times New Roman" w:eastAsia="Calibri" w:hAnsi="Times New Roman" w:cs="Times New Roman"/>
          <w:sz w:val="24"/>
          <w:szCs w:val="24"/>
          <w:lang w:val="es-ES"/>
        </w:rPr>
        <w:t>Ostrea</w:t>
      </w:r>
      <w:proofErr w:type="spellEnd"/>
      <w:r w:rsidRPr="00FC4E89">
        <w:rPr>
          <w:rFonts w:ascii="Times New Roman" w:eastAsia="Calibri" w:hAnsi="Times New Roman" w:cs="Times New Roman"/>
          <w:sz w:val="24"/>
          <w:szCs w:val="24"/>
          <w:lang w:val="es-ES"/>
        </w:rPr>
        <w:t xml:space="preserve"> y Cogollo, que son Rocas Generadoras. Lo mismo ocurre en el Valle Medio del Magdalena con el campo </w:t>
      </w:r>
      <w:proofErr w:type="spellStart"/>
      <w:r w:rsidRPr="00FC4E89">
        <w:rPr>
          <w:rFonts w:ascii="Times New Roman" w:eastAsia="Calibri" w:hAnsi="Times New Roman" w:cs="Times New Roman"/>
          <w:sz w:val="24"/>
          <w:szCs w:val="24"/>
          <w:lang w:val="es-ES"/>
        </w:rPr>
        <w:t>Totumal</w:t>
      </w:r>
      <w:proofErr w:type="spellEnd"/>
      <w:r w:rsidRPr="00FC4E89">
        <w:rPr>
          <w:rFonts w:ascii="Times New Roman" w:eastAsia="Calibri" w:hAnsi="Times New Roman" w:cs="Times New Roman"/>
          <w:sz w:val="24"/>
          <w:szCs w:val="24"/>
          <w:lang w:val="es-ES"/>
        </w:rPr>
        <w:t>, el cual también produce de la</w:t>
      </w:r>
      <w:r w:rsidRPr="00FC4E89">
        <w:rPr>
          <w:rFonts w:ascii="Calibri" w:eastAsia="Calibri" w:hAnsi="Calibri" w:cs="Times New Roman"/>
          <w:lang w:val="es-ES"/>
        </w:rPr>
        <w:t xml:space="preserve"> </w:t>
      </w:r>
      <w:r w:rsidRPr="00FC4E89">
        <w:rPr>
          <w:rFonts w:ascii="Times New Roman" w:eastAsia="Calibri" w:hAnsi="Times New Roman" w:cs="Times New Roman"/>
          <w:sz w:val="24"/>
          <w:szCs w:val="24"/>
          <w:lang w:val="es-ES"/>
        </w:rPr>
        <w:t xml:space="preserve">Formación La Luna; y los campos </w:t>
      </w:r>
      <w:proofErr w:type="spellStart"/>
      <w:r w:rsidRPr="00FC4E89">
        <w:rPr>
          <w:rFonts w:ascii="Times New Roman" w:eastAsia="Calibri" w:hAnsi="Times New Roman" w:cs="Times New Roman"/>
          <w:sz w:val="24"/>
          <w:szCs w:val="24"/>
          <w:lang w:val="es-ES"/>
        </w:rPr>
        <w:t>Buturama</w:t>
      </w:r>
      <w:proofErr w:type="spellEnd"/>
      <w:r w:rsidRPr="00FC4E89">
        <w:rPr>
          <w:rFonts w:ascii="Times New Roman" w:eastAsia="Calibri" w:hAnsi="Times New Roman" w:cs="Times New Roman"/>
          <w:sz w:val="24"/>
          <w:szCs w:val="24"/>
          <w:lang w:val="es-ES"/>
        </w:rPr>
        <w:t xml:space="preserve"> y Pital, que producen de la Formación Rosa Blanca, la cual es otra Roca Generadora (YNC).</w:t>
      </w:r>
    </w:p>
    <w:p w14:paraId="56D7377D" w14:textId="77777777" w:rsidR="00FC4E89" w:rsidRPr="00FC4E89" w:rsidRDefault="00FC4E89" w:rsidP="00FC4E89">
      <w:pPr>
        <w:spacing w:after="0"/>
        <w:jc w:val="center"/>
        <w:rPr>
          <w:rFonts w:ascii="Calibri" w:eastAsia="Calibri" w:hAnsi="Calibri" w:cs="Times New Roman"/>
          <w:lang w:val="es-ES"/>
        </w:rPr>
      </w:pPr>
      <w:r w:rsidRPr="00FC4E89">
        <w:rPr>
          <w:rFonts w:ascii="Calibri" w:eastAsia="Calibri" w:hAnsi="Calibri" w:cs="Times New Roman"/>
          <w:noProof/>
          <w:lang w:val="en-US"/>
        </w:rPr>
        <w:lastRenderedPageBreak/>
        <mc:AlternateContent>
          <mc:Choice Requires="wps">
            <w:drawing>
              <wp:anchor distT="0" distB="0" distL="114300" distR="114300" simplePos="0" relativeHeight="251659264" behindDoc="0" locked="0" layoutInCell="1" allowOverlap="1" wp14:anchorId="252FEE4F" wp14:editId="3AD622F1">
                <wp:simplePos x="0" y="0"/>
                <wp:positionH relativeFrom="column">
                  <wp:posOffset>3522640</wp:posOffset>
                </wp:positionH>
                <wp:positionV relativeFrom="paragraph">
                  <wp:posOffset>1750650</wp:posOffset>
                </wp:positionV>
                <wp:extent cx="914400" cy="914400"/>
                <wp:effectExtent l="0" t="0" r="19050" b="19050"/>
                <wp:wrapNone/>
                <wp:docPr id="16" name="Elipse 16"/>
                <wp:cNvGraphicFramePr/>
                <a:graphic xmlns:a="http://schemas.openxmlformats.org/drawingml/2006/main">
                  <a:graphicData uri="http://schemas.microsoft.com/office/word/2010/wordprocessingShape">
                    <wps:wsp>
                      <wps:cNvSpPr/>
                      <wps:spPr>
                        <a:xfrm>
                          <a:off x="0" y="0"/>
                          <a:ext cx="914400" cy="914400"/>
                        </a:xfrm>
                        <a:prstGeom prst="ellipse">
                          <a:avLst/>
                        </a:prstGeom>
                        <a:no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FEE1C0" id="Elipse 16" o:spid="_x0000_s1026" style="position:absolute;margin-left:277.35pt;margin-top:137.85pt;width:1in;height:1in;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" filled="f" strokecolor="#ed7d31" strokeweight="1pt">
                <v:stroke joinstyle="miter"/>
              </v:oval>
            </w:pict>
          </mc:Fallback>
        </mc:AlternateContent>
      </w:r>
      <w:r w:rsidRPr="00FC4E89">
        <w:rPr>
          <w:rFonts w:ascii="Calibri" w:eastAsia="Calibri" w:hAnsi="Calibri" w:cs="Times New Roman"/>
          <w:noProof/>
          <w:lang w:val="en-US"/>
        </w:rPr>
        <w:drawing>
          <wp:inline distT="0" distB="0" distL="0" distR="0" wp14:anchorId="44075403" wp14:editId="682ED679">
            <wp:extent cx="3541690" cy="3024532"/>
            <wp:effectExtent l="19050" t="19050" r="20955" b="23495"/>
            <wp:docPr id="419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7" name="Picture 3"/>
                    <pic:cNvPicPr>
                      <a:picLocks noChangeAspect="1" noChangeArrowheads="1"/>
                    </pic:cNvPicPr>
                  </pic:nvPicPr>
                  <pic:blipFill rotWithShape="1">
                    <a:blip r:embed="rId20" cstate="print"/>
                    <a:srcRect l="18397" t="32389" r="35027" b="16077"/>
                    <a:stretch/>
                  </pic:blipFill>
                  <pic:spPr bwMode="auto">
                    <a:xfrm>
                      <a:off x="0" y="0"/>
                      <a:ext cx="3570162" cy="3048847"/>
                    </a:xfrm>
                    <a:prstGeom prst="rect">
                      <a:avLst/>
                    </a:prstGeom>
                    <a:noFill/>
                    <a:ln>
                      <a:noFill/>
                    </a:ln>
                    <a:effectLst>
                      <a:prstShdw prst="shdw17" dist="17961" dir="2700000">
                        <a:srgbClr val="4472C4">
                          <a:gamma/>
                          <a:shade val="60000"/>
                          <a:invGamma/>
                        </a:srgbClr>
                      </a:prstShdw>
                    </a:effectLst>
                    <a:extLst>
                      <a:ext uri="{53640926-AAD7-44D8-BBD7-CCE9431645EC}">
                        <a14:shadowObscured xmlns:a14="http://schemas.microsoft.com/office/drawing/2010/main"/>
                      </a:ext>
                    </a:extLst>
                  </pic:spPr>
                </pic:pic>
              </a:graphicData>
            </a:graphic>
          </wp:inline>
        </w:drawing>
      </w:r>
    </w:p>
    <w:p w14:paraId="19789E43" w14:textId="77777777" w:rsidR="00FC4E89" w:rsidRPr="00FC4E89" w:rsidRDefault="00FC4E89" w:rsidP="00FC4E89">
      <w:pPr>
        <w:jc w:val="center"/>
        <w:rPr>
          <w:rFonts w:ascii="Calibri" w:eastAsia="Calibri" w:hAnsi="Calibri" w:cs="Times New Roman"/>
          <w:sz w:val="16"/>
          <w:szCs w:val="16"/>
          <w:lang w:val="es-ES"/>
        </w:rPr>
      </w:pPr>
      <w:r w:rsidRPr="00FC4E89">
        <w:rPr>
          <w:rFonts w:ascii="Calibri" w:eastAsia="Calibri" w:hAnsi="Calibri" w:cs="Times New Roman"/>
          <w:sz w:val="16"/>
          <w:szCs w:val="16"/>
          <w:lang w:val="es-ES"/>
        </w:rPr>
        <w:t>Columna estratigráfica del Valle Medio del Magdalena.</w:t>
      </w:r>
    </w:p>
    <w:p w14:paraId="435C40BD" w14:textId="77777777" w:rsidR="00FC4E89" w:rsidRPr="00FC4E89" w:rsidRDefault="00FC4E89" w:rsidP="00FC4E89">
      <w:pPr>
        <w:jc w:val="both"/>
        <w:rPr>
          <w:rFonts w:ascii="Times New Roman" w:eastAsia="Calibri" w:hAnsi="Times New Roman" w:cs="Times New Roman"/>
          <w:b/>
          <w:sz w:val="24"/>
          <w:szCs w:val="24"/>
          <w:lang w:val="es-ES"/>
        </w:rPr>
      </w:pPr>
      <w:r w:rsidRPr="00FC4E89">
        <w:rPr>
          <w:rFonts w:ascii="Times New Roman" w:eastAsia="Calibri" w:hAnsi="Times New Roman" w:cs="Times New Roman"/>
          <w:sz w:val="24"/>
          <w:szCs w:val="24"/>
          <w:lang w:val="es-ES"/>
        </w:rPr>
        <w:t xml:space="preserve">Por último, podemos tener Yacimientos No Convencionales, tipo gas asociado a mantos de carbón, con Tecnología Convencional de Perforación Vertical y una sola etapa de fracturamiento hidráulico, como el caso de los 15 pozos del campo paujil y los pozos exploratorios Caporo 1, Iguana 1, Hicotea 1, y Canario 1, dentro del contrato de Exploración y Producción La Loma, en el Cesar, firmado entre la empresa DRUMMOND y la ANH. Aunque este último hidrocarburo (gas metano), es No Convencional… las tecnologías utilizadas son Convencionales, ajustadas a la Resolución 181495 de 2009 y no a la normatividad suspendida, como lo son el Decreto 3004 de 2013 y la Resolución 90341 de 2014. Por lo tanto, esto y todo lo anterior, </w:t>
      </w:r>
      <w:r w:rsidRPr="00FC4E89">
        <w:rPr>
          <w:rFonts w:ascii="Times New Roman" w:eastAsia="Calibri" w:hAnsi="Times New Roman" w:cs="Times New Roman"/>
          <w:b/>
          <w:sz w:val="24"/>
          <w:szCs w:val="24"/>
          <w:lang w:val="es-ES"/>
        </w:rPr>
        <w:t>no es FRACKING</w:t>
      </w:r>
      <w:r w:rsidRPr="00FC4E89">
        <w:rPr>
          <w:rFonts w:ascii="Times New Roman" w:eastAsia="Calibri" w:hAnsi="Times New Roman" w:cs="Times New Roman"/>
          <w:sz w:val="24"/>
          <w:szCs w:val="24"/>
          <w:lang w:val="es-ES"/>
        </w:rPr>
        <w:t xml:space="preserve">, puesto que FRACKING es, según la ANH e Instituciones Internacionales encargadas de definir los términos técnicos de la Industria Petrolera: </w:t>
      </w:r>
      <w:r w:rsidRPr="00FC4E89">
        <w:rPr>
          <w:rFonts w:ascii="Times New Roman" w:eastAsia="Calibri" w:hAnsi="Times New Roman" w:cs="Times New Roman"/>
          <w:b/>
          <w:sz w:val="24"/>
          <w:szCs w:val="24"/>
          <w:lang w:val="es-ES"/>
        </w:rPr>
        <w:t>“el fracturamiento hidráulico MULTI ETAPA, a través de pozos HORIZONTALES, desde plataformas MULTIPOZO de Yacimientos No Convencionales tipo ROCA GENERADORA”.</w:t>
      </w:r>
    </w:p>
    <w:p w14:paraId="452C68AE" w14:textId="77777777" w:rsidR="00FC4E89" w:rsidRPr="00FC4E89" w:rsidRDefault="00FC4E89" w:rsidP="00FC4E89">
      <w:pPr>
        <w:jc w:val="both"/>
        <w:rPr>
          <w:rFonts w:ascii="Times New Roman" w:eastAsia="Calibri" w:hAnsi="Times New Roman" w:cs="Times New Roman"/>
          <w:b/>
          <w:sz w:val="24"/>
          <w:szCs w:val="24"/>
          <w:lang w:val="es-ES"/>
        </w:rPr>
      </w:pPr>
    </w:p>
    <w:p w14:paraId="53B8A2C4" w14:textId="77777777" w:rsidR="00FC4E89" w:rsidRPr="00FC4E89" w:rsidRDefault="00FC4E89" w:rsidP="00FC4E89">
      <w:pPr>
        <w:jc w:val="both"/>
        <w:rPr>
          <w:rFonts w:ascii="Calibri" w:eastAsia="Calibri" w:hAnsi="Calibri" w:cs="Times New Roman"/>
          <w:lang w:val="es-ES"/>
        </w:rPr>
      </w:pPr>
      <w:r w:rsidRPr="00FC4E89">
        <w:rPr>
          <w:rFonts w:ascii="Calibri" w:eastAsia="Calibri" w:hAnsi="Calibri" w:cs="Times New Roman"/>
          <w:noProof/>
          <w:lang w:val="en-US"/>
        </w:rPr>
        <w:lastRenderedPageBreak/>
        <w:drawing>
          <wp:inline distT="0" distB="0" distL="0" distR="0" wp14:anchorId="67E6C290" wp14:editId="1AC2E9A7">
            <wp:extent cx="2668137" cy="198718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4478" t="13333" r="14179" b="15820"/>
                    <a:stretch/>
                  </pic:blipFill>
                  <pic:spPr bwMode="auto">
                    <a:xfrm>
                      <a:off x="0" y="0"/>
                      <a:ext cx="2685448" cy="2000082"/>
                    </a:xfrm>
                    <a:prstGeom prst="rect">
                      <a:avLst/>
                    </a:prstGeom>
                    <a:ln>
                      <a:noFill/>
                    </a:ln>
                    <a:extLst>
                      <a:ext uri="{53640926-AAD7-44D8-BBD7-CCE9431645EC}">
                        <a14:shadowObscured xmlns:a14="http://schemas.microsoft.com/office/drawing/2010/main"/>
                      </a:ext>
                    </a:extLst>
                  </pic:spPr>
                </pic:pic>
              </a:graphicData>
            </a:graphic>
          </wp:inline>
        </w:drawing>
      </w:r>
      <w:r w:rsidRPr="00FC4E89">
        <w:rPr>
          <w:rFonts w:ascii="Calibri" w:eastAsia="Calibri" w:hAnsi="Calibri" w:cs="Times New Roman"/>
          <w:lang w:val="es-ES"/>
        </w:rPr>
        <w:t xml:space="preserve">    </w:t>
      </w:r>
      <w:r w:rsidRPr="00FC4E89">
        <w:rPr>
          <w:rFonts w:ascii="Calibri" w:eastAsia="Calibri" w:hAnsi="Calibri" w:cs="Times New Roman"/>
          <w:noProof/>
          <w:lang w:val="en-US"/>
        </w:rPr>
        <w:drawing>
          <wp:inline distT="0" distB="0" distL="0" distR="0" wp14:anchorId="428A6F41" wp14:editId="53DAE44F">
            <wp:extent cx="2688567" cy="2019281"/>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792" t="18709" r="22240" b="17015"/>
                    <a:stretch/>
                  </pic:blipFill>
                  <pic:spPr bwMode="auto">
                    <a:xfrm>
                      <a:off x="0" y="0"/>
                      <a:ext cx="2705086" cy="2031688"/>
                    </a:xfrm>
                    <a:prstGeom prst="rect">
                      <a:avLst/>
                    </a:prstGeom>
                    <a:ln>
                      <a:noFill/>
                    </a:ln>
                    <a:extLst>
                      <a:ext uri="{53640926-AAD7-44D8-BBD7-CCE9431645EC}">
                        <a14:shadowObscured xmlns:a14="http://schemas.microsoft.com/office/drawing/2010/main"/>
                      </a:ext>
                    </a:extLst>
                  </pic:spPr>
                </pic:pic>
              </a:graphicData>
            </a:graphic>
          </wp:inline>
        </w:drawing>
      </w:r>
    </w:p>
    <w:p w14:paraId="6D4924F3" w14:textId="77777777" w:rsidR="00FC4E89" w:rsidRPr="00FC4E89" w:rsidRDefault="00FC4E89" w:rsidP="00FC4E89">
      <w:pPr>
        <w:jc w:val="both"/>
        <w:rPr>
          <w:rFonts w:ascii="Times New Roman" w:eastAsia="Calibri" w:hAnsi="Times New Roman" w:cs="Times New Roman"/>
          <w:sz w:val="24"/>
          <w:szCs w:val="24"/>
          <w:lang w:val="es-ES"/>
        </w:rPr>
      </w:pPr>
    </w:p>
    <w:p w14:paraId="2A1B5FC3" w14:textId="77777777" w:rsidR="00FC4E89" w:rsidRPr="00FC4E89" w:rsidRDefault="00FC4E89" w:rsidP="00FC4E89">
      <w:pPr>
        <w:jc w:val="both"/>
        <w:rPr>
          <w:rFonts w:ascii="Times New Roman" w:eastAsia="Calibri" w:hAnsi="Times New Roman" w:cs="Times New Roman"/>
          <w:sz w:val="24"/>
          <w:szCs w:val="24"/>
          <w:lang w:val="es-ES"/>
        </w:rPr>
      </w:pPr>
      <w:r w:rsidRPr="00FC4E89">
        <w:rPr>
          <w:rFonts w:ascii="Times New Roman" w:eastAsia="Calibri" w:hAnsi="Times New Roman" w:cs="Times New Roman"/>
          <w:sz w:val="24"/>
          <w:szCs w:val="24"/>
          <w:lang w:val="es-ES"/>
        </w:rPr>
        <w:t xml:space="preserve">Este proyecto de </w:t>
      </w:r>
      <w:proofErr w:type="gramStart"/>
      <w:r w:rsidRPr="00FC4E89">
        <w:rPr>
          <w:rFonts w:ascii="Times New Roman" w:eastAsia="Calibri" w:hAnsi="Times New Roman" w:cs="Times New Roman"/>
          <w:sz w:val="24"/>
          <w:szCs w:val="24"/>
          <w:lang w:val="es-ES"/>
        </w:rPr>
        <w:t>ley,</w:t>
      </w:r>
      <w:proofErr w:type="gramEnd"/>
      <w:r w:rsidRPr="00FC4E89">
        <w:rPr>
          <w:rFonts w:ascii="Times New Roman" w:eastAsia="Calibri" w:hAnsi="Times New Roman" w:cs="Times New Roman"/>
          <w:sz w:val="24"/>
          <w:szCs w:val="24"/>
          <w:lang w:val="es-ES"/>
        </w:rPr>
        <w:t xml:space="preserve"> tiene como objetivo ÚNICO prohibir la exploración y explotación de un ÚNICO tipo de YNC conocido como </w:t>
      </w:r>
      <w:r w:rsidRPr="00FC4E89">
        <w:rPr>
          <w:rFonts w:ascii="Times New Roman" w:eastAsia="Calibri" w:hAnsi="Times New Roman" w:cs="Times New Roman"/>
          <w:b/>
          <w:sz w:val="24"/>
          <w:szCs w:val="24"/>
          <w:lang w:val="es-ES"/>
        </w:rPr>
        <w:t>ROCA GENERADORA</w:t>
      </w:r>
      <w:r w:rsidRPr="00FC4E89">
        <w:rPr>
          <w:rFonts w:ascii="Times New Roman" w:eastAsia="Calibri" w:hAnsi="Times New Roman" w:cs="Times New Roman"/>
          <w:sz w:val="24"/>
          <w:szCs w:val="24"/>
          <w:lang w:val="es-ES"/>
        </w:rPr>
        <w:t xml:space="preserve">, utilizando </w:t>
      </w:r>
      <w:r w:rsidRPr="00FC4E89">
        <w:rPr>
          <w:rFonts w:ascii="Times New Roman" w:eastAsia="Calibri" w:hAnsi="Times New Roman" w:cs="Times New Roman"/>
          <w:b/>
          <w:sz w:val="24"/>
          <w:szCs w:val="24"/>
          <w:lang w:val="es-ES"/>
        </w:rPr>
        <w:t>TECNOLOGÍAS NO CONVENCIONALES</w:t>
      </w:r>
      <w:r w:rsidRPr="00FC4E89">
        <w:rPr>
          <w:rFonts w:ascii="Times New Roman" w:eastAsia="Calibri" w:hAnsi="Times New Roman" w:cs="Times New Roman"/>
          <w:sz w:val="24"/>
          <w:szCs w:val="24"/>
          <w:lang w:val="es-ES"/>
        </w:rPr>
        <w:t xml:space="preserve"> como el </w:t>
      </w:r>
      <w:r w:rsidRPr="00FC4E89">
        <w:rPr>
          <w:rFonts w:ascii="Times New Roman" w:eastAsia="Calibri" w:hAnsi="Times New Roman" w:cs="Times New Roman"/>
          <w:b/>
          <w:sz w:val="24"/>
          <w:szCs w:val="24"/>
          <w:lang w:val="es-ES"/>
        </w:rPr>
        <w:t>Fracturamiento Hidráulico multietapa</w:t>
      </w:r>
      <w:r w:rsidRPr="00FC4E89">
        <w:rPr>
          <w:rFonts w:ascii="Times New Roman" w:eastAsia="Calibri" w:hAnsi="Times New Roman" w:cs="Times New Roman"/>
          <w:sz w:val="24"/>
          <w:szCs w:val="24"/>
          <w:lang w:val="es-ES"/>
        </w:rPr>
        <w:t xml:space="preserve"> a través </w:t>
      </w:r>
      <w:r w:rsidRPr="00FC4E89">
        <w:rPr>
          <w:rFonts w:ascii="Times New Roman" w:eastAsia="Calibri" w:hAnsi="Times New Roman" w:cs="Times New Roman"/>
          <w:b/>
          <w:sz w:val="24"/>
          <w:szCs w:val="24"/>
          <w:lang w:val="es-ES"/>
        </w:rPr>
        <w:t>de pozos horizontales y/o multilaterales,</w:t>
      </w:r>
      <w:r w:rsidRPr="00FC4E89">
        <w:rPr>
          <w:rFonts w:ascii="Times New Roman" w:eastAsia="Calibri" w:hAnsi="Times New Roman" w:cs="Times New Roman"/>
          <w:sz w:val="24"/>
          <w:szCs w:val="24"/>
          <w:lang w:val="es-ES"/>
        </w:rPr>
        <w:t xml:space="preserve"> y desde </w:t>
      </w:r>
      <w:r w:rsidRPr="00FC4E89">
        <w:rPr>
          <w:rFonts w:ascii="Times New Roman" w:eastAsia="Calibri" w:hAnsi="Times New Roman" w:cs="Times New Roman"/>
          <w:b/>
          <w:sz w:val="24"/>
          <w:szCs w:val="24"/>
          <w:lang w:val="es-ES"/>
        </w:rPr>
        <w:t>plataformas multipozo</w:t>
      </w:r>
      <w:r w:rsidRPr="00FC4E89">
        <w:rPr>
          <w:rFonts w:ascii="Times New Roman" w:eastAsia="Calibri" w:hAnsi="Times New Roman" w:cs="Times New Roman"/>
          <w:sz w:val="24"/>
          <w:szCs w:val="24"/>
          <w:lang w:val="es-ES"/>
        </w:rPr>
        <w:t xml:space="preserve">; o sea, lo que define la ANH como “FRACKING”, que en Colombia aún no se ha hecho. Lo que en Colombia se ha hecho es FRACTURAMIENTO HIDRÁULICO convencional como un método de estimulación de pozos. </w:t>
      </w:r>
    </w:p>
    <w:p w14:paraId="77357B73" w14:textId="77777777" w:rsidR="00FC4E89" w:rsidRPr="00FC4E89" w:rsidRDefault="00FC4E89" w:rsidP="00FC4E89">
      <w:pPr>
        <w:jc w:val="both"/>
        <w:rPr>
          <w:rFonts w:ascii="Times New Roman" w:eastAsia="Calibri" w:hAnsi="Times New Roman" w:cs="Times New Roman"/>
          <w:sz w:val="24"/>
          <w:szCs w:val="24"/>
          <w:lang w:val="es-ES"/>
        </w:rPr>
      </w:pPr>
      <w:r w:rsidRPr="00FC4E89">
        <w:rPr>
          <w:rFonts w:ascii="Times New Roman" w:eastAsia="Calibri" w:hAnsi="Times New Roman" w:cs="Times New Roman"/>
          <w:sz w:val="24"/>
          <w:szCs w:val="24"/>
          <w:lang w:val="es-ES"/>
        </w:rPr>
        <w:t xml:space="preserve">Prohibir otro tipo de yacimientos no convencionales o la explotación de rocas generadoras mediante tecnologías convencionales, es poner en riesgo la seguridad energética nacional o el autoabastecimiento de hidrocarburos, y ahuyentar la inversión extranjera directa. Por otro lado, se estaría violando la seguridad jurídica y los derechos adquiridos, que puede repercutir en grandes demandas a la Nación, que afectarán el fisco nacional. Se trae a colación el caso de Ecuador quien perdió en el Tribunal de la Haya una demanda por 9500 millones de dólares, contra la Petrolera Chevrón; y otra por 1061 millones de dólares contra la petrolera OXY. Igualmente, el Salvador perdió contra la minera canadiense </w:t>
      </w:r>
      <w:proofErr w:type="spellStart"/>
      <w:r w:rsidRPr="00FC4E89">
        <w:rPr>
          <w:rFonts w:ascii="Times New Roman" w:eastAsia="Calibri" w:hAnsi="Times New Roman" w:cs="Times New Roman"/>
          <w:sz w:val="24"/>
          <w:szCs w:val="24"/>
          <w:lang w:val="es-ES"/>
        </w:rPr>
        <w:t>Pacific</w:t>
      </w:r>
      <w:proofErr w:type="spellEnd"/>
      <w:r w:rsidRPr="00FC4E89">
        <w:rPr>
          <w:rFonts w:ascii="Times New Roman" w:eastAsia="Calibri" w:hAnsi="Times New Roman" w:cs="Times New Roman"/>
          <w:sz w:val="24"/>
          <w:szCs w:val="24"/>
          <w:lang w:val="es-ES"/>
        </w:rPr>
        <w:t xml:space="preserve"> </w:t>
      </w:r>
      <w:proofErr w:type="spellStart"/>
      <w:r w:rsidRPr="00FC4E89">
        <w:rPr>
          <w:rFonts w:ascii="Times New Roman" w:eastAsia="Calibri" w:hAnsi="Times New Roman" w:cs="Times New Roman"/>
          <w:sz w:val="24"/>
          <w:szCs w:val="24"/>
          <w:lang w:val="es-ES"/>
        </w:rPr>
        <w:t>Rim</w:t>
      </w:r>
      <w:proofErr w:type="spellEnd"/>
      <w:r w:rsidRPr="00FC4E89">
        <w:rPr>
          <w:rFonts w:ascii="Times New Roman" w:eastAsia="Calibri" w:hAnsi="Times New Roman" w:cs="Times New Roman"/>
          <w:sz w:val="24"/>
          <w:szCs w:val="24"/>
          <w:lang w:val="es-ES"/>
        </w:rPr>
        <w:t>, México contra una firma norteamericana de tratamiento de residuos, entre muchos otros casos. Lamentablemente las experiencias muestran que todas las demandas de las transnacionales contra los Estados, en tribunales internacionales, han sido perdidas por los países.</w:t>
      </w:r>
    </w:p>
    <w:p w14:paraId="59CDF325" w14:textId="77777777" w:rsidR="00FC4E89" w:rsidRPr="00FC4E89" w:rsidRDefault="00FC4E89" w:rsidP="00FC4E89">
      <w:pPr>
        <w:contextualSpacing/>
        <w:jc w:val="both"/>
        <w:rPr>
          <w:rFonts w:ascii="Arial" w:eastAsia="Calibri" w:hAnsi="Arial" w:cs="Arial"/>
          <w:sz w:val="24"/>
          <w:szCs w:val="24"/>
          <w:lang w:val="es-MX"/>
        </w:rPr>
      </w:pPr>
      <w:r w:rsidRPr="00FC4E89">
        <w:rPr>
          <w:rFonts w:ascii="Times New Roman" w:eastAsia="Calibri" w:hAnsi="Times New Roman" w:cs="Times New Roman"/>
          <w:sz w:val="24"/>
          <w:szCs w:val="24"/>
          <w:lang w:val="es-MX"/>
        </w:rPr>
        <w:lastRenderedPageBreak/>
        <w:t>En cuanto a la tecnología del Fracturamiento o Estimulación Hidráulica, es necesario precisar que esta técnica consiste en la inyección de un fluido a alta presión, con el fin de generar en la roca vecina a la cara el pozo, pequeñas fisuras (microfracturas), las cuales son mantenidas abiertas mediante el uso de propantes, que apuntalan o empaquetan la fractura, para permitir el flujo de los fluidos a través de ella, como se muestra en la siguiente figura</w:t>
      </w:r>
      <w:r w:rsidRPr="00FC4E89">
        <w:rPr>
          <w:rFonts w:ascii="Arial" w:eastAsia="Calibri" w:hAnsi="Arial" w:cs="Arial"/>
          <w:sz w:val="24"/>
          <w:szCs w:val="24"/>
          <w:lang w:val="es-MX"/>
        </w:rPr>
        <w:t>…</w:t>
      </w:r>
    </w:p>
    <w:p w14:paraId="4CF5C2C2" w14:textId="77777777" w:rsidR="00FC4E89" w:rsidRPr="00FC4E89" w:rsidRDefault="00FC4E89" w:rsidP="00FC4E89">
      <w:pPr>
        <w:contextualSpacing/>
        <w:jc w:val="both"/>
        <w:rPr>
          <w:rFonts w:ascii="Arial" w:eastAsia="Calibri" w:hAnsi="Arial" w:cs="Arial"/>
          <w:sz w:val="24"/>
          <w:szCs w:val="24"/>
          <w:lang w:val="es-MX"/>
        </w:rPr>
      </w:pPr>
    </w:p>
    <w:p w14:paraId="0B3D7109" w14:textId="77777777" w:rsidR="00FC4E89" w:rsidRPr="00FC4E89" w:rsidRDefault="00FC4E89" w:rsidP="00FC4E89">
      <w:pPr>
        <w:contextualSpacing/>
        <w:jc w:val="center"/>
        <w:rPr>
          <w:rFonts w:ascii="Arial" w:eastAsia="Calibri" w:hAnsi="Arial" w:cs="Arial"/>
          <w:b/>
          <w:sz w:val="24"/>
          <w:szCs w:val="24"/>
          <w:lang w:val="es-MX"/>
        </w:rPr>
      </w:pPr>
      <w:r w:rsidRPr="00FC4E89">
        <w:rPr>
          <w:rFonts w:ascii="Calibri" w:eastAsia="Calibri" w:hAnsi="Calibri" w:cs="Times New Roman"/>
          <w:noProof/>
          <w:lang w:val="en-US"/>
        </w:rPr>
        <w:drawing>
          <wp:inline distT="0" distB="0" distL="0" distR="0" wp14:anchorId="0F75806C" wp14:editId="29CC5AEB">
            <wp:extent cx="2550016" cy="2490074"/>
            <wp:effectExtent l="0" t="0" r="3175"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2724" t="464" r="12537" b="4465"/>
                    <a:stretch/>
                  </pic:blipFill>
                  <pic:spPr bwMode="auto">
                    <a:xfrm>
                      <a:off x="0" y="0"/>
                      <a:ext cx="2625210" cy="2563501"/>
                    </a:xfrm>
                    <a:prstGeom prst="rect">
                      <a:avLst/>
                    </a:prstGeom>
                    <a:ln>
                      <a:noFill/>
                    </a:ln>
                    <a:extLst>
                      <a:ext uri="{53640926-AAD7-44D8-BBD7-CCE9431645EC}">
                        <a14:shadowObscured xmlns:a14="http://schemas.microsoft.com/office/drawing/2010/main"/>
                      </a:ext>
                    </a:extLst>
                  </pic:spPr>
                </pic:pic>
              </a:graphicData>
            </a:graphic>
          </wp:inline>
        </w:drawing>
      </w:r>
    </w:p>
    <w:p w14:paraId="4F26109A" w14:textId="77777777" w:rsidR="00FC4E89" w:rsidRPr="00FC4E89" w:rsidRDefault="00FC4E89" w:rsidP="00FC4E89">
      <w:pPr>
        <w:spacing w:after="0"/>
        <w:contextualSpacing/>
        <w:jc w:val="center"/>
        <w:rPr>
          <w:rFonts w:ascii="Calibri" w:eastAsia="Calibri" w:hAnsi="Calibri" w:cs="Calibri"/>
          <w:sz w:val="18"/>
          <w:szCs w:val="18"/>
          <w:lang w:val="es-MX"/>
        </w:rPr>
      </w:pPr>
      <w:r w:rsidRPr="00FC4E89">
        <w:rPr>
          <w:rFonts w:ascii="Calibri" w:eastAsia="Calibri" w:hAnsi="Calibri" w:cs="Calibri"/>
          <w:sz w:val="18"/>
          <w:szCs w:val="18"/>
          <w:lang w:val="es-MX"/>
        </w:rPr>
        <w:t>Geometría de la Fractura Hidráulica en pozo vertical</w:t>
      </w:r>
    </w:p>
    <w:p w14:paraId="0257D5D7" w14:textId="77777777" w:rsidR="00FC4E89" w:rsidRPr="00FC4E89" w:rsidRDefault="00FC4E89" w:rsidP="00FC4E89">
      <w:pPr>
        <w:contextualSpacing/>
        <w:jc w:val="both"/>
        <w:rPr>
          <w:rFonts w:ascii="Calibri" w:eastAsia="Calibri" w:hAnsi="Calibri" w:cs="Calibri"/>
          <w:b/>
          <w:sz w:val="28"/>
          <w:szCs w:val="28"/>
          <w:lang w:val="es-MX"/>
        </w:rPr>
      </w:pPr>
    </w:p>
    <w:p w14:paraId="7EB3502D" w14:textId="77777777" w:rsidR="00FC4E89" w:rsidRPr="00FC4E89" w:rsidRDefault="00FC4E89" w:rsidP="00FC4E89">
      <w:pPr>
        <w:contextualSpacing/>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Esta técnica de Fracturamiento o Estimulación Hidráulica, fue utilizada por primera vez en el mundo, por la industria petrolera, en Kansas (</w:t>
      </w:r>
      <w:proofErr w:type="gramStart"/>
      <w:r w:rsidRPr="00FC4E89">
        <w:rPr>
          <w:rFonts w:ascii="Times New Roman" w:eastAsia="Calibri" w:hAnsi="Times New Roman" w:cs="Times New Roman"/>
          <w:sz w:val="24"/>
          <w:szCs w:val="24"/>
          <w:lang w:val="es-MX"/>
        </w:rPr>
        <w:t>EE:UU</w:t>
      </w:r>
      <w:proofErr w:type="gramEnd"/>
      <w:r w:rsidRPr="00FC4E89">
        <w:rPr>
          <w:rFonts w:ascii="Times New Roman" w:eastAsia="Calibri" w:hAnsi="Times New Roman" w:cs="Times New Roman"/>
          <w:sz w:val="24"/>
          <w:szCs w:val="24"/>
          <w:lang w:val="es-MX"/>
        </w:rPr>
        <w:t xml:space="preserve">), en 1947; y en Colombia, en un pozo del Campo La </w:t>
      </w:r>
      <w:proofErr w:type="spellStart"/>
      <w:r w:rsidRPr="00FC4E89">
        <w:rPr>
          <w:rFonts w:ascii="Times New Roman" w:eastAsia="Calibri" w:hAnsi="Times New Roman" w:cs="Times New Roman"/>
          <w:sz w:val="24"/>
          <w:szCs w:val="24"/>
          <w:lang w:val="es-MX"/>
        </w:rPr>
        <w:t>Cira</w:t>
      </w:r>
      <w:proofErr w:type="spellEnd"/>
      <w:r w:rsidRPr="00FC4E89">
        <w:rPr>
          <w:rFonts w:ascii="Times New Roman" w:eastAsia="Calibri" w:hAnsi="Times New Roman" w:cs="Times New Roman"/>
          <w:sz w:val="24"/>
          <w:szCs w:val="24"/>
          <w:lang w:val="es-MX"/>
        </w:rPr>
        <w:t xml:space="preserve">-Infantas, en 1957. El Fracturamiento Hidráulico tradicionalmente se aplica para mejorar el flujo o caudal de hidrocarburos producidos desde </w:t>
      </w:r>
      <w:r w:rsidRPr="00FC4E89">
        <w:rPr>
          <w:rFonts w:ascii="Times New Roman" w:eastAsia="Calibri" w:hAnsi="Times New Roman" w:cs="Times New Roman"/>
          <w:b/>
          <w:sz w:val="24"/>
          <w:szCs w:val="24"/>
          <w:lang w:val="es-MX"/>
        </w:rPr>
        <w:t>Yacimientos Convencionales</w:t>
      </w:r>
      <w:r w:rsidRPr="00FC4E89">
        <w:rPr>
          <w:rFonts w:ascii="Times New Roman" w:eastAsia="Calibri" w:hAnsi="Times New Roman" w:cs="Times New Roman"/>
          <w:sz w:val="24"/>
          <w:szCs w:val="24"/>
          <w:lang w:val="es-MX"/>
        </w:rPr>
        <w:t xml:space="preserve"> de petróleo o gas, cuya producción proviene de rocas de </w:t>
      </w:r>
      <w:r w:rsidRPr="00FC4E89">
        <w:rPr>
          <w:rFonts w:ascii="Times New Roman" w:eastAsia="Calibri" w:hAnsi="Times New Roman" w:cs="Times New Roman"/>
          <w:b/>
          <w:sz w:val="24"/>
          <w:szCs w:val="24"/>
          <w:lang w:val="es-MX"/>
        </w:rPr>
        <w:t xml:space="preserve">arenisca de baja permeabilidad, </w:t>
      </w:r>
      <w:r w:rsidRPr="00FC4E89">
        <w:rPr>
          <w:rFonts w:ascii="Times New Roman" w:eastAsia="Calibri" w:hAnsi="Times New Roman" w:cs="Times New Roman"/>
          <w:sz w:val="24"/>
          <w:szCs w:val="24"/>
          <w:lang w:val="es-MX"/>
        </w:rPr>
        <w:t xml:space="preserve">como sucede en los campos de Cusiana, Cupiagua y Guando, por ejemplo; y en </w:t>
      </w:r>
      <w:r w:rsidRPr="00FC4E89">
        <w:rPr>
          <w:rFonts w:ascii="Times New Roman" w:eastAsia="Calibri" w:hAnsi="Times New Roman" w:cs="Times New Roman"/>
          <w:b/>
          <w:sz w:val="24"/>
          <w:szCs w:val="24"/>
          <w:lang w:val="es-MX"/>
        </w:rPr>
        <w:t xml:space="preserve">Yacimientos No Convencionales </w:t>
      </w:r>
      <w:r w:rsidRPr="00FC4E89">
        <w:rPr>
          <w:rFonts w:ascii="Times New Roman" w:eastAsia="Calibri" w:hAnsi="Times New Roman" w:cs="Times New Roman"/>
          <w:sz w:val="24"/>
          <w:szCs w:val="24"/>
          <w:lang w:val="es-MX"/>
        </w:rPr>
        <w:t xml:space="preserve">de gas, cuya producción proviene de rocas de </w:t>
      </w:r>
      <w:r w:rsidRPr="00FC4E89">
        <w:rPr>
          <w:rFonts w:ascii="Times New Roman" w:eastAsia="Calibri" w:hAnsi="Times New Roman" w:cs="Times New Roman"/>
          <w:b/>
          <w:sz w:val="24"/>
          <w:szCs w:val="24"/>
          <w:lang w:val="es-MX"/>
        </w:rPr>
        <w:t xml:space="preserve">arenisca apretada - </w:t>
      </w:r>
      <w:proofErr w:type="spellStart"/>
      <w:r w:rsidRPr="00FC4E89">
        <w:rPr>
          <w:rFonts w:ascii="Times New Roman" w:eastAsia="Calibri" w:hAnsi="Times New Roman" w:cs="Times New Roman"/>
          <w:b/>
          <w:sz w:val="24"/>
          <w:szCs w:val="24"/>
          <w:lang w:val="es-MX"/>
        </w:rPr>
        <w:t>Tight</w:t>
      </w:r>
      <w:proofErr w:type="spellEnd"/>
      <w:r w:rsidRPr="00FC4E89">
        <w:rPr>
          <w:rFonts w:ascii="Times New Roman" w:eastAsia="Calibri" w:hAnsi="Times New Roman" w:cs="Times New Roman"/>
          <w:b/>
          <w:sz w:val="24"/>
          <w:szCs w:val="24"/>
          <w:lang w:val="es-MX"/>
        </w:rPr>
        <w:t xml:space="preserve"> Gas </w:t>
      </w:r>
      <w:proofErr w:type="spellStart"/>
      <w:r w:rsidRPr="00FC4E89">
        <w:rPr>
          <w:rFonts w:ascii="Times New Roman" w:eastAsia="Calibri" w:hAnsi="Times New Roman" w:cs="Times New Roman"/>
          <w:b/>
          <w:sz w:val="24"/>
          <w:szCs w:val="24"/>
          <w:lang w:val="es-MX"/>
        </w:rPr>
        <w:t>Sands</w:t>
      </w:r>
      <w:proofErr w:type="spellEnd"/>
      <w:r w:rsidRPr="00FC4E89">
        <w:rPr>
          <w:rFonts w:ascii="Times New Roman" w:eastAsia="Calibri" w:hAnsi="Times New Roman" w:cs="Times New Roman"/>
          <w:sz w:val="24"/>
          <w:szCs w:val="24"/>
          <w:lang w:val="es-MX"/>
        </w:rPr>
        <w:t xml:space="preserve">, o </w:t>
      </w:r>
      <w:r w:rsidRPr="00FC4E89">
        <w:rPr>
          <w:rFonts w:ascii="Times New Roman" w:eastAsia="Calibri" w:hAnsi="Times New Roman" w:cs="Times New Roman"/>
          <w:b/>
          <w:sz w:val="24"/>
          <w:szCs w:val="24"/>
          <w:lang w:val="es-MX"/>
        </w:rPr>
        <w:t xml:space="preserve">mantos de carbón, </w:t>
      </w:r>
      <w:r w:rsidRPr="00FC4E89">
        <w:rPr>
          <w:rFonts w:ascii="Times New Roman" w:eastAsia="Calibri" w:hAnsi="Times New Roman" w:cs="Times New Roman"/>
          <w:sz w:val="24"/>
          <w:szCs w:val="24"/>
          <w:lang w:val="es-MX"/>
        </w:rPr>
        <w:t>como sucede en el campo Paujil en La Loma - Cesar, por ejemplo.</w:t>
      </w:r>
    </w:p>
    <w:p w14:paraId="4017BB99" w14:textId="77777777" w:rsidR="00FC4E89" w:rsidRPr="00FC4E89" w:rsidRDefault="00FC4E89" w:rsidP="00FC4E89">
      <w:pPr>
        <w:contextualSpacing/>
        <w:jc w:val="both"/>
        <w:rPr>
          <w:rFonts w:ascii="Times New Roman" w:eastAsia="Calibri" w:hAnsi="Times New Roman" w:cs="Times New Roman"/>
          <w:sz w:val="24"/>
          <w:szCs w:val="24"/>
          <w:lang w:val="es-MX"/>
        </w:rPr>
      </w:pPr>
    </w:p>
    <w:p w14:paraId="6984A0B1" w14:textId="77777777" w:rsidR="00FC4E89" w:rsidRPr="00FC4E89" w:rsidRDefault="00FC4E89" w:rsidP="00FC4E89">
      <w:pPr>
        <w:contextualSpacing/>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lastRenderedPageBreak/>
        <w:t>El Fracturamiento Hidráulico Convencional (FHC), normalmente se aplica en una o dos etapas, de máximo 100 pies (30 metros), cada etapa; y a través de pozos verticales o direccionales, y en muy contadas ocasiones, a través de pozos horizontales. Estos fracturamientos o estimulaciones hidráulicas, son una operación rutinaria en los campos convencionales, y no se requiere del trámite de una nueva Licencia Ambiental, ni del permiso de la Corporación Autónoma Regional. La razón es porque no se requieren grandes cantidades de fluido fracturante, ni de grandes volúmenes de material propante o apuntalante para el empaquetamiento de las fracturas inducidas. Igualmente, tanto el fluido fracturante, como el material apuntalante, son sintéticos… a base de polímeros y cerámica, respectivamente. El fluido fracturante sintético ya contiene las propiedades reológicas necesarias para realizar las fracturas inducidas, y para transportar el material propante a las fracturas, como se observa en la siguiente figura…</w:t>
      </w:r>
    </w:p>
    <w:p w14:paraId="2015846A" w14:textId="77777777" w:rsidR="00FC4E89" w:rsidRPr="00FC4E89" w:rsidRDefault="00FC4E89" w:rsidP="00FC4E89">
      <w:pPr>
        <w:contextualSpacing/>
        <w:jc w:val="both"/>
        <w:rPr>
          <w:rFonts w:ascii="Times New Roman" w:eastAsia="Calibri" w:hAnsi="Times New Roman" w:cs="Times New Roman"/>
          <w:sz w:val="24"/>
          <w:szCs w:val="24"/>
          <w:lang w:val="es-MX"/>
        </w:rPr>
      </w:pPr>
    </w:p>
    <w:p w14:paraId="74858F60" w14:textId="77777777" w:rsidR="00FC4E89" w:rsidRPr="00FC4E89" w:rsidRDefault="00FC4E89" w:rsidP="00FC4E89">
      <w:pPr>
        <w:contextualSpacing/>
        <w:jc w:val="center"/>
        <w:rPr>
          <w:rFonts w:ascii="Times New Roman" w:eastAsia="Calibri" w:hAnsi="Times New Roman" w:cs="Times New Roman"/>
          <w:sz w:val="24"/>
          <w:szCs w:val="24"/>
          <w:lang w:val="es-MX"/>
        </w:rPr>
      </w:pPr>
      <w:r w:rsidRPr="00FC4E89">
        <w:rPr>
          <w:rFonts w:ascii="Calibri" w:eastAsia="Calibri" w:hAnsi="Calibri" w:cs="Times New Roman"/>
          <w:noProof/>
          <w:lang w:val="en-US"/>
        </w:rPr>
        <w:drawing>
          <wp:inline distT="0" distB="0" distL="0" distR="0" wp14:anchorId="1FC8BF3E" wp14:editId="735D6724">
            <wp:extent cx="3576339" cy="2355495"/>
            <wp:effectExtent l="19050" t="19050" r="24130" b="26035"/>
            <wp:docPr id="1491972" name="Picture 4" descr="Imagen en FlexSand Españ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972" name="Picture 4" descr="Imagen en FlexSand Españo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11062" cy="2378365"/>
                    </a:xfrm>
                    <a:prstGeom prst="rect">
                      <a:avLst/>
                    </a:prstGeom>
                    <a:noFill/>
                    <a:ln w="9525">
                      <a:solidFill>
                        <a:sysClr val="windowText" lastClr="000000"/>
                      </a:solidFill>
                      <a:miter lim="800000"/>
                      <a:headEnd/>
                      <a:tailEnd/>
                    </a:ln>
                  </pic:spPr>
                </pic:pic>
              </a:graphicData>
            </a:graphic>
          </wp:inline>
        </w:drawing>
      </w:r>
      <w:r w:rsidRPr="00FC4E89">
        <w:rPr>
          <w:rFonts w:ascii="Times New Roman" w:eastAsia="Calibri" w:hAnsi="Times New Roman" w:cs="Times New Roman"/>
          <w:sz w:val="24"/>
          <w:szCs w:val="24"/>
          <w:lang w:val="es-MX"/>
        </w:rPr>
        <w:t xml:space="preserve"> </w:t>
      </w:r>
    </w:p>
    <w:p w14:paraId="42DA50E8" w14:textId="77777777" w:rsidR="00FC4E89" w:rsidRPr="00FC4E89" w:rsidRDefault="00FC4E89" w:rsidP="00FC4E89">
      <w:pPr>
        <w:contextualSpacing/>
        <w:jc w:val="center"/>
        <w:rPr>
          <w:rFonts w:ascii="Calibri" w:eastAsia="Calibri" w:hAnsi="Calibri" w:cs="Calibri"/>
          <w:sz w:val="18"/>
          <w:szCs w:val="18"/>
          <w:lang w:val="es-MX"/>
        </w:rPr>
      </w:pPr>
      <w:r w:rsidRPr="00FC4E89">
        <w:rPr>
          <w:rFonts w:ascii="Calibri" w:eastAsia="Calibri" w:hAnsi="Calibri" w:cs="Calibri"/>
          <w:sz w:val="18"/>
          <w:szCs w:val="18"/>
          <w:lang w:val="es-MX"/>
        </w:rPr>
        <w:t>Mezcla de fluido sintético y material propante o apuntalante</w:t>
      </w:r>
    </w:p>
    <w:p w14:paraId="4C5EB803" w14:textId="77777777" w:rsidR="00FC4E89" w:rsidRPr="00FC4E89" w:rsidRDefault="00FC4E89" w:rsidP="00FC4E89">
      <w:pPr>
        <w:contextualSpacing/>
        <w:jc w:val="both"/>
        <w:rPr>
          <w:rFonts w:ascii="Times New Roman" w:eastAsia="Calibri" w:hAnsi="Times New Roman" w:cs="Times New Roman"/>
          <w:sz w:val="24"/>
          <w:szCs w:val="24"/>
          <w:lang w:val="es-MX"/>
        </w:rPr>
      </w:pPr>
    </w:p>
    <w:p w14:paraId="68C61BDC" w14:textId="015DE237" w:rsidR="00FC4E89" w:rsidRPr="00FC4E89" w:rsidRDefault="00FC4E89" w:rsidP="00FC4E89">
      <w:pPr>
        <w:contextualSpacing/>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 xml:space="preserve">Lo anterior indica que la aplicación de esta tecnología en </w:t>
      </w:r>
      <w:r w:rsidR="00FF153B" w:rsidRPr="00FC4E89">
        <w:rPr>
          <w:rFonts w:ascii="Times New Roman" w:eastAsia="Calibri" w:hAnsi="Times New Roman" w:cs="Times New Roman"/>
          <w:sz w:val="24"/>
          <w:szCs w:val="24"/>
          <w:lang w:val="es-MX"/>
        </w:rPr>
        <w:t>Colombia</w:t>
      </w:r>
      <w:r w:rsidRPr="00FC4E89">
        <w:rPr>
          <w:rFonts w:ascii="Times New Roman" w:eastAsia="Calibri" w:hAnsi="Times New Roman" w:cs="Times New Roman"/>
          <w:sz w:val="24"/>
          <w:szCs w:val="24"/>
          <w:lang w:val="es-MX"/>
        </w:rPr>
        <w:t xml:space="preserve"> aún no ha llevado a producir cambios significativos en los paisajes, ni ha generado impactos ambientales irremediables; pues no ha requerido de la captación masiva de agua, ni arena natural o materiales pétreos de minas o canteras. Estos fluidos y apuntalantes se importan. </w:t>
      </w:r>
    </w:p>
    <w:p w14:paraId="1327BFC9" w14:textId="77777777" w:rsidR="00FC4E89" w:rsidRPr="00FC4E89" w:rsidRDefault="00FC4E89" w:rsidP="00FC4E89">
      <w:pPr>
        <w:jc w:val="both"/>
        <w:rPr>
          <w:rFonts w:ascii="Times New Roman" w:eastAsia="Calibri" w:hAnsi="Times New Roman" w:cs="Times New Roman"/>
          <w:sz w:val="24"/>
          <w:szCs w:val="24"/>
          <w:lang w:val="es-MX"/>
        </w:rPr>
      </w:pPr>
    </w:p>
    <w:p w14:paraId="76F534F8" w14:textId="77777777" w:rsidR="00FC4E89" w:rsidRPr="00FC4E89" w:rsidRDefault="00FC4E89" w:rsidP="00FC4E89">
      <w:pPr>
        <w:numPr>
          <w:ilvl w:val="0"/>
          <w:numId w:val="6"/>
        </w:numPr>
        <w:contextualSpacing/>
        <w:jc w:val="both"/>
        <w:rPr>
          <w:rFonts w:ascii="Times New Roman" w:eastAsia="Calibri" w:hAnsi="Times New Roman" w:cs="Times New Roman"/>
          <w:b/>
          <w:sz w:val="24"/>
          <w:szCs w:val="24"/>
          <w:lang w:val="es-ES"/>
        </w:rPr>
      </w:pPr>
      <w:r w:rsidRPr="00FC4E89">
        <w:rPr>
          <w:rFonts w:ascii="Times New Roman" w:eastAsia="Calibri" w:hAnsi="Times New Roman" w:cs="Times New Roman"/>
          <w:b/>
          <w:sz w:val="24"/>
          <w:szCs w:val="24"/>
          <w:lang w:val="es-ES"/>
        </w:rPr>
        <w:lastRenderedPageBreak/>
        <w:t xml:space="preserve">IMPACTOS Y RIESGOS QUE IMPLICA EL USO O LA APLICACIÓN COMBINADA DE LAS TÉCNICAS NO CONVENCIONALES DE FRACTURAMIENTO HIDRÁULICO MULTIETAPA Y PERFORACIÓN HORIZONTAL O MULTILATERAL, DESDE PLATAFORMAS MULTIPOZO, EN YACIMIENTOS NO CONVENCIONALES DE HIDROCARBUROS DE ROCA GENERADORA: </w:t>
      </w:r>
    </w:p>
    <w:p w14:paraId="37FDFBB7" w14:textId="77777777" w:rsidR="00FC4E89" w:rsidRPr="00FC4E89" w:rsidRDefault="00FC4E89" w:rsidP="00FC4E89">
      <w:pPr>
        <w:jc w:val="both"/>
        <w:rPr>
          <w:rFonts w:ascii="Times New Roman" w:eastAsia="Calibri" w:hAnsi="Times New Roman" w:cs="Times New Roman"/>
          <w:sz w:val="24"/>
          <w:szCs w:val="24"/>
          <w:lang w:val="es-ES"/>
        </w:rPr>
      </w:pPr>
      <w:r w:rsidRPr="00FC4E89">
        <w:rPr>
          <w:rFonts w:ascii="Times New Roman" w:eastAsia="Calibri" w:hAnsi="Times New Roman" w:cs="Times New Roman"/>
          <w:sz w:val="24"/>
          <w:szCs w:val="24"/>
          <w:lang w:val="es-ES"/>
        </w:rPr>
        <w:t>Es de trascendental importancia, tener en cuenta que la ANH (en su respuesta del 25 de septiembre de 2019 a la Comisión Quinta del Senado), afirma que, por su volumen, para que el negocio del Fracturamiento Hidráulico multietapa aplicado a la Roca Generadora, a través de Pozos Horizontales, sea rentable o cierre financieramente… el fluido fracturante a utilizar debe estar compuesto por agua en un 94.6%, y arena natural o material pétreo (material propante o apuntalante), en un 5,23%. Igualmente, es entendible que el agua no cumple con las propiedades reológicas para realizar las funciones de fracturar y transportar el apuntalante, por lo cual, debe agregarse un coctel de químicos en concentraciones tóxicas (la ANH aporta los nombres y concentraciones de los químicos a utilizar).</w:t>
      </w:r>
    </w:p>
    <w:p w14:paraId="25AE6B6E" w14:textId="77777777" w:rsidR="00FC4E89" w:rsidRPr="00FC4E89" w:rsidRDefault="00FC4E89" w:rsidP="00FC4E89">
      <w:pPr>
        <w:contextualSpacing/>
        <w:jc w:val="both"/>
        <w:rPr>
          <w:rFonts w:ascii="Times New Roman" w:eastAsia="Calibri" w:hAnsi="Times New Roman" w:cs="Times New Roman"/>
          <w:sz w:val="24"/>
          <w:szCs w:val="24"/>
          <w:lang w:val="es-ES"/>
        </w:rPr>
      </w:pPr>
    </w:p>
    <w:p w14:paraId="2F5C2D89" w14:textId="77777777" w:rsidR="00FC4E89" w:rsidRPr="00FC4E89" w:rsidRDefault="00FC4E89" w:rsidP="00FC4E89">
      <w:pPr>
        <w:numPr>
          <w:ilvl w:val="1"/>
          <w:numId w:val="6"/>
        </w:numPr>
        <w:contextualSpacing/>
        <w:jc w:val="both"/>
        <w:rPr>
          <w:rFonts w:ascii="Times New Roman" w:eastAsia="Calibri" w:hAnsi="Times New Roman" w:cs="Times New Roman"/>
          <w:sz w:val="24"/>
          <w:szCs w:val="24"/>
          <w:lang w:val="es-ES"/>
        </w:rPr>
      </w:pPr>
      <w:r w:rsidRPr="00FC4E89">
        <w:rPr>
          <w:rFonts w:ascii="Times New Roman" w:eastAsia="Calibri" w:hAnsi="Times New Roman" w:cs="Times New Roman"/>
          <w:b/>
          <w:sz w:val="24"/>
          <w:szCs w:val="24"/>
          <w:lang w:val="es-ES"/>
        </w:rPr>
        <w:t>Uso masivo de agua</w:t>
      </w:r>
      <w:r w:rsidRPr="00FC4E89">
        <w:rPr>
          <w:rFonts w:ascii="Times New Roman" w:eastAsia="Calibri" w:hAnsi="Times New Roman" w:cs="Times New Roman"/>
          <w:sz w:val="28"/>
          <w:szCs w:val="28"/>
          <w:lang w:val="es-ES"/>
        </w:rPr>
        <w:t xml:space="preserve">: </w:t>
      </w:r>
      <w:r w:rsidRPr="00FC4E89">
        <w:rPr>
          <w:rFonts w:ascii="Times New Roman" w:eastAsia="Calibri" w:hAnsi="Times New Roman" w:cs="Times New Roman"/>
          <w:sz w:val="24"/>
          <w:szCs w:val="24"/>
          <w:lang w:val="es-ES"/>
        </w:rPr>
        <w:t>Según la Agencia Nacional de Hidrocarburos -ANH, en respuesta dada a la Comisión Quinta del Senado (el pasado 25 de septiembre de 2019), y la Agencia de la Protección Ambiental de los Estado Unidos (EPA – 2016), el volumen de fluido fracturante requerido por etapa de fractura o por cada 100 metros a fracturar o estimular, es de mil metros cúbicos (1.000 m3);</w:t>
      </w:r>
      <w:r w:rsidRPr="00FC4E89">
        <w:rPr>
          <w:rFonts w:ascii="Times New Roman" w:eastAsia="Calibri" w:hAnsi="Times New Roman" w:cs="Times New Roman"/>
          <w:sz w:val="28"/>
          <w:szCs w:val="28"/>
          <w:lang w:val="es-ES"/>
        </w:rPr>
        <w:t xml:space="preserve"> </w:t>
      </w:r>
      <w:r w:rsidRPr="00FC4E89">
        <w:rPr>
          <w:rFonts w:ascii="Times New Roman" w:eastAsia="Calibri" w:hAnsi="Times New Roman" w:cs="Times New Roman"/>
          <w:sz w:val="24"/>
          <w:szCs w:val="24"/>
          <w:lang w:val="es-ES"/>
        </w:rPr>
        <w:t xml:space="preserve">o sea, un millón de litros. </w:t>
      </w:r>
    </w:p>
    <w:p w14:paraId="7E4B9AB0" w14:textId="77777777" w:rsidR="00FC4E89" w:rsidRPr="00FC4E89" w:rsidRDefault="00FC4E89" w:rsidP="00FC4E89">
      <w:pPr>
        <w:contextualSpacing/>
        <w:jc w:val="both"/>
        <w:rPr>
          <w:rFonts w:ascii="Times New Roman" w:eastAsia="Calibri" w:hAnsi="Times New Roman" w:cs="Times New Roman"/>
          <w:sz w:val="24"/>
          <w:szCs w:val="24"/>
          <w:lang w:val="es-ES"/>
        </w:rPr>
      </w:pPr>
    </w:p>
    <w:p w14:paraId="357A3B70" w14:textId="77777777" w:rsidR="00FC4E89" w:rsidRPr="00FC4E89" w:rsidRDefault="00FC4E89" w:rsidP="00FC4E89">
      <w:pPr>
        <w:contextualSpacing/>
        <w:jc w:val="center"/>
        <w:rPr>
          <w:rFonts w:ascii="Times New Roman" w:eastAsia="Calibri" w:hAnsi="Times New Roman" w:cs="Times New Roman"/>
          <w:sz w:val="24"/>
          <w:szCs w:val="24"/>
          <w:lang w:val="es-ES"/>
        </w:rPr>
      </w:pPr>
      <w:r w:rsidRPr="00FC4E89">
        <w:rPr>
          <w:rFonts w:ascii="Times New Roman" w:eastAsia="Calibri" w:hAnsi="Times New Roman" w:cs="Times New Roman"/>
          <w:noProof/>
          <w:sz w:val="24"/>
          <w:szCs w:val="24"/>
          <w:lang w:val="es-ES"/>
        </w:rPr>
        <w:lastRenderedPageBreak/>
        <w:drawing>
          <wp:inline distT="0" distB="0" distL="0" distR="0" wp14:anchorId="614AC411" wp14:editId="0C50A0E9">
            <wp:extent cx="4810258" cy="3607694"/>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19311" cy="3614483"/>
                    </a:xfrm>
                    <a:prstGeom prst="rect">
                      <a:avLst/>
                    </a:prstGeom>
                  </pic:spPr>
                </pic:pic>
              </a:graphicData>
            </a:graphic>
          </wp:inline>
        </w:drawing>
      </w:r>
    </w:p>
    <w:p w14:paraId="2D4707F0" w14:textId="77777777" w:rsidR="00FC4E89" w:rsidRPr="00FC4E89" w:rsidRDefault="00FC4E89" w:rsidP="00FC4E89">
      <w:pPr>
        <w:contextualSpacing/>
        <w:jc w:val="both"/>
        <w:rPr>
          <w:rFonts w:ascii="Times New Roman" w:eastAsia="Calibri" w:hAnsi="Times New Roman" w:cs="Times New Roman"/>
          <w:sz w:val="24"/>
          <w:szCs w:val="24"/>
          <w:lang w:val="es-ES"/>
        </w:rPr>
      </w:pPr>
    </w:p>
    <w:p w14:paraId="19084A45" w14:textId="77777777" w:rsidR="00FC4E89" w:rsidRPr="00FC4E89" w:rsidRDefault="00FC4E89" w:rsidP="00FC4E89">
      <w:pPr>
        <w:contextualSpacing/>
        <w:jc w:val="both"/>
        <w:rPr>
          <w:rFonts w:ascii="Times New Roman" w:eastAsia="Calibri" w:hAnsi="Times New Roman" w:cs="Times New Roman"/>
          <w:sz w:val="24"/>
          <w:szCs w:val="24"/>
          <w:lang w:val="es-ES"/>
        </w:rPr>
      </w:pPr>
      <w:r w:rsidRPr="00FC4E89">
        <w:rPr>
          <w:rFonts w:ascii="Times New Roman" w:eastAsia="Calibri" w:hAnsi="Times New Roman" w:cs="Times New Roman"/>
          <w:sz w:val="24"/>
          <w:szCs w:val="24"/>
          <w:lang w:val="es-ES"/>
        </w:rPr>
        <w:t>Y según Ecopetrol (en respuesta a derechos de petición), en una etapa de 60 metros de fracturamiento hidráulico, se requieren 1’200.000 litros de fluido fracturante (320 mil galones). O sea que en un pozo horizontal de 3.000 metros (3 kilómetros), se requerirán 50 etapas de fracturamiento de 60 metros cada una, para un consumo de 60 millones de litros (16 millones de galones), de fluido fracturante, por pozo.</w:t>
      </w:r>
    </w:p>
    <w:p w14:paraId="6E1608DD" w14:textId="77777777" w:rsidR="00FC4E89" w:rsidRPr="00FC4E89" w:rsidRDefault="00FC4E89" w:rsidP="00FC4E89">
      <w:pPr>
        <w:contextualSpacing/>
        <w:jc w:val="both"/>
        <w:rPr>
          <w:rFonts w:ascii="Times New Roman" w:eastAsia="Calibri" w:hAnsi="Times New Roman" w:cs="Times New Roman"/>
          <w:sz w:val="24"/>
          <w:szCs w:val="24"/>
          <w:lang w:val="es-ES"/>
        </w:rPr>
      </w:pPr>
    </w:p>
    <w:p w14:paraId="5E5EF148" w14:textId="77777777" w:rsidR="00FC4E89" w:rsidRPr="00FC4E89" w:rsidRDefault="00FC4E89" w:rsidP="00FC4E89">
      <w:pPr>
        <w:contextualSpacing/>
        <w:jc w:val="center"/>
        <w:rPr>
          <w:rFonts w:ascii="Times New Roman" w:eastAsia="Calibri" w:hAnsi="Times New Roman" w:cs="Times New Roman"/>
          <w:sz w:val="24"/>
          <w:szCs w:val="24"/>
          <w:lang w:val="es-ES"/>
        </w:rPr>
      </w:pPr>
      <w:r w:rsidRPr="00FC4E89">
        <w:rPr>
          <w:rFonts w:ascii="Times New Roman" w:eastAsia="Calibri" w:hAnsi="Times New Roman" w:cs="Times New Roman"/>
          <w:noProof/>
          <w:sz w:val="24"/>
          <w:szCs w:val="24"/>
          <w:lang w:val="es-ES"/>
        </w:rPr>
        <w:lastRenderedPageBreak/>
        <w:drawing>
          <wp:inline distT="0" distB="0" distL="0" distR="0" wp14:anchorId="0C39D13B" wp14:editId="211C7BF5">
            <wp:extent cx="4808111" cy="3606084"/>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16550" cy="3612413"/>
                    </a:xfrm>
                    <a:prstGeom prst="rect">
                      <a:avLst/>
                    </a:prstGeom>
                  </pic:spPr>
                </pic:pic>
              </a:graphicData>
            </a:graphic>
          </wp:inline>
        </w:drawing>
      </w:r>
    </w:p>
    <w:p w14:paraId="7B5B3FAE" w14:textId="77777777" w:rsidR="00FC4E89" w:rsidRPr="00FC4E89" w:rsidRDefault="00FC4E89" w:rsidP="00FC4E89">
      <w:pPr>
        <w:contextualSpacing/>
        <w:jc w:val="both"/>
        <w:rPr>
          <w:rFonts w:ascii="Times New Roman" w:eastAsia="Calibri" w:hAnsi="Times New Roman" w:cs="Times New Roman"/>
          <w:sz w:val="24"/>
          <w:szCs w:val="24"/>
          <w:lang w:val="es-ES"/>
        </w:rPr>
      </w:pPr>
    </w:p>
    <w:p w14:paraId="76A6DEF5" w14:textId="77777777" w:rsidR="00FC4E89" w:rsidRPr="00FC4E89" w:rsidRDefault="00FC4E89" w:rsidP="00FC4E89">
      <w:pPr>
        <w:contextualSpacing/>
        <w:jc w:val="both"/>
        <w:rPr>
          <w:rFonts w:ascii="Times New Roman" w:eastAsia="Calibri" w:hAnsi="Times New Roman" w:cs="Times New Roman"/>
          <w:sz w:val="24"/>
          <w:szCs w:val="24"/>
          <w:lang w:val="es-ES"/>
        </w:rPr>
      </w:pPr>
      <w:r w:rsidRPr="00FC4E89">
        <w:rPr>
          <w:rFonts w:ascii="Times New Roman" w:eastAsia="Calibri" w:hAnsi="Times New Roman" w:cs="Times New Roman"/>
          <w:sz w:val="24"/>
          <w:szCs w:val="24"/>
          <w:lang w:val="es-ES"/>
        </w:rPr>
        <w:t xml:space="preserve">Una plataforma puede tener de 4 a 10 pozos. Si hacemos el cálculo en plataformas de 4 pozos, que es lo mínimo, (como lo hizo Ecopetrol con la OXY en Estados Unidos), se requerirán 240 millones de litros de fluido fracturante (64 millones de galones). </w:t>
      </w:r>
      <w:proofErr w:type="spellStart"/>
      <w:r w:rsidRPr="00FC4E89">
        <w:rPr>
          <w:rFonts w:ascii="Times New Roman" w:eastAsia="Calibri" w:hAnsi="Times New Roman" w:cs="Times New Roman"/>
          <w:sz w:val="24"/>
          <w:szCs w:val="24"/>
          <w:lang w:val="es-ES"/>
        </w:rPr>
        <w:t>ConocoPhillips</w:t>
      </w:r>
      <w:proofErr w:type="spellEnd"/>
      <w:r w:rsidRPr="00FC4E89">
        <w:rPr>
          <w:rFonts w:ascii="Times New Roman" w:eastAsia="Calibri" w:hAnsi="Times New Roman" w:cs="Times New Roman"/>
          <w:sz w:val="24"/>
          <w:szCs w:val="24"/>
          <w:lang w:val="es-ES"/>
        </w:rPr>
        <w:t xml:space="preserve"> en la socialización de su proyecto en San Martín - César, habla de 5 pozos por plataforma, lo cual llevaría al uso de 300 millones de litros de fluido fracturante. </w:t>
      </w:r>
    </w:p>
    <w:p w14:paraId="7AC45ACE" w14:textId="77777777" w:rsidR="00FC4E89" w:rsidRPr="00FC4E89" w:rsidRDefault="00FC4E89" w:rsidP="00FC4E89">
      <w:pPr>
        <w:contextualSpacing/>
        <w:jc w:val="both"/>
        <w:rPr>
          <w:rFonts w:ascii="Times New Roman" w:eastAsia="Calibri" w:hAnsi="Times New Roman" w:cs="Times New Roman"/>
          <w:b/>
          <w:sz w:val="24"/>
          <w:szCs w:val="24"/>
          <w:lang w:val="es-ES"/>
        </w:rPr>
      </w:pPr>
    </w:p>
    <w:p w14:paraId="59DC9023" w14:textId="77777777" w:rsidR="00FC4E89" w:rsidRPr="00FC4E89" w:rsidRDefault="00FC4E89" w:rsidP="00FC4E89">
      <w:pPr>
        <w:contextualSpacing/>
        <w:jc w:val="both"/>
        <w:rPr>
          <w:rFonts w:ascii="Times New Roman" w:eastAsia="Calibri" w:hAnsi="Times New Roman" w:cs="Times New Roman"/>
          <w:sz w:val="24"/>
          <w:szCs w:val="24"/>
          <w:lang w:val="es-ES"/>
        </w:rPr>
      </w:pPr>
      <w:r w:rsidRPr="00FC4E89">
        <w:rPr>
          <w:rFonts w:ascii="Times New Roman" w:eastAsia="Calibri" w:hAnsi="Times New Roman" w:cs="Times New Roman"/>
          <w:sz w:val="24"/>
          <w:szCs w:val="24"/>
          <w:lang w:val="es-ES"/>
        </w:rPr>
        <w:t xml:space="preserve">La gran diferencia entre este fracturamiento hidráulico multietapa, con el fracturamiento hidráulico convencional, es que en el convencional se hace un solo pozo por plataforma, con una sola etapa de fracturamiento, de máximo 30 metros (caso Cusiana y </w:t>
      </w:r>
      <w:proofErr w:type="spellStart"/>
      <w:r w:rsidRPr="00FC4E89">
        <w:rPr>
          <w:rFonts w:ascii="Times New Roman" w:eastAsia="Calibri" w:hAnsi="Times New Roman" w:cs="Times New Roman"/>
          <w:sz w:val="24"/>
          <w:szCs w:val="24"/>
          <w:lang w:val="es-ES"/>
        </w:rPr>
        <w:t>Guandó</w:t>
      </w:r>
      <w:proofErr w:type="spellEnd"/>
      <w:r w:rsidRPr="00FC4E89">
        <w:rPr>
          <w:rFonts w:ascii="Times New Roman" w:eastAsia="Calibri" w:hAnsi="Times New Roman" w:cs="Times New Roman"/>
          <w:sz w:val="24"/>
          <w:szCs w:val="24"/>
          <w:lang w:val="es-ES"/>
        </w:rPr>
        <w:t xml:space="preserve">), con un consumo máximo de 600 mil litros o 160 mil galones de fluido fracturante, el cual normalmente es un gel sintético a base de polímeros, y que cuesta en el mercado un dólar por galón. Si se usara fluido fracturante sintético para el fracking, en un pozo de 3 kilómetros se </w:t>
      </w:r>
      <w:r w:rsidRPr="00FC4E89">
        <w:rPr>
          <w:rFonts w:ascii="Times New Roman" w:eastAsia="Calibri" w:hAnsi="Times New Roman" w:cs="Times New Roman"/>
          <w:sz w:val="24"/>
          <w:szCs w:val="24"/>
          <w:lang w:val="es-ES"/>
        </w:rPr>
        <w:lastRenderedPageBreak/>
        <w:t xml:space="preserve">gastarían 16 millones de dólares, y en una plataforma de 4 pozos, se requerirá una inversión de 64 millones de dólares, como mínimo. O sea que si en un pozo convencional, el fluido fracturante sintético cuesta a lo sumo 160 mil dólares, en uno de fracking puede llegar a 16 millones de dólares, o sea 100 veces más. Esto significa que el fluido fracturante saldría costando 3 veces más que lo que vale la perforación del pozo. En una plataforma multipozo, debe multiplicarse estas cifras por el número de pozos que se perforen por plataforma. Por ejemplo: </w:t>
      </w:r>
    </w:p>
    <w:p w14:paraId="7D927FEE" w14:textId="77777777" w:rsidR="00FC4E89" w:rsidRPr="00FC4E89" w:rsidRDefault="00FC4E89" w:rsidP="00FC4E89">
      <w:pPr>
        <w:contextualSpacing/>
        <w:jc w:val="both"/>
        <w:rPr>
          <w:rFonts w:ascii="Times New Roman" w:eastAsia="Calibri" w:hAnsi="Times New Roman" w:cs="Times New Roman"/>
          <w:sz w:val="24"/>
          <w:szCs w:val="24"/>
          <w:lang w:val="es-ES"/>
        </w:rPr>
      </w:pPr>
    </w:p>
    <w:p w14:paraId="7842B8E8" w14:textId="77777777" w:rsidR="00FC4E89" w:rsidRPr="00FC4E89" w:rsidRDefault="00FC4E89" w:rsidP="00FC4E89">
      <w:pPr>
        <w:numPr>
          <w:ilvl w:val="0"/>
          <w:numId w:val="8"/>
        </w:numPr>
        <w:contextualSpacing/>
        <w:jc w:val="both"/>
        <w:rPr>
          <w:rFonts w:ascii="Times New Roman" w:eastAsia="Calibri" w:hAnsi="Times New Roman" w:cs="Times New Roman"/>
          <w:sz w:val="24"/>
          <w:szCs w:val="24"/>
          <w:lang w:val="es-ES"/>
        </w:rPr>
      </w:pPr>
      <w:r w:rsidRPr="00FC4E89">
        <w:rPr>
          <w:rFonts w:ascii="Times New Roman" w:eastAsia="Calibri" w:hAnsi="Times New Roman" w:cs="Times New Roman"/>
          <w:sz w:val="24"/>
          <w:szCs w:val="24"/>
          <w:lang w:val="es-ES"/>
        </w:rPr>
        <w:t xml:space="preserve">Para una plataforma de 4 pozos serán 64 millones de dólares en fluido fracturante sintético, para 240 millones de litros de fluido fracturante. </w:t>
      </w:r>
    </w:p>
    <w:p w14:paraId="32BC8867" w14:textId="77777777" w:rsidR="00FC4E89" w:rsidRPr="00FC4E89" w:rsidRDefault="00FC4E89" w:rsidP="00FC4E89">
      <w:pPr>
        <w:numPr>
          <w:ilvl w:val="0"/>
          <w:numId w:val="8"/>
        </w:numPr>
        <w:contextualSpacing/>
        <w:jc w:val="both"/>
        <w:rPr>
          <w:rFonts w:ascii="Times New Roman" w:eastAsia="Calibri" w:hAnsi="Times New Roman" w:cs="Times New Roman"/>
          <w:sz w:val="24"/>
          <w:szCs w:val="24"/>
          <w:lang w:val="es-ES"/>
        </w:rPr>
      </w:pPr>
      <w:r w:rsidRPr="00FC4E89">
        <w:rPr>
          <w:rFonts w:ascii="Times New Roman" w:eastAsia="Calibri" w:hAnsi="Times New Roman" w:cs="Times New Roman"/>
          <w:sz w:val="24"/>
          <w:szCs w:val="24"/>
          <w:lang w:val="es-ES"/>
        </w:rPr>
        <w:t>Para una plataforma de 10 pozos se utilizarán 600 millones de litros, con un costo de 160 millones de dólares.</w:t>
      </w:r>
    </w:p>
    <w:p w14:paraId="05C9B575" w14:textId="77777777" w:rsidR="00FC4E89" w:rsidRPr="00FC4E89" w:rsidRDefault="00FC4E89" w:rsidP="00FC4E89">
      <w:pPr>
        <w:jc w:val="both"/>
        <w:rPr>
          <w:rFonts w:ascii="Calibri" w:eastAsia="Calibri" w:hAnsi="Calibri" w:cs="Times New Roman"/>
          <w:lang w:val="es-ES"/>
        </w:rPr>
      </w:pPr>
      <w:r w:rsidRPr="00FC4E89">
        <w:rPr>
          <w:rFonts w:ascii="Times New Roman" w:eastAsia="Calibri" w:hAnsi="Times New Roman" w:cs="Times New Roman"/>
          <w:sz w:val="24"/>
          <w:szCs w:val="24"/>
          <w:lang w:val="es-ES"/>
        </w:rPr>
        <w:t>Esto significa que sí se utilizara fluido fracturante sintético en el fracking, la inversión no se pagaría o no tiene cierre financiero, lo que conlleva a que un pozo con fracking necesariamente requiera el uso masivo de agua para preparar el fluido fracturante. Esto implicaría que por cada plataforma se utilizara entre 240.000.000 y 600.000.000 de litros de agua. Operación que se repetirá cada 2 o 3 años, durante los siguientes 10 o 20 años, puesto que la vida útil de cada pozo en el fracking es 10 veces menor a la de un pozo convencional. Es decir que mientras la vida útil de un pozo convencional está entre 20 y 30 años o más, la de un pozo de fracking está entre 2 y 3 años. (Debido a que la roca generadora es impermeable y solo se produce lo que se interconecta con la fractura inducida).</w:t>
      </w:r>
    </w:p>
    <w:p w14:paraId="2642FB68" w14:textId="77777777" w:rsidR="00FC4E89" w:rsidRPr="00FC4E89" w:rsidRDefault="00FC4E89" w:rsidP="00FC4E89">
      <w:pPr>
        <w:jc w:val="both"/>
        <w:rPr>
          <w:rFonts w:ascii="Times New Roman" w:eastAsia="Calibri" w:hAnsi="Times New Roman" w:cs="Times New Roman"/>
          <w:sz w:val="24"/>
          <w:szCs w:val="24"/>
          <w:lang w:val="es-ES"/>
        </w:rPr>
      </w:pPr>
      <w:r w:rsidRPr="00FC4E89">
        <w:rPr>
          <w:rFonts w:ascii="Times New Roman" w:eastAsia="Calibri" w:hAnsi="Times New Roman" w:cs="Times New Roman"/>
          <w:sz w:val="24"/>
          <w:szCs w:val="24"/>
          <w:lang w:val="es-ES"/>
        </w:rPr>
        <w:t>Analizando las estadísticas reportadas por Ecopetrol S.A sobre el uso de 60 millones de litros de agua por pozo de 3 kilómetros horizontales (60 mil metros cúbicos), se concluye que con la perforación horizontal y el fracturamiento hidráulico multietapa de 192 pozos, o 48 plataformas con 4 pozos cada una, o 20 plataformas con 10 pozos cada una, se usará el equivalente al agua que consumió la ciudad de Barrancabermeja durante todo el año 2020.</w:t>
      </w:r>
    </w:p>
    <w:p w14:paraId="72B39D92" w14:textId="77777777" w:rsidR="00FC4E89" w:rsidRPr="00FC4E89" w:rsidRDefault="00FC4E89" w:rsidP="00FC4E89">
      <w:pPr>
        <w:spacing w:after="0"/>
        <w:jc w:val="center"/>
        <w:rPr>
          <w:rFonts w:ascii="Times New Roman" w:eastAsia="Calibri" w:hAnsi="Times New Roman" w:cs="Times New Roman"/>
          <w:sz w:val="24"/>
          <w:szCs w:val="24"/>
          <w:lang w:val="es-ES"/>
        </w:rPr>
      </w:pPr>
      <w:r w:rsidRPr="00FC4E89">
        <w:rPr>
          <w:rFonts w:ascii="Calibri" w:eastAsia="Calibri" w:hAnsi="Calibri" w:cs="Times New Roman"/>
          <w:noProof/>
          <w:lang w:val="en-US"/>
        </w:rPr>
        <w:lastRenderedPageBreak/>
        <w:drawing>
          <wp:inline distT="0" distB="0" distL="0" distR="0" wp14:anchorId="5CCC3055" wp14:editId="20670DEA">
            <wp:extent cx="4005330" cy="607722"/>
            <wp:effectExtent l="0" t="0" r="0" b="19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0789" t="19714" r="10271" b="58741"/>
                    <a:stretch/>
                  </pic:blipFill>
                  <pic:spPr bwMode="auto">
                    <a:xfrm>
                      <a:off x="0" y="0"/>
                      <a:ext cx="4246816" cy="644362"/>
                    </a:xfrm>
                    <a:prstGeom prst="rect">
                      <a:avLst/>
                    </a:prstGeom>
                    <a:ln>
                      <a:noFill/>
                    </a:ln>
                    <a:extLst>
                      <a:ext uri="{53640926-AAD7-44D8-BBD7-CCE9431645EC}">
                        <a14:shadowObscured xmlns:a14="http://schemas.microsoft.com/office/drawing/2010/main"/>
                      </a:ext>
                    </a:extLst>
                  </pic:spPr>
                </pic:pic>
              </a:graphicData>
            </a:graphic>
          </wp:inline>
        </w:drawing>
      </w:r>
      <w:r w:rsidRPr="00FC4E89">
        <w:rPr>
          <w:rFonts w:ascii="Calibri" w:eastAsia="Calibri" w:hAnsi="Calibri" w:cs="Times New Roman"/>
          <w:noProof/>
          <w:lang w:val="en-US"/>
        </w:rPr>
        <w:drawing>
          <wp:inline distT="0" distB="0" distL="0" distR="0" wp14:anchorId="2C8D861A" wp14:editId="4C5E60D9">
            <wp:extent cx="3862142" cy="2008236"/>
            <wp:effectExtent l="0" t="0" r="508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0443" t="41429" r="50433" b="16114"/>
                    <a:stretch/>
                  </pic:blipFill>
                  <pic:spPr bwMode="auto">
                    <a:xfrm>
                      <a:off x="0" y="0"/>
                      <a:ext cx="3965809" cy="2062141"/>
                    </a:xfrm>
                    <a:prstGeom prst="rect">
                      <a:avLst/>
                    </a:prstGeom>
                    <a:ln>
                      <a:noFill/>
                    </a:ln>
                    <a:extLst>
                      <a:ext uri="{53640926-AAD7-44D8-BBD7-CCE9431645EC}">
                        <a14:shadowObscured xmlns:a14="http://schemas.microsoft.com/office/drawing/2010/main"/>
                      </a:ext>
                    </a:extLst>
                  </pic:spPr>
                </pic:pic>
              </a:graphicData>
            </a:graphic>
          </wp:inline>
        </w:drawing>
      </w:r>
    </w:p>
    <w:p w14:paraId="6FB0CD3E" w14:textId="77777777" w:rsidR="00FC4E89" w:rsidRPr="00FC4E89" w:rsidRDefault="00FC4E89" w:rsidP="00FC4E89">
      <w:pPr>
        <w:jc w:val="center"/>
        <w:rPr>
          <w:rFonts w:ascii="Times New Roman" w:eastAsia="Calibri" w:hAnsi="Times New Roman" w:cs="Times New Roman"/>
          <w:sz w:val="24"/>
          <w:szCs w:val="24"/>
          <w:lang w:val="es-ES"/>
        </w:rPr>
      </w:pPr>
    </w:p>
    <w:p w14:paraId="6CBEB03E" w14:textId="77777777" w:rsidR="00FC4E89" w:rsidRPr="00FC4E89" w:rsidRDefault="00FC4E89" w:rsidP="00FC4E89">
      <w:pPr>
        <w:jc w:val="both"/>
        <w:rPr>
          <w:rFonts w:ascii="Times New Roman" w:eastAsia="Calibri" w:hAnsi="Times New Roman" w:cs="Times New Roman"/>
          <w:sz w:val="24"/>
          <w:szCs w:val="24"/>
          <w:lang w:val="es-ES"/>
        </w:rPr>
      </w:pPr>
      <w:r w:rsidRPr="00FC4E89">
        <w:rPr>
          <w:rFonts w:ascii="Times New Roman" w:eastAsia="Calibri" w:hAnsi="Times New Roman" w:cs="Times New Roman"/>
          <w:sz w:val="24"/>
          <w:szCs w:val="24"/>
          <w:lang w:val="es-ES"/>
        </w:rPr>
        <w:t xml:space="preserve">Esto afectaría gravemente los puntos de captación de agua, compitiendo con el sector agropecuario y ganadero, poniendo en riesgo la seguridad alimentaria local y regional, porque el fracking se extenderá por todo el Magdalena Medio en 8.200 kilómetros cuadrados así: Entre Aguachica (Cesar), y Cimitarra (Santander); y de cordillera a cordillera, generando conflicto hídrico (disputa por el agua). </w:t>
      </w:r>
    </w:p>
    <w:p w14:paraId="6A7C29F1" w14:textId="77777777" w:rsidR="00FC4E89" w:rsidRPr="00FC4E89" w:rsidRDefault="00FC4E89" w:rsidP="00FC4E89">
      <w:pPr>
        <w:jc w:val="both"/>
        <w:rPr>
          <w:rFonts w:ascii="Times New Roman" w:eastAsia="Calibri" w:hAnsi="Times New Roman" w:cs="Times New Roman"/>
          <w:sz w:val="24"/>
          <w:szCs w:val="24"/>
          <w:lang w:val="es-ES"/>
        </w:rPr>
      </w:pPr>
    </w:p>
    <w:p w14:paraId="3861E049" w14:textId="77777777" w:rsidR="00FC4E89" w:rsidRPr="00FC4E89" w:rsidRDefault="00FC4E89" w:rsidP="00FC4E89">
      <w:pPr>
        <w:numPr>
          <w:ilvl w:val="1"/>
          <w:numId w:val="6"/>
        </w:numPr>
        <w:contextualSpacing/>
        <w:jc w:val="both"/>
        <w:rPr>
          <w:rFonts w:ascii="Times New Roman" w:eastAsia="Calibri" w:hAnsi="Times New Roman" w:cs="Times New Roman"/>
          <w:sz w:val="24"/>
          <w:szCs w:val="24"/>
          <w:lang w:val="es-ES"/>
        </w:rPr>
      </w:pPr>
      <w:r w:rsidRPr="00FC4E89">
        <w:rPr>
          <w:rFonts w:ascii="Times New Roman" w:eastAsia="Calibri" w:hAnsi="Times New Roman" w:cs="Times New Roman"/>
          <w:b/>
          <w:sz w:val="24"/>
          <w:szCs w:val="24"/>
          <w:lang w:val="es-ES"/>
        </w:rPr>
        <w:t xml:space="preserve">Uso masivo de arena: </w:t>
      </w:r>
      <w:r w:rsidRPr="00FC4E89">
        <w:rPr>
          <w:rFonts w:ascii="Times New Roman" w:eastAsia="Calibri" w:hAnsi="Times New Roman" w:cs="Times New Roman"/>
          <w:sz w:val="24"/>
          <w:szCs w:val="24"/>
          <w:lang w:val="es-ES"/>
        </w:rPr>
        <w:t xml:space="preserve">El fracturamiento hidráulico requiere un sostén para la fractura, llamado material propante o apuntalante, el cual puede ser de origen sintético o natural. Normalmente en el fracturamiento hidráulico convencional se utiliza material sintético a base de cerámica de bauxita en cantidades de 10 toneladas por pozo, mientras que en el fracturamiento hidráulico multietapa, como en pozos que ya fracturó Ecopetrol con la OXY, en Estados Unidos, se requirieron 1’470.000 libras, es decir: 735 toneladas para pozos de 7.000 pies de sección horizontal, con 37 etapas de fracturamiento hidráulico de 63 metros cada una. Esto significa que necesitarían 20 tractomulas llenas de arena por pozo; pero como se hacen entre 4 y 10 pozos por </w:t>
      </w:r>
      <w:r w:rsidRPr="00FC4E89">
        <w:rPr>
          <w:rFonts w:ascii="Times New Roman" w:eastAsia="Calibri" w:hAnsi="Times New Roman" w:cs="Times New Roman"/>
          <w:sz w:val="24"/>
          <w:szCs w:val="24"/>
          <w:lang w:val="es-ES"/>
        </w:rPr>
        <w:lastRenderedPageBreak/>
        <w:t xml:space="preserve">plataforma, significa que se requieren entre 2.940 toneladas a 7.350 toneladas por plataforma, dependiendo del número de pozos y su profundidad. </w:t>
      </w:r>
    </w:p>
    <w:p w14:paraId="1DE63347" w14:textId="77777777" w:rsidR="00FC4E89" w:rsidRPr="00FC4E89" w:rsidRDefault="00FC4E89" w:rsidP="00FC4E89">
      <w:pPr>
        <w:contextualSpacing/>
        <w:jc w:val="both"/>
        <w:rPr>
          <w:rFonts w:ascii="Times New Roman" w:eastAsia="Calibri" w:hAnsi="Times New Roman" w:cs="Times New Roman"/>
          <w:b/>
          <w:sz w:val="24"/>
          <w:szCs w:val="24"/>
          <w:lang w:val="es-ES"/>
        </w:rPr>
      </w:pPr>
    </w:p>
    <w:p w14:paraId="2349EDB5" w14:textId="77777777" w:rsidR="00FC4E89" w:rsidRPr="00FC4E89" w:rsidRDefault="00FC4E89" w:rsidP="00FC4E89">
      <w:pPr>
        <w:contextualSpacing/>
        <w:jc w:val="both"/>
        <w:rPr>
          <w:rFonts w:ascii="Times New Roman" w:eastAsia="Calibri" w:hAnsi="Times New Roman" w:cs="Times New Roman"/>
          <w:sz w:val="24"/>
          <w:szCs w:val="24"/>
          <w:lang w:val="es-ES"/>
        </w:rPr>
      </w:pPr>
      <w:r w:rsidRPr="00FC4E89">
        <w:rPr>
          <w:rFonts w:ascii="Times New Roman" w:eastAsia="Calibri" w:hAnsi="Times New Roman" w:cs="Times New Roman"/>
          <w:sz w:val="24"/>
          <w:szCs w:val="24"/>
          <w:lang w:val="es-ES"/>
        </w:rPr>
        <w:t>Igualmente, la ANH dice que según el estudio “</w:t>
      </w:r>
      <w:r w:rsidRPr="00FC4E89">
        <w:rPr>
          <w:rFonts w:ascii="Times New Roman" w:eastAsia="Calibri" w:hAnsi="Times New Roman" w:cs="Times New Roman"/>
          <w:i/>
          <w:sz w:val="24"/>
          <w:szCs w:val="24"/>
          <w:lang w:val="es-ES"/>
        </w:rPr>
        <w:t>metodología para la clasificación y selección de intervalos y áreas a ser completados durante la etapa exploratoria de yacimientos no convencionales de petróleo y gas del Valle Medio del Magdalena</w:t>
      </w:r>
      <w:r w:rsidRPr="00FC4E89">
        <w:rPr>
          <w:rFonts w:ascii="Times New Roman" w:eastAsia="Calibri" w:hAnsi="Times New Roman" w:cs="Times New Roman"/>
          <w:sz w:val="24"/>
          <w:szCs w:val="24"/>
          <w:lang w:val="es-ES"/>
        </w:rPr>
        <w:t>”, realizado por Castillo, et al, y presentado en el Congreso Colombiano de Petróleo y Gas, en el año 2017, para 4 mil barriles (636 mil litros) de fluido fracturante, se requieren 3 mil sacos, de 50 kilos, de material propante o apuntalante.</w:t>
      </w:r>
    </w:p>
    <w:p w14:paraId="6630F418" w14:textId="77777777" w:rsidR="00FC4E89" w:rsidRPr="00FC4E89" w:rsidRDefault="00FC4E89" w:rsidP="00FC4E89">
      <w:pPr>
        <w:contextualSpacing/>
        <w:jc w:val="both"/>
        <w:rPr>
          <w:rFonts w:ascii="Times New Roman" w:eastAsia="Calibri" w:hAnsi="Times New Roman" w:cs="Times New Roman"/>
          <w:sz w:val="24"/>
          <w:szCs w:val="24"/>
          <w:lang w:val="es-ES"/>
        </w:rPr>
      </w:pPr>
    </w:p>
    <w:p w14:paraId="7F113786" w14:textId="77777777" w:rsidR="00FC4E89" w:rsidRPr="00FC4E89" w:rsidRDefault="00FC4E89" w:rsidP="00FC4E89">
      <w:pPr>
        <w:contextualSpacing/>
        <w:jc w:val="both"/>
        <w:rPr>
          <w:rFonts w:ascii="Times New Roman" w:eastAsia="Calibri" w:hAnsi="Times New Roman" w:cs="Times New Roman"/>
          <w:sz w:val="24"/>
          <w:szCs w:val="24"/>
          <w:lang w:val="es-ES"/>
        </w:rPr>
      </w:pPr>
      <w:r w:rsidRPr="00FC4E89">
        <w:rPr>
          <w:rFonts w:ascii="Times New Roman" w:eastAsia="Calibri" w:hAnsi="Times New Roman" w:cs="Times New Roman"/>
          <w:sz w:val="24"/>
          <w:szCs w:val="24"/>
          <w:lang w:val="es-ES"/>
        </w:rPr>
        <w:t xml:space="preserve">Por el volumen requerido, esta arena no será sintética ni importada, como lo dijo en su momento el jefe de YNC de Ecopetrol, Héctor Manosalva; donde resalta que la arena importada o sintética no cierra financieramente la operación, y que tocará desarrollar la industria de material pétreo o de arena natural; la cual, según las especificaciones técnicas que debe tener, tal como lo dice la ANH (esfuerzos, tamaño, distribución, redondez, concentración, empotramiento, finos y elasticidad), no se encuentra en cualquier cantera. </w:t>
      </w:r>
    </w:p>
    <w:p w14:paraId="528C04B8" w14:textId="77777777" w:rsidR="00FC4E89" w:rsidRPr="00FC4E89" w:rsidRDefault="00FC4E89" w:rsidP="00FC4E89">
      <w:pPr>
        <w:contextualSpacing/>
        <w:jc w:val="both"/>
        <w:rPr>
          <w:rFonts w:ascii="Times New Roman" w:eastAsia="Calibri" w:hAnsi="Times New Roman" w:cs="Times New Roman"/>
          <w:sz w:val="24"/>
          <w:szCs w:val="24"/>
          <w:lang w:val="es-ES"/>
        </w:rPr>
      </w:pPr>
    </w:p>
    <w:p w14:paraId="609DD631" w14:textId="77777777" w:rsidR="00FC4E89" w:rsidRPr="00FC4E89" w:rsidRDefault="00FC4E89" w:rsidP="00FC4E89">
      <w:pPr>
        <w:contextualSpacing/>
        <w:jc w:val="both"/>
        <w:rPr>
          <w:rFonts w:ascii="Times New Roman" w:eastAsia="Calibri" w:hAnsi="Times New Roman" w:cs="Times New Roman"/>
          <w:sz w:val="24"/>
          <w:szCs w:val="24"/>
          <w:lang w:val="es-ES"/>
        </w:rPr>
      </w:pPr>
      <w:r w:rsidRPr="00FC4E89">
        <w:rPr>
          <w:rFonts w:ascii="Times New Roman" w:eastAsia="Calibri" w:hAnsi="Times New Roman" w:cs="Times New Roman"/>
          <w:sz w:val="24"/>
          <w:szCs w:val="24"/>
          <w:lang w:val="es-ES"/>
        </w:rPr>
        <w:t xml:space="preserve">Según la ANH la arena blanca de sílice mono cristalina es la que cumple con las especificaciones de resistencia porque las arenas marrones (de río), no sirven. </w:t>
      </w:r>
      <w:proofErr w:type="gramStart"/>
      <w:r w:rsidRPr="00FC4E89">
        <w:rPr>
          <w:rFonts w:ascii="Times New Roman" w:eastAsia="Calibri" w:hAnsi="Times New Roman" w:cs="Times New Roman"/>
          <w:sz w:val="24"/>
          <w:szCs w:val="24"/>
          <w:lang w:val="es-ES"/>
        </w:rPr>
        <w:t>De acuerdo a</w:t>
      </w:r>
      <w:proofErr w:type="gramEnd"/>
      <w:r w:rsidRPr="00FC4E89">
        <w:rPr>
          <w:rFonts w:ascii="Times New Roman" w:eastAsia="Calibri" w:hAnsi="Times New Roman" w:cs="Times New Roman"/>
          <w:sz w:val="24"/>
          <w:szCs w:val="24"/>
          <w:lang w:val="es-ES"/>
        </w:rPr>
        <w:t xml:space="preserve"> las estadísticas de la industria de fracking en Estados Unidos, por cada tonelada de arena o material propante que cumpla con las especificaciones técnicas, se requiere extraer o remover 100 toneladas de material de la mina, cantera o punto de captación.</w:t>
      </w:r>
    </w:p>
    <w:p w14:paraId="222EFD5B" w14:textId="77777777" w:rsidR="00FC4E89" w:rsidRPr="00FC4E89" w:rsidRDefault="00FC4E89" w:rsidP="00FC4E89">
      <w:pPr>
        <w:spacing w:after="0"/>
        <w:contextualSpacing/>
        <w:jc w:val="both"/>
        <w:rPr>
          <w:rFonts w:ascii="Times New Roman" w:eastAsia="Calibri" w:hAnsi="Times New Roman" w:cs="Times New Roman"/>
          <w:sz w:val="24"/>
          <w:szCs w:val="24"/>
          <w:lang w:val="es-ES"/>
        </w:rPr>
      </w:pPr>
    </w:p>
    <w:p w14:paraId="7FBA4094" w14:textId="77777777" w:rsidR="00FC4E89" w:rsidRPr="00FC4E89" w:rsidRDefault="00FC4E89" w:rsidP="00FC4E89">
      <w:pPr>
        <w:contextualSpacing/>
        <w:jc w:val="both"/>
        <w:rPr>
          <w:rFonts w:ascii="Times New Roman" w:eastAsia="Calibri" w:hAnsi="Times New Roman" w:cs="Times New Roman"/>
          <w:sz w:val="24"/>
          <w:szCs w:val="24"/>
          <w:lang w:val="es-ES"/>
        </w:rPr>
      </w:pPr>
      <w:r w:rsidRPr="00FC4E89">
        <w:rPr>
          <w:rFonts w:ascii="Times New Roman" w:eastAsia="Calibri" w:hAnsi="Times New Roman" w:cs="Times New Roman"/>
          <w:sz w:val="24"/>
          <w:szCs w:val="24"/>
          <w:lang w:val="es-ES"/>
        </w:rPr>
        <w:t xml:space="preserve">Esto significa que por un pozo se requieren remover 73.500 toneladas por pozo; y para una plataforma, entre 294.000 toneladas y 735.000 toneladas, dependiendo del número de pozos por plataforma, por lo cual el impacto ambiental va a ser grandísimo, y los cráteres dejarán una zona desértica por la profundización de las aguas o disminución del nivel freático afectando los ecosistemas. Los cráteres que han dejado en el </w:t>
      </w:r>
      <w:proofErr w:type="gramStart"/>
      <w:r w:rsidRPr="00FC4E89">
        <w:rPr>
          <w:rFonts w:ascii="Times New Roman" w:eastAsia="Calibri" w:hAnsi="Times New Roman" w:cs="Times New Roman"/>
          <w:sz w:val="24"/>
          <w:szCs w:val="24"/>
          <w:lang w:val="es-ES"/>
        </w:rPr>
        <w:t>Cerrejón,</w:t>
      </w:r>
      <w:proofErr w:type="gramEnd"/>
      <w:r w:rsidRPr="00FC4E89">
        <w:rPr>
          <w:rFonts w:ascii="Times New Roman" w:eastAsia="Calibri" w:hAnsi="Times New Roman" w:cs="Times New Roman"/>
          <w:sz w:val="24"/>
          <w:szCs w:val="24"/>
          <w:lang w:val="es-ES"/>
        </w:rPr>
        <w:t xml:space="preserve"> son un “chiste flojo” frente a lo que va a dejar la explotación de arena requerida para la industria del fracking en Colombia. Si estos cálculos son para un pozo o una plataforma, imagínense lo que se requiere para las más de 16 mil pozos que se perforarán en el Valle Medio del Magdalena.</w:t>
      </w:r>
    </w:p>
    <w:p w14:paraId="274C7AA2" w14:textId="77777777" w:rsidR="00FC4E89" w:rsidRPr="00FC4E89" w:rsidRDefault="00FC4E89" w:rsidP="00FC4E89">
      <w:pPr>
        <w:contextualSpacing/>
        <w:jc w:val="both"/>
        <w:rPr>
          <w:rFonts w:ascii="Times New Roman" w:eastAsia="Calibri" w:hAnsi="Times New Roman" w:cs="Times New Roman"/>
          <w:sz w:val="24"/>
          <w:szCs w:val="24"/>
          <w:lang w:val="es-ES"/>
        </w:rPr>
      </w:pPr>
      <w:r w:rsidRPr="00FC4E89">
        <w:rPr>
          <w:rFonts w:ascii="Times New Roman" w:eastAsia="Calibri" w:hAnsi="Times New Roman" w:cs="Times New Roman"/>
          <w:sz w:val="24"/>
          <w:szCs w:val="24"/>
          <w:lang w:val="es-ES"/>
        </w:rPr>
        <w:t xml:space="preserve"> </w:t>
      </w:r>
    </w:p>
    <w:p w14:paraId="3C095EE9" w14:textId="77777777" w:rsidR="00FC4E89" w:rsidRPr="00FC4E89" w:rsidRDefault="00FC4E89" w:rsidP="00FC4E89">
      <w:pPr>
        <w:contextualSpacing/>
        <w:jc w:val="both"/>
        <w:rPr>
          <w:rFonts w:ascii="Times New Roman" w:eastAsia="Calibri" w:hAnsi="Times New Roman" w:cs="Times New Roman"/>
          <w:sz w:val="24"/>
          <w:szCs w:val="24"/>
          <w:lang w:val="es-ES"/>
        </w:rPr>
      </w:pPr>
      <w:r w:rsidRPr="00FC4E89">
        <w:rPr>
          <w:rFonts w:ascii="Times New Roman" w:eastAsia="Calibri" w:hAnsi="Times New Roman" w:cs="Times New Roman"/>
          <w:sz w:val="24"/>
          <w:szCs w:val="24"/>
          <w:lang w:val="es-ES"/>
        </w:rPr>
        <w:lastRenderedPageBreak/>
        <w:t xml:space="preserve">Este es un escenario de pequeña dimensión, de lo ya hecho por Ecopetrol con la OXY en Estados Unidos; pero acá en Colombia la </w:t>
      </w:r>
      <w:proofErr w:type="spellStart"/>
      <w:r w:rsidRPr="00FC4E89">
        <w:rPr>
          <w:rFonts w:ascii="Times New Roman" w:eastAsia="Calibri" w:hAnsi="Times New Roman" w:cs="Times New Roman"/>
          <w:sz w:val="24"/>
          <w:szCs w:val="24"/>
          <w:lang w:val="es-ES"/>
        </w:rPr>
        <w:t>ConocoPhillips</w:t>
      </w:r>
      <w:proofErr w:type="spellEnd"/>
      <w:r w:rsidRPr="00FC4E89">
        <w:rPr>
          <w:rFonts w:ascii="Times New Roman" w:eastAsia="Calibri" w:hAnsi="Times New Roman" w:cs="Times New Roman"/>
          <w:sz w:val="24"/>
          <w:szCs w:val="24"/>
          <w:lang w:val="es-ES"/>
        </w:rPr>
        <w:t xml:space="preserve"> en los bloques Valle Medio Magdalena 2 y 3, propone realizar hasta 200 etapas de fracturamiento hidráulico por pozo; o sea 6 veces mayor a lo que hemos analizado. Esta es la razón fundamental, por la cual la Autoridad Nacional de Licencia Ambientales – ANLA, exige licencia ambiental para realizar el Fracturamiento Hidráulico Multietapa a través de Pozos Horizontales o Multilaterales en Rocas Generadoras, pues debe cumplir con el mandato de la ley 99 de 1993 que dice textualmente: “</w:t>
      </w:r>
      <w:r w:rsidRPr="00FC4E89">
        <w:rPr>
          <w:rFonts w:ascii="Times New Roman" w:eastAsia="Calibri" w:hAnsi="Times New Roman" w:cs="Times New Roman"/>
          <w:i/>
          <w:sz w:val="24"/>
          <w:szCs w:val="24"/>
          <w:lang w:val="es-ES"/>
        </w:rPr>
        <w:t>cuando un proyecto u obra genera impactos ambientales irremediables, y cambios significativos en el paisaje, requiere el trámite de una licencia ambiental</w:t>
      </w:r>
      <w:r w:rsidRPr="00FC4E89">
        <w:rPr>
          <w:rFonts w:ascii="Times New Roman" w:eastAsia="Calibri" w:hAnsi="Times New Roman" w:cs="Times New Roman"/>
          <w:sz w:val="24"/>
          <w:szCs w:val="24"/>
          <w:lang w:val="es-ES"/>
        </w:rPr>
        <w:t>”.</w:t>
      </w:r>
    </w:p>
    <w:p w14:paraId="4E8AE41D" w14:textId="77777777" w:rsidR="00FC4E89" w:rsidRPr="00FC4E89" w:rsidRDefault="00FC4E89" w:rsidP="00FC4E89">
      <w:pPr>
        <w:contextualSpacing/>
        <w:jc w:val="both"/>
        <w:rPr>
          <w:rFonts w:ascii="Times New Roman" w:eastAsia="Calibri" w:hAnsi="Times New Roman" w:cs="Times New Roman"/>
          <w:sz w:val="24"/>
          <w:szCs w:val="24"/>
          <w:lang w:val="es-ES"/>
        </w:rPr>
      </w:pPr>
    </w:p>
    <w:p w14:paraId="415E13B6" w14:textId="77777777" w:rsidR="00FC4E89" w:rsidRPr="00FC4E89" w:rsidRDefault="00FC4E89" w:rsidP="00FC4E89">
      <w:pPr>
        <w:contextualSpacing/>
        <w:jc w:val="both"/>
        <w:rPr>
          <w:rFonts w:ascii="Times New Roman" w:eastAsia="Calibri" w:hAnsi="Times New Roman" w:cs="Times New Roman"/>
          <w:sz w:val="24"/>
          <w:szCs w:val="24"/>
          <w:lang w:val="es-ES"/>
        </w:rPr>
      </w:pPr>
      <w:r w:rsidRPr="00FC4E89">
        <w:rPr>
          <w:rFonts w:ascii="Times New Roman" w:eastAsia="Calibri" w:hAnsi="Times New Roman" w:cs="Times New Roman"/>
          <w:sz w:val="24"/>
          <w:szCs w:val="24"/>
          <w:lang w:val="es-ES"/>
        </w:rPr>
        <w:t>Adicional a lo anterior, debe tenerse en cuenta la enfermedad llamada SILICOSIS, causada por la inhalación de arena, tanto en los puntos de captación, como en las áreas de influencia directa de una plataforma o pozo, pues no toda la arena se queda abajo, sino que gran parte regresa a la superficie junto con el fluido fracturante, el petróleo y el gas.</w:t>
      </w:r>
    </w:p>
    <w:p w14:paraId="51270B87" w14:textId="77777777" w:rsidR="00FC4E89" w:rsidRPr="00FC4E89" w:rsidRDefault="00FC4E89" w:rsidP="00FC4E89">
      <w:pPr>
        <w:contextualSpacing/>
        <w:jc w:val="both"/>
        <w:rPr>
          <w:rFonts w:ascii="Times New Roman" w:eastAsia="Calibri" w:hAnsi="Times New Roman" w:cs="Times New Roman"/>
          <w:sz w:val="24"/>
          <w:szCs w:val="24"/>
          <w:lang w:val="es-ES"/>
        </w:rPr>
      </w:pPr>
    </w:p>
    <w:p w14:paraId="61F20EC9" w14:textId="77777777" w:rsidR="00FC4E89" w:rsidRPr="00FC4E89" w:rsidRDefault="00FC4E89" w:rsidP="00FC4E89">
      <w:pPr>
        <w:contextualSpacing/>
        <w:jc w:val="both"/>
        <w:rPr>
          <w:rFonts w:ascii="Times New Roman" w:eastAsia="Calibri" w:hAnsi="Times New Roman" w:cs="Times New Roman"/>
          <w:sz w:val="24"/>
          <w:szCs w:val="24"/>
          <w:lang w:val="es-ES"/>
        </w:rPr>
      </w:pPr>
      <w:r w:rsidRPr="00FC4E89">
        <w:rPr>
          <w:rFonts w:ascii="Times New Roman" w:eastAsia="Calibri" w:hAnsi="Times New Roman" w:cs="Times New Roman"/>
          <w:sz w:val="24"/>
          <w:szCs w:val="24"/>
          <w:lang w:val="es-ES"/>
        </w:rPr>
        <w:t>Esta enfermedad produce la inflamación de los pulmones, causando dificultad respiratoria grave, bajos niveles de oxígeno en la sangre, o inflamación de los ganglios linfáticos del tórax. Esta enfermedad es común en todos los lugares del mundo donde se ha hecho fracking.</w:t>
      </w:r>
    </w:p>
    <w:p w14:paraId="1E2E1F92" w14:textId="77777777" w:rsidR="00FC4E89" w:rsidRPr="00FC4E89" w:rsidRDefault="00FC4E89" w:rsidP="00FC4E89">
      <w:pPr>
        <w:contextualSpacing/>
        <w:jc w:val="both"/>
        <w:rPr>
          <w:rFonts w:ascii="Times New Roman" w:eastAsia="Calibri" w:hAnsi="Times New Roman" w:cs="Times New Roman"/>
          <w:sz w:val="24"/>
          <w:szCs w:val="24"/>
          <w:lang w:val="es-ES"/>
        </w:rPr>
      </w:pPr>
    </w:p>
    <w:p w14:paraId="6A7DE2C0" w14:textId="77777777" w:rsidR="00FC4E89" w:rsidRPr="00FC4E89" w:rsidRDefault="00FC4E89" w:rsidP="00FC4E89">
      <w:pPr>
        <w:numPr>
          <w:ilvl w:val="1"/>
          <w:numId w:val="6"/>
        </w:numPr>
        <w:contextualSpacing/>
        <w:jc w:val="both"/>
        <w:rPr>
          <w:rFonts w:ascii="Times New Roman" w:eastAsia="Calibri" w:hAnsi="Times New Roman" w:cs="Times New Roman"/>
          <w:sz w:val="24"/>
          <w:szCs w:val="24"/>
          <w:lang w:val="es-ES"/>
        </w:rPr>
      </w:pPr>
      <w:r w:rsidRPr="00FC4E89">
        <w:rPr>
          <w:rFonts w:ascii="Times New Roman" w:eastAsia="Calibri" w:hAnsi="Times New Roman" w:cs="Times New Roman"/>
          <w:b/>
          <w:sz w:val="24"/>
          <w:szCs w:val="24"/>
          <w:lang w:val="es-ES"/>
        </w:rPr>
        <w:t>Uso de Químicos en Concentraciones Tóxicas</w:t>
      </w:r>
      <w:r w:rsidRPr="00FC4E89">
        <w:rPr>
          <w:rFonts w:ascii="Times New Roman" w:eastAsia="Calibri" w:hAnsi="Times New Roman" w:cs="Times New Roman"/>
          <w:sz w:val="24"/>
          <w:szCs w:val="24"/>
          <w:lang w:val="es-ES"/>
        </w:rPr>
        <w:t>: Como el agua no tiene las propiedades reológicas de un fluido fracturante, hay que utilizar un cóctel de químicos. Según respuesta de la ANH, se utilizan entre 8 y 12 químicos, donde cada uno de estos químicos es una mezcla de compuestos. Aunque estos químicos están en muchos de los productos que se utilizan en el hogar, como el ácido clorhídrico, la diferencia está en la alta concentración de los químicos que utiliza la industria, lo cual los hace tóxicos, haciendo que el agua pierda potabilidad. El veneno no está en el químico como tal sino en el alto grado de concentración. Por ejemplo: El cloro o límpido, cuyo nombre químico es el ácido hidroclórico, se utiliza en el hogar en una concentración del 5%. En esta concentración doméstica, en la etiqueta dice que produce irritación en los ojos, la garganta y la piel, pero qué, en concentración más alta, como el caso de la industria, según la ANH entre el 20% y el 40% (4 a 8 veces más), puede producir hinchazón, espasmos de la garganta, asfixia por estrechamiento de los bronquios, acumulación de líquido en los pulmones e incluso a la muerte.</w:t>
      </w:r>
    </w:p>
    <w:p w14:paraId="7A70E139" w14:textId="77777777" w:rsidR="00FC4E89" w:rsidRPr="00FC4E89" w:rsidRDefault="00FC4E89" w:rsidP="00FC4E89">
      <w:pPr>
        <w:contextualSpacing/>
        <w:jc w:val="both"/>
        <w:rPr>
          <w:rFonts w:ascii="Times New Roman" w:eastAsia="Calibri" w:hAnsi="Times New Roman" w:cs="Times New Roman"/>
          <w:sz w:val="24"/>
          <w:szCs w:val="24"/>
          <w:lang w:val="es-ES"/>
        </w:rPr>
      </w:pPr>
    </w:p>
    <w:p w14:paraId="577D431D" w14:textId="77777777" w:rsidR="00FC4E89" w:rsidRPr="00FC4E89" w:rsidRDefault="00FC4E89" w:rsidP="00FC4E89">
      <w:pPr>
        <w:contextualSpacing/>
        <w:jc w:val="both"/>
        <w:rPr>
          <w:rFonts w:ascii="Times New Roman" w:eastAsia="Calibri" w:hAnsi="Times New Roman" w:cs="Times New Roman"/>
          <w:sz w:val="24"/>
          <w:szCs w:val="24"/>
          <w:lang w:val="es-ES"/>
        </w:rPr>
      </w:pPr>
      <w:r w:rsidRPr="00FC4E89">
        <w:rPr>
          <w:rFonts w:ascii="Times New Roman" w:eastAsia="Calibri" w:hAnsi="Times New Roman" w:cs="Times New Roman"/>
          <w:sz w:val="24"/>
          <w:szCs w:val="24"/>
          <w:lang w:val="es-ES"/>
        </w:rPr>
        <w:t>Otro químico, el inhibidor de corrosión, cuyo nombre químico es etilenglicol, que se utiliza para fármacos, fibra acrílica y plástico, nos dice que la toxicidad es: En cantidades altas puede dañar los riñones, el sistema nervioso y el corazón, y puede causar la muerte, y defectos en el nacimiento.</w:t>
      </w:r>
    </w:p>
    <w:p w14:paraId="7B848FAA" w14:textId="77777777" w:rsidR="00FC4E89" w:rsidRPr="00FC4E89" w:rsidRDefault="00FC4E89" w:rsidP="00FC4E89">
      <w:pPr>
        <w:contextualSpacing/>
        <w:jc w:val="both"/>
        <w:rPr>
          <w:rFonts w:ascii="Times New Roman" w:eastAsia="Calibri" w:hAnsi="Times New Roman" w:cs="Times New Roman"/>
          <w:sz w:val="24"/>
          <w:szCs w:val="24"/>
          <w:lang w:val="es-ES"/>
        </w:rPr>
      </w:pPr>
    </w:p>
    <w:p w14:paraId="27886EAF" w14:textId="77777777" w:rsidR="00FC4E89" w:rsidRPr="00FC4E89" w:rsidRDefault="00FC4E89" w:rsidP="00FC4E89">
      <w:pPr>
        <w:contextualSpacing/>
        <w:jc w:val="both"/>
        <w:rPr>
          <w:rFonts w:ascii="Times New Roman" w:eastAsia="Calibri" w:hAnsi="Times New Roman" w:cs="Times New Roman"/>
          <w:sz w:val="24"/>
          <w:szCs w:val="24"/>
          <w:lang w:val="es-ES"/>
        </w:rPr>
      </w:pPr>
      <w:r w:rsidRPr="00FC4E89">
        <w:rPr>
          <w:rFonts w:ascii="Times New Roman" w:eastAsia="Calibri" w:hAnsi="Times New Roman" w:cs="Times New Roman"/>
          <w:sz w:val="24"/>
          <w:szCs w:val="24"/>
          <w:lang w:val="es-ES"/>
        </w:rPr>
        <w:t xml:space="preserve">El ácido </w:t>
      </w:r>
      <w:proofErr w:type="spellStart"/>
      <w:r w:rsidRPr="00FC4E89">
        <w:rPr>
          <w:rFonts w:ascii="Times New Roman" w:eastAsia="Calibri" w:hAnsi="Times New Roman" w:cs="Times New Roman"/>
          <w:sz w:val="24"/>
          <w:szCs w:val="24"/>
          <w:lang w:val="es-ES"/>
        </w:rPr>
        <w:t>dodecilvenceno</w:t>
      </w:r>
      <w:proofErr w:type="spellEnd"/>
      <w:r w:rsidRPr="00FC4E89">
        <w:rPr>
          <w:rFonts w:ascii="Times New Roman" w:eastAsia="Calibri" w:hAnsi="Times New Roman" w:cs="Times New Roman"/>
          <w:sz w:val="24"/>
          <w:szCs w:val="24"/>
          <w:lang w:val="es-ES"/>
        </w:rPr>
        <w:t>, se utiliza como surfactante en el fluido fracturante y en el hogar como limpia vidrios, desodorante y tinte para el cabello en alta cantidad. Este químico se considera altamente tóxico por ser corrosivo, está en la lista de sustancias extremadamente peligrosas para la salud, tiene efectos nocivos a largo plazo en los animales acuáticos y puede producir irritación y cáncer de piel y garganta; quemadura de la piel y los ojos. En el fluido fracturante se utiliza entre el 5% y el 15%.</w:t>
      </w:r>
    </w:p>
    <w:p w14:paraId="380B0837" w14:textId="77777777" w:rsidR="00FC4E89" w:rsidRPr="00FC4E89" w:rsidRDefault="00FC4E89" w:rsidP="00FC4E89">
      <w:pPr>
        <w:contextualSpacing/>
        <w:jc w:val="both"/>
        <w:rPr>
          <w:rFonts w:ascii="Times New Roman" w:eastAsia="Calibri" w:hAnsi="Times New Roman" w:cs="Times New Roman"/>
          <w:sz w:val="24"/>
          <w:szCs w:val="24"/>
          <w:lang w:val="es-ES"/>
        </w:rPr>
      </w:pPr>
    </w:p>
    <w:p w14:paraId="1A46FB40" w14:textId="77777777" w:rsidR="00FC4E89" w:rsidRPr="00FC4E89" w:rsidRDefault="00FC4E89" w:rsidP="00FC4E89">
      <w:pPr>
        <w:contextualSpacing/>
        <w:jc w:val="both"/>
        <w:rPr>
          <w:rFonts w:ascii="Times New Roman" w:eastAsia="Calibri" w:hAnsi="Times New Roman" w:cs="Times New Roman"/>
          <w:sz w:val="24"/>
          <w:szCs w:val="24"/>
          <w:lang w:val="es-ES"/>
        </w:rPr>
      </w:pPr>
      <w:r w:rsidRPr="00FC4E89">
        <w:rPr>
          <w:rFonts w:ascii="Times New Roman" w:eastAsia="Calibri" w:hAnsi="Times New Roman" w:cs="Times New Roman"/>
          <w:sz w:val="24"/>
          <w:szCs w:val="24"/>
          <w:lang w:val="es-ES"/>
        </w:rPr>
        <w:t xml:space="preserve">Los químicos que se usan para preparar los fluidos </w:t>
      </w:r>
      <w:proofErr w:type="spellStart"/>
      <w:r w:rsidRPr="00FC4E89">
        <w:rPr>
          <w:rFonts w:ascii="Times New Roman" w:eastAsia="Calibri" w:hAnsi="Times New Roman" w:cs="Times New Roman"/>
          <w:sz w:val="24"/>
          <w:szCs w:val="24"/>
          <w:lang w:val="es-ES"/>
        </w:rPr>
        <w:t>fracturantes</w:t>
      </w:r>
      <w:proofErr w:type="spellEnd"/>
      <w:r w:rsidRPr="00FC4E89">
        <w:rPr>
          <w:rFonts w:ascii="Times New Roman" w:eastAsia="Calibri" w:hAnsi="Times New Roman" w:cs="Times New Roman"/>
          <w:sz w:val="24"/>
          <w:szCs w:val="24"/>
          <w:lang w:val="es-ES"/>
        </w:rPr>
        <w:t xml:space="preserve"> son químicos que están presentes en gran parte de los productos de uso doméstico o en el hogar, como insecticidas, jabones, cosméticos, medicamentos; pero que se encuentran en concentraciones bajas, aunque algunas etiquetas tienen la observación de ser riesgosas para la salud, como el cloro (ácido clorhídrico) o límpido (como lo conocemos), utilizado en el fluido fracturante para disolver minerales e iniciar la fractura en la formación. Una cosa es la concentración del 5% y otra cosa es concentración del 20% al 40% como lo certifica la ANH.</w:t>
      </w:r>
    </w:p>
    <w:p w14:paraId="302194DA" w14:textId="77777777" w:rsidR="00FC4E89" w:rsidRPr="00FC4E89" w:rsidRDefault="00FC4E89" w:rsidP="00FC4E89">
      <w:pPr>
        <w:contextualSpacing/>
        <w:jc w:val="both"/>
        <w:rPr>
          <w:rFonts w:ascii="Times New Roman" w:eastAsia="Calibri" w:hAnsi="Times New Roman" w:cs="Times New Roman"/>
          <w:sz w:val="24"/>
          <w:szCs w:val="24"/>
          <w:lang w:val="es-ES"/>
        </w:rPr>
      </w:pPr>
    </w:p>
    <w:p w14:paraId="1358376E" w14:textId="77777777" w:rsidR="00FC4E89" w:rsidRPr="00FC4E89" w:rsidRDefault="00FC4E89" w:rsidP="00FC4E89">
      <w:pPr>
        <w:contextualSpacing/>
        <w:jc w:val="both"/>
        <w:rPr>
          <w:rFonts w:ascii="Times New Roman" w:eastAsia="Calibri" w:hAnsi="Times New Roman" w:cs="Times New Roman"/>
          <w:sz w:val="24"/>
          <w:szCs w:val="24"/>
          <w:lang w:val="es-ES"/>
        </w:rPr>
      </w:pPr>
      <w:r w:rsidRPr="00FC4E89">
        <w:rPr>
          <w:rFonts w:ascii="Times New Roman" w:eastAsia="Calibri" w:hAnsi="Times New Roman" w:cs="Times New Roman"/>
          <w:sz w:val="24"/>
          <w:szCs w:val="24"/>
          <w:lang w:val="es-ES"/>
        </w:rPr>
        <w:t xml:space="preserve">Al igual que ocurre con otros 12 químicos que serán utilizados en la fabricación de fluidos </w:t>
      </w:r>
      <w:proofErr w:type="spellStart"/>
      <w:r w:rsidRPr="00FC4E89">
        <w:rPr>
          <w:rFonts w:ascii="Times New Roman" w:eastAsia="Calibri" w:hAnsi="Times New Roman" w:cs="Times New Roman"/>
          <w:sz w:val="24"/>
          <w:szCs w:val="24"/>
          <w:lang w:val="es-ES"/>
        </w:rPr>
        <w:t>fracturantes</w:t>
      </w:r>
      <w:proofErr w:type="spellEnd"/>
      <w:r w:rsidRPr="00FC4E89">
        <w:rPr>
          <w:rFonts w:ascii="Times New Roman" w:eastAsia="Calibri" w:hAnsi="Times New Roman" w:cs="Times New Roman"/>
          <w:sz w:val="24"/>
          <w:szCs w:val="24"/>
          <w:lang w:val="es-ES"/>
        </w:rPr>
        <w:t>, en altas concentraciones, donde algunos como el yoduro de potasio, el cual se utilizará en una concentración de más del 90%, o cloruro de colina, que es un estabilizador de arcillas, que será usado en concentraciones superiores al 70%.</w:t>
      </w:r>
    </w:p>
    <w:p w14:paraId="3A532E55" w14:textId="77777777" w:rsidR="00FC4E89" w:rsidRPr="00FC4E89" w:rsidRDefault="00FC4E89" w:rsidP="00FC4E89">
      <w:pPr>
        <w:contextualSpacing/>
        <w:jc w:val="both"/>
        <w:rPr>
          <w:rFonts w:ascii="Times New Roman" w:eastAsia="Calibri" w:hAnsi="Times New Roman" w:cs="Times New Roman"/>
          <w:sz w:val="24"/>
          <w:szCs w:val="24"/>
          <w:lang w:val="es-ES"/>
        </w:rPr>
      </w:pPr>
    </w:p>
    <w:p w14:paraId="242555A3" w14:textId="77777777" w:rsidR="00FC4E89" w:rsidRPr="00FC4E89" w:rsidRDefault="00FC4E89" w:rsidP="00FC4E89">
      <w:pPr>
        <w:contextualSpacing/>
        <w:jc w:val="both"/>
        <w:rPr>
          <w:rFonts w:ascii="Times New Roman" w:eastAsia="Calibri" w:hAnsi="Times New Roman" w:cs="Times New Roman"/>
          <w:sz w:val="24"/>
          <w:szCs w:val="24"/>
          <w:lang w:val="es-ES"/>
        </w:rPr>
      </w:pPr>
      <w:r w:rsidRPr="00FC4E89">
        <w:rPr>
          <w:rFonts w:ascii="Times New Roman" w:eastAsia="Calibri" w:hAnsi="Times New Roman" w:cs="Times New Roman"/>
          <w:sz w:val="24"/>
          <w:szCs w:val="24"/>
          <w:lang w:val="es-ES"/>
        </w:rPr>
        <w:t>Existe mucha información y estudios científicos que indican que estos químicos tienen alta toxicidad y que pueden generar graves consecuencias a la salud o incluso causar la muerte. Ahora, la mezcla de química en alta, e incluso en la baja concentración, puede provocar la formación de vapores tóxicos para nuestro sistema respiratorio; además, de ser inflamables causando grandes accidentes y llegando a ser letales. De lo contrario, los operadores que trabajan en la implementación de esta técnica no utilizarían máscaras de alta seguridad.</w:t>
      </w:r>
    </w:p>
    <w:p w14:paraId="47531120" w14:textId="77777777" w:rsidR="00FC4E89" w:rsidRPr="00FC4E89" w:rsidRDefault="00FC4E89" w:rsidP="00FC4E89">
      <w:pPr>
        <w:contextualSpacing/>
        <w:jc w:val="both"/>
        <w:rPr>
          <w:rFonts w:ascii="Times New Roman" w:eastAsia="Calibri" w:hAnsi="Times New Roman" w:cs="Times New Roman"/>
          <w:sz w:val="24"/>
          <w:szCs w:val="24"/>
          <w:lang w:val="es-ES"/>
        </w:rPr>
      </w:pPr>
    </w:p>
    <w:p w14:paraId="58C4DA55" w14:textId="77777777" w:rsidR="00FC4E89" w:rsidRPr="00FC4E89" w:rsidRDefault="00FC4E89" w:rsidP="00FC4E89">
      <w:pPr>
        <w:numPr>
          <w:ilvl w:val="1"/>
          <w:numId w:val="6"/>
        </w:numPr>
        <w:contextualSpacing/>
        <w:jc w:val="both"/>
        <w:rPr>
          <w:rFonts w:ascii="Times New Roman" w:eastAsia="Calibri" w:hAnsi="Times New Roman" w:cs="Times New Roman"/>
          <w:sz w:val="28"/>
          <w:szCs w:val="28"/>
          <w:lang w:val="es-ES"/>
        </w:rPr>
      </w:pPr>
      <w:r w:rsidRPr="00FC4E89">
        <w:rPr>
          <w:rFonts w:ascii="Times New Roman" w:eastAsia="Calibri" w:hAnsi="Times New Roman" w:cs="Times New Roman"/>
          <w:b/>
          <w:sz w:val="24"/>
          <w:szCs w:val="24"/>
          <w:lang w:val="es-ES"/>
        </w:rPr>
        <w:lastRenderedPageBreak/>
        <w:t>Ripios de Perforación</w:t>
      </w:r>
      <w:r w:rsidRPr="00FC4E89">
        <w:rPr>
          <w:rFonts w:ascii="Times New Roman" w:eastAsia="Calibri" w:hAnsi="Times New Roman" w:cs="Times New Roman"/>
          <w:sz w:val="24"/>
          <w:szCs w:val="24"/>
          <w:lang w:val="es-ES"/>
        </w:rPr>
        <w:t>: bajo el entendimiento de lo que es la aplicación de las dos tecnologías (FH y PH) de manera múltiple, en Rocas Generadoras (RG) de tamaño REGIONAL; donde, desde cada locación o plataforma deben perforarse múltiples pozos horizontales de hasta 3.5 kilómetros de longitud, como se observa en la siguiente figura, es fácilmente entendible que se EXTRAERÁN inmensas cantidades de recortes de perforación de la Roca Generadora.</w:t>
      </w:r>
    </w:p>
    <w:p w14:paraId="12F8C353" w14:textId="77777777" w:rsidR="00FC4E89" w:rsidRPr="00FC4E89" w:rsidRDefault="00FC4E89" w:rsidP="00FC4E89">
      <w:pPr>
        <w:contextualSpacing/>
        <w:jc w:val="both"/>
        <w:rPr>
          <w:rFonts w:ascii="Times New Roman" w:eastAsia="Calibri" w:hAnsi="Times New Roman" w:cs="Times New Roman"/>
          <w:sz w:val="28"/>
          <w:szCs w:val="28"/>
          <w:lang w:val="es-ES"/>
        </w:rPr>
      </w:pPr>
    </w:p>
    <w:p w14:paraId="6C6A15D3" w14:textId="77777777" w:rsidR="00FC4E89" w:rsidRPr="00FC4E89" w:rsidRDefault="00FC4E89" w:rsidP="00FC4E89">
      <w:pPr>
        <w:contextualSpacing/>
        <w:jc w:val="center"/>
        <w:rPr>
          <w:rFonts w:ascii="Times New Roman" w:eastAsia="Calibri" w:hAnsi="Times New Roman" w:cs="Times New Roman"/>
          <w:sz w:val="28"/>
          <w:szCs w:val="28"/>
          <w:lang w:val="es-ES"/>
        </w:rPr>
      </w:pPr>
      <w:r w:rsidRPr="00FC4E89">
        <w:rPr>
          <w:rFonts w:ascii="Times New Roman" w:eastAsia="Calibri" w:hAnsi="Times New Roman" w:cs="Times New Roman"/>
          <w:noProof/>
          <w:sz w:val="28"/>
          <w:szCs w:val="28"/>
          <w:lang w:val="es-ES"/>
        </w:rPr>
        <w:drawing>
          <wp:inline distT="0" distB="0" distL="0" distR="0" wp14:anchorId="5BB630A8" wp14:editId="77759656">
            <wp:extent cx="3857222" cy="2892917"/>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70978" cy="2903234"/>
                    </a:xfrm>
                    <a:prstGeom prst="rect">
                      <a:avLst/>
                    </a:prstGeom>
                  </pic:spPr>
                </pic:pic>
              </a:graphicData>
            </a:graphic>
          </wp:inline>
        </w:drawing>
      </w:r>
    </w:p>
    <w:p w14:paraId="3CD43537" w14:textId="77777777" w:rsidR="00FC4E89" w:rsidRPr="00FC4E89" w:rsidRDefault="00FC4E89" w:rsidP="00FC4E89">
      <w:pPr>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Las rocas generadoras fueron sedimentos depositados en un ambiente marino en el periodo geológico del cretáceo, donde hubo mucha riqueza de vida en el planeta tierra, convirtiéndose estas rocas en el “cementerio” de dichas especies, producto de la acumulación gradual de la materia orgánica a medida que fallecían y sus desechos terminaban en el mar.</w:t>
      </w:r>
    </w:p>
    <w:p w14:paraId="340A58AC" w14:textId="77777777" w:rsidR="00FC4E89" w:rsidRPr="00FC4E89" w:rsidRDefault="00FC4E89" w:rsidP="00FC4E89">
      <w:pPr>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 xml:space="preserve">Esta materia orgánica fue sufriendo transformación </w:t>
      </w:r>
      <w:proofErr w:type="gramStart"/>
      <w:r w:rsidRPr="00FC4E89">
        <w:rPr>
          <w:rFonts w:ascii="Times New Roman" w:eastAsia="Calibri" w:hAnsi="Times New Roman" w:cs="Times New Roman"/>
          <w:sz w:val="24"/>
          <w:szCs w:val="24"/>
          <w:lang w:val="es-MX"/>
        </w:rPr>
        <w:t>físico-química</w:t>
      </w:r>
      <w:proofErr w:type="gramEnd"/>
      <w:r w:rsidRPr="00FC4E89">
        <w:rPr>
          <w:rFonts w:ascii="Times New Roman" w:eastAsia="Calibri" w:hAnsi="Times New Roman" w:cs="Times New Roman"/>
          <w:sz w:val="24"/>
          <w:szCs w:val="24"/>
          <w:lang w:val="es-MX"/>
        </w:rPr>
        <w:t xml:space="preserve"> a medida que los sedimentos se iban enterrando y compactando producto de la acumulación de sedimentos encima de ellos. Este enterramiento fue generando un aumento de presión y temperatura transformando la materia orgánica en querógeno (diagénesis); posteriormente en petróleo (</w:t>
      </w:r>
      <w:proofErr w:type="spellStart"/>
      <w:r w:rsidRPr="00FC4E89">
        <w:rPr>
          <w:rFonts w:ascii="Times New Roman" w:eastAsia="Calibri" w:hAnsi="Times New Roman" w:cs="Times New Roman"/>
          <w:sz w:val="24"/>
          <w:szCs w:val="24"/>
          <w:lang w:val="es-MX"/>
        </w:rPr>
        <w:t>catagénesis</w:t>
      </w:r>
      <w:proofErr w:type="spellEnd"/>
      <w:r w:rsidRPr="00FC4E89">
        <w:rPr>
          <w:rFonts w:ascii="Times New Roman" w:eastAsia="Calibri" w:hAnsi="Times New Roman" w:cs="Times New Roman"/>
          <w:sz w:val="24"/>
          <w:szCs w:val="24"/>
          <w:lang w:val="es-MX"/>
        </w:rPr>
        <w:t>); y gas natural e incluso carbón (</w:t>
      </w:r>
      <w:proofErr w:type="spellStart"/>
      <w:r w:rsidRPr="00FC4E89">
        <w:rPr>
          <w:rFonts w:ascii="Times New Roman" w:eastAsia="Calibri" w:hAnsi="Times New Roman" w:cs="Times New Roman"/>
          <w:sz w:val="24"/>
          <w:szCs w:val="24"/>
          <w:lang w:val="es-MX"/>
        </w:rPr>
        <w:t>metagénesis</w:t>
      </w:r>
      <w:proofErr w:type="spellEnd"/>
      <w:r w:rsidRPr="00FC4E89">
        <w:rPr>
          <w:rFonts w:ascii="Times New Roman" w:eastAsia="Calibri" w:hAnsi="Times New Roman" w:cs="Times New Roman"/>
          <w:sz w:val="24"/>
          <w:szCs w:val="24"/>
          <w:lang w:val="es-MX"/>
        </w:rPr>
        <w:t xml:space="preserve">). Algunos científicos afirman que el uranio también es producto de dicha transformación </w:t>
      </w:r>
      <w:proofErr w:type="gramStart"/>
      <w:r w:rsidRPr="00FC4E89">
        <w:rPr>
          <w:rFonts w:ascii="Times New Roman" w:eastAsia="Calibri" w:hAnsi="Times New Roman" w:cs="Times New Roman"/>
          <w:sz w:val="24"/>
          <w:szCs w:val="24"/>
          <w:lang w:val="es-MX"/>
        </w:rPr>
        <w:t>físico-química</w:t>
      </w:r>
      <w:proofErr w:type="gramEnd"/>
      <w:r w:rsidRPr="00FC4E89">
        <w:rPr>
          <w:rFonts w:ascii="Times New Roman" w:eastAsia="Calibri" w:hAnsi="Times New Roman" w:cs="Times New Roman"/>
          <w:sz w:val="24"/>
          <w:szCs w:val="24"/>
          <w:lang w:val="es-MX"/>
        </w:rPr>
        <w:t xml:space="preserve">, lo cual significa que </w:t>
      </w:r>
      <w:r w:rsidRPr="00FC4E89">
        <w:rPr>
          <w:rFonts w:ascii="Times New Roman" w:eastAsia="Calibri" w:hAnsi="Times New Roman" w:cs="Times New Roman"/>
          <w:sz w:val="24"/>
          <w:szCs w:val="24"/>
          <w:lang w:val="es-MX"/>
        </w:rPr>
        <w:lastRenderedPageBreak/>
        <w:t>la roca generadora es rica en isótopos radiactivo, “sales” y minerales pesados como el uranio 236 y 238. Dentro de los isótopos radioactivos, además del uranio, se encuentran el radón, torio y potasio.</w:t>
      </w:r>
    </w:p>
    <w:p w14:paraId="0BF88239" w14:textId="77777777" w:rsidR="00FC4E89" w:rsidRPr="00FC4E89" w:rsidRDefault="00FC4E89" w:rsidP="00FC4E89">
      <w:pPr>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 xml:space="preserve">El Material radiactivo de ocurrencia natural o </w:t>
      </w:r>
      <w:proofErr w:type="spellStart"/>
      <w:r w:rsidRPr="00FC4E89">
        <w:rPr>
          <w:rFonts w:ascii="Times New Roman" w:eastAsia="Calibri" w:hAnsi="Times New Roman" w:cs="Times New Roman"/>
          <w:sz w:val="24"/>
          <w:szCs w:val="24"/>
          <w:lang w:val="es-MX"/>
        </w:rPr>
        <w:t>Naturally-Occuring</w:t>
      </w:r>
      <w:proofErr w:type="spellEnd"/>
      <w:r w:rsidRPr="00FC4E89">
        <w:rPr>
          <w:rFonts w:ascii="Times New Roman" w:eastAsia="Calibri" w:hAnsi="Times New Roman" w:cs="Times New Roman"/>
          <w:sz w:val="24"/>
          <w:szCs w:val="24"/>
          <w:lang w:val="es-MX"/>
        </w:rPr>
        <w:t xml:space="preserve"> </w:t>
      </w:r>
      <w:proofErr w:type="spellStart"/>
      <w:r w:rsidRPr="00FC4E89">
        <w:rPr>
          <w:rFonts w:ascii="Times New Roman" w:eastAsia="Calibri" w:hAnsi="Times New Roman" w:cs="Times New Roman"/>
          <w:sz w:val="24"/>
          <w:szCs w:val="24"/>
          <w:lang w:val="es-MX"/>
        </w:rPr>
        <w:t>Radioactive</w:t>
      </w:r>
      <w:proofErr w:type="spellEnd"/>
      <w:r w:rsidRPr="00FC4E89">
        <w:rPr>
          <w:rFonts w:ascii="Times New Roman" w:eastAsia="Calibri" w:hAnsi="Times New Roman" w:cs="Times New Roman"/>
          <w:sz w:val="24"/>
          <w:szCs w:val="24"/>
          <w:lang w:val="es-MX"/>
        </w:rPr>
        <w:t xml:space="preserve"> </w:t>
      </w:r>
      <w:proofErr w:type="spellStart"/>
      <w:r w:rsidRPr="00FC4E89">
        <w:rPr>
          <w:rFonts w:ascii="Times New Roman" w:eastAsia="Calibri" w:hAnsi="Times New Roman" w:cs="Times New Roman"/>
          <w:sz w:val="24"/>
          <w:szCs w:val="24"/>
          <w:lang w:val="es-MX"/>
        </w:rPr>
        <w:t>Materials</w:t>
      </w:r>
      <w:proofErr w:type="spellEnd"/>
      <w:r w:rsidRPr="00FC4E89">
        <w:rPr>
          <w:rFonts w:ascii="Times New Roman" w:eastAsia="Calibri" w:hAnsi="Times New Roman" w:cs="Times New Roman"/>
          <w:sz w:val="24"/>
          <w:szCs w:val="24"/>
          <w:lang w:val="es-MX"/>
        </w:rPr>
        <w:t xml:space="preserve"> (NORM), existe en todos los medios naturales: suelos, roca, agua e incluso en el aire. Los NORM suele estar presente en altas concentraciones en las Rocas Generadoras de Hidrocarburos, y puede ser llevado a superficie mediante los ripios de perforación y otros desechos de petróleo o pozos de gas.</w:t>
      </w:r>
    </w:p>
    <w:p w14:paraId="57A87FF9" w14:textId="77777777" w:rsidR="00FC4E89" w:rsidRPr="00FC4E89" w:rsidRDefault="00FC4E89" w:rsidP="00FC4E89">
      <w:pPr>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En la naturaleza existen elementos radiactivos con semivida del orden de la edad de la Tierra. Estos elementos radiactivos con una semivida tan grande son conocidos como “radionucleidos padres” y tienen una característica conocida como equilibrio secular la cual existe cuando el núcleo original tiene una vida media extremadamente larga. El equilibrio secular es típico de las series radiactivas naturales, como la serie torio o la serie uranio. Para la serie de uranio con U-238 (con una vida media de 4,47 mil millones de años), donde todos los elementos de la cadena están en equilibrio secular, cada uno de los descendientes ha acumulado una cantidad de equilibrio y toda la descomposición a la tasa establecido por el padre original. La única excepción es el elemento estable final (plomo-206), en el extremo de la cadena. Teniendo en cuenta lo anterior, para que un radionucleido pueda ser considerado de ocurrencia natural, al menos debe poseer alguna de las siguientes condiciones (</w:t>
      </w:r>
      <w:proofErr w:type="spellStart"/>
      <w:r w:rsidRPr="00FC4E89">
        <w:rPr>
          <w:rFonts w:ascii="Times New Roman" w:eastAsia="Calibri" w:hAnsi="Times New Roman" w:cs="Times New Roman"/>
          <w:sz w:val="24"/>
          <w:szCs w:val="24"/>
          <w:lang w:val="es-MX"/>
        </w:rPr>
        <w:t>L’Annunziata</w:t>
      </w:r>
      <w:proofErr w:type="spellEnd"/>
      <w:r w:rsidRPr="00FC4E89">
        <w:rPr>
          <w:rFonts w:ascii="Times New Roman" w:eastAsia="Calibri" w:hAnsi="Times New Roman" w:cs="Times New Roman"/>
          <w:sz w:val="24"/>
          <w:szCs w:val="24"/>
          <w:lang w:val="es-MX"/>
        </w:rPr>
        <w:t>, 2020):</w:t>
      </w:r>
    </w:p>
    <w:p w14:paraId="7642674B" w14:textId="77777777" w:rsidR="00FC4E89" w:rsidRPr="00FC4E89" w:rsidRDefault="00FC4E89" w:rsidP="00FC4E89">
      <w:pPr>
        <w:numPr>
          <w:ilvl w:val="0"/>
          <w:numId w:val="10"/>
        </w:numPr>
        <w:contextualSpacing/>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El radionucleido estaría producido continuamente en la Tierra o en su atmosfera por un fenómeno natural.</w:t>
      </w:r>
    </w:p>
    <w:p w14:paraId="6C81A167" w14:textId="77777777" w:rsidR="00FC4E89" w:rsidRPr="00FC4E89" w:rsidRDefault="00FC4E89" w:rsidP="00FC4E89">
      <w:pPr>
        <w:numPr>
          <w:ilvl w:val="0"/>
          <w:numId w:val="10"/>
        </w:numPr>
        <w:contextualSpacing/>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El radionucleido tendría una vida muy grande, del orden de ≥109 años.</w:t>
      </w:r>
    </w:p>
    <w:p w14:paraId="4419E1AE" w14:textId="77777777" w:rsidR="00FC4E89" w:rsidRPr="00FC4E89" w:rsidRDefault="00FC4E89" w:rsidP="00FC4E89">
      <w:pPr>
        <w:numPr>
          <w:ilvl w:val="0"/>
          <w:numId w:val="10"/>
        </w:numPr>
        <w:contextualSpacing/>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El radionucleido tendría un radionucleido de corta vida en equilibrio secular con un radionucleido padre de ocurrencia natural.</w:t>
      </w:r>
    </w:p>
    <w:p w14:paraId="2FF3B464" w14:textId="77777777" w:rsidR="00FC4E89" w:rsidRPr="00FC4E89" w:rsidRDefault="00FC4E89" w:rsidP="00FC4E89">
      <w:pPr>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 xml:space="preserve">La exploración y explotación de dicha roca, perforada horizontalmente en un trayecto de hasta 3.5 kilómetros por pozo y con múltiples pozos, desde una misma plataforma implica la extracción a superficie de gran cantidad de ripios de dicha roca triturada, que finalmente quedará depositada en una gran cantidad de piscinas de ripios de perforación o ZODMES (Zonas de Disposición de Materiales </w:t>
      </w:r>
      <w:proofErr w:type="spellStart"/>
      <w:r w:rsidRPr="00FC4E89">
        <w:rPr>
          <w:rFonts w:ascii="Times New Roman" w:eastAsia="Calibri" w:hAnsi="Times New Roman" w:cs="Times New Roman"/>
          <w:sz w:val="24"/>
          <w:szCs w:val="24"/>
          <w:lang w:val="es-MX"/>
        </w:rPr>
        <w:t>Extraidos</w:t>
      </w:r>
      <w:proofErr w:type="spellEnd"/>
      <w:r w:rsidRPr="00FC4E89">
        <w:rPr>
          <w:rFonts w:ascii="Times New Roman" w:eastAsia="Calibri" w:hAnsi="Times New Roman" w:cs="Times New Roman"/>
          <w:sz w:val="24"/>
          <w:szCs w:val="24"/>
          <w:lang w:val="es-MX"/>
        </w:rPr>
        <w:t>).</w:t>
      </w:r>
    </w:p>
    <w:p w14:paraId="335C348C" w14:textId="77777777" w:rsidR="00FC4E89" w:rsidRPr="00FC4E89" w:rsidRDefault="00FC4E89" w:rsidP="00FC4E89">
      <w:pPr>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lastRenderedPageBreak/>
        <w:t xml:space="preserve">Según cálculos obtenidos por la misma industria y las tablas de aforo, nos indican que por cada 14 pies perforados de un diámetro de 8.5 pulgadas, se obtiene en superficie un barril de ripios de perforación. Esto significa que un pozo como los proyectados por la empresa </w:t>
      </w:r>
      <w:proofErr w:type="spellStart"/>
      <w:r w:rsidRPr="00FC4E89">
        <w:rPr>
          <w:rFonts w:ascii="Times New Roman" w:eastAsia="Calibri" w:hAnsi="Times New Roman" w:cs="Times New Roman"/>
          <w:sz w:val="24"/>
          <w:szCs w:val="24"/>
          <w:lang w:val="es-MX"/>
        </w:rPr>
        <w:t>ConocoPhillips</w:t>
      </w:r>
      <w:proofErr w:type="spellEnd"/>
      <w:r w:rsidRPr="00FC4E89">
        <w:rPr>
          <w:rFonts w:ascii="Times New Roman" w:eastAsia="Calibri" w:hAnsi="Times New Roman" w:cs="Times New Roman"/>
          <w:sz w:val="24"/>
          <w:szCs w:val="24"/>
          <w:lang w:val="es-MX"/>
        </w:rPr>
        <w:t xml:space="preserve"> en el bloque Valle Medio Magdalena 3 (VMM3), donde se contempla una profundidad de hasta 20.300 pies verticales y 10.200 pies horizontales, se generarán 7.615 barriles de ripios de perforación, equivalente a 1.200 metros cúbicos, aproximadamente; lo que ocupará 8.5 piscinas de 144 metros cúbicos cada una, donde una de estas piscinas corresponderá a ripios de roca generadora con alta concentración de isótopo radioactivo y minerales pesados como radón, radio, uranio, potasio, torio; y minerales pesados como el Bario, Bromuro, Antimonio, Arsénico, Cadmio, Cromo, Cobre, Fluoruro, Plomo, Selenio, Zinc, Estroncio, entre otros, tal y como lo determinan los informes de EPA en EE:UU (autoridad ambiental en Estados Unidos).</w:t>
      </w:r>
    </w:p>
    <w:p w14:paraId="7358BEFD" w14:textId="77777777" w:rsidR="00FC4E89" w:rsidRPr="00FC4E89" w:rsidRDefault="00FC4E89" w:rsidP="00FC4E89">
      <w:pPr>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Estos ripios quedarán mezclados con la fase sólida de la lodos de perforación que contiene materiales naturales y artificiales como la barita, carbonato de calcio, hemetita, siderita, cloruro de sodio, potasio, calcio, y sales de amonio y nitrato, que en su conjunto representan una mezcla de químicos altamente perjudiciales para la salud de las comunidades del área de influencia directa; que al tener un contacto o exposición prolongada puede generar cáncer, efectos tóxicos sobre el riñón, hígado, sistema nervioso, problemas gastrointestinales, debilidad muscular, presión sanguínea alta, problemas circulatorios, alergias en la piel, enfermedad en los huesos, retraso en el desarrollo físico y mental, y problemas renales o de hipertensión, entre muchos otros, según la EPA, y la agencia para sustancias tóxicas y registro de enfermedades de EE:UU.</w:t>
      </w:r>
    </w:p>
    <w:p w14:paraId="2EA3F1D6" w14:textId="77777777" w:rsidR="00FC4E89" w:rsidRPr="00FC4E89" w:rsidRDefault="00FC4E89" w:rsidP="00FC4E89">
      <w:pPr>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Está comprobado que la exposición prolongada, por 5 o más años, a rayos gamma (presentan una longitud de onda y una frecuencia por encima de los rayos x y los rayos ultravioletas, en el espectro electromagnético), puede generar problemas mucho más perjudiciales que los que puede provocar la exposición a rayos ultravioleta del sol o a los rayos de la medicina, y cuyo efecto se extiende a más de 10 kilómetros a la redonda del sitio donde queda depositado dichos ripios.</w:t>
      </w:r>
    </w:p>
    <w:p w14:paraId="62817761" w14:textId="77777777" w:rsidR="00FC4E89" w:rsidRPr="00FC4E89" w:rsidRDefault="00FC4E89" w:rsidP="00FC4E89">
      <w:pPr>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 xml:space="preserve">Si permitimos la aplicación de la técnica de perforación horizontal de la roca generadora, para extraer a superficie toda esta mezcla de minerales pesados y radioactivos, los cuales quedarán expuestos en superficie, en </w:t>
      </w:r>
      <w:proofErr w:type="spellStart"/>
      <w:r w:rsidRPr="00FC4E89">
        <w:rPr>
          <w:rFonts w:ascii="Times New Roman" w:eastAsia="Calibri" w:hAnsi="Times New Roman" w:cs="Times New Roman"/>
          <w:sz w:val="24"/>
          <w:szCs w:val="24"/>
          <w:lang w:val="es-MX"/>
        </w:rPr>
        <w:t>ZODME´s</w:t>
      </w:r>
      <w:proofErr w:type="spellEnd"/>
      <w:r w:rsidRPr="00FC4E89">
        <w:rPr>
          <w:rFonts w:ascii="Times New Roman" w:eastAsia="Calibri" w:hAnsi="Times New Roman" w:cs="Times New Roman"/>
          <w:sz w:val="24"/>
          <w:szCs w:val="24"/>
          <w:lang w:val="es-MX"/>
        </w:rPr>
        <w:t xml:space="preserve"> o piscinas, a lo largo y ancho de toda la </w:t>
      </w:r>
      <w:r w:rsidRPr="00FC4E89">
        <w:rPr>
          <w:rFonts w:ascii="Times New Roman" w:eastAsia="Calibri" w:hAnsi="Times New Roman" w:cs="Times New Roman"/>
          <w:sz w:val="24"/>
          <w:szCs w:val="24"/>
          <w:lang w:val="es-MX"/>
        </w:rPr>
        <w:lastRenderedPageBreak/>
        <w:t>cuenca del Magdalena Medio, convertiremos a esta región en una zona que se podrá visitar pero no vivir o permanecer allí, como ocurre hoy en Chernóbil, debido a que el problema de esta radioactividad no está en su intensidad, sino en la exposición prolongada o extendida.</w:t>
      </w:r>
    </w:p>
    <w:p w14:paraId="1BCDBFDF" w14:textId="77777777" w:rsidR="00FC4E89" w:rsidRPr="00FC4E89" w:rsidRDefault="00FC4E89" w:rsidP="00FC4E89">
      <w:pPr>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 xml:space="preserve">Los </w:t>
      </w:r>
      <w:proofErr w:type="spellStart"/>
      <w:r w:rsidRPr="00FC4E89">
        <w:rPr>
          <w:rFonts w:ascii="Times New Roman" w:eastAsia="Calibri" w:hAnsi="Times New Roman" w:cs="Times New Roman"/>
          <w:sz w:val="24"/>
          <w:szCs w:val="24"/>
          <w:lang w:val="es-MX"/>
        </w:rPr>
        <w:t>ZODMEs</w:t>
      </w:r>
      <w:proofErr w:type="spellEnd"/>
      <w:r w:rsidRPr="00FC4E89">
        <w:rPr>
          <w:rFonts w:ascii="Times New Roman" w:eastAsia="Calibri" w:hAnsi="Times New Roman" w:cs="Times New Roman"/>
          <w:sz w:val="24"/>
          <w:szCs w:val="24"/>
          <w:lang w:val="es-MX"/>
        </w:rPr>
        <w:t xml:space="preserve"> o depósitos de minerales pesados terminan generando lixiviados que se esparcirán a lo largo y ancho del Magdalena Medio, contaminando los suelos y las aguas de los humedales, caños y ríos, que serán utilizados para la agricultura; contaminando, por absorción, la producción agrícola y la fauna acuática; generando como consecuencia, que dicha producción dejará de ser óptima para el consumo humano, perdiéndose su comercialización, pues será vetada en el mercado nacional e internacional por provenir de una zona de explotación de YNC de RG, como está ocurriendo con las peras y manzanas de Neuquén, Río Negro, La Pampa y Mendoza, en Argentina; y con las almendras y peras de California, en Estados Unidos.</w:t>
      </w:r>
    </w:p>
    <w:p w14:paraId="3F469C9D" w14:textId="77777777" w:rsidR="00FC4E89" w:rsidRPr="00FC4E89" w:rsidRDefault="00FC4E89" w:rsidP="00FC4E89">
      <w:pPr>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A futuro, si se implementa la explotación de YNC tipo RG con PH y FHM, en el Magdalena Medio, éste quedará desolado por la pérdida de los procesos productivos tradicionales y el desplazamiento de su comunidad, atentando contra la salud y la seguridad alimentaria de la región.</w:t>
      </w:r>
    </w:p>
    <w:p w14:paraId="12F2FB45" w14:textId="77777777" w:rsidR="00FC4E89" w:rsidRPr="00FC4E89" w:rsidRDefault="00FC4E89" w:rsidP="00FC4E89">
      <w:pPr>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Con base en las siguientes fotografías aéreas de zonas donde se ha realizado la explotación de RG a través de PH con FHM, en Estados Unidos, se imaginen cómo quedará el Magdalena Medio 20 años después del uso combinado de estas tecnologías no convencionales en las Rocas Generadoras.</w:t>
      </w:r>
    </w:p>
    <w:p w14:paraId="0E9E3D71" w14:textId="77777777" w:rsidR="00FC4E89" w:rsidRPr="00FC4E89" w:rsidRDefault="00FC4E89" w:rsidP="00FC4E89">
      <w:pPr>
        <w:jc w:val="center"/>
        <w:rPr>
          <w:rFonts w:ascii="Times New Roman" w:eastAsia="Calibri" w:hAnsi="Times New Roman" w:cs="Times New Roman"/>
          <w:sz w:val="24"/>
          <w:szCs w:val="24"/>
          <w:lang w:val="es-MX"/>
        </w:rPr>
      </w:pPr>
      <w:r w:rsidRPr="00FC4E89">
        <w:rPr>
          <w:rFonts w:ascii="Times New Roman" w:eastAsia="Calibri" w:hAnsi="Times New Roman" w:cs="Times New Roman"/>
          <w:noProof/>
          <w:sz w:val="24"/>
          <w:szCs w:val="24"/>
          <w:lang w:val="es-MX"/>
        </w:rPr>
        <w:lastRenderedPageBreak/>
        <w:drawing>
          <wp:inline distT="0" distB="0" distL="0" distR="0" wp14:anchorId="7515645D" wp14:editId="50B83F31">
            <wp:extent cx="4571365" cy="2894210"/>
            <wp:effectExtent l="0" t="0" r="635" b="190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3567" b="12017"/>
                    <a:stretch/>
                  </pic:blipFill>
                  <pic:spPr bwMode="auto">
                    <a:xfrm>
                      <a:off x="0" y="0"/>
                      <a:ext cx="4572638" cy="2895016"/>
                    </a:xfrm>
                    <a:prstGeom prst="rect">
                      <a:avLst/>
                    </a:prstGeom>
                    <a:ln>
                      <a:noFill/>
                    </a:ln>
                    <a:extLst>
                      <a:ext uri="{53640926-AAD7-44D8-BBD7-CCE9431645EC}">
                        <a14:shadowObscured xmlns:a14="http://schemas.microsoft.com/office/drawing/2010/main"/>
                      </a:ext>
                    </a:extLst>
                  </pic:spPr>
                </pic:pic>
              </a:graphicData>
            </a:graphic>
          </wp:inline>
        </w:drawing>
      </w:r>
    </w:p>
    <w:p w14:paraId="67A7D471" w14:textId="77777777" w:rsidR="00FC4E89" w:rsidRPr="00FC4E89" w:rsidRDefault="00FC4E89" w:rsidP="00FC4E89">
      <w:pPr>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A manera de comparación, si en la CIRA INFANTAS, que es un campo de yacimientos convencionales, se han perforado 3.800 pozos entre inyectados y productores, en un área de 62 kilómetros cuadrados… imagínense y calcule el número de pozos que serán perforados en un área de 8.200 kilómetros cuadrados, que es el área de la formación o roca generadora “la luna”, donde el campo la CIRA INFANTAS caben 132 veces.</w:t>
      </w:r>
    </w:p>
    <w:p w14:paraId="2C8DDC54" w14:textId="77777777" w:rsidR="00FC4E89" w:rsidRPr="00FC4E89" w:rsidRDefault="00FC4E89" w:rsidP="00FC4E89">
      <w:pPr>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 xml:space="preserve">Sin embargo, para que no se piense que esto es especulación, analícese el caso de la roca generadora EAGLE FORO SHALE en el Estado de Texas, en </w:t>
      </w:r>
      <w:proofErr w:type="gramStart"/>
      <w:r w:rsidRPr="00FC4E89">
        <w:rPr>
          <w:rFonts w:ascii="Times New Roman" w:eastAsia="Calibri" w:hAnsi="Times New Roman" w:cs="Times New Roman"/>
          <w:sz w:val="24"/>
          <w:szCs w:val="24"/>
          <w:lang w:val="es-MX"/>
        </w:rPr>
        <w:t>EE:UU</w:t>
      </w:r>
      <w:proofErr w:type="gramEnd"/>
      <w:r w:rsidRPr="00FC4E89">
        <w:rPr>
          <w:rFonts w:ascii="Times New Roman" w:eastAsia="Calibri" w:hAnsi="Times New Roman" w:cs="Times New Roman"/>
          <w:sz w:val="24"/>
          <w:szCs w:val="24"/>
          <w:lang w:val="es-MX"/>
        </w:rPr>
        <w:t xml:space="preserve">, la cual tiene un área de 51.200 kilómetros cuadrados, y donde ya se han perforado 30.000 pozos, pero se estima que alcanzarán los 97.000 pozos. </w:t>
      </w:r>
    </w:p>
    <w:p w14:paraId="594A3DDC" w14:textId="77777777" w:rsidR="00FC4E89" w:rsidRPr="00FC4E89" w:rsidRDefault="00FC4E89" w:rsidP="00FC4E89">
      <w:pPr>
        <w:jc w:val="center"/>
        <w:rPr>
          <w:rFonts w:ascii="Times New Roman" w:eastAsia="Calibri" w:hAnsi="Times New Roman" w:cs="Times New Roman"/>
          <w:sz w:val="24"/>
          <w:szCs w:val="24"/>
          <w:lang w:val="es-MX"/>
        </w:rPr>
      </w:pPr>
      <w:r w:rsidRPr="00FC4E89">
        <w:rPr>
          <w:rFonts w:ascii="Times New Roman" w:eastAsia="Calibri" w:hAnsi="Times New Roman" w:cs="Times New Roman"/>
          <w:noProof/>
          <w:sz w:val="24"/>
          <w:szCs w:val="24"/>
          <w:lang w:val="es-MX"/>
        </w:rPr>
        <w:lastRenderedPageBreak/>
        <w:drawing>
          <wp:inline distT="0" distB="0" distL="0" distR="0" wp14:anchorId="475D1AEF" wp14:editId="59DF1E63">
            <wp:extent cx="3863795" cy="3016938"/>
            <wp:effectExtent l="0" t="0" r="381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547" t="2378" r="3684"/>
                    <a:stretch/>
                  </pic:blipFill>
                  <pic:spPr bwMode="auto">
                    <a:xfrm>
                      <a:off x="0" y="0"/>
                      <a:ext cx="3877206" cy="3027409"/>
                    </a:xfrm>
                    <a:prstGeom prst="rect">
                      <a:avLst/>
                    </a:prstGeom>
                    <a:ln>
                      <a:noFill/>
                    </a:ln>
                    <a:extLst>
                      <a:ext uri="{53640926-AAD7-44D8-BBD7-CCE9431645EC}">
                        <a14:shadowObscured xmlns:a14="http://schemas.microsoft.com/office/drawing/2010/main"/>
                      </a:ext>
                    </a:extLst>
                  </pic:spPr>
                </pic:pic>
              </a:graphicData>
            </a:graphic>
          </wp:inline>
        </w:drawing>
      </w:r>
    </w:p>
    <w:p w14:paraId="1033F55F" w14:textId="77777777" w:rsidR="00FC4E89" w:rsidRPr="00FC4E89" w:rsidRDefault="00FC4E89" w:rsidP="00FC4E89">
      <w:pPr>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 xml:space="preserve">Lo cual significa que en la Roca Generadora “La Luna”, que tiene 8.200 kilómetros cuadrados… su proyección sería de 16.000 pozos perforados por cada miembro (la formación La Luna tiene 4 miembros: Galembo, </w:t>
      </w:r>
      <w:proofErr w:type="spellStart"/>
      <w:r w:rsidRPr="00FC4E89">
        <w:rPr>
          <w:rFonts w:ascii="Times New Roman" w:eastAsia="Calibri" w:hAnsi="Times New Roman" w:cs="Times New Roman"/>
          <w:sz w:val="24"/>
          <w:szCs w:val="24"/>
          <w:lang w:val="es-MX"/>
        </w:rPr>
        <w:t>Pujamana</w:t>
      </w:r>
      <w:proofErr w:type="spellEnd"/>
      <w:r w:rsidRPr="00FC4E89">
        <w:rPr>
          <w:rFonts w:ascii="Times New Roman" w:eastAsia="Calibri" w:hAnsi="Times New Roman" w:cs="Times New Roman"/>
          <w:sz w:val="24"/>
          <w:szCs w:val="24"/>
          <w:lang w:val="es-MX"/>
        </w:rPr>
        <w:t xml:space="preserve">, Salado y La Renta), con un espesor superior a los 300 metros; o sea qué, para fracturar todo el espesor se requieren 48.000 pozos, pues el espesor vertical máximo fracturado es de 80 metros, tal como lo explica el Instituto Argentino de Petróleo y Gas. Además, en la cuenca del VMM existen 5 rocas generadoras superpuestas: la paja, rosa blanca, tablazo, </w:t>
      </w:r>
      <w:proofErr w:type="spellStart"/>
      <w:r w:rsidRPr="00FC4E89">
        <w:rPr>
          <w:rFonts w:ascii="Times New Roman" w:eastAsia="Calibri" w:hAnsi="Times New Roman" w:cs="Times New Roman"/>
          <w:sz w:val="24"/>
          <w:szCs w:val="24"/>
          <w:lang w:val="es-MX"/>
        </w:rPr>
        <w:t>simití</w:t>
      </w:r>
      <w:proofErr w:type="spellEnd"/>
      <w:r w:rsidRPr="00FC4E89">
        <w:rPr>
          <w:rFonts w:ascii="Times New Roman" w:eastAsia="Calibri" w:hAnsi="Times New Roman" w:cs="Times New Roman"/>
          <w:sz w:val="24"/>
          <w:szCs w:val="24"/>
          <w:lang w:val="es-MX"/>
        </w:rPr>
        <w:t xml:space="preserve"> y la luna, que serían explotados secuencialmente, para un total de 112.000 pozos en la cuenca.</w:t>
      </w:r>
    </w:p>
    <w:p w14:paraId="3458E5D3" w14:textId="77777777" w:rsidR="00FC4E89" w:rsidRPr="00FC4E89" w:rsidRDefault="00FC4E89" w:rsidP="00FC4E89">
      <w:pPr>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 xml:space="preserve">Toda esta cantidad de pozos va a dejar millones de toneladas de ripios de roca triturada y desechos de lodos de perforación, fluidos de fracturamiento y desechos de arena de empaquetamiento depositados en piscinas y </w:t>
      </w:r>
      <w:proofErr w:type="spellStart"/>
      <w:r w:rsidRPr="00FC4E89">
        <w:rPr>
          <w:rFonts w:ascii="Times New Roman" w:eastAsia="Calibri" w:hAnsi="Times New Roman" w:cs="Times New Roman"/>
          <w:sz w:val="24"/>
          <w:szCs w:val="24"/>
          <w:lang w:val="es-MX"/>
        </w:rPr>
        <w:t>ZODME’s</w:t>
      </w:r>
      <w:proofErr w:type="spellEnd"/>
      <w:r w:rsidRPr="00FC4E89">
        <w:rPr>
          <w:rFonts w:ascii="Times New Roman" w:eastAsia="Calibri" w:hAnsi="Times New Roman" w:cs="Times New Roman"/>
          <w:sz w:val="24"/>
          <w:szCs w:val="24"/>
          <w:lang w:val="es-MX"/>
        </w:rPr>
        <w:t>, esparcidos a lo largo y ancho de la cuenca. Si cada pozo deja alrededor de 8.5 piscinas, 112 mil pozos dejará casi un millón de piscinas.</w:t>
      </w:r>
    </w:p>
    <w:p w14:paraId="51759EDA" w14:textId="77777777" w:rsidR="00FC4E89" w:rsidRPr="00FC4E89" w:rsidRDefault="00FC4E89" w:rsidP="00FC4E89">
      <w:pPr>
        <w:numPr>
          <w:ilvl w:val="1"/>
          <w:numId w:val="6"/>
        </w:numPr>
        <w:contextualSpacing/>
        <w:jc w:val="both"/>
        <w:rPr>
          <w:rFonts w:ascii="Times New Roman" w:eastAsia="Calibri" w:hAnsi="Times New Roman" w:cs="Times New Roman"/>
          <w:sz w:val="24"/>
          <w:szCs w:val="24"/>
          <w:lang w:val="es-MX"/>
        </w:rPr>
      </w:pPr>
      <w:r w:rsidRPr="00FC4E89">
        <w:rPr>
          <w:rFonts w:ascii="Times New Roman" w:eastAsia="Calibri" w:hAnsi="Times New Roman" w:cs="Times New Roman"/>
          <w:b/>
          <w:sz w:val="24"/>
          <w:szCs w:val="24"/>
          <w:lang w:val="es-MX"/>
        </w:rPr>
        <w:t xml:space="preserve">Residuos del fluido fracturante: </w:t>
      </w:r>
      <w:r w:rsidRPr="00FC4E89">
        <w:rPr>
          <w:rFonts w:ascii="Times New Roman" w:eastAsia="Calibri" w:hAnsi="Times New Roman" w:cs="Times New Roman"/>
          <w:sz w:val="24"/>
          <w:szCs w:val="24"/>
          <w:lang w:val="es-MX"/>
        </w:rPr>
        <w:t xml:space="preserve">el fluido fracturante recuperado después de realizado el FH, puede variar entre un 15 a 80% del volumen inyectado. Este fluido </w:t>
      </w:r>
      <w:r w:rsidRPr="00FC4E89">
        <w:rPr>
          <w:rFonts w:ascii="Times New Roman" w:eastAsia="Calibri" w:hAnsi="Times New Roman" w:cs="Times New Roman"/>
          <w:sz w:val="24"/>
          <w:szCs w:val="24"/>
          <w:lang w:val="es-MX"/>
        </w:rPr>
        <w:lastRenderedPageBreak/>
        <w:t xml:space="preserve">de desecho, comúnmente conocido como </w:t>
      </w:r>
      <w:proofErr w:type="spellStart"/>
      <w:r w:rsidRPr="00FC4E89">
        <w:rPr>
          <w:rFonts w:ascii="Times New Roman" w:eastAsia="Calibri" w:hAnsi="Times New Roman" w:cs="Times New Roman"/>
          <w:sz w:val="24"/>
          <w:szCs w:val="24"/>
          <w:lang w:val="es-MX"/>
        </w:rPr>
        <w:t>flowback</w:t>
      </w:r>
      <w:proofErr w:type="spellEnd"/>
      <w:r w:rsidRPr="00FC4E89">
        <w:rPr>
          <w:rFonts w:ascii="Times New Roman" w:eastAsia="Calibri" w:hAnsi="Times New Roman" w:cs="Times New Roman"/>
          <w:sz w:val="24"/>
          <w:szCs w:val="24"/>
          <w:lang w:val="es-MX"/>
        </w:rPr>
        <w:t>, contiene varias sustancias tóxicas, entre Metales pesados como arsénico, plomo, cromo y mercurio; sustancias radiactivas de origen natural como uranio, radio, radón; y trazas de hidrocarburos como bencenos o BTEX, tolueno, etilbenceno y xileno. Estos fluidos normalmente son almacenados temporalmente en piscinas o en tanques para ser tratados para posterior reciclaje, y finalmente deben ser inyectados al subsuelo en pozos de relleno.</w:t>
      </w:r>
    </w:p>
    <w:p w14:paraId="285BEAD0" w14:textId="77777777" w:rsidR="00FC4E89" w:rsidRPr="00FC4E89" w:rsidRDefault="00FC4E89" w:rsidP="00FC4E89">
      <w:pPr>
        <w:contextualSpacing/>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 xml:space="preserve">  </w:t>
      </w:r>
    </w:p>
    <w:p w14:paraId="694BEA54" w14:textId="77777777" w:rsidR="00FC4E89" w:rsidRPr="00FC4E89" w:rsidRDefault="00FC4E89" w:rsidP="00FC4E89">
      <w:pPr>
        <w:contextualSpacing/>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 xml:space="preserve">Los materiales radiactivos son comunes en el suelo y las formaciones geológicas que contienen gas y petróleo, por lo cual, en contacto con los hidrocarburos, debido a su proceso de producción, los campos de petróleo y gas suelen producirlos en el agua connata llamada “agua de formación”. El proceso de fracturamiento hidráulico de Rocas Generadoras de gas o petróleo, es un ejemplo del alto concentrado de NORM y minerales disueltos que son absorbidos durante el proceso. La capacidad de movilidad de los isotopos radiactivos encontrados en las formaciones rocosas es fundamental para que puedan entrar en contacto con otros materiales (Rowan, E.L., 2011). El U-238 y el Th-232 son parte de la matriz rocosa, combinado con ella, es básicamente insoluble en el fluido de formación, en las típicas condiciones hipóxicas del </w:t>
      </w:r>
      <w:proofErr w:type="spellStart"/>
      <w:r w:rsidRPr="00FC4E89">
        <w:rPr>
          <w:rFonts w:ascii="Times New Roman" w:eastAsia="Calibri" w:hAnsi="Times New Roman" w:cs="Times New Roman"/>
          <w:sz w:val="24"/>
          <w:szCs w:val="24"/>
          <w:lang w:val="es-MX"/>
        </w:rPr>
        <w:t>shale</w:t>
      </w:r>
      <w:proofErr w:type="spellEnd"/>
      <w:r w:rsidRPr="00FC4E89">
        <w:rPr>
          <w:rFonts w:ascii="Times New Roman" w:eastAsia="Calibri" w:hAnsi="Times New Roman" w:cs="Times New Roman"/>
          <w:sz w:val="24"/>
          <w:szCs w:val="24"/>
          <w:lang w:val="es-MX"/>
        </w:rPr>
        <w:t xml:space="preserve">, el Ra-226 pertenece a la cadena del U-238, y el Ra-228 pertenece a la cadena del Th-232. Ambos isótopos de radio son altamente solubles, por lo tanto, puede disolverse en agua de poro y fluido de fracturación hidráulica (Smith 1992; </w:t>
      </w:r>
      <w:proofErr w:type="spellStart"/>
      <w:r w:rsidRPr="00FC4E89">
        <w:rPr>
          <w:rFonts w:ascii="Times New Roman" w:eastAsia="Calibri" w:hAnsi="Times New Roman" w:cs="Times New Roman"/>
          <w:sz w:val="24"/>
          <w:szCs w:val="24"/>
          <w:lang w:val="es-MX"/>
        </w:rPr>
        <w:t>Abdeen</w:t>
      </w:r>
      <w:proofErr w:type="spellEnd"/>
      <w:r w:rsidRPr="00FC4E89">
        <w:rPr>
          <w:rFonts w:ascii="Times New Roman" w:eastAsia="Calibri" w:hAnsi="Times New Roman" w:cs="Times New Roman"/>
          <w:sz w:val="24"/>
          <w:szCs w:val="24"/>
          <w:lang w:val="es-MX"/>
        </w:rPr>
        <w:t xml:space="preserve"> y Khalil 1995) y luego pueden volver a la superficie después de la fracturación hidráulica (</w:t>
      </w:r>
      <w:proofErr w:type="spellStart"/>
      <w:r w:rsidRPr="00FC4E89">
        <w:rPr>
          <w:rFonts w:ascii="Times New Roman" w:eastAsia="Calibri" w:hAnsi="Times New Roman" w:cs="Times New Roman"/>
          <w:sz w:val="24"/>
          <w:szCs w:val="24"/>
          <w:lang w:val="es-MX"/>
        </w:rPr>
        <w:t>Edmiston</w:t>
      </w:r>
      <w:proofErr w:type="spellEnd"/>
      <w:r w:rsidRPr="00FC4E89">
        <w:rPr>
          <w:rFonts w:ascii="Times New Roman" w:eastAsia="Calibri" w:hAnsi="Times New Roman" w:cs="Times New Roman"/>
          <w:sz w:val="24"/>
          <w:szCs w:val="24"/>
          <w:lang w:val="es-MX"/>
        </w:rPr>
        <w:t xml:space="preserve"> et al. 2011), pudiendo llegar a causar un gran problema tanto en el suelo como en las aguas subterráneas cuando estos fluidos son reinyectados al subsuelo. Si estos fluidos quedan expuestos en superficie, afectarán las aguas superficiales, la fauna y la flora, así como a las comunidades del área circundante. El radio, el cual es considerado uno de los elementos más tóxicos junto con el polonio y el plutonio (Al </w:t>
      </w:r>
      <w:proofErr w:type="spellStart"/>
      <w:r w:rsidRPr="00FC4E89">
        <w:rPr>
          <w:rFonts w:ascii="Times New Roman" w:eastAsia="Calibri" w:hAnsi="Times New Roman" w:cs="Times New Roman"/>
          <w:sz w:val="24"/>
          <w:szCs w:val="24"/>
          <w:lang w:val="es-MX"/>
        </w:rPr>
        <w:t>Nabhani</w:t>
      </w:r>
      <w:proofErr w:type="spellEnd"/>
      <w:r w:rsidRPr="00FC4E89">
        <w:rPr>
          <w:rFonts w:ascii="Times New Roman" w:eastAsia="Calibri" w:hAnsi="Times New Roman" w:cs="Times New Roman"/>
          <w:sz w:val="24"/>
          <w:szCs w:val="24"/>
          <w:lang w:val="es-MX"/>
        </w:rPr>
        <w:t xml:space="preserve"> &amp; Khan, 2020), suelen ser los radionúclidos más abundantes en el agua de </w:t>
      </w:r>
      <w:proofErr w:type="spellStart"/>
      <w:r w:rsidRPr="00FC4E89">
        <w:rPr>
          <w:rFonts w:ascii="Times New Roman" w:eastAsia="Calibri" w:hAnsi="Times New Roman" w:cs="Times New Roman"/>
          <w:sz w:val="24"/>
          <w:szCs w:val="24"/>
          <w:lang w:val="es-MX"/>
        </w:rPr>
        <w:t>flowback</w:t>
      </w:r>
      <w:proofErr w:type="spellEnd"/>
      <w:r w:rsidRPr="00FC4E89">
        <w:rPr>
          <w:rFonts w:ascii="Times New Roman" w:eastAsia="Calibri" w:hAnsi="Times New Roman" w:cs="Times New Roman"/>
          <w:sz w:val="24"/>
          <w:szCs w:val="24"/>
          <w:lang w:val="es-MX"/>
        </w:rPr>
        <w:t xml:space="preserve"> (</w:t>
      </w:r>
      <w:proofErr w:type="spellStart"/>
      <w:r w:rsidRPr="00FC4E89">
        <w:rPr>
          <w:rFonts w:ascii="Times New Roman" w:eastAsia="Calibri" w:hAnsi="Times New Roman" w:cs="Times New Roman"/>
          <w:sz w:val="24"/>
          <w:szCs w:val="24"/>
          <w:lang w:val="es-MX"/>
        </w:rPr>
        <w:t>Abdeen</w:t>
      </w:r>
      <w:proofErr w:type="spellEnd"/>
      <w:r w:rsidRPr="00FC4E89">
        <w:rPr>
          <w:rFonts w:ascii="Times New Roman" w:eastAsia="Calibri" w:hAnsi="Times New Roman" w:cs="Times New Roman"/>
          <w:sz w:val="24"/>
          <w:szCs w:val="24"/>
          <w:lang w:val="es-MX"/>
        </w:rPr>
        <w:t xml:space="preserve"> y Khalil 1995; </w:t>
      </w:r>
      <w:proofErr w:type="spellStart"/>
      <w:r w:rsidRPr="00FC4E89">
        <w:rPr>
          <w:rFonts w:ascii="Times New Roman" w:eastAsia="Calibri" w:hAnsi="Times New Roman" w:cs="Times New Roman"/>
          <w:sz w:val="24"/>
          <w:szCs w:val="24"/>
          <w:lang w:val="es-MX"/>
        </w:rPr>
        <w:t>Barbot</w:t>
      </w:r>
      <w:proofErr w:type="spellEnd"/>
      <w:r w:rsidRPr="00FC4E89">
        <w:rPr>
          <w:rFonts w:ascii="Times New Roman" w:eastAsia="Calibri" w:hAnsi="Times New Roman" w:cs="Times New Roman"/>
          <w:sz w:val="24"/>
          <w:szCs w:val="24"/>
          <w:lang w:val="es-MX"/>
        </w:rPr>
        <w:t xml:space="preserve"> et al.2013).</w:t>
      </w:r>
    </w:p>
    <w:p w14:paraId="20697E45" w14:textId="77777777" w:rsidR="00FC4E89" w:rsidRPr="00FC4E89" w:rsidRDefault="00FC4E89" w:rsidP="00FC4E89">
      <w:pPr>
        <w:contextualSpacing/>
        <w:jc w:val="both"/>
        <w:rPr>
          <w:rFonts w:ascii="Times New Roman" w:eastAsia="Calibri" w:hAnsi="Times New Roman" w:cs="Times New Roman"/>
          <w:b/>
          <w:sz w:val="24"/>
          <w:szCs w:val="24"/>
          <w:lang w:val="es-MX"/>
        </w:rPr>
      </w:pPr>
    </w:p>
    <w:p w14:paraId="0A1DEA2C" w14:textId="77777777" w:rsidR="00FC4E89" w:rsidRPr="00FC4E89" w:rsidRDefault="00FC4E89" w:rsidP="00FC4E89">
      <w:pPr>
        <w:contextualSpacing/>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 xml:space="preserve">Los fluidos de fracturamiento, además de perder su potabilidad por la cantidad de químicos que se le agregan en concentraciones tóxicas, salen a superficie con trazas de la arena utilizada como material propante, y con NORM por la absorción de isótopos radioactivos durante el fracturamiento. Estos fluidos son catalogados como desechos tóxicos. </w:t>
      </w:r>
    </w:p>
    <w:p w14:paraId="38AD49F0" w14:textId="77777777" w:rsidR="00FC4E89" w:rsidRPr="00FC4E89" w:rsidRDefault="00FC4E89" w:rsidP="00FC4E89">
      <w:pPr>
        <w:contextualSpacing/>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lastRenderedPageBreak/>
        <w:t xml:space="preserve">Según el manual de gestión de residuos y desechos peligrosos de la Agencia Presidencial de Cooperación Internacional, se considera residuo o desecho tóxico aquel que en virtud de su capacidad de provocar efectos biológicos indeseables o adversos puede causar daño a la salud humana y/o al ambiente. Para este efecto se consideran tóxicos los residuos o desechos que se clasifican de acuerdo con los criterios de toxicidad (efectos agudos, retardados o crónicos y </w:t>
      </w:r>
      <w:proofErr w:type="spellStart"/>
      <w:r w:rsidRPr="00FC4E89">
        <w:rPr>
          <w:rFonts w:ascii="Times New Roman" w:eastAsia="Calibri" w:hAnsi="Times New Roman" w:cs="Times New Roman"/>
          <w:sz w:val="24"/>
          <w:szCs w:val="24"/>
          <w:lang w:val="es-MX"/>
        </w:rPr>
        <w:t>ecotóxicos</w:t>
      </w:r>
      <w:proofErr w:type="spellEnd"/>
      <w:r w:rsidRPr="00FC4E89">
        <w:rPr>
          <w:rFonts w:ascii="Times New Roman" w:eastAsia="Calibri" w:hAnsi="Times New Roman" w:cs="Times New Roman"/>
          <w:sz w:val="24"/>
          <w:szCs w:val="24"/>
          <w:lang w:val="es-MX"/>
        </w:rPr>
        <w:t>), definidos a continuación y para los cuales, según sea necesario, las autoridades competentes establecerán los límites de control correspondiente:</w:t>
      </w:r>
    </w:p>
    <w:p w14:paraId="6AFA5F9D" w14:textId="77777777" w:rsidR="00FC4E89" w:rsidRPr="00FC4E89" w:rsidRDefault="00FC4E89" w:rsidP="00FC4E89">
      <w:pPr>
        <w:contextualSpacing/>
        <w:jc w:val="both"/>
        <w:rPr>
          <w:rFonts w:ascii="Times New Roman" w:eastAsia="Calibri" w:hAnsi="Times New Roman" w:cs="Times New Roman"/>
          <w:sz w:val="24"/>
          <w:szCs w:val="24"/>
          <w:lang w:val="es-MX"/>
        </w:rPr>
      </w:pPr>
    </w:p>
    <w:p w14:paraId="22330BAA" w14:textId="77777777" w:rsidR="00FC4E89" w:rsidRPr="00FC4E89" w:rsidRDefault="00FC4E89" w:rsidP="00FC4E89">
      <w:pPr>
        <w:contextualSpacing/>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a) Dosis letal media oral (DL50) para ratas menor o igual a 200 mg/kg para sólidos y menor o igual a 500 mg/kg para líquidos, de peso corporal.</w:t>
      </w:r>
    </w:p>
    <w:p w14:paraId="1B533587" w14:textId="77777777" w:rsidR="00FC4E89" w:rsidRPr="00FC4E89" w:rsidRDefault="00FC4E89" w:rsidP="00FC4E89">
      <w:pPr>
        <w:contextualSpacing/>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b) Dosis letal media dérmica (DL50) para ratas menor o igual de 1.000 mg/kg de peso corporal.</w:t>
      </w:r>
    </w:p>
    <w:p w14:paraId="62393B6E" w14:textId="77777777" w:rsidR="00FC4E89" w:rsidRPr="00FC4E89" w:rsidRDefault="00FC4E89" w:rsidP="00FC4E89">
      <w:pPr>
        <w:contextualSpacing/>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c) Concentración letal media inhalatoria (CL50) para ratas menor o igual a 10 mg/l.</w:t>
      </w:r>
    </w:p>
    <w:p w14:paraId="48A9DE6D" w14:textId="77777777" w:rsidR="00FC4E89" w:rsidRPr="00FC4E89" w:rsidRDefault="00FC4E89" w:rsidP="00FC4E89">
      <w:pPr>
        <w:contextualSpacing/>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d) Alto potencial de irritación ocular, respiratoria y cutánea, capacidad corrosiva sobre tejidos vivos.</w:t>
      </w:r>
    </w:p>
    <w:p w14:paraId="37C6D1EA" w14:textId="77777777" w:rsidR="00FC4E89" w:rsidRPr="00FC4E89" w:rsidRDefault="00FC4E89" w:rsidP="00FC4E89">
      <w:pPr>
        <w:contextualSpacing/>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 xml:space="preserve">e) Susceptibilidad de bioacumulación y </w:t>
      </w:r>
      <w:proofErr w:type="spellStart"/>
      <w:r w:rsidRPr="00FC4E89">
        <w:rPr>
          <w:rFonts w:ascii="Times New Roman" w:eastAsia="Calibri" w:hAnsi="Times New Roman" w:cs="Times New Roman"/>
          <w:sz w:val="24"/>
          <w:szCs w:val="24"/>
          <w:lang w:val="es-MX"/>
        </w:rPr>
        <w:t>biomagnificación</w:t>
      </w:r>
      <w:proofErr w:type="spellEnd"/>
      <w:r w:rsidRPr="00FC4E89">
        <w:rPr>
          <w:rFonts w:ascii="Times New Roman" w:eastAsia="Calibri" w:hAnsi="Times New Roman" w:cs="Times New Roman"/>
          <w:sz w:val="24"/>
          <w:szCs w:val="24"/>
          <w:lang w:val="es-MX"/>
        </w:rPr>
        <w:t xml:space="preserve"> en los seres vivos y en las cadenas tróficas.</w:t>
      </w:r>
    </w:p>
    <w:p w14:paraId="616FE170" w14:textId="77777777" w:rsidR="00FC4E89" w:rsidRPr="00FC4E89" w:rsidRDefault="00FC4E89" w:rsidP="00FC4E89">
      <w:pPr>
        <w:contextualSpacing/>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 xml:space="preserve">f) Carcinogenicidad, </w:t>
      </w:r>
      <w:proofErr w:type="spellStart"/>
      <w:r w:rsidRPr="00FC4E89">
        <w:rPr>
          <w:rFonts w:ascii="Times New Roman" w:eastAsia="Calibri" w:hAnsi="Times New Roman" w:cs="Times New Roman"/>
          <w:sz w:val="24"/>
          <w:szCs w:val="24"/>
          <w:lang w:val="es-MX"/>
        </w:rPr>
        <w:t>mutagenecidad</w:t>
      </w:r>
      <w:proofErr w:type="spellEnd"/>
      <w:r w:rsidRPr="00FC4E89">
        <w:rPr>
          <w:rFonts w:ascii="Times New Roman" w:eastAsia="Calibri" w:hAnsi="Times New Roman" w:cs="Times New Roman"/>
          <w:sz w:val="24"/>
          <w:szCs w:val="24"/>
          <w:lang w:val="es-MX"/>
        </w:rPr>
        <w:t xml:space="preserve"> y </w:t>
      </w:r>
      <w:proofErr w:type="spellStart"/>
      <w:r w:rsidRPr="00FC4E89">
        <w:rPr>
          <w:rFonts w:ascii="Times New Roman" w:eastAsia="Calibri" w:hAnsi="Times New Roman" w:cs="Times New Roman"/>
          <w:sz w:val="24"/>
          <w:szCs w:val="24"/>
          <w:lang w:val="es-MX"/>
        </w:rPr>
        <w:t>teratogenecidad</w:t>
      </w:r>
      <w:proofErr w:type="spellEnd"/>
      <w:r w:rsidRPr="00FC4E89">
        <w:rPr>
          <w:rFonts w:ascii="Times New Roman" w:eastAsia="Calibri" w:hAnsi="Times New Roman" w:cs="Times New Roman"/>
          <w:sz w:val="24"/>
          <w:szCs w:val="24"/>
          <w:lang w:val="es-MX"/>
        </w:rPr>
        <w:t>.</w:t>
      </w:r>
    </w:p>
    <w:p w14:paraId="1C2860F4" w14:textId="77777777" w:rsidR="00FC4E89" w:rsidRPr="00FC4E89" w:rsidRDefault="00FC4E89" w:rsidP="00FC4E89">
      <w:pPr>
        <w:contextualSpacing/>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 xml:space="preserve">g) Neurotoxicidad, </w:t>
      </w:r>
      <w:proofErr w:type="spellStart"/>
      <w:r w:rsidRPr="00FC4E89">
        <w:rPr>
          <w:rFonts w:ascii="Times New Roman" w:eastAsia="Calibri" w:hAnsi="Times New Roman" w:cs="Times New Roman"/>
          <w:sz w:val="24"/>
          <w:szCs w:val="24"/>
          <w:lang w:val="es-MX"/>
        </w:rPr>
        <w:t>inmunotoxicidad</w:t>
      </w:r>
      <w:proofErr w:type="spellEnd"/>
      <w:r w:rsidRPr="00FC4E89">
        <w:rPr>
          <w:rFonts w:ascii="Times New Roman" w:eastAsia="Calibri" w:hAnsi="Times New Roman" w:cs="Times New Roman"/>
          <w:sz w:val="24"/>
          <w:szCs w:val="24"/>
          <w:lang w:val="es-MX"/>
        </w:rPr>
        <w:t xml:space="preserve"> u otros efectos retardados.</w:t>
      </w:r>
    </w:p>
    <w:p w14:paraId="541C2D42" w14:textId="77777777" w:rsidR="00FC4E89" w:rsidRPr="00FC4E89" w:rsidRDefault="00FC4E89" w:rsidP="00FC4E89">
      <w:pPr>
        <w:contextualSpacing/>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h) Toxicidad para organismos superiores y microorganismos terrestres y acuáticos.</w:t>
      </w:r>
    </w:p>
    <w:p w14:paraId="580114CB" w14:textId="77777777" w:rsidR="00FC4E89" w:rsidRPr="00FC4E89" w:rsidRDefault="00FC4E89" w:rsidP="00FC4E89">
      <w:pPr>
        <w:contextualSpacing/>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i) Otros que las autoridades competentes definan como criterios de riesgo de toxicidad humana o para el ambiente.</w:t>
      </w:r>
    </w:p>
    <w:p w14:paraId="3C878517" w14:textId="77777777" w:rsidR="00FC4E89" w:rsidRPr="00FC4E89" w:rsidRDefault="00FC4E89" w:rsidP="00FC4E89">
      <w:pPr>
        <w:contextualSpacing/>
        <w:jc w:val="both"/>
        <w:rPr>
          <w:rFonts w:ascii="Times New Roman" w:eastAsia="Calibri" w:hAnsi="Times New Roman" w:cs="Times New Roman"/>
          <w:sz w:val="24"/>
          <w:szCs w:val="24"/>
          <w:lang w:val="es-MX"/>
        </w:rPr>
      </w:pPr>
    </w:p>
    <w:p w14:paraId="360998ED" w14:textId="77777777" w:rsidR="00FC4E89" w:rsidRPr="00FC4E89" w:rsidRDefault="00FC4E89" w:rsidP="00FC4E89">
      <w:pPr>
        <w:contextualSpacing/>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Además, se considera residuo o desecho tóxico aquel que, al realizársele una prueba de lixiviación para característica de toxicidad (conocida como prueba TCLP), contiene uno o más de las sustancias, elementos o compuestos que se presentan en la siguiente Tabla, en concentraciones superiores a los niveles máximos permisibles en el lixiviado establecidos en dicha tabla.</w:t>
      </w:r>
    </w:p>
    <w:p w14:paraId="293C8036" w14:textId="77777777" w:rsidR="00FC4E89" w:rsidRPr="00FC4E89" w:rsidRDefault="00FC4E89" w:rsidP="00FC4E89">
      <w:pPr>
        <w:contextualSpacing/>
        <w:jc w:val="center"/>
        <w:rPr>
          <w:rFonts w:ascii="Times New Roman" w:eastAsia="Calibri" w:hAnsi="Times New Roman" w:cs="Times New Roman"/>
          <w:sz w:val="24"/>
          <w:szCs w:val="24"/>
          <w:lang w:val="es-MX"/>
        </w:rPr>
      </w:pPr>
      <w:r w:rsidRPr="00FC4E89">
        <w:rPr>
          <w:rFonts w:ascii="Calibri" w:eastAsia="Calibri" w:hAnsi="Calibri" w:cs="Times New Roman"/>
          <w:noProof/>
          <w:lang w:val="en-US"/>
        </w:rPr>
        <w:lastRenderedPageBreak/>
        <w:drawing>
          <wp:inline distT="0" distB="0" distL="0" distR="0" wp14:anchorId="5F9D9474" wp14:editId="3B5513D6">
            <wp:extent cx="4135084" cy="5957444"/>
            <wp:effectExtent l="0" t="0" r="0" b="5715"/>
            <wp:docPr id="29" name="Imagen 29" descr="D:\Usuarios\Oscar Vanegas\Downloads\Screenshot_20210624-011515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uarios\Oscar Vanegas\Downloads\Screenshot_20210624-011515_WhatsApp.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11893" t="29467" r="7683" b="14178"/>
                    <a:stretch/>
                  </pic:blipFill>
                  <pic:spPr bwMode="auto">
                    <a:xfrm>
                      <a:off x="0" y="0"/>
                      <a:ext cx="4136093" cy="5958897"/>
                    </a:xfrm>
                    <a:prstGeom prst="rect">
                      <a:avLst/>
                    </a:prstGeom>
                    <a:noFill/>
                    <a:ln>
                      <a:noFill/>
                    </a:ln>
                    <a:extLst>
                      <a:ext uri="{53640926-AAD7-44D8-BBD7-CCE9431645EC}">
                        <a14:shadowObscured xmlns:a14="http://schemas.microsoft.com/office/drawing/2010/main"/>
                      </a:ext>
                    </a:extLst>
                  </pic:spPr>
                </pic:pic>
              </a:graphicData>
            </a:graphic>
          </wp:inline>
        </w:drawing>
      </w:r>
    </w:p>
    <w:p w14:paraId="110F4F5E" w14:textId="77777777" w:rsidR="00FC4E89" w:rsidRPr="00FC4E89" w:rsidRDefault="00FC4E89" w:rsidP="00FC4E89">
      <w:pPr>
        <w:contextualSpacing/>
        <w:jc w:val="both"/>
        <w:rPr>
          <w:rFonts w:ascii="Times New Roman" w:eastAsia="Calibri" w:hAnsi="Times New Roman" w:cs="Times New Roman"/>
          <w:sz w:val="24"/>
          <w:szCs w:val="24"/>
          <w:lang w:val="es-MX"/>
        </w:rPr>
      </w:pPr>
    </w:p>
    <w:p w14:paraId="13648206" w14:textId="77777777" w:rsidR="00FC4E89" w:rsidRPr="00FC4E89" w:rsidRDefault="00FC4E89" w:rsidP="00FC4E89">
      <w:pPr>
        <w:contextualSpacing/>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lastRenderedPageBreak/>
        <w:t xml:space="preserve">Cuando estos materiales se han reubicado en la superficie y/o se concentran en piscinas o </w:t>
      </w:r>
      <w:proofErr w:type="spellStart"/>
      <w:r w:rsidRPr="00FC4E89">
        <w:rPr>
          <w:rFonts w:ascii="Times New Roman" w:eastAsia="Calibri" w:hAnsi="Times New Roman" w:cs="Times New Roman"/>
          <w:sz w:val="24"/>
          <w:szCs w:val="24"/>
          <w:lang w:val="es-MX"/>
        </w:rPr>
        <w:t>ZODMEs</w:t>
      </w:r>
      <w:proofErr w:type="spellEnd"/>
      <w:r w:rsidRPr="00FC4E89">
        <w:rPr>
          <w:rFonts w:ascii="Times New Roman" w:eastAsia="Calibri" w:hAnsi="Times New Roman" w:cs="Times New Roman"/>
          <w:sz w:val="24"/>
          <w:szCs w:val="24"/>
          <w:lang w:val="es-MX"/>
        </w:rPr>
        <w:t>, debidamente procesados, se denominan materiales radiactivos naturales tecnológicamente mejorados (TENORM). Los radionucleidos que se encuentran comúnmente en TENORM son radio, radón, uranio, potasio y torio. El nivel de radiactividad en TENORM puede variar ampliamente. Los empleados que trabajan en sitios de perforación son el grupo con mayor probabilidad de estar expuestos al TENORM. Algunos Estados de Estados Unidos tienen programas para los trabajadores garantizando su seguridad en el lugar de trabajo. Generalmente recomiendan no manipular ni reutilizar equipos abandonados en estos sitios, y evitar acercarse a sitios con fluidos de fracturamiento y ripios de perforación abandonados.</w:t>
      </w:r>
    </w:p>
    <w:p w14:paraId="11DCCE7D" w14:textId="77777777" w:rsidR="00FC4E89" w:rsidRPr="00FC4E89" w:rsidRDefault="00FC4E89" w:rsidP="00FC4E89">
      <w:pPr>
        <w:contextualSpacing/>
        <w:jc w:val="both"/>
        <w:rPr>
          <w:rFonts w:ascii="Times New Roman" w:eastAsia="Calibri" w:hAnsi="Times New Roman" w:cs="Times New Roman"/>
          <w:sz w:val="24"/>
          <w:szCs w:val="24"/>
          <w:lang w:val="es-MX"/>
        </w:rPr>
      </w:pPr>
    </w:p>
    <w:p w14:paraId="5EEA4EA0" w14:textId="77777777" w:rsidR="00FC4E89" w:rsidRPr="00FC4E89" w:rsidRDefault="00FC4E89" w:rsidP="00FC4E89">
      <w:pPr>
        <w:contextualSpacing/>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En la siguiente tabla se presentan los máximos niveles permitidos por la EPA en Estados Unidos, y los efectos nocivos de algunos contaminantes que vienen en los ripios y lodos de perforación, y los fluidos de fracturamiento que retornan a superficie:</w:t>
      </w:r>
    </w:p>
    <w:p w14:paraId="5DD73953" w14:textId="77777777" w:rsidR="00FC4E89" w:rsidRPr="00FC4E89" w:rsidRDefault="00FC4E89" w:rsidP="00FC4E89">
      <w:pPr>
        <w:contextualSpacing/>
        <w:jc w:val="both"/>
        <w:rPr>
          <w:rFonts w:ascii="Times New Roman" w:eastAsia="Calibri" w:hAnsi="Times New Roman" w:cs="Times New Roman"/>
          <w:sz w:val="24"/>
          <w:szCs w:val="24"/>
          <w:lang w:val="es-MX"/>
        </w:rPr>
      </w:pPr>
    </w:p>
    <w:p w14:paraId="24BEFFE4" w14:textId="77777777" w:rsidR="00FC4E89" w:rsidRPr="00FC4E89" w:rsidRDefault="00FC4E89" w:rsidP="00FC4E89">
      <w:pPr>
        <w:contextualSpacing/>
        <w:jc w:val="center"/>
        <w:rPr>
          <w:rFonts w:ascii="Times New Roman" w:eastAsia="Calibri" w:hAnsi="Times New Roman" w:cs="Times New Roman"/>
          <w:sz w:val="24"/>
          <w:szCs w:val="24"/>
          <w:lang w:val="es-MX"/>
        </w:rPr>
      </w:pPr>
      <w:r w:rsidRPr="00FC4E89">
        <w:rPr>
          <w:rFonts w:ascii="Times New Roman" w:eastAsia="Calibri" w:hAnsi="Times New Roman" w:cs="Times New Roman"/>
          <w:noProof/>
          <w:sz w:val="24"/>
          <w:szCs w:val="24"/>
          <w:lang w:val="es-MX"/>
        </w:rPr>
        <w:drawing>
          <wp:inline distT="0" distB="0" distL="0" distR="0" wp14:anchorId="49E6CF95" wp14:editId="36B674FA">
            <wp:extent cx="4226956" cy="3163462"/>
            <wp:effectExtent l="0" t="0" r="254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5707" t="8835" r="6750" b="3810"/>
                    <a:stretch/>
                  </pic:blipFill>
                  <pic:spPr bwMode="auto">
                    <a:xfrm>
                      <a:off x="0" y="0"/>
                      <a:ext cx="4254328" cy="3183947"/>
                    </a:xfrm>
                    <a:prstGeom prst="rect">
                      <a:avLst/>
                    </a:prstGeom>
                    <a:ln>
                      <a:noFill/>
                    </a:ln>
                    <a:extLst>
                      <a:ext uri="{53640926-AAD7-44D8-BBD7-CCE9431645EC}">
                        <a14:shadowObscured xmlns:a14="http://schemas.microsoft.com/office/drawing/2010/main"/>
                      </a:ext>
                    </a:extLst>
                  </pic:spPr>
                </pic:pic>
              </a:graphicData>
            </a:graphic>
          </wp:inline>
        </w:drawing>
      </w:r>
    </w:p>
    <w:p w14:paraId="4E6BA665" w14:textId="77777777" w:rsidR="00FC4E89" w:rsidRPr="00FC4E89" w:rsidRDefault="00FC4E89" w:rsidP="00FC4E89">
      <w:pPr>
        <w:contextualSpacing/>
        <w:jc w:val="center"/>
        <w:rPr>
          <w:rFonts w:ascii="Times New Roman" w:eastAsia="Calibri" w:hAnsi="Times New Roman" w:cs="Times New Roman"/>
          <w:sz w:val="24"/>
          <w:szCs w:val="24"/>
          <w:lang w:val="es-MX"/>
        </w:rPr>
      </w:pPr>
      <w:r w:rsidRPr="00FC4E89">
        <w:rPr>
          <w:rFonts w:ascii="Times New Roman" w:eastAsia="Calibri" w:hAnsi="Times New Roman" w:cs="Times New Roman"/>
          <w:noProof/>
          <w:sz w:val="24"/>
          <w:szCs w:val="24"/>
          <w:lang w:val="es-MX"/>
        </w:rPr>
        <w:lastRenderedPageBreak/>
        <w:drawing>
          <wp:inline distT="0" distB="0" distL="0" distR="0" wp14:anchorId="10B2593D" wp14:editId="25163867">
            <wp:extent cx="4245490" cy="3254881"/>
            <wp:effectExtent l="0" t="0" r="3175" b="317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567" t="1189" r="3541" b="3854"/>
                    <a:stretch/>
                  </pic:blipFill>
                  <pic:spPr bwMode="auto">
                    <a:xfrm>
                      <a:off x="0" y="0"/>
                      <a:ext cx="4247604" cy="3256502"/>
                    </a:xfrm>
                    <a:prstGeom prst="rect">
                      <a:avLst/>
                    </a:prstGeom>
                    <a:ln>
                      <a:noFill/>
                    </a:ln>
                    <a:extLst>
                      <a:ext uri="{53640926-AAD7-44D8-BBD7-CCE9431645EC}">
                        <a14:shadowObscured xmlns:a14="http://schemas.microsoft.com/office/drawing/2010/main"/>
                      </a:ext>
                    </a:extLst>
                  </pic:spPr>
                </pic:pic>
              </a:graphicData>
            </a:graphic>
          </wp:inline>
        </w:drawing>
      </w:r>
    </w:p>
    <w:p w14:paraId="12DB3EFF" w14:textId="77777777" w:rsidR="00FC4E89" w:rsidRPr="00FC4E89" w:rsidRDefault="00FC4E89" w:rsidP="00FC4E89">
      <w:pPr>
        <w:contextualSpacing/>
        <w:jc w:val="center"/>
        <w:rPr>
          <w:rFonts w:ascii="Times New Roman" w:eastAsia="Calibri" w:hAnsi="Times New Roman" w:cs="Times New Roman"/>
          <w:sz w:val="24"/>
          <w:szCs w:val="24"/>
          <w:lang w:val="es-MX"/>
        </w:rPr>
      </w:pPr>
    </w:p>
    <w:p w14:paraId="000C6900" w14:textId="77777777" w:rsidR="00FC4E89" w:rsidRPr="00FC4E89" w:rsidRDefault="00FC4E89" w:rsidP="00FC4E89">
      <w:pPr>
        <w:contextualSpacing/>
        <w:jc w:val="center"/>
        <w:rPr>
          <w:rFonts w:ascii="Times New Roman" w:eastAsia="Calibri" w:hAnsi="Times New Roman" w:cs="Times New Roman"/>
          <w:sz w:val="24"/>
          <w:szCs w:val="24"/>
          <w:lang w:val="es-MX"/>
        </w:rPr>
      </w:pPr>
    </w:p>
    <w:p w14:paraId="7724C67D" w14:textId="77777777" w:rsidR="00FC4E89" w:rsidRPr="00FC4E89" w:rsidRDefault="00FC4E89" w:rsidP="00FC4E89">
      <w:pPr>
        <w:contextualSpacing/>
        <w:jc w:val="center"/>
        <w:rPr>
          <w:rFonts w:ascii="Times New Roman" w:eastAsia="Calibri" w:hAnsi="Times New Roman" w:cs="Times New Roman"/>
          <w:sz w:val="24"/>
          <w:szCs w:val="24"/>
          <w:lang w:val="es-MX"/>
        </w:rPr>
      </w:pPr>
    </w:p>
    <w:p w14:paraId="58DFB108" w14:textId="77777777" w:rsidR="00FC4E89" w:rsidRPr="00FC4E89" w:rsidRDefault="00FC4E89" w:rsidP="00FC4E89">
      <w:pPr>
        <w:contextualSpacing/>
        <w:jc w:val="center"/>
        <w:rPr>
          <w:rFonts w:ascii="Times New Roman" w:eastAsia="Calibri" w:hAnsi="Times New Roman" w:cs="Times New Roman"/>
          <w:sz w:val="24"/>
          <w:szCs w:val="24"/>
          <w:lang w:val="es-MX"/>
        </w:rPr>
      </w:pPr>
    </w:p>
    <w:p w14:paraId="18975EB1" w14:textId="77777777" w:rsidR="00FC4E89" w:rsidRPr="00FC4E89" w:rsidRDefault="00FC4E89" w:rsidP="00FC4E89">
      <w:pPr>
        <w:contextualSpacing/>
        <w:jc w:val="center"/>
        <w:rPr>
          <w:rFonts w:ascii="Times New Roman" w:eastAsia="Calibri" w:hAnsi="Times New Roman" w:cs="Times New Roman"/>
          <w:sz w:val="24"/>
          <w:szCs w:val="24"/>
          <w:lang w:val="es-MX"/>
        </w:rPr>
      </w:pPr>
      <w:r w:rsidRPr="00FC4E89">
        <w:rPr>
          <w:rFonts w:ascii="Times New Roman" w:eastAsia="Calibri" w:hAnsi="Times New Roman" w:cs="Times New Roman"/>
          <w:noProof/>
          <w:sz w:val="24"/>
          <w:szCs w:val="24"/>
          <w:lang w:val="es-MX"/>
        </w:rPr>
        <w:lastRenderedPageBreak/>
        <w:drawing>
          <wp:inline distT="0" distB="0" distL="0" distR="0" wp14:anchorId="607E8695" wp14:editId="70FDE0B0">
            <wp:extent cx="4244975" cy="3346774"/>
            <wp:effectExtent l="0" t="0" r="3175" b="635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313" t="2378" r="3822"/>
                    <a:stretch/>
                  </pic:blipFill>
                  <pic:spPr bwMode="auto">
                    <a:xfrm>
                      <a:off x="0" y="0"/>
                      <a:ext cx="4246419" cy="3347912"/>
                    </a:xfrm>
                    <a:prstGeom prst="rect">
                      <a:avLst/>
                    </a:prstGeom>
                    <a:ln>
                      <a:noFill/>
                    </a:ln>
                    <a:extLst>
                      <a:ext uri="{53640926-AAD7-44D8-BBD7-CCE9431645EC}">
                        <a14:shadowObscured xmlns:a14="http://schemas.microsoft.com/office/drawing/2010/main"/>
                      </a:ext>
                    </a:extLst>
                  </pic:spPr>
                </pic:pic>
              </a:graphicData>
            </a:graphic>
          </wp:inline>
        </w:drawing>
      </w:r>
    </w:p>
    <w:p w14:paraId="02187D87" w14:textId="77777777" w:rsidR="00FC4E89" w:rsidRPr="00FC4E89" w:rsidRDefault="00FC4E89" w:rsidP="00FC4E89">
      <w:pPr>
        <w:contextualSpacing/>
        <w:jc w:val="center"/>
        <w:rPr>
          <w:rFonts w:ascii="Times New Roman" w:eastAsia="Calibri" w:hAnsi="Times New Roman" w:cs="Times New Roman"/>
          <w:sz w:val="24"/>
          <w:szCs w:val="24"/>
          <w:lang w:val="es-MX"/>
        </w:rPr>
      </w:pPr>
    </w:p>
    <w:p w14:paraId="009453A0" w14:textId="77777777" w:rsidR="00FC4E89" w:rsidRPr="00FC4E89" w:rsidRDefault="00FC4E89" w:rsidP="00FC4E89">
      <w:pPr>
        <w:contextualSpacing/>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 xml:space="preserve">De acuerdo a los resultados de investigaciones científicas, se ha comprobado que los depósitos de fosfatos, carbón e </w:t>
      </w:r>
      <w:proofErr w:type="gramStart"/>
      <w:r w:rsidRPr="00FC4E89">
        <w:rPr>
          <w:rFonts w:ascii="Times New Roman" w:eastAsia="Calibri" w:hAnsi="Times New Roman" w:cs="Times New Roman"/>
          <w:sz w:val="24"/>
          <w:szCs w:val="24"/>
          <w:lang w:val="es-MX"/>
        </w:rPr>
        <w:t>hidrocarburos,</w:t>
      </w:r>
      <w:proofErr w:type="gramEnd"/>
      <w:r w:rsidRPr="00FC4E89">
        <w:rPr>
          <w:rFonts w:ascii="Times New Roman" w:eastAsia="Calibri" w:hAnsi="Times New Roman" w:cs="Times New Roman"/>
          <w:sz w:val="24"/>
          <w:szCs w:val="24"/>
          <w:lang w:val="es-MX"/>
        </w:rPr>
        <w:t xml:space="preserve"> tienen una consideración especial; porque tanto los fosfatos, como los hidrocarburos, alojan los enormes cationes de U y Th. En algunos casos estos depósitos contienen altas concentraciones de uranio. La exposición puntual a estas concentraciones de uranio provoca efectos agudos en poco tiempo, como malestar, quemaduras de la piel, caída del cabello, diarrea, náuseas o vómito; y la exposición permanente y prolongada puede causar problemas de salud más graves a largo plazo, como cánceres, sobre todo leucemia y cáncer de tiroides. En las mujeres embarazadas puede afectar el desarrollo del cerebro del feto.</w:t>
      </w:r>
    </w:p>
    <w:p w14:paraId="5558E1B7" w14:textId="77777777" w:rsidR="00FC4E89" w:rsidRPr="00FC4E89" w:rsidRDefault="00FC4E89" w:rsidP="00FC4E89">
      <w:pPr>
        <w:contextualSpacing/>
        <w:jc w:val="both"/>
        <w:rPr>
          <w:rFonts w:ascii="Times New Roman" w:eastAsia="Calibri" w:hAnsi="Times New Roman" w:cs="Times New Roman"/>
          <w:sz w:val="24"/>
          <w:szCs w:val="24"/>
          <w:lang w:val="es-MX"/>
        </w:rPr>
      </w:pPr>
    </w:p>
    <w:p w14:paraId="4DD809FB" w14:textId="77777777" w:rsidR="00FC4E89" w:rsidRPr="00FC4E89" w:rsidRDefault="00FC4E89" w:rsidP="00FC4E89">
      <w:pPr>
        <w:contextualSpacing/>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 xml:space="preserve">El radón es un gas que aparece como producto intermedio de la transformación del U238 y el Torio. Es un gas inodoro, incoloro e insípido, químicamente inerte, con una vida media corta. El riesgo aparece cuando se desintegra, dando lugar a isótopos químicamente muy reactivos y de vida relativamente larga, que se unen a cualquier partícula presente en el aire, </w:t>
      </w:r>
      <w:r w:rsidRPr="00FC4E89">
        <w:rPr>
          <w:rFonts w:ascii="Times New Roman" w:eastAsia="Calibri" w:hAnsi="Times New Roman" w:cs="Times New Roman"/>
          <w:sz w:val="24"/>
          <w:szCs w:val="24"/>
          <w:lang w:val="es-MX"/>
        </w:rPr>
        <w:lastRenderedPageBreak/>
        <w:t>y pueden así alcanzar e irradiar los pulmones, siendo la segunda causa de cáncer de pulmón, pero también puede producir cáncer en la sangre o leucemia.</w:t>
      </w:r>
    </w:p>
    <w:p w14:paraId="7403CD7A" w14:textId="77777777" w:rsidR="00FC4E89" w:rsidRPr="00FC4E89" w:rsidRDefault="00FC4E89" w:rsidP="00FC4E89">
      <w:pPr>
        <w:contextualSpacing/>
        <w:jc w:val="both"/>
        <w:rPr>
          <w:rFonts w:ascii="Times New Roman" w:eastAsia="Calibri" w:hAnsi="Times New Roman" w:cs="Times New Roman"/>
          <w:sz w:val="24"/>
          <w:szCs w:val="24"/>
          <w:lang w:val="es-MX"/>
        </w:rPr>
      </w:pPr>
    </w:p>
    <w:p w14:paraId="50EEC5B8" w14:textId="77777777" w:rsidR="00FC4E89" w:rsidRPr="00FC4E89" w:rsidRDefault="00FC4E89" w:rsidP="00FC4E89">
      <w:pPr>
        <w:contextualSpacing/>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 xml:space="preserve">En un reciente estudio publicado el pasado 21 de abril de 2021 en </w:t>
      </w:r>
      <w:proofErr w:type="spellStart"/>
      <w:r w:rsidRPr="00FC4E89">
        <w:rPr>
          <w:rFonts w:ascii="Times New Roman" w:eastAsia="Calibri" w:hAnsi="Times New Roman" w:cs="Times New Roman"/>
          <w:sz w:val="24"/>
          <w:szCs w:val="24"/>
          <w:lang w:val="es-MX"/>
        </w:rPr>
        <w:t>Environmental</w:t>
      </w:r>
      <w:proofErr w:type="spellEnd"/>
      <w:r w:rsidRPr="00FC4E89">
        <w:rPr>
          <w:rFonts w:ascii="Times New Roman" w:eastAsia="Calibri" w:hAnsi="Times New Roman" w:cs="Times New Roman"/>
          <w:sz w:val="24"/>
          <w:szCs w:val="24"/>
          <w:lang w:val="es-MX"/>
        </w:rPr>
        <w:t xml:space="preserve"> </w:t>
      </w:r>
      <w:proofErr w:type="spellStart"/>
      <w:r w:rsidRPr="00FC4E89">
        <w:rPr>
          <w:rFonts w:ascii="Times New Roman" w:eastAsia="Calibri" w:hAnsi="Times New Roman" w:cs="Times New Roman"/>
          <w:sz w:val="24"/>
          <w:szCs w:val="24"/>
          <w:lang w:val="es-MX"/>
        </w:rPr>
        <w:t>Health</w:t>
      </w:r>
      <w:proofErr w:type="spellEnd"/>
      <w:r w:rsidRPr="00FC4E89">
        <w:rPr>
          <w:rFonts w:ascii="Times New Roman" w:eastAsia="Calibri" w:hAnsi="Times New Roman" w:cs="Times New Roman"/>
          <w:sz w:val="24"/>
          <w:szCs w:val="24"/>
          <w:lang w:val="es-MX"/>
        </w:rPr>
        <w:t xml:space="preserve"> News (EHN), se evidencian los químicos e interrogantes que acompañan a los habitantes de Estados Unidos que viven cerca de las zonas donde se ha realizado fracturamiento hidráulico multietapa a través de pozos horizontales en rocas generadoras (</w:t>
      </w:r>
      <w:hyperlink r:id="rId35" w:history="1">
        <w:r w:rsidRPr="00FC4E89">
          <w:rPr>
            <w:rFonts w:ascii="Calibri" w:eastAsia="Calibri" w:hAnsi="Calibri" w:cs="Times New Roman"/>
            <w:color w:val="0563C1"/>
            <w:u w:val="single"/>
            <w:lang w:val="es-MX"/>
          </w:rPr>
          <w:t>https://www.ehn.org/fractura-hidrulica-sustancias-qumicas-nocivas-2652592597/video</w:t>
        </w:r>
      </w:hyperlink>
      <w:r w:rsidRPr="00FC4E89">
        <w:rPr>
          <w:rFonts w:ascii="Calibri" w:eastAsia="Calibri" w:hAnsi="Calibri" w:cs="Times New Roman"/>
          <w:color w:val="0563C1"/>
          <w:u w:val="single"/>
          <w:lang w:val="es-MX"/>
        </w:rPr>
        <w:t>)</w:t>
      </w:r>
      <w:r w:rsidRPr="00FC4E89">
        <w:rPr>
          <w:rFonts w:ascii="Times New Roman" w:eastAsia="Calibri" w:hAnsi="Times New Roman" w:cs="Times New Roman"/>
          <w:sz w:val="24"/>
          <w:szCs w:val="24"/>
          <w:lang w:val="es-MX"/>
        </w:rPr>
        <w:t xml:space="preserve">.  </w:t>
      </w:r>
    </w:p>
    <w:p w14:paraId="7323FC2E" w14:textId="77777777" w:rsidR="00FC4E89" w:rsidRPr="00FC4E89" w:rsidRDefault="00FC4E89" w:rsidP="00FC4E89">
      <w:pPr>
        <w:contextualSpacing/>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 xml:space="preserve">En Texas, los investigadores encontraron que los bebés que nacen cerca de las quemas frecuentes (la quema del exceso de gas natural de los pozos de fracturación), tienen un 50 por ciento más de probabilidades de ser prematuros. En Colorado, el Departamento de Salud del estado encontró que las personas que viven cerca de los sitios de fracturación corren un mayor riesgo de sufrir hemorragias nasales, dolores de cabeza, problemas respiratorios y mareos. En Pensilvania, los investigadores encontraron que las personas que viven cerca del </w:t>
      </w:r>
      <w:proofErr w:type="spellStart"/>
      <w:r w:rsidRPr="00FC4E89">
        <w:rPr>
          <w:rFonts w:ascii="Times New Roman" w:eastAsia="Calibri" w:hAnsi="Times New Roman" w:cs="Times New Roman"/>
          <w:sz w:val="24"/>
          <w:szCs w:val="24"/>
          <w:lang w:val="es-MX"/>
        </w:rPr>
        <w:t>fracking</w:t>
      </w:r>
      <w:proofErr w:type="spellEnd"/>
      <w:r w:rsidRPr="00FC4E89">
        <w:rPr>
          <w:rFonts w:ascii="Times New Roman" w:eastAsia="Calibri" w:hAnsi="Times New Roman" w:cs="Times New Roman"/>
          <w:sz w:val="24"/>
          <w:szCs w:val="24"/>
          <w:lang w:val="es-MX"/>
        </w:rPr>
        <w:t xml:space="preserve"> enfrentan mayores tasas de mortalidad infantil, depresión y hospitalizaciones por problemas cutáneos y urinarios.</w:t>
      </w:r>
    </w:p>
    <w:p w14:paraId="468E76D5" w14:textId="77777777" w:rsidR="00FC4E89" w:rsidRPr="00FC4E89" w:rsidRDefault="00FC4E89" w:rsidP="00FC4E89">
      <w:pPr>
        <w:contextualSpacing/>
        <w:jc w:val="both"/>
        <w:rPr>
          <w:rFonts w:ascii="Times New Roman" w:eastAsia="Calibri" w:hAnsi="Times New Roman" w:cs="Times New Roman"/>
          <w:sz w:val="24"/>
          <w:szCs w:val="24"/>
          <w:lang w:val="es-MX"/>
        </w:rPr>
      </w:pPr>
    </w:p>
    <w:p w14:paraId="6271A89C" w14:textId="77777777" w:rsidR="00FC4E89" w:rsidRPr="00FC4E89" w:rsidRDefault="00FC4E89" w:rsidP="00FC4E89">
      <w:pPr>
        <w:contextualSpacing/>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Los estudios de las comunidades donde se practica la fracturación en todo el país, han encontrado que vivir cerca de pozos con fracturamiento hidráulico multietapa a través de pozos horizontales en roca generadora, aumenta el riesgo de nacimientos prematuros, embarazos de alto riesgo, asma, migrañas, fatiga, síntomas nasales y sinusales, trastornos de la piel e insuficiencia cardíaca; y los estudios de laboratorio han vinculado las sustancias químicas utilizadas en el fluido del fracturamiento con la alteración endocrina, lo que puede causar desequilibrios hormonales, daños reproductivos, pubertad temprana, problemas cerebrales y de comportamiento, función inmunológica inadecuada y cáncer.</w:t>
      </w:r>
    </w:p>
    <w:p w14:paraId="3D5E63B4" w14:textId="77777777" w:rsidR="00FC4E89" w:rsidRPr="00FC4E89" w:rsidRDefault="00FC4E89" w:rsidP="00FC4E89">
      <w:pPr>
        <w:contextualSpacing/>
        <w:jc w:val="both"/>
        <w:rPr>
          <w:rFonts w:ascii="Times New Roman" w:eastAsia="Calibri" w:hAnsi="Times New Roman" w:cs="Times New Roman"/>
          <w:sz w:val="24"/>
          <w:szCs w:val="24"/>
          <w:lang w:val="es-MX"/>
        </w:rPr>
      </w:pPr>
    </w:p>
    <w:p w14:paraId="6923D3F8" w14:textId="77777777" w:rsidR="00FC4E89" w:rsidRPr="00FC4E89" w:rsidRDefault="00FC4E89" w:rsidP="00FC4E89">
      <w:pPr>
        <w:contextualSpacing/>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w:t>
      </w:r>
      <w:r w:rsidRPr="00FC4E89">
        <w:rPr>
          <w:rFonts w:ascii="Times New Roman" w:eastAsia="Calibri" w:hAnsi="Times New Roman" w:cs="Times New Roman"/>
          <w:i/>
          <w:sz w:val="24"/>
          <w:szCs w:val="24"/>
          <w:lang w:val="es-MX"/>
        </w:rPr>
        <w:t>En este momento tenemos pruebas suficientes que estos impactos en la salud deberían de preocupar seriamente a los legisladores interesados en proteger la salud pública</w:t>
      </w:r>
      <w:r w:rsidRPr="00FC4E89">
        <w:rPr>
          <w:rFonts w:ascii="Times New Roman" w:eastAsia="Calibri" w:hAnsi="Times New Roman" w:cs="Times New Roman"/>
          <w:sz w:val="24"/>
          <w:szCs w:val="24"/>
          <w:lang w:val="es-MX"/>
        </w:rPr>
        <w:t xml:space="preserve">", declaró a </w:t>
      </w:r>
      <w:proofErr w:type="spellStart"/>
      <w:r w:rsidRPr="00FC4E89">
        <w:rPr>
          <w:rFonts w:ascii="Times New Roman" w:eastAsia="Calibri" w:hAnsi="Times New Roman" w:cs="Times New Roman"/>
          <w:sz w:val="24"/>
          <w:szCs w:val="24"/>
          <w:lang w:val="es-MX"/>
        </w:rPr>
        <w:t>Environmental</w:t>
      </w:r>
      <w:proofErr w:type="spellEnd"/>
      <w:r w:rsidRPr="00FC4E89">
        <w:rPr>
          <w:rFonts w:ascii="Times New Roman" w:eastAsia="Calibri" w:hAnsi="Times New Roman" w:cs="Times New Roman"/>
          <w:sz w:val="24"/>
          <w:szCs w:val="24"/>
          <w:lang w:val="es-MX"/>
        </w:rPr>
        <w:t xml:space="preserve"> </w:t>
      </w:r>
      <w:proofErr w:type="spellStart"/>
      <w:r w:rsidRPr="00FC4E89">
        <w:rPr>
          <w:rFonts w:ascii="Times New Roman" w:eastAsia="Calibri" w:hAnsi="Times New Roman" w:cs="Times New Roman"/>
          <w:sz w:val="24"/>
          <w:szCs w:val="24"/>
          <w:lang w:val="es-MX"/>
        </w:rPr>
        <w:t>Health</w:t>
      </w:r>
      <w:proofErr w:type="spellEnd"/>
      <w:r w:rsidRPr="00FC4E89">
        <w:rPr>
          <w:rFonts w:ascii="Times New Roman" w:eastAsia="Calibri" w:hAnsi="Times New Roman" w:cs="Times New Roman"/>
          <w:sz w:val="24"/>
          <w:szCs w:val="24"/>
          <w:lang w:val="es-MX"/>
        </w:rPr>
        <w:t xml:space="preserve"> News (EHN) </w:t>
      </w:r>
      <w:proofErr w:type="spellStart"/>
      <w:r w:rsidRPr="00FC4E89">
        <w:rPr>
          <w:rFonts w:ascii="Times New Roman" w:eastAsia="Calibri" w:hAnsi="Times New Roman" w:cs="Times New Roman"/>
          <w:sz w:val="24"/>
          <w:szCs w:val="24"/>
          <w:lang w:val="es-MX"/>
        </w:rPr>
        <w:t>Irena</w:t>
      </w:r>
      <w:proofErr w:type="spellEnd"/>
      <w:r w:rsidRPr="00FC4E89">
        <w:rPr>
          <w:rFonts w:ascii="Times New Roman" w:eastAsia="Calibri" w:hAnsi="Times New Roman" w:cs="Times New Roman"/>
          <w:sz w:val="24"/>
          <w:szCs w:val="24"/>
          <w:lang w:val="es-MX"/>
        </w:rPr>
        <w:t xml:space="preserve"> Gorski Steiner, candidata al doctorado en epidemiología ambiental de la Escuela de Salud Pública Bloomberg de la Universidad de Johns Hopkins.</w:t>
      </w:r>
    </w:p>
    <w:p w14:paraId="1E87BA4C" w14:textId="77777777" w:rsidR="00FC4E89" w:rsidRPr="00FC4E89" w:rsidRDefault="00FC4E89" w:rsidP="00FC4E89">
      <w:pPr>
        <w:contextualSpacing/>
        <w:jc w:val="both"/>
        <w:rPr>
          <w:rFonts w:ascii="Times New Roman" w:eastAsia="Calibri" w:hAnsi="Times New Roman" w:cs="Times New Roman"/>
          <w:sz w:val="24"/>
          <w:szCs w:val="24"/>
          <w:lang w:val="es-MX"/>
        </w:rPr>
      </w:pPr>
    </w:p>
    <w:p w14:paraId="5802A9FC" w14:textId="77777777" w:rsidR="00FC4E89" w:rsidRPr="00FC4E89" w:rsidRDefault="00FC4E89" w:rsidP="00FC4E89">
      <w:pPr>
        <w:contextualSpacing/>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lastRenderedPageBreak/>
        <w:t xml:space="preserve">EHN lleva años informando sobre las crecientes evidencias de los impactos de la fracturación hidráulica multietapa en rocas generadoras a través de pozos horizontales, en la salud humana. Pero existe una brecha en la ciencia: casi nadie </w:t>
      </w:r>
      <w:proofErr w:type="spellStart"/>
      <w:r w:rsidRPr="00FC4E89">
        <w:rPr>
          <w:rFonts w:ascii="Times New Roman" w:eastAsia="Calibri" w:hAnsi="Times New Roman" w:cs="Times New Roman"/>
          <w:sz w:val="24"/>
          <w:szCs w:val="24"/>
          <w:lang w:val="es-MX"/>
        </w:rPr>
        <w:t>esta</w:t>
      </w:r>
      <w:proofErr w:type="spellEnd"/>
      <w:r w:rsidRPr="00FC4E89">
        <w:rPr>
          <w:rFonts w:ascii="Times New Roman" w:eastAsia="Calibri" w:hAnsi="Times New Roman" w:cs="Times New Roman"/>
          <w:sz w:val="24"/>
          <w:szCs w:val="24"/>
          <w:lang w:val="es-MX"/>
        </w:rPr>
        <w:t xml:space="preserve"> verificando si los químicos dañinos de la fracturación están realmente en los cuerpos de las personas que viven cerca de los pozos. En el 2019, EHN recolectó muestras de orina, junto con muestras de aire y agua, de cinco familias en el suroeste de Pensilvania, y las hizo analizar en busca de sustancias químicas asociadas con el fracturamiento hidráulico de rocas generadoras. Encontraron:</w:t>
      </w:r>
    </w:p>
    <w:p w14:paraId="7940011C" w14:textId="77777777" w:rsidR="00FC4E89" w:rsidRPr="00FC4E89" w:rsidRDefault="00FC4E89" w:rsidP="00FC4E89">
      <w:pPr>
        <w:contextualSpacing/>
        <w:jc w:val="both"/>
        <w:rPr>
          <w:rFonts w:ascii="Times New Roman" w:eastAsia="Calibri" w:hAnsi="Times New Roman" w:cs="Times New Roman"/>
          <w:sz w:val="24"/>
          <w:szCs w:val="24"/>
          <w:lang w:val="es-MX"/>
        </w:rPr>
      </w:pPr>
    </w:p>
    <w:p w14:paraId="277783D6" w14:textId="77777777" w:rsidR="00FC4E89" w:rsidRPr="00FC4E89" w:rsidRDefault="00FC4E89" w:rsidP="00FC4E89">
      <w:pPr>
        <w:contextualSpacing/>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 Sustancias químicas en muestras de agua, aire y orina vinculadas a una amplia gama de impactos nocivos para la salud.</w:t>
      </w:r>
    </w:p>
    <w:p w14:paraId="2F097B8A" w14:textId="77777777" w:rsidR="00FC4E89" w:rsidRPr="00FC4E89" w:rsidRDefault="00FC4E89" w:rsidP="00FC4E89">
      <w:pPr>
        <w:contextualSpacing/>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 Sustancias químicas cancerígenas en muestras de aire en niveles que superaban los umbrales de seguridad recomendados.</w:t>
      </w:r>
    </w:p>
    <w:p w14:paraId="19D52BF6" w14:textId="77777777" w:rsidR="00FC4E89" w:rsidRPr="00FC4E89" w:rsidRDefault="00FC4E89" w:rsidP="00FC4E89">
      <w:pPr>
        <w:contextualSpacing/>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 Biomarcadores (también denominados productos de degradación o metabolitos), de sustancias químicas nocivas como etilbenceno, estireno y tolueno en los cuerpos de los habitantes del suroeste de Pensilvania, en niveles significativamente más altos que los del estadounidense promedio. Por ejemplo, encontraron un biomarcador de tolueno en un niño de 9 años que vivía cerca de los pozos de fracturación, a un nivel 91 veces más alto que el nivel observado en el estadounidense promedio.</w:t>
      </w:r>
    </w:p>
    <w:p w14:paraId="22043324" w14:textId="77777777" w:rsidR="00FC4E89" w:rsidRPr="00FC4E89" w:rsidRDefault="00FC4E89" w:rsidP="00FC4E89">
      <w:pPr>
        <w:contextualSpacing/>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 xml:space="preserve">● Las familias que viven más cerca de los pozos de </w:t>
      </w:r>
      <w:proofErr w:type="spellStart"/>
      <w:r w:rsidRPr="00FC4E89">
        <w:rPr>
          <w:rFonts w:ascii="Times New Roman" w:eastAsia="Calibri" w:hAnsi="Times New Roman" w:cs="Times New Roman"/>
          <w:sz w:val="24"/>
          <w:szCs w:val="24"/>
          <w:lang w:val="es-MX"/>
        </w:rPr>
        <w:t>fracking</w:t>
      </w:r>
      <w:proofErr w:type="spellEnd"/>
      <w:r w:rsidRPr="00FC4E89">
        <w:rPr>
          <w:rFonts w:ascii="Times New Roman" w:eastAsia="Calibri" w:hAnsi="Times New Roman" w:cs="Times New Roman"/>
          <w:sz w:val="24"/>
          <w:szCs w:val="24"/>
          <w:lang w:val="es-MX"/>
        </w:rPr>
        <w:t xml:space="preserve"> tenían niveles más altos de sustancias químicas como el 1,2,3-trimetilbenceno, 2-heptanona y naftaleno en su orina, que las familias que viven más lejos. La exposición a estos compuestos está relacionada con problemas cutáneos, oculares y respiratorios, enfermedades gastrointestinales, problemas hepáticos, problemas neurológicos, daño renal y del sistema inmunológico, problemas de desarrollo, alteraciones hormonales y un mayor riesgo de cáncer.</w:t>
      </w:r>
    </w:p>
    <w:p w14:paraId="162ABD74" w14:textId="77777777" w:rsidR="00FC4E89" w:rsidRPr="00FC4E89" w:rsidRDefault="00FC4E89" w:rsidP="00FC4E89">
      <w:pPr>
        <w:contextualSpacing/>
        <w:jc w:val="both"/>
        <w:rPr>
          <w:rFonts w:ascii="Times New Roman" w:eastAsia="Calibri" w:hAnsi="Times New Roman" w:cs="Times New Roman"/>
          <w:sz w:val="24"/>
          <w:szCs w:val="24"/>
          <w:lang w:val="es-MX"/>
        </w:rPr>
      </w:pPr>
    </w:p>
    <w:p w14:paraId="00B2C8A9" w14:textId="77777777" w:rsidR="00FC4E89" w:rsidRPr="00FC4E89" w:rsidRDefault="00FC4E89" w:rsidP="00FC4E89">
      <w:pPr>
        <w:contextualSpacing/>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En Colombia el Ministerio del Ambiente en la Resolución 631 expresa en el artículo 4, que los desechos radioactivos deben cumplir con la Resolución 180005 del Ministerio de Minas, donde textualmente expresa: “</w:t>
      </w:r>
      <w:r w:rsidRPr="00FC4E89">
        <w:rPr>
          <w:rFonts w:ascii="Times New Roman" w:eastAsia="Calibri" w:hAnsi="Times New Roman" w:cs="Times New Roman"/>
          <w:b/>
          <w:i/>
          <w:sz w:val="24"/>
          <w:szCs w:val="24"/>
          <w:lang w:val="es-MX"/>
        </w:rPr>
        <w:t>los desechos radioactivos deben disponerse en zonas sísmicamente estables y a cientos de metros de profundidad</w:t>
      </w:r>
      <w:r w:rsidRPr="00FC4E89">
        <w:rPr>
          <w:rFonts w:ascii="Times New Roman" w:eastAsia="Calibri" w:hAnsi="Times New Roman" w:cs="Times New Roman"/>
          <w:sz w:val="24"/>
          <w:szCs w:val="24"/>
          <w:lang w:val="es-MX"/>
        </w:rPr>
        <w:t xml:space="preserve">”.  </w:t>
      </w:r>
    </w:p>
    <w:p w14:paraId="65C8B3BD" w14:textId="77777777" w:rsidR="00FC4E89" w:rsidRPr="00FC4E89" w:rsidRDefault="00FC4E89" w:rsidP="00FC4E89">
      <w:pPr>
        <w:contextualSpacing/>
        <w:jc w:val="both"/>
        <w:rPr>
          <w:rFonts w:ascii="Times New Roman" w:eastAsia="Calibri" w:hAnsi="Times New Roman" w:cs="Times New Roman"/>
          <w:sz w:val="24"/>
          <w:szCs w:val="24"/>
          <w:lang w:val="es-MX"/>
        </w:rPr>
      </w:pPr>
    </w:p>
    <w:p w14:paraId="5FA44A47" w14:textId="77777777" w:rsidR="00FC4E89" w:rsidRPr="00FC4E89" w:rsidRDefault="00FC4E89" w:rsidP="00FC4E89">
      <w:pPr>
        <w:numPr>
          <w:ilvl w:val="1"/>
          <w:numId w:val="6"/>
        </w:numPr>
        <w:contextualSpacing/>
        <w:jc w:val="both"/>
        <w:rPr>
          <w:rFonts w:ascii="Times New Roman" w:eastAsia="Calibri" w:hAnsi="Times New Roman" w:cs="Times New Roman"/>
          <w:b/>
          <w:sz w:val="24"/>
          <w:szCs w:val="24"/>
          <w:lang w:val="es-MX"/>
        </w:rPr>
      </w:pPr>
      <w:r w:rsidRPr="00FC4E89">
        <w:rPr>
          <w:rFonts w:ascii="Times New Roman" w:eastAsia="Calibri" w:hAnsi="Times New Roman" w:cs="Times New Roman"/>
          <w:b/>
          <w:sz w:val="24"/>
          <w:szCs w:val="24"/>
          <w:lang w:val="es-MX"/>
        </w:rPr>
        <w:t>Interconexión de Fracturas inducidas y Fallas Naturales:</w:t>
      </w:r>
      <w:r w:rsidRPr="00FC4E89">
        <w:rPr>
          <w:rFonts w:ascii="Times New Roman" w:eastAsia="Calibri" w:hAnsi="Times New Roman" w:cs="Times New Roman"/>
          <w:sz w:val="24"/>
          <w:szCs w:val="24"/>
          <w:lang w:val="es-MX"/>
        </w:rPr>
        <w:t xml:space="preserve">  el fracturamiento hidráulico en rocas generadoras a través de pozos horizontales se lleva a cabo por etapas, siendo la primera la más alejada en el fondo o talón del pozo. Tras fracturar </w:t>
      </w:r>
      <w:r w:rsidRPr="00FC4E89">
        <w:rPr>
          <w:rFonts w:ascii="Times New Roman" w:eastAsia="Calibri" w:hAnsi="Times New Roman" w:cs="Times New Roman"/>
          <w:sz w:val="24"/>
          <w:szCs w:val="24"/>
          <w:lang w:val="es-MX"/>
        </w:rPr>
        <w:lastRenderedPageBreak/>
        <w:t>cada etapa, estas se aíslan con un empaque, que cumple la función de mantener la presión aplicada desde la superficie, confinada al siguiente tramo que será fracturado.</w:t>
      </w:r>
    </w:p>
    <w:p w14:paraId="3CC26B52" w14:textId="77777777" w:rsidR="00FC4E89" w:rsidRPr="00FC4E89" w:rsidRDefault="00FC4E89" w:rsidP="00FC4E89">
      <w:pPr>
        <w:contextualSpacing/>
        <w:jc w:val="both"/>
        <w:rPr>
          <w:rFonts w:ascii="Times New Roman" w:eastAsia="Calibri" w:hAnsi="Times New Roman" w:cs="Times New Roman"/>
          <w:b/>
          <w:sz w:val="24"/>
          <w:szCs w:val="24"/>
          <w:lang w:val="es-MX"/>
        </w:rPr>
      </w:pPr>
    </w:p>
    <w:p w14:paraId="099C075A" w14:textId="77777777" w:rsidR="00FC4E89" w:rsidRPr="00FC4E89" w:rsidRDefault="00FC4E89" w:rsidP="00FC4E89">
      <w:pPr>
        <w:contextualSpacing/>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 xml:space="preserve">El proceso de fracturamiento suele durar varios días, y su éxito radica en que la presión aplicada tenga un perfil constante en todos los puntos, y una leve caída en el frente de las fracturas; esto requiere un aumento de presión lento y sostenido, controlando el ritmo de bombeo y la inyección de fluido hacia la formación. Las fracturas inducidas que se logran </w:t>
      </w:r>
      <w:proofErr w:type="gramStart"/>
      <w:r w:rsidRPr="00FC4E89">
        <w:rPr>
          <w:rFonts w:ascii="Times New Roman" w:eastAsia="Calibri" w:hAnsi="Times New Roman" w:cs="Times New Roman"/>
          <w:sz w:val="24"/>
          <w:szCs w:val="24"/>
          <w:lang w:val="es-MX"/>
        </w:rPr>
        <w:t>depende</w:t>
      </w:r>
      <w:proofErr w:type="gramEnd"/>
      <w:r w:rsidRPr="00FC4E89">
        <w:rPr>
          <w:rFonts w:ascii="Times New Roman" w:eastAsia="Calibri" w:hAnsi="Times New Roman" w:cs="Times New Roman"/>
          <w:sz w:val="24"/>
          <w:szCs w:val="24"/>
          <w:lang w:val="es-MX"/>
        </w:rPr>
        <w:t xml:space="preserve"> del diseño, la mecánica de rocas, las presiones de inyección y el volumen inyectado. Sin embargo, en las Rocas Generadoras de lutita, a más de 4000 pies de profundidad, lo normal es provocar fracturas entre 40 y 80 metros verticalmente, y 250 metros horizontalmente. </w:t>
      </w:r>
    </w:p>
    <w:p w14:paraId="41D2C403" w14:textId="77777777" w:rsidR="00FC4E89" w:rsidRPr="00FC4E89" w:rsidRDefault="00FC4E89" w:rsidP="00FC4E89">
      <w:pPr>
        <w:contextualSpacing/>
        <w:jc w:val="both"/>
        <w:rPr>
          <w:rFonts w:ascii="Times New Roman" w:eastAsia="Calibri" w:hAnsi="Times New Roman" w:cs="Times New Roman"/>
          <w:sz w:val="24"/>
          <w:szCs w:val="24"/>
          <w:lang w:val="es-MX"/>
        </w:rPr>
      </w:pPr>
    </w:p>
    <w:p w14:paraId="4DB68965" w14:textId="77777777" w:rsidR="00FC4E89" w:rsidRPr="00FC4E89" w:rsidRDefault="00FC4E89" w:rsidP="00FC4E89">
      <w:pPr>
        <w:contextualSpacing/>
        <w:rPr>
          <w:rFonts w:ascii="Times New Roman" w:eastAsia="Calibri" w:hAnsi="Times New Roman" w:cs="Times New Roman"/>
          <w:b/>
          <w:sz w:val="24"/>
          <w:szCs w:val="24"/>
          <w:lang w:val="es-MX"/>
        </w:rPr>
      </w:pPr>
      <w:r w:rsidRPr="00FC4E89">
        <w:rPr>
          <w:rFonts w:ascii="Times New Roman" w:eastAsia="Calibri" w:hAnsi="Times New Roman" w:cs="Times New Roman"/>
          <w:b/>
          <w:noProof/>
          <w:sz w:val="24"/>
          <w:szCs w:val="24"/>
          <w:lang w:val="es-MX"/>
        </w:rPr>
        <w:drawing>
          <wp:inline distT="0" distB="0" distL="0" distR="0" wp14:anchorId="56A1A29E" wp14:editId="11E869C8">
            <wp:extent cx="2417044" cy="1746885"/>
            <wp:effectExtent l="0" t="0" r="2540" b="571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063" t="14515" r="7294" b="4491"/>
                    <a:stretch/>
                  </pic:blipFill>
                  <pic:spPr bwMode="auto">
                    <a:xfrm>
                      <a:off x="0" y="0"/>
                      <a:ext cx="2451833" cy="1772029"/>
                    </a:xfrm>
                    <a:prstGeom prst="rect">
                      <a:avLst/>
                    </a:prstGeom>
                    <a:ln>
                      <a:noFill/>
                    </a:ln>
                    <a:extLst>
                      <a:ext uri="{53640926-AAD7-44D8-BBD7-CCE9431645EC}">
                        <a14:shadowObscured xmlns:a14="http://schemas.microsoft.com/office/drawing/2010/main"/>
                      </a:ext>
                    </a:extLst>
                  </pic:spPr>
                </pic:pic>
              </a:graphicData>
            </a:graphic>
          </wp:inline>
        </w:drawing>
      </w:r>
      <w:r w:rsidRPr="00FC4E89">
        <w:rPr>
          <w:rFonts w:ascii="Calibri" w:eastAsia="Calibri" w:hAnsi="Calibri" w:cs="Times New Roman"/>
          <w:noProof/>
          <w:lang w:val="en-US"/>
        </w:rPr>
        <w:drawing>
          <wp:inline distT="0" distB="0" distL="0" distR="0" wp14:anchorId="1C2EE417" wp14:editId="4DF1164E">
            <wp:extent cx="2562650" cy="1742440"/>
            <wp:effectExtent l="0" t="0" r="952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2247" t="3139" r="12811" b="8262"/>
                    <a:stretch/>
                  </pic:blipFill>
                  <pic:spPr bwMode="auto">
                    <a:xfrm>
                      <a:off x="0" y="0"/>
                      <a:ext cx="2585984" cy="1758306"/>
                    </a:xfrm>
                    <a:prstGeom prst="rect">
                      <a:avLst/>
                    </a:prstGeom>
                    <a:ln>
                      <a:noFill/>
                    </a:ln>
                    <a:extLst>
                      <a:ext uri="{53640926-AAD7-44D8-BBD7-CCE9431645EC}">
                        <a14:shadowObscured xmlns:a14="http://schemas.microsoft.com/office/drawing/2010/main"/>
                      </a:ext>
                    </a:extLst>
                  </pic:spPr>
                </pic:pic>
              </a:graphicData>
            </a:graphic>
          </wp:inline>
        </w:drawing>
      </w:r>
    </w:p>
    <w:p w14:paraId="6EC1CD84" w14:textId="77777777" w:rsidR="00FC4E89" w:rsidRPr="00FC4E89" w:rsidRDefault="00FC4E89" w:rsidP="00FC4E89">
      <w:pPr>
        <w:contextualSpacing/>
        <w:rPr>
          <w:rFonts w:ascii="Times New Roman" w:eastAsia="Calibri" w:hAnsi="Times New Roman" w:cs="Times New Roman"/>
          <w:b/>
          <w:sz w:val="24"/>
          <w:szCs w:val="24"/>
          <w:lang w:val="es-MX"/>
        </w:rPr>
      </w:pPr>
    </w:p>
    <w:p w14:paraId="1BF63B63" w14:textId="77777777" w:rsidR="00FC4E89" w:rsidRPr="00FC4E89" w:rsidRDefault="00FC4E89" w:rsidP="00FC4E89">
      <w:pPr>
        <w:contextualSpacing/>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En investigaciones recientes, algunas de ellas mediante simuladores robustos, sea encontrado que al fracturar lutitas se presentan planos de debilidad que afectan la propagación de la fractura hidráulica inducida. Estos planos son fallas naturales de pequeña escala dentro de la formación (micro fallas), que interactúan con las fracturas inducidas, desencadenando una red de fracturas irregulares que se siguen propagando después del fracturamiento, debido a la fatiga por poro elasticidad, hasta alcanzar fallas naturales de mayor tamaño, por donde pueden migrar o vienen migrando los fluidos naturales de la roca generadora de lutita.</w:t>
      </w:r>
    </w:p>
    <w:p w14:paraId="5051174F" w14:textId="77777777" w:rsidR="00FC4E89" w:rsidRPr="00FC4E89" w:rsidRDefault="00FC4E89" w:rsidP="00FC4E89">
      <w:pPr>
        <w:contextualSpacing/>
        <w:rPr>
          <w:rFonts w:ascii="Times New Roman" w:eastAsia="Calibri" w:hAnsi="Times New Roman" w:cs="Times New Roman"/>
          <w:b/>
          <w:sz w:val="24"/>
          <w:szCs w:val="24"/>
          <w:lang w:val="es-MX"/>
        </w:rPr>
      </w:pPr>
    </w:p>
    <w:p w14:paraId="51F82371" w14:textId="77777777" w:rsidR="00FC4E89" w:rsidRPr="00FC4E89" w:rsidRDefault="00FC4E89" w:rsidP="00FC4E89">
      <w:pPr>
        <w:contextualSpacing/>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 xml:space="preserve">El riesgo inminente de una zona naturalmente fallada, como el Valle Medio del Magdalena en Colombia, por encontrase en el vértice de tres placas tectónicamente activas, es que el </w:t>
      </w:r>
      <w:r w:rsidRPr="00FC4E89">
        <w:rPr>
          <w:rFonts w:ascii="Times New Roman" w:eastAsia="Calibri" w:hAnsi="Times New Roman" w:cs="Times New Roman"/>
          <w:sz w:val="24"/>
          <w:szCs w:val="24"/>
          <w:lang w:val="es-MX"/>
        </w:rPr>
        <w:lastRenderedPageBreak/>
        <w:t>fracturamiento hidráulico multietapa a través de pozos horizontales en las rocas generadoras del cretáceo, desencadene con el tiempo esa red de fracturas que las interconecte con las fallas naturales de cizalla que abundan en la zona.</w:t>
      </w:r>
    </w:p>
    <w:p w14:paraId="3774758D" w14:textId="77777777" w:rsidR="00FC4E89" w:rsidRPr="00FC4E89" w:rsidRDefault="00FC4E89" w:rsidP="00FC4E89">
      <w:pPr>
        <w:contextualSpacing/>
        <w:jc w:val="center"/>
        <w:rPr>
          <w:rFonts w:ascii="Times New Roman" w:eastAsia="Calibri" w:hAnsi="Times New Roman" w:cs="Times New Roman"/>
          <w:b/>
          <w:sz w:val="24"/>
          <w:szCs w:val="24"/>
          <w:lang w:val="es-MX"/>
        </w:rPr>
      </w:pPr>
    </w:p>
    <w:p w14:paraId="09CE715A" w14:textId="77777777" w:rsidR="00FC4E89" w:rsidRPr="00FC4E89" w:rsidRDefault="00FC4E89" w:rsidP="00FC4E89">
      <w:pPr>
        <w:contextualSpacing/>
        <w:jc w:val="center"/>
        <w:rPr>
          <w:rFonts w:ascii="Times New Roman" w:eastAsia="Calibri" w:hAnsi="Times New Roman" w:cs="Times New Roman"/>
          <w:b/>
          <w:sz w:val="24"/>
          <w:szCs w:val="24"/>
          <w:lang w:val="es-MX"/>
        </w:rPr>
      </w:pPr>
      <w:r w:rsidRPr="00FC4E89">
        <w:rPr>
          <w:rFonts w:ascii="Times New Roman" w:eastAsia="Calibri" w:hAnsi="Times New Roman" w:cs="Times New Roman"/>
          <w:b/>
          <w:noProof/>
          <w:sz w:val="24"/>
          <w:szCs w:val="24"/>
          <w:lang w:val="es-MX"/>
        </w:rPr>
        <w:drawing>
          <wp:inline distT="0" distB="0" distL="0" distR="0" wp14:anchorId="34F180E8" wp14:editId="2FEB2491">
            <wp:extent cx="3942986" cy="2957241"/>
            <wp:effectExtent l="0" t="0" r="63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966566" cy="2974926"/>
                    </a:xfrm>
                    <a:prstGeom prst="rect">
                      <a:avLst/>
                    </a:prstGeom>
                  </pic:spPr>
                </pic:pic>
              </a:graphicData>
            </a:graphic>
          </wp:inline>
        </w:drawing>
      </w:r>
    </w:p>
    <w:p w14:paraId="4FDF35FA" w14:textId="77777777" w:rsidR="00FC4E89" w:rsidRPr="00FC4E89" w:rsidRDefault="00FC4E89" w:rsidP="00FC4E89">
      <w:pPr>
        <w:contextualSpacing/>
        <w:jc w:val="center"/>
        <w:rPr>
          <w:rFonts w:ascii="Times New Roman" w:eastAsia="Calibri" w:hAnsi="Times New Roman" w:cs="Times New Roman"/>
          <w:b/>
          <w:sz w:val="24"/>
          <w:szCs w:val="24"/>
          <w:lang w:val="es-MX"/>
        </w:rPr>
      </w:pPr>
    </w:p>
    <w:p w14:paraId="41269F12" w14:textId="77777777" w:rsidR="00FC4E89" w:rsidRPr="00FC4E89" w:rsidRDefault="00FC4E89" w:rsidP="00FC4E89">
      <w:pPr>
        <w:contextualSpacing/>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Dicha interconexión generaría una migración masiva de fluidos de hidrocarburos (petróleo y gas), a través de las fallas naturales inversas y de cizalla, provocando tres posibles fenómenos: recarga de los yacimientos convencionales supra yacentes o campos maduros, a través de las rutas de migración natural por donde los hidrocarburos han migrado por millones de años; migración de los hidrocarburos a superficie, aumentando el flujo de los manaderos o rezumaderos naturales, y la posible aparición de nuevos manaderos; y una migración a través de las fallas de cizalla inferidas o ciegas que abundan en la zona, como se puede observar en la siguiente figura.</w:t>
      </w:r>
    </w:p>
    <w:p w14:paraId="01B15AEC" w14:textId="77777777" w:rsidR="00FC4E89" w:rsidRPr="00FC4E89" w:rsidRDefault="00FC4E89" w:rsidP="00FC4E89">
      <w:pPr>
        <w:contextualSpacing/>
        <w:jc w:val="center"/>
        <w:rPr>
          <w:rFonts w:ascii="Times New Roman" w:eastAsia="Calibri" w:hAnsi="Times New Roman" w:cs="Times New Roman"/>
          <w:b/>
          <w:sz w:val="24"/>
          <w:szCs w:val="24"/>
          <w:lang w:val="es-MX"/>
        </w:rPr>
      </w:pPr>
      <w:r w:rsidRPr="00FC4E89">
        <w:rPr>
          <w:rFonts w:ascii="Times New Roman" w:eastAsia="Calibri" w:hAnsi="Times New Roman" w:cs="Times New Roman"/>
          <w:b/>
          <w:noProof/>
          <w:sz w:val="24"/>
          <w:szCs w:val="24"/>
          <w:lang w:val="es-MX"/>
        </w:rPr>
        <w:lastRenderedPageBreak/>
        <w:drawing>
          <wp:inline distT="0" distB="0" distL="0" distR="0" wp14:anchorId="6AE691CF" wp14:editId="2A74A8D0">
            <wp:extent cx="3418808" cy="22734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b="11338"/>
                    <a:stretch/>
                  </pic:blipFill>
                  <pic:spPr bwMode="auto">
                    <a:xfrm>
                      <a:off x="0" y="0"/>
                      <a:ext cx="3463264" cy="2302962"/>
                    </a:xfrm>
                    <a:prstGeom prst="rect">
                      <a:avLst/>
                    </a:prstGeom>
                    <a:ln>
                      <a:noFill/>
                    </a:ln>
                    <a:extLst>
                      <a:ext uri="{53640926-AAD7-44D8-BBD7-CCE9431645EC}">
                        <a14:shadowObscured xmlns:a14="http://schemas.microsoft.com/office/drawing/2010/main"/>
                      </a:ext>
                    </a:extLst>
                  </pic:spPr>
                </pic:pic>
              </a:graphicData>
            </a:graphic>
          </wp:inline>
        </w:drawing>
      </w:r>
    </w:p>
    <w:p w14:paraId="0BF9B9FF" w14:textId="77777777" w:rsidR="00FC4E89" w:rsidRPr="00FC4E89" w:rsidRDefault="00FC4E89" w:rsidP="00FC4E89">
      <w:pPr>
        <w:contextualSpacing/>
        <w:jc w:val="center"/>
        <w:rPr>
          <w:rFonts w:ascii="Times New Roman" w:eastAsia="Calibri" w:hAnsi="Times New Roman" w:cs="Times New Roman"/>
          <w:b/>
          <w:sz w:val="24"/>
          <w:szCs w:val="24"/>
          <w:lang w:val="es-MX"/>
        </w:rPr>
      </w:pPr>
    </w:p>
    <w:p w14:paraId="06613034" w14:textId="77777777" w:rsidR="00FC4E89" w:rsidRPr="00FC4E89" w:rsidRDefault="00FC4E89" w:rsidP="00FC4E89">
      <w:pPr>
        <w:contextualSpacing/>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 xml:space="preserve">De acuerdo a los estudios e investigaciones, se ha comprobado que la perforación y el fracturamiento hidráulico cerca a fallas inversas, por los componentes principales de los esfuerzos, el plano de propagación de la fractura </w:t>
      </w:r>
      <w:proofErr w:type="gramStart"/>
      <w:r w:rsidRPr="00FC4E89">
        <w:rPr>
          <w:rFonts w:ascii="Times New Roman" w:eastAsia="Calibri" w:hAnsi="Times New Roman" w:cs="Times New Roman"/>
          <w:sz w:val="24"/>
          <w:szCs w:val="24"/>
          <w:lang w:val="es-MX"/>
        </w:rPr>
        <w:t>inducida,</w:t>
      </w:r>
      <w:proofErr w:type="gramEnd"/>
      <w:r w:rsidRPr="00FC4E89">
        <w:rPr>
          <w:rFonts w:ascii="Times New Roman" w:eastAsia="Calibri" w:hAnsi="Times New Roman" w:cs="Times New Roman"/>
          <w:sz w:val="24"/>
          <w:szCs w:val="24"/>
          <w:lang w:val="es-MX"/>
        </w:rPr>
        <w:t xml:space="preserve"> sea horizontal y perpendicular a las fallas, aumentando la probabilidad de que se conecten. Igualmente, cuando se perfora y fractura hidráulicamente, cerca de una montaña (piedemonte), la fractura inducida tiene a crecer verticalmente hacia la montaña, donde abundan las fallas naturales. En la siguiente figura se describe el fenómeno.</w:t>
      </w:r>
    </w:p>
    <w:p w14:paraId="5982E6B7" w14:textId="77777777" w:rsidR="00FC4E89" w:rsidRPr="00FC4E89" w:rsidRDefault="00FC4E89" w:rsidP="00FC4E89">
      <w:pPr>
        <w:contextualSpacing/>
        <w:jc w:val="center"/>
        <w:rPr>
          <w:rFonts w:ascii="Times New Roman" w:eastAsia="Calibri" w:hAnsi="Times New Roman" w:cs="Times New Roman"/>
          <w:b/>
          <w:sz w:val="24"/>
          <w:szCs w:val="24"/>
          <w:lang w:val="es-MX"/>
        </w:rPr>
      </w:pPr>
    </w:p>
    <w:p w14:paraId="0DD9CF08" w14:textId="77777777" w:rsidR="00FC4E89" w:rsidRPr="00FC4E89" w:rsidRDefault="00FC4E89" w:rsidP="00FC4E89">
      <w:pPr>
        <w:contextualSpacing/>
        <w:jc w:val="center"/>
        <w:rPr>
          <w:rFonts w:ascii="Times New Roman" w:eastAsia="Calibri" w:hAnsi="Times New Roman" w:cs="Times New Roman"/>
          <w:b/>
          <w:sz w:val="24"/>
          <w:szCs w:val="24"/>
          <w:lang w:val="es-MX"/>
        </w:rPr>
      </w:pPr>
      <w:r w:rsidRPr="00FC4E89">
        <w:rPr>
          <w:rFonts w:ascii="Times New Roman" w:eastAsia="Calibri" w:hAnsi="Times New Roman" w:cs="Times New Roman"/>
          <w:b/>
          <w:noProof/>
          <w:sz w:val="24"/>
          <w:szCs w:val="24"/>
          <w:lang w:val="es-MX"/>
        </w:rPr>
        <w:lastRenderedPageBreak/>
        <w:drawing>
          <wp:inline distT="0" distB="0" distL="0" distR="0" wp14:anchorId="587CFBB8" wp14:editId="4DD1989C">
            <wp:extent cx="4571365" cy="2661661"/>
            <wp:effectExtent l="0" t="0" r="635" b="571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11211" b="11157"/>
                    <a:stretch/>
                  </pic:blipFill>
                  <pic:spPr bwMode="auto">
                    <a:xfrm>
                      <a:off x="0" y="0"/>
                      <a:ext cx="4572638" cy="2662402"/>
                    </a:xfrm>
                    <a:prstGeom prst="rect">
                      <a:avLst/>
                    </a:prstGeom>
                    <a:ln>
                      <a:noFill/>
                    </a:ln>
                    <a:extLst>
                      <a:ext uri="{53640926-AAD7-44D8-BBD7-CCE9431645EC}">
                        <a14:shadowObscured xmlns:a14="http://schemas.microsoft.com/office/drawing/2010/main"/>
                      </a:ext>
                    </a:extLst>
                  </pic:spPr>
                </pic:pic>
              </a:graphicData>
            </a:graphic>
          </wp:inline>
        </w:drawing>
      </w:r>
    </w:p>
    <w:p w14:paraId="77E81C9A" w14:textId="77777777" w:rsidR="00FC4E89" w:rsidRPr="00FC4E89" w:rsidRDefault="00FC4E89" w:rsidP="00FC4E89">
      <w:pPr>
        <w:contextualSpacing/>
        <w:jc w:val="center"/>
        <w:rPr>
          <w:rFonts w:ascii="Times New Roman" w:eastAsia="Calibri" w:hAnsi="Times New Roman" w:cs="Times New Roman"/>
          <w:b/>
          <w:sz w:val="24"/>
          <w:szCs w:val="24"/>
          <w:lang w:val="es-MX"/>
        </w:rPr>
      </w:pPr>
    </w:p>
    <w:p w14:paraId="1E9E30B7" w14:textId="77777777" w:rsidR="00FC4E89" w:rsidRPr="00FC4E89" w:rsidRDefault="00FC4E89" w:rsidP="00FC4E89">
      <w:pPr>
        <w:contextualSpacing/>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 xml:space="preserve">La migración vertical de fluidos a alta presión (presión de poro), desde las rocas generadoras fracturadas hidráulicamente, a través de fallas naturales de cizalla inferidas o ciegas, interconectadas, provocará con el tiempo (por el efecto de “vasos comunicantes”), una acumulación de fluidos en la base de la barrera impermeable hasta </w:t>
      </w:r>
      <w:proofErr w:type="spellStart"/>
      <w:r w:rsidRPr="00FC4E89">
        <w:rPr>
          <w:rFonts w:ascii="Times New Roman" w:eastAsia="Calibri" w:hAnsi="Times New Roman" w:cs="Times New Roman"/>
          <w:sz w:val="24"/>
          <w:szCs w:val="24"/>
          <w:lang w:val="es-MX"/>
        </w:rPr>
        <w:t>donde</w:t>
      </w:r>
      <w:proofErr w:type="spellEnd"/>
      <w:r w:rsidRPr="00FC4E89">
        <w:rPr>
          <w:rFonts w:ascii="Times New Roman" w:eastAsia="Calibri" w:hAnsi="Times New Roman" w:cs="Times New Roman"/>
          <w:sz w:val="24"/>
          <w:szCs w:val="24"/>
          <w:lang w:val="es-MX"/>
        </w:rPr>
        <w:t xml:space="preserve"> llega la falla natural. Esta acumulación generará a su vez un aumento de presión en dicho punto. Cuando la presión hidrostática acumulada, supere la presión </w:t>
      </w:r>
      <w:proofErr w:type="spellStart"/>
      <w:r w:rsidRPr="00FC4E89">
        <w:rPr>
          <w:rFonts w:ascii="Times New Roman" w:eastAsia="Calibri" w:hAnsi="Times New Roman" w:cs="Times New Roman"/>
          <w:sz w:val="24"/>
          <w:szCs w:val="24"/>
          <w:lang w:val="es-MX"/>
        </w:rPr>
        <w:t>litostática</w:t>
      </w:r>
      <w:proofErr w:type="spellEnd"/>
      <w:r w:rsidRPr="00FC4E89">
        <w:rPr>
          <w:rFonts w:ascii="Times New Roman" w:eastAsia="Calibri" w:hAnsi="Times New Roman" w:cs="Times New Roman"/>
          <w:sz w:val="24"/>
          <w:szCs w:val="24"/>
          <w:lang w:val="es-MX"/>
        </w:rPr>
        <w:t xml:space="preserve"> de la barrera impermeable, se producirá la rotura de la barrera o sello, activándose la falla natural inferida, generando sismicidad y prolongación de la falla a superficie. La figura siguiente describe el fenómeno.</w:t>
      </w:r>
    </w:p>
    <w:p w14:paraId="35BF9E32" w14:textId="77777777" w:rsidR="00FC4E89" w:rsidRPr="00FC4E89" w:rsidRDefault="00FC4E89" w:rsidP="00FC4E89">
      <w:pPr>
        <w:contextualSpacing/>
        <w:jc w:val="center"/>
        <w:rPr>
          <w:rFonts w:ascii="Times New Roman" w:eastAsia="Calibri" w:hAnsi="Times New Roman" w:cs="Times New Roman"/>
          <w:b/>
          <w:sz w:val="24"/>
          <w:szCs w:val="24"/>
          <w:lang w:val="es-MX"/>
        </w:rPr>
      </w:pPr>
    </w:p>
    <w:p w14:paraId="1324A31B" w14:textId="77777777" w:rsidR="00FC4E89" w:rsidRPr="00FC4E89" w:rsidRDefault="00FC4E89" w:rsidP="00FC4E89">
      <w:pPr>
        <w:contextualSpacing/>
        <w:jc w:val="center"/>
        <w:rPr>
          <w:rFonts w:ascii="Times New Roman" w:eastAsia="Calibri" w:hAnsi="Times New Roman" w:cs="Times New Roman"/>
          <w:b/>
          <w:sz w:val="24"/>
          <w:szCs w:val="24"/>
          <w:lang w:val="es-MX"/>
        </w:rPr>
      </w:pPr>
      <w:r w:rsidRPr="00FC4E89">
        <w:rPr>
          <w:rFonts w:ascii="Times New Roman" w:eastAsia="Calibri" w:hAnsi="Times New Roman" w:cs="Times New Roman"/>
          <w:b/>
          <w:noProof/>
          <w:sz w:val="24"/>
          <w:szCs w:val="24"/>
          <w:lang w:val="es-MX"/>
        </w:rPr>
        <w:lastRenderedPageBreak/>
        <w:drawing>
          <wp:inline distT="0" distB="0" distL="0" distR="0" wp14:anchorId="7CD87F8C" wp14:editId="18A206C3">
            <wp:extent cx="1967518" cy="2378849"/>
            <wp:effectExtent l="0" t="0" r="0" b="254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6980" t="16985" r="37940" b="13533"/>
                    <a:stretch/>
                  </pic:blipFill>
                  <pic:spPr bwMode="auto">
                    <a:xfrm>
                      <a:off x="0" y="0"/>
                      <a:ext cx="1977992" cy="2391513"/>
                    </a:xfrm>
                    <a:prstGeom prst="rect">
                      <a:avLst/>
                    </a:prstGeom>
                    <a:ln>
                      <a:noFill/>
                    </a:ln>
                    <a:extLst>
                      <a:ext uri="{53640926-AAD7-44D8-BBD7-CCE9431645EC}">
                        <a14:shadowObscured xmlns:a14="http://schemas.microsoft.com/office/drawing/2010/main"/>
                      </a:ext>
                    </a:extLst>
                  </pic:spPr>
                </pic:pic>
              </a:graphicData>
            </a:graphic>
          </wp:inline>
        </w:drawing>
      </w:r>
    </w:p>
    <w:p w14:paraId="7F920C76" w14:textId="77777777" w:rsidR="00FC4E89" w:rsidRPr="00FC4E89" w:rsidRDefault="00FC4E89" w:rsidP="00FC4E89">
      <w:pPr>
        <w:jc w:val="both"/>
        <w:rPr>
          <w:rFonts w:ascii="Calibri" w:eastAsia="Calibri" w:hAnsi="Calibri" w:cs="Times New Roman"/>
          <w:lang w:val="es-MX"/>
        </w:rPr>
      </w:pPr>
      <w:r w:rsidRPr="00FC4E89">
        <w:rPr>
          <w:rFonts w:ascii="Times New Roman" w:eastAsia="Calibri" w:hAnsi="Times New Roman" w:cs="Times New Roman"/>
          <w:sz w:val="24"/>
          <w:szCs w:val="24"/>
          <w:lang w:val="es-MX"/>
        </w:rPr>
        <w:t xml:space="preserve">Los riesgos ambientales que genera la recarga de los yacimientos convencionales supra yacentes de campos maduros, es la posible explosión por sobre presión de pozos convencionales mal abandonados o por abandonar, similar a lo ocurrido con el pozo Lizama 158. En Estados Unidos el fenómeno se conoce como golpe de pozos. Un informe de miembros de la Oklahoma Energy </w:t>
      </w:r>
      <w:proofErr w:type="spellStart"/>
      <w:r w:rsidRPr="00FC4E89">
        <w:rPr>
          <w:rFonts w:ascii="Times New Roman" w:eastAsia="Calibri" w:hAnsi="Times New Roman" w:cs="Times New Roman"/>
          <w:sz w:val="24"/>
          <w:szCs w:val="24"/>
          <w:lang w:val="es-MX"/>
        </w:rPr>
        <w:t>Producers</w:t>
      </w:r>
      <w:proofErr w:type="spellEnd"/>
      <w:r w:rsidRPr="00FC4E89">
        <w:rPr>
          <w:rFonts w:ascii="Times New Roman" w:eastAsia="Calibri" w:hAnsi="Times New Roman" w:cs="Times New Roman"/>
          <w:sz w:val="24"/>
          <w:szCs w:val="24"/>
          <w:lang w:val="es-MX"/>
        </w:rPr>
        <w:t xml:space="preserve"> Alliance sugiere que la perforación horizontal con fracturamiento hidráulico multietapa han dañado al menos 450 pozos verticales más antiguos, solo en el condado de </w:t>
      </w:r>
      <w:proofErr w:type="spellStart"/>
      <w:r w:rsidRPr="00FC4E89">
        <w:rPr>
          <w:rFonts w:ascii="Times New Roman" w:eastAsia="Calibri" w:hAnsi="Times New Roman" w:cs="Times New Roman"/>
          <w:sz w:val="24"/>
          <w:szCs w:val="24"/>
          <w:lang w:val="es-MX"/>
        </w:rPr>
        <w:t>Kingfisher</w:t>
      </w:r>
      <w:proofErr w:type="spellEnd"/>
      <w:r w:rsidRPr="00FC4E89">
        <w:rPr>
          <w:rFonts w:ascii="Times New Roman" w:eastAsia="Calibri" w:hAnsi="Times New Roman" w:cs="Times New Roman"/>
          <w:sz w:val="24"/>
          <w:szCs w:val="24"/>
          <w:lang w:val="es-MX"/>
        </w:rPr>
        <w:t>. (</w:t>
      </w:r>
      <w:hyperlink r:id="rId42" w:history="1">
        <w:r w:rsidRPr="00FC4E89">
          <w:rPr>
            <w:rFonts w:ascii="Calibri" w:eastAsia="Calibri" w:hAnsi="Calibri" w:cs="Times New Roman"/>
            <w:color w:val="0563C1"/>
            <w:lang w:val="es-MX"/>
          </w:rPr>
          <w:t>https://actualidad.rt.com/actualidad/396363-estados-unidos-fracking-ecologia-petroleo</w:t>
        </w:r>
      </w:hyperlink>
      <w:r w:rsidRPr="00FC4E89">
        <w:rPr>
          <w:rFonts w:ascii="Calibri" w:eastAsia="Calibri" w:hAnsi="Calibri" w:cs="Times New Roman"/>
          <w:lang w:val="es-MX"/>
        </w:rPr>
        <w:t>).</w:t>
      </w:r>
    </w:p>
    <w:p w14:paraId="20F4F9EA" w14:textId="77777777" w:rsidR="00FC4E89" w:rsidRPr="00FC4E89" w:rsidRDefault="00FC4E89" w:rsidP="00FC4E89">
      <w:pPr>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 xml:space="preserve">El escape de gas metano por las fallas naturales que afloran a superficie (rezumaderos), generará un efecto de invernadero 85 veces más grave que lo producido por el CO2, provocando un </w:t>
      </w:r>
      <w:proofErr w:type="gramStart"/>
      <w:r w:rsidRPr="00FC4E89">
        <w:rPr>
          <w:rFonts w:ascii="Times New Roman" w:eastAsia="Calibri" w:hAnsi="Times New Roman" w:cs="Times New Roman"/>
          <w:sz w:val="24"/>
          <w:szCs w:val="24"/>
          <w:lang w:val="es-MX"/>
        </w:rPr>
        <w:t>micro clima</w:t>
      </w:r>
      <w:proofErr w:type="gramEnd"/>
      <w:r w:rsidRPr="00FC4E89">
        <w:rPr>
          <w:rFonts w:ascii="Times New Roman" w:eastAsia="Calibri" w:hAnsi="Times New Roman" w:cs="Times New Roman"/>
          <w:sz w:val="24"/>
          <w:szCs w:val="24"/>
          <w:lang w:val="es-MX"/>
        </w:rPr>
        <w:t xml:space="preserve"> en la cuenca del Magdalena Medio, con aumentos entre 10 y 15 grados centígrados superior a las temperaturas normales, según estadísticas de las zonas donde se ha hecho fracturamiento hidráulico multietapa en rocas generadoras a través de pozos horizontales. Este incremento del calentamiento </w:t>
      </w:r>
      <w:proofErr w:type="gramStart"/>
      <w:r w:rsidRPr="00FC4E89">
        <w:rPr>
          <w:rFonts w:ascii="Times New Roman" w:eastAsia="Calibri" w:hAnsi="Times New Roman" w:cs="Times New Roman"/>
          <w:sz w:val="24"/>
          <w:szCs w:val="24"/>
          <w:lang w:val="es-MX"/>
        </w:rPr>
        <w:t>global,</w:t>
      </w:r>
      <w:proofErr w:type="gramEnd"/>
      <w:r w:rsidRPr="00FC4E89">
        <w:rPr>
          <w:rFonts w:ascii="Times New Roman" w:eastAsia="Calibri" w:hAnsi="Times New Roman" w:cs="Times New Roman"/>
          <w:sz w:val="24"/>
          <w:szCs w:val="24"/>
          <w:lang w:val="es-MX"/>
        </w:rPr>
        <w:t xml:space="preserve"> provocará incendios forestales, daños sobre la salud de las personas y atentará contra la seguridad alimentaria del Magdalena Medio. El metano se eleva en las zonas calientes generando el efecto de invernadero, pero cuando es arrastrado por las corrientes de aire, llegará a los páramos, donde se precipitará al piso por la caída de temperatura, saturando la flora (bosques y frailejones). </w:t>
      </w:r>
      <w:r w:rsidRPr="00FC4E89">
        <w:rPr>
          <w:rFonts w:ascii="Times New Roman" w:eastAsia="Calibri" w:hAnsi="Times New Roman" w:cs="Times New Roman"/>
          <w:sz w:val="24"/>
          <w:szCs w:val="24"/>
          <w:lang w:val="es-MX"/>
        </w:rPr>
        <w:lastRenderedPageBreak/>
        <w:t>Esto conllevará al riesgo de incendios en los páramos, pues con una concentración de metano superior al 6%, una fuente de ignición, como un rayo, provocará el incendio.</w:t>
      </w:r>
    </w:p>
    <w:p w14:paraId="712440F9" w14:textId="77777777" w:rsidR="00FC4E89" w:rsidRPr="00FC4E89" w:rsidRDefault="00FC4E89" w:rsidP="00FC4E89">
      <w:pPr>
        <w:jc w:val="both"/>
        <w:rPr>
          <w:rFonts w:ascii="Calibri" w:eastAsia="Calibri" w:hAnsi="Calibri" w:cs="Times New Roman"/>
          <w:lang w:val="es-MX"/>
        </w:rPr>
      </w:pPr>
      <w:r w:rsidRPr="00FC4E89">
        <w:rPr>
          <w:rFonts w:ascii="Times New Roman" w:eastAsia="Calibri" w:hAnsi="Times New Roman" w:cs="Times New Roman"/>
          <w:sz w:val="24"/>
          <w:szCs w:val="24"/>
          <w:lang w:val="es-MX"/>
        </w:rPr>
        <w:t xml:space="preserve">El riesgo de la micro sismicidad inducida en el Magdalena Medio, ya sea por el rompimiento de los sellos de las fallas inferidas producto de la migración de fluidos por la conexión de fallas y fracturas, o por la inyección de los fluidos de fracturamiento al subsuelo, es la superposición de los micro sismos de la misma frecuencia y magnitud que ya existen de forma natural en la zona, por estar presente el segundo nido sísmico más activo del planeta, donde se presentan más de 60 sismos diarios de menos de 3.8 en la escala de Richter. Los </w:t>
      </w:r>
      <w:proofErr w:type="gramStart"/>
      <w:r w:rsidRPr="00FC4E89">
        <w:rPr>
          <w:rFonts w:ascii="Times New Roman" w:eastAsia="Calibri" w:hAnsi="Times New Roman" w:cs="Times New Roman"/>
          <w:sz w:val="24"/>
          <w:szCs w:val="24"/>
          <w:lang w:val="es-MX"/>
        </w:rPr>
        <w:t>micro sismos</w:t>
      </w:r>
      <w:proofErr w:type="gramEnd"/>
      <w:r w:rsidRPr="00FC4E89">
        <w:rPr>
          <w:rFonts w:ascii="Times New Roman" w:eastAsia="Calibri" w:hAnsi="Times New Roman" w:cs="Times New Roman"/>
          <w:sz w:val="24"/>
          <w:szCs w:val="24"/>
          <w:lang w:val="es-MX"/>
        </w:rPr>
        <w:t xml:space="preserve"> inducidos también serán de baja magnitud e intensidad, pero la superposición de ondas sísmicas de la misma frecuencia y magnitud generará ondas de doble magnitud, pues estas se suman. La física nos enseña que cuando dos ondas se encuentran en un punto o una región del espacio, el resultado es una nueva onda “constructiva” cuya perturbación es la suma de las perturbaciones de las dos ondas originales, o una nueva onda “</w:t>
      </w:r>
      <w:proofErr w:type="gramStart"/>
      <w:r w:rsidRPr="00FC4E89">
        <w:rPr>
          <w:rFonts w:ascii="Times New Roman" w:eastAsia="Calibri" w:hAnsi="Times New Roman" w:cs="Times New Roman"/>
          <w:sz w:val="24"/>
          <w:szCs w:val="24"/>
          <w:lang w:val="es-MX"/>
        </w:rPr>
        <w:t>destructiva”  resultante</w:t>
      </w:r>
      <w:proofErr w:type="gramEnd"/>
      <w:r w:rsidRPr="00FC4E89">
        <w:rPr>
          <w:rFonts w:ascii="Times New Roman" w:eastAsia="Calibri" w:hAnsi="Times New Roman" w:cs="Times New Roman"/>
          <w:sz w:val="24"/>
          <w:szCs w:val="24"/>
          <w:lang w:val="es-MX"/>
        </w:rPr>
        <w:t xml:space="preserve"> de menor amplitud que las ondas iniciales</w:t>
      </w:r>
      <w:r w:rsidRPr="00FC4E89">
        <w:rPr>
          <w:rFonts w:ascii="Calibri" w:eastAsia="Calibri" w:hAnsi="Calibri" w:cs="Times New Roman"/>
          <w:lang w:val="es-MX"/>
        </w:rPr>
        <w:t xml:space="preserve">. </w:t>
      </w:r>
    </w:p>
    <w:p w14:paraId="16DD8ECA" w14:textId="77777777" w:rsidR="00FC4E89" w:rsidRPr="00FC4E89" w:rsidRDefault="00FC4E89" w:rsidP="00FC4E89">
      <w:pPr>
        <w:jc w:val="both"/>
        <w:rPr>
          <w:rFonts w:ascii="Calibri" w:eastAsia="Calibri" w:hAnsi="Calibri" w:cs="Times New Roman"/>
          <w:lang w:val="es-MX"/>
        </w:rPr>
      </w:pPr>
      <w:r w:rsidRPr="00FC4E89">
        <w:rPr>
          <w:rFonts w:ascii="Calibri" w:eastAsia="Calibri" w:hAnsi="Calibri" w:cs="Times New Roman"/>
          <w:lang w:val="es-MX"/>
        </w:rPr>
        <w:t>(</w:t>
      </w:r>
      <w:hyperlink r:id="rId43" w:history="1">
        <w:r w:rsidRPr="00FC4E89">
          <w:rPr>
            <w:rFonts w:ascii="Calibri" w:eastAsia="Calibri" w:hAnsi="Calibri" w:cs="Times New Roman"/>
            <w:color w:val="0563C1"/>
            <w:u w:val="single"/>
            <w:lang w:val="es-MX"/>
          </w:rPr>
          <w:t>https://www.udc.es/dep/dtcon/estructuras/ETSAC/Investigacion/Terremotos/ondas_s%EDsmicas.htm</w:t>
        </w:r>
      </w:hyperlink>
      <w:r w:rsidRPr="00FC4E89">
        <w:rPr>
          <w:rFonts w:ascii="Calibri" w:eastAsia="Calibri" w:hAnsi="Calibri" w:cs="Times New Roman"/>
          <w:lang w:val="es-MX"/>
        </w:rPr>
        <w:t xml:space="preserve">). </w:t>
      </w:r>
    </w:p>
    <w:p w14:paraId="4CBB9873" w14:textId="77777777" w:rsidR="00FC4E89" w:rsidRPr="00FC4E89" w:rsidRDefault="00FC4E89" w:rsidP="00FC4E89">
      <w:pPr>
        <w:contextualSpacing/>
        <w:jc w:val="both"/>
        <w:rPr>
          <w:rFonts w:ascii="Times New Roman" w:eastAsia="Calibri" w:hAnsi="Times New Roman" w:cs="Times New Roman"/>
          <w:b/>
          <w:sz w:val="24"/>
          <w:szCs w:val="24"/>
          <w:lang w:val="es-MX"/>
        </w:rPr>
      </w:pPr>
    </w:p>
    <w:p w14:paraId="53D44F0A" w14:textId="77777777" w:rsidR="00FC4E89" w:rsidRPr="00FC4E89" w:rsidRDefault="00FC4E89" w:rsidP="00FC4E89">
      <w:pPr>
        <w:numPr>
          <w:ilvl w:val="0"/>
          <w:numId w:val="5"/>
        </w:numPr>
        <w:contextualSpacing/>
        <w:jc w:val="both"/>
        <w:rPr>
          <w:rFonts w:ascii="Times New Roman" w:eastAsia="Calibri" w:hAnsi="Times New Roman" w:cs="Times New Roman"/>
          <w:b/>
          <w:sz w:val="24"/>
          <w:szCs w:val="24"/>
          <w:lang w:val="es-MX"/>
        </w:rPr>
      </w:pPr>
      <w:r w:rsidRPr="00FC4E89">
        <w:rPr>
          <w:rFonts w:ascii="Times New Roman" w:eastAsia="Calibri" w:hAnsi="Times New Roman" w:cs="Times New Roman"/>
          <w:b/>
          <w:sz w:val="24"/>
          <w:szCs w:val="24"/>
          <w:lang w:val="es-MX"/>
        </w:rPr>
        <w:t>SEGURIDAD ENERGÉTICA NACIONAL Y AUTOSUFICIENCIA.</w:t>
      </w:r>
    </w:p>
    <w:p w14:paraId="12E9159E" w14:textId="77777777" w:rsidR="00FC4E89" w:rsidRPr="00FC4E89" w:rsidRDefault="00FC4E89" w:rsidP="00FC4E89">
      <w:pPr>
        <w:spacing w:after="0"/>
        <w:jc w:val="both"/>
        <w:rPr>
          <w:rFonts w:ascii="Times New Roman" w:eastAsia="Calibri" w:hAnsi="Times New Roman" w:cs="Times New Roman"/>
          <w:b/>
          <w:sz w:val="24"/>
          <w:szCs w:val="24"/>
          <w:lang w:val="es-MX"/>
        </w:rPr>
      </w:pPr>
    </w:p>
    <w:p w14:paraId="12EEFFDB" w14:textId="77777777" w:rsidR="00FC4E89" w:rsidRPr="00FC4E89" w:rsidRDefault="00FC4E89" w:rsidP="00FC4E89">
      <w:pPr>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 xml:space="preserve">El desastre ambiental no será compensado con los recursos que generará la exploración y explotación de Yacimientos No Convencionales Tipo Roca Generadora, a través de Pozos Horizontales con Fracturamiento Hidráulico Multietapa, puesto que la participación en la Renta Petrolera para el país, con el actual Contrato Concesionarios, es irrisorio y ridículo. La explotación de este tipo de yacimientos no convencionales tampoco va a garantizar la autosuficiencia energética o el suministro interno de combustibles como lo afirma el gobierno nacional y la industria petrolera. </w:t>
      </w:r>
    </w:p>
    <w:p w14:paraId="75DA2389" w14:textId="77777777" w:rsidR="00FC4E89" w:rsidRPr="00FC4E89" w:rsidRDefault="00FC4E89" w:rsidP="00FC4E89">
      <w:pPr>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 xml:space="preserve">¿Es verdad que solo nos queda petrolero convencional para solo 7 años y gas natural para 8? ¿es verdad que el negocio le dejará grandes recursos al fisco nacional? ¿Será que las regalías y los impuestos de la explotación de YNC de RG nos van a sacar de pobres? </w:t>
      </w:r>
    </w:p>
    <w:p w14:paraId="4C923AB3" w14:textId="77777777" w:rsidR="00FC4E89" w:rsidRPr="00FC4E89" w:rsidRDefault="00FC4E89" w:rsidP="00FC4E89">
      <w:pPr>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lastRenderedPageBreak/>
        <w:t>La realidad es que lo afirmado por el gobierno nacional son falacias, pues las cifras en lo que respecta a los derechos económicos que nos dejará los contratos de fracturamiento hidráulico multietapa a través de pozos horizontales desde plataforma multipozo de los yacimientos no convencionales tipo roca generadora, hablan por sí solas. Son cifras obtenidas de fuentes oficiales como la Agencia Nacional de Hidrocarburos y la Dirección Nacional de Impuestos Nacionales.</w:t>
      </w:r>
    </w:p>
    <w:p w14:paraId="20E2CFA7" w14:textId="77777777" w:rsidR="00FC4E89" w:rsidRPr="00FC4E89" w:rsidRDefault="00FC4E89" w:rsidP="00FC4E89">
      <w:pPr>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 xml:space="preserve">El actual contrato de exploración y producción que firma con la ANH es un modelo concesionario cuya filosofía es que el dueño del recurso es el inversionista. En los más de 500 contratos que la ANH ha firmado, en 220 de ellos, de adjudicación directa, la participación en la producción para la </w:t>
      </w:r>
      <w:proofErr w:type="gramStart"/>
      <w:r w:rsidRPr="00FC4E89">
        <w:rPr>
          <w:rFonts w:ascii="Times New Roman" w:eastAsia="Calibri" w:hAnsi="Times New Roman" w:cs="Times New Roman"/>
          <w:sz w:val="24"/>
          <w:szCs w:val="24"/>
          <w:lang w:val="es-MX"/>
        </w:rPr>
        <w:t>nación,</w:t>
      </w:r>
      <w:proofErr w:type="gramEnd"/>
      <w:r w:rsidRPr="00FC4E89">
        <w:rPr>
          <w:rFonts w:ascii="Times New Roman" w:eastAsia="Calibri" w:hAnsi="Times New Roman" w:cs="Times New Roman"/>
          <w:sz w:val="24"/>
          <w:szCs w:val="24"/>
          <w:lang w:val="es-MX"/>
        </w:rPr>
        <w:t xml:space="preserve"> es 0%. En los demás que se han adjudicado por ronda o licitación, la participación promedio para el país es del 3.7%, pues el bloque se le adjudica al mejor postor, y el criterio de selección es a quién dé a la ANH (nación), más participación de producción.</w:t>
      </w:r>
    </w:p>
    <w:p w14:paraId="3844FF5A" w14:textId="77777777" w:rsidR="00FC4E89" w:rsidRPr="00FC4E89" w:rsidRDefault="00FC4E89" w:rsidP="00FC4E89">
      <w:pPr>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 xml:space="preserve">Comparativamente los contratos de asociación que firmaba Ecopetrol antes del </w:t>
      </w:r>
      <w:proofErr w:type="gramStart"/>
      <w:r w:rsidRPr="00FC4E89">
        <w:rPr>
          <w:rFonts w:ascii="Times New Roman" w:eastAsia="Calibri" w:hAnsi="Times New Roman" w:cs="Times New Roman"/>
          <w:sz w:val="24"/>
          <w:szCs w:val="24"/>
          <w:lang w:val="es-MX"/>
        </w:rPr>
        <w:t>2000,</w:t>
      </w:r>
      <w:proofErr w:type="gramEnd"/>
      <w:r w:rsidRPr="00FC4E89">
        <w:rPr>
          <w:rFonts w:ascii="Times New Roman" w:eastAsia="Calibri" w:hAnsi="Times New Roman" w:cs="Times New Roman"/>
          <w:sz w:val="24"/>
          <w:szCs w:val="24"/>
          <w:lang w:val="es-MX"/>
        </w:rPr>
        <w:t xml:space="preserve"> le dejaban a la Nación una participación del 50%, o del 30% en los contratos firmados entre el 2000 y el 2003. El modelo de contrato de asociación se aplicó desde 1974 con la expedición del Decreto Ley 2310, estableciéndose inicialmente una participación para el país a través de Ecopetrol del 50% de la producción, después de liquidar las regalías (que eran del 20%); porcentaje que cambió en el año 2000 con el modelo 70/30. Dejándole el 70% al inversionista y el 30% para el país.</w:t>
      </w:r>
    </w:p>
    <w:p w14:paraId="4A04F6B0" w14:textId="77777777" w:rsidR="00FC4E89" w:rsidRPr="00FC4E89" w:rsidRDefault="00FC4E89" w:rsidP="00FC4E89">
      <w:pPr>
        <w:jc w:val="both"/>
        <w:rPr>
          <w:rFonts w:ascii="Times New Roman" w:eastAsia="Calibri" w:hAnsi="Times New Roman" w:cs="Times New Roman"/>
          <w:sz w:val="24"/>
          <w:szCs w:val="24"/>
          <w:lang w:val="es-ES"/>
        </w:rPr>
      </w:pPr>
      <w:r w:rsidRPr="00FC4E89">
        <w:rPr>
          <w:rFonts w:ascii="Times New Roman" w:eastAsia="Calibri" w:hAnsi="Times New Roman" w:cs="Times New Roman"/>
          <w:noProof/>
          <w:sz w:val="24"/>
          <w:szCs w:val="24"/>
          <w:lang w:val="es-ES"/>
        </w:rPr>
        <w:lastRenderedPageBreak/>
        <w:drawing>
          <wp:inline distT="0" distB="0" distL="0" distR="0" wp14:anchorId="1AEA25B5" wp14:editId="23B55371">
            <wp:extent cx="5612130" cy="3156585"/>
            <wp:effectExtent l="0" t="0" r="7620" b="57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12130" cy="3156585"/>
                    </a:xfrm>
                    <a:prstGeom prst="rect">
                      <a:avLst/>
                    </a:prstGeom>
                  </pic:spPr>
                </pic:pic>
              </a:graphicData>
            </a:graphic>
          </wp:inline>
        </w:drawing>
      </w:r>
    </w:p>
    <w:p w14:paraId="3B78935B" w14:textId="77777777" w:rsidR="00FC4E89" w:rsidRPr="00FC4E89" w:rsidRDefault="00FC4E89" w:rsidP="00FC4E89">
      <w:pPr>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Si vemos al detalle los 13 contratos que la ANH ha firmado para la exploración y explotación de YNC, la participación promedio que de quedará al país, de lo que se extraiga, será del 1,38%. La máxima participación será del 3%, y la obtendrá en el Contrato VMM-2.</w:t>
      </w:r>
    </w:p>
    <w:p w14:paraId="1BB9E699" w14:textId="77777777" w:rsidR="00FC4E89" w:rsidRPr="00FC4E89" w:rsidRDefault="00FC4E89" w:rsidP="00FC4E89">
      <w:pPr>
        <w:jc w:val="center"/>
        <w:rPr>
          <w:rFonts w:ascii="Times New Roman" w:eastAsia="Calibri" w:hAnsi="Times New Roman" w:cs="Times New Roman"/>
          <w:sz w:val="24"/>
          <w:szCs w:val="24"/>
          <w:lang w:val="es-MX"/>
        </w:rPr>
      </w:pPr>
      <w:r w:rsidRPr="00FC4E89">
        <w:rPr>
          <w:rFonts w:ascii="Times New Roman" w:eastAsia="Calibri" w:hAnsi="Times New Roman" w:cs="Times New Roman"/>
          <w:noProof/>
          <w:sz w:val="24"/>
          <w:szCs w:val="24"/>
          <w:lang w:val="es-MX"/>
        </w:rPr>
        <w:lastRenderedPageBreak/>
        <w:drawing>
          <wp:inline distT="0" distB="0" distL="0" distR="0" wp14:anchorId="7E4EE2D9" wp14:editId="3361A601">
            <wp:extent cx="5195190" cy="2846717"/>
            <wp:effectExtent l="0" t="0" r="571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b="2579"/>
                    <a:stretch/>
                  </pic:blipFill>
                  <pic:spPr bwMode="auto">
                    <a:xfrm>
                      <a:off x="0" y="0"/>
                      <a:ext cx="5202404" cy="2850670"/>
                    </a:xfrm>
                    <a:prstGeom prst="rect">
                      <a:avLst/>
                    </a:prstGeom>
                    <a:ln>
                      <a:noFill/>
                    </a:ln>
                    <a:extLst>
                      <a:ext uri="{53640926-AAD7-44D8-BBD7-CCE9431645EC}">
                        <a14:shadowObscured xmlns:a14="http://schemas.microsoft.com/office/drawing/2010/main"/>
                      </a:ext>
                    </a:extLst>
                  </pic:spPr>
                </pic:pic>
              </a:graphicData>
            </a:graphic>
          </wp:inline>
        </w:drawing>
      </w:r>
    </w:p>
    <w:p w14:paraId="45D03B92" w14:textId="77777777" w:rsidR="00FC4E89" w:rsidRPr="00FC4E89" w:rsidRDefault="00FC4E89" w:rsidP="00FC4E89">
      <w:pPr>
        <w:jc w:val="center"/>
        <w:rPr>
          <w:rFonts w:ascii="Times New Roman" w:eastAsia="Calibri" w:hAnsi="Times New Roman" w:cs="Times New Roman"/>
          <w:sz w:val="24"/>
          <w:szCs w:val="24"/>
          <w:lang w:val="es-MX"/>
        </w:rPr>
      </w:pPr>
      <w:r w:rsidRPr="00FC4E89">
        <w:rPr>
          <w:rFonts w:ascii="Times New Roman" w:eastAsia="Calibri" w:hAnsi="Times New Roman" w:cs="Times New Roman"/>
          <w:noProof/>
          <w:sz w:val="24"/>
          <w:szCs w:val="24"/>
          <w:lang w:val="es-MX"/>
        </w:rPr>
        <w:drawing>
          <wp:inline distT="0" distB="0" distL="0" distR="0" wp14:anchorId="442A41EA" wp14:editId="242F87C6">
            <wp:extent cx="5148596" cy="2895867"/>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157309" cy="2900767"/>
                    </a:xfrm>
                    <a:prstGeom prst="rect">
                      <a:avLst/>
                    </a:prstGeom>
                  </pic:spPr>
                </pic:pic>
              </a:graphicData>
            </a:graphic>
          </wp:inline>
        </w:drawing>
      </w:r>
    </w:p>
    <w:p w14:paraId="608A2E86" w14:textId="77777777" w:rsidR="00FC4E89" w:rsidRPr="00FC4E89" w:rsidRDefault="00FC4E89" w:rsidP="00FC4E89">
      <w:pPr>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lastRenderedPageBreak/>
        <w:t xml:space="preserve">Ahora, en cuanto a las regalías, la liquidación se basa en la ley 756 de 2002, bajo un modelo escalonado, donde el porcentaje liquidado depende de la producción de cada campo; la cual puede oscilar entre el 4.8% y el 25%. </w:t>
      </w:r>
    </w:p>
    <w:p w14:paraId="3027A665" w14:textId="77777777" w:rsidR="00FC4E89" w:rsidRPr="00FC4E89" w:rsidRDefault="00FC4E89" w:rsidP="00FC4E89">
      <w:pPr>
        <w:jc w:val="both"/>
        <w:rPr>
          <w:rFonts w:ascii="Times New Roman" w:eastAsia="Calibri" w:hAnsi="Times New Roman" w:cs="Times New Roman"/>
          <w:sz w:val="24"/>
          <w:szCs w:val="24"/>
          <w:lang w:val="es-MX"/>
        </w:rPr>
      </w:pPr>
      <w:r w:rsidRPr="00FC4E89">
        <w:rPr>
          <w:rFonts w:ascii="Times New Roman" w:eastAsia="Calibri" w:hAnsi="Times New Roman" w:cs="Times New Roman"/>
          <w:noProof/>
          <w:sz w:val="24"/>
          <w:szCs w:val="24"/>
          <w:lang w:val="es-MX"/>
        </w:rPr>
        <w:drawing>
          <wp:inline distT="0" distB="0" distL="0" distR="0" wp14:anchorId="4E7881A2" wp14:editId="0012015E">
            <wp:extent cx="5612130" cy="3156585"/>
            <wp:effectExtent l="0" t="0" r="7620" b="571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612130" cy="3156585"/>
                    </a:xfrm>
                    <a:prstGeom prst="rect">
                      <a:avLst/>
                    </a:prstGeom>
                  </pic:spPr>
                </pic:pic>
              </a:graphicData>
            </a:graphic>
          </wp:inline>
        </w:drawing>
      </w:r>
    </w:p>
    <w:p w14:paraId="7C2730C0" w14:textId="77777777" w:rsidR="00FC4E89" w:rsidRPr="00FC4E89" w:rsidRDefault="00FC4E89" w:rsidP="00FC4E89">
      <w:pPr>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Sin embargo, las estadísticas del porcentaje recibido por regalías de más de 360 “campos” nuevos, bajo el contrato de concesión de la ANH, es del 6,36% para gas y del 7,69% para crudo.</w:t>
      </w:r>
    </w:p>
    <w:p w14:paraId="06864192" w14:textId="77777777" w:rsidR="00FC4E89" w:rsidRPr="00FC4E89" w:rsidRDefault="00FC4E89" w:rsidP="00FC4E89">
      <w:pPr>
        <w:jc w:val="both"/>
        <w:rPr>
          <w:rFonts w:ascii="Times New Roman" w:eastAsia="Calibri" w:hAnsi="Times New Roman" w:cs="Times New Roman"/>
          <w:sz w:val="24"/>
          <w:szCs w:val="24"/>
          <w:lang w:val="es-MX"/>
        </w:rPr>
      </w:pPr>
    </w:p>
    <w:p w14:paraId="678E2F6A" w14:textId="77777777" w:rsidR="00FC4E89" w:rsidRPr="00FC4E89" w:rsidRDefault="00FC4E89" w:rsidP="00FC4E89">
      <w:pPr>
        <w:jc w:val="center"/>
        <w:rPr>
          <w:rFonts w:ascii="Times New Roman" w:eastAsia="Calibri" w:hAnsi="Times New Roman" w:cs="Times New Roman"/>
          <w:sz w:val="24"/>
          <w:szCs w:val="24"/>
          <w:lang w:val="es-MX"/>
        </w:rPr>
      </w:pPr>
      <w:r w:rsidRPr="00FC4E89">
        <w:rPr>
          <w:rFonts w:ascii="Times New Roman" w:eastAsia="Calibri" w:hAnsi="Times New Roman" w:cs="Times New Roman"/>
          <w:noProof/>
          <w:sz w:val="24"/>
          <w:szCs w:val="24"/>
          <w:lang w:val="es-MX"/>
        </w:rPr>
        <w:lastRenderedPageBreak/>
        <w:drawing>
          <wp:inline distT="0" distB="0" distL="0" distR="0" wp14:anchorId="4DCB1AA3" wp14:editId="03C9AE7F">
            <wp:extent cx="4886507" cy="2748453"/>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894999" cy="2753229"/>
                    </a:xfrm>
                    <a:prstGeom prst="rect">
                      <a:avLst/>
                    </a:prstGeom>
                  </pic:spPr>
                </pic:pic>
              </a:graphicData>
            </a:graphic>
          </wp:inline>
        </w:drawing>
      </w:r>
    </w:p>
    <w:p w14:paraId="54BDEA3F" w14:textId="77777777" w:rsidR="00FC4E89" w:rsidRPr="00FC4E89" w:rsidRDefault="00FC4E89" w:rsidP="00FC4E89">
      <w:pPr>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 xml:space="preserve">Basados en estas estadísticas, es preciso señalar que la seguridad energética no dependerá de la explotación de los yacimientos no convencionales tipo roca generadora con fracturamiento hidráulico multietapa a través de pozos horizontales, pues dado el caso que se llegará a producir un millón de barriles por día, el país no recibirá más de 100 mil barriles por día, insuficientes para la carga de las refinerías, que requieren 400 mil barriles por día.  </w:t>
      </w:r>
    </w:p>
    <w:p w14:paraId="14D04C94" w14:textId="77777777" w:rsidR="00FC4E89" w:rsidRPr="00FC4E89" w:rsidRDefault="00FC4E89" w:rsidP="00FC4E89">
      <w:pPr>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 xml:space="preserve">Por otro lado, la participación por precios altos (otro derecho económico para el país), se dará cuando la producción acumulada por “campo” (no por contrato), supere 5 millones de barriles, y el precio supere los 80 dólares el barril; lo cual, difícilmente se dará, porque cada plataforma multipozo será considerada un “campo” independiente, donde nunca se llegará a una producción acumulada de 5 millones de barriles, debido al bajo factor de recobro y la declinación acelerada de este tipo de yacimientos, por su baja o nula permeabilidad. </w:t>
      </w:r>
    </w:p>
    <w:p w14:paraId="16168D81" w14:textId="77777777" w:rsidR="00FC4E89" w:rsidRPr="00FC4E89" w:rsidRDefault="00FC4E89" w:rsidP="00FC4E89">
      <w:pPr>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 xml:space="preserve">Igualmente, según las cláusulas del contrato, el contratista inversionista tiene libre disponibilidad del hidrocarburo que produzca, no estando obligado a venderlo para la refinación interna; y si lo vende, se le debe pagar a precio internacional como si el país lo importara. </w:t>
      </w:r>
    </w:p>
    <w:p w14:paraId="7A3F4921" w14:textId="77777777" w:rsidR="00FC4E89" w:rsidRPr="00FC4E89" w:rsidRDefault="00FC4E89" w:rsidP="00FC4E89">
      <w:pPr>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lastRenderedPageBreak/>
        <w:t xml:space="preserve">De la misma manera, </w:t>
      </w:r>
      <w:proofErr w:type="gramStart"/>
      <w:r w:rsidRPr="00FC4E89">
        <w:rPr>
          <w:rFonts w:ascii="Times New Roman" w:eastAsia="Calibri" w:hAnsi="Times New Roman" w:cs="Times New Roman"/>
          <w:sz w:val="24"/>
          <w:szCs w:val="24"/>
          <w:lang w:val="es-MX"/>
        </w:rPr>
        <w:t>de acuerdo al</w:t>
      </w:r>
      <w:proofErr w:type="gramEnd"/>
      <w:r w:rsidRPr="00FC4E89">
        <w:rPr>
          <w:rFonts w:ascii="Times New Roman" w:eastAsia="Calibri" w:hAnsi="Times New Roman" w:cs="Times New Roman"/>
          <w:sz w:val="24"/>
          <w:szCs w:val="24"/>
          <w:lang w:val="es-MX"/>
        </w:rPr>
        <w:t xml:space="preserve"> contrato y a las Leyes 1530 de 2012 y 2056 de 2020, la ANH hace el recaudo de las regalías en dinero, con los descuentos correspondientes por transporte, almacenamiento, trasiego y comercialización. O sea, no recauda las regalías en especie, porque la ANH no es una empresa operadora, no tiene líneas de flujo (oleoductos y gasoductos), no tiene infraestructura de almacenamiento, y no refina. Por último, hay que tener en cuenta que la ANH o el país no recibirá o heredará este tipo de campos de hidrocarburos provenientes de YNC tipo RG, porque este tipo de yacimientos se agotan rápidamente. Su vida útil no supera los 20 años, y el contrato es por 24 años, con posibles prórrogas, sin el contratista los solicita. </w:t>
      </w:r>
    </w:p>
    <w:p w14:paraId="68E56AD3" w14:textId="77777777" w:rsidR="00FC4E89" w:rsidRPr="00FC4E89" w:rsidRDefault="00FC4E89" w:rsidP="00FC4E89">
      <w:pPr>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Hoy el país tiene autosuficiencia petrolera, gracias a la producción de los campos maduros que Ecopetrol S.A opera y que recibió después de la terminación de los contratos de asociación y las antiguas concesiones. En los campos provenientes de YNC de RG, eso no ocurrirá.</w:t>
      </w:r>
    </w:p>
    <w:p w14:paraId="444019F6" w14:textId="77777777" w:rsidR="00FC4E89" w:rsidRPr="00FC4E89" w:rsidRDefault="00FC4E89" w:rsidP="00FC4E89">
      <w:pPr>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Tampoco es cierto que al país le queden reservas de petróleo para 7 años y de gas para 8, pues el gobierno se refiere es a las reservas PROBADAS, que son como la “caja menor” de cualquier empresa. Según el documento del Sistema de Administración de Recursos Petroleros (“</w:t>
      </w:r>
      <w:proofErr w:type="spellStart"/>
      <w:r w:rsidRPr="00FC4E89">
        <w:rPr>
          <w:rFonts w:ascii="Times New Roman" w:eastAsia="Calibri" w:hAnsi="Times New Roman" w:cs="Times New Roman"/>
          <w:sz w:val="24"/>
          <w:szCs w:val="24"/>
          <w:lang w:val="es-MX"/>
        </w:rPr>
        <w:t>Petroleum</w:t>
      </w:r>
      <w:proofErr w:type="spellEnd"/>
      <w:r w:rsidRPr="00FC4E89">
        <w:rPr>
          <w:rFonts w:ascii="Times New Roman" w:eastAsia="Calibri" w:hAnsi="Times New Roman" w:cs="Times New Roman"/>
          <w:sz w:val="24"/>
          <w:szCs w:val="24"/>
          <w:lang w:val="es-MX"/>
        </w:rPr>
        <w:t xml:space="preserve"> </w:t>
      </w:r>
      <w:proofErr w:type="spellStart"/>
      <w:r w:rsidRPr="00FC4E89">
        <w:rPr>
          <w:rFonts w:ascii="Times New Roman" w:eastAsia="Calibri" w:hAnsi="Times New Roman" w:cs="Times New Roman"/>
          <w:sz w:val="24"/>
          <w:szCs w:val="24"/>
          <w:lang w:val="es-MX"/>
        </w:rPr>
        <w:t>Resources</w:t>
      </w:r>
      <w:proofErr w:type="spellEnd"/>
      <w:r w:rsidRPr="00FC4E89">
        <w:rPr>
          <w:rFonts w:ascii="Times New Roman" w:eastAsia="Calibri" w:hAnsi="Times New Roman" w:cs="Times New Roman"/>
          <w:sz w:val="24"/>
          <w:szCs w:val="24"/>
          <w:lang w:val="es-MX"/>
        </w:rPr>
        <w:t xml:space="preserve"> Management </w:t>
      </w:r>
      <w:proofErr w:type="spellStart"/>
      <w:r w:rsidRPr="00FC4E89">
        <w:rPr>
          <w:rFonts w:ascii="Times New Roman" w:eastAsia="Calibri" w:hAnsi="Times New Roman" w:cs="Times New Roman"/>
          <w:sz w:val="24"/>
          <w:szCs w:val="24"/>
          <w:lang w:val="es-MX"/>
        </w:rPr>
        <w:t>System</w:t>
      </w:r>
      <w:proofErr w:type="spellEnd"/>
      <w:r w:rsidRPr="00FC4E89">
        <w:rPr>
          <w:rFonts w:ascii="Times New Roman" w:eastAsia="Calibri" w:hAnsi="Times New Roman" w:cs="Times New Roman"/>
          <w:sz w:val="24"/>
          <w:szCs w:val="24"/>
          <w:lang w:val="es-MX"/>
        </w:rPr>
        <w:t xml:space="preserve"> - PRMS”), adoptado por parte del equipo técnico de la Gerencia de Reservas y Operaciones (GRO), de la ANH, como método de evaluación de los Recursos y Reservas de hidrocarburos existentes en el país, </w:t>
      </w:r>
      <w:proofErr w:type="gramStart"/>
      <w:r w:rsidRPr="00FC4E89">
        <w:rPr>
          <w:rFonts w:ascii="Times New Roman" w:eastAsia="Calibri" w:hAnsi="Times New Roman" w:cs="Times New Roman"/>
          <w:sz w:val="24"/>
          <w:szCs w:val="24"/>
          <w:lang w:val="es-MX"/>
        </w:rPr>
        <w:t>de acuerdo a</w:t>
      </w:r>
      <w:proofErr w:type="gramEnd"/>
      <w:r w:rsidRPr="00FC4E89">
        <w:rPr>
          <w:rFonts w:ascii="Times New Roman" w:eastAsia="Calibri" w:hAnsi="Times New Roman" w:cs="Times New Roman"/>
          <w:sz w:val="24"/>
          <w:szCs w:val="24"/>
          <w:lang w:val="es-MX"/>
        </w:rPr>
        <w:t xml:space="preserve"> la Resolución No. 77 de 22 de febrero de 2019… “Por medio del cual se actualiza la metodología de valoración de recursos y reservas de hidrocarburos del país, en desarrollo del Acuerdo No. 11 de 2008 y del Acuerdo No. 003 de 2018, expedidos por la Agencia Nacional de Hidrocarburos”, la definición de reservas PROBADAS es: “una categoría incremental de cantidades recuperables estimadas asociadas con un grado definido de incertidumbre. Las Reservas probadas son aquellas cantidades de petróleo, que mediante el análisis de datos de geociencias y de ingeniería, pueden ser estimadas con certeza razonable, para ser comercialmente recuperadas a partir de una fecha dada en adelante, de yacimientos conocidos y bajo condiciones económicas definidas, métodos de operación y regulaciones gubernamentales. Si se usan métodos determinísticos, el término “certeza razonable” pretende expresar un alto grado de confianza de que las cantidades serán recuperadas. Si se usan métodos probabilísticos, debería haber por lo menos un 90% de probabilidad de que las cantidades realmente recuperadas igualen o excedan las estimaciones”.  </w:t>
      </w:r>
    </w:p>
    <w:p w14:paraId="6A30CF20" w14:textId="77777777" w:rsidR="00FC4E89" w:rsidRPr="00FC4E89" w:rsidRDefault="00FC4E89" w:rsidP="00FC4E89">
      <w:pPr>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lastRenderedPageBreak/>
        <w:t xml:space="preserve">Lo anterior significa que las reservas probadas son aquellas desarrolladas a través de la perforación de los pozos, con las correspondientes líneas de flujo, estaciones de recolección, plantas de tratamiento y oleoductos o gasoductos para la entrega al cliente con un nivel de confianza superior al 90%; y cuando se refieren a reservas probadas de gas, son aquellas que ya se comercializaron, o se vendieron. Lo anterior significa que las reservas probadas de gas que reporta el </w:t>
      </w:r>
      <w:proofErr w:type="gramStart"/>
      <w:r w:rsidRPr="00FC4E89">
        <w:rPr>
          <w:rFonts w:ascii="Times New Roman" w:eastAsia="Calibri" w:hAnsi="Times New Roman" w:cs="Times New Roman"/>
          <w:sz w:val="24"/>
          <w:szCs w:val="24"/>
          <w:lang w:val="es-MX"/>
        </w:rPr>
        <w:t>gobierno,</w:t>
      </w:r>
      <w:proofErr w:type="gramEnd"/>
      <w:r w:rsidRPr="00FC4E89">
        <w:rPr>
          <w:rFonts w:ascii="Times New Roman" w:eastAsia="Calibri" w:hAnsi="Times New Roman" w:cs="Times New Roman"/>
          <w:sz w:val="24"/>
          <w:szCs w:val="24"/>
          <w:lang w:val="es-MX"/>
        </w:rPr>
        <w:t xml:space="preserve"> son las que ya se vendieron en las subastas hechas por Ecopetrol S.A, y que se producirán hasta el 2028.</w:t>
      </w:r>
    </w:p>
    <w:p w14:paraId="6D86F9E1" w14:textId="77777777" w:rsidR="00FC4E89" w:rsidRPr="00FC4E89" w:rsidRDefault="00FC4E89" w:rsidP="00FC4E89">
      <w:pPr>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De acuerdo a las propias estadísticas de la ANH, las reservas probadas de petróleo, en los últimos 20 años se han mantenido entre 1500 y 2000 millones de barriles, pues a medida que se extraen, se INCORPORAN más barriles como reservas probadas desarrollando reservas de petróleo original en sitio ya descubiertas (POES); y las de gas se han mantenido entre 3.5 y 5.4 Tera pies cúbicos, sin nuevos descubrimientos, pues es mucho mayor el gas producido fiscalizado que el comercializado. Así las cosas, actualmente se producen 1945 millones de pies cúbicos de gas por día, fiscalizados o medidos; y se comercializan 1100 millones de pies cúbicos. La diferencia (845 millones de pies cúbicos), son reinyectados a los yacimientos de donde provienen.</w:t>
      </w:r>
    </w:p>
    <w:p w14:paraId="6E2D2538" w14:textId="77777777" w:rsidR="00FC4E89" w:rsidRPr="00FC4E89" w:rsidRDefault="00FC4E89" w:rsidP="00FC4E89">
      <w:pPr>
        <w:jc w:val="both"/>
        <w:rPr>
          <w:rFonts w:ascii="Times New Roman" w:eastAsia="Calibri" w:hAnsi="Times New Roman" w:cs="Times New Roman"/>
          <w:sz w:val="24"/>
          <w:szCs w:val="24"/>
          <w:lang w:val="es-MX"/>
        </w:rPr>
      </w:pPr>
    </w:p>
    <w:p w14:paraId="54F9D88B" w14:textId="77777777" w:rsidR="00FC4E89" w:rsidRPr="00FC4E89" w:rsidRDefault="00FC4E89" w:rsidP="00FC4E89">
      <w:pPr>
        <w:jc w:val="center"/>
        <w:rPr>
          <w:rFonts w:ascii="Times New Roman" w:eastAsia="Calibri" w:hAnsi="Times New Roman" w:cs="Times New Roman"/>
          <w:sz w:val="24"/>
          <w:szCs w:val="24"/>
          <w:lang w:val="es-MX"/>
        </w:rPr>
      </w:pPr>
      <w:r w:rsidRPr="00FC4E89">
        <w:rPr>
          <w:rFonts w:ascii="Calibri" w:eastAsia="Calibri" w:hAnsi="Calibri" w:cs="Times New Roman"/>
          <w:noProof/>
          <w:lang w:val="en-US"/>
        </w:rPr>
        <w:drawing>
          <wp:inline distT="0" distB="0" distL="0" distR="0" wp14:anchorId="6B37DFA1" wp14:editId="598B04BE">
            <wp:extent cx="4158482" cy="2546004"/>
            <wp:effectExtent l="0" t="0" r="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7459" t="17314" r="18111" b="5346"/>
                    <a:stretch/>
                  </pic:blipFill>
                  <pic:spPr bwMode="auto">
                    <a:xfrm>
                      <a:off x="0" y="0"/>
                      <a:ext cx="4215876" cy="2581143"/>
                    </a:xfrm>
                    <a:prstGeom prst="rect">
                      <a:avLst/>
                    </a:prstGeom>
                    <a:ln>
                      <a:noFill/>
                    </a:ln>
                    <a:extLst>
                      <a:ext uri="{53640926-AAD7-44D8-BBD7-CCE9431645EC}">
                        <a14:shadowObscured xmlns:a14="http://schemas.microsoft.com/office/drawing/2010/main"/>
                      </a:ext>
                    </a:extLst>
                  </pic:spPr>
                </pic:pic>
              </a:graphicData>
            </a:graphic>
          </wp:inline>
        </w:drawing>
      </w:r>
    </w:p>
    <w:p w14:paraId="0FF52870" w14:textId="77777777" w:rsidR="00FC4E89" w:rsidRPr="00FC4E89" w:rsidRDefault="00FC4E89" w:rsidP="00FC4E89">
      <w:pPr>
        <w:jc w:val="center"/>
        <w:rPr>
          <w:rFonts w:ascii="Times New Roman" w:eastAsia="Calibri" w:hAnsi="Times New Roman" w:cs="Times New Roman"/>
          <w:sz w:val="24"/>
          <w:szCs w:val="24"/>
          <w:lang w:val="es-MX"/>
        </w:rPr>
      </w:pPr>
      <w:r w:rsidRPr="00FC4E89">
        <w:rPr>
          <w:rFonts w:ascii="Calibri" w:eastAsia="Calibri" w:hAnsi="Calibri" w:cs="Times New Roman"/>
          <w:noProof/>
          <w:lang w:val="en-US"/>
        </w:rPr>
        <w:lastRenderedPageBreak/>
        <w:drawing>
          <wp:inline distT="0" distB="0" distL="0" distR="0" wp14:anchorId="4541E489" wp14:editId="0BE92ABF">
            <wp:extent cx="4228372" cy="1856938"/>
            <wp:effectExtent l="0" t="0" r="127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4067" t="26533" r="37153" b="50987"/>
                    <a:stretch/>
                  </pic:blipFill>
                  <pic:spPr bwMode="auto">
                    <a:xfrm>
                      <a:off x="0" y="0"/>
                      <a:ext cx="4342523" cy="1907069"/>
                    </a:xfrm>
                    <a:prstGeom prst="rect">
                      <a:avLst/>
                    </a:prstGeom>
                    <a:ln>
                      <a:noFill/>
                    </a:ln>
                    <a:extLst>
                      <a:ext uri="{53640926-AAD7-44D8-BBD7-CCE9431645EC}">
                        <a14:shadowObscured xmlns:a14="http://schemas.microsoft.com/office/drawing/2010/main"/>
                      </a:ext>
                    </a:extLst>
                  </pic:spPr>
                </pic:pic>
              </a:graphicData>
            </a:graphic>
          </wp:inline>
        </w:drawing>
      </w:r>
      <w:r w:rsidRPr="00FC4E89">
        <w:rPr>
          <w:rFonts w:ascii="Calibri" w:eastAsia="Calibri" w:hAnsi="Calibri" w:cs="Times New Roman"/>
          <w:noProof/>
          <w:lang w:val="en-US"/>
        </w:rPr>
        <w:drawing>
          <wp:inline distT="0" distB="0" distL="0" distR="0" wp14:anchorId="0B19A619" wp14:editId="7205D636">
            <wp:extent cx="4245845" cy="1419370"/>
            <wp:effectExtent l="0" t="0" r="2540"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4067" t="70592" r="37153" b="12296"/>
                    <a:stretch/>
                  </pic:blipFill>
                  <pic:spPr bwMode="auto">
                    <a:xfrm>
                      <a:off x="0" y="0"/>
                      <a:ext cx="4455899" cy="1489590"/>
                    </a:xfrm>
                    <a:prstGeom prst="rect">
                      <a:avLst/>
                    </a:prstGeom>
                    <a:ln>
                      <a:noFill/>
                    </a:ln>
                    <a:extLst>
                      <a:ext uri="{53640926-AAD7-44D8-BBD7-CCE9431645EC}">
                        <a14:shadowObscured xmlns:a14="http://schemas.microsoft.com/office/drawing/2010/main"/>
                      </a:ext>
                    </a:extLst>
                  </pic:spPr>
                </pic:pic>
              </a:graphicData>
            </a:graphic>
          </wp:inline>
        </w:drawing>
      </w:r>
    </w:p>
    <w:p w14:paraId="4B1CFF4B" w14:textId="77777777" w:rsidR="00FC4E89" w:rsidRPr="00FC4E89" w:rsidRDefault="00FC4E89" w:rsidP="00FC4E89">
      <w:pPr>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 xml:space="preserve">Según la ANH, en respuesta del pasado 18 de enero de 2021, dada al cuestionario enviado por la Comisión V de la Cámara de Representantes, durante toda la historia petrolera de Colombia, se han descubierto 65500 millones de barriles de petróleo (POES), y 27 Tera pies cúbicos de gas (GOES); de los cuales se han extraído 10500 millones de barriles de petróleo, para un factor de recobro del 16%; y 10.5 Tera pies cúbicos de gas, para un factor de recobro del 39%. </w:t>
      </w:r>
      <w:proofErr w:type="gramStart"/>
      <w:r w:rsidRPr="00FC4E89">
        <w:rPr>
          <w:rFonts w:ascii="Times New Roman" w:eastAsia="Calibri" w:hAnsi="Times New Roman" w:cs="Times New Roman"/>
          <w:sz w:val="24"/>
          <w:szCs w:val="24"/>
          <w:lang w:val="es-MX"/>
        </w:rPr>
        <w:t>De acuerdo a</w:t>
      </w:r>
      <w:proofErr w:type="gramEnd"/>
      <w:r w:rsidRPr="00FC4E89">
        <w:rPr>
          <w:rFonts w:ascii="Times New Roman" w:eastAsia="Calibri" w:hAnsi="Times New Roman" w:cs="Times New Roman"/>
          <w:sz w:val="24"/>
          <w:szCs w:val="24"/>
          <w:lang w:val="es-MX"/>
        </w:rPr>
        <w:t xml:space="preserve"> lo anterior, si se continua con el mismo proceso de desarrollo de las reservas de petróleo ya descubiertas (convencionales), hasta lograr el 40% de factor de recobro promedio mundial, el país tiene un potencial de reservas por desarrollar, para 43 años, produciendo a una tasa de un millón de barriles por día. Así mismo, en cuanto al gas, si mantenemos el mismo ritmo de producción de 1100 millones de pies cúbicos por día, tendremos gas para 20 años, hasta llegar al factor de recobro del 70%, que es la vida útil promedio de un yacimiento de gas. Conclusión: mientras que </w:t>
      </w:r>
      <w:proofErr w:type="gramStart"/>
      <w:r w:rsidRPr="00FC4E89">
        <w:rPr>
          <w:rFonts w:ascii="Times New Roman" w:eastAsia="Calibri" w:hAnsi="Times New Roman" w:cs="Times New Roman"/>
          <w:sz w:val="24"/>
          <w:szCs w:val="24"/>
          <w:lang w:val="es-MX"/>
        </w:rPr>
        <w:t>EE:UU</w:t>
      </w:r>
      <w:proofErr w:type="gramEnd"/>
      <w:r w:rsidRPr="00FC4E89">
        <w:rPr>
          <w:rFonts w:ascii="Times New Roman" w:eastAsia="Calibri" w:hAnsi="Times New Roman" w:cs="Times New Roman"/>
          <w:sz w:val="24"/>
          <w:szCs w:val="24"/>
          <w:lang w:val="es-MX"/>
        </w:rPr>
        <w:t xml:space="preserve"> tuvo que implementar el fracturamiento hidráulico multietapa a través de pozos horizontales en rocas generadoras, porque su factor de recobro para petróleo convencional llegó al 60% en el año 2000… Colombia no lo requiere.</w:t>
      </w:r>
    </w:p>
    <w:p w14:paraId="327AB956" w14:textId="77777777" w:rsidR="00FC4E89" w:rsidRPr="00FC4E89" w:rsidRDefault="00FC4E89" w:rsidP="00FC4E89">
      <w:pPr>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lastRenderedPageBreak/>
        <w:t>El sector de hidrocarburos tiene una gran importancia para la economía nacional, pero su aporte al PIB es muchísimo menor que el de sectores como manufacturas, comercio y agricultura, aunque tiene la capacidad de afectarlos por medio de sus efectos cambiarios que hacen más barato importar bienes y servicios. Por lo tanto, el de hidrocarburos es un sector que depende de los inestables precios del mercado internacional y no ayuda a la recuperación de la economía, como tampoco a la industrialización ni a la diversificación de la canasta familiar. Actualmente, existen 229 beneficios tributarios que las benefician y otras prerrogativas. El sector apenas aportó el 10,83% del recaudo total por impuestos de renta, pero el 82% provino de Ecopetrol. Las regalías, por su parte, se descuentan del impuesto de renta, lo que reduce aún más la suma que se paga al fisco nacional. Este sector es además muy poco intensivo en empleo porque la mayor parte del empleo es indirecto, y la generación de valor por la exportación es muy baja. Este aparte termina destacando que los países petroleros tienen en promedio un Índice de Pobreza Multidimensional 2.26 veces mayor que el promedio nacional y la reprimarización de la economía y el aumento de la dependencia de los hidrocarburos solo permitirá la prosperidad de un sector muy minoritario de la sociedad, a costa de las condiciones de vida de las actuales y futuras generaciones.</w:t>
      </w:r>
    </w:p>
    <w:p w14:paraId="2924F0F6" w14:textId="77777777" w:rsidR="00FC4E89" w:rsidRPr="00FC4E89" w:rsidRDefault="00FC4E89" w:rsidP="00FC4E89">
      <w:pPr>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Así las cosas, bajo el actual modelo contractual para exploración y producción de hidrocarburos, con tan baja participación en la producción, con mínimas regalías recibidas y con tantas prebendas o descuentos tributarios… el país tendrá, en el negocio de los yacimientos no convencionales de roca generadora, una participación en la renta petrolera (</w:t>
      </w:r>
      <w:proofErr w:type="spellStart"/>
      <w:r w:rsidRPr="00FC4E89">
        <w:rPr>
          <w:rFonts w:ascii="Times New Roman" w:eastAsia="Calibri" w:hAnsi="Times New Roman" w:cs="Times New Roman"/>
          <w:sz w:val="24"/>
          <w:szCs w:val="24"/>
          <w:lang w:val="es-MX"/>
        </w:rPr>
        <w:t>Government</w:t>
      </w:r>
      <w:proofErr w:type="spellEnd"/>
      <w:r w:rsidRPr="00FC4E89">
        <w:rPr>
          <w:rFonts w:ascii="Times New Roman" w:eastAsia="Calibri" w:hAnsi="Times New Roman" w:cs="Times New Roman"/>
          <w:sz w:val="24"/>
          <w:szCs w:val="24"/>
          <w:lang w:val="es-MX"/>
        </w:rPr>
        <w:t xml:space="preserve"> </w:t>
      </w:r>
      <w:proofErr w:type="spellStart"/>
      <w:r w:rsidRPr="00FC4E89">
        <w:rPr>
          <w:rFonts w:ascii="Times New Roman" w:eastAsia="Calibri" w:hAnsi="Times New Roman" w:cs="Times New Roman"/>
          <w:sz w:val="24"/>
          <w:szCs w:val="24"/>
          <w:lang w:val="es-MX"/>
        </w:rPr>
        <w:t>Take</w:t>
      </w:r>
      <w:proofErr w:type="spellEnd"/>
      <w:r w:rsidRPr="00FC4E89">
        <w:rPr>
          <w:rFonts w:ascii="Times New Roman" w:eastAsia="Calibri" w:hAnsi="Times New Roman" w:cs="Times New Roman"/>
          <w:sz w:val="24"/>
          <w:szCs w:val="24"/>
          <w:lang w:val="es-MX"/>
        </w:rPr>
        <w:t>), inferior al 22%, mientras que el promedio mundial, según cálculos realizados por la PTA de Total, es del 75%.</w:t>
      </w:r>
    </w:p>
    <w:p w14:paraId="093CC33F" w14:textId="77777777" w:rsidR="00FC4E89" w:rsidRPr="00FC4E89" w:rsidRDefault="00FC4E89" w:rsidP="00FC4E89">
      <w:pPr>
        <w:jc w:val="center"/>
        <w:rPr>
          <w:rFonts w:ascii="Times New Roman" w:eastAsia="Calibri" w:hAnsi="Times New Roman" w:cs="Times New Roman"/>
          <w:sz w:val="24"/>
          <w:szCs w:val="24"/>
          <w:lang w:val="es-MX"/>
        </w:rPr>
      </w:pPr>
      <w:r w:rsidRPr="00FC4E89">
        <w:rPr>
          <w:rFonts w:ascii="Times New Roman" w:eastAsia="Calibri" w:hAnsi="Times New Roman" w:cs="Times New Roman"/>
          <w:noProof/>
          <w:sz w:val="24"/>
          <w:szCs w:val="24"/>
          <w:lang w:val="es-MX"/>
        </w:rPr>
        <w:lastRenderedPageBreak/>
        <w:drawing>
          <wp:inline distT="0" distB="0" distL="0" distR="0" wp14:anchorId="64F7BA3E" wp14:editId="0EB0DAA2">
            <wp:extent cx="4938925" cy="2777936"/>
            <wp:effectExtent l="0" t="0" r="0" b="381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951063" cy="2784763"/>
                    </a:xfrm>
                    <a:prstGeom prst="rect">
                      <a:avLst/>
                    </a:prstGeom>
                  </pic:spPr>
                </pic:pic>
              </a:graphicData>
            </a:graphic>
          </wp:inline>
        </w:drawing>
      </w:r>
    </w:p>
    <w:p w14:paraId="7B1AEC00" w14:textId="00E765A5" w:rsidR="00FC4E89" w:rsidRDefault="00FC4E89" w:rsidP="00FC4E89">
      <w:pPr>
        <w:contextualSpacing/>
        <w:jc w:val="both"/>
        <w:rPr>
          <w:rFonts w:ascii="Times New Roman" w:eastAsia="Calibri" w:hAnsi="Times New Roman" w:cs="Times New Roman"/>
          <w:b/>
          <w:sz w:val="24"/>
          <w:szCs w:val="24"/>
          <w:lang w:val="es-MX"/>
        </w:rPr>
      </w:pPr>
    </w:p>
    <w:p w14:paraId="483329F5" w14:textId="77777777" w:rsidR="00FF153B" w:rsidRPr="00FC4E89" w:rsidRDefault="00FF153B" w:rsidP="00FC4E89">
      <w:pPr>
        <w:contextualSpacing/>
        <w:jc w:val="both"/>
        <w:rPr>
          <w:rFonts w:ascii="Times New Roman" w:eastAsia="Calibri" w:hAnsi="Times New Roman" w:cs="Times New Roman"/>
          <w:b/>
          <w:sz w:val="24"/>
          <w:szCs w:val="24"/>
          <w:lang w:val="es-MX"/>
        </w:rPr>
      </w:pPr>
    </w:p>
    <w:p w14:paraId="52DCAAF8" w14:textId="77777777" w:rsidR="00FC4E89" w:rsidRPr="00FC4E89" w:rsidRDefault="00FC4E89" w:rsidP="00FC4E89">
      <w:pPr>
        <w:numPr>
          <w:ilvl w:val="0"/>
          <w:numId w:val="5"/>
        </w:numPr>
        <w:contextualSpacing/>
        <w:jc w:val="both"/>
        <w:rPr>
          <w:rFonts w:ascii="Times New Roman" w:eastAsia="Calibri" w:hAnsi="Times New Roman" w:cs="Times New Roman"/>
          <w:b/>
          <w:sz w:val="24"/>
          <w:szCs w:val="24"/>
          <w:lang w:val="es-MX"/>
        </w:rPr>
      </w:pPr>
      <w:r w:rsidRPr="00FC4E89">
        <w:rPr>
          <w:rFonts w:ascii="Times New Roman" w:eastAsia="Calibri" w:hAnsi="Times New Roman" w:cs="Times New Roman"/>
          <w:b/>
          <w:sz w:val="24"/>
          <w:szCs w:val="24"/>
          <w:lang w:val="es-MX"/>
        </w:rPr>
        <w:t>MARCO JURIDICO.</w:t>
      </w:r>
    </w:p>
    <w:p w14:paraId="7697C661" w14:textId="77777777" w:rsidR="00FC4E89" w:rsidRPr="00FC4E89" w:rsidRDefault="00FC4E89" w:rsidP="00FC4E89">
      <w:pPr>
        <w:contextualSpacing/>
        <w:jc w:val="both"/>
        <w:rPr>
          <w:rFonts w:ascii="Times New Roman" w:eastAsia="Calibri" w:hAnsi="Times New Roman" w:cs="Times New Roman"/>
          <w:b/>
          <w:sz w:val="24"/>
          <w:szCs w:val="24"/>
          <w:lang w:val="es-MX"/>
        </w:rPr>
      </w:pPr>
    </w:p>
    <w:p w14:paraId="37A272B9" w14:textId="77777777" w:rsidR="00FC4E89" w:rsidRPr="00FC4E89" w:rsidRDefault="00FC4E89" w:rsidP="00FC4E89">
      <w:pPr>
        <w:numPr>
          <w:ilvl w:val="0"/>
          <w:numId w:val="13"/>
        </w:numPr>
        <w:contextualSpacing/>
        <w:jc w:val="both"/>
        <w:rPr>
          <w:rFonts w:ascii="Times New Roman" w:eastAsia="Calibri" w:hAnsi="Times New Roman" w:cs="Times New Roman"/>
          <w:b/>
          <w:sz w:val="24"/>
          <w:szCs w:val="24"/>
          <w:lang w:val="es-MX"/>
        </w:rPr>
      </w:pPr>
      <w:r w:rsidRPr="00FF153B">
        <w:rPr>
          <w:rFonts w:ascii="Times New Roman" w:eastAsia="Calibri" w:hAnsi="Times New Roman" w:cs="Times New Roman"/>
          <w:bCs/>
          <w:sz w:val="24"/>
          <w:szCs w:val="24"/>
          <w:lang w:val="es-MX"/>
        </w:rPr>
        <w:t>El desarrollo normativo para la exploración y explotación de yacimientos convencionales y no convencionales en Colombia, incluidos los de Rocas Generadoras</w:t>
      </w:r>
      <w:r w:rsidRPr="00FC4E89">
        <w:rPr>
          <w:rFonts w:ascii="Times New Roman" w:eastAsia="Calibri" w:hAnsi="Times New Roman" w:cs="Times New Roman"/>
          <w:b/>
          <w:sz w:val="24"/>
          <w:szCs w:val="24"/>
          <w:lang w:val="es-MX"/>
        </w:rPr>
        <w:t>.</w:t>
      </w:r>
    </w:p>
    <w:p w14:paraId="6E17E3DE" w14:textId="77777777" w:rsidR="00FC4E89" w:rsidRPr="00FC4E89" w:rsidRDefault="00FC4E89" w:rsidP="00FC4E89">
      <w:pPr>
        <w:contextualSpacing/>
        <w:jc w:val="both"/>
        <w:rPr>
          <w:rFonts w:ascii="Times New Roman" w:eastAsia="Calibri" w:hAnsi="Times New Roman" w:cs="Times New Roman"/>
          <w:b/>
          <w:sz w:val="24"/>
          <w:szCs w:val="24"/>
          <w:lang w:val="es-MX"/>
        </w:rPr>
      </w:pPr>
    </w:p>
    <w:p w14:paraId="258DB27D" w14:textId="77777777" w:rsidR="00FC4E89" w:rsidRPr="00FC4E89" w:rsidRDefault="00FC4E89" w:rsidP="00FC4E89">
      <w:pPr>
        <w:numPr>
          <w:ilvl w:val="0"/>
          <w:numId w:val="12"/>
        </w:numPr>
        <w:contextualSpacing/>
        <w:jc w:val="both"/>
        <w:rPr>
          <w:rFonts w:ascii="Times New Roman" w:eastAsia="Calibri" w:hAnsi="Times New Roman" w:cs="Times New Roman"/>
          <w:sz w:val="24"/>
          <w:szCs w:val="24"/>
          <w:lang w:val="es-MX"/>
        </w:rPr>
      </w:pPr>
      <w:proofErr w:type="spellStart"/>
      <w:r w:rsidRPr="00FC4E89">
        <w:rPr>
          <w:rFonts w:ascii="Times New Roman" w:eastAsia="Calibri" w:hAnsi="Times New Roman" w:cs="Times New Roman"/>
          <w:sz w:val="24"/>
          <w:szCs w:val="24"/>
          <w:lang w:val="es-MX"/>
        </w:rPr>
        <w:t>Conpes</w:t>
      </w:r>
      <w:proofErr w:type="spellEnd"/>
      <w:r w:rsidRPr="00FC4E89">
        <w:rPr>
          <w:rFonts w:ascii="Times New Roman" w:eastAsia="Calibri" w:hAnsi="Times New Roman" w:cs="Times New Roman"/>
          <w:sz w:val="24"/>
          <w:szCs w:val="24"/>
          <w:lang w:val="es-MX"/>
        </w:rPr>
        <w:t xml:space="preserve"> 3517 – 2008: “Recomendó a la ANH y al Ministerio de Minas y Energía consolidar el marco normativo, contractual y técnico para la asignación de los derechos de exploración y explotación de gas metano en depósitos de carbón y recomendó establecer un reglamento para la contratación de áreas para la exploración y producción de estos o proponer los ajustes pertinentes al reglamento de contratación vigente.”</w:t>
      </w:r>
    </w:p>
    <w:p w14:paraId="48051C2F" w14:textId="77777777" w:rsidR="00FC4E89" w:rsidRPr="00FC4E89" w:rsidRDefault="00FC4E89" w:rsidP="00FC4E89">
      <w:pPr>
        <w:numPr>
          <w:ilvl w:val="0"/>
          <w:numId w:val="12"/>
        </w:numPr>
        <w:contextualSpacing/>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Resolución No. 181495 del 28 de diciembre de 2009 del Ministerio de Minas y Energía. Por el cual se reglamenta técnicamente las actividades de exploración y explotación de hidrocarburos.</w:t>
      </w:r>
    </w:p>
    <w:p w14:paraId="07170873" w14:textId="77777777" w:rsidR="00FC4E89" w:rsidRPr="00FC4E89" w:rsidRDefault="00FC4E89" w:rsidP="00FC4E89">
      <w:pPr>
        <w:numPr>
          <w:ilvl w:val="0"/>
          <w:numId w:val="12"/>
        </w:numPr>
        <w:contextualSpacing/>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lastRenderedPageBreak/>
        <w:t>Decreto 381 del 16 de febrero de 2012 “Por el cual se modifica la estructura del Ministerio de Minas y Energía”: Este decreto determinó en el numeral 8 de su artículo 2º que es función del Ministerio de Minas y Energía expedir los reglamentos del sector para la exploración, explotación, transporte, refinación, distribución, procesamiento, beneficio, comercialización y exportación de recursos naturales no renovables y biocombustibles, lo cual ha sido sustento para la expedición de una serie de normas que reglamentan lo relacionado con la exploración y explotación de yacimientos no convencionales a través del fracturamiento hidráulico multietapa a través de pozos horizontales en Roca Generadora.</w:t>
      </w:r>
    </w:p>
    <w:p w14:paraId="19ABE14C" w14:textId="77777777" w:rsidR="00FC4E89" w:rsidRPr="00FC4E89" w:rsidRDefault="00FC4E89" w:rsidP="00FC4E89">
      <w:pPr>
        <w:numPr>
          <w:ilvl w:val="0"/>
          <w:numId w:val="12"/>
        </w:numPr>
        <w:contextualSpacing/>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Resolución No. 180742 del 16 de mayo de 2012: a través de la cual el Ministerio de Minas y Energía establece los procedimientos para la exploración y explotación de hidrocarburos en yacimientos no convencionales.</w:t>
      </w:r>
    </w:p>
    <w:p w14:paraId="71EED8F4" w14:textId="77777777" w:rsidR="00FC4E89" w:rsidRPr="00FC4E89" w:rsidRDefault="00FC4E89" w:rsidP="00FC4E89">
      <w:pPr>
        <w:numPr>
          <w:ilvl w:val="0"/>
          <w:numId w:val="12"/>
        </w:numPr>
        <w:contextualSpacing/>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Ley 1530 del 17 de mayo de 2012 “Por la cual se regula la organización y el funcionamiento del Sistema General de Regalías”: El artículo 13° de esta norma estableció que el Gobierno Nacional definiría los criterios y procedimientos que permitan desarrollar la exploración y explotación de recursos naturales no renovables técnica, económica y ambientalmente eficiente, así como los aspectos técnicos, tecnológicos, operativos y administrativos para ejercer la labor de fiscalización.</w:t>
      </w:r>
    </w:p>
    <w:p w14:paraId="7305F941" w14:textId="77777777" w:rsidR="00FC4E89" w:rsidRPr="00FC4E89" w:rsidRDefault="00FC4E89" w:rsidP="00FC4E89">
      <w:pPr>
        <w:numPr>
          <w:ilvl w:val="0"/>
          <w:numId w:val="12"/>
        </w:numPr>
        <w:contextualSpacing/>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Decreto 3004 del 26 de diciembre de 2013 “Por el cual se establecen los criterios y procedimientos para la exploración y explotación de hidrocarburos en yacimientos no convencionales”: Para los efectos de este decreto, su artículo primero estipuló que se entenderá por yacimiento no convencional la formación rocosa con baja permeabilidad primaria a la que se la debe realizar estimulación para mejorar las condiciones de movilidad y recobro de hidrocarburos, y así fijó un término de 6 meses para que el Ministerio de Minas y Energía expidiera normas técnicas y procedimientos en materia de integridad de pozos, estimulación hidráulica, inyección de agua de producción, fluidos de retorno y sobre otras materias técnicas asociadas a la exploración y explotación de los yacimientos no convencionales.</w:t>
      </w:r>
    </w:p>
    <w:p w14:paraId="4738331D" w14:textId="77777777" w:rsidR="00FC4E89" w:rsidRPr="00FC4E89" w:rsidRDefault="00FC4E89" w:rsidP="00FC4E89">
      <w:pPr>
        <w:numPr>
          <w:ilvl w:val="0"/>
          <w:numId w:val="12"/>
        </w:numPr>
        <w:contextualSpacing/>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lastRenderedPageBreak/>
        <w:t>Resolución No. 90341 del 27 de marzo de 2014 “Por la cual se establecen requerimientos técnicos y procedimientos para la exploración y explotación de hidrocarburos en yacimientos no convencionales”: Esta resolución se expidió con fundamento en el término estipulado por el Decreto 3004 del 26 de diciembre de 2013 para que el Ministerio de Minas y Energía expidiera las normas técnicas pertinentes para el desarrollo de la actividad, modificando y dando alcance al contenido de la Resolución 180742 del 16 de mayo de 2012.</w:t>
      </w:r>
    </w:p>
    <w:p w14:paraId="520DCD28" w14:textId="77777777" w:rsidR="00FC4E89" w:rsidRPr="00FC4E89" w:rsidRDefault="00FC4E89" w:rsidP="00FC4E89">
      <w:pPr>
        <w:numPr>
          <w:ilvl w:val="0"/>
          <w:numId w:val="12"/>
        </w:numPr>
        <w:contextualSpacing/>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Resolución No. 0421 del 20 de marzo de 2014 por la cual se adoptan términos de referencia para la elaboración de Estudios de Impacto Ambiental para los proyectos de perforación exploratoria de hidrocarburos y se toman otras determinaciones.</w:t>
      </w:r>
    </w:p>
    <w:p w14:paraId="76844767" w14:textId="77777777" w:rsidR="00FC4E89" w:rsidRPr="00FC4E89" w:rsidRDefault="00FC4E89" w:rsidP="00FC4E89">
      <w:pPr>
        <w:numPr>
          <w:ilvl w:val="0"/>
          <w:numId w:val="12"/>
        </w:numPr>
        <w:contextualSpacing/>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Acuerdo 03 de 2014 de la Agencia Nacional de Hidrocarburos “Por el cual se adiciona el Acuerdo 4 de 2012, con el objeto de incorporar al Reglamento de Contratación para Exploración y Explotación de Hidrocarburos parámetros y normas aplicables al desarrollo de Yacimientos No Convencionales, y se dictan disposiciones complementarias”: Este acuerdo se expidió con el fin de darle piso jurídico a la ejecución de programas especiales de exploración y producción que se acomodaran a las particularidades de los yacimientos no convencionales, incluyendo términos más flexibles y favorables para promover su desarrollo.</w:t>
      </w:r>
    </w:p>
    <w:p w14:paraId="4BB42C62" w14:textId="77777777" w:rsidR="00FC4E89" w:rsidRPr="00FC4E89" w:rsidRDefault="00FC4E89" w:rsidP="00FC4E89">
      <w:pPr>
        <w:numPr>
          <w:ilvl w:val="0"/>
          <w:numId w:val="12"/>
        </w:numPr>
        <w:contextualSpacing/>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Decreto 1073 de 2015, en lo relacionado con determinación de la participación en la liquidación de las regalías.</w:t>
      </w:r>
    </w:p>
    <w:p w14:paraId="5A179014" w14:textId="77777777" w:rsidR="00FC4E89" w:rsidRPr="00FC4E89" w:rsidRDefault="00FC4E89" w:rsidP="00FC4E89">
      <w:pPr>
        <w:numPr>
          <w:ilvl w:val="0"/>
          <w:numId w:val="12"/>
        </w:numPr>
        <w:contextualSpacing/>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Decreto compilatorio 1076 de 2015: Además de exponer las condiciones para los estudios de impacto ambiental, también se establecen condiciones y restricciones para el desarrollo del fracturamiento hidráulico multietapa a través de pozos horizontales en yacimientos no convencionales tipo roca generadora.</w:t>
      </w:r>
    </w:p>
    <w:p w14:paraId="54FF3F5B" w14:textId="77777777" w:rsidR="00FC4E89" w:rsidRPr="00FC4E89" w:rsidRDefault="00FC4E89" w:rsidP="00FC4E89">
      <w:pPr>
        <w:numPr>
          <w:ilvl w:val="0"/>
          <w:numId w:val="12"/>
        </w:numPr>
        <w:contextualSpacing/>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Decreto 1493 de 2015 del Ministerio de Minas y Energía, “por el cual se adiciona el Decreto Único Reglamentario del Sector Administrativo de Minas y Energía”.</w:t>
      </w:r>
    </w:p>
    <w:p w14:paraId="5F2E7C12" w14:textId="77777777" w:rsidR="00FC4E89" w:rsidRPr="00FC4E89" w:rsidRDefault="00FC4E89" w:rsidP="00FC4E89">
      <w:pPr>
        <w:numPr>
          <w:ilvl w:val="0"/>
          <w:numId w:val="12"/>
        </w:numPr>
        <w:contextualSpacing/>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Decreto 328 de 2020 del Ministerio de Minas y Energía, "por el cual se fijan lineamientos para adelantar Proyectos Piloto de Investigación Integral -PPI/ sobre Yacimientos No Convencionales -YNC de hidrocarburos con la utilización de la técnica de Fracturamiento Hidráulico Multietapa con Perforación Horizontal-FH-PH, y se dictan otras disposiciones"</w:t>
      </w:r>
    </w:p>
    <w:p w14:paraId="155A9B9A" w14:textId="77777777" w:rsidR="00FC4E89" w:rsidRPr="00FC4E89" w:rsidRDefault="00FC4E89" w:rsidP="00FC4E89">
      <w:pPr>
        <w:contextualSpacing/>
        <w:jc w:val="both"/>
        <w:rPr>
          <w:rFonts w:ascii="Times New Roman" w:eastAsia="Calibri" w:hAnsi="Times New Roman" w:cs="Times New Roman"/>
          <w:sz w:val="24"/>
          <w:szCs w:val="24"/>
          <w:lang w:val="es-MX"/>
        </w:rPr>
      </w:pPr>
    </w:p>
    <w:p w14:paraId="50102D59" w14:textId="77777777" w:rsidR="00FC4E89" w:rsidRPr="00FC4E89" w:rsidRDefault="00FC4E89" w:rsidP="00FC4E89">
      <w:pPr>
        <w:contextualSpacing/>
        <w:jc w:val="both"/>
        <w:rPr>
          <w:rFonts w:ascii="Times New Roman" w:eastAsia="Calibri" w:hAnsi="Times New Roman" w:cs="Times New Roman"/>
          <w:b/>
          <w:sz w:val="24"/>
          <w:szCs w:val="24"/>
          <w:lang w:val="es-MX"/>
        </w:rPr>
      </w:pPr>
      <w:r w:rsidRPr="00FC4E89">
        <w:rPr>
          <w:rFonts w:ascii="Times New Roman" w:eastAsia="Calibri" w:hAnsi="Times New Roman" w:cs="Times New Roman"/>
          <w:b/>
          <w:sz w:val="24"/>
          <w:szCs w:val="24"/>
          <w:lang w:val="es-MX"/>
        </w:rPr>
        <w:t>2.  principio de precaución y la protección del medio ambiente.</w:t>
      </w:r>
    </w:p>
    <w:p w14:paraId="17A89756" w14:textId="77777777" w:rsidR="00FC4E89" w:rsidRPr="00FC4E89" w:rsidRDefault="00FC4E89" w:rsidP="00FC4E89">
      <w:pPr>
        <w:contextualSpacing/>
        <w:jc w:val="both"/>
        <w:rPr>
          <w:rFonts w:ascii="Times New Roman" w:eastAsia="Calibri" w:hAnsi="Times New Roman" w:cs="Times New Roman"/>
          <w:b/>
          <w:sz w:val="24"/>
          <w:szCs w:val="24"/>
          <w:lang w:val="es-MX"/>
        </w:rPr>
      </w:pPr>
    </w:p>
    <w:p w14:paraId="39C27637" w14:textId="77777777" w:rsidR="00FC4E89" w:rsidRPr="00FC4E89" w:rsidRDefault="00FC4E89" w:rsidP="00FC4E89">
      <w:pPr>
        <w:contextualSpacing/>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Colombia, mediante la expedición de la Ley 164 de 1994 ratificó la Convención Marco de las Naciones Unidas sobre el Cambio Climático suscrita en Nueva York el 9 de marzo 1992, la cual consagró el principio de precaución, en a su artículo 3.3, de la siguiente manera:</w:t>
      </w:r>
    </w:p>
    <w:p w14:paraId="743DE9C1" w14:textId="77777777" w:rsidR="00FC4E89" w:rsidRPr="00FC4E89" w:rsidRDefault="00FC4E89" w:rsidP="00FC4E89">
      <w:pPr>
        <w:contextualSpacing/>
        <w:jc w:val="both"/>
        <w:rPr>
          <w:rFonts w:ascii="Times New Roman" w:eastAsia="Calibri" w:hAnsi="Times New Roman" w:cs="Times New Roman"/>
          <w:sz w:val="24"/>
          <w:szCs w:val="24"/>
          <w:lang w:val="es-MX"/>
        </w:rPr>
      </w:pPr>
    </w:p>
    <w:p w14:paraId="063D7FC9" w14:textId="77777777" w:rsidR="00FC4E89" w:rsidRPr="00FC4E89" w:rsidRDefault="00FC4E89" w:rsidP="00FC4E89">
      <w:pPr>
        <w:contextualSpacing/>
        <w:jc w:val="both"/>
        <w:rPr>
          <w:rFonts w:ascii="Times New Roman" w:eastAsia="Calibri" w:hAnsi="Times New Roman" w:cs="Times New Roman"/>
          <w:i/>
          <w:sz w:val="24"/>
          <w:szCs w:val="24"/>
          <w:lang w:val="es-MX"/>
        </w:rPr>
      </w:pPr>
      <w:r w:rsidRPr="00FC4E89">
        <w:rPr>
          <w:rFonts w:ascii="Times New Roman" w:eastAsia="Calibri" w:hAnsi="Times New Roman" w:cs="Times New Roman"/>
          <w:i/>
          <w:sz w:val="24"/>
          <w:szCs w:val="24"/>
          <w:lang w:val="es-MX"/>
        </w:rPr>
        <w:t>Las Partes deberían tomar medidas de precaución para prever, prevenir o reducir al mínimo las causas del cambio climático y mitigar sus efectos adversos. Cuando haya amenaza de daño grave o irreversible, no debería utilizarse la falta de total certidumbre científica como razón para posponer tales medidas, tomando en cuenta que las políticas y medidas para hacer frente al cambio climático deberían ser eficaces en función de los costos a fin de asegurar beneficios mundiales al menor costo posible. A tal fin, esas políticas y medidas deberían tener en cuenta los distintos contextos socioeconómicos, ser integrales, incluir todas las fuentes, sumideros y depósitos pertinentes de gases de efecto invernadero y abarcar todos los sectores económicos. Los esfuerzos para hacer frente al cambio climático pueden llevarse a cabo en cooperación entre las Partes interesadas.</w:t>
      </w:r>
    </w:p>
    <w:p w14:paraId="005C0070" w14:textId="77777777" w:rsidR="00FC4E89" w:rsidRPr="00FC4E89" w:rsidRDefault="00FC4E89" w:rsidP="00FC4E89">
      <w:pPr>
        <w:contextualSpacing/>
        <w:jc w:val="both"/>
        <w:rPr>
          <w:rFonts w:ascii="Times New Roman" w:eastAsia="Calibri" w:hAnsi="Times New Roman" w:cs="Times New Roman"/>
          <w:sz w:val="24"/>
          <w:szCs w:val="24"/>
          <w:lang w:val="es-MX"/>
        </w:rPr>
      </w:pPr>
    </w:p>
    <w:p w14:paraId="648987ED" w14:textId="77777777" w:rsidR="00FC4E89" w:rsidRPr="00FC4E89" w:rsidRDefault="00FC4E89" w:rsidP="00FC4E89">
      <w:pPr>
        <w:contextualSpacing/>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Por su parte, la Declaración de Río de Janeiro sobre el medio ambiente y el desarrollo consagró en su principio No. 15 que:</w:t>
      </w:r>
    </w:p>
    <w:p w14:paraId="0B3074A1" w14:textId="77777777" w:rsidR="00FC4E89" w:rsidRPr="00FC4E89" w:rsidRDefault="00FC4E89" w:rsidP="00FC4E89">
      <w:pPr>
        <w:contextualSpacing/>
        <w:jc w:val="both"/>
        <w:rPr>
          <w:rFonts w:ascii="Times New Roman" w:eastAsia="Calibri" w:hAnsi="Times New Roman" w:cs="Times New Roman"/>
          <w:i/>
          <w:sz w:val="24"/>
          <w:szCs w:val="24"/>
          <w:lang w:val="es-MX"/>
        </w:rPr>
      </w:pPr>
    </w:p>
    <w:p w14:paraId="5CF70B12" w14:textId="77777777" w:rsidR="00FC4E89" w:rsidRPr="00FC4E89" w:rsidRDefault="00FC4E89" w:rsidP="00FC4E89">
      <w:pPr>
        <w:contextualSpacing/>
        <w:jc w:val="both"/>
        <w:rPr>
          <w:rFonts w:ascii="Times New Roman" w:eastAsia="Calibri" w:hAnsi="Times New Roman" w:cs="Times New Roman"/>
          <w:i/>
          <w:sz w:val="24"/>
          <w:szCs w:val="24"/>
          <w:lang w:val="es-MX"/>
        </w:rPr>
      </w:pPr>
      <w:r w:rsidRPr="00FC4E89">
        <w:rPr>
          <w:rFonts w:ascii="Times New Roman" w:eastAsia="Calibri" w:hAnsi="Times New Roman" w:cs="Times New Roman"/>
          <w:i/>
          <w:sz w:val="24"/>
          <w:szCs w:val="24"/>
          <w:lang w:val="es-MX"/>
        </w:rPr>
        <w:t>Con el fin de proteger el medio ambiente, los Estados deberán aplicar ampliamente el criterio de precaución conforme a sus capacidades. Cuando haya peligro de daño grave o irreversible, la falta de certeza científica absoluta no deberá utilizarse como razón para postergar la adopción de medidas eficaces en función de los costos para impedir la degradación del medio ambiente.</w:t>
      </w:r>
    </w:p>
    <w:p w14:paraId="0C708F6D" w14:textId="77777777" w:rsidR="00FC4E89" w:rsidRPr="00FC4E89" w:rsidRDefault="00FC4E89" w:rsidP="00FC4E89">
      <w:pPr>
        <w:contextualSpacing/>
        <w:jc w:val="both"/>
        <w:rPr>
          <w:rFonts w:ascii="Times New Roman" w:eastAsia="Calibri" w:hAnsi="Times New Roman" w:cs="Times New Roman"/>
          <w:i/>
          <w:sz w:val="24"/>
          <w:szCs w:val="24"/>
          <w:lang w:val="es-MX"/>
        </w:rPr>
      </w:pPr>
    </w:p>
    <w:p w14:paraId="553B12ED" w14:textId="77777777" w:rsidR="00FC4E89" w:rsidRPr="00FC4E89" w:rsidRDefault="00FC4E89" w:rsidP="00FC4E89">
      <w:pPr>
        <w:contextualSpacing/>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Este principio fue incorporado en nuestro ordenamiento interno con a través del numeral 1 del artículo primero de la Ley 99 de 1993, que estipuló:</w:t>
      </w:r>
    </w:p>
    <w:p w14:paraId="5651EF21" w14:textId="77777777" w:rsidR="00FC4E89" w:rsidRPr="00FC4E89" w:rsidRDefault="00FC4E89" w:rsidP="00FC4E89">
      <w:pPr>
        <w:contextualSpacing/>
        <w:jc w:val="both"/>
        <w:rPr>
          <w:rFonts w:ascii="Times New Roman" w:eastAsia="Calibri" w:hAnsi="Times New Roman" w:cs="Times New Roman"/>
          <w:sz w:val="24"/>
          <w:szCs w:val="24"/>
          <w:lang w:val="es-MX"/>
        </w:rPr>
      </w:pPr>
    </w:p>
    <w:p w14:paraId="204FA772" w14:textId="77777777" w:rsidR="00FC4E89" w:rsidRPr="00FC4E89" w:rsidRDefault="00FC4E89" w:rsidP="00FC4E89">
      <w:pPr>
        <w:contextualSpacing/>
        <w:jc w:val="both"/>
        <w:rPr>
          <w:rFonts w:ascii="Times New Roman" w:eastAsia="Calibri" w:hAnsi="Times New Roman" w:cs="Times New Roman"/>
          <w:sz w:val="24"/>
          <w:szCs w:val="24"/>
          <w:lang w:val="es-MX"/>
        </w:rPr>
      </w:pPr>
      <w:r w:rsidRPr="00FC4E89">
        <w:rPr>
          <w:rFonts w:ascii="Times New Roman" w:eastAsia="Calibri" w:hAnsi="Times New Roman" w:cs="Times New Roman"/>
          <w:i/>
          <w:sz w:val="24"/>
          <w:szCs w:val="24"/>
          <w:lang w:val="es-MX"/>
        </w:rPr>
        <w:t>El proceso de desarrollo económico y social del país se orientará según los principios universales y del desarrollo sostenible contenidos en la Declaración de Río de Janeiro de junio de 1992 sobre Medio Ambiente y Desarrollo</w:t>
      </w:r>
      <w:r w:rsidRPr="00FC4E89">
        <w:rPr>
          <w:rFonts w:ascii="Times New Roman" w:eastAsia="Calibri" w:hAnsi="Times New Roman" w:cs="Times New Roman"/>
          <w:sz w:val="24"/>
          <w:szCs w:val="24"/>
          <w:lang w:val="es-MX"/>
        </w:rPr>
        <w:t>.</w:t>
      </w:r>
    </w:p>
    <w:p w14:paraId="2AD78DD1" w14:textId="77777777" w:rsidR="00FC4E89" w:rsidRPr="00FC4E89" w:rsidRDefault="00FC4E89" w:rsidP="00FC4E89">
      <w:pPr>
        <w:contextualSpacing/>
        <w:jc w:val="both"/>
        <w:rPr>
          <w:rFonts w:ascii="Times New Roman" w:eastAsia="Calibri" w:hAnsi="Times New Roman" w:cs="Times New Roman"/>
          <w:sz w:val="24"/>
          <w:szCs w:val="24"/>
          <w:lang w:val="es-MX"/>
        </w:rPr>
      </w:pPr>
    </w:p>
    <w:p w14:paraId="2A6856C1" w14:textId="77777777" w:rsidR="00FC4E89" w:rsidRPr="00FC4E89" w:rsidRDefault="00FC4E89" w:rsidP="00FC4E89">
      <w:pPr>
        <w:contextualSpacing/>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Adicionalmente, el principio de precaución ha sido incluido en diversos tratados internacionales sobre protección del medio ambiente, como el Convenio de Estocolmo sobre Contaminantes Orgánicos Persistentes ratificados por 32 Estados Miembros de la OEA; el Convenio sobre la Diversidad Biológica ratificado por 34 Estados Miembros; Convenio sobre la protección y utilización de los cursos de agua transfronterizos y de los lagos internacionales de la comisión Económica para Europa; Convención de Bamako sobre la prohibición de la importación a África, la fiscalización de los movimientos transfronterizos y la gestión dentro de África de desechos peligrosos; la Convención para la Protección del Medio Ambiente Marino y la Zona Costera del Atlántico Nordeste; la Convención sobre la Protección del Medio Marino de la Zona del Mar Báltico; el Convenio Marco para la Protección del Medio Marino del Mar Caspio; Declaración Ministerial de la Conferencia Internacional sobre la Protección del Mar del Norte; el Protocolo sobre la Protección del Mar Mediterráneo contra la contaminación de origen terrestre; el Convenio sobre la cooperación para la protección y el uso sostenible del Danubio y el Convenio sobre la protección del Rin.</w:t>
      </w:r>
    </w:p>
    <w:p w14:paraId="7FD4FD0E" w14:textId="77777777" w:rsidR="00FC4E89" w:rsidRPr="00FC4E89" w:rsidRDefault="00FC4E89" w:rsidP="00FC4E89">
      <w:pPr>
        <w:contextualSpacing/>
        <w:jc w:val="both"/>
        <w:rPr>
          <w:rFonts w:ascii="Times New Roman" w:eastAsia="Calibri" w:hAnsi="Times New Roman" w:cs="Times New Roman"/>
          <w:sz w:val="24"/>
          <w:szCs w:val="24"/>
          <w:lang w:val="es-MX"/>
        </w:rPr>
      </w:pPr>
    </w:p>
    <w:p w14:paraId="28FD0536" w14:textId="77777777" w:rsidR="00FC4E89" w:rsidRPr="00FC4E89" w:rsidRDefault="00FC4E89" w:rsidP="00FC4E89">
      <w:pPr>
        <w:contextualSpacing/>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Al igual que Colombia, otros países miembros de la OEA han incorporado el principio de precaución en su normatividad interna, tales como Antigua y Barbuda, Argentina, Canadá, Cuba, Ecuador, México, Perú, República Dominicana, Chile, Panamá y Uruguay.</w:t>
      </w:r>
    </w:p>
    <w:p w14:paraId="0DBDBDAA" w14:textId="77777777" w:rsidR="00FC4E89" w:rsidRPr="00FC4E89" w:rsidRDefault="00FC4E89" w:rsidP="00FC4E89">
      <w:pPr>
        <w:contextualSpacing/>
        <w:jc w:val="both"/>
        <w:rPr>
          <w:rFonts w:ascii="Times New Roman" w:eastAsia="Calibri" w:hAnsi="Times New Roman" w:cs="Times New Roman"/>
          <w:sz w:val="24"/>
          <w:szCs w:val="24"/>
          <w:lang w:val="es-MX"/>
        </w:rPr>
      </w:pPr>
    </w:p>
    <w:p w14:paraId="4321DC74" w14:textId="77777777" w:rsidR="00FC4E89" w:rsidRPr="00FC4E89" w:rsidRDefault="00FC4E89" w:rsidP="00FC4E89">
      <w:pPr>
        <w:contextualSpacing/>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La Corte Interamericana de Derechos Humanos ha dicho que el principio de precaución, en materia ambiental, se refiera a las medidas que se deben adoptar en casos donde no existe certeza científica sobre el impacto que pueda tener una actividad en el medio ambiente.</w:t>
      </w:r>
    </w:p>
    <w:p w14:paraId="051322BD" w14:textId="77777777" w:rsidR="00FC4E89" w:rsidRPr="00FC4E89" w:rsidRDefault="00FC4E89" w:rsidP="00FC4E89">
      <w:pPr>
        <w:contextualSpacing/>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En nuestro derecho interno, además de la Ley 99 de 1993, el artículo 79 de la Constitución Política prescribe que todas las personas tienen derecho a gozar de un ambiente sano:</w:t>
      </w:r>
    </w:p>
    <w:p w14:paraId="4A2862E8" w14:textId="77777777" w:rsidR="00FC4E89" w:rsidRPr="00FC4E89" w:rsidRDefault="00FC4E89" w:rsidP="00FC4E89">
      <w:pPr>
        <w:contextualSpacing/>
        <w:jc w:val="both"/>
        <w:rPr>
          <w:rFonts w:ascii="Times New Roman" w:eastAsia="Calibri" w:hAnsi="Times New Roman" w:cs="Times New Roman"/>
          <w:sz w:val="24"/>
          <w:szCs w:val="24"/>
          <w:lang w:val="es-MX"/>
        </w:rPr>
      </w:pPr>
    </w:p>
    <w:p w14:paraId="0A674B9B" w14:textId="77777777" w:rsidR="00FC4E89" w:rsidRPr="00FC4E89" w:rsidRDefault="00FC4E89" w:rsidP="00FC4E89">
      <w:pPr>
        <w:contextualSpacing/>
        <w:jc w:val="both"/>
        <w:rPr>
          <w:rFonts w:ascii="Times New Roman" w:eastAsia="Calibri" w:hAnsi="Times New Roman" w:cs="Times New Roman"/>
          <w:i/>
          <w:sz w:val="24"/>
          <w:szCs w:val="24"/>
          <w:lang w:val="es-MX"/>
        </w:rPr>
      </w:pPr>
      <w:r w:rsidRPr="00FC4E89">
        <w:rPr>
          <w:rFonts w:ascii="Times New Roman" w:eastAsia="Calibri" w:hAnsi="Times New Roman" w:cs="Times New Roman"/>
          <w:i/>
          <w:sz w:val="24"/>
          <w:szCs w:val="24"/>
          <w:lang w:val="es-MX"/>
        </w:rPr>
        <w:t>ARTICULO 79. Todas las personas tienen derecho a gozar de un ambiente sano. La ley garantizará la participación de la comunidad en las decisiones que puedan afectarlo.</w:t>
      </w:r>
    </w:p>
    <w:p w14:paraId="37CC2D4F" w14:textId="77777777" w:rsidR="00FC4E89" w:rsidRPr="00FC4E89" w:rsidRDefault="00FC4E89" w:rsidP="00FC4E89">
      <w:pPr>
        <w:contextualSpacing/>
        <w:jc w:val="both"/>
        <w:rPr>
          <w:rFonts w:ascii="Times New Roman" w:eastAsia="Calibri" w:hAnsi="Times New Roman" w:cs="Times New Roman"/>
          <w:i/>
          <w:sz w:val="24"/>
          <w:szCs w:val="24"/>
          <w:lang w:val="es-MX"/>
        </w:rPr>
      </w:pPr>
    </w:p>
    <w:p w14:paraId="2EF30BCA" w14:textId="77777777" w:rsidR="00FC4E89" w:rsidRPr="00FC4E89" w:rsidRDefault="00FC4E89" w:rsidP="00FC4E89">
      <w:pPr>
        <w:contextualSpacing/>
        <w:jc w:val="both"/>
        <w:rPr>
          <w:rFonts w:ascii="Times New Roman" w:eastAsia="Calibri" w:hAnsi="Times New Roman" w:cs="Times New Roman"/>
          <w:i/>
          <w:sz w:val="24"/>
          <w:szCs w:val="24"/>
          <w:lang w:val="es-MX"/>
        </w:rPr>
      </w:pPr>
      <w:r w:rsidRPr="00FC4E89">
        <w:rPr>
          <w:rFonts w:ascii="Times New Roman" w:eastAsia="Calibri" w:hAnsi="Times New Roman" w:cs="Times New Roman"/>
          <w:i/>
          <w:sz w:val="24"/>
          <w:szCs w:val="24"/>
          <w:lang w:val="es-MX"/>
        </w:rPr>
        <w:t>Es deber del Estado proteger la diversidad e integridad del ambiente, conservar las áreas de especial importancia ecológica y fomentar la educación para el logro de estos fines.</w:t>
      </w:r>
    </w:p>
    <w:p w14:paraId="3D1800ED" w14:textId="77777777" w:rsidR="00FC4E89" w:rsidRPr="00FC4E89" w:rsidRDefault="00FC4E89" w:rsidP="00FC4E89">
      <w:pPr>
        <w:contextualSpacing/>
        <w:jc w:val="both"/>
        <w:rPr>
          <w:rFonts w:ascii="Times New Roman" w:eastAsia="Calibri" w:hAnsi="Times New Roman" w:cs="Times New Roman"/>
          <w:i/>
          <w:sz w:val="24"/>
          <w:szCs w:val="24"/>
          <w:lang w:val="es-MX"/>
        </w:rPr>
      </w:pPr>
    </w:p>
    <w:p w14:paraId="5CE854F2" w14:textId="77777777" w:rsidR="00FC4E89" w:rsidRPr="00FC4E89" w:rsidRDefault="00FC4E89" w:rsidP="00FC4E89">
      <w:pPr>
        <w:contextualSpacing/>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lastRenderedPageBreak/>
        <w:t xml:space="preserve">En la misma línea, de acuerdo con el artículo 80 constitucional, el Estado es el planificador del manejo y aprovechamiento de los recursos naturales, con el fin de garantizar su desarrollo sostenible, su conservación, restauración o sustitución y </w:t>
      </w:r>
      <w:r w:rsidRPr="00FC4E89">
        <w:rPr>
          <w:rFonts w:ascii="Times New Roman" w:eastAsia="Calibri" w:hAnsi="Times New Roman" w:cs="Times New Roman"/>
          <w:i/>
          <w:sz w:val="24"/>
          <w:szCs w:val="24"/>
          <w:lang w:val="es-MX"/>
        </w:rPr>
        <w:t>“prevenir y controlar los efectos de deterioro ambiental”.</w:t>
      </w:r>
    </w:p>
    <w:p w14:paraId="580FA161" w14:textId="77777777" w:rsidR="00FC4E89" w:rsidRPr="00FC4E89" w:rsidRDefault="00FC4E89" w:rsidP="00FC4E89">
      <w:pPr>
        <w:contextualSpacing/>
        <w:jc w:val="both"/>
        <w:rPr>
          <w:rFonts w:ascii="Times New Roman" w:eastAsia="Calibri" w:hAnsi="Times New Roman" w:cs="Times New Roman"/>
          <w:sz w:val="24"/>
          <w:szCs w:val="24"/>
          <w:lang w:val="es-MX"/>
        </w:rPr>
      </w:pPr>
    </w:p>
    <w:p w14:paraId="6AAEDB6E" w14:textId="77777777" w:rsidR="00FC4E89" w:rsidRPr="00FC4E89" w:rsidRDefault="00FC4E89" w:rsidP="00FC4E89">
      <w:pPr>
        <w:contextualSpacing/>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 xml:space="preserve">De esta manera, Nuestra Constitución provee una combinación de obligaciones del Estado y de los ciudadanos junto a un derecho individual (artículos 8, 95 numeral 8 y 366). Es así como se advierte un enfoque que aborda la cuestión ambiental desde los puntos de vista ético, económico y jurídico: Desde el plano ético se construye un principio </w:t>
      </w:r>
      <w:proofErr w:type="spellStart"/>
      <w:r w:rsidRPr="00FC4E89">
        <w:rPr>
          <w:rFonts w:ascii="Times New Roman" w:eastAsia="Calibri" w:hAnsi="Times New Roman" w:cs="Times New Roman"/>
          <w:sz w:val="24"/>
          <w:szCs w:val="24"/>
          <w:lang w:val="es-MX"/>
        </w:rPr>
        <w:t>biocéntrico</w:t>
      </w:r>
      <w:proofErr w:type="spellEnd"/>
      <w:r w:rsidRPr="00FC4E89">
        <w:rPr>
          <w:rFonts w:ascii="Times New Roman" w:eastAsia="Calibri" w:hAnsi="Times New Roman" w:cs="Times New Roman"/>
          <w:sz w:val="24"/>
          <w:szCs w:val="24"/>
          <w:lang w:val="es-MX"/>
        </w:rPr>
        <w:t xml:space="preserve"> que considera al hombre como parte de la naturaleza, otorgándoles a ambos valores. Desde el plano económico, el sistema productivo ya no puede extraer recursos ni producir desechos ilimitadamente, debiendo sujetarse al interés social, al ambiente y al patrimonio cultural de la nación; encuentra, además, como límites el bien común y la dirección general a cargo del Estado. En el plano jurídico el Derecho y el Estado no solamente deben proteger la dignidad y la libertad del hombre frente a otros hombres, sino ante la amenaza que representa la explotación y el agotamiento de los recursos naturales; para lo cual deben elaborar nuevos valores, normas, técnicas jurídicas y principios donde prime la tutela de valores colectivos frente a valores individuales.</w:t>
      </w:r>
    </w:p>
    <w:p w14:paraId="5124F8F4" w14:textId="77777777" w:rsidR="00FC4E89" w:rsidRPr="00FC4E89" w:rsidRDefault="00FC4E89" w:rsidP="00FC4E89">
      <w:pPr>
        <w:contextualSpacing/>
        <w:jc w:val="both"/>
        <w:rPr>
          <w:rFonts w:ascii="Times New Roman" w:eastAsia="Calibri" w:hAnsi="Times New Roman" w:cs="Times New Roman"/>
          <w:sz w:val="24"/>
          <w:szCs w:val="24"/>
          <w:lang w:val="es-MX"/>
        </w:rPr>
      </w:pPr>
    </w:p>
    <w:p w14:paraId="126F9B5C" w14:textId="77777777" w:rsidR="00FC4E89" w:rsidRPr="00FC4E89" w:rsidRDefault="00FC4E89" w:rsidP="00FC4E89">
      <w:pPr>
        <w:contextualSpacing/>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La misma Ley 99, en el numeral 6to del artículo 1 ordena tener en cuenta para la adopción de políticas ambientales el resultado de un proceso de investigación científica y recurrir al principio de precaución cuando exista peligro de daño grave o irreversible y ausencia de certeza científica.</w:t>
      </w:r>
    </w:p>
    <w:p w14:paraId="5EA7CF6B" w14:textId="77777777" w:rsidR="00FC4E89" w:rsidRPr="00FC4E89" w:rsidRDefault="00FC4E89" w:rsidP="00FC4E89">
      <w:pPr>
        <w:contextualSpacing/>
        <w:jc w:val="both"/>
        <w:rPr>
          <w:rFonts w:ascii="Times New Roman" w:eastAsia="Calibri" w:hAnsi="Times New Roman" w:cs="Times New Roman"/>
          <w:sz w:val="24"/>
          <w:szCs w:val="24"/>
          <w:lang w:val="es-MX"/>
        </w:rPr>
      </w:pPr>
    </w:p>
    <w:p w14:paraId="66CD2225" w14:textId="77777777" w:rsidR="00FC4E89" w:rsidRPr="00FC4E89" w:rsidRDefault="00FC4E89" w:rsidP="00FC4E89">
      <w:pPr>
        <w:contextualSpacing/>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Entonces, ante la duda sobre los posibles daños que pueda causar una actividad al medio ambiente se le debe dar prioridad a la protección de éste, por lo que la precaución no solo atiende en su ejercicio a las consecuencias de los actos, sino que principalmente exige una postura activa del Estado en anticipación, que con un objetivo de previsión de la futura situación medioambiental a efectos de optimizar el entorno de la vida natural36; en total oposición a la serie de medidas que han venido siendo adoptadas por distintos gobiernos en preparación del piso jurídico que le diera vía libre a la exploración y explotación de yacimientos no convencionales mediante el fracturamiento hidráulico multietapa a través de pozos horizontales en roca generadora.</w:t>
      </w:r>
    </w:p>
    <w:p w14:paraId="66A3E352" w14:textId="77777777" w:rsidR="00FC4E89" w:rsidRPr="00FC4E89" w:rsidRDefault="00FC4E89" w:rsidP="00FC4E89">
      <w:pPr>
        <w:contextualSpacing/>
        <w:jc w:val="both"/>
        <w:rPr>
          <w:rFonts w:ascii="Times New Roman" w:eastAsia="Calibri" w:hAnsi="Times New Roman" w:cs="Times New Roman"/>
          <w:sz w:val="24"/>
          <w:szCs w:val="24"/>
          <w:lang w:val="es-MX"/>
        </w:rPr>
      </w:pPr>
    </w:p>
    <w:p w14:paraId="3854A0A0" w14:textId="77777777" w:rsidR="00FC4E89" w:rsidRPr="00FC4E89" w:rsidRDefault="00FC4E89" w:rsidP="00FC4E89">
      <w:pPr>
        <w:contextualSpacing/>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El Estado colombiano ha venido ignorando que la protección al medio ambiente es un principio de orden económico, en especial para actividades de la industria extractiva, por la gran cantidad de externalidades que produce.</w:t>
      </w:r>
    </w:p>
    <w:p w14:paraId="21A2D9D1" w14:textId="77777777" w:rsidR="00FC4E89" w:rsidRPr="00FC4E89" w:rsidRDefault="00FC4E89" w:rsidP="00FC4E89">
      <w:pPr>
        <w:contextualSpacing/>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La Corte Constitucional ha aplicado ya el principio de precaución en actividades de aspersión con glifosato en cultivos de uso ilícitos y en otras actividades de exploración y explotación de recursos naturales.</w:t>
      </w:r>
    </w:p>
    <w:p w14:paraId="7F8AE989" w14:textId="77777777" w:rsidR="00FC4E89" w:rsidRPr="00FC4E89" w:rsidRDefault="00FC4E89" w:rsidP="00FC4E89">
      <w:pPr>
        <w:contextualSpacing/>
        <w:jc w:val="both"/>
        <w:rPr>
          <w:rFonts w:ascii="Times New Roman" w:eastAsia="Calibri" w:hAnsi="Times New Roman" w:cs="Times New Roman"/>
          <w:sz w:val="24"/>
          <w:szCs w:val="24"/>
          <w:lang w:val="es-MX"/>
        </w:rPr>
      </w:pPr>
    </w:p>
    <w:p w14:paraId="0F2E18F8" w14:textId="77777777" w:rsidR="00FC4E89" w:rsidRPr="00FC4E89" w:rsidRDefault="00FC4E89" w:rsidP="00FC4E89">
      <w:pPr>
        <w:contextualSpacing/>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 xml:space="preserve">De las consideraciones técnicas expuestas líneas arriba hemos podido identificar que el </w:t>
      </w:r>
      <w:proofErr w:type="spellStart"/>
      <w:r w:rsidRPr="00FC4E89">
        <w:rPr>
          <w:rFonts w:ascii="Times New Roman" w:eastAsia="Calibri" w:hAnsi="Times New Roman" w:cs="Times New Roman"/>
          <w:sz w:val="24"/>
          <w:szCs w:val="24"/>
          <w:lang w:val="es-MX"/>
        </w:rPr>
        <w:t>fracking</w:t>
      </w:r>
      <w:proofErr w:type="spellEnd"/>
      <w:r w:rsidRPr="00FC4E89">
        <w:rPr>
          <w:rFonts w:ascii="Times New Roman" w:eastAsia="Calibri" w:hAnsi="Times New Roman" w:cs="Times New Roman"/>
          <w:sz w:val="24"/>
          <w:szCs w:val="24"/>
          <w:lang w:val="es-MX"/>
        </w:rPr>
        <w:t xml:space="preserve"> implica la existencia de una posibilidad real de un riesgo, que sea grave e irreversible y es necesario certeza científica, así no sea absoluta de las consecuencias que estos riesgos implican para el medio ambiente y la vida.</w:t>
      </w:r>
    </w:p>
    <w:p w14:paraId="7680A0A8" w14:textId="77777777" w:rsidR="00FC4E89" w:rsidRPr="00FC4E89" w:rsidRDefault="00FC4E89" w:rsidP="00FC4E89">
      <w:pPr>
        <w:contextualSpacing/>
        <w:jc w:val="both"/>
        <w:rPr>
          <w:rFonts w:ascii="Times New Roman" w:eastAsia="Calibri" w:hAnsi="Times New Roman" w:cs="Times New Roman"/>
          <w:sz w:val="24"/>
          <w:szCs w:val="24"/>
          <w:lang w:val="es-MX"/>
        </w:rPr>
      </w:pPr>
    </w:p>
    <w:p w14:paraId="3FA04092" w14:textId="77777777" w:rsidR="00FC4E89" w:rsidRPr="00FC4E89" w:rsidRDefault="00FC4E89" w:rsidP="00FC4E89">
      <w:pPr>
        <w:contextualSpacing/>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Por ende, a la luz del principio de precaución y prevención en materia ambiental, la autorización en Colombia de la fracturación hidráulica debe ser reversada debido a su potencialidad de causar daños al medio ambiente y a la salud humana, cuya gravedad sea irreversible; y esto no sería ajeno a lo que ha sucedido en otros países, como se señalará posteriormente.</w:t>
      </w:r>
    </w:p>
    <w:p w14:paraId="01D9FE7B" w14:textId="77777777" w:rsidR="00FC4E89" w:rsidRPr="00FC4E89" w:rsidRDefault="00FC4E89" w:rsidP="00FC4E89">
      <w:pPr>
        <w:contextualSpacing/>
        <w:jc w:val="both"/>
        <w:rPr>
          <w:rFonts w:ascii="Times New Roman" w:eastAsia="Calibri" w:hAnsi="Times New Roman" w:cs="Times New Roman"/>
          <w:b/>
          <w:sz w:val="24"/>
          <w:szCs w:val="24"/>
          <w:lang w:val="es-MX"/>
        </w:rPr>
      </w:pPr>
    </w:p>
    <w:p w14:paraId="23045534" w14:textId="77777777" w:rsidR="00FC4E89" w:rsidRPr="00FC4E89" w:rsidRDefault="00FC4E89" w:rsidP="00FC4E89">
      <w:pPr>
        <w:contextualSpacing/>
        <w:jc w:val="both"/>
        <w:rPr>
          <w:rFonts w:ascii="Times New Roman" w:eastAsia="Calibri" w:hAnsi="Times New Roman" w:cs="Times New Roman"/>
          <w:b/>
          <w:sz w:val="24"/>
          <w:szCs w:val="24"/>
          <w:lang w:val="es-MX"/>
        </w:rPr>
      </w:pPr>
    </w:p>
    <w:p w14:paraId="78457F49" w14:textId="09BC149A" w:rsidR="00FC4E89" w:rsidRDefault="00FC4E89" w:rsidP="00FC4E89">
      <w:pPr>
        <w:numPr>
          <w:ilvl w:val="0"/>
          <w:numId w:val="5"/>
        </w:numPr>
        <w:contextualSpacing/>
        <w:jc w:val="both"/>
        <w:rPr>
          <w:rFonts w:ascii="Times New Roman" w:eastAsia="Calibri" w:hAnsi="Times New Roman" w:cs="Times New Roman"/>
          <w:b/>
          <w:sz w:val="24"/>
          <w:szCs w:val="24"/>
          <w:lang w:val="es-MX"/>
        </w:rPr>
      </w:pPr>
      <w:r w:rsidRPr="00FC4E89">
        <w:rPr>
          <w:rFonts w:ascii="Times New Roman" w:eastAsia="Calibri" w:hAnsi="Times New Roman" w:cs="Times New Roman"/>
          <w:b/>
          <w:sz w:val="24"/>
          <w:szCs w:val="24"/>
          <w:lang w:val="es-MX"/>
        </w:rPr>
        <w:t>DERECHO COMPARADO.</w:t>
      </w:r>
    </w:p>
    <w:p w14:paraId="0F6F0967" w14:textId="77777777" w:rsidR="00FF153B" w:rsidRPr="00FC4E89" w:rsidRDefault="00FF153B" w:rsidP="00FF153B">
      <w:pPr>
        <w:ind w:left="720"/>
        <w:contextualSpacing/>
        <w:jc w:val="both"/>
        <w:rPr>
          <w:rFonts w:ascii="Times New Roman" w:eastAsia="Calibri" w:hAnsi="Times New Roman" w:cs="Times New Roman"/>
          <w:b/>
          <w:sz w:val="24"/>
          <w:szCs w:val="24"/>
          <w:lang w:val="es-MX"/>
        </w:rPr>
      </w:pPr>
    </w:p>
    <w:p w14:paraId="1D310ABC" w14:textId="77777777" w:rsidR="00FC4E89" w:rsidRPr="00FC4E89" w:rsidRDefault="00FC4E89" w:rsidP="00FC4E89">
      <w:pPr>
        <w:spacing w:before="80" w:after="80" w:line="240" w:lineRule="auto"/>
        <w:jc w:val="both"/>
        <w:rPr>
          <w:rFonts w:ascii="Times New Roman" w:eastAsia="Times New Roman" w:hAnsi="Times New Roman" w:cs="Times New Roman"/>
          <w:color w:val="000000"/>
          <w:sz w:val="24"/>
          <w:szCs w:val="24"/>
          <w:lang w:eastAsia="es-CO"/>
        </w:rPr>
      </w:pPr>
      <w:r w:rsidRPr="00FC4E89">
        <w:rPr>
          <w:rFonts w:ascii="Times New Roman" w:eastAsia="Times New Roman" w:hAnsi="Times New Roman" w:cs="Times New Roman"/>
          <w:color w:val="000000"/>
          <w:sz w:val="24"/>
          <w:szCs w:val="24"/>
          <w:lang w:val="es-MX" w:eastAsia="es-CO"/>
        </w:rPr>
        <w:t>Muchos países del mundo y Estados de Estados Unidos, Australia y Canadá han prohibido el uso combinado de las técnicas no convencionales de fracturamiento hidráulico multietapa y la perforación horizontal desde plataformas multipozo en rocas generadoras de hidrocarburos.</w:t>
      </w:r>
      <w:r w:rsidRPr="00FC4E89">
        <w:rPr>
          <w:rFonts w:ascii="Times New Roman" w:eastAsia="Times New Roman" w:hAnsi="Times New Roman" w:cs="Times New Roman"/>
          <w:color w:val="000000"/>
          <w:sz w:val="24"/>
          <w:szCs w:val="24"/>
          <w:lang w:eastAsia="es-CO"/>
        </w:rPr>
        <w:t xml:space="preserve"> </w:t>
      </w:r>
    </w:p>
    <w:p w14:paraId="7D758178" w14:textId="77777777" w:rsidR="00FC4E89" w:rsidRPr="00FC4E89" w:rsidRDefault="00FC4E89" w:rsidP="00FC4E89">
      <w:pPr>
        <w:numPr>
          <w:ilvl w:val="0"/>
          <w:numId w:val="23"/>
        </w:numPr>
        <w:spacing w:before="80" w:after="80" w:line="240" w:lineRule="auto"/>
        <w:contextualSpacing/>
        <w:jc w:val="both"/>
        <w:rPr>
          <w:rFonts w:ascii="Times New Roman" w:eastAsia="Times New Roman" w:hAnsi="Times New Roman" w:cs="Times New Roman"/>
          <w:b/>
          <w:color w:val="000000"/>
          <w:sz w:val="24"/>
          <w:szCs w:val="24"/>
          <w:u w:val="single"/>
          <w:lang w:eastAsia="es-CO"/>
        </w:rPr>
      </w:pPr>
      <w:r w:rsidRPr="00FC4E89">
        <w:rPr>
          <w:rFonts w:ascii="Times New Roman" w:eastAsia="Times New Roman" w:hAnsi="Times New Roman" w:cs="Times New Roman"/>
          <w:b/>
          <w:color w:val="000000"/>
          <w:sz w:val="24"/>
          <w:szCs w:val="24"/>
          <w:lang w:eastAsia="es-CO"/>
        </w:rPr>
        <w:t>Francia</w:t>
      </w:r>
      <w:r w:rsidRPr="00FC4E89">
        <w:rPr>
          <w:rFonts w:ascii="Times New Roman" w:eastAsia="Times New Roman" w:hAnsi="Times New Roman" w:cs="Times New Roman"/>
          <w:b/>
          <w:color w:val="000000"/>
          <w:sz w:val="24"/>
          <w:szCs w:val="24"/>
          <w:u w:val="single"/>
          <w:lang w:eastAsia="es-CO"/>
        </w:rPr>
        <w:t>:</w:t>
      </w:r>
    </w:p>
    <w:p w14:paraId="1FF4DB1F" w14:textId="77777777" w:rsidR="00FC4E89" w:rsidRPr="00FC4E89" w:rsidRDefault="00FC4E89" w:rsidP="00FC4E89">
      <w:pPr>
        <w:spacing w:before="80" w:after="80" w:line="240" w:lineRule="auto"/>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lang w:eastAsia="es-CO"/>
        </w:rPr>
        <w:t xml:space="preserve">En el 2011 Francia fue el primer país del mundo en prohibir el </w:t>
      </w:r>
      <w:r w:rsidRPr="00FC4E89">
        <w:rPr>
          <w:rFonts w:ascii="Times New Roman" w:eastAsia="Times New Roman" w:hAnsi="Times New Roman" w:cs="Times New Roman"/>
          <w:color w:val="000000"/>
          <w:sz w:val="24"/>
          <w:szCs w:val="24"/>
          <w:lang w:val="es-MX" w:eastAsia="es-CO"/>
        </w:rPr>
        <w:t>fracturamiento hidráulico multietapa con perforación horizontal</w:t>
      </w:r>
      <w:r w:rsidRPr="00FC4E89">
        <w:rPr>
          <w:rFonts w:ascii="Times New Roman" w:eastAsia="Times New Roman" w:hAnsi="Times New Roman" w:cs="Times New Roman"/>
          <w:color w:val="000000"/>
          <w:sz w:val="24"/>
          <w:szCs w:val="24"/>
          <w:lang w:eastAsia="es-CO"/>
        </w:rPr>
        <w:t xml:space="preserve">. La prohibición se encuentra expresa en </w:t>
      </w:r>
      <w:r w:rsidRPr="00FC4E89">
        <w:rPr>
          <w:rFonts w:ascii="Times New Roman" w:eastAsia="Times New Roman" w:hAnsi="Times New Roman" w:cs="Times New Roman"/>
          <w:color w:val="000000"/>
          <w:sz w:val="24"/>
          <w:szCs w:val="24"/>
          <w:highlight w:val="white"/>
          <w:lang w:eastAsia="es-CO"/>
        </w:rPr>
        <w:t xml:space="preserve">la ley # 2011-835 del 13 de julio de 2011; la cual fue promovida por el presidente del momento: Nicolás Sarkozy. En esta se establece qué conforme al Código del Ambiente, en específico el artículo 110 - 1 en el que se consagra el principio de prevención y de corrección previa, el </w:t>
      </w:r>
      <w:proofErr w:type="spellStart"/>
      <w:r w:rsidRPr="00FC4E89">
        <w:rPr>
          <w:rFonts w:ascii="Times New Roman" w:eastAsia="Times New Roman" w:hAnsi="Times New Roman" w:cs="Times New Roman"/>
          <w:color w:val="000000"/>
          <w:sz w:val="24"/>
          <w:szCs w:val="24"/>
          <w:highlight w:val="white"/>
          <w:lang w:eastAsia="es-CO"/>
        </w:rPr>
        <w:t>fracking</w:t>
      </w:r>
      <w:proofErr w:type="spellEnd"/>
      <w:r w:rsidRPr="00FC4E89">
        <w:rPr>
          <w:rFonts w:ascii="Times New Roman" w:eastAsia="Times New Roman" w:hAnsi="Times New Roman" w:cs="Times New Roman"/>
          <w:color w:val="000000"/>
          <w:sz w:val="24"/>
          <w:szCs w:val="24"/>
          <w:highlight w:val="white"/>
          <w:lang w:eastAsia="es-CO"/>
        </w:rPr>
        <w:t xml:space="preserve"> tiene altas probabilidades de generar daños irreversibles al ambiente y a su vez a la salud </w:t>
      </w:r>
      <w:r w:rsidRPr="00FC4E89">
        <w:rPr>
          <w:rFonts w:ascii="Times New Roman" w:eastAsia="Times New Roman" w:hAnsi="Times New Roman" w:cs="Times New Roman"/>
          <w:color w:val="000000"/>
          <w:sz w:val="24"/>
          <w:szCs w:val="24"/>
          <w:highlight w:val="white"/>
          <w:lang w:eastAsia="es-CO"/>
        </w:rPr>
        <w:lastRenderedPageBreak/>
        <w:t xml:space="preserve">pública, en especial por las potenciales afectaciones que podría generar en los cuerpos de agua (contaminación, disminución en su disponibilidad, entre otros). Esta ley fue demandada ante la Corte Constitucional francesa, la cual finalmente decidió que el </w:t>
      </w:r>
      <w:proofErr w:type="spellStart"/>
      <w:r w:rsidRPr="00FC4E89">
        <w:rPr>
          <w:rFonts w:ascii="Times New Roman" w:eastAsia="Times New Roman" w:hAnsi="Times New Roman" w:cs="Times New Roman"/>
          <w:color w:val="000000"/>
          <w:sz w:val="24"/>
          <w:szCs w:val="24"/>
          <w:highlight w:val="white"/>
          <w:lang w:eastAsia="es-CO"/>
        </w:rPr>
        <w:t>fracking</w:t>
      </w:r>
      <w:proofErr w:type="spellEnd"/>
      <w:r w:rsidRPr="00FC4E89">
        <w:rPr>
          <w:rFonts w:ascii="Times New Roman" w:eastAsia="Times New Roman" w:hAnsi="Times New Roman" w:cs="Times New Roman"/>
          <w:color w:val="000000"/>
          <w:sz w:val="24"/>
          <w:szCs w:val="24"/>
          <w:highlight w:val="white"/>
          <w:lang w:eastAsia="es-CO"/>
        </w:rPr>
        <w:t xml:space="preserve"> representa una amenaza para el ambiente y mantuvo la constitucionalidad de la Ley. </w:t>
      </w:r>
    </w:p>
    <w:p w14:paraId="0F86F7ED" w14:textId="77777777" w:rsidR="00FC4E89" w:rsidRPr="00FC4E89" w:rsidRDefault="00FC4E89" w:rsidP="00FC4E89">
      <w:pPr>
        <w:spacing w:before="80" w:after="80" w:line="240" w:lineRule="auto"/>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 xml:space="preserve">De igual manera, en el 2017 en este País se promovió una Ley que prohíbe la explotación de combustibles fósiles en el territorio a partir del 2040. Por consiguiente, no se emitirán nuevas licencias de exploración y/o de explotación, y no se renovarán las ya existentes. Este gesto simbólico significa mucho en el avance hacia la implementación de energías limpias, en especial, en un país que depende en un 99% de las importaciones de hidrocarburos, como Francia. </w:t>
      </w:r>
    </w:p>
    <w:p w14:paraId="47E1F366" w14:textId="77777777" w:rsidR="00FC4E89" w:rsidRPr="00FC4E89" w:rsidRDefault="00FC4E89" w:rsidP="00FC4E89">
      <w:pPr>
        <w:spacing w:before="80" w:after="80" w:line="240" w:lineRule="auto"/>
        <w:jc w:val="both"/>
        <w:rPr>
          <w:rFonts w:ascii="Times New Roman" w:eastAsia="Times New Roman" w:hAnsi="Times New Roman" w:cs="Times New Roman"/>
          <w:color w:val="000000"/>
          <w:sz w:val="24"/>
          <w:szCs w:val="24"/>
          <w:highlight w:val="white"/>
          <w:lang w:eastAsia="es-CO"/>
        </w:rPr>
      </w:pPr>
    </w:p>
    <w:p w14:paraId="424361A7" w14:textId="77777777" w:rsidR="00FC4E89" w:rsidRPr="00FC4E89" w:rsidRDefault="00FC4E89" w:rsidP="00FC4E89">
      <w:pPr>
        <w:numPr>
          <w:ilvl w:val="0"/>
          <w:numId w:val="23"/>
        </w:numPr>
        <w:spacing w:before="80" w:after="80" w:line="240" w:lineRule="auto"/>
        <w:contextualSpacing/>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b/>
          <w:color w:val="000000"/>
          <w:sz w:val="24"/>
          <w:szCs w:val="24"/>
          <w:highlight w:val="white"/>
          <w:lang w:eastAsia="es-CO"/>
        </w:rPr>
        <w:t>Alemania</w:t>
      </w:r>
    </w:p>
    <w:p w14:paraId="2E061617" w14:textId="77777777" w:rsidR="00FC4E89" w:rsidRPr="00FC4E89" w:rsidRDefault="00FC4E89" w:rsidP="00FC4E89">
      <w:pPr>
        <w:spacing w:before="80" w:after="80" w:line="240" w:lineRule="auto"/>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 xml:space="preserve">Además de Francia, Alemania es uno de los países europeos que ha realizado una prohibición amplia al </w:t>
      </w:r>
      <w:r w:rsidRPr="00FC4E89">
        <w:rPr>
          <w:rFonts w:ascii="Times New Roman" w:eastAsia="Times New Roman" w:hAnsi="Times New Roman" w:cs="Times New Roman"/>
          <w:color w:val="000000"/>
          <w:sz w:val="24"/>
          <w:szCs w:val="24"/>
          <w:lang w:val="es-MX" w:eastAsia="es-CO"/>
        </w:rPr>
        <w:t>fracturamiento hidráulico multietapa con perforación horizontal</w:t>
      </w:r>
      <w:r w:rsidRPr="00FC4E89">
        <w:rPr>
          <w:rFonts w:ascii="Times New Roman" w:eastAsia="Times New Roman" w:hAnsi="Times New Roman" w:cs="Times New Roman"/>
          <w:color w:val="000000"/>
          <w:sz w:val="24"/>
          <w:szCs w:val="24"/>
          <w:lang w:eastAsia="es-CO"/>
        </w:rPr>
        <w:t>.</w:t>
      </w:r>
      <w:r w:rsidRPr="00FC4E89">
        <w:rPr>
          <w:rFonts w:ascii="Times New Roman" w:eastAsia="Times New Roman" w:hAnsi="Times New Roman" w:cs="Times New Roman"/>
          <w:color w:val="000000"/>
          <w:sz w:val="24"/>
          <w:szCs w:val="24"/>
          <w:highlight w:val="white"/>
          <w:lang w:eastAsia="es-CO"/>
        </w:rPr>
        <w:t xml:space="preserve"> En el 2016, a través de una interpretación del conjunto de leyes de Recursos Hídricos (</w:t>
      </w:r>
      <w:proofErr w:type="spellStart"/>
      <w:r w:rsidRPr="00FC4E89">
        <w:rPr>
          <w:rFonts w:ascii="Times New Roman" w:eastAsia="Times New Roman" w:hAnsi="Times New Roman" w:cs="Times New Roman"/>
          <w:color w:val="000000"/>
          <w:sz w:val="24"/>
          <w:szCs w:val="24"/>
          <w:highlight w:val="white"/>
          <w:lang w:eastAsia="es-CO"/>
        </w:rPr>
        <w:t>Wasserhaushaltgesetz</w:t>
      </w:r>
      <w:proofErr w:type="spellEnd"/>
      <w:r w:rsidRPr="00FC4E89">
        <w:rPr>
          <w:rFonts w:ascii="Times New Roman" w:eastAsia="Times New Roman" w:hAnsi="Times New Roman" w:cs="Times New Roman"/>
          <w:color w:val="000000"/>
          <w:sz w:val="24"/>
          <w:szCs w:val="24"/>
          <w:highlight w:val="white"/>
          <w:lang w:eastAsia="es-CO"/>
        </w:rPr>
        <w:t xml:space="preserve">) y la Ley de Montañas </w:t>
      </w:r>
      <w:r w:rsidRPr="00FC4E89">
        <w:rPr>
          <w:rFonts w:ascii="Times New Roman" w:eastAsia="Times New Roman" w:hAnsi="Times New Roman" w:cs="Times New Roman"/>
          <w:color w:val="000000"/>
          <w:sz w:val="24"/>
          <w:szCs w:val="24"/>
          <w:lang w:eastAsia="es-CO"/>
        </w:rPr>
        <w:t>(</w:t>
      </w:r>
      <w:proofErr w:type="spellStart"/>
      <w:r w:rsidRPr="00FC4E89">
        <w:rPr>
          <w:rFonts w:ascii="Times New Roman" w:eastAsia="Times New Roman" w:hAnsi="Times New Roman" w:cs="Times New Roman"/>
          <w:color w:val="000000"/>
          <w:sz w:val="24"/>
          <w:szCs w:val="24"/>
          <w:lang w:eastAsia="es-CO"/>
        </w:rPr>
        <w:t>Bundesberggesetz</w:t>
      </w:r>
      <w:proofErr w:type="spellEnd"/>
      <w:r w:rsidRPr="00FC4E89">
        <w:rPr>
          <w:rFonts w:ascii="Times New Roman" w:eastAsia="Times New Roman" w:hAnsi="Times New Roman" w:cs="Times New Roman"/>
          <w:color w:val="000000"/>
          <w:sz w:val="24"/>
          <w:szCs w:val="24"/>
          <w:lang w:eastAsia="es-CO"/>
        </w:rPr>
        <w:t>)</w:t>
      </w:r>
      <w:r w:rsidRPr="00FC4E89">
        <w:rPr>
          <w:rFonts w:ascii="Times New Roman" w:eastAsia="Times New Roman" w:hAnsi="Times New Roman" w:cs="Times New Roman"/>
          <w:color w:val="000000"/>
          <w:sz w:val="24"/>
          <w:szCs w:val="24"/>
          <w:highlight w:val="white"/>
          <w:lang w:eastAsia="es-CO"/>
        </w:rPr>
        <w:t xml:space="preserve">, el Congreso alemán decidió prohibir -con algunas acotaciones- el </w:t>
      </w:r>
      <w:r w:rsidRPr="00FC4E89">
        <w:rPr>
          <w:rFonts w:ascii="Times New Roman" w:eastAsia="Times New Roman" w:hAnsi="Times New Roman" w:cs="Times New Roman"/>
          <w:color w:val="000000"/>
          <w:sz w:val="24"/>
          <w:szCs w:val="24"/>
          <w:lang w:val="es-MX" w:eastAsia="es-CO"/>
        </w:rPr>
        <w:t>fracturamiento hidráulico multietapa con perforación horizontal</w:t>
      </w:r>
      <w:r w:rsidRPr="00FC4E89">
        <w:rPr>
          <w:rFonts w:ascii="Times New Roman" w:eastAsia="Times New Roman" w:hAnsi="Times New Roman" w:cs="Times New Roman"/>
          <w:color w:val="000000"/>
          <w:sz w:val="24"/>
          <w:szCs w:val="24"/>
          <w:highlight w:val="white"/>
          <w:lang w:eastAsia="es-CO"/>
        </w:rPr>
        <w:t xml:space="preserve"> en toda la República Federal. </w:t>
      </w:r>
    </w:p>
    <w:p w14:paraId="3A8A42B4" w14:textId="77777777" w:rsidR="00FC4E89" w:rsidRPr="00FC4E89" w:rsidRDefault="00FC4E89" w:rsidP="00FC4E89">
      <w:pPr>
        <w:spacing w:before="80" w:after="80" w:line="240" w:lineRule="auto"/>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 xml:space="preserve">La regulación en Alemania establece una taxonomía del </w:t>
      </w:r>
      <w:r w:rsidRPr="00FC4E89">
        <w:rPr>
          <w:rFonts w:ascii="Times New Roman" w:eastAsia="Times New Roman" w:hAnsi="Times New Roman" w:cs="Times New Roman"/>
          <w:color w:val="000000"/>
          <w:sz w:val="24"/>
          <w:szCs w:val="24"/>
          <w:lang w:val="es-MX" w:eastAsia="es-CO"/>
        </w:rPr>
        <w:t>fracturamiento hidráulico multietapa con perforación horizontal</w:t>
      </w:r>
      <w:r w:rsidRPr="00FC4E89">
        <w:rPr>
          <w:rFonts w:ascii="Times New Roman" w:eastAsia="Times New Roman" w:hAnsi="Times New Roman" w:cs="Times New Roman"/>
          <w:color w:val="000000"/>
          <w:sz w:val="24"/>
          <w:szCs w:val="24"/>
          <w:highlight w:val="white"/>
          <w:lang w:eastAsia="es-CO"/>
        </w:rPr>
        <w:t xml:space="preserve"> que lo divide </w:t>
      </w:r>
      <w:proofErr w:type="gramStart"/>
      <w:r w:rsidRPr="00FC4E89">
        <w:rPr>
          <w:rFonts w:ascii="Times New Roman" w:eastAsia="Times New Roman" w:hAnsi="Times New Roman" w:cs="Times New Roman"/>
          <w:color w:val="000000"/>
          <w:sz w:val="24"/>
          <w:szCs w:val="24"/>
          <w:highlight w:val="white"/>
          <w:lang w:eastAsia="es-CO"/>
        </w:rPr>
        <w:t>en  convencional</w:t>
      </w:r>
      <w:proofErr w:type="gramEnd"/>
      <w:r w:rsidRPr="00FC4E89">
        <w:rPr>
          <w:rFonts w:ascii="Times New Roman" w:eastAsia="Times New Roman" w:hAnsi="Times New Roman" w:cs="Times New Roman"/>
          <w:color w:val="000000"/>
          <w:sz w:val="24"/>
          <w:szCs w:val="24"/>
          <w:highlight w:val="white"/>
          <w:lang w:eastAsia="es-CO"/>
        </w:rPr>
        <w:t xml:space="preserve"> y no convencional. Así, el </w:t>
      </w:r>
      <w:r w:rsidRPr="00FC4E89">
        <w:rPr>
          <w:rFonts w:ascii="Times New Roman" w:eastAsia="Times New Roman" w:hAnsi="Times New Roman" w:cs="Times New Roman"/>
          <w:color w:val="000000"/>
          <w:sz w:val="24"/>
          <w:szCs w:val="24"/>
          <w:lang w:val="es-MX" w:eastAsia="es-CO"/>
        </w:rPr>
        <w:t>fracturamiento hidráulico multietapa con perforación horizontal</w:t>
      </w:r>
      <w:r w:rsidRPr="00FC4E89">
        <w:rPr>
          <w:rFonts w:ascii="Times New Roman" w:eastAsia="Times New Roman" w:hAnsi="Times New Roman" w:cs="Times New Roman"/>
          <w:color w:val="000000"/>
          <w:sz w:val="24"/>
          <w:szCs w:val="24"/>
          <w:highlight w:val="white"/>
          <w:lang w:eastAsia="es-CO"/>
        </w:rPr>
        <w:t xml:space="preserve"> convencional es el que se realiza por debajo de los 3000 metros de la tierra y el no convencional es todo aquel que se realiza a menos de 3000 metros bajo el nivel de la tierra. La regulación se hizo bajo dos perspectivas: el agua y las montañas. </w:t>
      </w:r>
    </w:p>
    <w:p w14:paraId="652DBEC4" w14:textId="77777777" w:rsidR="00FC4E89" w:rsidRPr="00FC4E89" w:rsidRDefault="00FC4E89" w:rsidP="00FC4E89">
      <w:pPr>
        <w:spacing w:before="80" w:after="80" w:line="240" w:lineRule="auto"/>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 xml:space="preserve">Los elementos más robustos de la regulación se dieron en la Ley Federal del Agua. En esta, el principal argumento para la prohibición del </w:t>
      </w:r>
      <w:proofErr w:type="spellStart"/>
      <w:r w:rsidRPr="00FC4E89">
        <w:rPr>
          <w:rFonts w:ascii="Times New Roman" w:eastAsia="Times New Roman" w:hAnsi="Times New Roman" w:cs="Times New Roman"/>
          <w:color w:val="000000"/>
          <w:sz w:val="24"/>
          <w:szCs w:val="24"/>
          <w:highlight w:val="white"/>
          <w:lang w:eastAsia="es-CO"/>
        </w:rPr>
        <w:t>fracking</w:t>
      </w:r>
      <w:proofErr w:type="spellEnd"/>
      <w:r w:rsidRPr="00FC4E89">
        <w:rPr>
          <w:rFonts w:ascii="Times New Roman" w:eastAsia="Times New Roman" w:hAnsi="Times New Roman" w:cs="Times New Roman"/>
          <w:color w:val="000000"/>
          <w:sz w:val="24"/>
          <w:szCs w:val="24"/>
          <w:highlight w:val="white"/>
          <w:lang w:eastAsia="es-CO"/>
        </w:rPr>
        <w:t xml:space="preserve"> no convencional se basó en el hecho de que como este no se ha realizado en Alemania, no hay conocimiento sobre las posibles afectaciones a las fuentes hídricas. Así, como consecuencia de lo anterior, tampoco hay conocimiento suficiente sobre posibles afectaciones en la salud de las personas. Esto permite observar una aplicación del principio de precaución pues, a falta de evidencia científica, pero bajo la duda de un posible daño a la salud y al medio ambiente, se escoge la prohibición. </w:t>
      </w:r>
    </w:p>
    <w:p w14:paraId="26FC5B11" w14:textId="77777777" w:rsidR="00FC4E89" w:rsidRPr="00FC4E89" w:rsidRDefault="00FC4E89" w:rsidP="00FC4E89">
      <w:pPr>
        <w:spacing w:before="80" w:after="80" w:line="240" w:lineRule="auto"/>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 xml:space="preserve">El anterior razonamiento llevó a dos regulaciones diferentes: por un lado, se realizó una prohibición general del </w:t>
      </w:r>
      <w:r w:rsidRPr="00FC4E89">
        <w:rPr>
          <w:rFonts w:ascii="Times New Roman" w:eastAsia="Times New Roman" w:hAnsi="Times New Roman" w:cs="Times New Roman"/>
          <w:color w:val="000000"/>
          <w:sz w:val="24"/>
          <w:szCs w:val="24"/>
          <w:lang w:val="es-MX" w:eastAsia="es-CO"/>
        </w:rPr>
        <w:t>fracturamiento hidráulico multietapa con perforación horizontal</w:t>
      </w:r>
      <w:r w:rsidRPr="00FC4E89">
        <w:rPr>
          <w:rFonts w:ascii="Times New Roman" w:eastAsia="Times New Roman" w:hAnsi="Times New Roman" w:cs="Times New Roman"/>
          <w:color w:val="000000"/>
          <w:sz w:val="24"/>
          <w:szCs w:val="24"/>
          <w:highlight w:val="white"/>
          <w:lang w:eastAsia="es-CO"/>
        </w:rPr>
        <w:t xml:space="preserve"> no </w:t>
      </w:r>
      <w:r w:rsidRPr="00FC4E89">
        <w:rPr>
          <w:rFonts w:ascii="Times New Roman" w:eastAsia="Times New Roman" w:hAnsi="Times New Roman" w:cs="Times New Roman"/>
          <w:color w:val="000000"/>
          <w:sz w:val="24"/>
          <w:szCs w:val="24"/>
          <w:highlight w:val="white"/>
          <w:lang w:eastAsia="es-CO"/>
        </w:rPr>
        <w:lastRenderedPageBreak/>
        <w:t>convencional en toda la República Federal. Por otro lado, se concedió un permiso para pruebas de carácter científico para explorar las consecuencias de este método sobre el medio ambiente, en particular sobre el subsuelo y las fuentes hídricas. Este permiso no es general, pues prohíbe que en estos experimentos se utilicen sustancias peligrosas para el agua (</w:t>
      </w:r>
      <w:proofErr w:type="spellStart"/>
      <w:r w:rsidRPr="00FC4E89">
        <w:rPr>
          <w:rFonts w:ascii="Times New Roman" w:eastAsia="Times New Roman" w:hAnsi="Times New Roman" w:cs="Times New Roman"/>
          <w:color w:val="000000"/>
          <w:sz w:val="24"/>
          <w:szCs w:val="24"/>
          <w:highlight w:val="white"/>
          <w:lang w:eastAsia="es-CO"/>
        </w:rPr>
        <w:t>wassergefährende</w:t>
      </w:r>
      <w:proofErr w:type="spellEnd"/>
      <w:r w:rsidRPr="00FC4E89">
        <w:rPr>
          <w:rFonts w:ascii="Times New Roman" w:eastAsia="Times New Roman" w:hAnsi="Times New Roman" w:cs="Times New Roman"/>
          <w:color w:val="000000"/>
          <w:sz w:val="24"/>
          <w:szCs w:val="24"/>
          <w:highlight w:val="white"/>
          <w:lang w:eastAsia="es-CO"/>
        </w:rPr>
        <w:t xml:space="preserve"> </w:t>
      </w:r>
      <w:proofErr w:type="spellStart"/>
      <w:r w:rsidRPr="00FC4E89">
        <w:rPr>
          <w:rFonts w:ascii="Times New Roman" w:eastAsia="Times New Roman" w:hAnsi="Times New Roman" w:cs="Times New Roman"/>
          <w:color w:val="000000"/>
          <w:sz w:val="24"/>
          <w:szCs w:val="24"/>
          <w:highlight w:val="white"/>
          <w:lang w:eastAsia="es-CO"/>
        </w:rPr>
        <w:t>Gemische</w:t>
      </w:r>
      <w:proofErr w:type="spellEnd"/>
      <w:r w:rsidRPr="00FC4E89">
        <w:rPr>
          <w:rFonts w:ascii="Times New Roman" w:eastAsia="Times New Roman" w:hAnsi="Times New Roman" w:cs="Times New Roman"/>
          <w:color w:val="000000"/>
          <w:sz w:val="24"/>
          <w:szCs w:val="24"/>
          <w:highlight w:val="white"/>
          <w:lang w:eastAsia="es-CO"/>
        </w:rPr>
        <w:t xml:space="preserve">). Con este fin, el Gobierno Federal estableció en el 2018 una Comisión de Expertos encargada de determinar las consecuencias de la utilización de este método no convencional.  </w:t>
      </w:r>
    </w:p>
    <w:p w14:paraId="3A3E6A4D" w14:textId="77777777" w:rsidR="00FC4E89" w:rsidRPr="00FC4E89" w:rsidRDefault="00FC4E89" w:rsidP="00FC4E89">
      <w:pPr>
        <w:spacing w:before="80" w:after="80" w:line="240" w:lineRule="auto"/>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 xml:space="preserve">La regulación en tema de </w:t>
      </w:r>
      <w:r w:rsidRPr="00FC4E89">
        <w:rPr>
          <w:rFonts w:ascii="Times New Roman" w:eastAsia="Times New Roman" w:hAnsi="Times New Roman" w:cs="Times New Roman"/>
          <w:color w:val="000000"/>
          <w:sz w:val="24"/>
          <w:szCs w:val="24"/>
          <w:lang w:val="es-MX" w:eastAsia="es-CO"/>
        </w:rPr>
        <w:t>fracturamiento hidráulico multietapa con perforación horizontal</w:t>
      </w:r>
      <w:r w:rsidRPr="00FC4E89">
        <w:rPr>
          <w:rFonts w:ascii="Times New Roman" w:eastAsia="Times New Roman" w:hAnsi="Times New Roman" w:cs="Times New Roman"/>
          <w:color w:val="000000"/>
          <w:sz w:val="24"/>
          <w:szCs w:val="24"/>
          <w:highlight w:val="white"/>
          <w:lang w:eastAsia="es-CO"/>
        </w:rPr>
        <w:t xml:space="preserve"> convencional en esta misma Ley siguió permitiendo que se realizara este método en todos los lugares que no estén cerca a fuentes de hídricas, represas y lagos naturales. Además, se prohibieron sustancias que signifiquen algún peligro para las fuentes hídricas y se exigió divulgación en internet de todas las sustancias con las que se realiza esta actividad.</w:t>
      </w:r>
    </w:p>
    <w:p w14:paraId="0780DE9F" w14:textId="77777777" w:rsidR="00FC4E89" w:rsidRPr="00FC4E89" w:rsidRDefault="00FC4E89" w:rsidP="00FC4E89">
      <w:pPr>
        <w:spacing w:before="80" w:after="80" w:line="240" w:lineRule="auto"/>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 xml:space="preserve">Finalmente, se establece una prohibición general de cualquier tipo de </w:t>
      </w:r>
      <w:r w:rsidRPr="00FC4E89">
        <w:rPr>
          <w:rFonts w:ascii="Times New Roman" w:eastAsia="Times New Roman" w:hAnsi="Times New Roman" w:cs="Times New Roman"/>
          <w:color w:val="000000"/>
          <w:sz w:val="24"/>
          <w:szCs w:val="24"/>
          <w:lang w:val="es-MX" w:eastAsia="es-CO"/>
        </w:rPr>
        <w:t>fracturamiento hidráulico multietapa con perforación horizontal</w:t>
      </w:r>
      <w:r w:rsidRPr="00FC4E89">
        <w:rPr>
          <w:rFonts w:ascii="Times New Roman" w:eastAsia="Times New Roman" w:hAnsi="Times New Roman" w:cs="Times New Roman"/>
          <w:color w:val="000000"/>
          <w:sz w:val="24"/>
          <w:szCs w:val="24"/>
          <w:highlight w:val="white"/>
          <w:lang w:eastAsia="es-CO"/>
        </w:rPr>
        <w:t xml:space="preserve"> en Parques Naturales. </w:t>
      </w:r>
    </w:p>
    <w:p w14:paraId="75E93AA6" w14:textId="77777777" w:rsidR="00FC4E89" w:rsidRPr="00FC4E89" w:rsidRDefault="00FC4E89" w:rsidP="00FC4E89">
      <w:pPr>
        <w:spacing w:before="80" w:after="80" w:line="240" w:lineRule="auto"/>
        <w:jc w:val="both"/>
        <w:rPr>
          <w:rFonts w:ascii="Times New Roman" w:eastAsia="Times New Roman" w:hAnsi="Times New Roman" w:cs="Times New Roman"/>
          <w:color w:val="000000"/>
          <w:sz w:val="24"/>
          <w:szCs w:val="24"/>
          <w:highlight w:val="white"/>
          <w:lang w:eastAsia="es-CO"/>
        </w:rPr>
      </w:pPr>
    </w:p>
    <w:p w14:paraId="0F7BD7B0" w14:textId="77777777" w:rsidR="00FC4E89" w:rsidRPr="00FC4E89" w:rsidRDefault="00FC4E89" w:rsidP="00FC4E89">
      <w:pPr>
        <w:numPr>
          <w:ilvl w:val="0"/>
          <w:numId w:val="23"/>
        </w:numPr>
        <w:spacing w:before="80" w:after="80" w:line="240" w:lineRule="auto"/>
        <w:contextualSpacing/>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b/>
          <w:color w:val="000000"/>
          <w:sz w:val="24"/>
          <w:szCs w:val="24"/>
          <w:highlight w:val="white"/>
          <w:lang w:eastAsia="es-CO"/>
        </w:rPr>
        <w:t>Estado de Nueva York, Estados Unidos:</w:t>
      </w:r>
    </w:p>
    <w:p w14:paraId="1D0E2546" w14:textId="77777777" w:rsidR="00FC4E89" w:rsidRPr="00FC4E89" w:rsidRDefault="00FC4E89" w:rsidP="00FC4E89">
      <w:pPr>
        <w:spacing w:before="80" w:after="80" w:line="240" w:lineRule="auto"/>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 xml:space="preserve">El Estado de Nueva York, Estados Unidos, en el año 2014 decidió prohibir esta práctica en su territorio tras conocer un estudio emitido por el New York </w:t>
      </w:r>
      <w:proofErr w:type="spellStart"/>
      <w:r w:rsidRPr="00FC4E89">
        <w:rPr>
          <w:rFonts w:ascii="Times New Roman" w:eastAsia="Times New Roman" w:hAnsi="Times New Roman" w:cs="Times New Roman"/>
          <w:color w:val="000000"/>
          <w:sz w:val="24"/>
          <w:szCs w:val="24"/>
          <w:highlight w:val="white"/>
          <w:lang w:eastAsia="es-CO"/>
        </w:rPr>
        <w:t>State</w:t>
      </w:r>
      <w:proofErr w:type="spellEnd"/>
      <w:r w:rsidRPr="00FC4E89">
        <w:rPr>
          <w:rFonts w:ascii="Times New Roman" w:eastAsia="Times New Roman" w:hAnsi="Times New Roman" w:cs="Times New Roman"/>
          <w:color w:val="000000"/>
          <w:sz w:val="24"/>
          <w:szCs w:val="24"/>
          <w:highlight w:val="white"/>
          <w:lang w:eastAsia="es-CO"/>
        </w:rPr>
        <w:t xml:space="preserve"> </w:t>
      </w:r>
      <w:proofErr w:type="spellStart"/>
      <w:r w:rsidRPr="00FC4E89">
        <w:rPr>
          <w:rFonts w:ascii="Times New Roman" w:eastAsia="Times New Roman" w:hAnsi="Times New Roman" w:cs="Times New Roman"/>
          <w:color w:val="000000"/>
          <w:sz w:val="24"/>
          <w:szCs w:val="24"/>
          <w:highlight w:val="white"/>
          <w:lang w:eastAsia="es-CO"/>
        </w:rPr>
        <w:t>Department</w:t>
      </w:r>
      <w:proofErr w:type="spellEnd"/>
      <w:r w:rsidRPr="00FC4E89">
        <w:rPr>
          <w:rFonts w:ascii="Times New Roman" w:eastAsia="Times New Roman" w:hAnsi="Times New Roman" w:cs="Times New Roman"/>
          <w:color w:val="000000"/>
          <w:sz w:val="24"/>
          <w:szCs w:val="24"/>
          <w:highlight w:val="white"/>
          <w:lang w:eastAsia="es-CO"/>
        </w:rPr>
        <w:t xml:space="preserve"> </w:t>
      </w:r>
      <w:proofErr w:type="spellStart"/>
      <w:r w:rsidRPr="00FC4E89">
        <w:rPr>
          <w:rFonts w:ascii="Times New Roman" w:eastAsia="Times New Roman" w:hAnsi="Times New Roman" w:cs="Times New Roman"/>
          <w:color w:val="000000"/>
          <w:sz w:val="24"/>
          <w:szCs w:val="24"/>
          <w:highlight w:val="white"/>
          <w:lang w:eastAsia="es-CO"/>
        </w:rPr>
        <w:t>of</w:t>
      </w:r>
      <w:proofErr w:type="spellEnd"/>
      <w:r w:rsidRPr="00FC4E89">
        <w:rPr>
          <w:rFonts w:ascii="Times New Roman" w:eastAsia="Times New Roman" w:hAnsi="Times New Roman" w:cs="Times New Roman"/>
          <w:color w:val="000000"/>
          <w:sz w:val="24"/>
          <w:szCs w:val="24"/>
          <w:highlight w:val="white"/>
          <w:lang w:eastAsia="es-CO"/>
        </w:rPr>
        <w:t xml:space="preserve"> </w:t>
      </w:r>
      <w:proofErr w:type="spellStart"/>
      <w:r w:rsidRPr="00FC4E89">
        <w:rPr>
          <w:rFonts w:ascii="Times New Roman" w:eastAsia="Times New Roman" w:hAnsi="Times New Roman" w:cs="Times New Roman"/>
          <w:color w:val="000000"/>
          <w:sz w:val="24"/>
          <w:szCs w:val="24"/>
          <w:highlight w:val="white"/>
          <w:lang w:eastAsia="es-CO"/>
        </w:rPr>
        <w:t>Environmental</w:t>
      </w:r>
      <w:proofErr w:type="spellEnd"/>
      <w:r w:rsidRPr="00FC4E89">
        <w:rPr>
          <w:rFonts w:ascii="Times New Roman" w:eastAsia="Times New Roman" w:hAnsi="Times New Roman" w:cs="Times New Roman"/>
          <w:color w:val="000000"/>
          <w:sz w:val="24"/>
          <w:szCs w:val="24"/>
          <w:highlight w:val="white"/>
          <w:lang w:eastAsia="es-CO"/>
        </w:rPr>
        <w:t xml:space="preserve"> </w:t>
      </w:r>
      <w:proofErr w:type="spellStart"/>
      <w:r w:rsidRPr="00FC4E89">
        <w:rPr>
          <w:rFonts w:ascii="Times New Roman" w:eastAsia="Times New Roman" w:hAnsi="Times New Roman" w:cs="Times New Roman"/>
          <w:color w:val="000000"/>
          <w:sz w:val="24"/>
          <w:szCs w:val="24"/>
          <w:highlight w:val="white"/>
          <w:lang w:eastAsia="es-CO"/>
        </w:rPr>
        <w:t>Conservation</w:t>
      </w:r>
      <w:proofErr w:type="spellEnd"/>
      <w:r w:rsidRPr="00FC4E89">
        <w:rPr>
          <w:rFonts w:ascii="Times New Roman" w:eastAsia="Times New Roman" w:hAnsi="Times New Roman" w:cs="Times New Roman"/>
          <w:color w:val="000000"/>
          <w:sz w:val="24"/>
          <w:szCs w:val="24"/>
          <w:highlight w:val="white"/>
          <w:lang w:eastAsia="es-CO"/>
        </w:rPr>
        <w:t>, cuyos resultados fueron:</w:t>
      </w:r>
    </w:p>
    <w:p w14:paraId="42B8B9F5" w14:textId="77777777" w:rsidR="00FC4E89" w:rsidRPr="00FC4E89" w:rsidRDefault="00FC4E89" w:rsidP="00FC4E89">
      <w:pPr>
        <w:spacing w:before="80" w:after="0" w:line="240" w:lineRule="auto"/>
        <w:jc w:val="both"/>
        <w:rPr>
          <w:rFonts w:ascii="Times New Roman" w:eastAsia="Times New Roman" w:hAnsi="Times New Roman" w:cs="Times New Roman"/>
          <w:color w:val="000000"/>
          <w:sz w:val="16"/>
          <w:szCs w:val="16"/>
          <w:highlight w:val="white"/>
          <w:lang w:eastAsia="es-CO"/>
        </w:rPr>
      </w:pPr>
    </w:p>
    <w:p w14:paraId="43C2C971" w14:textId="77777777" w:rsidR="00FC4E89" w:rsidRPr="00FC4E89" w:rsidRDefault="00FC4E89" w:rsidP="00FC4E89">
      <w:pPr>
        <w:numPr>
          <w:ilvl w:val="0"/>
          <w:numId w:val="15"/>
        </w:numPr>
        <w:spacing w:before="80" w:after="80" w:line="240" w:lineRule="auto"/>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El agua para realizar la fracturación hidráulica puede ser obtenida de distintas fuentes, una de ellas son los cuerpos de agua superficiales. Esta utilización puede causar cambio en los niveles de disponibilidad de agua en el estado, lo cual tiene impactos ecosistémicos y reduce de los cauces de los ríos.</w:t>
      </w:r>
    </w:p>
    <w:p w14:paraId="22B6BAEF" w14:textId="77777777" w:rsidR="00FC4E89" w:rsidRPr="00FC4E89" w:rsidRDefault="00FC4E89" w:rsidP="00FC4E89">
      <w:pPr>
        <w:numPr>
          <w:ilvl w:val="0"/>
          <w:numId w:val="15"/>
        </w:numPr>
        <w:spacing w:before="80" w:after="80" w:line="240" w:lineRule="auto"/>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 xml:space="preserve">Existe un número alto de contaminantes contenidos en los líquidos utilizados en la fracturación hidráulica. El derrame de estos elementos depende de variados eventos como la ruptura de uno de los equipos de operación, errores humanos, vandalismo y accidentes. Ocurrido un evento de estos, los contaminantes podrían resultar en distintos cuerpos de agua que dotan al estado de agua potable. </w:t>
      </w:r>
    </w:p>
    <w:p w14:paraId="572E3638" w14:textId="77777777" w:rsidR="00FC4E89" w:rsidRPr="00FC4E89" w:rsidRDefault="00FC4E89" w:rsidP="00FC4E89">
      <w:pPr>
        <w:numPr>
          <w:ilvl w:val="0"/>
          <w:numId w:val="15"/>
        </w:numPr>
        <w:spacing w:before="80" w:after="80" w:line="240" w:lineRule="auto"/>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 xml:space="preserve">El agua que se utiliza para el proceso de fracturación se mezcla con diversos elementos contaminantes. Se reconoce entonces que en caso de que no se realice un tratamiento correcto de eliminación y disposición, esta pueda llegar a cuerpos de agua y contaminarlos. </w:t>
      </w:r>
    </w:p>
    <w:p w14:paraId="22E2E28E" w14:textId="77777777" w:rsidR="00FC4E89" w:rsidRPr="00FC4E89" w:rsidRDefault="00FC4E89" w:rsidP="00FC4E89">
      <w:pPr>
        <w:numPr>
          <w:ilvl w:val="0"/>
          <w:numId w:val="15"/>
        </w:numPr>
        <w:spacing w:before="80" w:after="80" w:line="240" w:lineRule="auto"/>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lastRenderedPageBreak/>
        <w:t xml:space="preserve">El desarrollo del </w:t>
      </w:r>
      <w:r w:rsidRPr="00FC4E89">
        <w:rPr>
          <w:rFonts w:ascii="Times New Roman" w:eastAsia="Times New Roman" w:hAnsi="Times New Roman" w:cs="Times New Roman"/>
          <w:color w:val="000000"/>
          <w:sz w:val="24"/>
          <w:szCs w:val="24"/>
          <w:lang w:val="es-MX" w:eastAsia="es-CO"/>
        </w:rPr>
        <w:t>fracturamiento hidráulico multietapa con perforación horizontal</w:t>
      </w:r>
      <w:r w:rsidRPr="00FC4E89">
        <w:rPr>
          <w:rFonts w:ascii="Times New Roman" w:eastAsia="Times New Roman" w:hAnsi="Times New Roman" w:cs="Times New Roman"/>
          <w:color w:val="000000"/>
          <w:sz w:val="24"/>
          <w:szCs w:val="24"/>
          <w:highlight w:val="white"/>
          <w:lang w:eastAsia="es-CO"/>
        </w:rPr>
        <w:t xml:space="preserve"> a gran escala puede generar daños a los ecosistemas en tanto que modifica, elimina y/o divide los hábitats de diferentes especies volviendo inviable su conservación y afectando la cadena trófica.</w:t>
      </w:r>
    </w:p>
    <w:p w14:paraId="751A1DC0" w14:textId="77777777" w:rsidR="00FC4E89" w:rsidRPr="00FC4E89" w:rsidRDefault="00FC4E89" w:rsidP="00FC4E89">
      <w:pPr>
        <w:numPr>
          <w:ilvl w:val="0"/>
          <w:numId w:val="23"/>
        </w:numPr>
        <w:spacing w:before="80" w:after="80" w:line="240" w:lineRule="auto"/>
        <w:contextualSpacing/>
        <w:jc w:val="both"/>
        <w:rPr>
          <w:rFonts w:ascii="Times New Roman" w:eastAsia="Times New Roman" w:hAnsi="Times New Roman" w:cs="Times New Roman"/>
          <w:b/>
          <w:color w:val="000000"/>
          <w:sz w:val="24"/>
          <w:szCs w:val="24"/>
          <w:highlight w:val="white"/>
          <w:lang w:eastAsia="es-CO"/>
        </w:rPr>
      </w:pPr>
      <w:r w:rsidRPr="00FC4E89">
        <w:rPr>
          <w:rFonts w:ascii="Times New Roman" w:eastAsia="Times New Roman" w:hAnsi="Times New Roman" w:cs="Times New Roman"/>
          <w:b/>
          <w:color w:val="000000"/>
          <w:sz w:val="24"/>
          <w:szCs w:val="24"/>
          <w:highlight w:val="white"/>
          <w:lang w:eastAsia="es-CO"/>
        </w:rPr>
        <w:t>Maryland, Estados Unidos.</w:t>
      </w:r>
    </w:p>
    <w:p w14:paraId="05F4497D" w14:textId="77777777" w:rsidR="00FC4E89" w:rsidRPr="00FC4E89" w:rsidRDefault="00FC4E89" w:rsidP="00FC4E89">
      <w:pPr>
        <w:spacing w:before="80" w:after="80" w:line="240" w:lineRule="auto"/>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 xml:space="preserve">Además de Nueva York, Maryland realizó una moratoria hasta el 2021 para toda explotación bajo el método del </w:t>
      </w:r>
      <w:r w:rsidRPr="00FC4E89">
        <w:rPr>
          <w:rFonts w:ascii="Times New Roman" w:eastAsia="Times New Roman" w:hAnsi="Times New Roman" w:cs="Times New Roman"/>
          <w:color w:val="000000"/>
          <w:sz w:val="24"/>
          <w:szCs w:val="24"/>
          <w:lang w:val="es-MX" w:eastAsia="es-CO"/>
        </w:rPr>
        <w:t>fracturamiento hidráulico multietapa con perforación horizontal,</w:t>
      </w:r>
      <w:r w:rsidRPr="00FC4E89">
        <w:rPr>
          <w:rFonts w:ascii="Times New Roman" w:eastAsia="Times New Roman" w:hAnsi="Times New Roman" w:cs="Times New Roman"/>
          <w:color w:val="000000"/>
          <w:sz w:val="24"/>
          <w:szCs w:val="24"/>
          <w:highlight w:val="white"/>
          <w:lang w:eastAsia="es-CO"/>
        </w:rPr>
        <w:t xml:space="preserve"> con base en estudios publicados por el </w:t>
      </w:r>
      <w:proofErr w:type="spellStart"/>
      <w:r w:rsidRPr="00FC4E89">
        <w:rPr>
          <w:rFonts w:ascii="Times New Roman" w:eastAsia="Times New Roman" w:hAnsi="Times New Roman" w:cs="Times New Roman"/>
          <w:color w:val="000000"/>
          <w:sz w:val="24"/>
          <w:szCs w:val="24"/>
          <w:highlight w:val="white"/>
          <w:lang w:eastAsia="es-CO"/>
        </w:rPr>
        <w:t>Environmental</w:t>
      </w:r>
      <w:proofErr w:type="spellEnd"/>
      <w:r w:rsidRPr="00FC4E89">
        <w:rPr>
          <w:rFonts w:ascii="Times New Roman" w:eastAsia="Times New Roman" w:hAnsi="Times New Roman" w:cs="Times New Roman"/>
          <w:color w:val="000000"/>
          <w:sz w:val="24"/>
          <w:szCs w:val="24"/>
          <w:highlight w:val="white"/>
          <w:lang w:eastAsia="es-CO"/>
        </w:rPr>
        <w:t xml:space="preserve"> </w:t>
      </w:r>
      <w:proofErr w:type="spellStart"/>
      <w:r w:rsidRPr="00FC4E89">
        <w:rPr>
          <w:rFonts w:ascii="Times New Roman" w:eastAsia="Times New Roman" w:hAnsi="Times New Roman" w:cs="Times New Roman"/>
          <w:color w:val="000000"/>
          <w:sz w:val="24"/>
          <w:szCs w:val="24"/>
          <w:highlight w:val="white"/>
          <w:lang w:eastAsia="es-CO"/>
        </w:rPr>
        <w:t>Protection</w:t>
      </w:r>
      <w:proofErr w:type="spellEnd"/>
      <w:r w:rsidRPr="00FC4E89">
        <w:rPr>
          <w:rFonts w:ascii="Times New Roman" w:eastAsia="Times New Roman" w:hAnsi="Times New Roman" w:cs="Times New Roman"/>
          <w:color w:val="000000"/>
          <w:sz w:val="24"/>
          <w:szCs w:val="24"/>
          <w:highlight w:val="white"/>
          <w:lang w:eastAsia="es-CO"/>
        </w:rPr>
        <w:t xml:space="preserve"> Agency (EPA). Estos estudios alertaban sobre una posible contaminación de los recursos hídricos en las diferentes etapas de la exploración y extracción. A continuación, se exponen los principales argumentos de este estudio y el contenido de la moratoria decretada. </w:t>
      </w:r>
    </w:p>
    <w:p w14:paraId="07B3E1E8" w14:textId="77777777" w:rsidR="00FC4E89" w:rsidRPr="00FC4E89" w:rsidRDefault="00FC4E89" w:rsidP="00FC4E89">
      <w:pPr>
        <w:spacing w:before="80" w:after="80" w:line="240" w:lineRule="auto"/>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 xml:space="preserve">El estudio del EPA divide las etapas del </w:t>
      </w:r>
      <w:r w:rsidRPr="00FC4E89">
        <w:rPr>
          <w:rFonts w:ascii="Times New Roman" w:eastAsia="Times New Roman" w:hAnsi="Times New Roman" w:cs="Times New Roman"/>
          <w:color w:val="000000"/>
          <w:sz w:val="24"/>
          <w:szCs w:val="24"/>
          <w:lang w:val="es-MX" w:eastAsia="es-CO"/>
        </w:rPr>
        <w:t>fracturamiento hidráulico multietapa con perforación horizontal</w:t>
      </w:r>
      <w:r w:rsidRPr="00FC4E89">
        <w:rPr>
          <w:rFonts w:ascii="Times New Roman" w:eastAsia="Times New Roman" w:hAnsi="Times New Roman" w:cs="Times New Roman"/>
          <w:color w:val="000000"/>
          <w:sz w:val="24"/>
          <w:szCs w:val="24"/>
          <w:highlight w:val="white"/>
          <w:lang w:eastAsia="es-CO"/>
        </w:rPr>
        <w:t xml:space="preserve"> a partir de los diferentes momentos relacionados con el agua. Así, a continuación, </w:t>
      </w:r>
      <w:r w:rsidRPr="00FC4E89">
        <w:rPr>
          <w:rFonts w:ascii="Times New Roman" w:eastAsia="Times New Roman" w:hAnsi="Times New Roman" w:cs="Times New Roman"/>
          <w:color w:val="000000"/>
          <w:sz w:val="24"/>
          <w:szCs w:val="24"/>
          <w:lang w:eastAsia="es-CO"/>
        </w:rPr>
        <w:t>se exponen</w:t>
      </w:r>
      <w:r w:rsidRPr="00FC4E89">
        <w:rPr>
          <w:rFonts w:ascii="Times New Roman" w:eastAsia="Times New Roman" w:hAnsi="Times New Roman" w:cs="Times New Roman"/>
          <w:color w:val="000000"/>
          <w:sz w:val="24"/>
          <w:szCs w:val="24"/>
          <w:highlight w:val="white"/>
          <w:lang w:eastAsia="es-CO"/>
        </w:rPr>
        <w:t xml:space="preserve"> las etapas y lo que ocurre en cada una de estas: </w:t>
      </w:r>
    </w:p>
    <w:p w14:paraId="1AEE3C2D" w14:textId="77777777" w:rsidR="00FC4E89" w:rsidRPr="00FC4E89" w:rsidRDefault="00FC4E89" w:rsidP="00FC4E89">
      <w:pPr>
        <w:numPr>
          <w:ilvl w:val="0"/>
          <w:numId w:val="14"/>
        </w:numPr>
        <w:spacing w:before="80" w:after="80" w:line="240" w:lineRule="auto"/>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 xml:space="preserve">Adquisición de agua: es la recolección de agua -del subsuelo o de la superficie- para realizar fracturación hidráulica. </w:t>
      </w:r>
    </w:p>
    <w:p w14:paraId="40875B58" w14:textId="77777777" w:rsidR="00FC4E89" w:rsidRPr="00FC4E89" w:rsidRDefault="00FC4E89" w:rsidP="00FC4E89">
      <w:pPr>
        <w:numPr>
          <w:ilvl w:val="0"/>
          <w:numId w:val="14"/>
        </w:numPr>
        <w:spacing w:before="80" w:after="80" w:line="240" w:lineRule="auto"/>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 xml:space="preserve">Mezcla de químicos: es el momento en el que se mezcla el agua con los aditivos y el apuntalante. </w:t>
      </w:r>
    </w:p>
    <w:p w14:paraId="23C8265F" w14:textId="77777777" w:rsidR="00FC4E89" w:rsidRPr="00FC4E89" w:rsidRDefault="00FC4E89" w:rsidP="00FC4E89">
      <w:pPr>
        <w:numPr>
          <w:ilvl w:val="0"/>
          <w:numId w:val="14"/>
        </w:numPr>
        <w:spacing w:before="80" w:after="80" w:line="240" w:lineRule="auto"/>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Inyección: es la inyección y el movimiento de fluidos de fracturación hidráulica a través del pozo de producción hacia las formaciones rocosas.</w:t>
      </w:r>
    </w:p>
    <w:p w14:paraId="5074D776" w14:textId="77777777" w:rsidR="00FC4E89" w:rsidRPr="00FC4E89" w:rsidRDefault="00FC4E89" w:rsidP="00FC4E89">
      <w:pPr>
        <w:numPr>
          <w:ilvl w:val="0"/>
          <w:numId w:val="14"/>
        </w:numPr>
        <w:spacing w:before="80" w:after="80" w:line="240" w:lineRule="auto"/>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 xml:space="preserve">Manipulación del agua producida: la recolección del agua que retorna a la superficie después de la fracturación hidráulica. También se refiere al momento de transporte del agua para su desecho o reutilización. </w:t>
      </w:r>
    </w:p>
    <w:p w14:paraId="2D7AB89D" w14:textId="77777777" w:rsidR="00FC4E89" w:rsidRPr="00FC4E89" w:rsidRDefault="00FC4E89" w:rsidP="00FC4E89">
      <w:pPr>
        <w:numPr>
          <w:ilvl w:val="0"/>
          <w:numId w:val="14"/>
        </w:numPr>
        <w:spacing w:before="80" w:after="80" w:line="240" w:lineRule="auto"/>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 xml:space="preserve">Desecho y reutilización de los residuos de agua. </w:t>
      </w:r>
    </w:p>
    <w:p w14:paraId="58092458" w14:textId="77777777" w:rsidR="00FC4E89" w:rsidRPr="00FC4E89" w:rsidRDefault="00FC4E89" w:rsidP="00FC4E89">
      <w:pPr>
        <w:spacing w:before="80" w:after="80" w:line="240" w:lineRule="auto"/>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 xml:space="preserve">Ya establecidos las diferentes etapas de la fracturación hidráulica a partir del ciclo del agua, la EPA realizó una exposición de los principales riesgos que surgen en cada uno de estos momentos. A </w:t>
      </w:r>
      <w:proofErr w:type="gramStart"/>
      <w:r w:rsidRPr="00FC4E89">
        <w:rPr>
          <w:rFonts w:ascii="Times New Roman" w:eastAsia="Times New Roman" w:hAnsi="Times New Roman" w:cs="Times New Roman"/>
          <w:color w:val="000000"/>
          <w:sz w:val="24"/>
          <w:szCs w:val="24"/>
          <w:highlight w:val="white"/>
          <w:lang w:eastAsia="es-CO"/>
        </w:rPr>
        <w:t>continuación</w:t>
      </w:r>
      <w:proofErr w:type="gramEnd"/>
      <w:r w:rsidRPr="00FC4E89">
        <w:rPr>
          <w:rFonts w:ascii="Times New Roman" w:eastAsia="Times New Roman" w:hAnsi="Times New Roman" w:cs="Times New Roman"/>
          <w:color w:val="000000"/>
          <w:sz w:val="24"/>
          <w:szCs w:val="24"/>
          <w:highlight w:val="white"/>
          <w:lang w:eastAsia="es-CO"/>
        </w:rPr>
        <w:t xml:space="preserve"> se exponen las principales conclusiones del estudio:</w:t>
      </w:r>
    </w:p>
    <w:p w14:paraId="71C41E7B" w14:textId="77777777" w:rsidR="00FC4E89" w:rsidRPr="00FC4E89" w:rsidRDefault="00FC4E89" w:rsidP="00FC4E89">
      <w:pPr>
        <w:numPr>
          <w:ilvl w:val="0"/>
          <w:numId w:val="22"/>
        </w:numPr>
        <w:spacing w:before="80" w:after="80" w:line="240" w:lineRule="auto"/>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 xml:space="preserve">En la adquisición del agua: con notables excepciones, la fracturación hidráulica usa un porcentaje relativamente bajo de agua en comparación con el total del uso y disponibilidad de agua en escalas geográficas grandes. Aún con esto, la adquisición de agua para </w:t>
      </w:r>
      <w:proofErr w:type="spellStart"/>
      <w:r w:rsidRPr="00FC4E89">
        <w:rPr>
          <w:rFonts w:ascii="Times New Roman" w:eastAsia="Times New Roman" w:hAnsi="Times New Roman" w:cs="Times New Roman"/>
          <w:color w:val="000000"/>
          <w:sz w:val="24"/>
          <w:szCs w:val="24"/>
          <w:highlight w:val="white"/>
          <w:lang w:eastAsia="es-CO"/>
        </w:rPr>
        <w:t>fracking</w:t>
      </w:r>
      <w:proofErr w:type="spellEnd"/>
      <w:r w:rsidRPr="00FC4E89">
        <w:rPr>
          <w:rFonts w:ascii="Times New Roman" w:eastAsia="Times New Roman" w:hAnsi="Times New Roman" w:cs="Times New Roman"/>
          <w:color w:val="000000"/>
          <w:sz w:val="24"/>
          <w:szCs w:val="24"/>
          <w:highlight w:val="white"/>
          <w:lang w:eastAsia="es-CO"/>
        </w:rPr>
        <w:t xml:space="preserve"> puede afectar la cantidad y calidad de recursos de agua potable al alterar el balance entre la demanda de recursos locales de agua y la disponibilidad </w:t>
      </w:r>
      <w:r w:rsidRPr="00FC4E89">
        <w:rPr>
          <w:rFonts w:ascii="Times New Roman" w:eastAsia="Times New Roman" w:hAnsi="Times New Roman" w:cs="Times New Roman"/>
          <w:color w:val="000000"/>
          <w:sz w:val="24"/>
          <w:szCs w:val="24"/>
          <w:highlight w:val="white"/>
          <w:lang w:eastAsia="es-CO"/>
        </w:rPr>
        <w:lastRenderedPageBreak/>
        <w:t xml:space="preserve">de estos recursos. Estos riesgos cobran especial relevancia en lugares con baja disponibilidad de agua potable. </w:t>
      </w:r>
    </w:p>
    <w:p w14:paraId="0BD23EB6" w14:textId="77777777" w:rsidR="00FC4E89" w:rsidRPr="00FC4E89" w:rsidRDefault="00FC4E89" w:rsidP="00FC4E89">
      <w:pPr>
        <w:numPr>
          <w:ilvl w:val="0"/>
          <w:numId w:val="22"/>
        </w:numPr>
        <w:spacing w:before="80" w:after="80" w:line="240" w:lineRule="auto"/>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 xml:space="preserve">En la mezcla de químicos: derrames de líquidos de fracturación hidráulica y aditivos durante la mezcla de químicos ha alcanzado en algunos casos fuentes hídricas superficiales y, en ocasiones, del subsuelo. Frente a estas situaciones, la EPA recomienda el desarrollo de planes de prevención de derrames. </w:t>
      </w:r>
    </w:p>
    <w:p w14:paraId="1BBC807F" w14:textId="77777777" w:rsidR="00FC4E89" w:rsidRPr="00FC4E89" w:rsidRDefault="00FC4E89" w:rsidP="00FC4E89">
      <w:pPr>
        <w:numPr>
          <w:ilvl w:val="0"/>
          <w:numId w:val="22"/>
        </w:numPr>
        <w:spacing w:before="80" w:after="80" w:line="240" w:lineRule="auto"/>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 xml:space="preserve">En la inyección del pozo: los principales impactos relacionados con la inyección han ocurrido en algunas instancias. En particular, fallas en la integridad mecánica en la tubería del pozo han permitido que gases o líquidos se desplacen a recursos subterráneos de agua potable en algunas partes de los Estados Unidos. Como consecuencia de esto la integridad mecánica del pozo y la distancia de la separación vertical entre las formaciones rocosas y el agua potable subterránea son factores relevantes que afectan la frecuencia y severidad de los impactos sobre los recursos hídricos. La presencia de múltiples capas de carcasas cimentadas y una gran barrera rocosa entre las rocas fragmentadas hidráulicamente y el agua subterránea puede reducir la frecuencia de impactos sobre los recursos de agua potable en la etapa de inyección. </w:t>
      </w:r>
    </w:p>
    <w:p w14:paraId="299A3A57" w14:textId="77777777" w:rsidR="00FC4E89" w:rsidRPr="00FC4E89" w:rsidRDefault="00FC4E89" w:rsidP="00FC4E89">
      <w:pPr>
        <w:numPr>
          <w:ilvl w:val="0"/>
          <w:numId w:val="22"/>
        </w:numPr>
        <w:spacing w:before="80" w:after="80" w:line="240" w:lineRule="auto"/>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Manipulación del agua producida: el principal riesgo en esta etapa son los derrames de sustancias que puedan afectar - y han afectado</w:t>
      </w:r>
      <w:proofErr w:type="gramStart"/>
      <w:r w:rsidRPr="00FC4E89">
        <w:rPr>
          <w:rFonts w:ascii="Times New Roman" w:eastAsia="Times New Roman" w:hAnsi="Times New Roman" w:cs="Times New Roman"/>
          <w:color w:val="000000"/>
          <w:sz w:val="24"/>
          <w:szCs w:val="24"/>
          <w:highlight w:val="white"/>
          <w:lang w:eastAsia="es-CO"/>
        </w:rPr>
        <w:t>-  los</w:t>
      </w:r>
      <w:proofErr w:type="gramEnd"/>
      <w:r w:rsidRPr="00FC4E89">
        <w:rPr>
          <w:rFonts w:ascii="Times New Roman" w:eastAsia="Times New Roman" w:hAnsi="Times New Roman" w:cs="Times New Roman"/>
          <w:color w:val="000000"/>
          <w:sz w:val="24"/>
          <w:szCs w:val="24"/>
          <w:highlight w:val="white"/>
          <w:lang w:eastAsia="es-CO"/>
        </w:rPr>
        <w:t xml:space="preserve"> recursos de agua potable. Algunos casos de impactos sobre el recurso hídrico sugieren que se caracterizan por incrementos en la salinidad del agua. Frente a estas situaciones, la EPA ha sugerido prevención de derrames y un plan de acción frente a situaciones de derrame. </w:t>
      </w:r>
    </w:p>
    <w:p w14:paraId="1CBCE9E8" w14:textId="77777777" w:rsidR="00FC4E89" w:rsidRPr="00FC4E89" w:rsidRDefault="00FC4E89" w:rsidP="00FC4E89">
      <w:pPr>
        <w:numPr>
          <w:ilvl w:val="0"/>
          <w:numId w:val="22"/>
        </w:numPr>
        <w:spacing w:before="80" w:after="80" w:line="240" w:lineRule="auto"/>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Desecho y reutilización de los recursos hídricos: el desecho de los líquidos de fracturación hidráulica ha impactado la calidad del agua subterránea y de las aguas superficiales en algunas instancias. En particular, descargas de líquidos tratados de manera inadecuada han contribuido a los niveles elevados de sustancias peligrosas en al menos un sistema de agua potable. Fosos desalineados proveen un camino directo para que los contaminantes lleguen a aguas subterráneas.</w:t>
      </w:r>
    </w:p>
    <w:p w14:paraId="16663C01" w14:textId="77777777" w:rsidR="00FC4E89" w:rsidRPr="00FC4E89" w:rsidRDefault="00FC4E89" w:rsidP="00FC4E89">
      <w:pPr>
        <w:spacing w:before="80" w:after="80" w:line="240" w:lineRule="auto"/>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 xml:space="preserve">En cuanto a la regulación derivada de estos motivos, el Estado de Maryland introdujo el 3 de febrero de 2018 una Ley que prohibió al Departamento de Medio Ambiente realizar concesiones para fracturación hidráulica hasta el 1 de </w:t>
      </w:r>
      <w:proofErr w:type="gramStart"/>
      <w:r w:rsidRPr="00FC4E89">
        <w:rPr>
          <w:rFonts w:ascii="Times New Roman" w:eastAsia="Times New Roman" w:hAnsi="Times New Roman" w:cs="Times New Roman"/>
          <w:color w:val="000000"/>
          <w:sz w:val="24"/>
          <w:szCs w:val="24"/>
          <w:highlight w:val="white"/>
          <w:lang w:eastAsia="es-CO"/>
        </w:rPr>
        <w:t>Octubre</w:t>
      </w:r>
      <w:proofErr w:type="gramEnd"/>
      <w:r w:rsidRPr="00FC4E89">
        <w:rPr>
          <w:rFonts w:ascii="Times New Roman" w:eastAsia="Times New Roman" w:hAnsi="Times New Roman" w:cs="Times New Roman"/>
          <w:color w:val="000000"/>
          <w:sz w:val="24"/>
          <w:szCs w:val="24"/>
          <w:highlight w:val="white"/>
          <w:lang w:eastAsia="es-CO"/>
        </w:rPr>
        <w:t xml:space="preserve"> de 2019. Además, señaló que una vez llegada esa fecha se podría realizar </w:t>
      </w:r>
      <w:proofErr w:type="spellStart"/>
      <w:r w:rsidRPr="00FC4E89">
        <w:rPr>
          <w:rFonts w:ascii="Times New Roman" w:eastAsia="Times New Roman" w:hAnsi="Times New Roman" w:cs="Times New Roman"/>
          <w:color w:val="000000"/>
          <w:sz w:val="24"/>
          <w:szCs w:val="24"/>
          <w:highlight w:val="white"/>
          <w:lang w:eastAsia="es-CO"/>
        </w:rPr>
        <w:t>fracking</w:t>
      </w:r>
      <w:proofErr w:type="spellEnd"/>
      <w:r w:rsidRPr="00FC4E89">
        <w:rPr>
          <w:rFonts w:ascii="Times New Roman" w:eastAsia="Times New Roman" w:hAnsi="Times New Roman" w:cs="Times New Roman"/>
          <w:color w:val="000000"/>
          <w:sz w:val="24"/>
          <w:szCs w:val="24"/>
          <w:highlight w:val="white"/>
          <w:lang w:eastAsia="es-CO"/>
        </w:rPr>
        <w:t xml:space="preserve"> bajo unas condiciones particulares. Así, la norma prohibió que una persona realice la fracturación hidráulica en una jurisdicción local, a menos que la jurisdicción local hubiese realizado un referéndum en el que la mayoría de </w:t>
      </w:r>
      <w:proofErr w:type="gramStart"/>
      <w:r w:rsidRPr="00FC4E89">
        <w:rPr>
          <w:rFonts w:ascii="Times New Roman" w:eastAsia="Times New Roman" w:hAnsi="Times New Roman" w:cs="Times New Roman"/>
          <w:color w:val="000000"/>
          <w:sz w:val="24"/>
          <w:szCs w:val="24"/>
          <w:highlight w:val="white"/>
          <w:lang w:eastAsia="es-CO"/>
        </w:rPr>
        <w:lastRenderedPageBreak/>
        <w:t>votantes</w:t>
      </w:r>
      <w:proofErr w:type="gramEnd"/>
      <w:r w:rsidRPr="00FC4E89">
        <w:rPr>
          <w:rFonts w:ascii="Times New Roman" w:eastAsia="Times New Roman" w:hAnsi="Times New Roman" w:cs="Times New Roman"/>
          <w:color w:val="000000"/>
          <w:sz w:val="24"/>
          <w:szCs w:val="24"/>
          <w:highlight w:val="white"/>
          <w:lang w:eastAsia="es-CO"/>
        </w:rPr>
        <w:t xml:space="preserve"> respondiera de manera afirmativa frente a una pregunta sobre la ejecución de este proyecto. </w:t>
      </w:r>
    </w:p>
    <w:p w14:paraId="6B18BA38" w14:textId="77777777" w:rsidR="00FC4E89" w:rsidRPr="00FC4E89" w:rsidRDefault="00FC4E89" w:rsidP="00FC4E89">
      <w:pPr>
        <w:spacing w:before="80" w:after="80" w:line="240" w:lineRule="auto"/>
        <w:jc w:val="both"/>
        <w:rPr>
          <w:rFonts w:ascii="Times New Roman" w:eastAsia="Times New Roman" w:hAnsi="Times New Roman" w:cs="Times New Roman"/>
          <w:color w:val="000000"/>
          <w:sz w:val="24"/>
          <w:szCs w:val="24"/>
          <w:highlight w:val="white"/>
          <w:u w:val="single"/>
          <w:lang w:eastAsia="es-CO"/>
        </w:rPr>
      </w:pPr>
    </w:p>
    <w:p w14:paraId="2EACD79A" w14:textId="77777777" w:rsidR="00FC4E89" w:rsidRPr="00FC4E89" w:rsidRDefault="00FC4E89" w:rsidP="00FC4E89">
      <w:pPr>
        <w:numPr>
          <w:ilvl w:val="0"/>
          <w:numId w:val="23"/>
        </w:numPr>
        <w:spacing w:line="240" w:lineRule="auto"/>
        <w:contextualSpacing/>
        <w:jc w:val="both"/>
        <w:rPr>
          <w:rFonts w:ascii="Times New Roman" w:eastAsia="Times New Roman" w:hAnsi="Times New Roman" w:cs="Times New Roman"/>
          <w:b/>
          <w:color w:val="000000"/>
          <w:sz w:val="24"/>
          <w:szCs w:val="24"/>
          <w:highlight w:val="white"/>
          <w:lang w:eastAsia="es-CO"/>
        </w:rPr>
      </w:pPr>
      <w:r w:rsidRPr="00FC4E89">
        <w:rPr>
          <w:rFonts w:ascii="Times New Roman" w:eastAsia="Times New Roman" w:hAnsi="Times New Roman" w:cs="Times New Roman"/>
          <w:b/>
          <w:color w:val="000000"/>
          <w:sz w:val="24"/>
          <w:szCs w:val="24"/>
          <w:highlight w:val="white"/>
          <w:lang w:eastAsia="es-CO"/>
        </w:rPr>
        <w:t>Cuenca del Río Delaware, Estados Unidos.</w:t>
      </w:r>
    </w:p>
    <w:p w14:paraId="37D80018" w14:textId="77777777" w:rsidR="00FC4E89" w:rsidRPr="00FC4E89" w:rsidRDefault="00FC4E89" w:rsidP="00FC4E89">
      <w:pPr>
        <w:spacing w:line="240" w:lineRule="auto"/>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 xml:space="preserve">El 30 de mayo de 2018 concluyó el período de cuatro meses para comentar la regulación del </w:t>
      </w:r>
      <w:r w:rsidRPr="00FC4E89">
        <w:rPr>
          <w:rFonts w:ascii="Times New Roman" w:eastAsia="Times New Roman" w:hAnsi="Times New Roman" w:cs="Times New Roman"/>
          <w:color w:val="000000"/>
          <w:sz w:val="24"/>
          <w:szCs w:val="24"/>
          <w:lang w:val="es-MX" w:eastAsia="es-CO"/>
        </w:rPr>
        <w:t>fracturamiento hidráulico multietapa con perforación horizontal</w:t>
      </w:r>
      <w:r w:rsidRPr="00FC4E89">
        <w:rPr>
          <w:rFonts w:ascii="Times New Roman" w:eastAsia="Times New Roman" w:hAnsi="Times New Roman" w:cs="Times New Roman"/>
          <w:color w:val="000000"/>
          <w:sz w:val="24"/>
          <w:szCs w:val="24"/>
          <w:highlight w:val="white"/>
          <w:lang w:eastAsia="es-CO"/>
        </w:rPr>
        <w:t xml:space="preserve"> por parte de la Comisión de la cuenca del río Delaware (DRBC, por sus siglas en inglés). A pesar de que a la fecha no se ha hecho pública la regulación definitiva, los principales motivos y limitaciones propuestas en el proyecto de regulación son los siguientes.</w:t>
      </w:r>
    </w:p>
    <w:p w14:paraId="748867B1" w14:textId="77777777" w:rsidR="00FC4E89" w:rsidRPr="00FC4E89" w:rsidRDefault="00FC4E89" w:rsidP="00FC4E89">
      <w:pPr>
        <w:spacing w:line="240" w:lineRule="auto"/>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 xml:space="preserve">La DRBC revisó numerosos estudios relacionados con los potenciales impactos de fracturación hidráulica de alto volumen cerca de recursos hídricos. Dentro de estos estudios, la Comisión hace especial énfasis en el publicado por la EPA, que sirvió como fundamento para la prohibición realizado en Maryland -como se menciona en líneas anteriores. Los principales argumentos expuestos por estos estudios son posibles derrames en las etapas de adquisición y manejo del agua, filtraciones de fluidos de </w:t>
      </w:r>
      <w:r w:rsidRPr="00FC4E89">
        <w:rPr>
          <w:rFonts w:ascii="Times New Roman" w:eastAsia="Times New Roman" w:hAnsi="Times New Roman" w:cs="Times New Roman"/>
          <w:color w:val="000000"/>
          <w:sz w:val="24"/>
          <w:szCs w:val="24"/>
          <w:lang w:val="es-MX" w:eastAsia="es-CO"/>
        </w:rPr>
        <w:t>fracturamiento hidráulico multietapa con perforación horizontal</w:t>
      </w:r>
      <w:r w:rsidRPr="00FC4E89">
        <w:rPr>
          <w:rFonts w:ascii="Times New Roman" w:eastAsia="Times New Roman" w:hAnsi="Times New Roman" w:cs="Times New Roman"/>
          <w:color w:val="000000"/>
          <w:sz w:val="24"/>
          <w:szCs w:val="24"/>
          <w:highlight w:val="white"/>
          <w:lang w:eastAsia="es-CO"/>
        </w:rPr>
        <w:t xml:space="preserve"> hacia los recursos hídricos y reducción en el agua potable disponible para el hogar. </w:t>
      </w:r>
    </w:p>
    <w:p w14:paraId="2FFEDC60" w14:textId="77777777" w:rsidR="00FC4E89" w:rsidRPr="00FC4E89" w:rsidRDefault="00FC4E89" w:rsidP="00FC4E89">
      <w:pPr>
        <w:spacing w:after="0" w:line="240" w:lineRule="auto"/>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 xml:space="preserve">A partir de la información derivada del estudio de la EPA, la DRBC concluyó que esos riesgos eran especialmente preocupantes para la cuenca del río Delaware porque del agua producida por este viven 15 millones de personas -5 por ciento de la población estadounidense-. Además, el agua producida por la cuenca del río es de carácter limitado, es de conocimiento general que la cuenca sufre de constantes alertas de sequía. Por tanto, señala que tampoco debería permitirse la exportación de agua de la cuenca del río. </w:t>
      </w:r>
    </w:p>
    <w:p w14:paraId="5F591814" w14:textId="77777777" w:rsidR="00FC4E89" w:rsidRPr="00FC4E89" w:rsidRDefault="00FC4E89" w:rsidP="00FC4E89">
      <w:pPr>
        <w:spacing w:line="240" w:lineRule="auto"/>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 xml:space="preserve">A partir de esta información, la regulación propuesta por parte de la DRBC tiene las siguientes aristas: primero, una prohibición general del </w:t>
      </w:r>
      <w:r w:rsidRPr="00FC4E89">
        <w:rPr>
          <w:rFonts w:ascii="Times New Roman" w:eastAsia="Times New Roman" w:hAnsi="Times New Roman" w:cs="Times New Roman"/>
          <w:color w:val="000000"/>
          <w:sz w:val="24"/>
          <w:szCs w:val="24"/>
          <w:lang w:val="es-MX" w:eastAsia="es-CO"/>
        </w:rPr>
        <w:t>fracturamiento hidráulico multietapa con perforación horizontal</w:t>
      </w:r>
      <w:r w:rsidRPr="00FC4E89">
        <w:rPr>
          <w:rFonts w:ascii="Times New Roman" w:eastAsia="Times New Roman" w:hAnsi="Times New Roman" w:cs="Times New Roman"/>
          <w:color w:val="000000"/>
          <w:sz w:val="24"/>
          <w:szCs w:val="24"/>
          <w:highlight w:val="white"/>
          <w:lang w:eastAsia="es-CO"/>
        </w:rPr>
        <w:t xml:space="preserve"> en toda la zona denominada como la cuenca del río Delaware en los estados de New York, New Jersey, Pensilvania y Delaware sobre la formación Marcellus (uno de los “</w:t>
      </w:r>
      <w:proofErr w:type="spellStart"/>
      <w:r w:rsidRPr="00FC4E89">
        <w:rPr>
          <w:rFonts w:ascii="Times New Roman" w:eastAsia="Times New Roman" w:hAnsi="Times New Roman" w:cs="Times New Roman"/>
          <w:color w:val="000000"/>
          <w:sz w:val="24"/>
          <w:szCs w:val="24"/>
          <w:highlight w:val="white"/>
          <w:lang w:eastAsia="es-CO"/>
        </w:rPr>
        <w:t>shale</w:t>
      </w:r>
      <w:proofErr w:type="spellEnd"/>
      <w:r w:rsidRPr="00FC4E89">
        <w:rPr>
          <w:rFonts w:ascii="Times New Roman" w:eastAsia="Times New Roman" w:hAnsi="Times New Roman" w:cs="Times New Roman"/>
          <w:color w:val="000000"/>
          <w:sz w:val="24"/>
          <w:szCs w:val="24"/>
          <w:highlight w:val="white"/>
          <w:lang w:eastAsia="es-CO"/>
        </w:rPr>
        <w:t xml:space="preserve">” más productores en EEUU); segundo, se permite el transporte, tratamiento y disposición de agua residual del </w:t>
      </w:r>
      <w:proofErr w:type="spellStart"/>
      <w:r w:rsidRPr="00FC4E89">
        <w:rPr>
          <w:rFonts w:ascii="Times New Roman" w:eastAsia="Times New Roman" w:hAnsi="Times New Roman" w:cs="Times New Roman"/>
          <w:color w:val="000000"/>
          <w:sz w:val="24"/>
          <w:szCs w:val="24"/>
          <w:highlight w:val="white"/>
          <w:lang w:eastAsia="es-CO"/>
        </w:rPr>
        <w:t>fracking</w:t>
      </w:r>
      <w:proofErr w:type="spellEnd"/>
      <w:r w:rsidRPr="00FC4E89">
        <w:rPr>
          <w:rFonts w:ascii="Times New Roman" w:eastAsia="Times New Roman" w:hAnsi="Times New Roman" w:cs="Times New Roman"/>
          <w:color w:val="000000"/>
          <w:sz w:val="24"/>
          <w:szCs w:val="24"/>
          <w:highlight w:val="white"/>
          <w:lang w:eastAsia="es-CO"/>
        </w:rPr>
        <w:t xml:space="preserve"> en la cuenca; tercero, se permite la extracción de agua de la cuenca para la realización de </w:t>
      </w:r>
      <w:proofErr w:type="spellStart"/>
      <w:r w:rsidRPr="00FC4E89">
        <w:rPr>
          <w:rFonts w:ascii="Times New Roman" w:eastAsia="Times New Roman" w:hAnsi="Times New Roman" w:cs="Times New Roman"/>
          <w:color w:val="000000"/>
          <w:sz w:val="24"/>
          <w:szCs w:val="24"/>
          <w:highlight w:val="white"/>
          <w:lang w:eastAsia="es-CO"/>
        </w:rPr>
        <w:t>fracking</w:t>
      </w:r>
      <w:proofErr w:type="spellEnd"/>
      <w:r w:rsidRPr="00FC4E89">
        <w:rPr>
          <w:rFonts w:ascii="Times New Roman" w:eastAsia="Times New Roman" w:hAnsi="Times New Roman" w:cs="Times New Roman"/>
          <w:color w:val="000000"/>
          <w:sz w:val="24"/>
          <w:szCs w:val="24"/>
          <w:highlight w:val="white"/>
          <w:lang w:eastAsia="es-CO"/>
        </w:rPr>
        <w:t xml:space="preserve"> por fuera de esta zona. </w:t>
      </w:r>
    </w:p>
    <w:p w14:paraId="77FDA2DC" w14:textId="77777777" w:rsidR="00FC4E89" w:rsidRPr="00FC4E89" w:rsidRDefault="00FC4E89" w:rsidP="00FC4E89">
      <w:pPr>
        <w:spacing w:after="0" w:line="240" w:lineRule="auto"/>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Esta regulación no es vinculante todavía, pues la DRBC se encuentra analizando los comentarios realizados por diferentes ciudadanos.</w:t>
      </w:r>
    </w:p>
    <w:p w14:paraId="585DCBD4" w14:textId="77777777" w:rsidR="00FC4E89" w:rsidRPr="00FC4E89" w:rsidRDefault="00FC4E89" w:rsidP="00FC4E89">
      <w:pPr>
        <w:spacing w:before="80" w:after="80" w:line="240" w:lineRule="auto"/>
        <w:jc w:val="both"/>
        <w:rPr>
          <w:rFonts w:ascii="Times New Roman" w:eastAsia="Times New Roman" w:hAnsi="Times New Roman" w:cs="Times New Roman"/>
          <w:color w:val="000000"/>
          <w:sz w:val="24"/>
          <w:szCs w:val="24"/>
          <w:highlight w:val="white"/>
          <w:u w:val="single"/>
          <w:lang w:eastAsia="es-CO"/>
        </w:rPr>
      </w:pPr>
    </w:p>
    <w:p w14:paraId="2161723D" w14:textId="77777777" w:rsidR="00FC4E89" w:rsidRPr="00FC4E89" w:rsidRDefault="00FC4E89" w:rsidP="00FC4E89">
      <w:pPr>
        <w:numPr>
          <w:ilvl w:val="0"/>
          <w:numId w:val="23"/>
        </w:numPr>
        <w:spacing w:before="80" w:after="80" w:line="240" w:lineRule="auto"/>
        <w:contextualSpacing/>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b/>
          <w:color w:val="000000"/>
          <w:sz w:val="24"/>
          <w:szCs w:val="24"/>
          <w:highlight w:val="white"/>
          <w:lang w:eastAsia="es-CO"/>
        </w:rPr>
        <w:lastRenderedPageBreak/>
        <w:t>Estado de Victoria, Australia</w:t>
      </w:r>
    </w:p>
    <w:p w14:paraId="3268490E" w14:textId="77777777" w:rsidR="00FC4E89" w:rsidRPr="00FC4E89" w:rsidRDefault="00FC4E89" w:rsidP="00FC4E89">
      <w:pPr>
        <w:spacing w:before="80" w:after="80" w:line="240" w:lineRule="auto"/>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 xml:space="preserve">El partido laborista australiano logró la prohibición general de toda extracción no convencional de gas y petróleo. Esta prohibición tuvo como base un estudio profundo encargado por el Parlamento de Victoria a un comité de expertos. A continuación, se exponen los principales riesgos expuestos por el comité relacionados con este método de extracción, que llevaron a la prohibición total. </w:t>
      </w:r>
    </w:p>
    <w:p w14:paraId="65C76F15" w14:textId="77777777" w:rsidR="00FC4E89" w:rsidRPr="00FC4E89" w:rsidRDefault="00FC4E89" w:rsidP="00FC4E89">
      <w:pPr>
        <w:spacing w:after="0" w:line="240" w:lineRule="auto"/>
        <w:jc w:val="both"/>
        <w:rPr>
          <w:rFonts w:ascii="Times New Roman" w:eastAsia="Times New Roman" w:hAnsi="Times New Roman" w:cs="Times New Roman"/>
          <w:color w:val="000000"/>
          <w:sz w:val="24"/>
          <w:szCs w:val="24"/>
          <w:highlight w:val="white"/>
          <w:lang w:eastAsia="es-CO"/>
        </w:rPr>
      </w:pPr>
    </w:p>
    <w:p w14:paraId="2EFD6008" w14:textId="77777777" w:rsidR="00FC4E89" w:rsidRPr="00FC4E89" w:rsidRDefault="00FC4E89" w:rsidP="00FC4E89">
      <w:pPr>
        <w:numPr>
          <w:ilvl w:val="0"/>
          <w:numId w:val="20"/>
        </w:numPr>
        <w:spacing w:before="80" w:after="80" w:line="240" w:lineRule="auto"/>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Riesgos sobre manantiales y fuentes de agua: se determina que en algunos lugares en los que hay yacimientos de gas -</w:t>
      </w:r>
      <w:proofErr w:type="spellStart"/>
      <w:r w:rsidRPr="00FC4E89">
        <w:rPr>
          <w:rFonts w:ascii="Times New Roman" w:eastAsia="Times New Roman" w:hAnsi="Times New Roman" w:cs="Times New Roman"/>
          <w:color w:val="000000"/>
          <w:sz w:val="24"/>
          <w:szCs w:val="24"/>
          <w:highlight w:val="white"/>
          <w:lang w:eastAsia="es-CO"/>
        </w:rPr>
        <w:t>Gippsland</w:t>
      </w:r>
      <w:proofErr w:type="spellEnd"/>
      <w:r w:rsidRPr="00FC4E89">
        <w:rPr>
          <w:rFonts w:ascii="Times New Roman" w:eastAsia="Times New Roman" w:hAnsi="Times New Roman" w:cs="Times New Roman"/>
          <w:color w:val="000000"/>
          <w:sz w:val="24"/>
          <w:szCs w:val="24"/>
          <w:highlight w:val="white"/>
          <w:lang w:eastAsia="es-CO"/>
        </w:rPr>
        <w:t xml:space="preserve"> y Otway </w:t>
      </w:r>
      <w:proofErr w:type="spellStart"/>
      <w:r w:rsidRPr="00FC4E89">
        <w:rPr>
          <w:rFonts w:ascii="Times New Roman" w:eastAsia="Times New Roman" w:hAnsi="Times New Roman" w:cs="Times New Roman"/>
          <w:color w:val="000000"/>
          <w:sz w:val="24"/>
          <w:szCs w:val="24"/>
          <w:highlight w:val="white"/>
          <w:lang w:eastAsia="es-CO"/>
        </w:rPr>
        <w:t>Basins</w:t>
      </w:r>
      <w:proofErr w:type="spellEnd"/>
      <w:r w:rsidRPr="00FC4E89">
        <w:rPr>
          <w:rFonts w:ascii="Times New Roman" w:eastAsia="Times New Roman" w:hAnsi="Times New Roman" w:cs="Times New Roman"/>
          <w:color w:val="000000"/>
          <w:sz w:val="24"/>
          <w:szCs w:val="24"/>
          <w:highlight w:val="white"/>
          <w:lang w:eastAsia="es-CO"/>
        </w:rPr>
        <w:t xml:space="preserve">-, las piedras contentivas de gas no convencional se encuentran justo debajo de acuíferos que surten recursos hídricos para usos agronómicos y domésticos. Así, existe un riesgo de que un pozo de gas no convencional traspasa las diferentes capas geológicas y contaminan el agua subterránea colindante. Además, como la extracción de gas no convencional requiere más pozos que un yacimiento convencional porque el gas no fluye con la misma facilidad, este riesgo incrementa con cada pozo que se construya. </w:t>
      </w:r>
    </w:p>
    <w:p w14:paraId="4959DFDB" w14:textId="77777777" w:rsidR="00FC4E89" w:rsidRPr="00FC4E89" w:rsidRDefault="00FC4E89" w:rsidP="00FC4E89">
      <w:pPr>
        <w:numPr>
          <w:ilvl w:val="0"/>
          <w:numId w:val="20"/>
        </w:numPr>
        <w:spacing w:before="80" w:after="80" w:line="240" w:lineRule="auto"/>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 xml:space="preserve">Riesgos relacionados con la </w:t>
      </w:r>
      <w:r w:rsidRPr="00FC4E89">
        <w:rPr>
          <w:rFonts w:ascii="Times New Roman" w:eastAsia="Times New Roman" w:hAnsi="Times New Roman" w:cs="Times New Roman"/>
          <w:color w:val="000000"/>
          <w:sz w:val="24"/>
          <w:szCs w:val="24"/>
          <w:lang w:val="es-MX" w:eastAsia="es-CO"/>
        </w:rPr>
        <w:t>fracturamiento hidráulico multietapa con perforación horizontal</w:t>
      </w:r>
      <w:r w:rsidRPr="00FC4E89">
        <w:rPr>
          <w:rFonts w:ascii="Times New Roman" w:eastAsia="Times New Roman" w:hAnsi="Times New Roman" w:cs="Times New Roman"/>
          <w:color w:val="000000"/>
          <w:sz w:val="24"/>
          <w:szCs w:val="24"/>
          <w:highlight w:val="white"/>
          <w:lang w:eastAsia="es-CO"/>
        </w:rPr>
        <w:t xml:space="preserve">: dentro de estos se pueden incluir las fracturas que se extienden y conectan con acuíferos, contaminando el recurso hídrico con gas metano, diferentes químicos o compuestos geogénicos. </w:t>
      </w:r>
    </w:p>
    <w:p w14:paraId="17EDC34E" w14:textId="77777777" w:rsidR="00FC4E89" w:rsidRPr="00FC4E89" w:rsidRDefault="00FC4E89" w:rsidP="00FC4E89">
      <w:pPr>
        <w:numPr>
          <w:ilvl w:val="0"/>
          <w:numId w:val="20"/>
        </w:numPr>
        <w:spacing w:before="80" w:after="80" w:line="240" w:lineRule="auto"/>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 xml:space="preserve">Riesgos surgidos a partir del agua recuperada después del </w:t>
      </w:r>
      <w:proofErr w:type="spellStart"/>
      <w:r w:rsidRPr="00FC4E89">
        <w:rPr>
          <w:rFonts w:ascii="Times New Roman" w:eastAsia="Times New Roman" w:hAnsi="Times New Roman" w:cs="Times New Roman"/>
          <w:color w:val="000000"/>
          <w:sz w:val="24"/>
          <w:szCs w:val="24"/>
          <w:highlight w:val="white"/>
          <w:lang w:eastAsia="es-CO"/>
        </w:rPr>
        <w:t>fracturamiento</w:t>
      </w:r>
      <w:proofErr w:type="spellEnd"/>
      <w:r w:rsidRPr="00FC4E89">
        <w:rPr>
          <w:rFonts w:ascii="Times New Roman" w:eastAsia="Times New Roman" w:hAnsi="Times New Roman" w:cs="Times New Roman"/>
          <w:color w:val="000000"/>
          <w:sz w:val="24"/>
          <w:szCs w:val="24"/>
          <w:highlight w:val="white"/>
          <w:lang w:eastAsia="es-CO"/>
        </w:rPr>
        <w:t xml:space="preserve">: los fluidos de los que consiste la fracturación hidráulica, que retornan a la superficie una vez realizada la fracturación significan también un riesgo. El uso y desecho inapropiado de estos líquidos representan un riesgo de contaminación del medio ambiente, incluyendo el agua superficial y la tierra. Señalan múltiples casos en los que ya ha ocurrido esto. </w:t>
      </w:r>
    </w:p>
    <w:p w14:paraId="176A4CA6" w14:textId="77777777" w:rsidR="00FC4E89" w:rsidRPr="00FC4E89" w:rsidRDefault="00FC4E89" w:rsidP="00FC4E89">
      <w:pPr>
        <w:spacing w:before="80" w:after="80" w:line="240" w:lineRule="auto"/>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 xml:space="preserve">Estas son pues los principales motivos que llevaron a una prohibición general del </w:t>
      </w:r>
      <w:r w:rsidRPr="00FC4E89">
        <w:rPr>
          <w:rFonts w:ascii="Times New Roman" w:eastAsia="Times New Roman" w:hAnsi="Times New Roman" w:cs="Times New Roman"/>
          <w:color w:val="000000"/>
          <w:sz w:val="24"/>
          <w:szCs w:val="24"/>
          <w:lang w:val="es-MX" w:eastAsia="es-CO"/>
        </w:rPr>
        <w:t>fracturamiento hidráulico multietapa con perforación horizontal</w:t>
      </w:r>
      <w:r w:rsidRPr="00FC4E89">
        <w:rPr>
          <w:rFonts w:ascii="Times New Roman" w:eastAsia="Times New Roman" w:hAnsi="Times New Roman" w:cs="Times New Roman"/>
          <w:color w:val="000000"/>
          <w:sz w:val="24"/>
          <w:szCs w:val="24"/>
          <w:highlight w:val="white"/>
          <w:lang w:eastAsia="es-CO"/>
        </w:rPr>
        <w:t xml:space="preserve"> en Victoria.</w:t>
      </w:r>
    </w:p>
    <w:p w14:paraId="640B3074" w14:textId="77777777" w:rsidR="00FC4E89" w:rsidRPr="00FC4E89" w:rsidRDefault="00FC4E89" w:rsidP="00FC4E89">
      <w:pPr>
        <w:spacing w:before="80" w:after="80" w:line="240" w:lineRule="auto"/>
        <w:jc w:val="both"/>
        <w:rPr>
          <w:rFonts w:ascii="Times New Roman" w:eastAsia="Times New Roman" w:hAnsi="Times New Roman" w:cs="Times New Roman"/>
          <w:color w:val="000000"/>
          <w:sz w:val="24"/>
          <w:szCs w:val="24"/>
          <w:highlight w:val="white"/>
          <w:lang w:eastAsia="es-CO"/>
        </w:rPr>
      </w:pPr>
    </w:p>
    <w:p w14:paraId="1C4EBC2B" w14:textId="77777777" w:rsidR="00FC4E89" w:rsidRPr="00FC4E89" w:rsidRDefault="00FC4E89" w:rsidP="00FC4E89">
      <w:pPr>
        <w:numPr>
          <w:ilvl w:val="0"/>
          <w:numId w:val="23"/>
        </w:numPr>
        <w:spacing w:line="240" w:lineRule="auto"/>
        <w:contextualSpacing/>
        <w:jc w:val="both"/>
        <w:rPr>
          <w:rFonts w:ascii="Times New Roman" w:eastAsia="Times New Roman" w:hAnsi="Times New Roman" w:cs="Times New Roman"/>
          <w:b/>
          <w:color w:val="000000"/>
          <w:sz w:val="24"/>
          <w:szCs w:val="24"/>
          <w:highlight w:val="white"/>
          <w:lang w:eastAsia="es-CO"/>
        </w:rPr>
      </w:pPr>
      <w:r w:rsidRPr="00FC4E89">
        <w:rPr>
          <w:rFonts w:ascii="Times New Roman" w:eastAsia="Times New Roman" w:hAnsi="Times New Roman" w:cs="Times New Roman"/>
          <w:b/>
          <w:color w:val="000000"/>
          <w:sz w:val="24"/>
          <w:szCs w:val="24"/>
          <w:highlight w:val="white"/>
          <w:lang w:eastAsia="es-CO"/>
        </w:rPr>
        <w:t>Estado de Western Australia, Australia.</w:t>
      </w:r>
    </w:p>
    <w:p w14:paraId="139571ED" w14:textId="77777777" w:rsidR="00FC4E89" w:rsidRPr="00FC4E89" w:rsidRDefault="00FC4E89" w:rsidP="00FC4E89">
      <w:pPr>
        <w:spacing w:after="0" w:line="240" w:lineRule="auto"/>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 xml:space="preserve">Las cuencas de Western Australia han sido identificadas como potencialmente prospectivas para la extracción de gas de roca generadora. El Departamento de Minas, Industria, Regulación y Seguridad ha estimado que esta región tiene reservas de este gas de aproximadamente 34.000 billones de metros cúbicos. Siendo el </w:t>
      </w:r>
      <w:r w:rsidRPr="00FC4E89">
        <w:rPr>
          <w:rFonts w:ascii="Times New Roman" w:eastAsia="Times New Roman" w:hAnsi="Times New Roman" w:cs="Times New Roman"/>
          <w:color w:val="000000"/>
          <w:sz w:val="24"/>
          <w:szCs w:val="24"/>
          <w:lang w:val="es-MX" w:eastAsia="es-CO"/>
        </w:rPr>
        <w:t xml:space="preserve">fracturamiento hidráulico </w:t>
      </w:r>
      <w:r w:rsidRPr="00FC4E89">
        <w:rPr>
          <w:rFonts w:ascii="Times New Roman" w:eastAsia="Times New Roman" w:hAnsi="Times New Roman" w:cs="Times New Roman"/>
          <w:color w:val="000000"/>
          <w:sz w:val="24"/>
          <w:szCs w:val="24"/>
          <w:lang w:val="es-MX" w:eastAsia="es-CO"/>
        </w:rPr>
        <w:lastRenderedPageBreak/>
        <w:t>multietapa con perforación horizontal</w:t>
      </w:r>
      <w:r w:rsidRPr="00FC4E89">
        <w:rPr>
          <w:rFonts w:ascii="Times New Roman" w:eastAsia="Times New Roman" w:hAnsi="Times New Roman" w:cs="Times New Roman"/>
          <w:color w:val="000000"/>
          <w:sz w:val="24"/>
          <w:szCs w:val="24"/>
          <w:highlight w:val="white"/>
          <w:lang w:eastAsia="es-CO"/>
        </w:rPr>
        <w:t xml:space="preserve"> el método de extracción de este gas, la normativa desarrollada por Western Australia en julio de 2017 tiene como base el principio de precaución en la medida que, a ausencia de certeza científica sobre los daños ambientales, se desarrolló un esquema regulatorio que prohibió parcialmente la realización de </w:t>
      </w:r>
      <w:r w:rsidRPr="00FC4E89">
        <w:rPr>
          <w:rFonts w:ascii="Times New Roman" w:eastAsia="Times New Roman" w:hAnsi="Times New Roman" w:cs="Times New Roman"/>
          <w:color w:val="000000"/>
          <w:sz w:val="24"/>
          <w:szCs w:val="24"/>
          <w:lang w:val="es-MX" w:eastAsia="es-CO"/>
        </w:rPr>
        <w:t>fracturamiento hidráulico multietapa con perforación horizontal</w:t>
      </w:r>
      <w:r w:rsidRPr="00FC4E89">
        <w:rPr>
          <w:rFonts w:ascii="Times New Roman" w:eastAsia="Times New Roman" w:hAnsi="Times New Roman" w:cs="Times New Roman"/>
          <w:color w:val="000000"/>
          <w:sz w:val="24"/>
          <w:szCs w:val="24"/>
          <w:highlight w:val="white"/>
          <w:lang w:eastAsia="es-CO"/>
        </w:rPr>
        <w:t xml:space="preserve"> en su territorio. </w:t>
      </w:r>
    </w:p>
    <w:p w14:paraId="67403C54" w14:textId="77777777" w:rsidR="00FC4E89" w:rsidRPr="00FC4E89" w:rsidRDefault="00FC4E89" w:rsidP="00FC4E89">
      <w:pPr>
        <w:spacing w:after="0" w:line="240" w:lineRule="auto"/>
        <w:jc w:val="both"/>
        <w:rPr>
          <w:rFonts w:ascii="Times New Roman" w:eastAsia="Times New Roman" w:hAnsi="Times New Roman" w:cs="Times New Roman"/>
          <w:color w:val="000000"/>
          <w:sz w:val="24"/>
          <w:szCs w:val="24"/>
          <w:highlight w:val="white"/>
          <w:lang w:eastAsia="es-CO"/>
        </w:rPr>
      </w:pPr>
    </w:p>
    <w:p w14:paraId="26575B4D" w14:textId="77777777" w:rsidR="00FC4E89" w:rsidRPr="00FC4E89" w:rsidRDefault="00FC4E89" w:rsidP="00FC4E89">
      <w:pPr>
        <w:spacing w:line="240" w:lineRule="auto"/>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 xml:space="preserve">En primer lugar, se realizó una prohibición general del </w:t>
      </w:r>
      <w:proofErr w:type="spellStart"/>
      <w:r w:rsidRPr="00FC4E89">
        <w:rPr>
          <w:rFonts w:ascii="Times New Roman" w:eastAsia="Times New Roman" w:hAnsi="Times New Roman" w:cs="Times New Roman"/>
          <w:color w:val="000000"/>
          <w:sz w:val="24"/>
          <w:szCs w:val="24"/>
          <w:highlight w:val="white"/>
          <w:lang w:eastAsia="es-CO"/>
        </w:rPr>
        <w:t>fracking</w:t>
      </w:r>
      <w:proofErr w:type="spellEnd"/>
      <w:r w:rsidRPr="00FC4E89">
        <w:rPr>
          <w:rFonts w:ascii="Times New Roman" w:eastAsia="Times New Roman" w:hAnsi="Times New Roman" w:cs="Times New Roman"/>
          <w:color w:val="000000"/>
          <w:sz w:val="24"/>
          <w:szCs w:val="24"/>
          <w:highlight w:val="white"/>
          <w:lang w:eastAsia="es-CO"/>
        </w:rPr>
        <w:t xml:space="preserve"> en Perth y demás zonas metropolitanas. En segundo lugar, se estableció una moratoria hasta que un panel de expertos desarrolle evidencia científica asociada al </w:t>
      </w:r>
      <w:proofErr w:type="spellStart"/>
      <w:r w:rsidRPr="00FC4E89">
        <w:rPr>
          <w:rFonts w:ascii="Times New Roman" w:eastAsia="Times New Roman" w:hAnsi="Times New Roman" w:cs="Times New Roman"/>
          <w:color w:val="000000"/>
          <w:sz w:val="24"/>
          <w:szCs w:val="24"/>
          <w:highlight w:val="white"/>
          <w:lang w:eastAsia="es-CO"/>
        </w:rPr>
        <w:t>fracking</w:t>
      </w:r>
      <w:proofErr w:type="spellEnd"/>
      <w:r w:rsidRPr="00FC4E89">
        <w:rPr>
          <w:rFonts w:ascii="Times New Roman" w:eastAsia="Times New Roman" w:hAnsi="Times New Roman" w:cs="Times New Roman"/>
          <w:color w:val="000000"/>
          <w:sz w:val="24"/>
          <w:szCs w:val="24"/>
          <w:highlight w:val="white"/>
          <w:lang w:eastAsia="es-CO"/>
        </w:rPr>
        <w:t xml:space="preserve"> y plantee mecanismos regulatorios para identificar y minimizar riesgos ambientales y </w:t>
      </w:r>
      <w:proofErr w:type="spellStart"/>
      <w:r w:rsidRPr="00FC4E89">
        <w:rPr>
          <w:rFonts w:ascii="Times New Roman" w:eastAsia="Times New Roman" w:hAnsi="Times New Roman" w:cs="Times New Roman"/>
          <w:color w:val="000000"/>
          <w:sz w:val="24"/>
          <w:szCs w:val="24"/>
          <w:highlight w:val="white"/>
          <w:lang w:eastAsia="es-CO"/>
        </w:rPr>
        <w:t>sociale</w:t>
      </w:r>
      <w:proofErr w:type="spellEnd"/>
      <w:r w:rsidRPr="00FC4E89">
        <w:rPr>
          <w:rFonts w:ascii="Times New Roman" w:eastAsia="Times New Roman" w:hAnsi="Times New Roman" w:cs="Times New Roman"/>
          <w:color w:val="000000"/>
          <w:sz w:val="24"/>
          <w:szCs w:val="24"/>
          <w:highlight w:val="white"/>
          <w:lang w:eastAsia="es-CO"/>
        </w:rPr>
        <w:t>.</w:t>
      </w:r>
    </w:p>
    <w:p w14:paraId="00566B53" w14:textId="77777777" w:rsidR="00FC4E89" w:rsidRPr="00FC4E89" w:rsidRDefault="00FC4E89" w:rsidP="00FC4E89">
      <w:pPr>
        <w:spacing w:after="0" w:line="240" w:lineRule="auto"/>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 xml:space="preserve">Este tipo de moratorias han sido realizadas en otros lugares de Australia, tales como Tasmania y New South </w:t>
      </w:r>
      <w:proofErr w:type="spellStart"/>
      <w:r w:rsidRPr="00FC4E89">
        <w:rPr>
          <w:rFonts w:ascii="Times New Roman" w:eastAsia="Times New Roman" w:hAnsi="Times New Roman" w:cs="Times New Roman"/>
          <w:color w:val="000000"/>
          <w:sz w:val="24"/>
          <w:szCs w:val="24"/>
          <w:highlight w:val="white"/>
          <w:lang w:eastAsia="es-CO"/>
        </w:rPr>
        <w:t>Wales</w:t>
      </w:r>
      <w:proofErr w:type="spellEnd"/>
      <w:r w:rsidRPr="00FC4E89">
        <w:rPr>
          <w:rFonts w:ascii="Times New Roman" w:eastAsia="Times New Roman" w:hAnsi="Times New Roman" w:cs="Times New Roman"/>
          <w:color w:val="000000"/>
          <w:sz w:val="24"/>
          <w:szCs w:val="24"/>
          <w:highlight w:val="white"/>
          <w:lang w:eastAsia="es-CO"/>
        </w:rPr>
        <w:t>.</w:t>
      </w:r>
    </w:p>
    <w:p w14:paraId="0E5FF42C" w14:textId="77777777" w:rsidR="00FC4E89" w:rsidRPr="00FC4E89" w:rsidRDefault="00FC4E89" w:rsidP="00FC4E89">
      <w:pPr>
        <w:spacing w:after="0" w:line="240" w:lineRule="auto"/>
        <w:jc w:val="both"/>
        <w:rPr>
          <w:rFonts w:ascii="Times New Roman" w:eastAsia="Times New Roman" w:hAnsi="Times New Roman" w:cs="Times New Roman"/>
          <w:color w:val="000000"/>
          <w:sz w:val="24"/>
          <w:szCs w:val="24"/>
          <w:highlight w:val="white"/>
          <w:lang w:eastAsia="es-CO"/>
        </w:rPr>
      </w:pPr>
    </w:p>
    <w:p w14:paraId="1226E520" w14:textId="77777777" w:rsidR="00FC4E89" w:rsidRPr="00FC4E89" w:rsidRDefault="00FC4E89" w:rsidP="00FC4E89">
      <w:pPr>
        <w:numPr>
          <w:ilvl w:val="0"/>
          <w:numId w:val="23"/>
        </w:numPr>
        <w:spacing w:line="240" w:lineRule="auto"/>
        <w:contextualSpacing/>
        <w:jc w:val="both"/>
        <w:rPr>
          <w:rFonts w:ascii="Times New Roman" w:eastAsia="Times New Roman" w:hAnsi="Times New Roman" w:cs="Times New Roman"/>
          <w:b/>
          <w:color w:val="000000"/>
          <w:sz w:val="24"/>
          <w:szCs w:val="24"/>
          <w:highlight w:val="white"/>
          <w:lang w:eastAsia="es-CO"/>
        </w:rPr>
      </w:pPr>
      <w:r w:rsidRPr="00FC4E89">
        <w:rPr>
          <w:rFonts w:ascii="Times New Roman" w:eastAsia="Times New Roman" w:hAnsi="Times New Roman" w:cs="Times New Roman"/>
          <w:b/>
          <w:color w:val="000000"/>
          <w:sz w:val="24"/>
          <w:szCs w:val="24"/>
          <w:highlight w:val="white"/>
          <w:lang w:eastAsia="es-CO"/>
        </w:rPr>
        <w:t>Provincia de Entre Ríos, Argentina.</w:t>
      </w:r>
    </w:p>
    <w:p w14:paraId="7930B3C0" w14:textId="77777777" w:rsidR="00FC4E89" w:rsidRPr="00FC4E89" w:rsidRDefault="00FC4E89" w:rsidP="00FC4E89">
      <w:pPr>
        <w:spacing w:line="240" w:lineRule="auto"/>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 xml:space="preserve">La Legislatura de la Provincia de Entre Ríos, Argentina, decidió reglamentar de manera similar a Victoria a través de una prohibición general del </w:t>
      </w:r>
      <w:proofErr w:type="spellStart"/>
      <w:r w:rsidRPr="00FC4E89">
        <w:rPr>
          <w:rFonts w:ascii="Times New Roman" w:eastAsia="Times New Roman" w:hAnsi="Times New Roman" w:cs="Times New Roman"/>
          <w:color w:val="000000"/>
          <w:sz w:val="24"/>
          <w:szCs w:val="24"/>
          <w:highlight w:val="white"/>
          <w:lang w:eastAsia="es-CO"/>
        </w:rPr>
        <w:t>fracking</w:t>
      </w:r>
      <w:proofErr w:type="spellEnd"/>
      <w:r w:rsidRPr="00FC4E89">
        <w:rPr>
          <w:rFonts w:ascii="Times New Roman" w:eastAsia="Times New Roman" w:hAnsi="Times New Roman" w:cs="Times New Roman"/>
          <w:color w:val="000000"/>
          <w:sz w:val="24"/>
          <w:szCs w:val="24"/>
          <w:highlight w:val="white"/>
          <w:lang w:eastAsia="es-CO"/>
        </w:rPr>
        <w:t xml:space="preserve"> en su Ley 10.477. </w:t>
      </w:r>
    </w:p>
    <w:p w14:paraId="5C6CC8D0" w14:textId="77777777" w:rsidR="00FC4E89" w:rsidRPr="00FC4E89" w:rsidRDefault="00FC4E89" w:rsidP="00FC4E89">
      <w:pPr>
        <w:spacing w:line="240" w:lineRule="auto"/>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 xml:space="preserve">Los argumentos planteados por el legislador de Entre Ríos tienen la misma base legal: el derecho constitucional de los argentinos a vivir un ambiente sano y equilibrado, el derecho a consumir agua saludable, potable, y a que se asegure a cada habitante la continua disponibilidad del recurso hídrico. </w:t>
      </w:r>
    </w:p>
    <w:p w14:paraId="5460AD8D" w14:textId="77777777" w:rsidR="00FC4E89" w:rsidRPr="00FC4E89" w:rsidRDefault="00FC4E89" w:rsidP="00FC4E89">
      <w:pPr>
        <w:spacing w:line="240" w:lineRule="auto"/>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 xml:space="preserve">El primer argumento se basa en el principio de precaución. El legislador señala que la alta toxicidad de las sustancias con las que se realiza el </w:t>
      </w:r>
      <w:r w:rsidRPr="00FC4E89">
        <w:rPr>
          <w:rFonts w:ascii="Times New Roman" w:eastAsia="Times New Roman" w:hAnsi="Times New Roman" w:cs="Times New Roman"/>
          <w:color w:val="000000"/>
          <w:sz w:val="24"/>
          <w:szCs w:val="24"/>
          <w:lang w:val="es-MX" w:eastAsia="es-CO"/>
        </w:rPr>
        <w:t>fracturamiento hidráulico multietapa con perforación horizontal</w:t>
      </w:r>
      <w:r w:rsidRPr="00FC4E89">
        <w:rPr>
          <w:rFonts w:ascii="Times New Roman" w:eastAsia="Times New Roman" w:hAnsi="Times New Roman" w:cs="Times New Roman"/>
          <w:color w:val="000000"/>
          <w:sz w:val="24"/>
          <w:szCs w:val="24"/>
          <w:highlight w:val="white"/>
          <w:lang w:eastAsia="es-CO"/>
        </w:rPr>
        <w:t xml:space="preserve">, junto con el riesgo de contaminación del aire y de las fuentes hídricas, representan situaciones que, aún sin prueba científica, deberían llevar a una prohibición. </w:t>
      </w:r>
    </w:p>
    <w:p w14:paraId="1BEED9D5" w14:textId="77777777" w:rsidR="00FC4E89" w:rsidRPr="00FC4E89" w:rsidRDefault="00FC4E89" w:rsidP="00FC4E89">
      <w:pPr>
        <w:spacing w:line="240" w:lineRule="auto"/>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 xml:space="preserve">El segundo argumento tiene como base el uso productivo de la tierra. Se señala que como el flujo inicial de gas no convencional disminuye pronto, por lo que es necesario perforar nuevos pozos para mantener la producción de los yacimientos. Eso tiene como consecuencia que vastas extensiones de tierra se vean ocupadas para la extracción y que los territorios ocupados sufran daños ambientales profundos. </w:t>
      </w:r>
    </w:p>
    <w:p w14:paraId="35279187" w14:textId="77777777" w:rsidR="00FC4E89" w:rsidRPr="00FC4E89" w:rsidRDefault="00FC4E89" w:rsidP="00FC4E89">
      <w:pPr>
        <w:spacing w:line="240" w:lineRule="auto"/>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 xml:space="preserve">En tercer lugar, se argumenta que es conocido que el </w:t>
      </w:r>
      <w:r w:rsidRPr="00FC4E89">
        <w:rPr>
          <w:rFonts w:ascii="Times New Roman" w:eastAsia="Times New Roman" w:hAnsi="Times New Roman" w:cs="Times New Roman"/>
          <w:color w:val="000000"/>
          <w:sz w:val="24"/>
          <w:szCs w:val="24"/>
          <w:lang w:val="es-MX" w:eastAsia="es-CO"/>
        </w:rPr>
        <w:t>fracturamiento hidráulico multietapa con perforación horizontal</w:t>
      </w:r>
      <w:r w:rsidRPr="00FC4E89">
        <w:rPr>
          <w:rFonts w:ascii="Times New Roman" w:eastAsia="Times New Roman" w:hAnsi="Times New Roman" w:cs="Times New Roman"/>
          <w:color w:val="000000"/>
          <w:sz w:val="24"/>
          <w:szCs w:val="24"/>
          <w:highlight w:val="white"/>
          <w:lang w:eastAsia="es-CO"/>
        </w:rPr>
        <w:t xml:space="preserve"> es causante de terremotos y uno de los factores más importantes </w:t>
      </w:r>
      <w:r w:rsidRPr="00FC4E89">
        <w:rPr>
          <w:rFonts w:ascii="Times New Roman" w:eastAsia="Times New Roman" w:hAnsi="Times New Roman" w:cs="Times New Roman"/>
          <w:color w:val="000000"/>
          <w:sz w:val="24"/>
          <w:szCs w:val="24"/>
          <w:highlight w:val="white"/>
          <w:lang w:eastAsia="es-CO"/>
        </w:rPr>
        <w:lastRenderedPageBreak/>
        <w:t xml:space="preserve">de emisión de gases efecto invernadero, determinantes en el aumento de la temperatura del planeta. </w:t>
      </w:r>
    </w:p>
    <w:p w14:paraId="4A06B704" w14:textId="77777777" w:rsidR="00FC4E89" w:rsidRPr="00FC4E89" w:rsidRDefault="00FC4E89" w:rsidP="00FC4E89">
      <w:pPr>
        <w:spacing w:line="240" w:lineRule="auto"/>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 xml:space="preserve">Un cuarto argumento señala que la eficiencia de recuperación del gas no convencional es del 6,5% mientras que el del gas convencional es del 75-80%. </w:t>
      </w:r>
    </w:p>
    <w:p w14:paraId="7EA7FF86" w14:textId="77777777" w:rsidR="00FC4E89" w:rsidRPr="00FC4E89" w:rsidRDefault="00FC4E89" w:rsidP="00FC4E89">
      <w:pPr>
        <w:spacing w:after="0" w:line="240" w:lineRule="auto"/>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 xml:space="preserve">Por otro lado, la Ley resalta la importancia del Acuífero de Guaraní como “recurso hídrico transfronterizo que integra el dominio territorial soberano de la República Argentina”. Este es importante para la provisión de agua de personas de Brasil, Paraguay, Argentina y Uruguay. </w:t>
      </w:r>
    </w:p>
    <w:p w14:paraId="0E02A72D" w14:textId="77777777" w:rsidR="00FC4E89" w:rsidRPr="00FC4E89" w:rsidRDefault="00FC4E89" w:rsidP="00FC4E89">
      <w:pPr>
        <w:spacing w:after="0" w:line="240" w:lineRule="auto"/>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 xml:space="preserve">A partir de lo anterior, la norma señala la responsabilidad que tienen la Provincia de Entre Ríos, como cotitular de ese bien común, de ejercer monitoreo y aprovechamiento sustentable del Acuífero. </w:t>
      </w:r>
    </w:p>
    <w:p w14:paraId="16D4279E" w14:textId="77777777" w:rsidR="00FC4E89" w:rsidRPr="00FC4E89" w:rsidRDefault="00FC4E89" w:rsidP="00FC4E89">
      <w:pPr>
        <w:spacing w:after="0" w:line="240" w:lineRule="auto"/>
        <w:jc w:val="both"/>
        <w:rPr>
          <w:rFonts w:ascii="Times New Roman" w:eastAsia="Times New Roman" w:hAnsi="Times New Roman" w:cs="Times New Roman"/>
          <w:color w:val="000000"/>
          <w:sz w:val="24"/>
          <w:szCs w:val="24"/>
          <w:highlight w:val="white"/>
          <w:lang w:eastAsia="es-CO"/>
        </w:rPr>
      </w:pPr>
    </w:p>
    <w:p w14:paraId="640089B3" w14:textId="1B1B49B5" w:rsidR="00FC4E89" w:rsidRPr="00FC4E89" w:rsidRDefault="00FC4E89" w:rsidP="00FC4E89">
      <w:pPr>
        <w:spacing w:after="0" w:line="240" w:lineRule="auto"/>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 xml:space="preserve">Con base en lo anterior, la Ley 10477 señala la siguiente regulación: prohibición de la extracción, exploración y prospección de hidrocarburos líquidos y gaseosos por métodos no convencionales, incluyendo la técnica de fractura hidráulica -artículo 1.-. Se determinan las autoridades con la función de ejercer acciones preventivas pertinentes y oportunas que garanticen la demanda de protección de aguas, incluyendo el Acuífero de Guaraní -artículo 2- y se determina la autoridad competente para llevar el control sobre el tema -artículo 3-. Finalmente, en su artículo 4 se invita a las Provincias integrantes de la región asentada sobre el Sistema Acuífero Guaraní a legislar en la protección </w:t>
      </w:r>
      <w:r w:rsidR="00FF153B" w:rsidRPr="00FC4E89">
        <w:rPr>
          <w:rFonts w:ascii="Times New Roman" w:eastAsia="Times New Roman" w:hAnsi="Times New Roman" w:cs="Times New Roman"/>
          <w:color w:val="000000"/>
          <w:sz w:val="24"/>
          <w:szCs w:val="24"/>
          <w:highlight w:val="white"/>
          <w:lang w:eastAsia="es-CO"/>
        </w:rPr>
        <w:t>de este</w:t>
      </w:r>
      <w:r w:rsidRPr="00FC4E89">
        <w:rPr>
          <w:rFonts w:ascii="Times New Roman" w:eastAsia="Times New Roman" w:hAnsi="Times New Roman" w:cs="Times New Roman"/>
          <w:color w:val="000000"/>
          <w:sz w:val="24"/>
          <w:szCs w:val="24"/>
          <w:highlight w:val="white"/>
          <w:lang w:eastAsia="es-CO"/>
        </w:rPr>
        <w:t xml:space="preserve">. </w:t>
      </w:r>
    </w:p>
    <w:p w14:paraId="03AF85CD" w14:textId="77777777" w:rsidR="00FC4E89" w:rsidRPr="00FC4E89" w:rsidRDefault="00FC4E89" w:rsidP="00FC4E89">
      <w:pPr>
        <w:spacing w:after="0" w:line="240" w:lineRule="auto"/>
        <w:jc w:val="both"/>
        <w:rPr>
          <w:rFonts w:ascii="Times New Roman" w:eastAsia="Times New Roman" w:hAnsi="Times New Roman" w:cs="Times New Roman"/>
          <w:color w:val="000000"/>
          <w:sz w:val="24"/>
          <w:szCs w:val="24"/>
          <w:highlight w:val="white"/>
          <w:lang w:eastAsia="es-CO"/>
        </w:rPr>
      </w:pPr>
    </w:p>
    <w:p w14:paraId="7FACC0EB" w14:textId="77777777" w:rsidR="00FC4E89" w:rsidRPr="00FC4E89" w:rsidRDefault="00FC4E89" w:rsidP="00FC4E89">
      <w:pPr>
        <w:numPr>
          <w:ilvl w:val="0"/>
          <w:numId w:val="23"/>
        </w:numPr>
        <w:spacing w:line="240" w:lineRule="auto"/>
        <w:contextualSpacing/>
        <w:jc w:val="both"/>
        <w:rPr>
          <w:rFonts w:ascii="Times New Roman" w:eastAsia="Times New Roman" w:hAnsi="Times New Roman" w:cs="Times New Roman"/>
          <w:b/>
          <w:color w:val="000000"/>
          <w:sz w:val="24"/>
          <w:szCs w:val="24"/>
          <w:highlight w:val="white"/>
          <w:lang w:eastAsia="es-CO"/>
        </w:rPr>
      </w:pPr>
      <w:r w:rsidRPr="00FC4E89">
        <w:rPr>
          <w:rFonts w:ascii="Times New Roman" w:eastAsia="Times New Roman" w:hAnsi="Times New Roman" w:cs="Times New Roman"/>
          <w:b/>
          <w:color w:val="000000"/>
          <w:sz w:val="24"/>
          <w:szCs w:val="24"/>
          <w:highlight w:val="white"/>
          <w:lang w:eastAsia="es-CO"/>
        </w:rPr>
        <w:t>Uruguay.</w:t>
      </w:r>
    </w:p>
    <w:p w14:paraId="2171E119" w14:textId="77777777" w:rsidR="00FC4E89" w:rsidRPr="00FC4E89" w:rsidRDefault="00FC4E89" w:rsidP="00FC4E89">
      <w:pPr>
        <w:spacing w:after="0" w:line="240" w:lineRule="auto"/>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 xml:space="preserve">En el 2017 en Uruguay se dio moratoria durante cuatro años al </w:t>
      </w:r>
      <w:r w:rsidRPr="00FC4E89">
        <w:rPr>
          <w:rFonts w:ascii="Times New Roman" w:eastAsia="Times New Roman" w:hAnsi="Times New Roman" w:cs="Times New Roman"/>
          <w:color w:val="000000"/>
          <w:sz w:val="24"/>
          <w:szCs w:val="24"/>
          <w:lang w:val="es-MX" w:eastAsia="es-CO"/>
        </w:rPr>
        <w:t>fracturamiento hidráulico multietapa con perforación horizontal</w:t>
      </w:r>
      <w:r w:rsidRPr="00FC4E89">
        <w:rPr>
          <w:rFonts w:ascii="Times New Roman" w:eastAsia="Times New Roman" w:hAnsi="Times New Roman" w:cs="Times New Roman"/>
          <w:color w:val="000000"/>
          <w:sz w:val="24"/>
          <w:szCs w:val="24"/>
          <w:highlight w:val="white"/>
          <w:lang w:eastAsia="es-CO"/>
        </w:rPr>
        <w:t xml:space="preserve"> mediante la Ley </w:t>
      </w:r>
      <w:proofErr w:type="spellStart"/>
      <w:r w:rsidRPr="00FC4E89">
        <w:rPr>
          <w:rFonts w:ascii="Times New Roman" w:eastAsia="Times New Roman" w:hAnsi="Times New Roman" w:cs="Times New Roman"/>
          <w:color w:val="000000"/>
          <w:sz w:val="24"/>
          <w:szCs w:val="24"/>
          <w:highlight w:val="white"/>
          <w:lang w:eastAsia="es-CO"/>
        </w:rPr>
        <w:t>N°</w:t>
      </w:r>
      <w:proofErr w:type="spellEnd"/>
      <w:r w:rsidRPr="00FC4E89">
        <w:rPr>
          <w:rFonts w:ascii="Times New Roman" w:eastAsia="Times New Roman" w:hAnsi="Times New Roman" w:cs="Times New Roman"/>
          <w:color w:val="000000"/>
          <w:sz w:val="24"/>
          <w:szCs w:val="24"/>
          <w:highlight w:val="white"/>
          <w:lang w:eastAsia="es-CO"/>
        </w:rPr>
        <w:t xml:space="preserve"> 19.58. Durante las discusiones para su aprobación los Congresistas reconocieron que la información acerca del </w:t>
      </w:r>
      <w:proofErr w:type="spellStart"/>
      <w:r w:rsidRPr="00FC4E89">
        <w:rPr>
          <w:rFonts w:ascii="Times New Roman" w:eastAsia="Times New Roman" w:hAnsi="Times New Roman" w:cs="Times New Roman"/>
          <w:color w:val="000000"/>
          <w:sz w:val="24"/>
          <w:szCs w:val="24"/>
          <w:highlight w:val="white"/>
          <w:lang w:eastAsia="es-CO"/>
        </w:rPr>
        <w:t>fracking</w:t>
      </w:r>
      <w:proofErr w:type="spellEnd"/>
      <w:r w:rsidRPr="00FC4E89">
        <w:rPr>
          <w:rFonts w:ascii="Times New Roman" w:eastAsia="Times New Roman" w:hAnsi="Times New Roman" w:cs="Times New Roman"/>
          <w:color w:val="000000"/>
          <w:sz w:val="24"/>
          <w:szCs w:val="24"/>
          <w:highlight w:val="white"/>
          <w:lang w:eastAsia="es-CO"/>
        </w:rPr>
        <w:t xml:space="preserve"> era “atomizada” y “parcial”, razones por las que, antes de tomar una decisión pertinente para el país, consideraron necesario realizar más estudios. Además de esto, se estableció la necesidad de velar por la protección del acuífero </w:t>
      </w:r>
      <w:proofErr w:type="gramStart"/>
      <w:r w:rsidRPr="00FC4E89">
        <w:rPr>
          <w:rFonts w:ascii="Times New Roman" w:eastAsia="Times New Roman" w:hAnsi="Times New Roman" w:cs="Times New Roman"/>
          <w:color w:val="000000"/>
          <w:sz w:val="24"/>
          <w:szCs w:val="24"/>
          <w:highlight w:val="white"/>
          <w:lang w:eastAsia="es-CO"/>
        </w:rPr>
        <w:t>Guaraní</w:t>
      </w:r>
      <w:proofErr w:type="gramEnd"/>
      <w:r w:rsidRPr="00FC4E89">
        <w:rPr>
          <w:rFonts w:ascii="Times New Roman" w:eastAsia="Times New Roman" w:hAnsi="Times New Roman" w:cs="Times New Roman"/>
          <w:color w:val="000000"/>
          <w:sz w:val="24"/>
          <w:szCs w:val="24"/>
          <w:highlight w:val="white"/>
          <w:lang w:eastAsia="es-CO"/>
        </w:rPr>
        <w:t xml:space="preserve">, el tercero más importante del mundo, el cual se podría ver afectado por el </w:t>
      </w:r>
      <w:r w:rsidRPr="00FC4E89">
        <w:rPr>
          <w:rFonts w:ascii="Times New Roman" w:eastAsia="Times New Roman" w:hAnsi="Times New Roman" w:cs="Times New Roman"/>
          <w:color w:val="000000"/>
          <w:sz w:val="24"/>
          <w:szCs w:val="24"/>
          <w:lang w:val="es-MX" w:eastAsia="es-CO"/>
        </w:rPr>
        <w:t>fracturamiento hidráulico multietapa con perforación horizontal</w:t>
      </w:r>
      <w:r w:rsidRPr="00FC4E89">
        <w:rPr>
          <w:rFonts w:ascii="Times New Roman" w:eastAsia="Times New Roman" w:hAnsi="Times New Roman" w:cs="Times New Roman"/>
          <w:color w:val="000000"/>
          <w:sz w:val="24"/>
          <w:szCs w:val="24"/>
          <w:highlight w:val="white"/>
          <w:lang w:eastAsia="es-CO"/>
        </w:rPr>
        <w:t xml:space="preserve">. </w:t>
      </w:r>
    </w:p>
    <w:p w14:paraId="28D53AF3" w14:textId="77777777" w:rsidR="00FC4E89" w:rsidRPr="00FC4E89" w:rsidRDefault="00FC4E89" w:rsidP="00FC4E89">
      <w:pPr>
        <w:spacing w:after="0" w:line="240" w:lineRule="auto"/>
        <w:jc w:val="both"/>
        <w:rPr>
          <w:rFonts w:ascii="Times New Roman" w:eastAsia="Times New Roman" w:hAnsi="Times New Roman" w:cs="Times New Roman"/>
          <w:color w:val="000000"/>
          <w:sz w:val="24"/>
          <w:szCs w:val="24"/>
          <w:highlight w:val="white"/>
          <w:lang w:eastAsia="es-CO"/>
        </w:rPr>
      </w:pPr>
    </w:p>
    <w:p w14:paraId="17433EF7" w14:textId="77777777" w:rsidR="00FC4E89" w:rsidRPr="00FC4E89" w:rsidRDefault="00FC4E89" w:rsidP="00FC4E89">
      <w:pPr>
        <w:numPr>
          <w:ilvl w:val="0"/>
          <w:numId w:val="23"/>
        </w:numPr>
        <w:spacing w:line="240" w:lineRule="auto"/>
        <w:contextualSpacing/>
        <w:jc w:val="both"/>
        <w:rPr>
          <w:rFonts w:ascii="Times New Roman" w:eastAsia="Times New Roman" w:hAnsi="Times New Roman" w:cs="Times New Roman"/>
          <w:b/>
          <w:color w:val="000000"/>
          <w:sz w:val="24"/>
          <w:szCs w:val="24"/>
          <w:highlight w:val="white"/>
          <w:lang w:eastAsia="es-CO"/>
        </w:rPr>
      </w:pPr>
      <w:r w:rsidRPr="00FC4E89">
        <w:rPr>
          <w:rFonts w:ascii="Times New Roman" w:eastAsia="Times New Roman" w:hAnsi="Times New Roman" w:cs="Times New Roman"/>
          <w:b/>
          <w:color w:val="000000"/>
          <w:sz w:val="24"/>
          <w:szCs w:val="24"/>
          <w:highlight w:val="white"/>
          <w:lang w:eastAsia="es-CO"/>
        </w:rPr>
        <w:t>Estado de Paraná, Brasil.</w:t>
      </w:r>
    </w:p>
    <w:p w14:paraId="09D35689" w14:textId="77777777" w:rsidR="00FC4E89" w:rsidRPr="00FC4E89" w:rsidRDefault="00FC4E89" w:rsidP="00FC4E89">
      <w:pPr>
        <w:spacing w:line="240" w:lineRule="auto"/>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 xml:space="preserve">La Ley número 18.947 del 22 de diciembre de 2016 del Estado de Paraná, Brasil, establece una moratoria de 10 años para la explotación. A continuación, se exponen los motivos y la regulación establecida. </w:t>
      </w:r>
    </w:p>
    <w:p w14:paraId="0BAB8038" w14:textId="77777777" w:rsidR="00FC4E89" w:rsidRPr="00FC4E89" w:rsidRDefault="00FC4E89" w:rsidP="00FC4E89">
      <w:pPr>
        <w:spacing w:after="0" w:line="240" w:lineRule="auto"/>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lastRenderedPageBreak/>
        <w:t xml:space="preserve">En la Ley se establece que la falta de voluntad política a nivel nacional hace necesaria la toma de medidas frente a la realización de pozos petroleros bajo el método de </w:t>
      </w:r>
      <w:r w:rsidRPr="00FC4E89">
        <w:rPr>
          <w:rFonts w:ascii="Times New Roman" w:eastAsia="Times New Roman" w:hAnsi="Times New Roman" w:cs="Times New Roman"/>
          <w:color w:val="000000"/>
          <w:sz w:val="24"/>
          <w:szCs w:val="24"/>
          <w:lang w:val="es-MX" w:eastAsia="es-CO"/>
        </w:rPr>
        <w:t>fracturamiento hidráulico multietapa con perforación horizontal</w:t>
      </w:r>
      <w:r w:rsidRPr="00FC4E89">
        <w:rPr>
          <w:rFonts w:ascii="Times New Roman" w:eastAsia="Times New Roman" w:hAnsi="Times New Roman" w:cs="Times New Roman"/>
          <w:color w:val="000000"/>
          <w:sz w:val="24"/>
          <w:szCs w:val="24"/>
          <w:highlight w:val="white"/>
          <w:lang w:eastAsia="es-CO"/>
        </w:rPr>
        <w:t xml:space="preserve"> en el Estado de Paraná. Esta situación es particularmente relevante, señala la norma, en la medida que la Secretaría de Estado de Agricultura y Abastecimiento (SEAB) ha señalado lo siguiente dentro de las conclusiones de su protocolo administrativo número 13.875.922-9:</w:t>
      </w:r>
    </w:p>
    <w:p w14:paraId="4D628B88" w14:textId="77777777" w:rsidR="00FC4E89" w:rsidRPr="00FC4E89" w:rsidRDefault="00FC4E89" w:rsidP="00FC4E89">
      <w:pPr>
        <w:spacing w:after="0" w:line="240" w:lineRule="auto"/>
        <w:jc w:val="both"/>
        <w:rPr>
          <w:rFonts w:ascii="Times New Roman" w:eastAsia="Times New Roman" w:hAnsi="Times New Roman" w:cs="Times New Roman"/>
          <w:color w:val="000000"/>
          <w:sz w:val="24"/>
          <w:szCs w:val="24"/>
          <w:highlight w:val="white"/>
          <w:lang w:eastAsia="es-CO"/>
        </w:rPr>
      </w:pPr>
    </w:p>
    <w:p w14:paraId="588FBA2B" w14:textId="77777777" w:rsidR="00FC4E89" w:rsidRPr="00FC4E89" w:rsidRDefault="00FC4E89" w:rsidP="00FC4E89">
      <w:pPr>
        <w:numPr>
          <w:ilvl w:val="0"/>
          <w:numId w:val="24"/>
        </w:numPr>
        <w:spacing w:after="0" w:line="240" w:lineRule="auto"/>
        <w:contextualSpacing/>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 xml:space="preserve">Hay un alto riesgo de afectación a los recursos hídricos para la realización de actividades agropecuarias. </w:t>
      </w:r>
    </w:p>
    <w:p w14:paraId="1CE5F4B1" w14:textId="77777777" w:rsidR="00FC4E89" w:rsidRPr="00FC4E89" w:rsidRDefault="00FC4E89" w:rsidP="00FC4E89">
      <w:pPr>
        <w:numPr>
          <w:ilvl w:val="0"/>
          <w:numId w:val="24"/>
        </w:numPr>
        <w:spacing w:after="0" w:line="240" w:lineRule="auto"/>
        <w:contextualSpacing/>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La matriz energética se puede enriquecer con fuentes renovables que no tengan afectaciones ambientales tan graves.</w:t>
      </w:r>
    </w:p>
    <w:p w14:paraId="3CE8E173" w14:textId="77777777" w:rsidR="00FC4E89" w:rsidRPr="00FC4E89" w:rsidRDefault="00FC4E89" w:rsidP="00FC4E89">
      <w:pPr>
        <w:numPr>
          <w:ilvl w:val="0"/>
          <w:numId w:val="24"/>
        </w:numPr>
        <w:spacing w:after="0" w:line="240" w:lineRule="auto"/>
        <w:contextualSpacing/>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 xml:space="preserve">Hay ausencia de conocimiento científico suficiente para que se garantice la mitigación de los efectos de los impactos ambientales nefastos derivados de la explotación de esquisto. Por el contrario, se ha probado que existe un alto potencial de polución del suelo y del agua, así como de emisión de gases efecto invernadero.   </w:t>
      </w:r>
    </w:p>
    <w:p w14:paraId="4D1DC6A1" w14:textId="77777777" w:rsidR="00FC4E89" w:rsidRPr="00FC4E89" w:rsidRDefault="00FC4E89" w:rsidP="00FC4E89">
      <w:pPr>
        <w:numPr>
          <w:ilvl w:val="0"/>
          <w:numId w:val="24"/>
        </w:numPr>
        <w:spacing w:line="240" w:lineRule="auto"/>
        <w:contextualSpacing/>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 xml:space="preserve">En virtud del principio de precaución no se recomienda realizar exploración a través de una actividad que, como se sabe, representa un alto potencial de polución del aire y del agua, pudiendo poner en riesgo el futuro de la actividad agronómica, de la economía del Estado y la salud del pueblo.      </w:t>
      </w:r>
    </w:p>
    <w:p w14:paraId="0A59DDC4" w14:textId="77777777" w:rsidR="00FC4E89" w:rsidRPr="00FC4E89" w:rsidRDefault="00FC4E89" w:rsidP="00FC4E89">
      <w:pPr>
        <w:spacing w:after="0" w:line="240" w:lineRule="auto"/>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 xml:space="preserve">La regulación surgida a partir de estos motivos tiene dos artículos y guarda el siguiente contenido: En el artículo primero se suspenden todos los procedimientos para la expedición de licenciamientos y autorizaciones ambientales relacionados con la exploración y producción de petróleo y gas natural a través de la técnica de fracturación hidráulica en reservas no convencionales. Además, en su parágrafo único, se hace énfasis en que la regulación surge en virtud del principio de precaución.   </w:t>
      </w:r>
    </w:p>
    <w:p w14:paraId="349D626C" w14:textId="77777777" w:rsidR="00FC4E89" w:rsidRPr="00FC4E89" w:rsidRDefault="00FC4E89" w:rsidP="00FC4E89">
      <w:pPr>
        <w:spacing w:after="0" w:line="240" w:lineRule="auto"/>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 xml:space="preserve">Un su segundo artículo se señala que, una vez cumplido el plazo de la suspensión, se vuelve obligatorio para toda exploración que requiera </w:t>
      </w:r>
      <w:proofErr w:type="spellStart"/>
      <w:r w:rsidRPr="00FC4E89">
        <w:rPr>
          <w:rFonts w:ascii="Times New Roman" w:eastAsia="Times New Roman" w:hAnsi="Times New Roman" w:cs="Times New Roman"/>
          <w:color w:val="000000"/>
          <w:sz w:val="24"/>
          <w:szCs w:val="24"/>
          <w:highlight w:val="white"/>
          <w:lang w:eastAsia="es-CO"/>
        </w:rPr>
        <w:t>fracturamiento</w:t>
      </w:r>
      <w:proofErr w:type="spellEnd"/>
      <w:r w:rsidRPr="00FC4E89">
        <w:rPr>
          <w:rFonts w:ascii="Times New Roman" w:eastAsia="Times New Roman" w:hAnsi="Times New Roman" w:cs="Times New Roman"/>
          <w:color w:val="000000"/>
          <w:sz w:val="24"/>
          <w:szCs w:val="24"/>
          <w:highlight w:val="white"/>
          <w:lang w:eastAsia="es-CO"/>
        </w:rPr>
        <w:t xml:space="preserve"> hidráulico, el cumplimiento de los siguientes requisitos frente a la Agencia Nacional de Petróleo, Gas Natural y Combustibles: </w:t>
      </w:r>
    </w:p>
    <w:p w14:paraId="14D5A83F" w14:textId="77777777" w:rsidR="00FC4E89" w:rsidRPr="00FC4E89" w:rsidRDefault="00FC4E89" w:rsidP="00FC4E89">
      <w:pPr>
        <w:numPr>
          <w:ilvl w:val="0"/>
          <w:numId w:val="25"/>
        </w:numPr>
        <w:spacing w:after="0" w:line="240" w:lineRule="auto"/>
        <w:contextualSpacing/>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 xml:space="preserve">Presentación de estudio ambiental en el que se identifique la cuenca hidrográfica del pozo a explorar. </w:t>
      </w:r>
    </w:p>
    <w:p w14:paraId="63A438A6" w14:textId="77777777" w:rsidR="00FC4E89" w:rsidRPr="00FC4E89" w:rsidRDefault="00FC4E89" w:rsidP="00FC4E89">
      <w:pPr>
        <w:numPr>
          <w:ilvl w:val="0"/>
          <w:numId w:val="25"/>
        </w:numPr>
        <w:spacing w:after="0" w:line="240" w:lineRule="auto"/>
        <w:contextualSpacing/>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Presentación de estudio hidrológico de aguas subterráneas en un radio de diez kilómetros de cada pozo a ser explorado.</w:t>
      </w:r>
    </w:p>
    <w:p w14:paraId="2E1E2840" w14:textId="77777777" w:rsidR="00FC4E89" w:rsidRPr="00FC4E89" w:rsidRDefault="00FC4E89" w:rsidP="00FC4E89">
      <w:pPr>
        <w:numPr>
          <w:ilvl w:val="0"/>
          <w:numId w:val="25"/>
        </w:numPr>
        <w:spacing w:after="0" w:line="240" w:lineRule="auto"/>
        <w:contextualSpacing/>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lastRenderedPageBreak/>
        <w:t>Realización de audiencia pública obligatoria en cada municipio en el que se vaya a construir un pozo de exploración de gas.</w:t>
      </w:r>
    </w:p>
    <w:p w14:paraId="55FAE0F6" w14:textId="77777777" w:rsidR="00FC4E89" w:rsidRPr="00FC4E89" w:rsidRDefault="00FC4E89" w:rsidP="00FC4E89">
      <w:pPr>
        <w:numPr>
          <w:ilvl w:val="0"/>
          <w:numId w:val="25"/>
        </w:numPr>
        <w:spacing w:after="0" w:line="240" w:lineRule="auto"/>
        <w:contextualSpacing/>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 xml:space="preserve">Presentación de estudio de impacto económico y social de la región colindante con el pozo a ser explorado. </w:t>
      </w:r>
    </w:p>
    <w:p w14:paraId="149522AC" w14:textId="77777777" w:rsidR="00FC4E89" w:rsidRPr="00FC4E89" w:rsidRDefault="00FC4E89" w:rsidP="00FC4E89">
      <w:pPr>
        <w:numPr>
          <w:ilvl w:val="0"/>
          <w:numId w:val="25"/>
        </w:numPr>
        <w:spacing w:after="0" w:line="240" w:lineRule="auto"/>
        <w:contextualSpacing/>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 xml:space="preserve">Implementación de pozos de monitoreo de nivel freático localizado en el entorno de los pozos de extracción de gas, siendo obligatorio un monitoreo a cada veinte hectáreas. </w:t>
      </w:r>
    </w:p>
    <w:p w14:paraId="385FEA24" w14:textId="77777777" w:rsidR="00FC4E89" w:rsidRPr="00FC4E89" w:rsidRDefault="00FC4E89" w:rsidP="00FC4E89">
      <w:pPr>
        <w:numPr>
          <w:ilvl w:val="0"/>
          <w:numId w:val="25"/>
        </w:numPr>
        <w:spacing w:after="0" w:line="240" w:lineRule="auto"/>
        <w:contextualSpacing/>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 xml:space="preserve">Obtención de aprobación del Consejo Estatal de Defensa del Medio Ambiente. </w:t>
      </w:r>
    </w:p>
    <w:p w14:paraId="52A62FC2" w14:textId="77777777" w:rsidR="00FC4E89" w:rsidRPr="00FC4E89" w:rsidRDefault="00FC4E89" w:rsidP="00FC4E89">
      <w:pPr>
        <w:numPr>
          <w:ilvl w:val="0"/>
          <w:numId w:val="25"/>
        </w:numPr>
        <w:spacing w:after="0" w:line="240" w:lineRule="auto"/>
        <w:contextualSpacing/>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 xml:space="preserve">Comprobación por medio de </w:t>
      </w:r>
      <w:proofErr w:type="spellStart"/>
      <w:r w:rsidRPr="00FC4E89">
        <w:rPr>
          <w:rFonts w:ascii="Times New Roman" w:eastAsia="Times New Roman" w:hAnsi="Times New Roman" w:cs="Times New Roman"/>
          <w:color w:val="000000"/>
          <w:sz w:val="24"/>
          <w:szCs w:val="24"/>
          <w:highlight w:val="white"/>
          <w:lang w:eastAsia="es-CO"/>
        </w:rPr>
        <w:t>tests</w:t>
      </w:r>
      <w:proofErr w:type="spellEnd"/>
      <w:r w:rsidRPr="00FC4E89">
        <w:rPr>
          <w:rFonts w:ascii="Times New Roman" w:eastAsia="Times New Roman" w:hAnsi="Times New Roman" w:cs="Times New Roman"/>
          <w:color w:val="000000"/>
          <w:sz w:val="24"/>
          <w:szCs w:val="24"/>
          <w:highlight w:val="white"/>
          <w:lang w:eastAsia="es-CO"/>
        </w:rPr>
        <w:t xml:space="preserve">, modelos y estudios de que las actividades de exploración ocurrirán sin perjuicio al medio ambiente o a la salud humana. </w:t>
      </w:r>
    </w:p>
    <w:p w14:paraId="4C8306A8" w14:textId="77777777" w:rsidR="00FC4E89" w:rsidRPr="00FC4E89" w:rsidRDefault="00FC4E89" w:rsidP="00FC4E89">
      <w:pPr>
        <w:spacing w:after="0" w:line="240" w:lineRule="auto"/>
        <w:jc w:val="both"/>
        <w:rPr>
          <w:rFonts w:ascii="Times New Roman" w:eastAsia="Times New Roman" w:hAnsi="Times New Roman" w:cs="Times New Roman"/>
          <w:b/>
          <w:color w:val="000000"/>
          <w:sz w:val="24"/>
          <w:szCs w:val="24"/>
          <w:highlight w:val="white"/>
          <w:u w:val="single"/>
          <w:lang w:eastAsia="es-CO"/>
        </w:rPr>
      </w:pPr>
    </w:p>
    <w:p w14:paraId="59A34B6C" w14:textId="77777777" w:rsidR="00FC4E89" w:rsidRPr="00FC4E89" w:rsidRDefault="00FC4E89" w:rsidP="00FC4E89">
      <w:pPr>
        <w:numPr>
          <w:ilvl w:val="0"/>
          <w:numId w:val="23"/>
        </w:numPr>
        <w:spacing w:line="240" w:lineRule="auto"/>
        <w:contextualSpacing/>
        <w:jc w:val="both"/>
        <w:rPr>
          <w:rFonts w:ascii="Times New Roman" w:eastAsia="Times New Roman" w:hAnsi="Times New Roman" w:cs="Times New Roman"/>
          <w:b/>
          <w:color w:val="000000"/>
          <w:sz w:val="24"/>
          <w:szCs w:val="24"/>
          <w:highlight w:val="white"/>
          <w:lang w:eastAsia="es-CO"/>
        </w:rPr>
      </w:pPr>
      <w:r w:rsidRPr="00FC4E89">
        <w:rPr>
          <w:rFonts w:ascii="Times New Roman" w:eastAsia="Times New Roman" w:hAnsi="Times New Roman" w:cs="Times New Roman"/>
          <w:b/>
          <w:color w:val="000000"/>
          <w:sz w:val="24"/>
          <w:szCs w:val="24"/>
          <w:highlight w:val="white"/>
          <w:lang w:eastAsia="es-CO"/>
        </w:rPr>
        <w:t xml:space="preserve">Escocia. </w:t>
      </w:r>
    </w:p>
    <w:p w14:paraId="689159C1" w14:textId="77777777" w:rsidR="00FC4E89" w:rsidRPr="00FC4E89" w:rsidRDefault="00FC4E89" w:rsidP="00FC4E89">
      <w:pPr>
        <w:spacing w:after="0" w:line="240" w:lineRule="auto"/>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 xml:space="preserve">En enero del 2015, Escocia introdujo una moratoria relacionada con la explotación de petróleo y gas de esquisto (el líquido que se extrae a través del </w:t>
      </w:r>
      <w:r w:rsidRPr="00FC4E89">
        <w:rPr>
          <w:rFonts w:ascii="Times New Roman" w:eastAsia="Times New Roman" w:hAnsi="Times New Roman" w:cs="Times New Roman"/>
          <w:color w:val="000000"/>
          <w:sz w:val="24"/>
          <w:szCs w:val="24"/>
          <w:lang w:val="es-MX" w:eastAsia="es-CO"/>
        </w:rPr>
        <w:t>fracturamiento hidráulico multietapa con perforación horizontal</w:t>
      </w:r>
      <w:r w:rsidRPr="00FC4E89">
        <w:rPr>
          <w:rFonts w:ascii="Times New Roman" w:eastAsia="Times New Roman" w:hAnsi="Times New Roman" w:cs="Times New Roman"/>
          <w:color w:val="000000"/>
          <w:sz w:val="24"/>
          <w:szCs w:val="24"/>
          <w:highlight w:val="white"/>
          <w:lang w:eastAsia="es-CO"/>
        </w:rPr>
        <w:t xml:space="preserve">). Esta regulación se mantiene en pie hasta el día de hoy. Adicionalmente, en el Parlamento Escocés se desarrolló en el 2016 un Concepto analizando los principales motivos para una posible prohibición del </w:t>
      </w:r>
      <w:proofErr w:type="spellStart"/>
      <w:r w:rsidRPr="00FC4E89">
        <w:rPr>
          <w:rFonts w:ascii="Times New Roman" w:eastAsia="Times New Roman" w:hAnsi="Times New Roman" w:cs="Times New Roman"/>
          <w:color w:val="000000"/>
          <w:sz w:val="24"/>
          <w:szCs w:val="24"/>
          <w:highlight w:val="white"/>
          <w:lang w:eastAsia="es-CO"/>
        </w:rPr>
        <w:t>fracking</w:t>
      </w:r>
      <w:proofErr w:type="spellEnd"/>
      <w:r w:rsidRPr="00FC4E89">
        <w:rPr>
          <w:rFonts w:ascii="Times New Roman" w:eastAsia="Times New Roman" w:hAnsi="Times New Roman" w:cs="Times New Roman"/>
          <w:color w:val="000000"/>
          <w:sz w:val="24"/>
          <w:szCs w:val="24"/>
          <w:highlight w:val="white"/>
          <w:lang w:eastAsia="es-CO"/>
        </w:rPr>
        <w:t xml:space="preserve"> en todo el territorio. Teniendo en cuenta que para este momento no existe prohibición alguna sino moratoria, en las siguientes líneas se expondrán (i) los principales motivos para la moratoria, (</w:t>
      </w:r>
      <w:proofErr w:type="spellStart"/>
      <w:r w:rsidRPr="00FC4E89">
        <w:rPr>
          <w:rFonts w:ascii="Times New Roman" w:eastAsia="Times New Roman" w:hAnsi="Times New Roman" w:cs="Times New Roman"/>
          <w:color w:val="000000"/>
          <w:sz w:val="24"/>
          <w:szCs w:val="24"/>
          <w:highlight w:val="white"/>
          <w:lang w:eastAsia="es-CO"/>
        </w:rPr>
        <w:t>ii</w:t>
      </w:r>
      <w:proofErr w:type="spellEnd"/>
      <w:r w:rsidRPr="00FC4E89">
        <w:rPr>
          <w:rFonts w:ascii="Times New Roman" w:eastAsia="Times New Roman" w:hAnsi="Times New Roman" w:cs="Times New Roman"/>
          <w:color w:val="000000"/>
          <w:sz w:val="24"/>
          <w:szCs w:val="24"/>
          <w:highlight w:val="white"/>
          <w:lang w:eastAsia="es-CO"/>
        </w:rPr>
        <w:t>) el contenido concreto de la moratoria y (</w:t>
      </w:r>
      <w:proofErr w:type="spellStart"/>
      <w:r w:rsidRPr="00FC4E89">
        <w:rPr>
          <w:rFonts w:ascii="Times New Roman" w:eastAsia="Times New Roman" w:hAnsi="Times New Roman" w:cs="Times New Roman"/>
          <w:color w:val="000000"/>
          <w:sz w:val="24"/>
          <w:szCs w:val="24"/>
          <w:highlight w:val="white"/>
          <w:lang w:eastAsia="es-CO"/>
        </w:rPr>
        <w:t>iii</w:t>
      </w:r>
      <w:proofErr w:type="spellEnd"/>
      <w:r w:rsidRPr="00FC4E89">
        <w:rPr>
          <w:rFonts w:ascii="Times New Roman" w:eastAsia="Times New Roman" w:hAnsi="Times New Roman" w:cs="Times New Roman"/>
          <w:color w:val="000000"/>
          <w:sz w:val="24"/>
          <w:szCs w:val="24"/>
          <w:highlight w:val="white"/>
          <w:lang w:eastAsia="es-CO"/>
        </w:rPr>
        <w:t xml:space="preserve">) los principales argumentos expuestos en el Concepto al Parlamento para la prohibición total del </w:t>
      </w:r>
      <w:r w:rsidRPr="00FC4E89">
        <w:rPr>
          <w:rFonts w:ascii="Times New Roman" w:eastAsia="Times New Roman" w:hAnsi="Times New Roman" w:cs="Times New Roman"/>
          <w:color w:val="000000"/>
          <w:sz w:val="24"/>
          <w:szCs w:val="24"/>
          <w:lang w:val="es-MX" w:eastAsia="es-CO"/>
        </w:rPr>
        <w:t>fracturamiento hidráulico multietapa con perforación horizontal</w:t>
      </w:r>
      <w:r w:rsidRPr="00FC4E89">
        <w:rPr>
          <w:rFonts w:ascii="Times New Roman" w:eastAsia="Times New Roman" w:hAnsi="Times New Roman" w:cs="Times New Roman"/>
          <w:color w:val="000000"/>
          <w:sz w:val="24"/>
          <w:szCs w:val="24"/>
          <w:highlight w:val="white"/>
          <w:lang w:eastAsia="es-CO"/>
        </w:rPr>
        <w:t xml:space="preserve"> en el territorio escocés. </w:t>
      </w:r>
    </w:p>
    <w:p w14:paraId="2B2D340E" w14:textId="77777777" w:rsidR="00FC4E89" w:rsidRPr="00FC4E89" w:rsidRDefault="00FC4E89" w:rsidP="00FC4E89">
      <w:pPr>
        <w:spacing w:after="0" w:line="240" w:lineRule="auto"/>
        <w:jc w:val="both"/>
        <w:rPr>
          <w:rFonts w:ascii="Times New Roman" w:eastAsia="Times New Roman" w:hAnsi="Times New Roman" w:cs="Times New Roman"/>
          <w:color w:val="000000"/>
          <w:sz w:val="24"/>
          <w:szCs w:val="24"/>
          <w:highlight w:val="white"/>
          <w:lang w:eastAsia="es-CO"/>
        </w:rPr>
      </w:pPr>
    </w:p>
    <w:p w14:paraId="0032C8FE" w14:textId="77777777" w:rsidR="00FC4E89" w:rsidRPr="00FC4E89" w:rsidRDefault="00FC4E89" w:rsidP="00FC4E89">
      <w:pPr>
        <w:spacing w:line="240" w:lineRule="auto"/>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 xml:space="preserve">La moratoria se realizó bajo la premisa de que la falta de información y las preocupaciones de las diferentes organizaciones civiles eran razón suficiente para decretarla hasta que un grupo de expertos determinase los impactos de la tecnología de fracturación hidráulica. Así, dan aplicación del principio de precaución como elemento definitorio de la regulación escogida.  </w:t>
      </w:r>
    </w:p>
    <w:p w14:paraId="37556BD3" w14:textId="77777777" w:rsidR="00FC4E89" w:rsidRPr="00FC4E89" w:rsidRDefault="00FC4E89" w:rsidP="00FC4E89">
      <w:pPr>
        <w:spacing w:after="0" w:line="240" w:lineRule="auto"/>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Los ministros del Gobierno informaron al Parlamento que el Gobierno realizaría un estudio amplio y detallado en el que se analizarían los potenciales impactos de esta técnica. El programa de la investigación contendría los siguientes temas:</w:t>
      </w:r>
    </w:p>
    <w:p w14:paraId="6316564B" w14:textId="77777777" w:rsidR="00FC4E89" w:rsidRPr="00FC4E89" w:rsidRDefault="00FC4E89" w:rsidP="00FC4E89">
      <w:pPr>
        <w:spacing w:after="0" w:line="240" w:lineRule="auto"/>
        <w:jc w:val="both"/>
        <w:rPr>
          <w:rFonts w:ascii="Times New Roman" w:eastAsia="Times New Roman" w:hAnsi="Times New Roman" w:cs="Times New Roman"/>
          <w:color w:val="000000"/>
          <w:sz w:val="24"/>
          <w:szCs w:val="24"/>
          <w:highlight w:val="white"/>
          <w:lang w:eastAsia="es-CO"/>
        </w:rPr>
      </w:pPr>
    </w:p>
    <w:p w14:paraId="6AF95EE6" w14:textId="77777777" w:rsidR="00FC4E89" w:rsidRPr="00FC4E89" w:rsidRDefault="00FC4E89" w:rsidP="00FC4E89">
      <w:pPr>
        <w:numPr>
          <w:ilvl w:val="0"/>
          <w:numId w:val="26"/>
        </w:numPr>
        <w:spacing w:after="0" w:line="240" w:lineRule="auto"/>
        <w:contextualSpacing/>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 xml:space="preserve">Evaluación de los impactos en la salud    </w:t>
      </w:r>
    </w:p>
    <w:p w14:paraId="7BBA8DB8" w14:textId="77777777" w:rsidR="00FC4E89" w:rsidRPr="00FC4E89" w:rsidRDefault="00FC4E89" w:rsidP="00FC4E89">
      <w:pPr>
        <w:numPr>
          <w:ilvl w:val="0"/>
          <w:numId w:val="26"/>
        </w:numPr>
        <w:spacing w:after="0" w:line="240" w:lineRule="auto"/>
        <w:contextualSpacing/>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Fortalecimiento en planeación</w:t>
      </w:r>
    </w:p>
    <w:p w14:paraId="3EDBC8E6" w14:textId="39A13C76" w:rsidR="00FC4E89" w:rsidRDefault="00FC4E89" w:rsidP="00FC4E89">
      <w:pPr>
        <w:numPr>
          <w:ilvl w:val="0"/>
          <w:numId w:val="26"/>
        </w:numPr>
        <w:spacing w:line="240" w:lineRule="auto"/>
        <w:contextualSpacing/>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lastRenderedPageBreak/>
        <w:t>Ampliación de regulaciones ambientales</w:t>
      </w:r>
    </w:p>
    <w:p w14:paraId="79995E98" w14:textId="77777777" w:rsidR="00FF153B" w:rsidRPr="00FC4E89" w:rsidRDefault="00FF153B" w:rsidP="00FF153B">
      <w:pPr>
        <w:spacing w:line="240" w:lineRule="auto"/>
        <w:ind w:left="1080"/>
        <w:contextualSpacing/>
        <w:jc w:val="both"/>
        <w:rPr>
          <w:rFonts w:ascii="Times New Roman" w:eastAsia="Times New Roman" w:hAnsi="Times New Roman" w:cs="Times New Roman"/>
          <w:color w:val="000000"/>
          <w:sz w:val="24"/>
          <w:szCs w:val="24"/>
          <w:highlight w:val="white"/>
          <w:lang w:eastAsia="es-CO"/>
        </w:rPr>
      </w:pPr>
    </w:p>
    <w:p w14:paraId="10B6FF8B" w14:textId="77777777" w:rsidR="00FC4E89" w:rsidRPr="00FC4E89" w:rsidRDefault="00FC4E89" w:rsidP="00FC4E89">
      <w:pPr>
        <w:spacing w:line="240" w:lineRule="auto"/>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 xml:space="preserve">En cuanto a la regulación, la moratoria es de carácter general para toda actividad que encaje dentro de la tecnología de </w:t>
      </w:r>
      <w:proofErr w:type="spellStart"/>
      <w:r w:rsidRPr="00FC4E89">
        <w:rPr>
          <w:rFonts w:ascii="Times New Roman" w:eastAsia="Times New Roman" w:hAnsi="Times New Roman" w:cs="Times New Roman"/>
          <w:color w:val="000000"/>
          <w:sz w:val="24"/>
          <w:szCs w:val="24"/>
          <w:highlight w:val="white"/>
          <w:lang w:eastAsia="es-CO"/>
        </w:rPr>
        <w:t>fracking</w:t>
      </w:r>
      <w:proofErr w:type="spellEnd"/>
      <w:r w:rsidRPr="00FC4E89">
        <w:rPr>
          <w:rFonts w:ascii="Times New Roman" w:eastAsia="Times New Roman" w:hAnsi="Times New Roman" w:cs="Times New Roman"/>
          <w:color w:val="000000"/>
          <w:sz w:val="24"/>
          <w:szCs w:val="24"/>
          <w:highlight w:val="white"/>
          <w:lang w:eastAsia="es-CO"/>
        </w:rPr>
        <w:t xml:space="preserve"> y se mantiene hasta que se tomen decisiones sobre los estudios que determinarán los impactos derivados de esta actividad. </w:t>
      </w:r>
    </w:p>
    <w:p w14:paraId="57761EC2" w14:textId="2474DD74" w:rsidR="00FC4E89" w:rsidRDefault="00FC4E89" w:rsidP="00FC4E89">
      <w:pPr>
        <w:spacing w:after="0" w:line="240" w:lineRule="auto"/>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 xml:space="preserve">El Concepto expuesto al Parlamento en el año 2016 contextualiza, en primer lugar, sobre el marco del Acuerdo de París y los compromisos de reducción de emisión de gases efecto invernadero. Después, señala los siguientes impactos relacionados con el </w:t>
      </w:r>
      <w:r w:rsidRPr="00FC4E89">
        <w:rPr>
          <w:rFonts w:ascii="Times New Roman" w:eastAsia="Times New Roman" w:hAnsi="Times New Roman" w:cs="Times New Roman"/>
          <w:color w:val="000000"/>
          <w:sz w:val="24"/>
          <w:szCs w:val="24"/>
          <w:lang w:val="es-MX" w:eastAsia="es-CO"/>
        </w:rPr>
        <w:t>fracturamiento hidráulico multietapa con perforación horizontal</w:t>
      </w:r>
      <w:r w:rsidRPr="00FC4E89">
        <w:rPr>
          <w:rFonts w:ascii="Times New Roman" w:eastAsia="Times New Roman" w:hAnsi="Times New Roman" w:cs="Times New Roman"/>
          <w:color w:val="000000"/>
          <w:sz w:val="24"/>
          <w:szCs w:val="24"/>
          <w:highlight w:val="white"/>
          <w:lang w:eastAsia="es-CO"/>
        </w:rPr>
        <w:t>:</w:t>
      </w:r>
    </w:p>
    <w:p w14:paraId="32607625" w14:textId="77777777" w:rsidR="00FF153B" w:rsidRPr="00FC4E89" w:rsidRDefault="00FF153B" w:rsidP="00FC4E89">
      <w:pPr>
        <w:spacing w:after="0" w:line="240" w:lineRule="auto"/>
        <w:jc w:val="both"/>
        <w:rPr>
          <w:rFonts w:ascii="Times New Roman" w:eastAsia="Times New Roman" w:hAnsi="Times New Roman" w:cs="Times New Roman"/>
          <w:color w:val="000000"/>
          <w:sz w:val="24"/>
          <w:szCs w:val="24"/>
          <w:highlight w:val="white"/>
          <w:lang w:eastAsia="es-CO"/>
        </w:rPr>
      </w:pPr>
    </w:p>
    <w:p w14:paraId="6986D935" w14:textId="77777777" w:rsidR="00FC4E89" w:rsidRPr="00FC4E89" w:rsidRDefault="00FC4E89" w:rsidP="00FC4E89">
      <w:pPr>
        <w:numPr>
          <w:ilvl w:val="0"/>
          <w:numId w:val="27"/>
        </w:numPr>
        <w:spacing w:after="0" w:line="240" w:lineRule="auto"/>
        <w:contextualSpacing/>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Emisiones de gases efecto invernadero.</w:t>
      </w:r>
    </w:p>
    <w:p w14:paraId="7547B332" w14:textId="77777777" w:rsidR="00FC4E89" w:rsidRPr="00FC4E89" w:rsidRDefault="00FC4E89" w:rsidP="00FC4E89">
      <w:pPr>
        <w:numPr>
          <w:ilvl w:val="0"/>
          <w:numId w:val="27"/>
        </w:numPr>
        <w:spacing w:after="0" w:line="240" w:lineRule="auto"/>
        <w:contextualSpacing/>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Contaminación de fuentes de agua potable.</w:t>
      </w:r>
    </w:p>
    <w:p w14:paraId="5AB28969" w14:textId="77777777" w:rsidR="00FC4E89" w:rsidRPr="00FC4E89" w:rsidRDefault="00FC4E89" w:rsidP="00FC4E89">
      <w:pPr>
        <w:numPr>
          <w:ilvl w:val="0"/>
          <w:numId w:val="27"/>
        </w:numPr>
        <w:spacing w:after="0" w:line="240" w:lineRule="auto"/>
        <w:contextualSpacing/>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Contaminación del aire.</w:t>
      </w:r>
    </w:p>
    <w:p w14:paraId="0E4E71EA" w14:textId="77777777" w:rsidR="00FC4E89" w:rsidRPr="00FC4E89" w:rsidRDefault="00FC4E89" w:rsidP="00FC4E89">
      <w:pPr>
        <w:numPr>
          <w:ilvl w:val="0"/>
          <w:numId w:val="27"/>
        </w:numPr>
        <w:spacing w:after="0" w:line="240" w:lineRule="auto"/>
        <w:contextualSpacing/>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 xml:space="preserve">Afectaciones a la salud de los funcionarios de las empresas que realizan </w:t>
      </w:r>
      <w:proofErr w:type="spellStart"/>
      <w:r w:rsidRPr="00FC4E89">
        <w:rPr>
          <w:rFonts w:ascii="Times New Roman" w:eastAsia="Times New Roman" w:hAnsi="Times New Roman" w:cs="Times New Roman"/>
          <w:color w:val="000000"/>
          <w:sz w:val="24"/>
          <w:szCs w:val="24"/>
          <w:highlight w:val="white"/>
          <w:lang w:eastAsia="es-CO"/>
        </w:rPr>
        <w:t>fracking</w:t>
      </w:r>
      <w:proofErr w:type="spellEnd"/>
      <w:r w:rsidRPr="00FC4E89">
        <w:rPr>
          <w:rFonts w:ascii="Times New Roman" w:eastAsia="Times New Roman" w:hAnsi="Times New Roman" w:cs="Times New Roman"/>
          <w:color w:val="000000"/>
          <w:sz w:val="24"/>
          <w:szCs w:val="24"/>
          <w:highlight w:val="white"/>
          <w:lang w:eastAsia="es-CO"/>
        </w:rPr>
        <w:t xml:space="preserve"> como consecuencia de la contaminación del aire.</w:t>
      </w:r>
    </w:p>
    <w:p w14:paraId="7274DFA4" w14:textId="77777777" w:rsidR="00FC4E89" w:rsidRPr="00FC4E89" w:rsidRDefault="00FC4E89" w:rsidP="00FC4E89">
      <w:pPr>
        <w:numPr>
          <w:ilvl w:val="0"/>
          <w:numId w:val="27"/>
        </w:numPr>
        <w:spacing w:after="0" w:line="240" w:lineRule="auto"/>
        <w:contextualSpacing/>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 xml:space="preserve">Riesgo de actividad sísmica. </w:t>
      </w:r>
    </w:p>
    <w:p w14:paraId="08B49B48" w14:textId="77777777" w:rsidR="00FC4E89" w:rsidRPr="00FC4E89" w:rsidRDefault="00FC4E89" w:rsidP="00FC4E89">
      <w:pPr>
        <w:spacing w:after="0" w:line="240" w:lineRule="auto"/>
        <w:contextualSpacing/>
        <w:jc w:val="both"/>
        <w:rPr>
          <w:rFonts w:ascii="Times New Roman" w:eastAsia="Times New Roman" w:hAnsi="Times New Roman" w:cs="Times New Roman"/>
          <w:color w:val="000000"/>
          <w:sz w:val="24"/>
          <w:szCs w:val="24"/>
          <w:highlight w:val="white"/>
          <w:lang w:eastAsia="es-CO"/>
        </w:rPr>
      </w:pPr>
    </w:p>
    <w:p w14:paraId="13B5C0A6" w14:textId="77777777" w:rsidR="00FC4E89" w:rsidRPr="00FC4E89" w:rsidRDefault="00FC4E89" w:rsidP="00FC4E89">
      <w:pPr>
        <w:spacing w:after="0" w:line="240" w:lineRule="auto"/>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 xml:space="preserve"> A pesar de los resultados expuestos en este Concepto, desde el 2016 no se han realizado mayores pronunciamientos sobre los pasos a seguir en términos regulatorios sobre el </w:t>
      </w:r>
      <w:r w:rsidRPr="00FC4E89">
        <w:rPr>
          <w:rFonts w:ascii="Times New Roman" w:eastAsia="Times New Roman" w:hAnsi="Times New Roman" w:cs="Times New Roman"/>
          <w:color w:val="000000"/>
          <w:sz w:val="24"/>
          <w:szCs w:val="24"/>
          <w:lang w:val="es-MX" w:eastAsia="es-CO"/>
        </w:rPr>
        <w:t>fracturamiento hidráulico multietapa con perforación horizontal</w:t>
      </w:r>
      <w:r w:rsidRPr="00FC4E89">
        <w:rPr>
          <w:rFonts w:ascii="Times New Roman" w:eastAsia="Times New Roman" w:hAnsi="Times New Roman" w:cs="Times New Roman"/>
          <w:color w:val="000000"/>
          <w:sz w:val="24"/>
          <w:szCs w:val="24"/>
          <w:highlight w:val="white"/>
          <w:lang w:eastAsia="es-CO"/>
        </w:rPr>
        <w:t xml:space="preserve">. Esta situación ha llevado a que la rama judicial escocesa haya concluido que actualmente se mantiene la moratoria para la realización de </w:t>
      </w:r>
      <w:r w:rsidRPr="00FC4E89">
        <w:rPr>
          <w:rFonts w:ascii="Times New Roman" w:eastAsia="Times New Roman" w:hAnsi="Times New Roman" w:cs="Times New Roman"/>
          <w:color w:val="000000"/>
          <w:sz w:val="24"/>
          <w:szCs w:val="24"/>
          <w:lang w:val="es-MX" w:eastAsia="es-CO"/>
        </w:rPr>
        <w:t>fracturamiento hidráulico multietapa con perforación horizontal</w:t>
      </w:r>
      <w:r w:rsidRPr="00FC4E89">
        <w:rPr>
          <w:rFonts w:ascii="Times New Roman" w:eastAsia="Times New Roman" w:hAnsi="Times New Roman" w:cs="Times New Roman"/>
          <w:color w:val="000000"/>
          <w:sz w:val="24"/>
          <w:szCs w:val="24"/>
          <w:highlight w:val="white"/>
          <w:lang w:eastAsia="es-CO"/>
        </w:rPr>
        <w:t xml:space="preserve"> en el territorio. </w:t>
      </w:r>
    </w:p>
    <w:p w14:paraId="3EAC4937" w14:textId="31C86EE7" w:rsidR="00FC4E89" w:rsidRDefault="00FC4E89" w:rsidP="00FC4E89">
      <w:pPr>
        <w:spacing w:before="80" w:after="80" w:line="240" w:lineRule="auto"/>
        <w:jc w:val="both"/>
        <w:rPr>
          <w:rFonts w:ascii="Times New Roman" w:eastAsia="Times New Roman" w:hAnsi="Times New Roman" w:cs="Times New Roman"/>
          <w:b/>
          <w:color w:val="000000"/>
          <w:sz w:val="24"/>
          <w:szCs w:val="24"/>
          <w:lang w:eastAsia="es-CO"/>
        </w:rPr>
      </w:pPr>
    </w:p>
    <w:p w14:paraId="715351C5" w14:textId="77777777" w:rsidR="00FF153B" w:rsidRPr="00FC4E89" w:rsidRDefault="00FF153B" w:rsidP="00FC4E89">
      <w:pPr>
        <w:spacing w:before="80" w:after="80" w:line="240" w:lineRule="auto"/>
        <w:jc w:val="both"/>
        <w:rPr>
          <w:rFonts w:ascii="Times New Roman" w:eastAsia="Times New Roman" w:hAnsi="Times New Roman" w:cs="Times New Roman"/>
          <w:b/>
          <w:color w:val="000000"/>
          <w:sz w:val="24"/>
          <w:szCs w:val="24"/>
          <w:lang w:eastAsia="es-CO"/>
        </w:rPr>
      </w:pPr>
    </w:p>
    <w:p w14:paraId="7281A38F" w14:textId="77777777" w:rsidR="00FC4E89" w:rsidRPr="00FC4E89" w:rsidRDefault="00FC4E89" w:rsidP="00FC4E89">
      <w:pPr>
        <w:numPr>
          <w:ilvl w:val="0"/>
          <w:numId w:val="23"/>
        </w:numPr>
        <w:spacing w:before="80" w:line="240" w:lineRule="auto"/>
        <w:contextualSpacing/>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b/>
          <w:color w:val="000000"/>
          <w:sz w:val="24"/>
          <w:szCs w:val="24"/>
          <w:lang w:eastAsia="es-CO"/>
        </w:rPr>
        <w:t>C</w:t>
      </w:r>
      <w:r w:rsidRPr="00FC4E89">
        <w:rPr>
          <w:rFonts w:ascii="Times New Roman" w:eastAsia="Times New Roman" w:hAnsi="Times New Roman" w:cs="Times New Roman"/>
          <w:b/>
          <w:color w:val="000000"/>
          <w:sz w:val="24"/>
          <w:szCs w:val="24"/>
          <w:highlight w:val="white"/>
          <w:lang w:eastAsia="es-CO"/>
        </w:rPr>
        <w:t>astilla - La Mancha, España.</w:t>
      </w:r>
      <w:r w:rsidRPr="00FC4E89">
        <w:rPr>
          <w:rFonts w:ascii="Times New Roman" w:eastAsia="Times New Roman" w:hAnsi="Times New Roman" w:cs="Times New Roman"/>
          <w:color w:val="000000"/>
          <w:sz w:val="24"/>
          <w:szCs w:val="24"/>
          <w:highlight w:val="white"/>
          <w:lang w:eastAsia="es-CO"/>
        </w:rPr>
        <w:t xml:space="preserve">  </w:t>
      </w:r>
    </w:p>
    <w:p w14:paraId="726CAA52" w14:textId="77777777" w:rsidR="00FC4E89" w:rsidRPr="00FC4E89" w:rsidRDefault="00FC4E89" w:rsidP="00FC4E89">
      <w:pPr>
        <w:spacing w:line="240" w:lineRule="auto"/>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 xml:space="preserve">La Ley 1 del 9 de marzo de 2017 de la Comunidad Autónoma de Castilla la Mancha estableció en el apartado de motivos, qué en aras de evitar una mayor dependencia energética, diferentes estados europeos han decidido utilizar el método de </w:t>
      </w:r>
      <w:proofErr w:type="spellStart"/>
      <w:r w:rsidRPr="00FC4E89">
        <w:rPr>
          <w:rFonts w:ascii="Times New Roman" w:eastAsia="Times New Roman" w:hAnsi="Times New Roman" w:cs="Times New Roman"/>
          <w:color w:val="000000"/>
          <w:sz w:val="24"/>
          <w:szCs w:val="24"/>
          <w:highlight w:val="white"/>
          <w:lang w:eastAsia="es-CO"/>
        </w:rPr>
        <w:t>fracturamiento</w:t>
      </w:r>
      <w:proofErr w:type="spellEnd"/>
      <w:r w:rsidRPr="00FC4E89">
        <w:rPr>
          <w:rFonts w:ascii="Times New Roman" w:eastAsia="Times New Roman" w:hAnsi="Times New Roman" w:cs="Times New Roman"/>
          <w:color w:val="000000"/>
          <w:sz w:val="24"/>
          <w:szCs w:val="24"/>
          <w:highlight w:val="white"/>
          <w:lang w:eastAsia="es-CO"/>
        </w:rPr>
        <w:t xml:space="preserve"> hidráulico para la extracción de gas y petróleo. Bajo este contexto, la Comisión Europea emitió una comunicación al Parlamento Europeo en el que se exhorta a los estados miembros a desarrollar unos principios para la explotación a través de este método. Como consecuencia de esto, se emitió el 22 de enero de 2014 una recomendación señalando principios mínimos </w:t>
      </w:r>
      <w:r w:rsidRPr="00FC4E89">
        <w:rPr>
          <w:rFonts w:ascii="Times New Roman" w:eastAsia="Times New Roman" w:hAnsi="Times New Roman" w:cs="Times New Roman"/>
          <w:color w:val="000000"/>
          <w:sz w:val="24"/>
          <w:szCs w:val="24"/>
          <w:highlight w:val="white"/>
          <w:lang w:eastAsia="es-CO"/>
        </w:rPr>
        <w:lastRenderedPageBreak/>
        <w:t xml:space="preserve">para la explotación a través de </w:t>
      </w:r>
      <w:proofErr w:type="spellStart"/>
      <w:r w:rsidRPr="00FC4E89">
        <w:rPr>
          <w:rFonts w:ascii="Times New Roman" w:eastAsia="Times New Roman" w:hAnsi="Times New Roman" w:cs="Times New Roman"/>
          <w:color w:val="000000"/>
          <w:sz w:val="24"/>
          <w:szCs w:val="24"/>
          <w:highlight w:val="white"/>
          <w:lang w:eastAsia="es-CO"/>
        </w:rPr>
        <w:t>fracking</w:t>
      </w:r>
      <w:proofErr w:type="spellEnd"/>
      <w:r w:rsidRPr="00FC4E89">
        <w:rPr>
          <w:rFonts w:ascii="Times New Roman" w:eastAsia="Times New Roman" w:hAnsi="Times New Roman" w:cs="Times New Roman"/>
          <w:color w:val="000000"/>
          <w:sz w:val="24"/>
          <w:szCs w:val="24"/>
          <w:highlight w:val="white"/>
          <w:lang w:eastAsia="es-CO"/>
        </w:rPr>
        <w:t xml:space="preserve">, dentro de los que cabe mencionar unos estándares de planificación mínima y un análisis profundo de impacto ambiental. </w:t>
      </w:r>
    </w:p>
    <w:p w14:paraId="4DCEF1EA" w14:textId="7165BEC1" w:rsidR="00FC4E89" w:rsidRPr="00FC4E89" w:rsidRDefault="00FC4E89" w:rsidP="00FC4E89">
      <w:pPr>
        <w:spacing w:line="240" w:lineRule="auto"/>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 xml:space="preserve">Tras la publicación de la Recomendación, el Estado español mantuvo su regulación en relación con el </w:t>
      </w:r>
      <w:proofErr w:type="spellStart"/>
      <w:r w:rsidRPr="00FC4E89">
        <w:rPr>
          <w:rFonts w:ascii="Times New Roman" w:eastAsia="Times New Roman" w:hAnsi="Times New Roman" w:cs="Times New Roman"/>
          <w:color w:val="000000"/>
          <w:sz w:val="24"/>
          <w:szCs w:val="24"/>
          <w:highlight w:val="white"/>
          <w:lang w:eastAsia="es-CO"/>
        </w:rPr>
        <w:t>fracking</w:t>
      </w:r>
      <w:proofErr w:type="spellEnd"/>
      <w:r w:rsidRPr="00FC4E89">
        <w:rPr>
          <w:rFonts w:ascii="Times New Roman" w:eastAsia="Times New Roman" w:hAnsi="Times New Roman" w:cs="Times New Roman"/>
          <w:color w:val="000000"/>
          <w:sz w:val="24"/>
          <w:szCs w:val="24"/>
          <w:highlight w:val="white"/>
          <w:lang w:eastAsia="es-CO"/>
        </w:rPr>
        <w:t xml:space="preserve"> bajo los mismos estándares de los de métodos de explotación y </w:t>
      </w:r>
      <w:proofErr w:type="gramStart"/>
      <w:r w:rsidRPr="00FC4E89">
        <w:rPr>
          <w:rFonts w:ascii="Times New Roman" w:eastAsia="Times New Roman" w:hAnsi="Times New Roman" w:cs="Times New Roman"/>
          <w:color w:val="000000"/>
          <w:sz w:val="24"/>
          <w:szCs w:val="24"/>
          <w:highlight w:val="white"/>
          <w:lang w:eastAsia="es-CO"/>
        </w:rPr>
        <w:t>exploración  convencional</w:t>
      </w:r>
      <w:proofErr w:type="gramEnd"/>
      <w:r w:rsidRPr="00FC4E89">
        <w:rPr>
          <w:rFonts w:ascii="Times New Roman" w:eastAsia="Times New Roman" w:hAnsi="Times New Roman" w:cs="Times New Roman"/>
          <w:color w:val="000000"/>
          <w:sz w:val="24"/>
          <w:szCs w:val="24"/>
          <w:highlight w:val="white"/>
          <w:lang w:eastAsia="es-CO"/>
        </w:rPr>
        <w:t>, determinada en la Ley 17 del 29 de octubre de 2013. Así, la Comunidad Autónoma consideró que la regulación a nivel nacional es insuficiente, por lo que estableció la necesidad de contar con la existencia de un Plan Estratégico Sectorial Castilla-La Mancha. Este debe inc</w:t>
      </w:r>
      <w:bookmarkStart w:id="0" w:name="_GoBack"/>
      <w:bookmarkEnd w:id="0"/>
      <w:r w:rsidRPr="00FC4E89">
        <w:rPr>
          <w:rFonts w:ascii="Times New Roman" w:eastAsia="Times New Roman" w:hAnsi="Times New Roman" w:cs="Times New Roman"/>
          <w:color w:val="000000"/>
          <w:sz w:val="24"/>
          <w:szCs w:val="24"/>
          <w:highlight w:val="white"/>
          <w:lang w:eastAsia="es-CO"/>
        </w:rPr>
        <w:t xml:space="preserve">luir posibles pozos para exploración y explotación y las posibles consecuencias que surjan en la superficie circundante y el subsuelo potencialmente afectados. Ante la necesidad de desarrollo de este plan, se realiza una moratoria para la concesión de licencias hasta que este se apruebe. </w:t>
      </w:r>
    </w:p>
    <w:p w14:paraId="17238E07" w14:textId="77777777" w:rsidR="00FC4E89" w:rsidRPr="00FC4E89" w:rsidRDefault="00FC4E89" w:rsidP="00FC4E89">
      <w:pPr>
        <w:spacing w:line="240" w:lineRule="auto"/>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 xml:space="preserve">En cuanto a la regulación, el artículo 3 de la Ley establece que en el Plan Estratégico Sectorial se debe cumplir con una evaluación de riesgos del emplazamiento potencial, la superficie circundante y la formación geológica del territorio afectado.  Además, el artículo 4 establece que debe establecerse una situación de referencia del emplazamiento de la instalación y de la superficie circundante y los subsuelos que se verán afectados, especialmente en cuanto a la calidad y las características de flujo de las aguas superficiales y subterráneas, la calidad del agua en los puntos de extracción de agua potable, la calidad del aire, la condición del suelo, la presencia de metano y otros compuestos volátiles en el agua, la existencia de materiales radiactivos en el subsuelo, evaluando el tipo de partículas radiactivas, mediciones y medidas de control, la sismicidad natural, presentando un registro de la actividad sísmica durante un año en el área de afección del proyecto, los usos del suelo, la biodiversidad, el estado de las infraestructuras y edificios, y, </w:t>
      </w:r>
      <w:proofErr w:type="spellStart"/>
      <w:r w:rsidRPr="00FC4E89">
        <w:rPr>
          <w:rFonts w:ascii="Times New Roman" w:eastAsia="Times New Roman" w:hAnsi="Times New Roman" w:cs="Times New Roman"/>
          <w:color w:val="000000"/>
          <w:sz w:val="24"/>
          <w:szCs w:val="24"/>
          <w:highlight w:val="white"/>
          <w:lang w:eastAsia="es-CO"/>
        </w:rPr>
        <w:t>finalmente,en</w:t>
      </w:r>
      <w:proofErr w:type="spellEnd"/>
      <w:r w:rsidRPr="00FC4E89">
        <w:rPr>
          <w:rFonts w:ascii="Times New Roman" w:eastAsia="Times New Roman" w:hAnsi="Times New Roman" w:cs="Times New Roman"/>
          <w:color w:val="000000"/>
          <w:sz w:val="24"/>
          <w:szCs w:val="24"/>
          <w:highlight w:val="white"/>
          <w:lang w:eastAsia="es-CO"/>
        </w:rPr>
        <w:t xml:space="preserve"> su caso, los pozos existentes y las estructuras abandonadas. </w:t>
      </w:r>
    </w:p>
    <w:p w14:paraId="4A0C6B39" w14:textId="77777777" w:rsidR="00FC4E89" w:rsidRPr="00FC4E89" w:rsidRDefault="00FC4E89" w:rsidP="00FC4E89">
      <w:pPr>
        <w:spacing w:line="240" w:lineRule="auto"/>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 xml:space="preserve">Adicionalmente, en el mismo artículo 4, se prohíben sustancias tóxicas con alto grado de </w:t>
      </w:r>
      <w:r w:rsidRPr="00FC4E89">
        <w:rPr>
          <w:rFonts w:ascii="Times New Roman" w:eastAsia="Times New Roman" w:hAnsi="Times New Roman" w:cs="Times New Roman"/>
          <w:i/>
          <w:color w:val="000000"/>
          <w:sz w:val="24"/>
          <w:szCs w:val="24"/>
          <w:highlight w:val="white"/>
          <w:lang w:eastAsia="es-CO"/>
        </w:rPr>
        <w:t>preocupación</w:t>
      </w:r>
      <w:r w:rsidRPr="00FC4E89">
        <w:rPr>
          <w:rFonts w:ascii="Times New Roman" w:eastAsia="Times New Roman" w:hAnsi="Times New Roman" w:cs="Times New Roman"/>
          <w:color w:val="000000"/>
          <w:sz w:val="24"/>
          <w:szCs w:val="24"/>
          <w:highlight w:val="white"/>
          <w:lang w:eastAsia="es-CO"/>
        </w:rPr>
        <w:t xml:space="preserve">, se exige publicidad en cuanto a las sustancias que se utilizarán en el proceso y se establece la obligación de realizar inspección sistemática, mantenimiento y     comprobación del funcionamiento de los equipos.  </w:t>
      </w:r>
    </w:p>
    <w:p w14:paraId="597A4AE3" w14:textId="77777777" w:rsidR="00FC4E89" w:rsidRPr="00FC4E89" w:rsidRDefault="00FC4E89" w:rsidP="00FC4E89">
      <w:pPr>
        <w:spacing w:after="0" w:line="240" w:lineRule="auto"/>
        <w:jc w:val="both"/>
        <w:rPr>
          <w:rFonts w:ascii="Times New Roman" w:eastAsia="Times New Roman" w:hAnsi="Times New Roman" w:cs="Times New Roman"/>
          <w:color w:val="000000"/>
          <w:sz w:val="24"/>
          <w:szCs w:val="24"/>
          <w:highlight w:val="white"/>
          <w:lang w:eastAsia="es-CO"/>
        </w:rPr>
      </w:pPr>
      <w:r w:rsidRPr="00FC4E89">
        <w:rPr>
          <w:rFonts w:ascii="Times New Roman" w:eastAsia="Times New Roman" w:hAnsi="Times New Roman" w:cs="Times New Roman"/>
          <w:color w:val="000000"/>
          <w:sz w:val="24"/>
          <w:szCs w:val="24"/>
          <w:highlight w:val="white"/>
          <w:lang w:eastAsia="es-CO"/>
        </w:rPr>
        <w:t xml:space="preserve">Por otro lado, en el artículo 5 se exigen garantías financieras y se establece un régimen de responsabilidad estricto por las actividades relacionadas con la explotación hidráulica. </w:t>
      </w:r>
    </w:p>
    <w:p w14:paraId="4397D6DB" w14:textId="77777777" w:rsidR="00FC4E89" w:rsidRPr="00FC4E89" w:rsidRDefault="00FC4E89" w:rsidP="00FC4E89">
      <w:pPr>
        <w:spacing w:after="0" w:line="240" w:lineRule="auto"/>
        <w:jc w:val="both"/>
        <w:rPr>
          <w:rFonts w:ascii="Times New Roman" w:eastAsia="Times New Roman" w:hAnsi="Times New Roman" w:cs="Times New Roman"/>
          <w:color w:val="000000"/>
          <w:sz w:val="24"/>
          <w:szCs w:val="24"/>
          <w:highlight w:val="yellow"/>
          <w:lang w:eastAsia="es-CO"/>
        </w:rPr>
      </w:pPr>
      <w:r w:rsidRPr="00FC4E89">
        <w:rPr>
          <w:rFonts w:ascii="Times New Roman" w:eastAsia="Times New Roman" w:hAnsi="Times New Roman" w:cs="Times New Roman"/>
          <w:color w:val="000000"/>
          <w:sz w:val="24"/>
          <w:szCs w:val="24"/>
          <w:highlight w:val="white"/>
          <w:lang w:eastAsia="es-CO"/>
        </w:rPr>
        <w:t xml:space="preserve">Finalmente, el artículo 6 señala que no se concederán nuevas autorizaciones de exploración, permisos de investigación ni concesiones de explotación de hidrocarburos obtenidos a través </w:t>
      </w:r>
      <w:r w:rsidRPr="00FC4E89">
        <w:rPr>
          <w:rFonts w:ascii="Times New Roman" w:eastAsia="Times New Roman" w:hAnsi="Times New Roman" w:cs="Times New Roman"/>
          <w:color w:val="000000"/>
          <w:sz w:val="24"/>
          <w:szCs w:val="24"/>
          <w:highlight w:val="white"/>
          <w:lang w:eastAsia="es-CO"/>
        </w:rPr>
        <w:lastRenderedPageBreak/>
        <w:t xml:space="preserve">de fractura hidráulica en tanto no se apruebe el plan estratégico sectorial al que hace referencia el artículo tres. </w:t>
      </w:r>
    </w:p>
    <w:p w14:paraId="331A7B15" w14:textId="725EED5C" w:rsidR="00FC4E89" w:rsidRDefault="00FC4E89" w:rsidP="00FC4E89">
      <w:pPr>
        <w:jc w:val="both"/>
        <w:rPr>
          <w:rFonts w:ascii="Times New Roman" w:eastAsia="Calibri" w:hAnsi="Times New Roman" w:cs="Times New Roman"/>
          <w:b/>
          <w:sz w:val="24"/>
          <w:szCs w:val="24"/>
        </w:rPr>
      </w:pPr>
    </w:p>
    <w:p w14:paraId="3EC4D9EF" w14:textId="77777777" w:rsidR="00361107" w:rsidRPr="00FC4E89" w:rsidRDefault="00361107" w:rsidP="00FC4E89">
      <w:pPr>
        <w:jc w:val="both"/>
        <w:rPr>
          <w:rFonts w:ascii="Times New Roman" w:eastAsia="Calibri" w:hAnsi="Times New Roman" w:cs="Times New Roman"/>
          <w:b/>
          <w:sz w:val="24"/>
          <w:szCs w:val="24"/>
        </w:rPr>
      </w:pPr>
    </w:p>
    <w:p w14:paraId="19F0A135" w14:textId="77777777" w:rsidR="00FC4E89" w:rsidRPr="00FC4E89" w:rsidRDefault="00FC4E89" w:rsidP="00FC4E89">
      <w:pPr>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Cordialmente,</w:t>
      </w:r>
    </w:p>
    <w:p w14:paraId="3F653A28" w14:textId="3F9AA5B7" w:rsidR="00FC4E89" w:rsidRDefault="00FC4E89" w:rsidP="00FC4E89">
      <w:pPr>
        <w:jc w:val="both"/>
        <w:rPr>
          <w:rFonts w:ascii="Times New Roman" w:eastAsia="Calibri" w:hAnsi="Times New Roman" w:cs="Times New Roman"/>
          <w:b/>
          <w:sz w:val="24"/>
          <w:szCs w:val="24"/>
          <w:lang w:val="es-MX"/>
        </w:rPr>
      </w:pPr>
    </w:p>
    <w:p w14:paraId="2AD43632" w14:textId="77777777" w:rsidR="00361107" w:rsidRPr="00FC4E89" w:rsidRDefault="00361107" w:rsidP="00FC4E89">
      <w:pPr>
        <w:jc w:val="both"/>
        <w:rPr>
          <w:rFonts w:ascii="Times New Roman" w:eastAsia="Calibri" w:hAnsi="Times New Roman" w:cs="Times New Roman"/>
          <w:b/>
          <w:sz w:val="24"/>
          <w:szCs w:val="24"/>
          <w:lang w:val="es-MX"/>
        </w:rPr>
      </w:pPr>
    </w:p>
    <w:p w14:paraId="2974EA72" w14:textId="77777777" w:rsidR="00FC4E89" w:rsidRPr="00FC4E89" w:rsidRDefault="00FC4E89" w:rsidP="00FC4E89">
      <w:pPr>
        <w:spacing w:after="0" w:line="240" w:lineRule="auto"/>
        <w:jc w:val="both"/>
        <w:rPr>
          <w:rFonts w:ascii="Times New Roman" w:eastAsia="Calibri" w:hAnsi="Times New Roman" w:cs="Times New Roman"/>
          <w:b/>
          <w:sz w:val="24"/>
          <w:szCs w:val="24"/>
          <w:lang w:val="es-MX"/>
        </w:rPr>
      </w:pPr>
      <w:r w:rsidRPr="00FC4E89">
        <w:rPr>
          <w:rFonts w:ascii="Times New Roman" w:eastAsia="Calibri" w:hAnsi="Times New Roman" w:cs="Times New Roman"/>
          <w:b/>
          <w:sz w:val="24"/>
          <w:szCs w:val="24"/>
          <w:lang w:val="es-MX"/>
        </w:rPr>
        <w:t>________________________________</w:t>
      </w:r>
    </w:p>
    <w:p w14:paraId="0552F00F" w14:textId="77777777" w:rsidR="00FC4E89" w:rsidRPr="00FC4E89" w:rsidRDefault="00FC4E89" w:rsidP="00FC4E89">
      <w:pPr>
        <w:spacing w:after="0"/>
        <w:jc w:val="both"/>
        <w:rPr>
          <w:rFonts w:ascii="Times New Roman" w:eastAsia="Calibri" w:hAnsi="Times New Roman" w:cs="Times New Roman"/>
          <w:b/>
          <w:sz w:val="24"/>
          <w:szCs w:val="24"/>
          <w:lang w:val="es-MX"/>
        </w:rPr>
      </w:pPr>
      <w:r w:rsidRPr="00FC4E89">
        <w:rPr>
          <w:rFonts w:ascii="Times New Roman" w:eastAsia="Calibri" w:hAnsi="Times New Roman" w:cs="Times New Roman"/>
          <w:b/>
          <w:sz w:val="24"/>
          <w:szCs w:val="24"/>
          <w:lang w:val="es-MX"/>
        </w:rPr>
        <w:t xml:space="preserve">CÉSAR AUGUSTO ORTÍZ ZORRO </w:t>
      </w:r>
    </w:p>
    <w:p w14:paraId="59D01E5A" w14:textId="407799F5" w:rsidR="00FC4E89" w:rsidRPr="00FC4E89" w:rsidRDefault="00FC4E89" w:rsidP="00FC4E89">
      <w:pPr>
        <w:spacing w:after="0"/>
        <w:jc w:val="both"/>
        <w:rPr>
          <w:rFonts w:ascii="Times New Roman" w:eastAsia="Calibri" w:hAnsi="Times New Roman" w:cs="Times New Roman"/>
          <w:sz w:val="24"/>
          <w:szCs w:val="24"/>
          <w:lang w:val="es-MX"/>
        </w:rPr>
      </w:pPr>
      <w:r w:rsidRPr="00FC4E89">
        <w:rPr>
          <w:rFonts w:ascii="Times New Roman" w:eastAsia="Calibri" w:hAnsi="Times New Roman" w:cs="Times New Roman"/>
          <w:sz w:val="24"/>
          <w:szCs w:val="24"/>
          <w:lang w:val="es-MX"/>
        </w:rPr>
        <w:t>R</w:t>
      </w:r>
      <w:r w:rsidR="00361107" w:rsidRPr="00FC4E89">
        <w:rPr>
          <w:rFonts w:ascii="Times New Roman" w:eastAsia="Calibri" w:hAnsi="Times New Roman" w:cs="Times New Roman"/>
          <w:sz w:val="24"/>
          <w:szCs w:val="24"/>
          <w:lang w:val="es-MX"/>
        </w:rPr>
        <w:t xml:space="preserve">epresentante a la </w:t>
      </w:r>
      <w:r w:rsidR="00361107">
        <w:rPr>
          <w:rFonts w:ascii="Times New Roman" w:eastAsia="Calibri" w:hAnsi="Times New Roman" w:cs="Times New Roman"/>
          <w:sz w:val="24"/>
          <w:szCs w:val="24"/>
          <w:lang w:val="es-MX"/>
        </w:rPr>
        <w:t>C</w:t>
      </w:r>
      <w:r w:rsidR="00361107" w:rsidRPr="00FC4E89">
        <w:rPr>
          <w:rFonts w:ascii="Times New Roman" w:eastAsia="Calibri" w:hAnsi="Times New Roman" w:cs="Times New Roman"/>
          <w:sz w:val="24"/>
          <w:szCs w:val="24"/>
          <w:lang w:val="es-MX"/>
        </w:rPr>
        <w:t>ámara</w:t>
      </w:r>
    </w:p>
    <w:p w14:paraId="202957A9" w14:textId="1DFAF521" w:rsidR="00FC4E89" w:rsidRPr="00FC4E89" w:rsidRDefault="00361107" w:rsidP="00FC4E89">
      <w:pPr>
        <w:spacing w:after="0"/>
        <w:jc w:val="both"/>
        <w:rPr>
          <w:rFonts w:ascii="Times New Roman" w:eastAsia="Calibri" w:hAnsi="Times New Roman" w:cs="Times New Roman"/>
          <w:sz w:val="24"/>
          <w:szCs w:val="24"/>
          <w:lang w:val="es-MX"/>
        </w:rPr>
      </w:pPr>
      <w:r>
        <w:rPr>
          <w:rFonts w:ascii="Times New Roman" w:eastAsia="Calibri" w:hAnsi="Times New Roman" w:cs="Times New Roman"/>
          <w:sz w:val="24"/>
          <w:szCs w:val="24"/>
          <w:lang w:val="es-MX"/>
        </w:rPr>
        <w:t>P</w:t>
      </w:r>
      <w:r w:rsidRPr="00FC4E89">
        <w:rPr>
          <w:rFonts w:ascii="Times New Roman" w:eastAsia="Calibri" w:hAnsi="Times New Roman" w:cs="Times New Roman"/>
          <w:sz w:val="24"/>
          <w:szCs w:val="24"/>
          <w:lang w:val="es-MX"/>
        </w:rPr>
        <w:t xml:space="preserve">artido </w:t>
      </w:r>
      <w:r>
        <w:rPr>
          <w:rFonts w:ascii="Times New Roman" w:eastAsia="Calibri" w:hAnsi="Times New Roman" w:cs="Times New Roman"/>
          <w:sz w:val="24"/>
          <w:szCs w:val="24"/>
          <w:lang w:val="es-MX"/>
        </w:rPr>
        <w:t>A</w:t>
      </w:r>
      <w:r w:rsidRPr="00FC4E89">
        <w:rPr>
          <w:rFonts w:ascii="Times New Roman" w:eastAsia="Calibri" w:hAnsi="Times New Roman" w:cs="Times New Roman"/>
          <w:sz w:val="24"/>
          <w:szCs w:val="24"/>
          <w:lang w:val="es-MX"/>
        </w:rPr>
        <w:t xml:space="preserve">lianza </w:t>
      </w:r>
      <w:r>
        <w:rPr>
          <w:rFonts w:ascii="Times New Roman" w:eastAsia="Calibri" w:hAnsi="Times New Roman" w:cs="Times New Roman"/>
          <w:sz w:val="24"/>
          <w:szCs w:val="24"/>
          <w:lang w:val="es-MX"/>
        </w:rPr>
        <w:t>V</w:t>
      </w:r>
      <w:r w:rsidRPr="00FC4E89">
        <w:rPr>
          <w:rFonts w:ascii="Times New Roman" w:eastAsia="Calibri" w:hAnsi="Times New Roman" w:cs="Times New Roman"/>
          <w:sz w:val="24"/>
          <w:szCs w:val="24"/>
          <w:lang w:val="es-MX"/>
        </w:rPr>
        <w:t>erde.</w:t>
      </w:r>
    </w:p>
    <w:p w14:paraId="6D14B69F" w14:textId="77777777" w:rsidR="00FC4E89" w:rsidRPr="00FC4E89" w:rsidRDefault="00FC4E89" w:rsidP="00FC4E89">
      <w:pPr>
        <w:contextualSpacing/>
        <w:jc w:val="both"/>
        <w:rPr>
          <w:rFonts w:ascii="Times New Roman" w:eastAsia="Calibri" w:hAnsi="Times New Roman" w:cs="Times New Roman"/>
          <w:b/>
          <w:sz w:val="24"/>
          <w:szCs w:val="24"/>
          <w:lang w:val="es-MX"/>
        </w:rPr>
      </w:pPr>
    </w:p>
    <w:p w14:paraId="4EAEF5DC" w14:textId="77777777" w:rsidR="00FC4E89" w:rsidRPr="00FC4E89" w:rsidRDefault="00FC4E89" w:rsidP="00FC4E89">
      <w:pPr>
        <w:tabs>
          <w:tab w:val="left" w:pos="1605"/>
        </w:tabs>
        <w:jc w:val="center"/>
        <w:rPr>
          <w:rFonts w:ascii="Times New Roman" w:eastAsia="Calibri" w:hAnsi="Times New Roman" w:cs="Times New Roman"/>
          <w:b/>
          <w:sz w:val="24"/>
          <w:szCs w:val="24"/>
          <w:lang w:val="es-MX"/>
        </w:rPr>
      </w:pPr>
    </w:p>
    <w:p w14:paraId="291ADBC1" w14:textId="77777777" w:rsidR="00FC4E89" w:rsidRPr="00FC4E89" w:rsidRDefault="00FC4E89" w:rsidP="00FC4E89">
      <w:pPr>
        <w:tabs>
          <w:tab w:val="left" w:pos="1605"/>
        </w:tabs>
        <w:jc w:val="center"/>
        <w:rPr>
          <w:rFonts w:ascii="Times New Roman" w:eastAsia="Calibri" w:hAnsi="Times New Roman" w:cs="Times New Roman"/>
          <w:b/>
          <w:sz w:val="24"/>
          <w:szCs w:val="24"/>
          <w:lang w:val="es-MX"/>
        </w:rPr>
      </w:pPr>
    </w:p>
    <w:p w14:paraId="066D44FF" w14:textId="77777777" w:rsidR="00FC4E89" w:rsidRPr="00FC4E89" w:rsidRDefault="00FC4E89" w:rsidP="00FC4E89">
      <w:pPr>
        <w:tabs>
          <w:tab w:val="left" w:pos="1605"/>
        </w:tabs>
        <w:jc w:val="center"/>
        <w:rPr>
          <w:rFonts w:ascii="Times New Roman" w:eastAsia="Calibri" w:hAnsi="Times New Roman" w:cs="Times New Roman"/>
          <w:b/>
          <w:sz w:val="24"/>
          <w:szCs w:val="24"/>
          <w:lang w:val="es-MX"/>
        </w:rPr>
      </w:pPr>
    </w:p>
    <w:p w14:paraId="28FCA1DC" w14:textId="77777777" w:rsidR="00FC4E89" w:rsidRPr="00FC4E89" w:rsidRDefault="00FC4E89" w:rsidP="00FC4E89">
      <w:pPr>
        <w:tabs>
          <w:tab w:val="left" w:pos="1605"/>
        </w:tabs>
        <w:jc w:val="center"/>
        <w:rPr>
          <w:rFonts w:ascii="Times New Roman" w:eastAsia="Calibri" w:hAnsi="Times New Roman" w:cs="Times New Roman"/>
          <w:b/>
          <w:sz w:val="24"/>
          <w:szCs w:val="24"/>
          <w:lang w:val="es-MX"/>
        </w:rPr>
      </w:pPr>
    </w:p>
    <w:p w14:paraId="7EDA49BD" w14:textId="77777777" w:rsidR="00FC4E89" w:rsidRPr="00FC4E89" w:rsidRDefault="00FC4E89" w:rsidP="00FC4E89">
      <w:pPr>
        <w:tabs>
          <w:tab w:val="left" w:pos="1605"/>
        </w:tabs>
        <w:jc w:val="center"/>
        <w:rPr>
          <w:rFonts w:ascii="Times New Roman" w:eastAsia="Calibri" w:hAnsi="Times New Roman" w:cs="Times New Roman"/>
          <w:b/>
          <w:sz w:val="24"/>
          <w:szCs w:val="24"/>
          <w:lang w:val="es-MX"/>
        </w:rPr>
      </w:pPr>
    </w:p>
    <w:p w14:paraId="174BC92E" w14:textId="77777777" w:rsidR="00FC4E89" w:rsidRPr="00FC4E89" w:rsidRDefault="00FC4E89" w:rsidP="00FC4E89">
      <w:pPr>
        <w:tabs>
          <w:tab w:val="left" w:pos="1605"/>
        </w:tabs>
        <w:jc w:val="center"/>
        <w:rPr>
          <w:rFonts w:ascii="Times New Roman" w:eastAsia="Calibri" w:hAnsi="Times New Roman" w:cs="Times New Roman"/>
          <w:b/>
          <w:sz w:val="24"/>
          <w:szCs w:val="24"/>
          <w:lang w:val="es-MX"/>
        </w:rPr>
      </w:pPr>
    </w:p>
    <w:p w14:paraId="5171A461" w14:textId="77777777" w:rsidR="00FC4E89" w:rsidRPr="00FC4E89" w:rsidRDefault="00FC4E89" w:rsidP="00FC4E89">
      <w:pPr>
        <w:tabs>
          <w:tab w:val="left" w:pos="1605"/>
        </w:tabs>
        <w:jc w:val="center"/>
        <w:rPr>
          <w:rFonts w:ascii="Times New Roman" w:eastAsia="Calibri" w:hAnsi="Times New Roman" w:cs="Times New Roman"/>
          <w:b/>
          <w:sz w:val="24"/>
          <w:szCs w:val="24"/>
          <w:lang w:val="es-MX"/>
        </w:rPr>
      </w:pPr>
    </w:p>
    <w:p w14:paraId="0FBBFFB3" w14:textId="77777777" w:rsidR="00FC4E89" w:rsidRPr="00FC4E89" w:rsidRDefault="00FC4E89" w:rsidP="00FC4E89">
      <w:pPr>
        <w:tabs>
          <w:tab w:val="left" w:pos="1605"/>
        </w:tabs>
        <w:jc w:val="center"/>
        <w:rPr>
          <w:rFonts w:ascii="Times New Roman" w:eastAsia="Calibri" w:hAnsi="Times New Roman" w:cs="Times New Roman"/>
          <w:b/>
          <w:sz w:val="24"/>
          <w:szCs w:val="24"/>
          <w:lang w:val="es-MX"/>
        </w:rPr>
      </w:pPr>
    </w:p>
    <w:p w14:paraId="3A4D1D11" w14:textId="77777777" w:rsidR="00FC4E89" w:rsidRPr="00FC4E89" w:rsidRDefault="00FC4E89" w:rsidP="00FC4E89">
      <w:pPr>
        <w:tabs>
          <w:tab w:val="left" w:pos="1605"/>
        </w:tabs>
        <w:jc w:val="center"/>
        <w:rPr>
          <w:rFonts w:ascii="Times New Roman" w:eastAsia="Calibri" w:hAnsi="Times New Roman" w:cs="Times New Roman"/>
          <w:b/>
          <w:sz w:val="24"/>
          <w:szCs w:val="24"/>
          <w:lang w:val="es-MX"/>
        </w:rPr>
      </w:pPr>
    </w:p>
    <w:p w14:paraId="3B60E101" w14:textId="77777777" w:rsidR="00FC4E89" w:rsidRPr="00FC4E89" w:rsidRDefault="00FC4E89" w:rsidP="00FC4E89">
      <w:pPr>
        <w:tabs>
          <w:tab w:val="left" w:pos="1605"/>
        </w:tabs>
        <w:jc w:val="center"/>
        <w:rPr>
          <w:rFonts w:ascii="Times New Roman" w:eastAsia="Calibri" w:hAnsi="Times New Roman" w:cs="Times New Roman"/>
          <w:b/>
          <w:sz w:val="24"/>
          <w:szCs w:val="24"/>
          <w:lang w:val="es-MX"/>
        </w:rPr>
      </w:pPr>
    </w:p>
    <w:p w14:paraId="0EA4B650" w14:textId="2E6D93D2" w:rsidR="00FC4E89" w:rsidRDefault="00FC4E89" w:rsidP="00FC4E89">
      <w:pPr>
        <w:tabs>
          <w:tab w:val="left" w:pos="1605"/>
        </w:tabs>
        <w:jc w:val="center"/>
        <w:rPr>
          <w:rFonts w:ascii="Times New Roman" w:eastAsia="Calibri" w:hAnsi="Times New Roman" w:cs="Times New Roman"/>
          <w:b/>
          <w:sz w:val="24"/>
          <w:szCs w:val="24"/>
          <w:lang w:val="es-MX"/>
        </w:rPr>
      </w:pPr>
    </w:p>
    <w:p w14:paraId="015A70C4" w14:textId="77777777" w:rsidR="00FC4E89" w:rsidRPr="00FC4E89" w:rsidRDefault="00FC4E89" w:rsidP="00FC4E89">
      <w:pPr>
        <w:tabs>
          <w:tab w:val="left" w:pos="1605"/>
        </w:tabs>
        <w:jc w:val="center"/>
        <w:rPr>
          <w:rFonts w:ascii="Times New Roman" w:eastAsia="Calibri" w:hAnsi="Times New Roman" w:cs="Times New Roman"/>
          <w:b/>
          <w:sz w:val="24"/>
          <w:szCs w:val="24"/>
          <w:lang w:val="es-MX"/>
        </w:rPr>
      </w:pPr>
    </w:p>
    <w:p w14:paraId="05A4BAF7" w14:textId="77777777" w:rsidR="00FC4E89" w:rsidRPr="00FC4E89" w:rsidRDefault="00FC4E89" w:rsidP="00FC4E89">
      <w:pPr>
        <w:tabs>
          <w:tab w:val="left" w:pos="1605"/>
        </w:tabs>
        <w:jc w:val="center"/>
        <w:rPr>
          <w:rFonts w:ascii="Times New Roman" w:eastAsia="Calibri" w:hAnsi="Times New Roman" w:cs="Times New Roman"/>
          <w:b/>
          <w:sz w:val="24"/>
          <w:szCs w:val="24"/>
          <w:lang w:val="es-MX"/>
        </w:rPr>
      </w:pPr>
      <w:r w:rsidRPr="00FC4E89">
        <w:rPr>
          <w:rFonts w:ascii="Times New Roman" w:eastAsia="Calibri" w:hAnsi="Times New Roman" w:cs="Times New Roman"/>
          <w:b/>
          <w:sz w:val="24"/>
          <w:szCs w:val="24"/>
          <w:lang w:val="es-MX"/>
        </w:rPr>
        <w:lastRenderedPageBreak/>
        <w:t>Referencias Bibliográficas.</w:t>
      </w:r>
    </w:p>
    <w:p w14:paraId="1BA54C35" w14:textId="77777777" w:rsidR="00FC4E89" w:rsidRPr="00FC4E89" w:rsidRDefault="00FC4E89" w:rsidP="00FC4E89">
      <w:pPr>
        <w:tabs>
          <w:tab w:val="left" w:pos="1605"/>
        </w:tabs>
        <w:jc w:val="both"/>
        <w:rPr>
          <w:rFonts w:ascii="Times New Roman" w:eastAsia="Calibri" w:hAnsi="Times New Roman" w:cs="Times New Roman"/>
          <w:b/>
          <w:sz w:val="24"/>
          <w:szCs w:val="24"/>
          <w:lang w:val="es-MX"/>
        </w:rPr>
      </w:pPr>
    </w:p>
    <w:p w14:paraId="2F694E40" w14:textId="77777777" w:rsidR="00FC4E89" w:rsidRPr="00FC4E89" w:rsidRDefault="00FC4E89" w:rsidP="00FC4E89">
      <w:pPr>
        <w:numPr>
          <w:ilvl w:val="0"/>
          <w:numId w:val="29"/>
        </w:numPr>
        <w:tabs>
          <w:tab w:val="left" w:pos="1605"/>
        </w:tabs>
        <w:contextualSpacing/>
        <w:jc w:val="both"/>
        <w:rPr>
          <w:rFonts w:ascii="Times New Roman" w:eastAsia="Calibri" w:hAnsi="Times New Roman" w:cs="Times New Roman"/>
          <w:sz w:val="24"/>
          <w:szCs w:val="24"/>
          <w:lang w:val="es-MX"/>
        </w:rPr>
      </w:pPr>
      <w:hyperlink r:id="rId52" w:history="1">
        <w:r w:rsidRPr="00FC4E89">
          <w:rPr>
            <w:rFonts w:ascii="Times New Roman" w:eastAsia="Calibri" w:hAnsi="Times New Roman" w:cs="Times New Roman"/>
            <w:color w:val="0563C1"/>
            <w:sz w:val="24"/>
            <w:szCs w:val="24"/>
            <w:u w:val="single"/>
            <w:lang w:val="es-MX"/>
          </w:rPr>
          <w:t>https://www.ehn.org/fractura-hidrulica-sustancias-qumicas-nocivas-2652592597/video</w:t>
        </w:r>
      </w:hyperlink>
    </w:p>
    <w:p w14:paraId="75EBC241" w14:textId="77777777" w:rsidR="00FC4E89" w:rsidRPr="00FC4E89" w:rsidRDefault="00FC4E89" w:rsidP="00FC4E89">
      <w:pPr>
        <w:numPr>
          <w:ilvl w:val="0"/>
          <w:numId w:val="29"/>
        </w:numPr>
        <w:tabs>
          <w:tab w:val="left" w:pos="1605"/>
        </w:tabs>
        <w:contextualSpacing/>
        <w:jc w:val="both"/>
        <w:rPr>
          <w:rFonts w:ascii="Times New Roman" w:eastAsia="Calibri" w:hAnsi="Times New Roman" w:cs="Times New Roman"/>
          <w:sz w:val="24"/>
          <w:szCs w:val="24"/>
          <w:lang w:val="es-MX"/>
        </w:rPr>
      </w:pPr>
      <w:hyperlink r:id="rId53" w:history="1">
        <w:r w:rsidRPr="00FC4E89">
          <w:rPr>
            <w:rFonts w:ascii="Times New Roman" w:eastAsia="Calibri" w:hAnsi="Times New Roman" w:cs="Times New Roman"/>
            <w:color w:val="0563C1"/>
            <w:sz w:val="24"/>
            <w:szCs w:val="24"/>
            <w:u w:val="single"/>
            <w:lang w:val="es-MX"/>
          </w:rPr>
          <w:t>https://actualidad.rt.com/actualidad/370929-fractura-hidraulica-aumento-radiacion</w:t>
        </w:r>
      </w:hyperlink>
    </w:p>
    <w:p w14:paraId="7088275E" w14:textId="77777777" w:rsidR="00FC4E89" w:rsidRPr="00FC4E89" w:rsidRDefault="00FC4E89" w:rsidP="00FC4E89">
      <w:pPr>
        <w:numPr>
          <w:ilvl w:val="0"/>
          <w:numId w:val="29"/>
        </w:numPr>
        <w:tabs>
          <w:tab w:val="left" w:pos="1605"/>
        </w:tabs>
        <w:contextualSpacing/>
        <w:jc w:val="both"/>
        <w:rPr>
          <w:rFonts w:ascii="Times New Roman" w:eastAsia="Calibri" w:hAnsi="Times New Roman" w:cs="Times New Roman"/>
          <w:sz w:val="24"/>
          <w:szCs w:val="24"/>
          <w:lang w:val="es-MX"/>
        </w:rPr>
      </w:pPr>
      <w:hyperlink r:id="rId54" w:history="1">
        <w:r w:rsidRPr="00FC4E89">
          <w:rPr>
            <w:rFonts w:ascii="Times New Roman" w:eastAsia="Calibri" w:hAnsi="Times New Roman" w:cs="Times New Roman"/>
            <w:color w:val="0563C1"/>
            <w:sz w:val="24"/>
            <w:szCs w:val="24"/>
            <w:u w:val="single"/>
            <w:lang w:val="es-MX"/>
          </w:rPr>
          <w:t>https://www.laizquierdadiario.com/La-basura-del-fracking-en-Vaca-Muerta-un-desastre-ambiental-exorbitante?utm_source=lid&amp;utm_medium=wp&amp;utm_campaign=article-social-actions</w:t>
        </w:r>
      </w:hyperlink>
    </w:p>
    <w:p w14:paraId="325B2B06" w14:textId="77777777" w:rsidR="00FC4E89" w:rsidRPr="00FC4E89" w:rsidRDefault="00FC4E89" w:rsidP="00FC4E89">
      <w:pPr>
        <w:numPr>
          <w:ilvl w:val="0"/>
          <w:numId w:val="29"/>
        </w:numPr>
        <w:tabs>
          <w:tab w:val="left" w:pos="1605"/>
        </w:tabs>
        <w:contextualSpacing/>
        <w:jc w:val="both"/>
        <w:rPr>
          <w:rFonts w:ascii="Times New Roman" w:eastAsia="Calibri" w:hAnsi="Times New Roman" w:cs="Times New Roman"/>
          <w:sz w:val="24"/>
          <w:szCs w:val="24"/>
          <w:lang w:val="es-MX"/>
        </w:rPr>
      </w:pPr>
      <w:hyperlink r:id="rId55" w:history="1">
        <w:r w:rsidRPr="00FC4E89">
          <w:rPr>
            <w:rFonts w:ascii="Times New Roman" w:eastAsia="Calibri" w:hAnsi="Times New Roman" w:cs="Times New Roman"/>
            <w:color w:val="0563C1"/>
            <w:sz w:val="24"/>
            <w:szCs w:val="24"/>
            <w:u w:val="single"/>
            <w:lang w:val="es-MX"/>
          </w:rPr>
          <w:t>https://www.larepublica.co/economia/canacol-afirmo-que-colombia-tiene-reservas-de-gas-para-por-lo-menos-15-anos-mas-3199637</w:t>
        </w:r>
      </w:hyperlink>
    </w:p>
    <w:p w14:paraId="6E8E51FB" w14:textId="77777777" w:rsidR="00FC4E89" w:rsidRPr="00FC4E89" w:rsidRDefault="00FC4E89" w:rsidP="00FC4E89">
      <w:pPr>
        <w:numPr>
          <w:ilvl w:val="0"/>
          <w:numId w:val="29"/>
        </w:numPr>
        <w:tabs>
          <w:tab w:val="left" w:pos="1605"/>
        </w:tabs>
        <w:contextualSpacing/>
        <w:jc w:val="both"/>
        <w:rPr>
          <w:rFonts w:ascii="Times New Roman" w:eastAsia="Calibri" w:hAnsi="Times New Roman" w:cs="Times New Roman"/>
          <w:sz w:val="24"/>
          <w:szCs w:val="24"/>
          <w:lang w:val="es-MX"/>
        </w:rPr>
      </w:pPr>
      <w:hyperlink r:id="rId56" w:history="1">
        <w:r w:rsidRPr="00FC4E89">
          <w:rPr>
            <w:rFonts w:ascii="Times New Roman" w:eastAsia="Calibri" w:hAnsi="Times New Roman" w:cs="Times New Roman"/>
            <w:color w:val="0563C1"/>
            <w:sz w:val="24"/>
            <w:szCs w:val="24"/>
            <w:u w:val="single"/>
            <w:lang w:val="es-MX"/>
          </w:rPr>
          <w:t>https://thehill.com/policy/energy-environment/562518-epa-approved-substances-that-can-degrade-into-toxic-forever?rl=1</w:t>
        </w:r>
      </w:hyperlink>
    </w:p>
    <w:p w14:paraId="64EBEAFD" w14:textId="77777777" w:rsidR="00FC4E89" w:rsidRPr="00FC4E89" w:rsidRDefault="00FC4E89" w:rsidP="00FC4E89">
      <w:pPr>
        <w:numPr>
          <w:ilvl w:val="0"/>
          <w:numId w:val="29"/>
        </w:numPr>
        <w:tabs>
          <w:tab w:val="left" w:pos="1605"/>
        </w:tabs>
        <w:contextualSpacing/>
        <w:jc w:val="both"/>
        <w:rPr>
          <w:rFonts w:ascii="Times New Roman" w:eastAsia="Calibri" w:hAnsi="Times New Roman" w:cs="Times New Roman"/>
          <w:sz w:val="24"/>
          <w:szCs w:val="24"/>
          <w:lang w:val="es-MX"/>
        </w:rPr>
      </w:pPr>
      <w:hyperlink r:id="rId57" w:history="1">
        <w:r w:rsidRPr="00FC4E89">
          <w:rPr>
            <w:rFonts w:ascii="Times New Roman" w:eastAsia="Calibri" w:hAnsi="Times New Roman" w:cs="Times New Roman"/>
            <w:color w:val="0563C1"/>
            <w:sz w:val="24"/>
            <w:szCs w:val="24"/>
            <w:u w:val="single"/>
            <w:lang w:val="es-MX"/>
          </w:rPr>
          <w:t>https://www.bbc.com/news/world-us-canada-57665715</w:t>
        </w:r>
      </w:hyperlink>
    </w:p>
    <w:p w14:paraId="49A2DFD3" w14:textId="77777777" w:rsidR="00FC4E89" w:rsidRPr="00FC4E89" w:rsidRDefault="00FC4E89" w:rsidP="00FC4E89">
      <w:pPr>
        <w:numPr>
          <w:ilvl w:val="0"/>
          <w:numId w:val="29"/>
        </w:numPr>
        <w:tabs>
          <w:tab w:val="left" w:pos="1605"/>
        </w:tabs>
        <w:contextualSpacing/>
        <w:jc w:val="both"/>
        <w:rPr>
          <w:rFonts w:ascii="Times New Roman" w:eastAsia="Calibri" w:hAnsi="Times New Roman" w:cs="Times New Roman"/>
          <w:sz w:val="24"/>
          <w:szCs w:val="24"/>
          <w:lang w:val="es-MX"/>
        </w:rPr>
      </w:pPr>
      <w:hyperlink r:id="rId58" w:history="1">
        <w:r w:rsidRPr="00FC4E89">
          <w:rPr>
            <w:rFonts w:ascii="Times New Roman" w:eastAsia="Calibri" w:hAnsi="Times New Roman" w:cs="Times New Roman"/>
            <w:color w:val="0563C1"/>
            <w:sz w:val="24"/>
            <w:szCs w:val="24"/>
            <w:u w:val="single"/>
            <w:lang w:val="es-MX"/>
          </w:rPr>
          <w:t>https://www.ecowatch.com/fracking-boom-methane-climate-change-2639835805.html</w:t>
        </w:r>
      </w:hyperlink>
    </w:p>
    <w:p w14:paraId="08717B6C" w14:textId="77777777" w:rsidR="00FC4E89" w:rsidRPr="00FC4E89" w:rsidRDefault="00FC4E89" w:rsidP="00FC4E89">
      <w:pPr>
        <w:numPr>
          <w:ilvl w:val="0"/>
          <w:numId w:val="29"/>
        </w:numPr>
        <w:tabs>
          <w:tab w:val="left" w:pos="1605"/>
        </w:tabs>
        <w:contextualSpacing/>
        <w:jc w:val="both"/>
        <w:rPr>
          <w:rFonts w:ascii="Times New Roman" w:eastAsia="Calibri" w:hAnsi="Times New Roman" w:cs="Times New Roman"/>
          <w:sz w:val="24"/>
          <w:szCs w:val="24"/>
          <w:lang w:val="es-MX"/>
        </w:rPr>
      </w:pPr>
      <w:hyperlink r:id="rId59" w:history="1">
        <w:r w:rsidRPr="00FC4E89">
          <w:rPr>
            <w:rFonts w:ascii="Times New Roman" w:eastAsia="Calibri" w:hAnsi="Times New Roman" w:cs="Times New Roman"/>
            <w:color w:val="0563C1"/>
            <w:sz w:val="24"/>
            <w:szCs w:val="24"/>
            <w:u w:val="single"/>
            <w:lang w:val="es-MX"/>
          </w:rPr>
          <w:t>https://www.nationalgeographic.com/environment/article/fracking-boom-tied-to-methane-spike-in-earths-atmosphere</w:t>
        </w:r>
      </w:hyperlink>
    </w:p>
    <w:p w14:paraId="04988294" w14:textId="77777777" w:rsidR="00FC4E89" w:rsidRPr="00FC4E89" w:rsidRDefault="00FC4E89" w:rsidP="00FC4E89">
      <w:pPr>
        <w:numPr>
          <w:ilvl w:val="0"/>
          <w:numId w:val="29"/>
        </w:numPr>
        <w:tabs>
          <w:tab w:val="left" w:pos="1605"/>
        </w:tabs>
        <w:contextualSpacing/>
        <w:jc w:val="both"/>
        <w:rPr>
          <w:rFonts w:ascii="Times New Roman" w:eastAsia="Calibri" w:hAnsi="Times New Roman" w:cs="Times New Roman"/>
          <w:sz w:val="24"/>
          <w:szCs w:val="24"/>
          <w:lang w:val="es-MX"/>
        </w:rPr>
      </w:pPr>
      <w:hyperlink r:id="rId60" w:history="1">
        <w:r w:rsidRPr="00FC4E89">
          <w:rPr>
            <w:rFonts w:ascii="Times New Roman" w:eastAsia="Calibri" w:hAnsi="Times New Roman" w:cs="Times New Roman"/>
            <w:color w:val="0563C1"/>
            <w:sz w:val="24"/>
            <w:szCs w:val="24"/>
            <w:u w:val="single"/>
            <w:lang w:val="es-MX"/>
          </w:rPr>
          <w:t>https://computerhoy.com/noticias/life/canada-ola-calor-record-temperaturas-893041</w:t>
        </w:r>
      </w:hyperlink>
    </w:p>
    <w:p w14:paraId="69D61EE9" w14:textId="77777777" w:rsidR="00FC4E89" w:rsidRPr="00FC4E89" w:rsidRDefault="00FC4E89" w:rsidP="00FC4E89">
      <w:pPr>
        <w:numPr>
          <w:ilvl w:val="0"/>
          <w:numId w:val="29"/>
        </w:numPr>
        <w:tabs>
          <w:tab w:val="left" w:pos="1605"/>
        </w:tabs>
        <w:contextualSpacing/>
        <w:jc w:val="both"/>
        <w:rPr>
          <w:rFonts w:ascii="Times New Roman" w:eastAsia="Calibri" w:hAnsi="Times New Roman" w:cs="Times New Roman"/>
          <w:sz w:val="24"/>
          <w:szCs w:val="24"/>
          <w:lang w:val="es-MX"/>
        </w:rPr>
      </w:pPr>
      <w:hyperlink r:id="rId61" w:history="1">
        <w:r w:rsidRPr="00FC4E89">
          <w:rPr>
            <w:rFonts w:ascii="Times New Roman" w:eastAsia="Calibri" w:hAnsi="Times New Roman" w:cs="Times New Roman"/>
            <w:color w:val="0563C1"/>
            <w:sz w:val="24"/>
            <w:szCs w:val="24"/>
            <w:u w:val="single"/>
            <w:lang w:val="es-MX"/>
          </w:rPr>
          <w:t>https://www.theguardian.com/environment/2021/jun/30/climate-crimes-oil-and-gas-environment</w:t>
        </w:r>
      </w:hyperlink>
    </w:p>
    <w:p w14:paraId="566CC4DB" w14:textId="77777777" w:rsidR="00FC4E89" w:rsidRPr="00FC4E89" w:rsidRDefault="00FC4E89" w:rsidP="00FC4E89">
      <w:pPr>
        <w:numPr>
          <w:ilvl w:val="0"/>
          <w:numId w:val="29"/>
        </w:numPr>
        <w:tabs>
          <w:tab w:val="left" w:pos="1605"/>
        </w:tabs>
        <w:contextualSpacing/>
        <w:jc w:val="both"/>
        <w:rPr>
          <w:rFonts w:ascii="Times New Roman" w:eastAsia="Calibri" w:hAnsi="Times New Roman" w:cs="Times New Roman"/>
          <w:sz w:val="24"/>
          <w:szCs w:val="24"/>
          <w:lang w:val="es-MX"/>
        </w:rPr>
      </w:pPr>
      <w:hyperlink r:id="rId62" w:history="1">
        <w:r w:rsidRPr="00FC4E89">
          <w:rPr>
            <w:rFonts w:ascii="Times New Roman" w:eastAsia="Calibri" w:hAnsi="Times New Roman" w:cs="Times New Roman"/>
            <w:color w:val="0563C1"/>
            <w:sz w:val="24"/>
            <w:szCs w:val="24"/>
            <w:u w:val="single"/>
            <w:lang w:val="es-MX"/>
          </w:rPr>
          <w:t>https://actualidad.rt.com/actualidad/396363-estados-unidos-fracking-ecologia-petroleo</w:t>
        </w:r>
      </w:hyperlink>
    </w:p>
    <w:p w14:paraId="25C8FB33" w14:textId="77777777" w:rsidR="00FC4E89" w:rsidRPr="00FC4E89" w:rsidRDefault="00FC4E89" w:rsidP="00FC4E89">
      <w:pPr>
        <w:numPr>
          <w:ilvl w:val="0"/>
          <w:numId w:val="29"/>
        </w:numPr>
        <w:tabs>
          <w:tab w:val="left" w:pos="1605"/>
        </w:tabs>
        <w:contextualSpacing/>
        <w:jc w:val="both"/>
        <w:rPr>
          <w:rFonts w:ascii="Times New Roman" w:eastAsia="Calibri" w:hAnsi="Times New Roman" w:cs="Times New Roman"/>
          <w:sz w:val="24"/>
          <w:szCs w:val="24"/>
          <w:lang w:val="es-MX"/>
        </w:rPr>
      </w:pPr>
      <w:hyperlink r:id="rId63" w:history="1">
        <w:r w:rsidRPr="00FC4E89">
          <w:rPr>
            <w:rFonts w:ascii="Times New Roman" w:eastAsia="Calibri" w:hAnsi="Times New Roman" w:cs="Times New Roman"/>
            <w:color w:val="0563C1"/>
            <w:sz w:val="24"/>
            <w:szCs w:val="24"/>
            <w:u w:val="single"/>
            <w:lang w:val="es-MX"/>
          </w:rPr>
          <w:t>https://www.larepublica.co/economia/a-colombia-le-quedan-reservas-de-petroleo-para-63-anos-y-de-gas-para-otros-77-3179277</w:t>
        </w:r>
      </w:hyperlink>
    </w:p>
    <w:sdt>
      <w:sdtPr>
        <w:rPr>
          <w:rFonts w:ascii="Calibri" w:eastAsia="Calibri" w:hAnsi="Calibri" w:cs="Times New Roman"/>
          <w:lang w:eastAsia="en-GB"/>
        </w:rPr>
        <w:id w:val="111145805"/>
        <w:bibliography/>
      </w:sdtPr>
      <w:sdtEndPr>
        <w:rPr>
          <w:lang w:val="en-US" w:eastAsia="en-US"/>
        </w:rPr>
      </w:sdtEndPr>
      <w:sdtContent>
        <w:p w14:paraId="2A598DC0"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lang w:val="en-US"/>
            </w:rPr>
            <w:fldChar w:fldCharType="begin"/>
          </w:r>
          <w:r w:rsidRPr="00FC4E89">
            <w:rPr>
              <w:rFonts w:ascii="Times New Roman" w:eastAsia="Calibri" w:hAnsi="Times New Roman" w:cs="Times New Roman"/>
              <w:lang w:val="es-ES"/>
            </w:rPr>
            <w:instrText xml:space="preserve"> BIBLIOGRAPHY </w:instrText>
          </w:r>
          <w:r w:rsidRPr="00FC4E89">
            <w:rPr>
              <w:rFonts w:ascii="Times New Roman" w:eastAsia="Calibri" w:hAnsi="Times New Roman" w:cs="Times New Roman"/>
              <w:lang w:val="en-US"/>
            </w:rPr>
            <w:fldChar w:fldCharType="separate"/>
          </w:r>
          <w:r w:rsidRPr="00FC4E89">
            <w:rPr>
              <w:rFonts w:ascii="Times New Roman" w:eastAsia="Calibri" w:hAnsi="Times New Roman" w:cs="Times New Roman"/>
              <w:noProof/>
            </w:rPr>
            <w:t>Ministerio de Minas y Energía. (2014). Recuperado el 3 de agosto de 2020, de https://www.minenergia.gov.co/documents/10180/23517/22632-11325.pdf</w:t>
          </w:r>
        </w:p>
        <w:p w14:paraId="489FB765"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lang w:val="en-US"/>
            </w:rPr>
            <w:lastRenderedPageBreak/>
            <w:t xml:space="preserve">United States Government Accountability Office. </w:t>
          </w:r>
          <w:r w:rsidRPr="00FC4E89">
            <w:rPr>
              <w:rFonts w:ascii="Times New Roman" w:eastAsia="Calibri" w:hAnsi="Times New Roman" w:cs="Times New Roman"/>
              <w:noProof/>
            </w:rPr>
            <w:t>(2012). Recuperado el 3 de agosto de 2020, de https://www.gao.gov/assets/650/647782.pdf</w:t>
          </w:r>
        </w:p>
        <w:p w14:paraId="324B83D2"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rPr>
            <w:t>Guzmán, R. (2011). Recuperado el 3 de agosto de 2020, de http://www.anh.gov.co/Sala-de-Prensa/Presentaciones/Dr.%20Rodolfo%20Guzmán,%20Director,%20Arthur%20D'%20Little.pdf</w:t>
          </w:r>
        </w:p>
        <w:p w14:paraId="160CD8DF"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rPr>
            <w:t>OLADE. (2014). Recuperado el 3 de agosto de 2020, de http://biblioteca.olade.org/opac-tmpl/Documentos/old0353.pdf</w:t>
          </w:r>
        </w:p>
        <w:p w14:paraId="05E8A4BA"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rPr>
            <w:t>Vargas, C. (2012). Recuperado el 3 de agosto de 2020, de http://www.anh.gov.co/Informacion-Geologica-y-Geofisica/Estudios-Integrados-y-Modelamientos/Documents/Evaluating%20total_Yet_to_Find_hydrocarbon_volume_in_Colombia.pdf</w:t>
          </w:r>
        </w:p>
        <w:p w14:paraId="49043283"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rPr>
            <w:t xml:space="preserve">ACNUR. (2020). </w:t>
          </w:r>
          <w:r w:rsidRPr="00FC4E89">
            <w:rPr>
              <w:rFonts w:ascii="Times New Roman" w:eastAsia="Calibri" w:hAnsi="Times New Roman" w:cs="Times New Roman"/>
              <w:i/>
              <w:iCs/>
              <w:noProof/>
            </w:rPr>
            <w:t>Acnur</w:t>
          </w:r>
          <w:r w:rsidRPr="00FC4E89">
            <w:rPr>
              <w:rFonts w:ascii="Times New Roman" w:eastAsia="Calibri" w:hAnsi="Times New Roman" w:cs="Times New Roman"/>
              <w:noProof/>
            </w:rPr>
            <w:t>. Recuperado el 2 de 8 de 2020, de Desplazados climáticos: https://eacnur.org/es/desplazados-climaticos</w:t>
          </w:r>
        </w:p>
        <w:p w14:paraId="4112953F"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lang w:val="en-US"/>
            </w:rPr>
          </w:pPr>
          <w:r w:rsidRPr="00FC4E89">
            <w:rPr>
              <w:rFonts w:ascii="Times New Roman" w:eastAsia="Calibri" w:hAnsi="Times New Roman" w:cs="Times New Roman"/>
              <w:noProof/>
            </w:rPr>
            <w:t xml:space="preserve">Naciones Unidas. (2017). </w:t>
          </w:r>
          <w:r w:rsidRPr="00FC4E89">
            <w:rPr>
              <w:rFonts w:ascii="Times New Roman" w:eastAsia="Calibri" w:hAnsi="Times New Roman" w:cs="Times New Roman"/>
              <w:i/>
              <w:iCs/>
              <w:noProof/>
            </w:rPr>
            <w:t>Estudio Analítico de la relación entre el cambio climático y el disfrute pleno y efectivo de los derechos del niño.</w:t>
          </w:r>
          <w:r w:rsidRPr="00FC4E89">
            <w:rPr>
              <w:rFonts w:ascii="Times New Roman" w:eastAsia="Calibri" w:hAnsi="Times New Roman" w:cs="Times New Roman"/>
              <w:noProof/>
            </w:rPr>
            <w:t xml:space="preserve"> Consejo de Derechos Humanos, Alto Comisionado de las Naciones Unidas para los Derechos Humanos. </w:t>
          </w:r>
          <w:r w:rsidRPr="00FC4E89">
            <w:rPr>
              <w:rFonts w:ascii="Times New Roman" w:eastAsia="Calibri" w:hAnsi="Times New Roman" w:cs="Times New Roman"/>
              <w:noProof/>
              <w:lang w:val="en-US"/>
            </w:rPr>
            <w:t>Naciones Unidas, Asamblea General.</w:t>
          </w:r>
        </w:p>
        <w:p w14:paraId="00F45A92"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lang w:val="en-US"/>
            </w:rPr>
            <w:t xml:space="preserve">IPCC. (2018). Summary for Policymakers. En IPCC, </w:t>
          </w:r>
          <w:r w:rsidRPr="00FC4E89">
            <w:rPr>
              <w:rFonts w:ascii="Times New Roman" w:eastAsia="Calibri" w:hAnsi="Times New Roman" w:cs="Times New Roman"/>
              <w:i/>
              <w:iCs/>
              <w:noProof/>
              <w:lang w:val="en-US"/>
            </w:rPr>
            <w:t>In: Global Warming of 1.5°C. An IPCC Special Report on the impacts of global warming of 1.5ªC C above pre-industrial levels.</w:t>
          </w:r>
          <w:r w:rsidRPr="00FC4E89">
            <w:rPr>
              <w:rFonts w:ascii="Times New Roman" w:eastAsia="Calibri" w:hAnsi="Times New Roman" w:cs="Times New Roman"/>
              <w:noProof/>
              <w:lang w:val="en-US"/>
            </w:rPr>
            <w:t xml:space="preserve"> </w:t>
          </w:r>
          <w:r w:rsidRPr="00FC4E89">
            <w:rPr>
              <w:rFonts w:ascii="Times New Roman" w:eastAsia="Calibri" w:hAnsi="Times New Roman" w:cs="Times New Roman"/>
              <w:noProof/>
            </w:rPr>
            <w:t>Obtenido de https://www.ipcc.ch/site/assets/uploads/sites/2/2019/05/SR15_SPM_version_report_LR.pdf</w:t>
          </w:r>
        </w:p>
        <w:p w14:paraId="39434DDC"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lang w:val="en-US"/>
            </w:rPr>
          </w:pPr>
          <w:r w:rsidRPr="00FC4E89">
            <w:rPr>
              <w:rFonts w:ascii="Times New Roman" w:eastAsia="Calibri" w:hAnsi="Times New Roman" w:cs="Times New Roman"/>
              <w:noProof/>
            </w:rPr>
            <w:t xml:space="preserve">McSweeney, R. (23 de octubre de 2018). </w:t>
          </w:r>
          <w:r w:rsidRPr="00FC4E89">
            <w:rPr>
              <w:rFonts w:ascii="Times New Roman" w:eastAsia="Calibri" w:hAnsi="Times New Roman" w:cs="Times New Roman"/>
              <w:i/>
              <w:iCs/>
              <w:noProof/>
              <w:lang w:val="en-US"/>
            </w:rPr>
            <w:t>CarbonBrief: Clear on Climate</w:t>
          </w:r>
          <w:r w:rsidRPr="00FC4E89">
            <w:rPr>
              <w:rFonts w:ascii="Times New Roman" w:eastAsia="Calibri" w:hAnsi="Times New Roman" w:cs="Times New Roman"/>
              <w:noProof/>
              <w:lang w:val="en-US"/>
            </w:rPr>
            <w:t>. Recuperado el 26 de 07 de 2020, de Explainer: Nine ‘tipping points’ that could be triggered by climate change: https://www.carbonbrief.org/state-of-the-climate-new-record-ocean-heat-content-and-growing-a-el-nino</w:t>
          </w:r>
        </w:p>
        <w:p w14:paraId="660EBAF3"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rPr>
            <w:t xml:space="preserve">PNUMA. (2019). </w:t>
          </w:r>
          <w:r w:rsidRPr="00FC4E89">
            <w:rPr>
              <w:rFonts w:ascii="Times New Roman" w:eastAsia="Calibri" w:hAnsi="Times New Roman" w:cs="Times New Roman"/>
              <w:i/>
              <w:iCs/>
              <w:noProof/>
            </w:rPr>
            <w:t>Informe sobre la disparidad de las emisiones de 2019.</w:t>
          </w:r>
          <w:r w:rsidRPr="00FC4E89">
            <w:rPr>
              <w:rFonts w:ascii="Times New Roman" w:eastAsia="Calibri" w:hAnsi="Times New Roman" w:cs="Times New Roman"/>
              <w:noProof/>
            </w:rPr>
            <w:t xml:space="preserve"> Nairobi: Programa de las Naciones Unidas para el Medio Ambiente.</w:t>
          </w:r>
        </w:p>
        <w:p w14:paraId="5E26F343"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lang w:val="en-US"/>
            </w:rPr>
          </w:pPr>
          <w:r w:rsidRPr="00FC4E89">
            <w:rPr>
              <w:rFonts w:ascii="Times New Roman" w:eastAsia="Calibri" w:hAnsi="Times New Roman" w:cs="Times New Roman"/>
              <w:noProof/>
            </w:rPr>
            <w:lastRenderedPageBreak/>
            <w:t xml:space="preserve">Worland, J. (6 de julio de 2020). </w:t>
          </w:r>
          <w:r w:rsidRPr="00FC4E89">
            <w:rPr>
              <w:rFonts w:ascii="Times New Roman" w:eastAsia="Calibri" w:hAnsi="Times New Roman" w:cs="Times New Roman"/>
              <w:i/>
              <w:iCs/>
              <w:noProof/>
              <w:lang w:val="en-US"/>
            </w:rPr>
            <w:t>TIME</w:t>
          </w:r>
          <w:r w:rsidRPr="00FC4E89">
            <w:rPr>
              <w:rFonts w:ascii="Times New Roman" w:eastAsia="Calibri" w:hAnsi="Times New Roman" w:cs="Times New Roman"/>
              <w:noProof/>
              <w:lang w:val="en-US"/>
            </w:rPr>
            <w:t>. Obtenido de 2020 Is Our Last, Best Chance to Save the Planet: https://time.com/5864692/climate-change-defining-moment/?utm_campaign=IEA%20newsletters&amp;utm_source=SendGrid&amp;utm_medium=Email</w:t>
          </w:r>
        </w:p>
        <w:p w14:paraId="174F3C44"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lang w:val="en-US"/>
            </w:rPr>
            <w:t xml:space="preserve">Frumhoff, P. C., Heede, R., &amp; Oreskes, N. (2015). The climate responsibilities of industrial carbon producers. </w:t>
          </w:r>
          <w:r w:rsidRPr="00FC4E89">
            <w:rPr>
              <w:rFonts w:ascii="Times New Roman" w:eastAsia="Calibri" w:hAnsi="Times New Roman" w:cs="Times New Roman"/>
              <w:noProof/>
            </w:rPr>
            <w:t>157-171. Recuperado el 2 de agosto de 2020, de https://link.springer.com/article/10.1007/s10584-015-1472-5</w:t>
          </w:r>
        </w:p>
        <w:p w14:paraId="55C7B7E5"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rPr>
            <w:t xml:space="preserve">IPCC. (2014). </w:t>
          </w:r>
          <w:r w:rsidRPr="00FC4E89">
            <w:rPr>
              <w:rFonts w:ascii="Times New Roman" w:eastAsia="Calibri" w:hAnsi="Times New Roman" w:cs="Times New Roman"/>
              <w:i/>
              <w:iCs/>
              <w:noProof/>
            </w:rPr>
            <w:t>IPCC.</w:t>
          </w:r>
          <w:r w:rsidRPr="00FC4E89">
            <w:rPr>
              <w:rFonts w:ascii="Times New Roman" w:eastAsia="Calibri" w:hAnsi="Times New Roman" w:cs="Times New Roman"/>
              <w:noProof/>
            </w:rPr>
            <w:t xml:space="preserve"> (R. Pachauri, &amp; L. Meyer, Edits.) Recuperado el 02 de 08 de 2020, de https://www.ipcc.ch/site/assets/uploads/2018/03/WG3AR5_SPM_brochure_es-1.pdf</w:t>
          </w:r>
        </w:p>
        <w:p w14:paraId="69E6B90F"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lang w:val="en-US"/>
            </w:rPr>
            <w:t xml:space="preserve">Heede, R. (2014). Tracing anthropogenic carbon dioxide and methane emissions to fossil fuel and cement producers, 1854–2010. </w:t>
          </w:r>
          <w:r w:rsidRPr="00FC4E89">
            <w:rPr>
              <w:rFonts w:ascii="Times New Roman" w:eastAsia="Calibri" w:hAnsi="Times New Roman" w:cs="Times New Roman"/>
              <w:i/>
              <w:iCs/>
              <w:noProof/>
            </w:rPr>
            <w:t>Climatic Change</w:t>
          </w:r>
          <w:r w:rsidRPr="00FC4E89">
            <w:rPr>
              <w:rFonts w:ascii="Times New Roman" w:eastAsia="Calibri" w:hAnsi="Times New Roman" w:cs="Times New Roman"/>
              <w:noProof/>
            </w:rPr>
            <w:t>, 229-241. Recuperado el 2 de agosto de 2020, de https://link.springer.com/article/10.1007/s10584-013-0986-y#Tab1</w:t>
          </w:r>
        </w:p>
        <w:p w14:paraId="535671BA"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rPr>
            <w:t xml:space="preserve">Hall, S. (26 de octubre de 2015). </w:t>
          </w:r>
          <w:r w:rsidRPr="00FC4E89">
            <w:rPr>
              <w:rFonts w:ascii="Times New Roman" w:eastAsia="Calibri" w:hAnsi="Times New Roman" w:cs="Times New Roman"/>
              <w:i/>
              <w:iCs/>
              <w:noProof/>
            </w:rPr>
            <w:t>Scientific American.</w:t>
          </w:r>
          <w:r w:rsidRPr="00FC4E89">
            <w:rPr>
              <w:rFonts w:ascii="Times New Roman" w:eastAsia="Calibri" w:hAnsi="Times New Roman" w:cs="Times New Roman"/>
              <w:noProof/>
            </w:rPr>
            <w:t xml:space="preserve"> Recuperado el 15 de septiembre de 2019, de https://www.scientificamerican.com/article/exxon-knew-about-climate-change-almost-40-years-ago/</w:t>
          </w:r>
        </w:p>
        <w:p w14:paraId="3655E162"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lang w:val="en-US"/>
            </w:rPr>
          </w:pPr>
          <w:r w:rsidRPr="00FC4E89">
            <w:rPr>
              <w:rFonts w:ascii="Times New Roman" w:eastAsia="Calibri" w:hAnsi="Times New Roman" w:cs="Times New Roman"/>
              <w:noProof/>
              <w:lang w:val="en-US"/>
            </w:rPr>
            <w:t xml:space="preserve">Griffin, P. (2017). </w:t>
          </w:r>
          <w:r w:rsidRPr="00FC4E89">
            <w:rPr>
              <w:rFonts w:ascii="Times New Roman" w:eastAsia="Calibri" w:hAnsi="Times New Roman" w:cs="Times New Roman"/>
              <w:i/>
              <w:iCs/>
              <w:noProof/>
              <w:lang w:val="en-US"/>
            </w:rPr>
            <w:t>The Carbon Majors Database.</w:t>
          </w:r>
          <w:r w:rsidRPr="00FC4E89">
            <w:rPr>
              <w:rFonts w:ascii="Times New Roman" w:eastAsia="Calibri" w:hAnsi="Times New Roman" w:cs="Times New Roman"/>
              <w:noProof/>
              <w:lang w:val="en-US"/>
            </w:rPr>
            <w:t xml:space="preserve"> Londres: Climate Accountability Institute.</w:t>
          </w:r>
        </w:p>
        <w:p w14:paraId="17B44D43"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lang w:val="es-MX"/>
            </w:rPr>
            <w:t xml:space="preserve">Climate Accountability Institute. </w:t>
          </w:r>
          <w:r w:rsidRPr="00FC4E89">
            <w:rPr>
              <w:rFonts w:ascii="Times New Roman" w:eastAsia="Calibri" w:hAnsi="Times New Roman" w:cs="Times New Roman"/>
              <w:noProof/>
            </w:rPr>
            <w:t xml:space="preserve">(Octubre de 2019). </w:t>
          </w:r>
          <w:r w:rsidRPr="00FC4E89">
            <w:rPr>
              <w:rFonts w:ascii="Times New Roman" w:eastAsia="Calibri" w:hAnsi="Times New Roman" w:cs="Times New Roman"/>
              <w:i/>
              <w:iCs/>
              <w:noProof/>
            </w:rPr>
            <w:t>Carbon Majors.</w:t>
          </w:r>
          <w:r w:rsidRPr="00FC4E89">
            <w:rPr>
              <w:rFonts w:ascii="Times New Roman" w:eastAsia="Calibri" w:hAnsi="Times New Roman" w:cs="Times New Roman"/>
              <w:noProof/>
            </w:rPr>
            <w:t xml:space="preserve"> Recuperado el 2 de agosto de 2020, de https://climateaccountability.org/pdf/SumRankingTo2017.pdf</w:t>
          </w:r>
        </w:p>
        <w:p w14:paraId="7B04C2F3"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rPr>
            <w:t xml:space="preserve">Ministerio de Ambiente. (Julio de 2015). </w:t>
          </w:r>
          <w:r w:rsidRPr="00FC4E89">
            <w:rPr>
              <w:rFonts w:ascii="Times New Roman" w:eastAsia="Calibri" w:hAnsi="Times New Roman" w:cs="Times New Roman"/>
              <w:i/>
              <w:iCs/>
              <w:noProof/>
            </w:rPr>
            <w:t>Contribución prevista y determinada a nivel nacional iNDC.</w:t>
          </w:r>
          <w:r w:rsidRPr="00FC4E89">
            <w:rPr>
              <w:rFonts w:ascii="Times New Roman" w:eastAsia="Calibri" w:hAnsi="Times New Roman" w:cs="Times New Roman"/>
              <w:noProof/>
            </w:rPr>
            <w:t xml:space="preserve"> Recuperado el 15 de septiembre de 2019, de http://www.minambiente.gov.co/images/cambioclimatico/pdf/colombia_hacia_la_COP21/iNDC_espanol.pdf</w:t>
          </w:r>
        </w:p>
        <w:p w14:paraId="00B7ECA7"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lang w:val="en-US"/>
            </w:rPr>
          </w:pPr>
          <w:r w:rsidRPr="00FC4E89">
            <w:rPr>
              <w:rFonts w:ascii="Times New Roman" w:eastAsia="Calibri" w:hAnsi="Times New Roman" w:cs="Times New Roman"/>
              <w:noProof/>
              <w:lang w:val="en-US"/>
            </w:rPr>
            <w:t xml:space="preserve">UNDP. (2019). </w:t>
          </w:r>
          <w:r w:rsidRPr="00FC4E89">
            <w:rPr>
              <w:rFonts w:ascii="Times New Roman" w:eastAsia="Calibri" w:hAnsi="Times New Roman" w:cs="Times New Roman"/>
              <w:i/>
              <w:iCs/>
              <w:noProof/>
              <w:lang w:val="en-US"/>
            </w:rPr>
            <w:t>The Heat is On: Taking Stock of Global Climate Ambition.</w:t>
          </w:r>
          <w:r w:rsidRPr="00FC4E89">
            <w:rPr>
              <w:rFonts w:ascii="Times New Roman" w:eastAsia="Calibri" w:hAnsi="Times New Roman" w:cs="Times New Roman"/>
              <w:noProof/>
              <w:lang w:val="en-US"/>
            </w:rPr>
            <w:t xml:space="preserve"> UNDP.</w:t>
          </w:r>
        </w:p>
        <w:p w14:paraId="2AFE6643"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lang w:val="en-US"/>
            </w:rPr>
          </w:pPr>
          <w:r w:rsidRPr="00FC4E89">
            <w:rPr>
              <w:rFonts w:ascii="Times New Roman" w:eastAsia="Calibri" w:hAnsi="Times New Roman" w:cs="Times New Roman"/>
              <w:noProof/>
              <w:lang w:val="en-US"/>
            </w:rPr>
            <w:t xml:space="preserve">V. Masson-Delmotte, P. Z. (2018). </w:t>
          </w:r>
          <w:r w:rsidRPr="00FC4E89">
            <w:rPr>
              <w:rFonts w:ascii="Times New Roman" w:eastAsia="Calibri" w:hAnsi="Times New Roman" w:cs="Times New Roman"/>
              <w:i/>
              <w:iCs/>
              <w:noProof/>
              <w:lang w:val="en-US"/>
            </w:rPr>
            <w:t>IPCC, 2018: Global warming of 1.5°C. An IPCC Special Report on the impacts of global warming of 1.5°C.</w:t>
          </w:r>
          <w:r w:rsidRPr="00FC4E89">
            <w:rPr>
              <w:rFonts w:ascii="Times New Roman" w:eastAsia="Calibri" w:hAnsi="Times New Roman" w:cs="Times New Roman"/>
              <w:noProof/>
              <w:lang w:val="en-US"/>
            </w:rPr>
            <w:t xml:space="preserve"> Ginebra: In Press.</w:t>
          </w:r>
        </w:p>
        <w:p w14:paraId="7CA5D687"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rPr>
            <w:lastRenderedPageBreak/>
            <w:t xml:space="preserve">Hausfather, Z. (8 de octubre de 2018). </w:t>
          </w:r>
          <w:r w:rsidRPr="00FC4E89">
            <w:rPr>
              <w:rFonts w:ascii="Times New Roman" w:eastAsia="Calibri" w:hAnsi="Times New Roman" w:cs="Times New Roman"/>
              <w:i/>
              <w:iCs/>
              <w:noProof/>
            </w:rPr>
            <w:t>CarbonBrief.</w:t>
          </w:r>
          <w:r w:rsidRPr="00FC4E89">
            <w:rPr>
              <w:rFonts w:ascii="Times New Roman" w:eastAsia="Calibri" w:hAnsi="Times New Roman" w:cs="Times New Roman"/>
              <w:noProof/>
            </w:rPr>
            <w:t xml:space="preserve"> Recuperado el 30 de septiembre de 2019, de Analysis: Why the IPCC 1.5C report expanded the carbon budget: https://www.carbonbrief.org/analysis-why-the-ipcc-1-5c-report-expanded-the-carbon-budget</w:t>
          </w:r>
        </w:p>
        <w:p w14:paraId="0123FB9C"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lang w:val="en-US"/>
            </w:rPr>
          </w:pPr>
          <w:r w:rsidRPr="00FC4E89">
            <w:rPr>
              <w:rFonts w:ascii="Times New Roman" w:eastAsia="Calibri" w:hAnsi="Times New Roman" w:cs="Times New Roman"/>
              <w:noProof/>
              <w:lang w:val="en-US"/>
            </w:rPr>
            <w:t xml:space="preserve">Heede, R., &amp; Oreskes, N. (2016). Potential emissions of CO2 and methane from proved reserves of fossil fuels: An alternative analysis. </w:t>
          </w:r>
          <w:r w:rsidRPr="00FC4E89">
            <w:rPr>
              <w:rFonts w:ascii="Times New Roman" w:eastAsia="Calibri" w:hAnsi="Times New Roman" w:cs="Times New Roman"/>
              <w:i/>
              <w:iCs/>
              <w:noProof/>
              <w:lang w:val="en-US"/>
            </w:rPr>
            <w:t>Global Environmental Change 36</w:t>
          </w:r>
          <w:r w:rsidRPr="00FC4E89">
            <w:rPr>
              <w:rFonts w:ascii="Times New Roman" w:eastAsia="Calibri" w:hAnsi="Times New Roman" w:cs="Times New Roman"/>
              <w:noProof/>
              <w:lang w:val="en-US"/>
            </w:rPr>
            <w:t>, 12-20.</w:t>
          </w:r>
        </w:p>
        <w:p w14:paraId="5C784399"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lang w:val="en-US"/>
            </w:rPr>
          </w:pPr>
          <w:r w:rsidRPr="00FC4E89">
            <w:rPr>
              <w:rFonts w:ascii="Times New Roman" w:eastAsia="Calibri" w:hAnsi="Times New Roman" w:cs="Times New Roman"/>
              <w:noProof/>
              <w:lang w:val="en-US"/>
            </w:rPr>
            <w:t xml:space="preserve">McGlade, C., &amp; Ekins, P. (2015). The geographical distribution of fossil fuels unused when limiting global warming to 2 °C. </w:t>
          </w:r>
          <w:r w:rsidRPr="00FC4E89">
            <w:rPr>
              <w:rFonts w:ascii="Times New Roman" w:eastAsia="Calibri" w:hAnsi="Times New Roman" w:cs="Times New Roman"/>
              <w:i/>
              <w:iCs/>
              <w:noProof/>
              <w:lang w:val="en-US"/>
            </w:rPr>
            <w:t>Nature volume 517</w:t>
          </w:r>
          <w:r w:rsidRPr="00FC4E89">
            <w:rPr>
              <w:rFonts w:ascii="Times New Roman" w:eastAsia="Calibri" w:hAnsi="Times New Roman" w:cs="Times New Roman"/>
              <w:noProof/>
              <w:lang w:val="en-US"/>
            </w:rPr>
            <w:t>, 187–190.</w:t>
          </w:r>
        </w:p>
        <w:p w14:paraId="0CC619B5"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rPr>
            <w:t>Ecopetrol. (2020). Recuperado el 3 de agosto de 2020, de http://www.andi.com.co/Uploads/Felipe%20Bayón.pdf</w:t>
          </w:r>
        </w:p>
        <w:p w14:paraId="26D4DA85"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rPr>
            <w:t>IDEAM. (Noviembre de 2016). Recuperado el 3 de agosto de 2020, de https://www4.unfccc.int/sites/SubmissionsStaging/NationalReports/Documents/4617350_Colombia-NC3-1-RESUMEN%20EJECUTIVO%20TCNCC%20COLOMBIA%20A%20LA%20CMNUCC%202017.pdf</w:t>
          </w:r>
        </w:p>
        <w:p w14:paraId="4ECFE8C6"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rPr>
            <w:t xml:space="preserve">Global Witness. (23 de abril de 2019). </w:t>
          </w:r>
          <w:r w:rsidRPr="00FC4E89">
            <w:rPr>
              <w:rFonts w:ascii="Times New Roman" w:eastAsia="Calibri" w:hAnsi="Times New Roman" w:cs="Times New Roman"/>
              <w:i/>
              <w:iCs/>
              <w:noProof/>
            </w:rPr>
            <w:t>Global Witness.</w:t>
          </w:r>
          <w:r w:rsidRPr="00FC4E89">
            <w:rPr>
              <w:rFonts w:ascii="Times New Roman" w:eastAsia="Calibri" w:hAnsi="Times New Roman" w:cs="Times New Roman"/>
              <w:noProof/>
            </w:rPr>
            <w:t xml:space="preserve"> Recuperado el 15 de septiembre de 2019, de https://www.globalwitness.org/en/campaigns/oil-gas-and-mining/overexposed/</w:t>
          </w:r>
        </w:p>
        <w:p w14:paraId="1921C036"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rPr>
            <w:t xml:space="preserve">SEI, IISD, ODI, Climate Analytics, CICERO, UNEP. (Noviembre de 2019). </w:t>
          </w:r>
          <w:r w:rsidRPr="00FC4E89">
            <w:rPr>
              <w:rFonts w:ascii="Times New Roman" w:eastAsia="Calibri" w:hAnsi="Times New Roman" w:cs="Times New Roman"/>
              <w:i/>
              <w:iCs/>
              <w:noProof/>
            </w:rPr>
            <w:t>Production Gap.</w:t>
          </w:r>
          <w:r w:rsidRPr="00FC4E89">
            <w:rPr>
              <w:rFonts w:ascii="Times New Roman" w:eastAsia="Calibri" w:hAnsi="Times New Roman" w:cs="Times New Roman"/>
              <w:noProof/>
            </w:rPr>
            <w:t xml:space="preserve"> Recuperado el 3 de agosto de 2020, de http://productiongap.org/wp-content/uploads/2019/11/Production-Gap-Report-2019.pdf</w:t>
          </w:r>
        </w:p>
        <w:p w14:paraId="3ED787A6"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lang w:val="en-US"/>
            </w:rPr>
          </w:pPr>
          <w:r w:rsidRPr="00FC4E89">
            <w:rPr>
              <w:rFonts w:ascii="Times New Roman" w:eastAsia="Calibri" w:hAnsi="Times New Roman" w:cs="Times New Roman"/>
              <w:noProof/>
            </w:rPr>
            <w:t xml:space="preserve">Klare, M. (4 de octubre de 2012). </w:t>
          </w:r>
          <w:r w:rsidRPr="00FC4E89">
            <w:rPr>
              <w:rFonts w:ascii="Times New Roman" w:eastAsia="Calibri" w:hAnsi="Times New Roman" w:cs="Times New Roman"/>
              <w:i/>
              <w:iCs/>
              <w:noProof/>
              <w:lang w:val="en-US"/>
            </w:rPr>
            <w:t>The Nation.</w:t>
          </w:r>
          <w:r w:rsidRPr="00FC4E89">
            <w:rPr>
              <w:rFonts w:ascii="Times New Roman" w:eastAsia="Calibri" w:hAnsi="Times New Roman" w:cs="Times New Roman"/>
              <w:noProof/>
              <w:lang w:val="en-US"/>
            </w:rPr>
            <w:t xml:space="preserve"> Recuperado el 22 de septiembre de 2019, de The New ‘Golden Age of Oil’ That Wasn’t: https://www.thenation.com/article/new-golden-age-oil-wasnt/</w:t>
          </w:r>
        </w:p>
        <w:p w14:paraId="6D7BAF56"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lang w:val="en-US"/>
            </w:rPr>
            <w:t xml:space="preserve">Hughes, D. (2013). </w:t>
          </w:r>
          <w:r w:rsidRPr="00FC4E89">
            <w:rPr>
              <w:rFonts w:ascii="Times New Roman" w:eastAsia="Calibri" w:hAnsi="Times New Roman" w:cs="Times New Roman"/>
              <w:i/>
              <w:iCs/>
              <w:noProof/>
              <w:lang w:val="en-US"/>
            </w:rPr>
            <w:t>Drill, baby, drill. Can unconventional fuels usher a new era of energy abundance?</w:t>
          </w:r>
          <w:r w:rsidRPr="00FC4E89">
            <w:rPr>
              <w:rFonts w:ascii="Times New Roman" w:eastAsia="Calibri" w:hAnsi="Times New Roman" w:cs="Times New Roman"/>
              <w:noProof/>
              <w:lang w:val="en-US"/>
            </w:rPr>
            <w:t xml:space="preserve"> </w:t>
          </w:r>
          <w:r w:rsidRPr="00FC4E89">
            <w:rPr>
              <w:rFonts w:ascii="Times New Roman" w:eastAsia="Calibri" w:hAnsi="Times New Roman" w:cs="Times New Roman"/>
              <w:noProof/>
            </w:rPr>
            <w:t xml:space="preserve">Santa Rosa, California, U.S.A.: Post Carbon Institute. Recuperado de </w:t>
          </w:r>
          <w:hyperlink r:id="rId64" w:history="1">
            <w:r w:rsidRPr="00FC4E89">
              <w:rPr>
                <w:rFonts w:ascii="Times New Roman" w:eastAsia="Calibri" w:hAnsi="Times New Roman" w:cs="Times New Roman"/>
                <w:color w:val="0563C1"/>
                <w:u w:val="single"/>
              </w:rPr>
              <w:t>http://www.liege.mpoc.be/doc/energie/carbonefossile/-~En-anglais/Hughes-David_Drill-Baby-Drill_178pages-31Mo_fevrier2013.pdf</w:t>
            </w:r>
          </w:hyperlink>
        </w:p>
        <w:p w14:paraId="3D0273BF"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lang w:val="en-US"/>
            </w:rPr>
          </w:pPr>
          <w:r w:rsidRPr="00FC4E89">
            <w:rPr>
              <w:rFonts w:ascii="Times New Roman" w:eastAsia="Calibri" w:hAnsi="Times New Roman" w:cs="Times New Roman"/>
              <w:noProof/>
            </w:rPr>
            <w:lastRenderedPageBreak/>
            <w:t xml:space="preserve">Castillo-Mussot, M., Ugalde-Vélez, P., Montemayor-Aldrete, J., Lama-García, A., &amp; Cruz, F. (2016). </w:t>
          </w:r>
          <w:r w:rsidRPr="00FC4E89">
            <w:rPr>
              <w:rFonts w:ascii="Times New Roman" w:eastAsia="Calibri" w:hAnsi="Times New Roman" w:cs="Times New Roman"/>
              <w:noProof/>
              <w:lang w:val="en-US"/>
            </w:rPr>
            <w:t xml:space="preserve">Impact of Global Energy Resources Based on Energy Return on their Investment (EROI) Parameters. </w:t>
          </w:r>
          <w:r w:rsidRPr="00FC4E89">
            <w:rPr>
              <w:rFonts w:ascii="Times New Roman" w:eastAsia="Calibri" w:hAnsi="Times New Roman" w:cs="Times New Roman"/>
              <w:i/>
              <w:iCs/>
              <w:noProof/>
              <w:lang w:val="en-US"/>
            </w:rPr>
            <w:t>Perspectives on Global Development and Technology. 15</w:t>
          </w:r>
          <w:r w:rsidRPr="00FC4E89">
            <w:rPr>
              <w:rFonts w:ascii="Times New Roman" w:eastAsia="Calibri" w:hAnsi="Times New Roman" w:cs="Times New Roman"/>
              <w:noProof/>
              <w:lang w:val="en-US"/>
            </w:rPr>
            <w:t xml:space="preserve">, 290-299. Recuperado de </w:t>
          </w:r>
          <w:hyperlink r:id="rId65" w:history="1">
            <w:r w:rsidRPr="00FC4E89">
              <w:rPr>
                <w:rFonts w:ascii="Times New Roman" w:eastAsia="Calibri" w:hAnsi="Times New Roman" w:cs="Times New Roman"/>
                <w:color w:val="0563C1"/>
                <w:u w:val="single"/>
                <w:lang w:val="en-US"/>
              </w:rPr>
              <w:t>http://csh.izt.uam.mx/sistemadivisional/SDIP/proyectos/archivos_rpi/dea_5265_751_509_2_1_2016%20roi%20global%20recurses.pdf</w:t>
            </w:r>
          </w:hyperlink>
        </w:p>
        <w:p w14:paraId="221F49D2"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lang w:val="en-US"/>
            </w:rPr>
            <w:t xml:space="preserve">Brockway, P., Owen, A., Brand-Correa, L., &amp; Hardt, L. (2019). Estimation of global final-stage energy-return-on-investment for fossil fuels with comparison to renewable energy sources. </w:t>
          </w:r>
          <w:r w:rsidRPr="00FC4E89">
            <w:rPr>
              <w:rFonts w:ascii="Times New Roman" w:eastAsia="Calibri" w:hAnsi="Times New Roman" w:cs="Times New Roman"/>
              <w:i/>
              <w:iCs/>
              <w:noProof/>
            </w:rPr>
            <w:t>Nature Energy Vol. 4</w:t>
          </w:r>
          <w:r w:rsidRPr="00FC4E89">
            <w:rPr>
              <w:rFonts w:ascii="Times New Roman" w:eastAsia="Calibri" w:hAnsi="Times New Roman" w:cs="Times New Roman"/>
              <w:noProof/>
            </w:rPr>
            <w:t>, 612-621.</w:t>
          </w:r>
        </w:p>
        <w:p w14:paraId="255FB231"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rPr>
            <w:t xml:space="preserve">ANH. (18 de septiembre de 2019). </w:t>
          </w:r>
          <w:r w:rsidRPr="00FC4E89">
            <w:rPr>
              <w:rFonts w:ascii="Times New Roman" w:eastAsia="Calibri" w:hAnsi="Times New Roman" w:cs="Times New Roman"/>
              <w:i/>
              <w:iCs/>
              <w:noProof/>
            </w:rPr>
            <w:t>ANH</w:t>
          </w:r>
          <w:r w:rsidRPr="00FC4E89">
            <w:rPr>
              <w:rFonts w:ascii="Times New Roman" w:eastAsia="Calibri" w:hAnsi="Times New Roman" w:cs="Times New Roman"/>
              <w:noProof/>
            </w:rPr>
            <w:t>. Recuperado el 18 de septiembre de 2019, de Producción Fiscalizada Crudo 2019: http://www.anh.gov.co/Operaciones-Regalias-y-Participaciones/Sistema-Integrado-de-Operaciones/Paginas/Estadisticas-de-Produccion.aspx</w:t>
          </w:r>
        </w:p>
        <w:p w14:paraId="6343BE6A"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lang w:val="en-US"/>
            </w:rPr>
          </w:pPr>
          <w:r w:rsidRPr="00FC4E89">
            <w:rPr>
              <w:rFonts w:ascii="Times New Roman" w:eastAsia="Calibri" w:hAnsi="Times New Roman" w:cs="Times New Roman"/>
              <w:noProof/>
              <w:lang w:val="en-US"/>
            </w:rPr>
            <w:t xml:space="preserve">Guo, K., Zhang, B., Wachtmeister, H., Aleklett, K., Höök, &amp; Mikael. (2017). Characteristic Production Decline Patterns for Shale GAs Wells in Barnett. </w:t>
          </w:r>
          <w:r w:rsidRPr="00FC4E89">
            <w:rPr>
              <w:rFonts w:ascii="Times New Roman" w:eastAsia="Calibri" w:hAnsi="Times New Roman" w:cs="Times New Roman"/>
              <w:i/>
              <w:iCs/>
              <w:noProof/>
              <w:lang w:val="en-US"/>
            </w:rPr>
            <w:t>International Journal of Sustainable Future for Human Security</w:t>
          </w:r>
          <w:r w:rsidRPr="00FC4E89">
            <w:rPr>
              <w:rFonts w:ascii="Times New Roman" w:eastAsia="Calibri" w:hAnsi="Times New Roman" w:cs="Times New Roman"/>
              <w:noProof/>
              <w:lang w:val="en-US"/>
            </w:rPr>
            <w:t>, 12-21.</w:t>
          </w:r>
        </w:p>
        <w:p w14:paraId="38ECE6B0"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lang w:val="en-US"/>
            </w:rPr>
          </w:pPr>
          <w:r w:rsidRPr="00FC4E89">
            <w:rPr>
              <w:rFonts w:ascii="Times New Roman" w:eastAsia="Calibri" w:hAnsi="Times New Roman" w:cs="Times New Roman"/>
              <w:noProof/>
              <w:lang w:val="en-US"/>
            </w:rPr>
            <w:t xml:space="preserve">Lund, L. (2014). </w:t>
          </w:r>
          <w:r w:rsidRPr="00FC4E89">
            <w:rPr>
              <w:rFonts w:ascii="Times New Roman" w:eastAsia="Calibri" w:hAnsi="Times New Roman" w:cs="Times New Roman"/>
              <w:i/>
              <w:iCs/>
              <w:noProof/>
              <w:lang w:val="en-US"/>
            </w:rPr>
            <w:t>Decline Curve Analysis of Shale Oil Production: The Case of Eagle Ford.</w:t>
          </w:r>
          <w:r w:rsidRPr="00FC4E89">
            <w:rPr>
              <w:rFonts w:ascii="Times New Roman" w:eastAsia="Calibri" w:hAnsi="Times New Roman" w:cs="Times New Roman"/>
              <w:noProof/>
              <w:lang w:val="en-US"/>
            </w:rPr>
            <w:t xml:space="preserve"> Upsala: Uppsala Universitet.</w:t>
          </w:r>
        </w:p>
        <w:p w14:paraId="735AC347"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lang w:val="en-US"/>
            </w:rPr>
          </w:pPr>
          <w:r w:rsidRPr="00FC4E89">
            <w:rPr>
              <w:rFonts w:ascii="Times New Roman" w:eastAsia="Calibri" w:hAnsi="Times New Roman" w:cs="Times New Roman"/>
              <w:noProof/>
              <w:lang w:val="en-US"/>
            </w:rPr>
            <w:t xml:space="preserve">Hughes, D. (2019). </w:t>
          </w:r>
          <w:r w:rsidRPr="00FC4E89">
            <w:rPr>
              <w:rFonts w:ascii="Times New Roman" w:eastAsia="Calibri" w:hAnsi="Times New Roman" w:cs="Times New Roman"/>
              <w:i/>
              <w:iCs/>
              <w:noProof/>
              <w:lang w:val="en-US"/>
            </w:rPr>
            <w:t>How long will the shale revolution last?</w:t>
          </w:r>
          <w:r w:rsidRPr="00FC4E89">
            <w:rPr>
              <w:rFonts w:ascii="Times New Roman" w:eastAsia="Calibri" w:hAnsi="Times New Roman" w:cs="Times New Roman"/>
              <w:noProof/>
              <w:lang w:val="en-US"/>
            </w:rPr>
            <w:t xml:space="preserve"> Corvallia: Post Carbon Institute.</w:t>
          </w:r>
        </w:p>
        <w:p w14:paraId="7C0276B9"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lang w:val="es-MX"/>
            </w:rPr>
            <w:t xml:space="preserve">IPCC. </w:t>
          </w:r>
          <w:r w:rsidRPr="00FC4E89">
            <w:rPr>
              <w:rFonts w:ascii="Times New Roman" w:eastAsia="Calibri" w:hAnsi="Times New Roman" w:cs="Times New Roman"/>
              <w:noProof/>
            </w:rPr>
            <w:t>(1997). Estabilización de los gases atmosféricos de efecto invernadero: implicaciones físicas, biológicas y socioeconómicas. (J. M.-F. Houghton, Ed.) Recuperado el 3 de agosto de 2020, de https://archive.ipcc.ch/pdf/technical-papers/paper-III-sp.pdf</w:t>
          </w:r>
        </w:p>
        <w:p w14:paraId="059181D5"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lang w:val="en-US"/>
            </w:rPr>
            <w:t xml:space="preserve">Howarth, R. (2019). Ideas and perspectives: is shale gas a major driver of recent increase in global atmospheric methane? </w:t>
          </w:r>
          <w:r w:rsidRPr="00FC4E89">
            <w:rPr>
              <w:rFonts w:ascii="Times New Roman" w:eastAsia="Calibri" w:hAnsi="Times New Roman" w:cs="Times New Roman"/>
              <w:i/>
              <w:iCs/>
              <w:noProof/>
            </w:rPr>
            <w:t>Biogeosciences</w:t>
          </w:r>
          <w:r w:rsidRPr="00FC4E89">
            <w:rPr>
              <w:rFonts w:ascii="Times New Roman" w:eastAsia="Calibri" w:hAnsi="Times New Roman" w:cs="Times New Roman"/>
              <w:noProof/>
            </w:rPr>
            <w:t>, 3033-3046.</w:t>
          </w:r>
        </w:p>
        <w:p w14:paraId="3A2E8E23"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rPr>
            <w:t xml:space="preserve">BP. (1 de Junio de 2019). </w:t>
          </w:r>
          <w:r w:rsidRPr="00FC4E89">
            <w:rPr>
              <w:rFonts w:ascii="Times New Roman" w:eastAsia="Calibri" w:hAnsi="Times New Roman" w:cs="Times New Roman"/>
              <w:i/>
              <w:iCs/>
              <w:noProof/>
            </w:rPr>
            <w:t>BP.</w:t>
          </w:r>
          <w:r w:rsidRPr="00FC4E89">
            <w:rPr>
              <w:rFonts w:ascii="Times New Roman" w:eastAsia="Calibri" w:hAnsi="Times New Roman" w:cs="Times New Roman"/>
              <w:noProof/>
            </w:rPr>
            <w:t xml:space="preserve"> Obtenido de BP Energy Outlook 2019: https://www.bp.com/content/dam/bp/business-sites/en/global/corporate/pdfs/energy-economics/energy-outlook/bp-energy-outlook-2019.pdf</w:t>
          </w:r>
        </w:p>
        <w:p w14:paraId="270FB2AD"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rPr>
            <w:lastRenderedPageBreak/>
            <w:t xml:space="preserve">Alvarez, R., Zavala-Araiza, D., Lyon, D., Allen, D., Barkley, Z., Brandt, A., . . . </w:t>
          </w:r>
          <w:r w:rsidRPr="00FC4E89">
            <w:rPr>
              <w:rFonts w:ascii="Times New Roman" w:eastAsia="Calibri" w:hAnsi="Times New Roman" w:cs="Times New Roman"/>
              <w:noProof/>
              <w:lang w:val="en-US"/>
            </w:rPr>
            <w:t xml:space="preserve">Maasakkers, J. (2018). Assessment of methane emissions from the U.S. oil and gas supply chain. </w:t>
          </w:r>
          <w:r w:rsidRPr="00FC4E89">
            <w:rPr>
              <w:rFonts w:ascii="Times New Roman" w:eastAsia="Calibri" w:hAnsi="Times New Roman" w:cs="Times New Roman"/>
              <w:i/>
              <w:iCs/>
              <w:noProof/>
            </w:rPr>
            <w:t>Science</w:t>
          </w:r>
          <w:r w:rsidRPr="00FC4E89">
            <w:rPr>
              <w:rFonts w:ascii="Times New Roman" w:eastAsia="Calibri" w:hAnsi="Times New Roman" w:cs="Times New Roman"/>
              <w:noProof/>
            </w:rPr>
            <w:t>, 186-188.</w:t>
          </w:r>
        </w:p>
        <w:p w14:paraId="20466826"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rPr>
            <w:t xml:space="preserve">Evans, S., &amp; Pearce, R. (25 de marzo de 2019). </w:t>
          </w:r>
          <w:r w:rsidRPr="00FC4E89">
            <w:rPr>
              <w:rFonts w:ascii="Times New Roman" w:eastAsia="Calibri" w:hAnsi="Times New Roman" w:cs="Times New Roman"/>
              <w:i/>
              <w:iCs/>
              <w:noProof/>
            </w:rPr>
            <w:t>CarbonBrief</w:t>
          </w:r>
          <w:r w:rsidRPr="00FC4E89">
            <w:rPr>
              <w:rFonts w:ascii="Times New Roman" w:eastAsia="Calibri" w:hAnsi="Times New Roman" w:cs="Times New Roman"/>
              <w:noProof/>
            </w:rPr>
            <w:t>. Recuperado el 30 de septiembre de 2019, de Mapped: The world’s coal power plants: https://www.carbonbrief.org/mapped-worlds-coal-power-plants</w:t>
          </w:r>
        </w:p>
        <w:p w14:paraId="4816305A"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rPr>
            <w:t xml:space="preserve">Zhang, Y., Gautam, R., Pandey, S., &amp; al, e. (22 de Abril de 2020). </w:t>
          </w:r>
          <w:r w:rsidRPr="00FC4E89">
            <w:rPr>
              <w:rFonts w:ascii="Times New Roman" w:eastAsia="Calibri" w:hAnsi="Times New Roman" w:cs="Times New Roman"/>
              <w:noProof/>
              <w:lang w:val="en-US"/>
            </w:rPr>
            <w:t xml:space="preserve">Quantifying methane emissions from the largest oil-producing basin in the United States from space. </w:t>
          </w:r>
          <w:r w:rsidRPr="00FC4E89">
            <w:rPr>
              <w:rFonts w:ascii="Times New Roman" w:eastAsia="Calibri" w:hAnsi="Times New Roman" w:cs="Times New Roman"/>
              <w:i/>
              <w:iCs/>
              <w:noProof/>
            </w:rPr>
            <w:t>Science ADvances</w:t>
          </w:r>
          <w:r w:rsidRPr="00FC4E89">
            <w:rPr>
              <w:rFonts w:ascii="Times New Roman" w:eastAsia="Calibri" w:hAnsi="Times New Roman" w:cs="Times New Roman"/>
              <w:noProof/>
            </w:rPr>
            <w:t>, Vol. 6.</w:t>
          </w:r>
        </w:p>
        <w:p w14:paraId="1649CF87"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rPr>
            <w:t xml:space="preserve">Honty, G., &amp; Gudynas, E. (2014). </w:t>
          </w:r>
          <w:r w:rsidRPr="00FC4E89">
            <w:rPr>
              <w:rFonts w:ascii="Times New Roman" w:eastAsia="Calibri" w:hAnsi="Times New Roman" w:cs="Times New Roman"/>
              <w:i/>
              <w:iCs/>
              <w:noProof/>
            </w:rPr>
            <w:t>CAmbio climático y transiciones al buen vivir.</w:t>
          </w:r>
          <w:r w:rsidRPr="00FC4E89">
            <w:rPr>
              <w:rFonts w:ascii="Times New Roman" w:eastAsia="Calibri" w:hAnsi="Times New Roman" w:cs="Times New Roman"/>
              <w:noProof/>
            </w:rPr>
            <w:t xml:space="preserve"> Lima: Neva Studio.</w:t>
          </w:r>
        </w:p>
        <w:p w14:paraId="28AB37ED"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rPr>
            <w:t xml:space="preserve">IPBES. (2019). </w:t>
          </w:r>
          <w:r w:rsidRPr="00FC4E89">
            <w:rPr>
              <w:rFonts w:ascii="Times New Roman" w:eastAsia="Calibri" w:hAnsi="Times New Roman" w:cs="Times New Roman"/>
              <w:i/>
              <w:iCs/>
              <w:noProof/>
            </w:rPr>
            <w:t>Proyecto de informe del Plenario de la Plataforma Intergubernamental Científico-normativa sobre Diversidad Biológica y Servicios de los Ecosistemas sobre la labor realizada en su séptimo período de sesiones.</w:t>
          </w:r>
          <w:r w:rsidRPr="00FC4E89">
            <w:rPr>
              <w:rFonts w:ascii="Times New Roman" w:eastAsia="Calibri" w:hAnsi="Times New Roman" w:cs="Times New Roman"/>
              <w:noProof/>
            </w:rPr>
            <w:t xml:space="preserve"> </w:t>
          </w:r>
        </w:p>
        <w:p w14:paraId="4B8D3652"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rPr>
            <w:t xml:space="preserve">Vergara, W. F. (2016). </w:t>
          </w:r>
          <w:r w:rsidRPr="00FC4E89">
            <w:rPr>
              <w:rFonts w:ascii="Times New Roman" w:eastAsia="Calibri" w:hAnsi="Times New Roman" w:cs="Times New Roman"/>
              <w:i/>
              <w:iCs/>
              <w:noProof/>
            </w:rPr>
            <w:t>Carbono cero América Latina, una vía para la descarbonización neta de la economía regional para mediados de este siglo.</w:t>
          </w:r>
          <w:r w:rsidRPr="00FC4E89">
            <w:rPr>
              <w:rFonts w:ascii="Times New Roman" w:eastAsia="Calibri" w:hAnsi="Times New Roman" w:cs="Times New Roman"/>
              <w:noProof/>
            </w:rPr>
            <w:t xml:space="preserve"> Obtenido de https://backend.orbit.dtu.dk/ws/portalfiles/portal/123116630/Carbono_Cero.pdf</w:t>
          </w:r>
        </w:p>
        <w:p w14:paraId="0369BC9D"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rPr>
            <w:t>DiBella, G., Norton, L., Ntamatungiro, J., Ogawa, S., Samake, I., &amp; Santoro, M. (2015). Recuperado el 3 de agosto de 2020, de https://www.imf.org/external/pubs/ft/wp/2015/wp1530.pdf</w:t>
          </w:r>
        </w:p>
        <w:p w14:paraId="0A7577D4"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rPr>
            <w:t xml:space="preserve">UMPME. (2015). </w:t>
          </w:r>
          <w:r w:rsidRPr="00FC4E89">
            <w:rPr>
              <w:rFonts w:ascii="Times New Roman" w:eastAsia="Calibri" w:hAnsi="Times New Roman" w:cs="Times New Roman"/>
              <w:i/>
              <w:iCs/>
              <w:noProof/>
            </w:rPr>
            <w:t>Inegración de las energías renovables con convencionales en Colombia.</w:t>
          </w:r>
          <w:r w:rsidRPr="00FC4E89">
            <w:rPr>
              <w:rFonts w:ascii="Times New Roman" w:eastAsia="Calibri" w:hAnsi="Times New Roman" w:cs="Times New Roman"/>
              <w:noProof/>
            </w:rPr>
            <w:t xml:space="preserve"> Bogotá. Obtenido de http://www1.upme.gov.co/DemandaEnergetica/RESUMEN_EJECUTIVO_INTEGRACION_ENERGIAS_UPME2015.pdf</w:t>
          </w:r>
        </w:p>
        <w:p w14:paraId="5782BA9C"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rPr>
            <w:t xml:space="preserve">González, C., &amp; Barney, J. (2019). </w:t>
          </w:r>
          <w:r w:rsidRPr="00FC4E89">
            <w:rPr>
              <w:rFonts w:ascii="Times New Roman" w:eastAsia="Calibri" w:hAnsi="Times New Roman" w:cs="Times New Roman"/>
              <w:i/>
              <w:iCs/>
              <w:noProof/>
            </w:rPr>
            <w:t>El Viento del Este llega con Revoluciones .</w:t>
          </w:r>
          <w:r w:rsidRPr="00FC4E89">
            <w:rPr>
              <w:rFonts w:ascii="Times New Roman" w:eastAsia="Calibri" w:hAnsi="Times New Roman" w:cs="Times New Roman"/>
              <w:noProof/>
            </w:rPr>
            <w:t xml:space="preserve"> Bogotá: Heinrich Böll Stiftung e Indepaz.</w:t>
          </w:r>
        </w:p>
        <w:p w14:paraId="4D3DCE29"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rPr>
            <w:lastRenderedPageBreak/>
            <w:t xml:space="preserve">Gómez O., A. (2019). Fracking: la intensificación de un modelo decadente que nos impide mirar el presente. En N. Orduz , </w:t>
          </w:r>
          <w:r w:rsidRPr="00FC4E89">
            <w:rPr>
              <w:rFonts w:ascii="Times New Roman" w:eastAsia="Calibri" w:hAnsi="Times New Roman" w:cs="Times New Roman"/>
              <w:i/>
              <w:iCs/>
              <w:noProof/>
            </w:rPr>
            <w:t>La inviabilidad del fracking frente a los retos del siglo XXI.</w:t>
          </w:r>
          <w:r w:rsidRPr="00FC4E89">
            <w:rPr>
              <w:rFonts w:ascii="Times New Roman" w:eastAsia="Calibri" w:hAnsi="Times New Roman" w:cs="Times New Roman"/>
              <w:noProof/>
            </w:rPr>
            <w:t xml:space="preserve"> Bogotá: Heinrich Böll Stiftung y Alianza Colombia Libre de Fracking.</w:t>
          </w:r>
        </w:p>
        <w:p w14:paraId="571ACC6A"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rPr>
            <w:t xml:space="preserve">DNP. (2012). </w:t>
          </w:r>
          <w:r w:rsidRPr="00FC4E89">
            <w:rPr>
              <w:rFonts w:ascii="Times New Roman" w:eastAsia="Calibri" w:hAnsi="Times New Roman" w:cs="Times New Roman"/>
              <w:i/>
              <w:iCs/>
              <w:noProof/>
            </w:rPr>
            <w:t>Plan Nacional de Adptación al Cambio Climático .</w:t>
          </w:r>
          <w:r w:rsidRPr="00FC4E89">
            <w:rPr>
              <w:rFonts w:ascii="Times New Roman" w:eastAsia="Calibri" w:hAnsi="Times New Roman" w:cs="Times New Roman"/>
              <w:noProof/>
            </w:rPr>
            <w:t xml:space="preserve"> Bogotá: DNP.</w:t>
          </w:r>
        </w:p>
        <w:p w14:paraId="3A20F053"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rPr>
            <w:t xml:space="preserve">Centro de Estudios Regionales. (2020). </w:t>
          </w:r>
          <w:r w:rsidRPr="00FC4E89">
            <w:rPr>
              <w:rFonts w:ascii="Times New Roman" w:eastAsia="Calibri" w:hAnsi="Times New Roman" w:cs="Times New Roman"/>
              <w:i/>
              <w:iCs/>
              <w:noProof/>
            </w:rPr>
            <w:t>Indice de pobreza multidimensional: Magdalena Medio</w:t>
          </w:r>
          <w:r w:rsidRPr="00FC4E89">
            <w:rPr>
              <w:rFonts w:ascii="Times New Roman" w:eastAsia="Calibri" w:hAnsi="Times New Roman" w:cs="Times New Roman"/>
              <w:noProof/>
            </w:rPr>
            <w:t>. Obtenido de https://www.cer.org.co/wp-content/uploads/2020/07/POST-INFOGRAFIA-POBREZA-MAGDALENA-MEDIO-CER.pdf</w:t>
          </w:r>
        </w:p>
        <w:p w14:paraId="1CB0769F"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rPr>
            <w:t xml:space="preserve">CNMH. (2019). </w:t>
          </w:r>
          <w:r w:rsidRPr="00FC4E89">
            <w:rPr>
              <w:rFonts w:ascii="Times New Roman" w:eastAsia="Calibri" w:hAnsi="Times New Roman" w:cs="Times New Roman"/>
              <w:i/>
              <w:iCs/>
              <w:noProof/>
            </w:rPr>
            <w:t>El Estado suplantado: Las autodefensas de Puerto Boyacá.</w:t>
          </w:r>
          <w:r w:rsidRPr="00FC4E89">
            <w:rPr>
              <w:rFonts w:ascii="Times New Roman" w:eastAsia="Calibri" w:hAnsi="Times New Roman" w:cs="Times New Roman"/>
              <w:noProof/>
            </w:rPr>
            <w:t xml:space="preserve"> Bogotá.</w:t>
          </w:r>
        </w:p>
        <w:p w14:paraId="38C37CC4"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rPr>
            <w:t xml:space="preserve">Garzón, N., &amp; Gutiérrez, J. (2013). </w:t>
          </w:r>
          <w:r w:rsidRPr="00FC4E89">
            <w:rPr>
              <w:rFonts w:ascii="Times New Roman" w:eastAsia="Calibri" w:hAnsi="Times New Roman" w:cs="Times New Roman"/>
              <w:i/>
              <w:iCs/>
              <w:noProof/>
            </w:rPr>
            <w:t>Deterioro de humedales en el Magdalena Medio: Un lamado para su conservación.</w:t>
          </w:r>
          <w:r w:rsidRPr="00FC4E89">
            <w:rPr>
              <w:rFonts w:ascii="Times New Roman" w:eastAsia="Calibri" w:hAnsi="Times New Roman" w:cs="Times New Roman"/>
              <w:noProof/>
            </w:rPr>
            <w:t xml:space="preserve"> Bogotá: Instituto de Investigación de Recursos Biológicos Alexander von Humboldt y Fundación Alma.</w:t>
          </w:r>
        </w:p>
        <w:p w14:paraId="3E963E39"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rPr>
            <w:t xml:space="preserve">Orduz-Salinas, N., Pardo, A., Herrera, H., Santiago, C., Gómez, A., Sánchez, J., . . . Hofman, J. (2018). </w:t>
          </w:r>
          <w:r w:rsidRPr="00FC4E89">
            <w:rPr>
              <w:rFonts w:ascii="Times New Roman" w:eastAsia="Calibri" w:hAnsi="Times New Roman" w:cs="Times New Roman"/>
              <w:i/>
              <w:iCs/>
              <w:noProof/>
            </w:rPr>
            <w:t>La prohibición del fracking como un asunto de política pública.</w:t>
          </w:r>
          <w:r w:rsidRPr="00FC4E89">
            <w:rPr>
              <w:rFonts w:ascii="Times New Roman" w:eastAsia="Calibri" w:hAnsi="Times New Roman" w:cs="Times New Roman"/>
              <w:noProof/>
            </w:rPr>
            <w:t xml:space="preserve"> Bogotá: Heinrich Böll Stiftung.</w:t>
          </w:r>
        </w:p>
        <w:p w14:paraId="24DDF470"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rPr>
            <w:t xml:space="preserve">TSJP de Bogotá. (2017). </w:t>
          </w:r>
          <w:r w:rsidRPr="00FC4E89">
            <w:rPr>
              <w:rFonts w:ascii="Times New Roman" w:eastAsia="Calibri" w:hAnsi="Times New Roman" w:cs="Times New Roman"/>
              <w:i/>
              <w:iCs/>
              <w:noProof/>
            </w:rPr>
            <w:t>Sentencia condenatoria contra José Barney Veloza García.</w:t>
          </w:r>
          <w:r w:rsidRPr="00FC4E89">
            <w:rPr>
              <w:rFonts w:ascii="Times New Roman" w:eastAsia="Calibri" w:hAnsi="Times New Roman" w:cs="Times New Roman"/>
              <w:noProof/>
            </w:rPr>
            <w:t xml:space="preserve"> Magistrada ponente: Alezandra Valencia Molina.</w:t>
          </w:r>
        </w:p>
        <w:p w14:paraId="71F73D75"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rPr>
            <w:t xml:space="preserve">CNMH. (2014). </w:t>
          </w:r>
          <w:r w:rsidRPr="00FC4E89">
            <w:rPr>
              <w:rFonts w:ascii="Times New Roman" w:eastAsia="Calibri" w:hAnsi="Times New Roman" w:cs="Times New Roman"/>
              <w:i/>
              <w:iCs/>
              <w:noProof/>
            </w:rPr>
            <w:t>Nuevos escenarios de conflicto armado y violencia: panorama psacuerdos con AUC.</w:t>
          </w:r>
          <w:r w:rsidRPr="00FC4E89">
            <w:rPr>
              <w:rFonts w:ascii="Times New Roman" w:eastAsia="Calibri" w:hAnsi="Times New Roman" w:cs="Times New Roman"/>
              <w:noProof/>
            </w:rPr>
            <w:t xml:space="preserve"> Bogotá: CNMH.</w:t>
          </w:r>
        </w:p>
        <w:p w14:paraId="34FDAA5D"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rPr>
            <w:t xml:space="preserve">Rutas del Conflicto y La Liga Contra el Silencio . (s.f.a). </w:t>
          </w:r>
          <w:r w:rsidRPr="00FC4E89">
            <w:rPr>
              <w:rFonts w:ascii="Times New Roman" w:eastAsia="Calibri" w:hAnsi="Times New Roman" w:cs="Times New Roman"/>
              <w:i/>
              <w:iCs/>
              <w:noProof/>
            </w:rPr>
            <w:t>Convenios de Fuerza y Justicia</w:t>
          </w:r>
          <w:r w:rsidRPr="00FC4E89">
            <w:rPr>
              <w:rFonts w:ascii="Times New Roman" w:eastAsia="Calibri" w:hAnsi="Times New Roman" w:cs="Times New Roman"/>
              <w:noProof/>
            </w:rPr>
            <w:t>. Obtenido de Convenio 2018-06: http://rutasdelconflicto.com/convenios-fuerza-justicia/node/75</w:t>
          </w:r>
        </w:p>
        <w:p w14:paraId="027D8B2E"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rPr>
            <w:t xml:space="preserve">Rutas del Conflicto y La Liga contra el Silencio. (s.f.b.). </w:t>
          </w:r>
          <w:r w:rsidRPr="00FC4E89">
            <w:rPr>
              <w:rFonts w:ascii="Times New Roman" w:eastAsia="Calibri" w:hAnsi="Times New Roman" w:cs="Times New Roman"/>
              <w:i/>
              <w:iCs/>
              <w:noProof/>
            </w:rPr>
            <w:t>Convenios de Fuerza y Justicia</w:t>
          </w:r>
          <w:r w:rsidRPr="00FC4E89">
            <w:rPr>
              <w:rFonts w:ascii="Times New Roman" w:eastAsia="Calibri" w:hAnsi="Times New Roman" w:cs="Times New Roman"/>
              <w:noProof/>
            </w:rPr>
            <w:t>. Obtenido de Convenio 03-2019: http://rutasdelconflicto.com/convenios-fuerza-justicia/node/136</w:t>
          </w:r>
        </w:p>
        <w:p w14:paraId="25510B93"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rPr>
            <w:t xml:space="preserve">Rutas del Conflicto y La Liga contra el silencio. (s.f.c.). </w:t>
          </w:r>
          <w:r w:rsidRPr="00FC4E89">
            <w:rPr>
              <w:rFonts w:ascii="Times New Roman" w:eastAsia="Calibri" w:hAnsi="Times New Roman" w:cs="Times New Roman"/>
              <w:i/>
              <w:iCs/>
              <w:noProof/>
            </w:rPr>
            <w:t>Convenios de Fuerza y Justicia</w:t>
          </w:r>
          <w:r w:rsidRPr="00FC4E89">
            <w:rPr>
              <w:rFonts w:ascii="Times New Roman" w:eastAsia="Calibri" w:hAnsi="Times New Roman" w:cs="Times New Roman"/>
              <w:noProof/>
            </w:rPr>
            <w:t>. Obtenido de Petroleras y mineras financian a la fuerza pública y a la fiscalía: http://rutasdelconflicto.com/convenios-fuerza-justicia/node/437</w:t>
          </w:r>
        </w:p>
        <w:p w14:paraId="3135D229"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rPr>
            <w:lastRenderedPageBreak/>
            <w:t xml:space="preserve">Rutas del Conflicto y La Liga contra el Silencio . (s.f.d.). </w:t>
          </w:r>
          <w:r w:rsidRPr="00FC4E89">
            <w:rPr>
              <w:rFonts w:ascii="Times New Roman" w:eastAsia="Calibri" w:hAnsi="Times New Roman" w:cs="Times New Roman"/>
              <w:i/>
              <w:iCs/>
              <w:noProof/>
            </w:rPr>
            <w:t xml:space="preserve">Convenios de Fuerza y Justicia </w:t>
          </w:r>
          <w:r w:rsidRPr="00FC4E89">
            <w:rPr>
              <w:rFonts w:ascii="Times New Roman" w:eastAsia="Calibri" w:hAnsi="Times New Roman" w:cs="Times New Roman"/>
              <w:noProof/>
            </w:rPr>
            <w:t>. Obtenido de Convenio 19-001: http://rutasdelconflicto.com/convenios-fuerza-justicia/node/12</w:t>
          </w:r>
        </w:p>
        <w:p w14:paraId="78CC2B82"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rPr>
            <w:t xml:space="preserve">Global Witness. (29 de julio de 2020). </w:t>
          </w:r>
          <w:r w:rsidRPr="00FC4E89">
            <w:rPr>
              <w:rFonts w:ascii="Times New Roman" w:eastAsia="Calibri" w:hAnsi="Times New Roman" w:cs="Times New Roman"/>
              <w:i/>
              <w:iCs/>
              <w:noProof/>
            </w:rPr>
            <w:t>Globalwitness.org</w:t>
          </w:r>
          <w:r w:rsidRPr="00FC4E89">
            <w:rPr>
              <w:rFonts w:ascii="Times New Roman" w:eastAsia="Calibri" w:hAnsi="Times New Roman" w:cs="Times New Roman"/>
              <w:noProof/>
            </w:rPr>
            <w:t>. Obtenido de Defending Tomorrow: https://www.globalwitness.org/en/campaigns/environmental-activists/defending-tomorrow/</w:t>
          </w:r>
        </w:p>
        <w:p w14:paraId="4BAE1868"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rPr>
            <w:t xml:space="preserve">Comisión Interdisciplinaria Independiente. (2019). </w:t>
          </w:r>
          <w:r w:rsidRPr="00FC4E89">
            <w:rPr>
              <w:rFonts w:ascii="Times New Roman" w:eastAsia="Calibri" w:hAnsi="Times New Roman" w:cs="Times New Roman"/>
              <w:i/>
              <w:iCs/>
              <w:noProof/>
            </w:rPr>
            <w:t>). Informe sobre efectos ambientales (Bióticos, físicos y sociales) y económicos de la exploración de hidrocarburos en áreas con posible despliegue de técnicas de fracturamiento hidráulico de roca gneradora mediante perforación horizontal.</w:t>
          </w:r>
          <w:r w:rsidRPr="00FC4E89">
            <w:rPr>
              <w:rFonts w:ascii="Times New Roman" w:eastAsia="Calibri" w:hAnsi="Times New Roman" w:cs="Times New Roman"/>
              <w:noProof/>
            </w:rPr>
            <w:t xml:space="preserve"> </w:t>
          </w:r>
        </w:p>
        <w:p w14:paraId="70EB231F"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lang w:val="en-US"/>
            </w:rPr>
            <w:t xml:space="preserve">Klein, N. (2014). </w:t>
          </w:r>
          <w:r w:rsidRPr="00FC4E89">
            <w:rPr>
              <w:rFonts w:ascii="Times New Roman" w:eastAsia="Calibri" w:hAnsi="Times New Roman" w:cs="Times New Roman"/>
              <w:i/>
              <w:iCs/>
              <w:noProof/>
              <w:lang w:val="en-US"/>
            </w:rPr>
            <w:t>This Changes Everything: Capitalism vs. the Climate.</w:t>
          </w:r>
          <w:r w:rsidRPr="00FC4E89">
            <w:rPr>
              <w:rFonts w:ascii="Times New Roman" w:eastAsia="Calibri" w:hAnsi="Times New Roman" w:cs="Times New Roman"/>
              <w:noProof/>
              <w:lang w:val="en-US"/>
            </w:rPr>
            <w:t xml:space="preserve"> </w:t>
          </w:r>
          <w:r w:rsidRPr="00FC4E89">
            <w:rPr>
              <w:rFonts w:ascii="Times New Roman" w:eastAsia="Calibri" w:hAnsi="Times New Roman" w:cs="Times New Roman"/>
              <w:noProof/>
            </w:rPr>
            <w:t>New York: Simon &amp; Schuster.</w:t>
          </w:r>
        </w:p>
        <w:p w14:paraId="07AF5832"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rPr>
            <w:t xml:space="preserve">Orduz, N., Pardo, A., Herrera, S., Santiago, C., Sánchez, J., Puerta-Luchini, Ó., . . . Hofman, J. (2018). </w:t>
          </w:r>
          <w:r w:rsidRPr="00FC4E89">
            <w:rPr>
              <w:rFonts w:ascii="Times New Roman" w:eastAsia="Calibri" w:hAnsi="Times New Roman" w:cs="Times New Roman"/>
              <w:i/>
              <w:iCs/>
              <w:noProof/>
            </w:rPr>
            <w:t>La prohibición del fracking como un asunto de política pública.</w:t>
          </w:r>
          <w:r w:rsidRPr="00FC4E89">
            <w:rPr>
              <w:rFonts w:ascii="Times New Roman" w:eastAsia="Calibri" w:hAnsi="Times New Roman" w:cs="Times New Roman"/>
              <w:noProof/>
            </w:rPr>
            <w:t xml:space="preserve"> Bogotá: Heinrich Böll Stiftung, AIDA.</w:t>
          </w:r>
        </w:p>
        <w:p w14:paraId="6CD73A6C"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rPr>
            <w:t>Corte Constitucional. (25 de Septiembre de 2007). Sentencia T-760 de 2007. M-P Clara Inés Vargas Hernández.</w:t>
          </w:r>
        </w:p>
        <w:p w14:paraId="17E92D49"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rPr>
            <w:t>Corte Constitucional. (1994). Sentencia C - 423 de 1994. M.P Vladimiro Naranjo Mesa.</w:t>
          </w:r>
        </w:p>
        <w:p w14:paraId="677AFA4C"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rPr>
            <w:t>Corte Constitucional. (2006). Sentencia C - 189 de 2006. M.P Rodrigo Escobar Gil.</w:t>
          </w:r>
        </w:p>
        <w:p w14:paraId="73E118F6"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rPr>
            <w:t xml:space="preserve">Amaya Navas, Ó. D. (2016). </w:t>
          </w:r>
          <w:r w:rsidRPr="00FC4E89">
            <w:rPr>
              <w:rFonts w:ascii="Times New Roman" w:eastAsia="Calibri" w:hAnsi="Times New Roman" w:cs="Times New Roman"/>
              <w:i/>
              <w:iCs/>
              <w:noProof/>
            </w:rPr>
            <w:t>La Contitución Ecologica de Colombia</w:t>
          </w:r>
          <w:r w:rsidRPr="00FC4E89">
            <w:rPr>
              <w:rFonts w:ascii="Times New Roman" w:eastAsia="Calibri" w:hAnsi="Times New Roman" w:cs="Times New Roman"/>
              <w:noProof/>
            </w:rPr>
            <w:t xml:space="preserve"> (Tercera ed.). Bogotá: Universidad Externado de Colombia.</w:t>
          </w:r>
        </w:p>
        <w:p w14:paraId="1D879007"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rPr>
            <w:t>Corte Constitucional. (2002). Sentencia C - 339 de 2002. M.P Jaime Araujo Renteria.</w:t>
          </w:r>
        </w:p>
        <w:p w14:paraId="74AD1D5A"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rPr>
            <w:t>Asociación Interamericana para la Defensa del Ambiente. (2016). Principio de Precaución: Herramienta jurídica ante los impactos del Fracking. 25.</w:t>
          </w:r>
        </w:p>
        <w:p w14:paraId="304C0A78"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rPr>
            <w:t>Corte Constitucional. (2008). Sentencia T - 299 de 2008. M.P Jaime Córdoba Triviño.</w:t>
          </w:r>
        </w:p>
        <w:p w14:paraId="703A7256"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lang w:val="en-GB"/>
            </w:rPr>
          </w:pPr>
          <w:r w:rsidRPr="00FC4E89">
            <w:rPr>
              <w:rFonts w:ascii="Times New Roman" w:eastAsia="Calibri" w:hAnsi="Times New Roman" w:cs="Times New Roman"/>
              <w:noProof/>
              <w:lang w:val="en-GB"/>
            </w:rPr>
            <w:lastRenderedPageBreak/>
            <w:t xml:space="preserve">European Comission, E. (2000). </w:t>
          </w:r>
          <w:r w:rsidRPr="00FC4E89">
            <w:rPr>
              <w:rFonts w:ascii="Times New Roman" w:eastAsia="Calibri" w:hAnsi="Times New Roman" w:cs="Times New Roman"/>
              <w:i/>
              <w:iCs/>
              <w:noProof/>
              <w:lang w:val="en-GB"/>
            </w:rPr>
            <w:t>White Paper on environmetal liability.</w:t>
          </w:r>
          <w:r w:rsidRPr="00FC4E89">
            <w:rPr>
              <w:rFonts w:ascii="Times New Roman" w:eastAsia="Calibri" w:hAnsi="Times New Roman" w:cs="Times New Roman"/>
              <w:noProof/>
              <w:lang w:val="en-GB"/>
            </w:rPr>
            <w:t xml:space="preserve"> Italy: Office for Official Publications of the European Communities.</w:t>
          </w:r>
        </w:p>
        <w:p w14:paraId="0D4137CB"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lang w:val="es-MX"/>
            </w:rPr>
            <w:t xml:space="preserve">MADS, A. P. (2018). </w:t>
          </w:r>
          <w:r w:rsidRPr="00FC4E89">
            <w:rPr>
              <w:rFonts w:ascii="Times New Roman" w:eastAsia="Calibri" w:hAnsi="Times New Roman" w:cs="Times New Roman"/>
              <w:i/>
              <w:iCs/>
              <w:noProof/>
            </w:rPr>
            <w:t>Propuesta de priorización de áreas para la gestión de pasivos ambientales en Colombia.</w:t>
          </w:r>
          <w:r w:rsidRPr="00FC4E89">
            <w:rPr>
              <w:rFonts w:ascii="Times New Roman" w:eastAsia="Calibri" w:hAnsi="Times New Roman" w:cs="Times New Roman"/>
              <w:noProof/>
            </w:rPr>
            <w:t xml:space="preserve"> </w:t>
          </w:r>
        </w:p>
        <w:p w14:paraId="1A06259D"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rPr>
            <w:t xml:space="preserve">Innova. (2016). </w:t>
          </w:r>
          <w:r w:rsidRPr="00FC4E89">
            <w:rPr>
              <w:rFonts w:ascii="Times New Roman" w:eastAsia="Calibri" w:hAnsi="Times New Roman" w:cs="Times New Roman"/>
              <w:i/>
              <w:iCs/>
              <w:noProof/>
            </w:rPr>
            <w:t>Diseño de una Estrategia Integral para la Gestión de los Pasivos Ambientales en Colombia. Contrato de Consultaría No 374 de 2015.</w:t>
          </w:r>
          <w:r w:rsidRPr="00FC4E89">
            <w:rPr>
              <w:rFonts w:ascii="Times New Roman" w:eastAsia="Calibri" w:hAnsi="Times New Roman" w:cs="Times New Roman"/>
              <w:noProof/>
            </w:rPr>
            <w:t xml:space="preserve"> </w:t>
          </w:r>
        </w:p>
        <w:p w14:paraId="78DDBAB8"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rPr>
            <w:t xml:space="preserve">Aguilar, O. e. (s.f). </w:t>
          </w:r>
          <w:r w:rsidRPr="00FC4E89">
            <w:rPr>
              <w:rFonts w:ascii="Times New Roman" w:eastAsia="Calibri" w:hAnsi="Times New Roman" w:cs="Times New Roman"/>
              <w:i/>
              <w:iCs/>
              <w:noProof/>
            </w:rPr>
            <w:t>Petróleo y Desarrollo.</w:t>
          </w:r>
          <w:r w:rsidRPr="00FC4E89">
            <w:rPr>
              <w:rFonts w:ascii="Times New Roman" w:eastAsia="Calibri" w:hAnsi="Times New Roman" w:cs="Times New Roman"/>
              <w:noProof/>
            </w:rPr>
            <w:t xml:space="preserve"> </w:t>
          </w:r>
        </w:p>
        <w:p w14:paraId="6D511802"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rPr>
            <w:t xml:space="preserve">CGR. (2019). </w:t>
          </w:r>
          <w:r w:rsidRPr="00FC4E89">
            <w:rPr>
              <w:rFonts w:ascii="Times New Roman" w:eastAsia="Calibri" w:hAnsi="Times New Roman" w:cs="Times New Roman"/>
              <w:i/>
              <w:iCs/>
              <w:noProof/>
            </w:rPr>
            <w:t>Informe de Auditoría de Desempeño de la Política Nacional de Humedales. Diciembre de 2019.</w:t>
          </w:r>
          <w:r w:rsidRPr="00FC4E89">
            <w:rPr>
              <w:rFonts w:ascii="Times New Roman" w:eastAsia="Calibri" w:hAnsi="Times New Roman" w:cs="Times New Roman"/>
              <w:noProof/>
            </w:rPr>
            <w:t xml:space="preserve"> </w:t>
          </w:r>
        </w:p>
        <w:p w14:paraId="5B12E59C"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rPr>
            <w:t>Fierro, J. (2015). PROPUESTA DE LA LÍNEA ESTRATÉGICA SOBRE GESTIÓN SECTORIAL COMO COMPONENTE DEL PLAN ESTRATÉGICO DE LA DTOR.</w:t>
          </w:r>
        </w:p>
        <w:p w14:paraId="7EFF6643"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rPr>
            <w:t>CGR. (2014-A). Informe de Actuación Especial de Fiscalización. Problemática Ambiental presentada en el municipio de Paz de Ariporo, departamento del Casanare. Agosto de 2014.</w:t>
          </w:r>
        </w:p>
        <w:p w14:paraId="27031B51"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rPr>
            <w:t xml:space="preserve">Ecopetrol. (2009). </w:t>
          </w:r>
          <w:r w:rsidRPr="00FC4E89">
            <w:rPr>
              <w:rFonts w:ascii="Times New Roman" w:eastAsia="Calibri" w:hAnsi="Times New Roman" w:cs="Times New Roman"/>
              <w:i/>
              <w:iCs/>
              <w:noProof/>
            </w:rPr>
            <w:t>Proyecto Diagnóstico de Impactos Ambientales Acumulativos. Informe Final. Gerencia Regional Central.</w:t>
          </w:r>
          <w:r w:rsidRPr="00FC4E89">
            <w:rPr>
              <w:rFonts w:ascii="Times New Roman" w:eastAsia="Calibri" w:hAnsi="Times New Roman" w:cs="Times New Roman"/>
              <w:noProof/>
            </w:rPr>
            <w:t xml:space="preserve"> </w:t>
          </w:r>
        </w:p>
        <w:p w14:paraId="3D3BB962"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rPr>
            <w:t>CGR. (2013). CGR (2013). Respuesta a la denuncia pública suscrita mediante la publicación de un artículo periodístico “Trazas de crudo y sueños de agua” en el periódico El Espectador, por la comunidad de la vereda La Esmeralda del municipio de Acacías – Meta.</w:t>
          </w:r>
        </w:p>
        <w:p w14:paraId="3743BEF7"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rPr>
            <w:t xml:space="preserve">SGC. (2014). </w:t>
          </w:r>
          <w:r w:rsidRPr="00FC4E89">
            <w:rPr>
              <w:rFonts w:ascii="Times New Roman" w:eastAsia="Calibri" w:hAnsi="Times New Roman" w:cs="Times New Roman"/>
              <w:i/>
              <w:iCs/>
              <w:noProof/>
            </w:rPr>
            <w:t>Informe de Sismicidad. Puerto Gaitán, Meta. .</w:t>
          </w:r>
          <w:r w:rsidRPr="00FC4E89">
            <w:rPr>
              <w:rFonts w:ascii="Times New Roman" w:eastAsia="Calibri" w:hAnsi="Times New Roman" w:cs="Times New Roman"/>
              <w:noProof/>
            </w:rPr>
            <w:t xml:space="preserve"> Bogotá.</w:t>
          </w:r>
        </w:p>
        <w:p w14:paraId="3D01E5D1"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rPr>
            <w:t>CGR. (2014-B). INFORME DE ACTUACIÓN ESPECIAL - AT No. 31 SEGUIMIENTO FUNCIÓN DE ADVERTENCIA CONTRALORÍA GENERAL DE LA REPÚBLICA Contraloría Delegada para el Medio Ambiente Principio de Precaución y Desarrollo Sostenible, posibles riesgos Hidrocarburos No Convencionales.</w:t>
          </w:r>
        </w:p>
        <w:p w14:paraId="0CDA65D6"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rPr>
            <w:t xml:space="preserve">Ramirez, P., Gonzalez, L., Gonzalez Posso, C., Harman, F., Montaña, T., &amp; Alvarez, P. (2013). </w:t>
          </w:r>
          <w:r w:rsidRPr="00FC4E89">
            <w:rPr>
              <w:rFonts w:ascii="Times New Roman" w:eastAsia="Calibri" w:hAnsi="Times New Roman" w:cs="Times New Roman"/>
              <w:i/>
              <w:iCs/>
              <w:noProof/>
            </w:rPr>
            <w:t>Petróleo.</w:t>
          </w:r>
          <w:r w:rsidRPr="00FC4E89">
            <w:rPr>
              <w:rFonts w:ascii="Times New Roman" w:eastAsia="Calibri" w:hAnsi="Times New Roman" w:cs="Times New Roman"/>
              <w:noProof/>
            </w:rPr>
            <w:t xml:space="preserve"> Bogotá: INDEPAZ.</w:t>
          </w:r>
        </w:p>
        <w:p w14:paraId="31816D3A"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rPr>
            <w:lastRenderedPageBreak/>
            <w:t xml:space="preserve">Rudas, G. (2014). </w:t>
          </w:r>
          <w:r w:rsidRPr="00FC4E89">
            <w:rPr>
              <w:rFonts w:ascii="Times New Roman" w:eastAsia="Calibri" w:hAnsi="Times New Roman" w:cs="Times New Roman"/>
              <w:i/>
              <w:iCs/>
              <w:noProof/>
            </w:rPr>
            <w:t>Notas sobre la minería de carbón a gran escala en Colombia.</w:t>
          </w:r>
          <w:r w:rsidRPr="00FC4E89">
            <w:rPr>
              <w:rFonts w:ascii="Times New Roman" w:eastAsia="Calibri" w:hAnsi="Times New Roman" w:cs="Times New Roman"/>
              <w:noProof/>
            </w:rPr>
            <w:t xml:space="preserve"> Bogotá: Fundación Friedrich Ebert.</w:t>
          </w:r>
        </w:p>
        <w:p w14:paraId="4D482389"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rPr>
            <w:t xml:space="preserve">Dávila Saad, A. (2009). </w:t>
          </w:r>
          <w:r w:rsidRPr="00FC4E89">
            <w:rPr>
              <w:rFonts w:ascii="Times New Roman" w:eastAsia="Calibri" w:hAnsi="Times New Roman" w:cs="Times New Roman"/>
              <w:i/>
              <w:iCs/>
              <w:noProof/>
            </w:rPr>
            <w:t>La Violencia en el Magdalena Medio: análisis de la dinámica espacial .</w:t>
          </w:r>
          <w:r w:rsidRPr="00FC4E89">
            <w:rPr>
              <w:rFonts w:ascii="Times New Roman" w:eastAsia="Calibri" w:hAnsi="Times New Roman" w:cs="Times New Roman"/>
              <w:noProof/>
            </w:rPr>
            <w:t xml:space="preserve"> Ediciones Uniandes.</w:t>
          </w:r>
        </w:p>
        <w:p w14:paraId="638813F6"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rPr>
            <w:t xml:space="preserve">Comisión de la Verdad. (2020). </w:t>
          </w:r>
          <w:r w:rsidRPr="00FC4E89">
            <w:rPr>
              <w:rFonts w:ascii="Times New Roman" w:eastAsia="Calibri" w:hAnsi="Times New Roman" w:cs="Times New Roman"/>
              <w:i/>
              <w:iCs/>
              <w:noProof/>
            </w:rPr>
            <w:t>En medio de la presión del desplazamiento forzado, el Magdalena Medio resiste y permanece.</w:t>
          </w:r>
          <w:r w:rsidRPr="00FC4E89">
            <w:rPr>
              <w:rFonts w:ascii="Times New Roman" w:eastAsia="Calibri" w:hAnsi="Times New Roman" w:cs="Times New Roman"/>
              <w:noProof/>
            </w:rPr>
            <w:t xml:space="preserve"> https://comisiondelaverdad.co/actualidad/blogs/en-medio-de-la-presion-del-desplazamiento-forzado-el-magdalena-medio-resiste-y-permanece.</w:t>
          </w:r>
        </w:p>
        <w:p w14:paraId="7672B25C"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rPr>
            <w:t xml:space="preserve">Gonzalez Posso, C. (2011). </w:t>
          </w:r>
          <w:r w:rsidRPr="00FC4E89">
            <w:rPr>
              <w:rFonts w:ascii="Times New Roman" w:eastAsia="Calibri" w:hAnsi="Times New Roman" w:cs="Times New Roman"/>
              <w:i/>
              <w:iCs/>
              <w:noProof/>
            </w:rPr>
            <w:t>Petróleo y Transformación de Conflictos.</w:t>
          </w:r>
          <w:r w:rsidRPr="00FC4E89">
            <w:rPr>
              <w:rFonts w:ascii="Times New Roman" w:eastAsia="Calibri" w:hAnsi="Times New Roman" w:cs="Times New Roman"/>
              <w:noProof/>
            </w:rPr>
            <w:t xml:space="preserve"> Colombia: Indepaz.</w:t>
          </w:r>
        </w:p>
        <w:p w14:paraId="29316624"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rPr>
            <w:t xml:space="preserve">Ángel, A. (2019). Impactos a perpetuidad. El legado de la minería. </w:t>
          </w:r>
          <w:r w:rsidRPr="00FC4E89">
            <w:rPr>
              <w:rFonts w:ascii="Times New Roman" w:eastAsia="Calibri" w:hAnsi="Times New Roman" w:cs="Times New Roman"/>
              <w:i/>
              <w:iCs/>
              <w:noProof/>
            </w:rPr>
            <w:t>Ideas Verdes, 20</w:t>
          </w:r>
          <w:r w:rsidRPr="00FC4E89">
            <w:rPr>
              <w:rFonts w:ascii="Times New Roman" w:eastAsia="Calibri" w:hAnsi="Times New Roman" w:cs="Times New Roman"/>
              <w:noProof/>
            </w:rPr>
            <w:t>.</w:t>
          </w:r>
        </w:p>
        <w:p w14:paraId="67282A26"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rPr>
            <w:t xml:space="preserve">Fierro, J. (2012). </w:t>
          </w:r>
          <w:r w:rsidRPr="00FC4E89">
            <w:rPr>
              <w:rFonts w:ascii="Times New Roman" w:eastAsia="Calibri" w:hAnsi="Times New Roman" w:cs="Times New Roman"/>
              <w:i/>
              <w:iCs/>
              <w:noProof/>
            </w:rPr>
            <w:t>Políticas mineras en Colombia.</w:t>
          </w:r>
          <w:r w:rsidRPr="00FC4E89">
            <w:rPr>
              <w:rFonts w:ascii="Times New Roman" w:eastAsia="Calibri" w:hAnsi="Times New Roman" w:cs="Times New Roman"/>
              <w:noProof/>
            </w:rPr>
            <w:t xml:space="preserve"> Bogotá: Instituto Latinoamericano para una Sociedad y un Derecho Alternativos – ILSA.</w:t>
          </w:r>
        </w:p>
        <w:p w14:paraId="0AE5E10E"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rPr>
            <w:t xml:space="preserve">CEPAL. (2008). </w:t>
          </w:r>
          <w:r w:rsidRPr="00FC4E89">
            <w:rPr>
              <w:rFonts w:ascii="Times New Roman" w:eastAsia="Calibri" w:hAnsi="Times New Roman" w:cs="Times New Roman"/>
              <w:i/>
              <w:iCs/>
              <w:noProof/>
            </w:rPr>
            <w:t>Estudio comparativo de la gestión de los pasivos ambientales mineros en Bolivia, Chile, Perú y Estados Unidos.</w:t>
          </w:r>
          <w:r w:rsidRPr="00FC4E89">
            <w:rPr>
              <w:rFonts w:ascii="Times New Roman" w:eastAsia="Calibri" w:hAnsi="Times New Roman" w:cs="Times New Roman"/>
              <w:noProof/>
            </w:rPr>
            <w:t xml:space="preserve"> CEPAL.</w:t>
          </w:r>
        </w:p>
        <w:p w14:paraId="2FF7831F"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rPr>
            <w:t xml:space="preserve">Martínez Alier, J., &amp; Russi, D. (2002). Los pasivos ambientales. </w:t>
          </w:r>
          <w:r w:rsidRPr="00FC4E89">
            <w:rPr>
              <w:rFonts w:ascii="Times New Roman" w:eastAsia="Calibri" w:hAnsi="Times New Roman" w:cs="Times New Roman"/>
              <w:i/>
              <w:iCs/>
              <w:noProof/>
            </w:rPr>
            <w:t>Debates Ambientales</w:t>
          </w:r>
          <w:r w:rsidRPr="00FC4E89">
            <w:rPr>
              <w:rFonts w:ascii="Times New Roman" w:eastAsia="Calibri" w:hAnsi="Times New Roman" w:cs="Times New Roman"/>
              <w:noProof/>
            </w:rPr>
            <w:t>(24).</w:t>
          </w:r>
        </w:p>
        <w:p w14:paraId="456DF61B"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rPr>
            <w:t>Ministerio de Medio Ambiente. (1999). Memoria Taller Nacional Pasivos Ambientales. Bogotá: MMA.</w:t>
          </w:r>
        </w:p>
        <w:p w14:paraId="26874C57"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rPr>
            <w:t>Innovación Ambiental E.S.P (Innova). (2015). Propuesta integral de selección de alternativas jurídicas, técnicas, económicas y financieras para la gestión integral de los "Pasivos ambientales en Colombia". Bogotá: Innova &amp; MADS.</w:t>
          </w:r>
        </w:p>
        <w:p w14:paraId="2F8879FA"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rPr>
            <w:t xml:space="preserve">Ministerio del Medio Ambiente. B. (s.f.). </w:t>
          </w:r>
          <w:r w:rsidRPr="00FC4E89">
            <w:rPr>
              <w:rFonts w:ascii="Times New Roman" w:eastAsia="Calibri" w:hAnsi="Times New Roman" w:cs="Times New Roman"/>
              <w:i/>
              <w:iCs/>
              <w:noProof/>
            </w:rPr>
            <w:t>Definición de Herramientas de Gestión de Pasivos Ambientales.</w:t>
          </w:r>
          <w:r w:rsidRPr="00FC4E89">
            <w:rPr>
              <w:rFonts w:ascii="Times New Roman" w:eastAsia="Calibri" w:hAnsi="Times New Roman" w:cs="Times New Roman"/>
              <w:noProof/>
            </w:rPr>
            <w:t xml:space="preserve"> Obtenido de Minambiente: https://www.minambiente.gov.co/images/AsuntosambientalesySectorialyUrbana/pdf/Pasivos_Ambientales/herramientas_pasivos_ambientales.pdf</w:t>
          </w:r>
        </w:p>
        <w:p w14:paraId="21BC3387" w14:textId="77777777" w:rsidR="00FC4E89" w:rsidRPr="00FC4E89" w:rsidRDefault="00FC4E89" w:rsidP="00FC4E89">
          <w:pPr>
            <w:numPr>
              <w:ilvl w:val="0"/>
              <w:numId w:val="29"/>
            </w:numPr>
            <w:spacing w:line="276" w:lineRule="auto"/>
            <w:jc w:val="both"/>
            <w:rPr>
              <w:rFonts w:ascii="Times New Roman" w:eastAsia="Calibri" w:hAnsi="Times New Roman" w:cs="Times New Roman"/>
              <w:noProof/>
            </w:rPr>
          </w:pPr>
          <w:r w:rsidRPr="00FC4E89">
            <w:rPr>
              <w:rFonts w:ascii="Times New Roman" w:eastAsia="Calibri" w:hAnsi="Times New Roman" w:cs="Times New Roman"/>
              <w:noProof/>
            </w:rPr>
            <w:lastRenderedPageBreak/>
            <w:t xml:space="preserve">Arango Aramburo, M., &amp; Olaya, Y. (2012). Problemática de los pasivos ambientales mineros en Colombia. </w:t>
          </w:r>
          <w:r w:rsidRPr="00FC4E89">
            <w:rPr>
              <w:rFonts w:ascii="Times New Roman" w:eastAsia="Calibri" w:hAnsi="Times New Roman" w:cs="Times New Roman"/>
              <w:i/>
              <w:iCs/>
              <w:noProof/>
            </w:rPr>
            <w:t>Gestión Ambiental, 15</w:t>
          </w:r>
          <w:r w:rsidRPr="00FC4E89">
            <w:rPr>
              <w:rFonts w:ascii="Times New Roman" w:eastAsia="Calibri" w:hAnsi="Times New Roman" w:cs="Times New Roman"/>
              <w:noProof/>
            </w:rPr>
            <w:t>(3), 125-133.</w:t>
          </w:r>
        </w:p>
        <w:p w14:paraId="631B7196" w14:textId="4C11955D" w:rsidR="003746FA" w:rsidRPr="003746FA" w:rsidRDefault="00FC4E89" w:rsidP="00FC4E89">
          <w:r w:rsidRPr="00FC4E89">
            <w:rPr>
              <w:rFonts w:ascii="Calibri" w:eastAsia="Calibri" w:hAnsi="Calibri" w:cs="Times New Roman"/>
              <w:b/>
              <w:bCs/>
              <w:noProof/>
              <w:lang w:val="en-US"/>
            </w:rPr>
            <w:fldChar w:fldCharType="end"/>
          </w:r>
        </w:p>
      </w:sdtContent>
    </w:sdt>
    <w:sectPr w:rsidR="003746FA" w:rsidRPr="003746FA" w:rsidSect="00F44E6E">
      <w:headerReference w:type="default" r:id="rId66"/>
      <w:footerReference w:type="default" r:id="rId67"/>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4DB341" w14:textId="77777777" w:rsidR="00DD594C" w:rsidRDefault="00DD594C" w:rsidP="00F44E6E">
      <w:pPr>
        <w:spacing w:after="0" w:line="240" w:lineRule="auto"/>
      </w:pPr>
      <w:r>
        <w:separator/>
      </w:r>
    </w:p>
  </w:endnote>
  <w:endnote w:type="continuationSeparator" w:id="0">
    <w:p w14:paraId="48C6A946" w14:textId="77777777" w:rsidR="00DD594C" w:rsidRDefault="00DD594C" w:rsidP="00F44E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15363" w14:textId="77777777" w:rsidR="00FC4E89" w:rsidRDefault="00FC4E89">
    <w:pPr>
      <w:pStyle w:val="Piedepgina"/>
    </w:pPr>
  </w:p>
  <w:p w14:paraId="6F2FC4A1" w14:textId="77777777" w:rsidR="00FC4E89" w:rsidRDefault="00FC4E89" w:rsidP="003943AC">
    <w:pPr>
      <w:pStyle w:val="Piedepgina"/>
      <w:jc w:val="right"/>
    </w:pPr>
    <w:r>
      <w:rPr>
        <w:noProof/>
      </w:rPr>
      <w:drawing>
        <wp:inline distT="0" distB="0" distL="0" distR="0" wp14:anchorId="1C1CAD43" wp14:editId="79506D08">
          <wp:extent cx="5600700" cy="7905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0700" cy="790575"/>
                  </a:xfrm>
                  <a:prstGeom prst="rect">
                    <a:avLst/>
                  </a:prstGeom>
                  <a:noFill/>
                  <a:ln>
                    <a:noFill/>
                  </a:ln>
                </pic:spPr>
              </pic:pic>
            </a:graphicData>
          </a:graphic>
        </wp:inline>
      </w:drawing>
    </w:r>
    <w:r>
      <w:t xml:space="preserve"> </w:t>
    </w:r>
    <w:r>
      <w:rPr>
        <w:rFonts w:asciiTheme="majorHAnsi" w:eastAsiaTheme="majorEastAsia" w:hAnsiTheme="majorHAnsi" w:cstheme="majorBidi"/>
        <w:sz w:val="28"/>
        <w:szCs w:val="28"/>
        <w:lang w:val="es-ES"/>
      </w:rPr>
      <w:t xml:space="preserve"> </w:t>
    </w:r>
    <w:r>
      <w:rPr>
        <w:rFonts w:eastAsiaTheme="minorEastAsia"/>
      </w:rPr>
      <w:fldChar w:fldCharType="begin"/>
    </w:r>
    <w:r>
      <w:instrText>PAGE    \* MERGEFORMAT</w:instrText>
    </w:r>
    <w:r>
      <w:rPr>
        <w:rFonts w:eastAsiaTheme="minorEastAsia"/>
      </w:rPr>
      <w:fldChar w:fldCharType="separate"/>
    </w:r>
    <w:r>
      <w:rPr>
        <w:rFonts w:eastAsiaTheme="minorEastAsia"/>
      </w:rPr>
      <w:t>2</w:t>
    </w:r>
    <w:r>
      <w:rPr>
        <w:rFonts w:asciiTheme="majorHAnsi" w:eastAsiaTheme="majorEastAsia" w:hAnsiTheme="majorHAnsi" w:cstheme="majorBidi"/>
        <w:sz w:val="28"/>
        <w:szCs w:val="28"/>
      </w:rPr>
      <w:fldChar w:fldCharType="end"/>
    </w:r>
  </w:p>
  <w:p w14:paraId="39A9731F" w14:textId="16974F26" w:rsidR="00FC4E89" w:rsidRDefault="00FC4E89">
    <w:pPr>
      <w:pStyle w:val="Piedepgina"/>
    </w:pPr>
  </w:p>
  <w:p w14:paraId="15391013" w14:textId="77777777" w:rsidR="00FC4E89" w:rsidRDefault="00FC4E8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B10E62" w14:textId="77777777" w:rsidR="00DD594C" w:rsidRDefault="00DD594C" w:rsidP="00F44E6E">
      <w:pPr>
        <w:spacing w:after="0" w:line="240" w:lineRule="auto"/>
      </w:pPr>
      <w:r>
        <w:separator/>
      </w:r>
    </w:p>
  </w:footnote>
  <w:footnote w:type="continuationSeparator" w:id="0">
    <w:p w14:paraId="660D69EE" w14:textId="77777777" w:rsidR="00DD594C" w:rsidRDefault="00DD594C" w:rsidP="00F44E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660C0" w14:textId="12882B65" w:rsidR="00FC4E89" w:rsidRDefault="00FC4E89">
    <w:pPr>
      <w:pStyle w:val="Encabezado"/>
    </w:pPr>
    <w:r>
      <w:rPr>
        <w:noProof/>
      </w:rPr>
      <w:drawing>
        <wp:anchor distT="0" distB="0" distL="114300" distR="114300" simplePos="0" relativeHeight="251658240" behindDoc="1" locked="0" layoutInCell="1" allowOverlap="1" wp14:anchorId="0FBA1168" wp14:editId="47F0015D">
          <wp:simplePos x="0" y="0"/>
          <wp:positionH relativeFrom="margin">
            <wp:align>center</wp:align>
          </wp:positionH>
          <wp:positionV relativeFrom="paragraph">
            <wp:posOffset>-212090</wp:posOffset>
          </wp:positionV>
          <wp:extent cx="5057775" cy="1029335"/>
          <wp:effectExtent l="0" t="0" r="9525" b="0"/>
          <wp:wrapTight wrapText="bothSides">
            <wp:wrapPolygon edited="0">
              <wp:start x="0" y="0"/>
              <wp:lineTo x="0" y="21187"/>
              <wp:lineTo x="21559" y="21187"/>
              <wp:lineTo x="21559"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57775" cy="1029335"/>
                  </a:xfrm>
                  <a:prstGeom prst="rect">
                    <a:avLst/>
                  </a:prstGeom>
                  <a:noFill/>
                  <a:ln>
                    <a:noFill/>
                  </a:ln>
                </pic:spPr>
              </pic:pic>
            </a:graphicData>
          </a:graphic>
        </wp:anchor>
      </w:drawing>
    </w:r>
  </w:p>
  <w:p w14:paraId="7C427876" w14:textId="77777777" w:rsidR="00FC4E89" w:rsidRDefault="00FC4E8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144DF"/>
    <w:multiLevelType w:val="hybridMultilevel"/>
    <w:tmpl w:val="FC166FD6"/>
    <w:lvl w:ilvl="0" w:tplc="86BC693E">
      <w:start w:val="1"/>
      <w:numFmt w:val="decimal"/>
      <w:lvlText w:val="%1."/>
      <w:lvlJc w:val="left"/>
      <w:pPr>
        <w:ind w:left="720" w:hanging="360"/>
      </w:pPr>
      <w:rPr>
        <w:rFonts w:eastAsia="Times New Roman"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84D5F"/>
    <w:multiLevelType w:val="hybridMultilevel"/>
    <w:tmpl w:val="B39AC52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4E03005"/>
    <w:multiLevelType w:val="hybridMultilevel"/>
    <w:tmpl w:val="C71C1E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79643D5"/>
    <w:multiLevelType w:val="hybridMultilevel"/>
    <w:tmpl w:val="40B6DC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85436F1"/>
    <w:multiLevelType w:val="multilevel"/>
    <w:tmpl w:val="E2F460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C073B1"/>
    <w:multiLevelType w:val="hybridMultilevel"/>
    <w:tmpl w:val="E250967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80068A"/>
    <w:multiLevelType w:val="hybridMultilevel"/>
    <w:tmpl w:val="972CE080"/>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4CB5882"/>
    <w:multiLevelType w:val="hybridMultilevel"/>
    <w:tmpl w:val="630886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3C16977"/>
    <w:multiLevelType w:val="hybridMultilevel"/>
    <w:tmpl w:val="AA8C2F9C"/>
    <w:lvl w:ilvl="0" w:tplc="36281A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C53A91"/>
    <w:multiLevelType w:val="multilevel"/>
    <w:tmpl w:val="16668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60C6174"/>
    <w:multiLevelType w:val="hybridMultilevel"/>
    <w:tmpl w:val="E6A04050"/>
    <w:lvl w:ilvl="0" w:tplc="36E2CC4C">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F023A5"/>
    <w:multiLevelType w:val="hybridMultilevel"/>
    <w:tmpl w:val="3F0C15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FC12B92"/>
    <w:multiLevelType w:val="multilevel"/>
    <w:tmpl w:val="789C8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2C52FFD"/>
    <w:multiLevelType w:val="hybridMultilevel"/>
    <w:tmpl w:val="A2D69B58"/>
    <w:lvl w:ilvl="0" w:tplc="0409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4" w15:restartNumberingAfterBreak="0">
    <w:nsid w:val="47967CE3"/>
    <w:multiLevelType w:val="multilevel"/>
    <w:tmpl w:val="81AC1E70"/>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5" w15:restartNumberingAfterBreak="0">
    <w:nsid w:val="4E457577"/>
    <w:multiLevelType w:val="multilevel"/>
    <w:tmpl w:val="6A9656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3DD172F"/>
    <w:multiLevelType w:val="hybridMultilevel"/>
    <w:tmpl w:val="2D5EEADA"/>
    <w:lvl w:ilvl="0" w:tplc="36E2CC4C">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AA22AC"/>
    <w:multiLevelType w:val="multilevel"/>
    <w:tmpl w:val="945E69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4821729"/>
    <w:multiLevelType w:val="multilevel"/>
    <w:tmpl w:val="7E7AA7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955208C"/>
    <w:multiLevelType w:val="multilevel"/>
    <w:tmpl w:val="905ED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9B52142"/>
    <w:multiLevelType w:val="hybridMultilevel"/>
    <w:tmpl w:val="01A221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C5D6812"/>
    <w:multiLevelType w:val="hybridMultilevel"/>
    <w:tmpl w:val="8112FCD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DF6DAE"/>
    <w:multiLevelType w:val="multilevel"/>
    <w:tmpl w:val="F32A28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1CE3DBE"/>
    <w:multiLevelType w:val="hybridMultilevel"/>
    <w:tmpl w:val="E6ACF5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1D078BB"/>
    <w:multiLevelType w:val="multilevel"/>
    <w:tmpl w:val="C20CC1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23B1B2A"/>
    <w:multiLevelType w:val="hybridMultilevel"/>
    <w:tmpl w:val="A56E17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5C00F9D"/>
    <w:multiLevelType w:val="hybridMultilevel"/>
    <w:tmpl w:val="65C83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D43103"/>
    <w:multiLevelType w:val="hybridMultilevel"/>
    <w:tmpl w:val="F06C11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E4563F8"/>
    <w:multiLevelType w:val="multilevel"/>
    <w:tmpl w:val="07D4B97E"/>
    <w:lvl w:ilvl="0">
      <w:start w:val="1"/>
      <w:numFmt w:val="upperRoman"/>
      <w:lvlText w:val="%1."/>
      <w:lvlJc w:val="right"/>
      <w:pPr>
        <w:ind w:left="360" w:hanging="360"/>
      </w:pPr>
      <w:rPr>
        <w:rFonts w:hint="default"/>
      </w:rPr>
    </w:lvl>
    <w:lvl w:ilvl="1">
      <w:start w:val="1"/>
      <w:numFmt w:val="decimal"/>
      <w:isLgl/>
      <w:lvlText w:val="%1.%2."/>
      <w:lvlJc w:val="left"/>
      <w:pPr>
        <w:ind w:left="720" w:hanging="720"/>
      </w:pPr>
      <w:rPr>
        <w:rFonts w:ascii="Times New Roman" w:hAnsi="Times New Roman" w:cs="Times New Roman" w:hint="default"/>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abstractNumId w:val="26"/>
  </w:num>
  <w:num w:numId="2">
    <w:abstractNumId w:val="0"/>
  </w:num>
  <w:num w:numId="3">
    <w:abstractNumId w:val="6"/>
  </w:num>
  <w:num w:numId="4">
    <w:abstractNumId w:val="14"/>
  </w:num>
  <w:num w:numId="5">
    <w:abstractNumId w:val="5"/>
  </w:num>
  <w:num w:numId="6">
    <w:abstractNumId w:val="28"/>
  </w:num>
  <w:num w:numId="7">
    <w:abstractNumId w:val="23"/>
  </w:num>
  <w:num w:numId="8">
    <w:abstractNumId w:val="13"/>
  </w:num>
  <w:num w:numId="9">
    <w:abstractNumId w:val="27"/>
  </w:num>
  <w:num w:numId="10">
    <w:abstractNumId w:val="25"/>
  </w:num>
  <w:num w:numId="11">
    <w:abstractNumId w:val="21"/>
  </w:num>
  <w:num w:numId="12">
    <w:abstractNumId w:val="1"/>
  </w:num>
  <w:num w:numId="13">
    <w:abstractNumId w:val="8"/>
  </w:num>
  <w:num w:numId="14">
    <w:abstractNumId w:val="15"/>
  </w:num>
  <w:num w:numId="15">
    <w:abstractNumId w:val="9"/>
  </w:num>
  <w:num w:numId="16">
    <w:abstractNumId w:val="17"/>
  </w:num>
  <w:num w:numId="17">
    <w:abstractNumId w:val="12"/>
  </w:num>
  <w:num w:numId="18">
    <w:abstractNumId w:val="22"/>
  </w:num>
  <w:num w:numId="19">
    <w:abstractNumId w:val="19"/>
  </w:num>
  <w:num w:numId="20">
    <w:abstractNumId w:val="18"/>
  </w:num>
  <w:num w:numId="21">
    <w:abstractNumId w:val="24"/>
  </w:num>
  <w:num w:numId="22">
    <w:abstractNumId w:val="4"/>
  </w:num>
  <w:num w:numId="23">
    <w:abstractNumId w:val="16"/>
  </w:num>
  <w:num w:numId="24">
    <w:abstractNumId w:val="3"/>
  </w:num>
  <w:num w:numId="25">
    <w:abstractNumId w:val="20"/>
  </w:num>
  <w:num w:numId="26">
    <w:abstractNumId w:val="11"/>
  </w:num>
  <w:num w:numId="27">
    <w:abstractNumId w:val="2"/>
  </w:num>
  <w:num w:numId="28">
    <w:abstractNumId w:val="10"/>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E6E"/>
    <w:rsid w:val="00141906"/>
    <w:rsid w:val="001946C3"/>
    <w:rsid w:val="00204090"/>
    <w:rsid w:val="002961F5"/>
    <w:rsid w:val="00361107"/>
    <w:rsid w:val="003746FA"/>
    <w:rsid w:val="003943AC"/>
    <w:rsid w:val="003F2B2D"/>
    <w:rsid w:val="008A7C39"/>
    <w:rsid w:val="00A42BFE"/>
    <w:rsid w:val="00A91035"/>
    <w:rsid w:val="00CB5652"/>
    <w:rsid w:val="00DD594C"/>
    <w:rsid w:val="00E649F4"/>
    <w:rsid w:val="00F44E6E"/>
    <w:rsid w:val="00FC4E89"/>
    <w:rsid w:val="00FF153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EF0002"/>
  <w15:chartTrackingRefBased/>
  <w15:docId w15:val="{E32D637C-43EA-4478-ACDE-9EB9CB1AF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1906"/>
  </w:style>
  <w:style w:type="paragraph" w:styleId="Ttulo1">
    <w:name w:val="heading 1"/>
    <w:basedOn w:val="Normal"/>
    <w:next w:val="Normal"/>
    <w:link w:val="Ttulo1Car"/>
    <w:uiPriority w:val="9"/>
    <w:qFormat/>
    <w:rsid w:val="00FC4E89"/>
    <w:pPr>
      <w:keepNext/>
      <w:keepLines/>
      <w:spacing w:before="240" w:after="0"/>
      <w:outlineLvl w:val="0"/>
    </w:pPr>
    <w:rPr>
      <w:rFonts w:ascii="Calibri Light" w:eastAsia="Times New Roman" w:hAnsi="Calibri Light" w:cs="Times New Roman"/>
      <w:color w:val="2E74B5"/>
      <w:sz w:val="32"/>
      <w:szCs w:val="32"/>
    </w:rPr>
  </w:style>
  <w:style w:type="paragraph" w:styleId="Ttulo3">
    <w:name w:val="heading 3"/>
    <w:basedOn w:val="Normal"/>
    <w:next w:val="Normal"/>
    <w:link w:val="Ttulo3Car"/>
    <w:uiPriority w:val="9"/>
    <w:semiHidden/>
    <w:unhideWhenUsed/>
    <w:qFormat/>
    <w:rsid w:val="00FC4E89"/>
    <w:pPr>
      <w:keepNext/>
      <w:keepLines/>
      <w:spacing w:before="40" w:after="0"/>
      <w:outlineLvl w:val="2"/>
    </w:pPr>
    <w:rPr>
      <w:rFonts w:ascii="Calibri Light" w:eastAsia="Times New Roman" w:hAnsi="Calibri Light" w:cs="Times New Roman"/>
      <w:color w:val="1F4D78"/>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44E6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4E6E"/>
  </w:style>
  <w:style w:type="paragraph" w:styleId="Piedepgina">
    <w:name w:val="footer"/>
    <w:basedOn w:val="Normal"/>
    <w:link w:val="PiedepginaCar"/>
    <w:uiPriority w:val="99"/>
    <w:unhideWhenUsed/>
    <w:rsid w:val="00F44E6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4E6E"/>
  </w:style>
  <w:style w:type="paragraph" w:styleId="Sinespaciado">
    <w:name w:val="No Spacing"/>
    <w:uiPriority w:val="1"/>
    <w:qFormat/>
    <w:rsid w:val="003746FA"/>
    <w:pPr>
      <w:spacing w:after="0" w:line="240" w:lineRule="auto"/>
    </w:pPr>
    <w:rPr>
      <w:lang w:val="en-US"/>
    </w:rPr>
  </w:style>
  <w:style w:type="paragraph" w:customStyle="1" w:styleId="Ttulo11">
    <w:name w:val="Título 11"/>
    <w:basedOn w:val="Normal"/>
    <w:next w:val="Normal"/>
    <w:uiPriority w:val="9"/>
    <w:qFormat/>
    <w:rsid w:val="00FC4E89"/>
    <w:pPr>
      <w:keepNext/>
      <w:keepLines/>
      <w:spacing w:before="240" w:after="0"/>
      <w:outlineLvl w:val="0"/>
    </w:pPr>
    <w:rPr>
      <w:rFonts w:ascii="Calibri Light" w:eastAsia="Times New Roman" w:hAnsi="Calibri Light" w:cs="Times New Roman"/>
      <w:color w:val="2E74B5"/>
      <w:sz w:val="32"/>
      <w:szCs w:val="32"/>
      <w:lang w:val="en-US"/>
    </w:rPr>
  </w:style>
  <w:style w:type="paragraph" w:customStyle="1" w:styleId="Ttulo31">
    <w:name w:val="Título 31"/>
    <w:basedOn w:val="Normal"/>
    <w:next w:val="Normal"/>
    <w:uiPriority w:val="9"/>
    <w:semiHidden/>
    <w:unhideWhenUsed/>
    <w:qFormat/>
    <w:rsid w:val="00FC4E89"/>
    <w:pPr>
      <w:keepNext/>
      <w:keepLines/>
      <w:spacing w:before="40" w:after="0"/>
      <w:outlineLvl w:val="2"/>
    </w:pPr>
    <w:rPr>
      <w:rFonts w:ascii="Calibri Light" w:eastAsia="Times New Roman" w:hAnsi="Calibri Light" w:cs="Times New Roman"/>
      <w:color w:val="1F4D78"/>
      <w:sz w:val="24"/>
      <w:szCs w:val="24"/>
      <w:lang w:val="en-US"/>
    </w:rPr>
  </w:style>
  <w:style w:type="numbering" w:customStyle="1" w:styleId="Sinlista1">
    <w:name w:val="Sin lista1"/>
    <w:next w:val="Sinlista"/>
    <w:uiPriority w:val="99"/>
    <w:semiHidden/>
    <w:unhideWhenUsed/>
    <w:rsid w:val="00FC4E89"/>
  </w:style>
  <w:style w:type="paragraph" w:styleId="Prrafodelista">
    <w:name w:val="List Paragraph"/>
    <w:basedOn w:val="Normal"/>
    <w:uiPriority w:val="34"/>
    <w:qFormat/>
    <w:rsid w:val="00FC4E89"/>
    <w:pPr>
      <w:ind w:left="720"/>
      <w:contextualSpacing/>
    </w:pPr>
    <w:rPr>
      <w:lang w:val="en-US"/>
    </w:rPr>
  </w:style>
  <w:style w:type="character" w:customStyle="1" w:styleId="Hipervnculo1">
    <w:name w:val="Hipervínculo1"/>
    <w:basedOn w:val="Fuentedeprrafopredeter"/>
    <w:uiPriority w:val="99"/>
    <w:unhideWhenUsed/>
    <w:rsid w:val="00FC4E89"/>
    <w:rPr>
      <w:color w:val="0563C1"/>
      <w:u w:val="single"/>
    </w:rPr>
  </w:style>
  <w:style w:type="character" w:customStyle="1" w:styleId="Ttulo1Car">
    <w:name w:val="Título 1 Car"/>
    <w:basedOn w:val="Fuentedeprrafopredeter"/>
    <w:link w:val="Ttulo1"/>
    <w:uiPriority w:val="9"/>
    <w:rsid w:val="00FC4E89"/>
    <w:rPr>
      <w:rFonts w:ascii="Calibri Light" w:eastAsia="Times New Roman" w:hAnsi="Calibri Light" w:cs="Times New Roman"/>
      <w:color w:val="2E74B5"/>
      <w:sz w:val="32"/>
      <w:szCs w:val="32"/>
    </w:rPr>
  </w:style>
  <w:style w:type="character" w:customStyle="1" w:styleId="Ttulo3Car">
    <w:name w:val="Título 3 Car"/>
    <w:basedOn w:val="Fuentedeprrafopredeter"/>
    <w:link w:val="Ttulo3"/>
    <w:uiPriority w:val="9"/>
    <w:semiHidden/>
    <w:rsid w:val="00FC4E89"/>
    <w:rPr>
      <w:rFonts w:ascii="Calibri Light" w:eastAsia="Times New Roman" w:hAnsi="Calibri Light" w:cs="Times New Roman"/>
      <w:color w:val="1F4D78"/>
      <w:sz w:val="24"/>
      <w:szCs w:val="24"/>
    </w:rPr>
  </w:style>
  <w:style w:type="character" w:customStyle="1" w:styleId="Hipervnculovisitado1">
    <w:name w:val="Hipervínculo visitado1"/>
    <w:basedOn w:val="Fuentedeprrafopredeter"/>
    <w:uiPriority w:val="99"/>
    <w:semiHidden/>
    <w:unhideWhenUsed/>
    <w:rsid w:val="00FC4E89"/>
    <w:rPr>
      <w:color w:val="954F72"/>
      <w:u w:val="single"/>
    </w:rPr>
  </w:style>
  <w:style w:type="paragraph" w:styleId="Bibliografa">
    <w:name w:val="Bibliography"/>
    <w:basedOn w:val="Normal"/>
    <w:next w:val="Normal"/>
    <w:uiPriority w:val="37"/>
    <w:unhideWhenUsed/>
    <w:rsid w:val="00FC4E89"/>
    <w:pPr>
      <w:jc w:val="both"/>
    </w:pPr>
    <w:rPr>
      <w:rFonts w:ascii="Times New Roman" w:hAnsi="Times New Roman"/>
      <w:lang w:val="en-US"/>
    </w:rPr>
  </w:style>
  <w:style w:type="character" w:styleId="Hipervnculo">
    <w:name w:val="Hyperlink"/>
    <w:basedOn w:val="Fuentedeprrafopredeter"/>
    <w:uiPriority w:val="99"/>
    <w:semiHidden/>
    <w:unhideWhenUsed/>
    <w:rsid w:val="00FC4E89"/>
    <w:rPr>
      <w:color w:val="0563C1" w:themeColor="hyperlink"/>
      <w:u w:val="single"/>
    </w:rPr>
  </w:style>
  <w:style w:type="character" w:customStyle="1" w:styleId="Ttulo1Car1">
    <w:name w:val="Título 1 Car1"/>
    <w:basedOn w:val="Fuentedeprrafopredeter"/>
    <w:link w:val="Ttulo1"/>
    <w:uiPriority w:val="9"/>
    <w:rsid w:val="00FC4E89"/>
    <w:rPr>
      <w:rFonts w:asciiTheme="majorHAnsi" w:eastAsiaTheme="majorEastAsia" w:hAnsiTheme="majorHAnsi" w:cstheme="majorBidi"/>
      <w:color w:val="2F5496" w:themeColor="accent1" w:themeShade="BF"/>
      <w:sz w:val="32"/>
      <w:szCs w:val="32"/>
    </w:rPr>
  </w:style>
  <w:style w:type="character" w:customStyle="1" w:styleId="Ttulo3Car1">
    <w:name w:val="Título 3 Car1"/>
    <w:basedOn w:val="Fuentedeprrafopredeter"/>
    <w:link w:val="Ttulo3"/>
    <w:uiPriority w:val="9"/>
    <w:semiHidden/>
    <w:rsid w:val="00FC4E89"/>
    <w:rPr>
      <w:rFonts w:asciiTheme="majorHAnsi" w:eastAsiaTheme="majorEastAsia" w:hAnsiTheme="majorHAnsi" w:cstheme="majorBidi"/>
      <w:color w:val="1F3763" w:themeColor="accent1" w:themeShade="7F"/>
      <w:sz w:val="24"/>
      <w:szCs w:val="24"/>
    </w:rPr>
  </w:style>
  <w:style w:type="character" w:styleId="Hipervnculovisitado">
    <w:name w:val="FollowedHyperlink"/>
    <w:basedOn w:val="Fuentedeprrafopredeter"/>
    <w:uiPriority w:val="99"/>
    <w:semiHidden/>
    <w:unhideWhenUsed/>
    <w:rsid w:val="00FC4E8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hyperlink" Target="https://actualidad.rt.com/actualidad/396363-estados-unidos-fracking-ecologia-petroleo" TargetMode="External"/><Relationship Id="rId47" Type="http://schemas.openxmlformats.org/officeDocument/2006/relationships/image" Target="media/image37.png"/><Relationship Id="rId63" Type="http://schemas.openxmlformats.org/officeDocument/2006/relationships/hyperlink" Target="https://www.larepublica.co/economia/a-colombia-le-quedan-reservas-de-petroleo-para-63-anos-y-de-gas-para-otros-77-3179277"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5.png"/><Relationship Id="rId53" Type="http://schemas.openxmlformats.org/officeDocument/2006/relationships/hyperlink" Target="https://actualidad.rt.com/actualidad/370929-fractura-hidraulica-aumento-radiacion" TargetMode="External"/><Relationship Id="rId58" Type="http://schemas.openxmlformats.org/officeDocument/2006/relationships/hyperlink" Target="https://www.ecowatch.com/fracking-boom-methane-climate-change-2639835805.html" TargetMode="External"/><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www.theguardian.com/environment/2021/jun/30/climate-crimes-oil-and-gas-environment" TargetMode="External"/><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www.ehn.org/fractura-hidrulica-sustancias-qumicas-nocivas-2652592597/video" TargetMode="External"/><Relationship Id="rId43" Type="http://schemas.openxmlformats.org/officeDocument/2006/relationships/hyperlink" Target="https://www.udc.es/dep/dtcon/estructuras/ETSAC/Investigacion/Terremotos/ondas_s%EDsmicas.htm" TargetMode="External"/><Relationship Id="rId48" Type="http://schemas.openxmlformats.org/officeDocument/2006/relationships/image" Target="media/image38.png"/><Relationship Id="rId56" Type="http://schemas.openxmlformats.org/officeDocument/2006/relationships/hyperlink" Target="https://thehill.com/policy/energy-environment/562518-epa-approved-substances-that-can-degrade-into-toxic-forever?rl=1" TargetMode="External"/><Relationship Id="rId64" Type="http://schemas.openxmlformats.org/officeDocument/2006/relationships/hyperlink" Target="http://www.liege.mpoc.be/doc/energie/carbonefossile/-~En-anglais/Hughes-David_Drill-Baby-Drill_178pages-31Mo_fevrier2013.pdf"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image" Target="media/image36.png"/><Relationship Id="rId59" Type="http://schemas.openxmlformats.org/officeDocument/2006/relationships/hyperlink" Target="https://www.nationalgeographic.com/environment/article/fracking-boom-tied-to-methane-spike-in-earths-atmosphere" TargetMode="External"/><Relationship Id="rId67"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hyperlink" Target="https://www.laizquierdadiario.com/La-basura-del-fracking-en-Vaca-Muerta-un-desastre-ambiental-exorbitante?utm_source=lid&amp;utm_medium=wp&amp;utm_campaign=article-social-actions" TargetMode="External"/><Relationship Id="rId62" Type="http://schemas.openxmlformats.org/officeDocument/2006/relationships/hyperlink" Target="https://actualidad.rt.com/actualidad/396363-estados-unidos-fracking-ecologia-petrole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39.png"/><Relationship Id="rId57" Type="http://schemas.openxmlformats.org/officeDocument/2006/relationships/hyperlink" Target="https://www.bbc.com/news/world-us-canada-57665715" TargetMode="External"/><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4.png"/><Relationship Id="rId52" Type="http://schemas.openxmlformats.org/officeDocument/2006/relationships/hyperlink" Target="https://www.ehn.org/fractura-hidrulica-sustancias-qumicas-nocivas-2652592597/video" TargetMode="External"/><Relationship Id="rId60" Type="http://schemas.openxmlformats.org/officeDocument/2006/relationships/hyperlink" Target="https://computerhoy.com/noticias/life/canada-ola-calor-record-temperaturas-893041" TargetMode="External"/><Relationship Id="rId65" Type="http://schemas.openxmlformats.org/officeDocument/2006/relationships/hyperlink" Target="http://csh.izt.uam.mx/sistemadivisional/SDIP/proyectos/archivos_rpi/dea_5265_751_509_2_1_2016%20roi%20global%20recurses.pdf"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1.png"/><Relationship Id="rId34" Type="http://schemas.openxmlformats.org/officeDocument/2006/relationships/image" Target="media/image27.png"/><Relationship Id="rId50" Type="http://schemas.openxmlformats.org/officeDocument/2006/relationships/image" Target="media/image40.png"/><Relationship Id="rId55" Type="http://schemas.openxmlformats.org/officeDocument/2006/relationships/hyperlink" Target="https://www.larepublica.co/economia/canacol-afirmo-que-colombia-tiene-reservas-de-gas-para-por-lo-menos-15-anos-mas-3199637"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3.jpeg"/></Relationships>
</file>

<file path=word/_rels/header1.xml.rels><?xml version="1.0" encoding="UTF-8" standalone="yes"?>
<Relationships xmlns="http://schemas.openxmlformats.org/package/2006/relationships"><Relationship Id="rId1" Type="http://schemas.openxmlformats.org/officeDocument/2006/relationships/image" Target="media/image4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Min14</b:Tag>
    <b:SourceType>DocumentFromInternetSite</b:SourceType>
    <b:Guid>{65D2D302-5E6B-46FC-B8CC-1120F746DA70}</b:Guid>
    <b:Author>
      <b:Author>
        <b:Corporate>Ministerio de Minas y Energía</b:Corporate>
      </b:Author>
    </b:Author>
    <b:Year>2014</b:Year>
    <b:URL>https://www.minenergia.gov.co/documents/10180/23517/22632-11325.pdf</b:URL>
    <b:YearAccessed>2020</b:YearAccessed>
    <b:MonthAccessed>agosto</b:MonthAccessed>
    <b:DayAccessed>3</b:DayAccessed>
    <b:RefOrder>86</b:RefOrder>
  </b:Source>
  <b:Source>
    <b:Tag>Uni12</b:Tag>
    <b:SourceType>DocumentFromInternetSite</b:SourceType>
    <b:Guid>{0BDB3A80-1864-49C9-8BBD-C423624EBAA0}</b:Guid>
    <b:Author>
      <b:Author>
        <b:Corporate>United States Government Accountability Office</b:Corporate>
      </b:Author>
    </b:Author>
    <b:Year>2012</b:Year>
    <b:URL>https://www.gao.gov/assets/650/647782.pdf</b:URL>
    <b:YearAccessed>2020</b:YearAccessed>
    <b:MonthAccessed>agosto</b:MonthAccessed>
    <b:DayAccessed>3</b:DayAccessed>
    <b:ShortTitle>Unconventional Oil And Gas Development</b:ShortTitle>
    <b:RefOrder>87</b:RefOrder>
  </b:Source>
  <b:Source>
    <b:Tag>Rod11</b:Tag>
    <b:SourceType>DocumentFromInternetSite</b:SourceType>
    <b:Guid>{42830064-85E8-4D4F-9A7A-1044693E9EE8}</b:Guid>
    <b:Year>2011</b:Year>
    <b:URL>http://www.anh.gov.co/Sala-de-Prensa/Presentaciones/Dr.%20Rodolfo%20Guzmán,%20Director,%20Arthur%20D'%20Little.pdf</b:URL>
    <b:Author>
      <b:Author>
        <b:NameList>
          <b:Person>
            <b:Last>Guzmán</b:Last>
            <b:First>Rodolfo</b:First>
          </b:Person>
        </b:NameList>
      </b:Author>
      <b:ProducerName>
        <b:NameList>
          <b:Person>
            <b:Last>Little</b:Last>
            <b:First>Arthur</b:First>
            <b:Middle>D.</b:Middle>
          </b:Person>
        </b:NameList>
      </b:ProducerName>
    </b:Author>
    <b:YearAccessed>2020</b:YearAccessed>
    <b:MonthAccessed>agosto</b:MonthAccessed>
    <b:DayAccessed>3</b:DayAccessed>
    <b:ShortTitle>Potential Resources of Unconventional Hydrocarbons in Colombia</b:ShortTitle>
    <b:RefOrder>88</b:RefOrder>
  </b:Source>
  <b:Source>
    <b:Tag>OLA14</b:Tag>
    <b:SourceType>DocumentFromInternetSite</b:SourceType>
    <b:Guid>{7EC455E8-DE97-48CD-850F-0072ADA2E9BE}</b:Guid>
    <b:Author>
      <b:Author>
        <b:Corporate>OLADE</b:Corporate>
      </b:Author>
    </b:Author>
    <b:Year>2014</b:Year>
    <b:URL>http://biblioteca.olade.org/opac-tmpl/Documentos/old0353.pdf</b:URL>
    <b:YearAccessed>2020</b:YearAccessed>
    <b:MonthAccessed>agosto</b:MonthAccessed>
    <b:DayAccessed>3</b:DayAccessed>
    <b:ShortTitle>¿El desarrollo de los recursos de gas natural en América Latina y el Caribe podría convertirse en una fuente de energía competitiva?</b:ShortTitle>
    <b:RefOrder>89</b:RefOrder>
  </b:Source>
  <b:Source>
    <b:Tag>Var12</b:Tag>
    <b:SourceType>DocumentFromInternetSite</b:SourceType>
    <b:Guid>{DED9E49D-1EE9-4072-9498-C25F3B1CAB00}</b:Guid>
    <b:Author>
      <b:Author>
        <b:NameList>
          <b:Person>
            <b:Last>Vargas</b:Last>
            <b:First>C.A.</b:First>
          </b:Person>
        </b:NameList>
      </b:Author>
    </b:Author>
    <b:Year>2012</b:Year>
    <b:URL>http://www.anh.gov.co/Informacion-Geologica-y-Geofisica/Estudios-Integrados-y-Modelamientos/Documents/Evaluating%20total_Yet_to_Find_hydrocarbon_volume_in_Colombia.pdf</b:URL>
    <b:YearAccessed>2020</b:YearAccessed>
    <b:MonthAccessed>agosto</b:MonthAccessed>
    <b:DayAccessed>3</b:DayAccessed>
    <b:ShortTitle>Evaluating total Yet-to-Find hydrocarbon volume in Colombia</b:ShortTitle>
    <b:RefOrder>90</b:RefOrder>
  </b:Source>
  <b:Source>
    <b:Tag>ACN20</b:Tag>
    <b:SourceType>InternetSite</b:SourceType>
    <b:Guid>{3BE76D92-B9EC-4D6C-91F0-E0A14AACDF3E}</b:Guid>
    <b:Title>Acnur</b:Title>
    <b:Year>2020</b:Year>
    <b:Author>
      <b:Author>
        <b:Corporate>ACNUR</b:Corporate>
      </b:Author>
    </b:Author>
    <b:InternetSiteTitle>Desplazados climáticos</b:InternetSiteTitle>
    <b:URL>https://eacnur.org/es/desplazados-climaticos</b:URL>
    <b:YearAccessed>2020</b:YearAccessed>
    <b:MonthAccessed>8</b:MonthAccessed>
    <b:DayAccessed>2</b:DayAccessed>
    <b:RefOrder>1</b:RefOrder>
  </b:Source>
  <b:Source>
    <b:Tag>Nac17</b:Tag>
    <b:SourceType>Report</b:SourceType>
    <b:Guid>{09D0E1AD-A08A-4F2B-9816-E5F145CB166E}</b:Guid>
    <b:Author>
      <b:Author>
        <b:Corporate>Naciones Unidas</b:Corporate>
      </b:Author>
    </b:Author>
    <b:Title>Estudio Analítico de la relación entre el cambio climático y el disfrute pleno y efectivo de los derechos del niño.</b:Title>
    <b:Year>2017</b:Year>
    <b:Publisher>Naciones Unidas, Asamblea General</b:Publisher>
    <b:Department>Consejo de Derechos Humanos, Alto Comisionado de las Naciones Unidas para los Derechos Humanos</b:Department>
    <b:RefOrder>2</b:RefOrder>
  </b:Source>
  <b:Source>
    <b:Tag>IPC18</b:Tag>
    <b:SourceType>BookSection</b:SourceType>
    <b:Guid>{B177401E-51EF-4A31-B79E-756475B626BA}</b:Guid>
    <b:Title>Summary for Policymakers</b:Title>
    <b:Year>2018</b:Year>
    <b:Author>
      <b:Author>
        <b:NameList>
          <b:Person>
            <b:Last>IPCC</b:Last>
          </b:Person>
        </b:NameList>
      </b:Author>
      <b:BookAuthor>
        <b:NameList>
          <b:Person>
            <b:Last>IPCC</b:Last>
          </b:Person>
        </b:NameList>
      </b:BookAuthor>
    </b:Author>
    <b:BookTitle>In: Global Warming of 1.5°C. An IPCC Special Report on the impacts of global warming of 1.5ªC C above pre-industrial levels</b:BookTitle>
    <b:URL>https://www.ipcc.ch/site/assets/uploads/sites/2/2019/05/SR15_SPM_version_report_LR.pdf</b:URL>
    <b:RefOrder>3</b:RefOrder>
  </b:Source>
  <b:Source>
    <b:Tag>McS18</b:Tag>
    <b:SourceType>InternetSite</b:SourceType>
    <b:Guid>{2CC32F22-6705-4B46-87D6-278DA1744C36}</b:Guid>
    <b:Title>CarbonBrief: Clear on Climate</b:Title>
    <b:InternetSiteTitle>Explainer: Nine ‘tipping points’ that could be triggered by climate change</b:InternetSiteTitle>
    <b:Year>2018</b:Year>
    <b:Month>octubre</b:Month>
    <b:Day>23</b:Day>
    <b:URL>https://www.carbonbrief.org/state-of-the-climate-new-record-ocean-heat-content-and-growing-a-el-nino</b:URL>
    <b:Author>
      <b:Author>
        <b:NameList>
          <b:Person>
            <b:Last>McSweeney</b:Last>
            <b:First>Robert</b:First>
          </b:Person>
        </b:NameList>
      </b:Author>
    </b:Author>
    <b:YearAccessed>2020</b:YearAccessed>
    <b:MonthAccessed>07</b:MonthAccessed>
    <b:DayAccessed>26</b:DayAccessed>
    <b:RefOrder>4</b:RefOrder>
  </b:Source>
  <b:Source>
    <b:Tag>PNU19</b:Tag>
    <b:SourceType>Report</b:SourceType>
    <b:Guid>{104555A0-FD96-4CA8-A062-BC8EFE0357CF}</b:Guid>
    <b:Author>
      <b:Author>
        <b:Corporate>PNUMA</b:Corporate>
      </b:Author>
    </b:Author>
    <b:Title>Informe sobre la disparidad de las emisiones de 2019</b:Title>
    <b:Year>2019</b:Year>
    <b:Publisher>Programa de las Naciones Unidas para el Medio Ambiente</b:Publisher>
    <b:City>Nairobi</b:City>
    <b:RefOrder>5</b:RefOrder>
  </b:Source>
  <b:Source>
    <b:Tag>Wor20</b:Tag>
    <b:SourceType>InternetSite</b:SourceType>
    <b:Guid>{75DE1580-1DD5-4453-973E-8D5578C5FFCF}</b:Guid>
    <b:Title>TIME</b:Title>
    <b:InternetSiteTitle>2020 Is Our Last, Best Chance to Save the Planet</b:InternetSiteTitle>
    <b:Year>2020</b:Year>
    <b:Month>julio</b:Month>
    <b:Day>6</b:Day>
    <b:URL>https://time.com/5864692/climate-change-defining-moment/?utm_campaign=IEA%20newsletters&amp;utm_source=SendGrid&amp;utm_medium=Email</b:URL>
    <b:Author>
      <b:Author>
        <b:NameList>
          <b:Person>
            <b:Last>Worland</b:Last>
            <b:First>Justin</b:First>
          </b:Person>
        </b:NameList>
      </b:Author>
    </b:Author>
    <b:RefOrder>6</b:RefOrder>
  </b:Source>
  <b:Source>
    <b:Tag>Fru15</b:Tag>
    <b:SourceType>JournalArticle</b:SourceType>
    <b:Guid>{93DC191C-76CF-48E4-97EC-39AFB503D8AD}</b:Guid>
    <b:Author>
      <b:Author>
        <b:NameList>
          <b:Person>
            <b:Last>Frumhoff</b:Last>
            <b:First>Peter</b:First>
            <b:Middle>C.</b:Middle>
          </b:Person>
          <b:Person>
            <b:Last>Heede</b:Last>
            <b:First>Richard</b:First>
          </b:Person>
          <b:Person>
            <b:Last>Oreskes</b:Last>
            <b:First>Naomi</b:First>
          </b:Person>
        </b:NameList>
      </b:Author>
    </b:Author>
    <b:Title>The climate responsibilities of industrial carbon producers</b:Title>
    <b:Year>2015</b:Year>
    <b:Pages>157-171</b:Pages>
    <b:YearAccessed>2020</b:YearAccessed>
    <b:MonthAccessed>agosto</b:MonthAccessed>
    <b:DayAccessed>2</b:DayAccessed>
    <b:URL>https://link.springer.com/article/10.1007/s10584-015-1472-5</b:URL>
    <b:RefOrder>7</b:RefOrder>
  </b:Source>
  <b:Source>
    <b:Tag>IPC14</b:Tag>
    <b:SourceType>DocumentFromInternetSite</b:SourceType>
    <b:Guid>{EACE5866-C246-4A56-96BC-CC6A2D2B38B0}</b:Guid>
    <b:Author>
      <b:Author>
        <b:NameList>
          <b:Person>
            <b:Last>IPCC</b:Last>
          </b:Person>
        </b:NameList>
      </b:Author>
      <b:Editor>
        <b:NameList>
          <b:Person>
            <b:Last>Pachauri</b:Last>
            <b:First>R.K.</b:First>
          </b:Person>
          <b:Person>
            <b:Last>Meyer</b:Last>
            <b:First>L.A.</b:First>
          </b:Person>
        </b:NameList>
      </b:Editor>
    </b:Author>
    <b:Title>IPCC</b:Title>
    <b:Year>2014</b:Year>
    <b:URL>https://www.ipcc.ch/site/assets/uploads/2018/03/WG3AR5_SPM_brochure_es-1.pdf</b:URL>
    <b:YearAccessed>2020</b:YearAccessed>
    <b:MonthAccessed>08</b:MonthAccessed>
    <b:DayAccessed>02</b:DayAccessed>
    <b:ShortTitle>Climate Change 2014: Synthesis Report. Contribution of Working Groups I, II and III to the Fifth Assessment Report of the Intergovernmental Panel on Climate Change </b:ShortTitle>
    <b:RefOrder>8</b:RefOrder>
  </b:Source>
  <b:Source>
    <b:Tag>Hee20</b:Tag>
    <b:SourceType>JournalArticle</b:SourceType>
    <b:Guid>{358D1C7D-967F-4235-AB24-79B57D803CD1}</b:Guid>
    <b:Author>
      <b:Author>
        <b:NameList>
          <b:Person>
            <b:Last>Heede</b:Last>
            <b:First>Richard</b:First>
          </b:Person>
        </b:NameList>
      </b:Author>
    </b:Author>
    <b:URL>https://link.springer.com/article/10.1007/s10584-013-0986-y#Tab1</b:URL>
    <b:YearAccessed>2020</b:YearAccessed>
    <b:MonthAccessed>agosto</b:MonthAccessed>
    <b:DayAccessed>2</b:DayAccessed>
    <b:Title>Tracing anthropogenic carbon dioxide and methane emissions to fossil fuel and cement producers, 1854–2010</b:Title>
    <b:Year>2014</b:Year>
    <b:JournalName>Climatic Change</b:JournalName>
    <b:Pages>229-241</b:Pages>
    <b:RefOrder>9</b:RefOrder>
  </b:Source>
  <b:Source>
    <b:Tag>Hal15</b:Tag>
    <b:SourceType>DocumentFromInternetSite</b:SourceType>
    <b:Guid>{E2E8AC41-87A6-4F4A-9670-5516C68914E9}</b:Guid>
    <b:Title>Scientific American</b:Title>
    <b:Year>2015</b:Year>
    <b:Author>
      <b:Author>
        <b:NameList>
          <b:Person>
            <b:Last>Hall</b:Last>
            <b:First>Shannon</b:First>
          </b:Person>
        </b:NameList>
      </b:Author>
    </b:Author>
    <b:Month>octubre</b:Month>
    <b:Day>26</b:Day>
    <b:URL>https://www.scientificamerican.com/article/exxon-knew-about-climate-change-almost-40-years-ago/</b:URL>
    <b:YearAccessed>2019</b:YearAccessed>
    <b:MonthAccessed>septiembre</b:MonthAccessed>
    <b:DayAccessed>15</b:DayAccessed>
    <b:RefOrder>10</b:RefOrder>
  </b:Source>
  <b:Source>
    <b:Tag>Pau17</b:Tag>
    <b:SourceType>Report</b:SourceType>
    <b:Guid>{798D46D9-8B2A-482A-84E9-8CAA6C03D533}</b:Guid>
    <b:Title>The Carbon Majors Database</b:Title>
    <b:Year>2017</b:Year>
    <b:Author>
      <b:Author>
        <b:NameList>
          <b:Person>
            <b:Last>Griffin</b:Last>
            <b:First>Paul</b:First>
          </b:Person>
        </b:NameList>
      </b:Author>
    </b:Author>
    <b:Publisher>Climate Accountability Institute</b:Publisher>
    <b:City>Londres</b:City>
    <b:RefOrder>11</b:RefOrder>
  </b:Source>
  <b:Source>
    <b:Tag>Glo14</b:Tag>
    <b:SourceType>DocumentFromInternetSite</b:SourceType>
    <b:Guid>{69AE2965-DEDE-42D0-BB1A-A4127E1BAE2A}</b:Guid>
    <b:Author>
      <b:Author>
        <b:Corporate>Climate Accountability Institute</b:Corporate>
      </b:Author>
    </b:Author>
    <b:Title>Carbon Majors</b:Title>
    <b:Year>2019</b:Year>
    <b:Month>Octubre</b:Month>
    <b:URL>https://climateaccountability.org/pdf/SumRankingTo2017.pdf</b:URL>
    <b:YearAccessed>2020</b:YearAccessed>
    <b:MonthAccessed>agosto</b:MonthAccessed>
    <b:DayAccessed>2</b:DayAccessed>
    <b:RefOrder>12</b:RefOrder>
  </b:Source>
  <b:Source>
    <b:Tag>Min15</b:Tag>
    <b:SourceType>DocumentFromInternetSite</b:SourceType>
    <b:Guid>{D5CDED52-9D37-45E0-8072-4648271FFAF3}</b:Guid>
    <b:Author>
      <b:Author>
        <b:Corporate>Ministerio de Ambiente</b:Corporate>
      </b:Author>
    </b:Author>
    <b:Title>Contribución prevista y determinada a nivel nacional iNDC</b:Title>
    <b:Year>2015</b:Year>
    <b:Month>Julio</b:Month>
    <b:URL>http://www.minambiente.gov.co/images/cambioclimatico/pdf/colombia_hacia_la_COP21/iNDC_espanol.pdf</b:URL>
    <b:Publisher>Minambiente</b:Publisher>
    <b:City>Bogotá</b:City>
    <b:YearAccessed>2019</b:YearAccessed>
    <b:MonthAccessed>septiembre</b:MonthAccessed>
    <b:DayAccessed>15</b:DayAccessed>
    <b:RefOrder>13</b:RefOrder>
  </b:Source>
  <b:Source>
    <b:Tag>UND19</b:Tag>
    <b:SourceType>Report</b:SourceType>
    <b:Guid>{0D520B7E-FB0F-472A-975A-35DB9D3AC7BC}</b:Guid>
    <b:Author>
      <b:Author>
        <b:Corporate>UNDP</b:Corporate>
      </b:Author>
    </b:Author>
    <b:Title>The Heat is On: Taking Stock of Global Climate Ambition</b:Title>
    <b:Year>2019</b:Year>
    <b:Publisher>UNDP</b:Publisher>
    <b:RefOrder>14</b:RefOrder>
  </b:Source>
  <b:Source>
    <b:Tag>VMa18</b:Tag>
    <b:SourceType>Report</b:SourceType>
    <b:Guid>{AD176BC0-6459-4CAC-82FA-63B5D4D237A2}</b:Guid>
    <b:Title>IPCC, 2018: Global warming of 1.5°C. An IPCC Special Report on the impacts of global warming of 1.5°C</b:Title>
    <b:Year>2018</b:Year>
    <b:Author>
      <b:Author>
        <b:NameList>
          <b:Person>
            <b:Last>V. Masson-Delmotte</b:Last>
            <b:First>P.</b:First>
            <b:Middle>Zhai, H. O. Pörtner, D. Roberts, J. Skea, P.R. Shukla, A. Pirani, W.</b:Middle>
          </b:Person>
        </b:NameList>
      </b:Author>
    </b:Author>
    <b:Publisher>In Press</b:Publisher>
    <b:City>Ginebra</b:City>
    <b:RefOrder>15</b:RefOrder>
  </b:Source>
  <b:Source>
    <b:Tag>Hau8</b:Tag>
    <b:SourceType>DocumentFromInternetSite</b:SourceType>
    <b:Guid>{69D56F85-61FC-455C-8B5B-B5A142FDABC1}</b:Guid>
    <b:Author>
      <b:Author>
        <b:NameList>
          <b:Person>
            <b:Last>Hausfather</b:Last>
            <b:First>Zeke</b:First>
          </b:Person>
        </b:NameList>
      </b:Author>
    </b:Author>
    <b:Title>CarbonBrief</b:Title>
    <b:InternetSiteTitle>Analysis: Why the IPCC 1.5C report expanded the carbon budget</b:InternetSiteTitle>
    <b:Year>2018</b:Year>
    <b:Month>octubre</b:Month>
    <b:Day>8</b:Day>
    <b:URL>https://www.carbonbrief.org/analysis-why-the-ipcc-1-5c-report-expanded-the-carbon-budget</b:URL>
    <b:YearAccessed>2019</b:YearAccessed>
    <b:MonthAccessed>septiembre</b:MonthAccessed>
    <b:DayAccessed>30</b:DayAccessed>
    <b:RefOrder>16</b:RefOrder>
  </b:Source>
  <b:Source>
    <b:Tag>Ric16</b:Tag>
    <b:SourceType>JournalArticle</b:SourceType>
    <b:Guid>{90B76A89-13FD-427D-9DFD-A72E68B4F416}</b:Guid>
    <b:Title>Potential emissions of CO2 and methane from proved reserves of fossil fuels: An alternative analysis</b:Title>
    <b:Year>2016</b:Year>
    <b:Author>
      <b:Author>
        <b:NameList>
          <b:Person>
            <b:Last>Heede</b:Last>
            <b:First>Richard</b:First>
          </b:Person>
          <b:Person>
            <b:Last>Oreskes</b:Last>
            <b:First>Naomi</b:First>
          </b:Person>
        </b:NameList>
      </b:Author>
    </b:Author>
    <b:JournalName>Global Environmental Change 36</b:JournalName>
    <b:Pages>12-20</b:Pages>
    <b:RefOrder>91</b:RefOrder>
  </b:Source>
  <b:Source>
    <b:Tag>Chr15</b:Tag>
    <b:SourceType>JournalArticle</b:SourceType>
    <b:Guid>{C7E9DDC5-26BA-40E5-8895-F8685EF02646}</b:Guid>
    <b:Author>
      <b:Author>
        <b:NameList>
          <b:Person>
            <b:Last>McGlade</b:Last>
            <b:First>Christophe</b:First>
          </b:Person>
          <b:Person>
            <b:Last>Ekins</b:Last>
            <b:First>Paul</b:First>
          </b:Person>
        </b:NameList>
      </b:Author>
    </b:Author>
    <b:Title>The geographical distribution of fossil fuels unused when limiting global warming to 2 °C</b:Title>
    <b:JournalName>Nature volume 517</b:JournalName>
    <b:Year>2015</b:Year>
    <b:Pages>187–190</b:Pages>
    <b:RefOrder>92</b:RefOrder>
  </b:Source>
  <b:Source>
    <b:Tag>Eco20</b:Tag>
    <b:SourceType>DocumentFromInternetSite</b:SourceType>
    <b:Guid>{F3814050-876E-45E6-A548-5D648359F32D}</b:Guid>
    <b:Year>2020</b:Year>
    <b:Author>
      <b:Author>
        <b:Corporate>Ecopetrol</b:Corporate>
      </b:Author>
    </b:Author>
    <b:URL>http://www.andi.com.co/Uploads/Felipe%20Bayón.pdf</b:URL>
    <b:YearAccessed>2020</b:YearAccessed>
    <b:MonthAccessed>agosto</b:MonthAccessed>
    <b:DayAccessed>3</b:DayAccessed>
    <b:RefOrder>17</b:RefOrder>
  </b:Source>
  <b:Source>
    <b:Tag>IDE16</b:Tag>
    <b:SourceType>DocumentFromInternetSite</b:SourceType>
    <b:Guid>{B9F6D4A2-A337-4985-9163-B87567D70ED0}</b:Guid>
    <b:Author>
      <b:Author>
        <b:Corporate>IDEAM</b:Corporate>
      </b:Author>
    </b:Author>
    <b:Year>2016</b:Year>
    <b:Month>Noviembre</b:Month>
    <b:URL>https://www4.unfccc.int/sites/SubmissionsStaging/NationalReports/Documents/4617350_Colombia-NC3-1-RESUMEN%20EJECUTIVO%20TCNCC%20COLOMBIA%20A%20LA%20CMNUCC%202017.pdf</b:URL>
    <b:YearAccessed>2020</b:YearAccessed>
    <b:MonthAccessed>agosto</b:MonthAccessed>
    <b:DayAccessed>3</b:DayAccessed>
    <b:ShortTitle>Tercera comunicación nacional de Colombia de cambio climático</b:ShortTitle>
    <b:RefOrder>18</b:RefOrder>
  </b:Source>
  <b:Source>
    <b:Tag>Glo19</b:Tag>
    <b:SourceType>DocumentFromInternetSite</b:SourceType>
    <b:Guid>{7CDB718A-3DC0-4D55-BA61-D64278497C1B}</b:Guid>
    <b:Author>
      <b:Author>
        <b:Corporate>Global Witness</b:Corporate>
      </b:Author>
    </b:Author>
    <b:Title>Global Witness</b:Title>
    <b:Year>2019</b:Year>
    <b:Month>abril</b:Month>
    <b:Day>23</b:Day>
    <b:URL>https://www.globalwitness.org/en/campaigns/oil-gas-and-mining/overexposed/</b:URL>
    <b:YearAccessed>2019</b:YearAccessed>
    <b:MonthAccessed>septiembre</b:MonthAccessed>
    <b:DayAccessed>15</b:DayAccessed>
    <b:RefOrder>19</b:RefOrder>
  </b:Source>
  <b:Source>
    <b:Tag>SEI19</b:Tag>
    <b:SourceType>DocumentFromInternetSite</b:SourceType>
    <b:Guid>{2F673966-073E-436A-9EBD-BFFAA7149E88}</b:Guid>
    <b:Author>
      <b:Author>
        <b:Corporate>SEI, IISD, ODI, Climate Analytics, CICERO, UNEP</b:Corporate>
      </b:Author>
    </b:Author>
    <b:Title>Production Gap</b:Title>
    <b:Year>2019</b:Year>
    <b:Month>Noviembre</b:Month>
    <b:URL>http://productiongap.org/wp-content/uploads/2019/11/Production-Gap-Report-2019.pdf</b:URL>
    <b:YearAccessed>2020</b:YearAccessed>
    <b:MonthAccessed>agosto</b:MonthAccessed>
    <b:DayAccessed>3</b:DayAccessed>
    <b:RefOrder>20</b:RefOrder>
  </b:Source>
  <b:Source>
    <b:Tag>Kla12</b:Tag>
    <b:SourceType>DocumentFromInternetSite</b:SourceType>
    <b:Guid>{761EC20E-FA51-43C7-B90B-CA95BDBFF6E7}</b:Guid>
    <b:Title>The Nation</b:Title>
    <b:InternetSiteTitle>The New ‘Golden Age of Oil’ That Wasn’t</b:InternetSiteTitle>
    <b:Year>2012</b:Year>
    <b:Month>octubre</b:Month>
    <b:Day>4</b:Day>
    <b:URL>https://www.thenation.com/article/new-golden-age-oil-wasnt/</b:URL>
    <b:Author>
      <b:Author>
        <b:NameList>
          <b:Person>
            <b:Last>Klare</b:Last>
            <b:First>Michael</b:First>
          </b:Person>
        </b:NameList>
      </b:Author>
    </b:Author>
    <b:YearAccessed>2019</b:YearAccessed>
    <b:MonthAccessed>septiembre</b:MonthAccessed>
    <b:DayAccessed>22</b:DayAccessed>
    <b:RefOrder>21</b:RefOrder>
  </b:Source>
  <b:Source>
    <b:Tag>Dav13</b:Tag>
    <b:SourceType>Book</b:SourceType>
    <b:Guid>{C21D3EB6-12EA-4DA8-8B48-26AC0A87AAFE}</b:Guid>
    <b:Author>
      <b:Author>
        <b:NameList>
          <b:Person>
            <b:Last>Hughes</b:Last>
            <b:First>David</b:First>
          </b:Person>
        </b:NameList>
      </b:Author>
    </b:Author>
    <b:Year>2013</b:Year>
    <b:Publisher>Post Carbon Institute</b:Publisher>
    <b:City>Santa Rosa, California, U.S.A.</b:City>
    <b:Title>Drill, baby, drill. Can unconventional fuels usher a new era of energy abundance?</b:Title>
    <b:RefOrder>27</b:RefOrder>
  </b:Source>
  <b:Source>
    <b:Tag>Mon16</b:Tag>
    <b:SourceType>JournalArticle</b:SourceType>
    <b:Guid>{DBA2D1C3-28AD-47E2-B81F-E8206BF3D972}</b:Guid>
    <b:Author>
      <b:Author>
        <b:NameList>
          <b:Person>
            <b:Last>Castillo-Mussot</b:Last>
            <b:First>Marcelo</b:First>
          </b:Person>
          <b:Person>
            <b:Last>Ugalde-Vélez</b:Last>
            <b:First>Pablo</b:First>
          </b:Person>
          <b:Person>
            <b:Last>Montemayor-Aldrete</b:Last>
            <b:First>Jorge</b:First>
          </b:Person>
          <b:Person>
            <b:Last>Lama-García</b:Last>
            <b:First>Alfredo</b:First>
          </b:Person>
          <b:Person>
            <b:Last>Cruz</b:Last>
            <b:First>Fidel</b:First>
          </b:Person>
        </b:NameList>
      </b:Author>
    </b:Author>
    <b:Title>Impact of Global Energy Resources Based on Energy Return on their Investment (EROI) Parameters</b:Title>
    <b:JournalName>Perspectives on Global Development and Technology. 15</b:JournalName>
    <b:Year>2016</b:Year>
    <b:Pages>290-299</b:Pages>
    <b:RefOrder>22</b:RefOrder>
  </b:Source>
  <b:Source>
    <b:Tag>Pau</b:Tag>
    <b:SourceType>JournalArticle</b:SourceType>
    <b:Guid>{C4741CD5-A2F3-4D31-B075-58A94A31FE24}</b:Guid>
    <b:Author>
      <b:Author>
        <b:NameList>
          <b:Person>
            <b:Last>Brockway</b:Last>
            <b:First>Paul</b:First>
          </b:Person>
          <b:Person>
            <b:Last>Owen</b:Last>
            <b:First>Anne</b:First>
          </b:Person>
          <b:Person>
            <b:Last>Brand-Correa</b:Last>
            <b:First>Lina</b:First>
          </b:Person>
          <b:Person>
            <b:Last>Hardt</b:Last>
            <b:First>Lukas</b:First>
          </b:Person>
        </b:NameList>
      </b:Author>
    </b:Author>
    <b:Title>Estimation of global final-stage energy-return-on-investment for fossil fuels with comparison to renewable energy sources</b:Title>
    <b:JournalName>Nature Energy Vol. 4</b:JournalName>
    <b:Year>2019</b:Year>
    <b:Pages>612-621</b:Pages>
    <b:RefOrder>23</b:RefOrder>
  </b:Source>
  <b:Source>
    <b:Tag>ANH19</b:Tag>
    <b:SourceType>InternetSite</b:SourceType>
    <b:Guid>{8367FF14-3D7A-40C5-85DA-9E717CFF4C16}</b:Guid>
    <b:Title>ANH</b:Title>
    <b:Year>2019</b:Year>
    <b:Author>
      <b:Author>
        <b:Corporate>ANH</b:Corporate>
      </b:Author>
    </b:Author>
    <b:InternetSiteTitle>Producción Fiscalizada Crudo 2019</b:InternetSiteTitle>
    <b:Month>septiembre</b:Month>
    <b:Day>18</b:Day>
    <b:URL>http://www.anh.gov.co/Operaciones-Regalias-y-Participaciones/Sistema-Integrado-de-Operaciones/Paginas/Estadisticas-de-Produccion.aspx</b:URL>
    <b:YearAccessed>2019</b:YearAccessed>
    <b:MonthAccessed>septiembre</b:MonthAccessed>
    <b:DayAccessed>18</b:DayAccessed>
    <b:RefOrder>24</b:RefOrder>
  </b:Source>
  <b:Source>
    <b:Tag>Guo</b:Tag>
    <b:SourceType>JournalArticle</b:SourceType>
    <b:Guid>{3FF45F2E-5A48-45E3-A3AF-EE3B7073AD8D}</b:Guid>
    <b:Title>Characteristic Production Decline Patterns for Shale GAs Wells in Barnett.</b:Title>
    <b:Author>
      <b:Author>
        <b:NameList>
          <b:Person>
            <b:Last>Guo</b:Last>
            <b:First>Keqiang</b:First>
          </b:Person>
          <b:Person>
            <b:Last>Zhang</b:Last>
            <b:First>Baosheng</b:First>
          </b:Person>
          <b:Person>
            <b:Last>Wachtmeister</b:Last>
            <b:First>Henrik</b:First>
          </b:Person>
          <b:Person>
            <b:Last>Aleklett</b:Last>
            <b:First>Kjell</b:First>
          </b:Person>
          <b:Person>
            <b:Last>Höök</b:Last>
          </b:Person>
          <b:Person>
            <b:Last>Mikael</b:Last>
          </b:Person>
        </b:NameList>
      </b:Author>
    </b:Author>
    <b:JournalName>International Journal of Sustainable Future for Human Security</b:JournalName>
    <b:Year>2017</b:Year>
    <b:Pages>12-21</b:Pages>
    <b:RefOrder>25</b:RefOrder>
  </b:Source>
  <b:Source>
    <b:Tag>Lun14</b:Tag>
    <b:SourceType>Report</b:SourceType>
    <b:Guid>{77E7A104-864B-402A-B128-1DD83D7483A4}</b:Guid>
    <b:Author>
      <b:Author>
        <b:NameList>
          <b:Person>
            <b:Last>Lund</b:Last>
            <b:First>Linnea</b:First>
          </b:Person>
        </b:NameList>
      </b:Author>
    </b:Author>
    <b:Title>Decline Curve Analysis of Shale Oil Production: The Case of Eagle Ford</b:Title>
    <b:Year>2014</b:Year>
    <b:Publisher>Uppsala Universitet</b:Publisher>
    <b:City>Upsala</b:City>
    <b:RefOrder>26</b:RefOrder>
  </b:Source>
  <b:Source xmlns:b="http://schemas.openxmlformats.org/officeDocument/2006/bibliography">
    <b:Tag>Dav19</b:Tag>
    <b:SourceType>Report</b:SourceType>
    <b:Guid>{0843F4EB-E75D-42F3-BBE2-188685C74F5E}</b:Guid>
    <b:Title>How long will the shale revolution last?</b:Title>
    <b:Year>2019</b:Year>
    <b:Author>
      <b:Author>
        <b:NameList>
          <b:Person>
            <b:Last>Hughes</b:Last>
            <b:First>David</b:First>
          </b:Person>
        </b:NameList>
      </b:Author>
    </b:Author>
    <b:Publisher>Post Carbon Institute</b:Publisher>
    <b:City>Corvallia</b:City>
    <b:RefOrder>28</b:RefOrder>
  </b:Source>
  <b:Source>
    <b:Tag>IPC</b:Tag>
    <b:SourceType>JournalArticle</b:SourceType>
    <b:Guid>{5B34DFAF-0FF4-492A-AEDA-02C0E90814D7}</b:Guid>
    <b:Author>
      <b:Author>
        <b:Corporate>IPCC</b:Corporate>
      </b:Author>
      <b:Editor>
        <b:NameList>
          <b:Person>
            <b:Last>Houghton</b:Last>
            <b:First>J.T.,</b:First>
            <b:Middle>Meira-Filho, L.G., Griggs, D.J. y Maskell, K.</b:Middle>
          </b:Person>
        </b:NameList>
      </b:Editor>
    </b:Author>
    <b:Title>Estabilización de los gases atmosféricos de efecto invernadero: implicaciones físicas, biológicas y socioeconómicas</b:Title>
    <b:Year>1997</b:Year>
    <b:YearAccessed>2020</b:YearAccessed>
    <b:MonthAccessed>agosto</b:MonthAccessed>
    <b:DayAccessed>3</b:DayAccessed>
    <b:URL>https://archive.ipcc.ch/pdf/technical-papers/paper-III-sp.pdf</b:URL>
    <b:RefOrder>93</b:RefOrder>
  </b:Source>
  <b:Source>
    <b:Tag>Rob19</b:Tag>
    <b:SourceType>JournalArticle</b:SourceType>
    <b:Guid>{5A23155D-EF21-4A0A-8286-3EF1E7D94574}</b:Guid>
    <b:Title>Ideas and perspectives: is shale gas a major driver of recent increase in global atmospheric methane?</b:Title>
    <b:Year>2019</b:Year>
    <b:Author>
      <b:Author>
        <b:NameList>
          <b:Person>
            <b:Last>Howarth</b:Last>
            <b:First>Robert</b:First>
          </b:Person>
        </b:NameList>
      </b:Author>
    </b:Author>
    <b:JournalName>Biogeosciences</b:JournalName>
    <b:Pages>3033-3046</b:Pages>
    <b:RefOrder>29</b:RefOrder>
  </b:Source>
  <b:Source>
    <b:Tag>BP19</b:Tag>
    <b:SourceType>DocumentFromInternetSite</b:SourceType>
    <b:Guid>{A1180779-AAB9-44D4-8854-65185BE55AD7}</b:Guid>
    <b:Title>BP</b:Title>
    <b:Year>2019</b:Year>
    <b:Author>
      <b:Author>
        <b:Corporate>BP</b:Corporate>
      </b:Author>
    </b:Author>
    <b:InternetSiteTitle>BP Energy Outlook 2019</b:InternetSiteTitle>
    <b:Month>Junio</b:Month>
    <b:Day>1</b:Day>
    <b:URL>https://www.bp.com/content/dam/bp/business-sites/en/global/corporate/pdfs/energy-economics/energy-outlook/bp-energy-outlook-2019.pdf</b:URL>
    <b:RefOrder>30</b:RefOrder>
  </b:Source>
  <b:Source>
    <b:Tag>Ram18</b:Tag>
    <b:SourceType>JournalArticle</b:SourceType>
    <b:Guid>{F1E178C5-8F0B-44BF-9426-97C323598614}</b:Guid>
    <b:Author>
      <b:Author>
        <b:NameList>
          <b:Person>
            <b:Last>Alvarez</b:Last>
            <b:First>Ramón</b:First>
          </b:Person>
          <b:Person>
            <b:Last>Zavala-Araiza</b:Last>
            <b:First>Daniel</b:First>
          </b:Person>
          <b:Person>
            <b:Last>Lyon</b:Last>
            <b:First>David</b:First>
          </b:Person>
          <b:Person>
            <b:Last>Allen</b:Last>
            <b:First>David</b:First>
          </b:Person>
          <b:Person>
            <b:Last>Barkley</b:Last>
            <b:First>Zachary</b:First>
          </b:Person>
          <b:Person>
            <b:Last>Brandt</b:Last>
            <b:First>Adam</b:First>
          </b:Person>
          <b:Person>
            <b:Last>Davis</b:Last>
            <b:First>Kenneth</b:First>
          </b:Person>
          <b:Person>
            <b:Last>Herndon</b:Last>
            <b:First>Scott</b:First>
          </b:Person>
          <b:Person>
            <b:Last>Jacob</b:Last>
            <b:First>Daniel</b:First>
          </b:Person>
          <b:Person>
            <b:Last>Karion</b:Last>
            <b:First>Anna</b:First>
          </b:Person>
          <b:Person>
            <b:Last>Kort</b:Last>
            <b:First>Eric</b:First>
          </b:Person>
          <b:Person>
            <b:Last>Lamb</b:Last>
            <b:First>Brian</b:First>
          </b:Person>
          <b:Person>
            <b:Last>Lauvaux</b:Last>
            <b:First>Thomas</b:First>
          </b:Person>
          <b:Person>
            <b:Last>Maasakkers</b:Last>
            <b:First>Joannes</b:First>
          </b:Person>
        </b:NameList>
      </b:Author>
    </b:Author>
    <b:Title>Assessment of methane emissions from the U.S. oil and gas supply chain</b:Title>
    <b:JournalName>Science</b:JournalName>
    <b:Year>2018</b:Year>
    <b:Pages>186-188</b:Pages>
    <b:RefOrder>31</b:RefOrder>
  </b:Source>
  <b:Source>
    <b:Tag>Eva19</b:Tag>
    <b:SourceType>InternetSite</b:SourceType>
    <b:Guid>{C8BFC4D5-5DC9-44A7-AC03-292C5675BB3B}</b:Guid>
    <b:Title>CarbonBrief</b:Title>
    <b:InternetSiteTitle>Mapped: The world’s coal power plants</b:InternetSiteTitle>
    <b:Year>2019</b:Year>
    <b:Month>marzo</b:Month>
    <b:Day>25</b:Day>
    <b:URL>https://www.carbonbrief.org/mapped-worlds-coal-power-plants</b:URL>
    <b:Author>
      <b:Author>
        <b:NameList>
          <b:Person>
            <b:Last>Evans</b:Last>
            <b:First>Simon</b:First>
          </b:Person>
          <b:Person>
            <b:Last>Pearce</b:Last>
            <b:First>Rosamund</b:First>
          </b:Person>
        </b:NameList>
      </b:Author>
    </b:Author>
    <b:YearAccessed>2019</b:YearAccessed>
    <b:MonthAccessed>septiembre</b:MonthAccessed>
    <b:DayAccessed>30</b:DayAccessed>
    <b:RefOrder>32</b:RefOrder>
  </b:Source>
  <b:Source>
    <b:Tag>Yuz20</b:Tag>
    <b:SourceType>JournalArticle</b:SourceType>
    <b:Guid>{FBC21183-8E17-4854-B571-2F90C4BFF870}</b:Guid>
    <b:Author>
      <b:Author>
        <b:NameList>
          <b:Person>
            <b:Last>Zhang</b:Last>
            <b:First>Y.</b:First>
          </b:Person>
          <b:Person>
            <b:Last>Gautam</b:Last>
            <b:First>R.</b:First>
          </b:Person>
          <b:Person>
            <b:Last>Pandey</b:Last>
            <b:First>S.</b:First>
          </b:Person>
          <b:Person>
            <b:Last>al</b:Last>
            <b:First>et</b:First>
          </b:Person>
        </b:NameList>
      </b:Author>
    </b:Author>
    <b:Title>Quantifying methane emissions from the largest oil-producing basin in the United States from space</b:Title>
    <b:JournalName>Science ADvances</b:JournalName>
    <b:Year>2020</b:Year>
    <b:Pages>Vol. 6</b:Pages>
    <b:Month>Abril</b:Month>
    <b:Day>22</b:Day>
    <b:RefOrder>33</b:RefOrder>
  </b:Source>
  <b:Source>
    <b:Tag>Ger14</b:Tag>
    <b:SourceType>Book</b:SourceType>
    <b:Guid>{14218C00-D198-4648-98C0-267AEA54A0AF}</b:Guid>
    <b:Title>CAmbio climático y transiciones al buen vivir</b:Title>
    <b:Year>2014</b:Year>
    <b:Author>
      <b:Author>
        <b:NameList>
          <b:Person>
            <b:Last>Honty</b:Last>
            <b:First>Gerardo</b:First>
          </b:Person>
          <b:Person>
            <b:Last>Gudynas</b:Last>
            <b:First>Eduardo</b:First>
          </b:Person>
        </b:NameList>
      </b:Author>
    </b:Author>
    <b:City>Lima</b:City>
    <b:Publisher>Neva Studio</b:Publisher>
    <b:RefOrder>94</b:RefOrder>
  </b:Source>
  <b:Source>
    <b:Tag>IPB19</b:Tag>
    <b:SourceType>Report</b:SourceType>
    <b:Guid>{BAD2A4E8-FCA6-4192-9ED3-D930842309FA}</b:Guid>
    <b:Title>Proyecto de informe del Plenario de la Plataforma Intergubernamental Científico-normativa sobre Diversidad Biológica y Servicios de los Ecosistemas sobre la labor realizada en su séptimo período de sesiones</b:Title>
    <b:Year>2019</b:Year>
    <b:Author>
      <b:Author>
        <b:Corporate>IPBES</b:Corporate>
      </b:Author>
    </b:Author>
    <b:RefOrder>34</b:RefOrder>
  </b:Source>
  <b:Source>
    <b:Tag>WVe</b:Tag>
    <b:SourceType>DocumentFromInternetSite</b:SourceType>
    <b:Guid>{FDB98CE9-6D58-405F-B9D0-45EECD7257EA}</b:Guid>
    <b:Author>
      <b:Author>
        <b:NameList>
          <b:Person>
            <b:Last>Vergara</b:Last>
            <b:First>W.,</b:First>
            <b:Middle>Fenhann, J. V., &amp; Schletz, M. C</b:Middle>
          </b:Person>
        </b:NameList>
      </b:Author>
    </b:Author>
    <b:Title>Carbono cero América Latina, una vía para la descarbonización neta de la economía regional para mediados de este siglo</b:Title>
    <b:Year>2016</b:Year>
    <b:URL>https://backend.orbit.dtu.dk/ws/portalfiles/portal/123116630/Carbono_Cero.pdf</b:URL>
    <b:RefOrder>35</b:RefOrder>
  </b:Source>
  <b:Source>
    <b:Tag>GDi20</b:Tag>
    <b:SourceType>DocumentFromInternetSite</b:SourceType>
    <b:Guid>{80E4B394-BD29-414A-A0EC-83DE663D4D7C}</b:Guid>
    <b:URL>https://www.imf.org/external/pubs/ft/wp/2015/wp1530.pdf</b:URL>
    <b:Author>
      <b:Author>
        <b:NameList>
          <b:Person>
            <b:Last>DiBella</b:Last>
            <b:First>G.</b:First>
          </b:Person>
          <b:Person>
            <b:Last>Norton</b:Last>
            <b:First>L.</b:First>
          </b:Person>
          <b:Person>
            <b:Last>Ntamatungiro</b:Last>
            <b:First>J.</b:First>
          </b:Person>
          <b:Person>
            <b:Last>Ogawa</b:Last>
            <b:First>S.</b:First>
          </b:Person>
          <b:Person>
            <b:Last>Samake</b:Last>
            <b:First>I.</b:First>
          </b:Person>
          <b:Person>
            <b:Last>Santoro</b:Last>
            <b:First>M.</b:First>
          </b:Person>
        </b:NameList>
      </b:Author>
    </b:Author>
    <b:YearAccessed>2020</b:YearAccessed>
    <b:MonthAccessed>agosto</b:MonthAccessed>
    <b:DayAccessed>3</b:DayAccessed>
    <b:ShortTitle>Energy Subsidies in Latin America and the Caribbean: Stocktaking and Policy Challenges</b:ShortTitle>
    <b:Year>2015</b:Year>
    <b:RefOrder>36</b:RefOrder>
  </b:Source>
  <b:Source>
    <b:Tag>UMP15</b:Tag>
    <b:SourceType>Book</b:SourceType>
    <b:Guid>{608156FF-382A-4AE3-91EB-F91817674513}</b:Guid>
    <b:Author>
      <b:Author>
        <b:Corporate>UMPME</b:Corporate>
      </b:Author>
    </b:Author>
    <b:Title>Inegración de las energías renovables con convencionales en Colombia</b:Title>
    <b:Year>2015</b:Year>
    <b:City>Bogotá</b:City>
    <b:URL>http://www1.upme.gov.co/DemandaEnergetica/RESUMEN_EJECUTIVO_INTEGRACION_ENERGIAS_UPME2015.pdf</b:URL>
    <b:RefOrder>37</b:RefOrder>
  </b:Source>
  <b:Source>
    <b:Tag>Gon191</b:Tag>
    <b:SourceType>Book</b:SourceType>
    <b:Guid>{83201036-3C3B-41F8-B99F-424CD7B2C050}</b:Guid>
    <b:Title>El Viento del Este llega con Revoluciones </b:Title>
    <b:Year>2019</b:Year>
    <b:City>Bogotá</b:City>
    <b:Publisher>Heinrich Böll Stiftung e Indepaz</b:Publisher>
    <b:Author>
      <b:Author>
        <b:NameList>
          <b:Person>
            <b:Last>González</b:Last>
            <b:First>Camilo</b:First>
          </b:Person>
          <b:Person>
            <b:Last>Barney</b:Last>
            <b:First>Joanna</b:First>
          </b:Person>
        </b:NameList>
      </b:Author>
    </b:Author>
    <b:RefOrder>38</b:RefOrder>
  </b:Source>
  <b:Source>
    <b:Tag>Góm19</b:Tag>
    <b:SourceType>BookSection</b:SourceType>
    <b:Guid>{26E3B9F6-EF37-49BC-8685-DA8419B51625}</b:Guid>
    <b:Title>Fracking: la intensificación de un modelo decadente que nos impide mirar el presente</b:Title>
    <b:Year>2019</b:Year>
    <b:City>Bogotá</b:City>
    <b:Publisher>Heinrich Böll Stiftung y Alianza Colombia Libre de Fracking</b:Publisher>
    <b:Author>
      <b:Author>
        <b:NameList>
          <b:Person>
            <b:Last>Gómez O.</b:Last>
            <b:First>Andrés</b:First>
          </b:Person>
        </b:NameList>
      </b:Author>
      <b:BookAuthor>
        <b:NameList>
          <b:Person>
            <b:Last>Orduz </b:Last>
            <b:First>Natalia (coord.)</b:First>
          </b:Person>
        </b:NameList>
      </b:BookAuthor>
    </b:Author>
    <b:BookTitle>La inviabilidad del fracking frente a los retos del siglo XXI</b:BookTitle>
    <b:RefOrder>39</b:RefOrder>
  </b:Source>
  <b:Source>
    <b:Tag>DNP12</b:Tag>
    <b:SourceType>Book</b:SourceType>
    <b:Guid>{013BC60F-591A-4F19-B098-385A59B3415E}</b:Guid>
    <b:Author>
      <b:Author>
        <b:Corporate>DNP</b:Corporate>
      </b:Author>
    </b:Author>
    <b:Title>Plan Nacional de Adptación al Cambio Climático </b:Title>
    <b:Year>2012</b:Year>
    <b:City>Bogotá</b:City>
    <b:Publisher>DNP</b:Publisher>
    <b:RefOrder>40</b:RefOrder>
  </b:Source>
  <b:Source>
    <b:Tag>Cen20</b:Tag>
    <b:SourceType>InternetSite</b:SourceType>
    <b:Guid>{4C792D19-C6F2-4F10-90CF-E3E2336B312C}</b:Guid>
    <b:Author>
      <b:Author>
        <b:Corporate>Centro de Estudios Regionales</b:Corporate>
      </b:Author>
    </b:Author>
    <b:Title>Indice de pobreza multidimensional: Magdalena Medio</b:Title>
    <b:Year>2020</b:Year>
    <b:URL>https://www.cer.org.co/wp-content/uploads/2020/07/POST-INFOGRAFIA-POBREZA-MAGDALENA-MEDIO-CER.pdf</b:URL>
    <b:RefOrder>41</b:RefOrder>
  </b:Source>
  <b:Source>
    <b:Tag>CNM19</b:Tag>
    <b:SourceType>Book</b:SourceType>
    <b:Guid>{A23842F8-7BD5-472E-9A22-6DF775AD2B45}</b:Guid>
    <b:Author>
      <b:Author>
        <b:Corporate>CNMH</b:Corporate>
      </b:Author>
      <b:BookAuthor>
        <b:NameList>
          <b:Person>
            <b:Last>Hernández</b:Last>
            <b:First>Camilo</b:First>
            <b:Middle>Ernesto Villamizar</b:Middle>
          </b:Person>
        </b:NameList>
      </b:BookAuthor>
    </b:Author>
    <b:Title>El Estado suplantado: Las autodefensas de Puerto Boyacá</b:Title>
    <b:Year>2019</b:Year>
    <b:City>Bogotá</b:City>
    <b:RefOrder>42</b:RefOrder>
  </b:Source>
  <b:Source>
    <b:Tag>Gar13</b:Tag>
    <b:SourceType>Book</b:SourceType>
    <b:Guid>{0C7CA517-74C8-45F0-A322-DA6F590562AF}</b:Guid>
    <b:Title>Deterioro de humedales en el Magdalena Medio: Un lamado para su conservación</b:Title>
    <b:Year>2013</b:Year>
    <b:Author>
      <b:Author>
        <b:NameList>
          <b:Person>
            <b:Last>Garzón</b:Last>
            <b:First>Natasha Valentina</b:First>
          </b:Person>
          <b:Person>
            <b:Last>Gutiérrez</b:Last>
            <b:First>Juan Carlos</b:First>
          </b:Person>
        </b:NameList>
      </b:Author>
    </b:Author>
    <b:City>Bogotá</b:City>
    <b:Publisher>Instituto de Investigación de Recursos Biológicos Alexander von Humboldt y Fundación Alma</b:Publisher>
    <b:RefOrder>43</b:RefOrder>
  </b:Source>
  <b:Source>
    <b:Tag>Ord181</b:Tag>
    <b:SourceType>Book</b:SourceType>
    <b:Guid>{B00C7376-B33B-40D6-A80C-538093BC1398}</b:Guid>
    <b:Author>
      <b:Author>
        <b:NameList>
          <b:Person>
            <b:Last>Orduz-Salinas</b:Last>
            <b:First>N</b:First>
          </b:Person>
          <b:Person>
            <b:Last>Pardo</b:Last>
            <b:First>A</b:First>
          </b:Person>
          <b:Person>
            <b:Last>Herrera</b:Last>
            <b:First>H</b:First>
          </b:Person>
          <b:Person>
            <b:Last>Santiago</b:Last>
            <b:First>C</b:First>
          </b:Person>
          <b:Person>
            <b:Last>Gómez</b:Last>
            <b:First>A</b:First>
          </b:Person>
          <b:Person>
            <b:Last>Sánchez</b:Last>
            <b:First>J</b:First>
          </b:Person>
          <b:Person>
            <b:Last>Puerta-Lucchini</b:Last>
            <b:First>O</b:First>
          </b:Person>
          <b:Person>
            <b:Last>Ángel</b:Last>
            <b:First>A</b:First>
          </b:Person>
          <b:Person>
            <b:Last>Hofman</b:Last>
            <b:First>J</b:First>
          </b:Person>
        </b:NameList>
      </b:Author>
    </b:Author>
    <b:Title>La prohibición del fracking como un asunto de política pública</b:Title>
    <b:Year>2018</b:Year>
    <b:City>Bogotá</b:City>
    <b:Publisher>Heinrich Böll Stiftung</b:Publisher>
    <b:RefOrder>44</b:RefOrder>
  </b:Source>
  <b:Source>
    <b:Tag>TSJ17</b:Tag>
    <b:SourceType>Report</b:SourceType>
    <b:Guid>{4C054EFE-2556-4602-BE68-05BF2F79E23E}</b:Guid>
    <b:Author>
      <b:Author>
        <b:Corporate>TSJP de Bogotá</b:Corporate>
      </b:Author>
    </b:Author>
    <b:Title>Sentencia condenatoria contra José Barney Veloza García</b:Title>
    <b:Year>2017</b:Year>
    <b:Publisher>Magistrada ponente: Alezandra Valencia Molina</b:Publisher>
    <b:RefOrder>45</b:RefOrder>
  </b:Source>
  <b:Source>
    <b:Tag>CNM14</b:Tag>
    <b:SourceType>Report</b:SourceType>
    <b:Guid>{CDB1F5F5-9C80-402F-8D76-BBE6DD2DC71A}</b:Guid>
    <b:Author>
      <b:Author>
        <b:Corporate>CNMH</b:Corporate>
      </b:Author>
    </b:Author>
    <b:Title>Nuevos escenarios de conflicto armado y violencia: panorama psacuerdos con AUC</b:Title>
    <b:Year>2014</b:Year>
    <b:Publisher>CNMH</b:Publisher>
    <b:City>Bogotá</b:City>
    <b:RefOrder>46</b:RefOrder>
  </b:Source>
  <b:Source>
    <b:Tag>Rutsf</b:Tag>
    <b:SourceType>InternetSite</b:SourceType>
    <b:Guid>{6CAC0920-A19C-402D-BFBF-1673FEF8FDAD}</b:Guid>
    <b:Title>Convenios de Fuerza y Justicia</b:Title>
    <b:Year>s.f.a</b:Year>
    <b:Author>
      <b:Author>
        <b:Corporate>Rutas del Conflicto y La Liga Contra el Silencio </b:Corporate>
      </b:Author>
    </b:Author>
    <b:InternetSiteTitle>Convenio 2018-06</b:InternetSiteTitle>
    <b:URL>http://rutasdelconflicto.com/convenios-fuerza-justicia/node/75</b:URL>
    <b:RefOrder>47</b:RefOrder>
  </b:Source>
  <b:Source>
    <b:Tag>Rutsf1</b:Tag>
    <b:SourceType>InternetSite</b:SourceType>
    <b:Guid>{0AE0A426-2BEF-4472-BFDC-27EDCE0D4349}</b:Guid>
    <b:Author>
      <b:Author>
        <b:Corporate>Rutas del Conflicto y La Liga contra el Silencio</b:Corporate>
      </b:Author>
    </b:Author>
    <b:Title>Convenios de Fuerza y Justicia</b:Title>
    <b:InternetSiteTitle>Convenio 03-2019</b:InternetSiteTitle>
    <b:Year>s.f.b.</b:Year>
    <b:URL>http://rutasdelconflicto.com/convenios-fuerza-justicia/node/136</b:URL>
    <b:RefOrder>48</b:RefOrder>
  </b:Source>
  <b:Source>
    <b:Tag>Rutsf2</b:Tag>
    <b:SourceType>InternetSite</b:SourceType>
    <b:Guid>{49FE7541-B7E7-4E49-9250-FE11E7484A38}</b:Guid>
    <b:Author>
      <b:Author>
        <b:Corporate>Rutas del Conflicto y La Liga contra el silencio</b:Corporate>
      </b:Author>
    </b:Author>
    <b:Title>Convenios de Fuerza y Justicia</b:Title>
    <b:InternetSiteTitle>Petroleras y mineras financian a la fuerza pública y a la fiscalía</b:InternetSiteTitle>
    <b:Year>s.f.c.</b:Year>
    <b:URL>http://rutasdelconflicto.com/convenios-fuerza-justicia/node/437</b:URL>
    <b:RefOrder>49</b:RefOrder>
  </b:Source>
  <b:Source>
    <b:Tag>Rutfd</b:Tag>
    <b:SourceType>InternetSite</b:SourceType>
    <b:Guid>{91393EC8-D9FA-4DCC-B62F-85E30F61DF47}</b:Guid>
    <b:Author>
      <b:Author>
        <b:Corporate>Rutas del Conflicto y La Liga contra el Silencio </b:Corporate>
      </b:Author>
    </b:Author>
    <b:Title>Convenios de Fuerza y Justicia </b:Title>
    <b:InternetSiteTitle>Convenio 19-001</b:InternetSiteTitle>
    <b:Year>s.f.d.</b:Year>
    <b:URL>http://rutasdelconflicto.com/convenios-fuerza-justicia/node/12</b:URL>
    <b:RefOrder>50</b:RefOrder>
  </b:Source>
  <b:Source>
    <b:Tag>Glo20</b:Tag>
    <b:SourceType>InternetSite</b:SourceType>
    <b:Guid>{0888A40D-3B2A-4F62-85BA-CAD8B16DB711}</b:Guid>
    <b:Author>
      <b:Author>
        <b:Corporate>Global Witness</b:Corporate>
      </b:Author>
    </b:Author>
    <b:Title>Globalwitness.org</b:Title>
    <b:InternetSiteTitle>Defending Tomorrow</b:InternetSiteTitle>
    <b:Year>2020</b:Year>
    <b:Month>julio</b:Month>
    <b:Day>29</b:Day>
    <b:URL>https://www.globalwitness.org/en/campaigns/environmental-activists/defending-tomorrow/</b:URL>
    <b:RefOrder>51</b:RefOrder>
  </b:Source>
  <b:Source>
    <b:Tag>Com191</b:Tag>
    <b:SourceType>Report</b:SourceType>
    <b:Guid>{3922BD58-0EE6-465B-B567-2AFD4F2EA2DF}</b:Guid>
    <b:Author>
      <b:Author>
        <b:Corporate>Comisión Interdisciplinaria Independiente</b:Corporate>
      </b:Author>
    </b:Author>
    <b:Title>). Informe sobre efectos ambientales (Bióticos, físicos y sociales) y económicos de la exploración de hidrocarburos en áreas con posible despliegue de técnicas de fracturamiento hidráulico de roca gneradora mediante perforación horizontal</b:Title>
    <b:Year>2019</b:Year>
    <b:RefOrder>52</b:RefOrder>
  </b:Source>
  <b:Source>
    <b:Tag>Nao141</b:Tag>
    <b:SourceType>Book</b:SourceType>
    <b:Guid>{993D5C3C-F03B-4D13-B62C-17ECE3B93E56}</b:Guid>
    <b:Title>This Changes Everything: Capitalism vs. the Climate</b:Title>
    <b:Year>2014</b:Year>
    <b:Author>
      <b:Author>
        <b:NameList>
          <b:Person>
            <b:Last>Klein</b:Last>
            <b:First>Naomi</b:First>
          </b:Person>
        </b:NameList>
      </b:Author>
    </b:Author>
    <b:City>New York</b:City>
    <b:Publisher>Simon &amp; Schuster</b:Publisher>
    <b:RefOrder>53</b:RefOrder>
  </b:Source>
  <b:Source>
    <b:Tag>Ord182</b:Tag>
    <b:SourceType>Book</b:SourceType>
    <b:Guid>{76A3B45F-E728-4158-B45B-3CAC5A3002C5}</b:Guid>
    <b:Title>La prohibición del fracking como un asunto de política pública</b:Title>
    <b:Year>2018</b:Year>
    <b:Author>
      <b:Author>
        <b:NameList>
          <b:Person>
            <b:Last>Orduz</b:Last>
            <b:First>Natalia</b:First>
          </b:Person>
          <b:Person>
            <b:Last>Pardo</b:Last>
            <b:First>Alvaro</b:First>
          </b:Person>
          <b:Person>
            <b:Last>Herrera</b:Last>
            <b:First>Santoyo</b:First>
          </b:Person>
          <b:Person>
            <b:Last>Santiago</b:Last>
            <b:First>Carlos Andrés</b:First>
          </b:Person>
          <b:Person>
            <b:Last>Sánchez</b:Last>
            <b:First>Jorge</b:First>
          </b:Person>
          <b:Person>
            <b:Last>Puerta-Luchini</b:Last>
            <b:First>Óscar </b:First>
          </b:Person>
          <b:Person>
            <b:Last>Ángel</b:Last>
            <b:First>Andrés</b:First>
          </b:Person>
          <b:Person>
            <b:Last>Hofman</b:Last>
            <b:First>Juana</b:First>
          </b:Person>
        </b:NameList>
      </b:Author>
    </b:Author>
    <b:City>Bogotá</b:City>
    <b:Publisher>Heinrich Böll Stiftung, AIDA</b:Publisher>
    <b:RefOrder>54</b:RefOrder>
  </b:Source>
  <b:Source>
    <b:Tag>Cor</b:Tag>
    <b:SourceType>Misc</b:SourceType>
    <b:Guid>{7A4A0311-DBEF-4145-816E-5B8ADF6708C9}</b:Guid>
    <b:Author>
      <b:Author>
        <b:Corporate>Corte Constitucional</b:Corporate>
      </b:Author>
    </b:Author>
    <b:Title>Sentencia T-760 de 2007</b:Title>
    <b:Year>2007</b:Year>
    <b:Month>Septiembre</b:Month>
    <b:Day>25</b:Day>
    <b:Publisher>M-P Clara Inés Vargas Hernández</b:Publisher>
    <b:RefOrder>55</b:RefOrder>
  </b:Source>
  <b:Source>
    <b:Tag>Cor94</b:Tag>
    <b:SourceType>Misc</b:SourceType>
    <b:Guid>{F945B385-E14E-477C-8CB5-15F19E7F7145}</b:Guid>
    <b:Author>
      <b:Author>
        <b:Corporate>Corte Constitucional</b:Corporate>
      </b:Author>
    </b:Author>
    <b:Title>Sentencia C - 423 de 1994</b:Title>
    <b:Year>1994</b:Year>
    <b:Publisher>M.P Vladimiro Naranjo Mesa</b:Publisher>
    <b:RefOrder>56</b:RefOrder>
  </b:Source>
  <b:Source>
    <b:Tag>Cor06</b:Tag>
    <b:SourceType>Misc</b:SourceType>
    <b:Guid>{CE467846-5AC2-48D8-A97D-0723689DDA22}</b:Guid>
    <b:Title>Sentencia C - 189 de 2006</b:Title>
    <b:Year>2006</b:Year>
    <b:Publisher>M.P Rodrigo Escobar Gil</b:Publisher>
    <b:Author>
      <b:Author>
        <b:Corporate>Corte Constitucional</b:Corporate>
      </b:Author>
    </b:Author>
    <b:RefOrder>57</b:RefOrder>
  </b:Source>
  <b:Source>
    <b:Tag>Ama16</b:Tag>
    <b:SourceType>Book</b:SourceType>
    <b:Guid>{FE31669D-E87D-4531-A63A-6770FF5F107E}</b:Guid>
    <b:Title>La Contitución Ecologica de Colombia</b:Title>
    <b:Year>2016</b:Year>
    <b:City>Bogotá</b:City>
    <b:Publisher>Universidad Externado de Colombia</b:Publisher>
    <b:Author>
      <b:Author>
        <b:NameList>
          <b:Person>
            <b:Last>Amaya Navas</b:Last>
            <b:Middle>Darío</b:Middle>
            <b:First>Óscar </b:First>
          </b:Person>
        </b:NameList>
      </b:Author>
    </b:Author>
    <b:Pages>183 - 184</b:Pages>
    <b:Edition>Tercera</b:Edition>
    <b:RefOrder>58</b:RefOrder>
  </b:Source>
  <b:Source>
    <b:Tag>Cor02</b:Tag>
    <b:SourceType>Misc</b:SourceType>
    <b:Guid>{B225551E-0424-4F69-A5C0-3A8BF46326D2}</b:Guid>
    <b:Author>
      <b:Author>
        <b:Corporate>Corte Constitucional</b:Corporate>
      </b:Author>
    </b:Author>
    <b:Title>Sentencia C - 339 de 2002</b:Title>
    <b:Year>2002</b:Year>
    <b:Publisher>M.P Jaime Araujo Renteria</b:Publisher>
    <b:RefOrder>59</b:RefOrder>
  </b:Source>
  <b:Source>
    <b:Tag>Aso16</b:Tag>
    <b:SourceType>Misc</b:SourceType>
    <b:Guid>{1393969F-3A84-4DD0-8084-7D328BFBC705}</b:Guid>
    <b:Title>Principio de Precaución: Herramienta jurídica ante los impactos del Fracking</b:Title>
    <b:Year>2016</b:Year>
    <b:Author>
      <b:Author>
        <b:Corporate> Asociación Interamericana para la Defensa del Ambiente</b:Corporate>
      </b:Author>
    </b:Author>
    <b:Pages>25</b:Pages>
    <b:RefOrder>60</b:RefOrder>
  </b:Source>
  <b:Source>
    <b:Tag>Cor1</b:Tag>
    <b:SourceType>Misc</b:SourceType>
    <b:Guid>{81DEBD7C-69B3-47DE-AD11-580F01280130}</b:Guid>
    <b:Author>
      <b:Author>
        <b:Corporate>Corte Constitucional</b:Corporate>
      </b:Author>
    </b:Author>
    <b:Title>Sentencia T - 299 de 2008</b:Title>
    <b:Year>2008</b:Year>
    <b:Publisher>M.P Jaime Córdoba Triviño</b:Publisher>
    <b:RefOrder>61</b:RefOrder>
  </b:Source>
  <b:Source>
    <b:Tag>Eur00</b:Tag>
    <b:SourceType>Report</b:SourceType>
    <b:Guid>{93ED79AA-D9C3-2843-9F67-DD6292B9ECE7}</b:Guid>
    <b:Title>White Paper on environmetal liability</b:Title>
    <b:City>Italy</b:City>
    <b:Publisher>Office for Official Publications of the European Communities</b:Publisher>
    <b:Year>2000</b:Year>
    <b:Author>
      <b:Author>
        <b:NameList>
          <b:Person>
            <b:Last>European Comission</b:Last>
            <b:First>European</b:First>
          </b:Person>
        </b:NameList>
      </b:Author>
    </b:Author>
    <b:LCID>en-GB</b:LCID>
    <b:RefOrder>62</b:RefOrder>
  </b:Source>
  <b:Source>
    <b:Tag>MAD18</b:Tag>
    <b:SourceType>Report</b:SourceType>
    <b:Guid>{49E49191-2D0A-D343-87DC-3D29C9446B08}</b:Guid>
    <b:Author>
      <b:Author>
        <b:NameList>
          <b:Person>
            <b:Last>MADS</b:Last>
            <b:First>Alfonso</b:First>
            <b:Middle>Pérez Preciado para el</b:Middle>
          </b:Person>
        </b:NameList>
      </b:Author>
    </b:Author>
    <b:Title>Propuesta de priorización de áreas para la gestión de pasivos ambientales en Colombia</b:Title>
    <b:Year>2018</b:Year>
    <b:RefOrder>63</b:RefOrder>
  </b:Source>
  <b:Source>
    <b:Tag>Inn16</b:Tag>
    <b:SourceType>Report</b:SourceType>
    <b:Guid>{88D2A923-B65B-1E47-AF01-4AB659BA130C}</b:Guid>
    <b:Author>
      <b:Author>
        <b:NameList>
          <b:Person>
            <b:Last>Innova</b:Last>
          </b:Person>
        </b:NameList>
      </b:Author>
    </b:Author>
    <b:Title>Diseño de una Estrategia Integral para la Gestión de los Pasivos Ambientales en Colombia. Contrato de Consultaría No 374 de 2015</b:Title>
    <b:Year>2016</b:Year>
    <b:RefOrder>64</b:RefOrder>
  </b:Source>
  <b:Source>
    <b:Tag>Orlsf</b:Tag>
    <b:SourceType>Report</b:SourceType>
    <b:Guid>{339E9667-D636-8D40-BD40-343ABFE91978}</b:Guid>
    <b:Author>
      <b:Author>
        <b:NameList>
          <b:Person>
            <b:Last>Aguilar</b:Last>
            <b:First>Orlando</b:First>
            <b:Middle>et al.</b:Middle>
          </b:Person>
        </b:NameList>
      </b:Author>
    </b:Author>
    <b:Title>Petróleo y Desarrollo</b:Title>
    <b:Year>s.f</b:Year>
    <b:RefOrder>65</b:RefOrder>
  </b:Source>
  <b:Source>
    <b:Tag>CGR19</b:Tag>
    <b:SourceType>Report</b:SourceType>
    <b:Guid>{1A50F69C-D72E-934F-A33F-A83A4E424101}</b:Guid>
    <b:Author>
      <b:Author>
        <b:NameList>
          <b:Person>
            <b:Last>CGR</b:Last>
          </b:Person>
        </b:NameList>
      </b:Author>
    </b:Author>
    <b:Title>Informe de Auditoría de Desempeño de la Política Nacional de Humedales. Diciembre de 2019</b:Title>
    <b:Year>2019</b:Year>
    <b:RefOrder>66</b:RefOrder>
  </b:Source>
  <b:Source>
    <b:Tag>Jul15</b:Tag>
    <b:SourceType>Report</b:SourceType>
    <b:Guid>{92693A54-E0AC-6645-B0E7-5AE73C542CC7}</b:Guid>
    <b:Author>
      <b:Author>
        <b:NameList>
          <b:Person>
            <b:Last>Fierro</b:Last>
            <b:First>Julio</b:First>
          </b:Person>
        </b:NameList>
      </b:Author>
    </b:Author>
    <b:Year>2015</b:Year>
    <b:Publisher> PROPUESTA DE LA LÍNEA ESTRATÉGICA SOBRE GESTIÓN SECTORIAL COMO COMPONENTE DEL PLAN ESTRATÉGICO DE LA DTOR</b:Publisher>
    <b:RefOrder>67</b:RefOrder>
  </b:Source>
  <b:Source>
    <b:Tag>CGR14</b:Tag>
    <b:SourceType>Report</b:SourceType>
    <b:Guid>{6449C133-648E-9642-9013-B5D8CEFE1AE0}</b:Guid>
    <b:Author>
      <b:Author>
        <b:NameList>
          <b:Person>
            <b:Last>CGR</b:Last>
          </b:Person>
        </b:NameList>
      </b:Author>
    </b:Author>
    <b:Year>2014-A</b:Year>
    <b:Publisher>Informe de Actuación Especial de Fiscalización. Problemática Ambiental presentada en el municipio de Paz de Ariporo, departamento del Casanare. Agosto de 2014.</b:Publisher>
    <b:RefOrder>68</b:RefOrder>
  </b:Source>
  <b:Source>
    <b:Tag>Eco09</b:Tag>
    <b:SourceType>Report</b:SourceType>
    <b:Guid>{4FF8D2B2-2DCE-B447-B126-02793B2978A9}</b:Guid>
    <b:Author>
      <b:Author>
        <b:NameList>
          <b:Person>
            <b:Last>Ecopetrol</b:Last>
          </b:Person>
        </b:NameList>
      </b:Author>
    </b:Author>
    <b:Title>Proyecto Diagnóstico de Impactos Ambientales Acumulativos. Informe Final. Gerencia Regional Central.</b:Title>
    <b:Year>2009</b:Year>
    <b:RefOrder>69</b:RefOrder>
  </b:Source>
  <b:Source>
    <b:Tag>CGR131</b:Tag>
    <b:SourceType>Report</b:SourceType>
    <b:Guid>{110A276E-2818-C24F-A0FD-0351DB772791}</b:Guid>
    <b:Author>
      <b:Author>
        <b:NameList>
          <b:Person>
            <b:Last>CGR</b:Last>
          </b:Person>
        </b:NameList>
      </b:Author>
    </b:Author>
    <b:Publisher>CGR (2013). Respuesta a la denuncia pública suscrita mediante la publicación de un artículo periodístico “Trazas de crudo y sueños de agua” en el periódico El Espectador, por la comunidad de la vereda La Esmeralda del municipio de Acacías  – Meta.</b:Publisher>
    <b:Year>2013</b:Year>
    <b:RefOrder>70</b:RefOrder>
  </b:Source>
  <b:Source>
    <b:Tag>SGC14</b:Tag>
    <b:SourceType>Report</b:SourceType>
    <b:Guid>{308BB47F-B864-BE42-82B7-81270AA0F2B7}</b:Guid>
    <b:Author>
      <b:Author>
        <b:NameList>
          <b:Person>
            <b:Last>SGC</b:Last>
          </b:Person>
        </b:NameList>
      </b:Author>
    </b:Author>
    <b:Title>Informe de Sismicidad. Puerto Gaitán, Meta. </b:Title>
    <b:City>Bogotá</b:City>
    <b:Year>2014</b:Year>
    <b:RefOrder>71</b:RefOrder>
  </b:Source>
  <b:Source>
    <b:Tag>CGR141</b:Tag>
    <b:SourceType>Report</b:SourceType>
    <b:Guid>{FDBE58EA-60C0-CE4E-BC12-DCAA434F7BD7}</b:Guid>
    <b:Author>
      <b:Author>
        <b:NameList>
          <b:Person>
            <b:Last>CGR</b:Last>
          </b:Person>
        </b:NameList>
      </b:Author>
    </b:Author>
    <b:Publisher>INFORME DE ACTUACIÓN ESPECIAL - AT No. 31 SEGUIMIENTO FUNCIÓN DE ADVERTENCIA CONTRALORÍA GENERAL DE LA REPÚBLICA Contraloría Delegada para el Medio Ambiente Principio de Precaución y Desarrollo Sostenible, posibles riesgos Hidrocarburos No Convencionales.</b:Publisher>
    <b:Year>2014-B</b:Year>
    <b:RefOrder>72</b:RefOrder>
  </b:Source>
  <b:Source>
    <b:Tag>Gon13</b:Tag>
    <b:SourceType>Book</b:SourceType>
    <b:Guid>{20EC89BC-5180-4F48-AE9D-DD239AE1F37E}</b:Guid>
    <b:Author>
      <b:Author>
        <b:NameList>
          <b:Person>
            <b:Last>Ramirez</b:Last>
            <b:First>Paula</b:First>
          </b:Person>
          <b:Person>
            <b:Last>Gonzalez</b:Last>
            <b:First>Leonardo</b:First>
          </b:Person>
          <b:Person>
            <b:Last>Gonzalez Posso</b:Last>
            <b:First>Camilo</b:First>
          </b:Person>
          <b:Person>
            <b:Last>Harman</b:Last>
            <b:First>Felipe</b:First>
          </b:Person>
          <b:Person>
            <b:Last>Montaña</b:Last>
            <b:First>Tatiana</b:First>
          </b:Person>
          <b:Person>
            <b:Last>Alvarez</b:Last>
            <b:First>Paula</b:First>
          </b:Person>
        </b:NameList>
      </b:Author>
    </b:Author>
    <b:Title>Petróleo</b:Title>
    <b:City>Bogotá</b:City>
    <b:Publisher>INDEPAZ</b:Publisher>
    <b:Year>2013</b:Year>
    <b:RefOrder>73</b:RefOrder>
  </b:Source>
  <b:Source>
    <b:Tag>Rud14</b:Tag>
    <b:SourceType>Report</b:SourceType>
    <b:Guid>{71CCBC37-2C87-0A44-87F6-A5CB3C397144}</b:Guid>
    <b:Author>
      <b:Author>
        <b:NameList>
          <b:Person>
            <b:Last>Rudas</b:Last>
            <b:First>Guillermo</b:First>
          </b:Person>
        </b:NameList>
      </b:Author>
    </b:Author>
    <b:Title>Notas sobre la minería de carbón a gran escala en Colombia</b:Title>
    <b:Publisher>Fundación Friedrich Ebert</b:Publisher>
    <b:City>Bogotá</b:City>
    <b:Year>2014</b:Year>
    <b:RefOrder>74</b:RefOrder>
  </b:Source>
  <b:Source>
    <b:Tag>Dáv09</b:Tag>
    <b:SourceType>Book</b:SourceType>
    <b:Guid>{2218958F-44B4-D345-A206-AAFAFA966E0B}</b:Guid>
    <b:Title> La Violencia en el Magdalena Medio: análisis de la dinámica espacial </b:Title>
    <b:Publisher>Ediciones Uniandes</b:Publisher>
    <b:Year>2009</b:Year>
    <b:Author>
      <b:Author>
        <b:NameList>
          <b:Person>
            <b:Last>Dávila Saad</b:Last>
            <b:First>Andrea</b:First>
          </b:Person>
        </b:NameList>
      </b:Author>
    </b:Author>
    <b:RefOrder>75</b:RefOrder>
  </b:Source>
  <b:Source>
    <b:Tag>Com20</b:Tag>
    <b:SourceType>Report</b:SourceType>
    <b:Guid>{B2BE624D-2B86-EF40-B681-04DA96A59DFE}</b:Guid>
    <b:Author>
      <b:Author>
        <b:Corporate>Comisión de la Verdad</b:Corporate>
      </b:Author>
    </b:Author>
    <b:Title>En medio de la presión del desplazamiento forzado, el Magdalena Medio resiste y permanece</b:Title>
    <b:Publisher>https://comisiondelaverdad.co/actualidad/blogs/en-medio-de-la-presion-del-desplazamiento-forzado-el-magdalena-medio-resiste-y-permanece</b:Publisher>
    <b:Year>2020</b:Year>
    <b:RefOrder>76</b:RefOrder>
  </b:Source>
  <b:Source>
    <b:Tag>Gon11</b:Tag>
    <b:SourceType>Book</b:SourceType>
    <b:Guid>{66102115-36DE-E848-BAA9-54CD18BF8131}</b:Guid>
    <b:Author>
      <b:Author>
        <b:NameList>
          <b:Person>
            <b:Last>Gonzalez Posso</b:Last>
            <b:First>Camilio</b:First>
          </b:Person>
        </b:NameList>
      </b:Author>
    </b:Author>
    <b:Title>Petróleo y Transformación de Conflictos</b:Title>
    <b:City>Colombia</b:City>
    <b:Publisher>Indepaz</b:Publisher>
    <b:Year>2011</b:Year>
    <b:RefOrder>77</b:RefOrder>
  </b:Source>
  <b:Source>
    <b:Tag>Áng19</b:Tag>
    <b:SourceType>JournalArticle</b:SourceType>
    <b:Guid>{2F0B8941-8959-4874-8FC9-B3AC470BC33D}</b:Guid>
    <b:Title>Impactos a perpetuidad. El legado de la minería</b:Title>
    <b:Year>2019</b:Year>
    <b:City>Bogotá</b:City>
    <b:Publisher>Heinrich Böll Stiftung y AIDA</b:Publisher>
    <b:Author>
      <b:Author>
        <b:NameList>
          <b:Person>
            <b:Last>Ángel</b:Last>
            <b:First>Andrés</b:First>
          </b:Person>
        </b:NameList>
      </b:Author>
    </b:Author>
    <b:JournalName>Ideas Verdes</b:JournalName>
    <b:Volume>20</b:Volume>
    <b:RefOrder>78</b:RefOrder>
  </b:Source>
  <b:Source>
    <b:Tag>Fie12</b:Tag>
    <b:SourceType>Book</b:SourceType>
    <b:Guid>{EFAEBF16-A5BD-C247-94D0-CD7902852F5D}</b:Guid>
    <b:Title>Políticas mineras en Colombia</b:Title>
    <b:City>Bogotá</b:City>
    <b:Publisher>Instituto Latinoamericano para una Sociedad y un Derecho Alternativos – ILSA</b:Publisher>
    <b:Year>2012</b:Year>
    <b:Author>
      <b:Author>
        <b:NameList>
          <b:Person>
            <b:Last>Fierro</b:Last>
            <b:First>Julio</b:First>
          </b:Person>
        </b:NameList>
      </b:Author>
    </b:Author>
    <b:RefOrder>79</b:RefOrder>
  </b:Source>
  <b:Source>
    <b:Tag>CEP08</b:Tag>
    <b:SourceType>Book</b:SourceType>
    <b:Guid>{73A77BA4-D693-0044-8E2F-C15291482C4B}</b:Guid>
    <b:Author>
      <b:Author>
        <b:Corporate>CEPAL</b:Corporate>
      </b:Author>
    </b:Author>
    <b:Title>Estudio comparativo de la gestión de los pasivos ambientales mineros en Bolivia, Chile, Perú y Estados Unidos</b:Title>
    <b:Publisher>CEPAL</b:Publisher>
    <b:Year>2008</b:Year>
    <b:RefOrder>80</b:RefOrder>
  </b:Source>
  <b:Source>
    <b:Tag>Mar02</b:Tag>
    <b:SourceType>JournalArticle</b:SourceType>
    <b:Guid>{15B855E5-A14D-E54B-B7E3-0AF1443DC5CB}</b:Guid>
    <b:Title>Los pasivos ambientales</b:Title>
    <b:City>Barcelona</b:City>
    <b:Year>2002</b:Year>
    <b:Author>
      <b:Author>
        <b:NameList>
          <b:Person>
            <b:Last>Martínez Alier</b:Last>
            <b:First>Joan</b:First>
          </b:Person>
          <b:Person>
            <b:Last>Russi</b:Last>
            <b:First>Daniela</b:First>
          </b:Person>
        </b:NameList>
      </b:Author>
    </b:Author>
    <b:JournalName>Debates Ambientales</b:JournalName>
    <b:Issue>24</b:Issue>
    <b:RefOrder>81</b:RefOrder>
  </b:Source>
  <b:Source>
    <b:Tag>Mni99</b:Tag>
    <b:SourceType>ConferenceProceedings</b:SourceType>
    <b:Guid>{849A8BDC-E0EB-1749-8C1B-F5EC642374E0}</b:Guid>
    <b:Author>
      <b:Author>
        <b:Corporate>Ministerio de Medio Ambiente</b:Corporate>
      </b:Author>
    </b:Author>
    <b:Title>Memoria Taller Nacional Pasivos Ambientales</b:Title>
    <b:Year>1999</b:Year>
    <b:Publisher>MMA</b:Publisher>
    <b:City>Bogotá</b:City>
    <b:RefOrder>82</b:RefOrder>
  </b:Source>
  <b:Source>
    <b:Tag>Inn</b:Tag>
    <b:SourceType>Misc</b:SourceType>
    <b:Guid>{DA8D5FFF-DC9F-D646-B884-BEF6538E96CE}</b:Guid>
    <b:Author>
      <b:Author>
        <b:Corporate>Innovación Ambiental E.S.P (Innova)</b:Corporate>
      </b:Author>
    </b:Author>
    <b:Title>Propuesta integral de selección de alternativas jurídicas, técnicas, económicas y financieras para la gestión integral de los "Pasivos ambientales en Colombia"</b:Title>
    <b:Year>2015</b:Year>
    <b:City>Bogotá</b:City>
    <b:Publisher>Innova &amp; MADS</b:Publisher>
    <b:RefOrder>83</b:RefOrder>
  </b:Source>
  <b:Source>
    <b:Tag>Min</b:Tag>
    <b:SourceType>DocumentFromInternetSite</b:SourceType>
    <b:Guid>{28F742AC-ECEC-EC47-9E0D-C66CAEF0F2B5}</b:Guid>
    <b:Author>
      <b:Author>
        <b:Corporate>Ministerio del Medio Ambiente. B.</b:Corporate>
      </b:Author>
    </b:Author>
    <b:Title>Definición de Herramientas de Gestión de Pasivos Ambientales</b:Title>
    <b:City>Bogotá</b:City>
    <b:Publisher>MMA</b:Publisher>
    <b:InternetSiteTitle>Minambiente</b:InternetSiteTitle>
    <b:URL>https://www.minambiente.gov.co/images/AsuntosambientalesySectorialyUrbana/pdf/Pasivos_Ambientales/herramientas_pasivos_ambientales.pdf</b:URL>
    <b:RefOrder>84</b:RefOrder>
  </b:Source>
  <b:Source>
    <b:Tag>Ara</b:Tag>
    <b:SourceType>JournalArticle</b:SourceType>
    <b:Guid>{4C433ED0-67C4-3A46-9D8E-7864B743B403}</b:Guid>
    <b:Title>Problemática de los pasivos ambientales mineros en Colombia</b:Title>
    <b:JournalName>Gestión Ambiental</b:JournalName>
    <b:Pages>125-133</b:Pages>
    <b:Author>
      <b:Author>
        <b:NameList>
          <b:Person>
            <b:Last>Arango Aramburo</b:Last>
            <b:First>Marcela</b:First>
          </b:Person>
          <b:Person>
            <b:Last>Olaya</b:Last>
            <b:First>Yris</b:First>
          </b:Person>
        </b:NameList>
      </b:Author>
    </b:Author>
    <b:Publisher>Universidad Nacional de Colombia</b:Publisher>
    <b:Volume>15</b:Volume>
    <b:Issue>3</b:Issue>
    <b:Year>2012</b:Year>
    <b:RefOrder>85</b:RefOrder>
  </b:Source>
</b:Sources>
</file>

<file path=customXml/itemProps1.xml><?xml version="1.0" encoding="utf-8"?>
<ds:datastoreItem xmlns:ds="http://schemas.openxmlformats.org/officeDocument/2006/customXml" ds:itemID="{A30F96B7-0A8E-4F78-BF11-A6394EEEE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98</Pages>
  <Words>25775</Words>
  <Characters>141767</Characters>
  <Application>Microsoft Office Word</Application>
  <DocSecurity>0</DocSecurity>
  <Lines>1181</Lines>
  <Paragraphs>334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dc:creator>
  <cp:keywords/>
  <dc:description/>
  <cp:lastModifiedBy>Personal</cp:lastModifiedBy>
  <cp:revision>3</cp:revision>
  <dcterms:created xsi:type="dcterms:W3CDTF">2021-07-19T22:58:00Z</dcterms:created>
  <dcterms:modified xsi:type="dcterms:W3CDTF">2021-07-19T23:37:00Z</dcterms:modified>
</cp:coreProperties>
</file>