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573" w:rsidRDefault="00D17DEC">
      <w:pPr>
        <w:spacing w:after="0" w:line="276" w:lineRule="auto"/>
        <w:rPr>
          <w:rFonts w:ascii="Arial" w:eastAsia="Arial" w:hAnsi="Arial" w:cs="Arial"/>
          <w:sz w:val="24"/>
          <w:szCs w:val="24"/>
        </w:rPr>
      </w:pPr>
      <w:r>
        <w:rPr>
          <w:rFonts w:ascii="Arial" w:eastAsia="Arial" w:hAnsi="Arial" w:cs="Arial"/>
          <w:sz w:val="24"/>
          <w:szCs w:val="24"/>
        </w:rPr>
        <w:t>Bogotá, 20 de julio de 2020</w:t>
      </w:r>
    </w:p>
    <w:p w:rsidR="00E90573" w:rsidRDefault="00E90573">
      <w:pPr>
        <w:spacing w:after="0" w:line="276" w:lineRule="auto"/>
        <w:rPr>
          <w:rFonts w:ascii="Arial" w:eastAsia="Arial" w:hAnsi="Arial" w:cs="Arial"/>
          <w:b/>
          <w:sz w:val="24"/>
          <w:szCs w:val="24"/>
        </w:rPr>
      </w:pPr>
    </w:p>
    <w:p w:rsidR="00E90573" w:rsidRDefault="00E90573">
      <w:pPr>
        <w:spacing w:after="0" w:line="276" w:lineRule="auto"/>
        <w:rPr>
          <w:rFonts w:ascii="Arial" w:eastAsia="Arial" w:hAnsi="Arial" w:cs="Arial"/>
          <w:b/>
          <w:sz w:val="24"/>
          <w:szCs w:val="24"/>
        </w:rPr>
      </w:pPr>
    </w:p>
    <w:p w:rsidR="00E90573" w:rsidRDefault="00D17DEC">
      <w:pPr>
        <w:spacing w:after="0" w:line="276" w:lineRule="auto"/>
        <w:jc w:val="both"/>
        <w:rPr>
          <w:rFonts w:ascii="Arial" w:eastAsia="Arial" w:hAnsi="Arial" w:cs="Arial"/>
          <w:sz w:val="24"/>
          <w:szCs w:val="24"/>
        </w:rPr>
      </w:pPr>
      <w:r>
        <w:rPr>
          <w:rFonts w:ascii="Arial" w:eastAsia="Arial" w:hAnsi="Arial" w:cs="Arial"/>
          <w:sz w:val="24"/>
          <w:szCs w:val="24"/>
        </w:rPr>
        <w:t>Señor</w:t>
      </w:r>
    </w:p>
    <w:p w:rsidR="00E90573" w:rsidRDefault="00D17DEC">
      <w:pPr>
        <w:spacing w:after="0" w:line="276" w:lineRule="auto"/>
        <w:jc w:val="both"/>
        <w:rPr>
          <w:rFonts w:ascii="Arial" w:eastAsia="Arial" w:hAnsi="Arial" w:cs="Arial"/>
          <w:b/>
          <w:sz w:val="24"/>
          <w:szCs w:val="24"/>
        </w:rPr>
      </w:pPr>
      <w:r>
        <w:rPr>
          <w:rFonts w:ascii="Arial" w:eastAsia="Arial" w:hAnsi="Arial" w:cs="Arial"/>
          <w:b/>
          <w:sz w:val="24"/>
          <w:szCs w:val="24"/>
        </w:rPr>
        <w:t>GERMÁN ALCIDES BLANCO ÁLVAREZ</w:t>
      </w:r>
    </w:p>
    <w:p w:rsidR="00E90573" w:rsidRDefault="00D17DEC">
      <w:pPr>
        <w:spacing w:after="0" w:line="276" w:lineRule="auto"/>
        <w:jc w:val="both"/>
        <w:rPr>
          <w:rFonts w:ascii="Arial" w:eastAsia="Arial" w:hAnsi="Arial" w:cs="Arial"/>
          <w:b/>
          <w:sz w:val="24"/>
          <w:szCs w:val="24"/>
        </w:rPr>
      </w:pPr>
      <w:r>
        <w:rPr>
          <w:rFonts w:ascii="Arial" w:eastAsia="Arial" w:hAnsi="Arial" w:cs="Arial"/>
          <w:b/>
          <w:sz w:val="24"/>
          <w:szCs w:val="24"/>
        </w:rPr>
        <w:t xml:space="preserve">Presidente </w:t>
      </w:r>
    </w:p>
    <w:p w:rsidR="00E90573" w:rsidRDefault="00D17DEC">
      <w:pPr>
        <w:spacing w:after="0" w:line="276" w:lineRule="auto"/>
        <w:jc w:val="both"/>
        <w:rPr>
          <w:rFonts w:ascii="Arial" w:eastAsia="Arial" w:hAnsi="Arial" w:cs="Arial"/>
          <w:sz w:val="24"/>
          <w:szCs w:val="24"/>
        </w:rPr>
      </w:pPr>
      <w:r>
        <w:rPr>
          <w:rFonts w:ascii="Arial" w:eastAsia="Arial" w:hAnsi="Arial" w:cs="Arial"/>
          <w:sz w:val="24"/>
          <w:szCs w:val="24"/>
        </w:rPr>
        <w:t>Cámara de Representantes</w:t>
      </w:r>
    </w:p>
    <w:p w:rsidR="00E90573" w:rsidRDefault="00D17DEC">
      <w:pPr>
        <w:spacing w:after="0" w:line="276" w:lineRule="auto"/>
        <w:jc w:val="both"/>
        <w:rPr>
          <w:rFonts w:ascii="Arial" w:eastAsia="Arial" w:hAnsi="Arial" w:cs="Arial"/>
          <w:sz w:val="24"/>
          <w:szCs w:val="24"/>
        </w:rPr>
      </w:pPr>
      <w:r>
        <w:rPr>
          <w:rFonts w:ascii="Arial" w:eastAsia="Arial" w:hAnsi="Arial" w:cs="Arial"/>
          <w:sz w:val="24"/>
          <w:szCs w:val="24"/>
        </w:rPr>
        <w:t xml:space="preserve">Congreso de la República de Colombia </w:t>
      </w:r>
    </w:p>
    <w:p w:rsidR="00E90573" w:rsidRDefault="00E90573">
      <w:pPr>
        <w:spacing w:before="240" w:after="240" w:line="276" w:lineRule="auto"/>
        <w:rPr>
          <w:rFonts w:ascii="Arial" w:eastAsia="Arial" w:hAnsi="Arial" w:cs="Arial"/>
          <w:sz w:val="24"/>
          <w:szCs w:val="24"/>
        </w:rPr>
      </w:pPr>
    </w:p>
    <w:p w:rsidR="00E90573" w:rsidRDefault="00D17DEC">
      <w:pPr>
        <w:spacing w:before="240" w:after="240" w:line="276" w:lineRule="auto"/>
        <w:ind w:left="2160"/>
        <w:jc w:val="both"/>
        <w:rPr>
          <w:rFonts w:ascii="Arial" w:eastAsia="Arial" w:hAnsi="Arial" w:cs="Arial"/>
          <w:b/>
          <w:i/>
          <w:sz w:val="24"/>
          <w:szCs w:val="24"/>
        </w:rPr>
      </w:pPr>
      <w:r>
        <w:rPr>
          <w:rFonts w:ascii="Arial" w:eastAsia="Arial" w:hAnsi="Arial" w:cs="Arial"/>
          <w:b/>
          <w:sz w:val="24"/>
          <w:szCs w:val="24"/>
        </w:rPr>
        <w:t>Referencia:</w:t>
      </w:r>
      <w:r>
        <w:rPr>
          <w:rFonts w:ascii="Arial" w:eastAsia="Arial" w:hAnsi="Arial" w:cs="Arial"/>
          <w:sz w:val="24"/>
          <w:szCs w:val="24"/>
        </w:rPr>
        <w:t xml:space="preserve"> </w:t>
      </w:r>
      <w:r>
        <w:rPr>
          <w:rFonts w:ascii="Arial" w:eastAsia="Arial" w:hAnsi="Arial" w:cs="Arial"/>
          <w:b/>
          <w:i/>
          <w:sz w:val="24"/>
          <w:szCs w:val="24"/>
        </w:rPr>
        <w:t>“Por medio de la cual se incentiva la competencia en las Asociaciones Público Privadas de Iniciativa Privada, modificando parcialmente los artículos 11, 14,19 y 20 de la ley 1508 de 2012”</w:t>
      </w:r>
    </w:p>
    <w:p w:rsidR="00E90573" w:rsidRDefault="00D17DEC">
      <w:pPr>
        <w:spacing w:before="240" w:after="240" w:line="276" w:lineRule="auto"/>
        <w:jc w:val="both"/>
        <w:rPr>
          <w:rFonts w:ascii="Arial" w:eastAsia="Arial" w:hAnsi="Arial" w:cs="Arial"/>
          <w:sz w:val="24"/>
          <w:szCs w:val="24"/>
        </w:rPr>
      </w:pPr>
      <w:r>
        <w:rPr>
          <w:rFonts w:ascii="Arial" w:eastAsia="Arial" w:hAnsi="Arial" w:cs="Arial"/>
          <w:sz w:val="24"/>
          <w:szCs w:val="24"/>
        </w:rPr>
        <w:t xml:space="preserve">En calidad de Representante a la Cámara por el Valle del Cauca </w:t>
      </w:r>
      <w:r>
        <w:rPr>
          <w:rFonts w:ascii="Arial" w:eastAsia="Arial" w:hAnsi="Arial" w:cs="Arial"/>
          <w:color w:val="222222"/>
          <w:sz w:val="24"/>
          <w:szCs w:val="24"/>
          <w:highlight w:val="white"/>
        </w:rPr>
        <w:t>y en uso del derecho consagrado en el artículo 152 de la Constitución Política de Colombia, me permito poner a consideración de la Honorable Cámara de Representantes el siguiente proyecto de ley “Por medio de la cual se incentiva la competencia en las Asociaciones Público Privadas de Iniciativa Privada, modificando parcialmente los artículos 11, 14,19 y 20 de la ley 1508 de 2012 ”.</w:t>
      </w:r>
    </w:p>
    <w:p w:rsidR="00E90573" w:rsidRDefault="00D17DEC">
      <w:pPr>
        <w:spacing w:before="240" w:after="240" w:line="276" w:lineRule="auto"/>
        <w:jc w:val="both"/>
        <w:rPr>
          <w:rFonts w:ascii="Arial" w:eastAsia="Arial" w:hAnsi="Arial" w:cs="Arial"/>
          <w:sz w:val="24"/>
          <w:szCs w:val="24"/>
        </w:rPr>
      </w:pPr>
      <w:r>
        <w:rPr>
          <w:rFonts w:ascii="Arial" w:eastAsia="Arial" w:hAnsi="Arial" w:cs="Arial"/>
          <w:sz w:val="24"/>
          <w:szCs w:val="24"/>
        </w:rPr>
        <w:t xml:space="preserve">Cordialmente, </w:t>
      </w:r>
    </w:p>
    <w:p w:rsidR="00D17DEC" w:rsidRDefault="00D17DEC">
      <w:pPr>
        <w:spacing w:before="240" w:after="240" w:line="276" w:lineRule="auto"/>
        <w:jc w:val="both"/>
        <w:rPr>
          <w:rFonts w:ascii="Arial" w:eastAsia="Arial" w:hAnsi="Arial" w:cs="Arial"/>
          <w:sz w:val="24"/>
          <w:szCs w:val="24"/>
        </w:rPr>
      </w:pPr>
    </w:p>
    <w:p w:rsidR="00D17DEC" w:rsidRDefault="00D17DEC">
      <w:pPr>
        <w:spacing w:before="240" w:after="240" w:line="276" w:lineRule="auto"/>
        <w:jc w:val="both"/>
        <w:rPr>
          <w:rFonts w:ascii="Arial" w:eastAsia="Arial" w:hAnsi="Arial" w:cs="Arial"/>
          <w:b/>
          <w:sz w:val="24"/>
          <w:szCs w:val="24"/>
        </w:rPr>
      </w:pPr>
    </w:p>
    <w:p w:rsidR="00E90573" w:rsidRDefault="00E90573" w:rsidP="00D17DEC">
      <w:pPr>
        <w:spacing w:after="0" w:line="240" w:lineRule="auto"/>
        <w:jc w:val="center"/>
        <w:rPr>
          <w:rFonts w:ascii="Arial" w:eastAsia="Arial" w:hAnsi="Arial" w:cs="Arial"/>
          <w:b/>
          <w:sz w:val="24"/>
          <w:szCs w:val="24"/>
        </w:rPr>
      </w:pPr>
    </w:p>
    <w:p w:rsidR="00E90573" w:rsidRDefault="00E90573" w:rsidP="00D17DEC">
      <w:pPr>
        <w:spacing w:after="0" w:line="240" w:lineRule="auto"/>
        <w:jc w:val="center"/>
        <w:rPr>
          <w:rFonts w:ascii="Arial" w:eastAsia="Arial" w:hAnsi="Arial" w:cs="Arial"/>
          <w:b/>
          <w:sz w:val="24"/>
          <w:szCs w:val="24"/>
        </w:rPr>
      </w:pPr>
    </w:p>
    <w:p w:rsidR="00D17DEC" w:rsidRDefault="00D17DEC" w:rsidP="00D17DEC">
      <w:pPr>
        <w:spacing w:after="0" w:line="240" w:lineRule="auto"/>
        <w:jc w:val="center"/>
        <w:rPr>
          <w:rFonts w:ascii="Arial" w:eastAsia="Arial" w:hAnsi="Arial" w:cs="Arial"/>
          <w:b/>
          <w:sz w:val="24"/>
          <w:szCs w:val="24"/>
        </w:rPr>
      </w:pPr>
    </w:p>
    <w:p w:rsidR="009A27FD" w:rsidRDefault="009A27FD" w:rsidP="00D17DEC">
      <w:pPr>
        <w:spacing w:after="0" w:line="240" w:lineRule="auto"/>
        <w:jc w:val="center"/>
        <w:rPr>
          <w:rFonts w:ascii="Arial" w:eastAsia="Arial" w:hAnsi="Arial" w:cs="Arial"/>
          <w:b/>
          <w:sz w:val="24"/>
          <w:szCs w:val="24"/>
        </w:rPr>
      </w:pPr>
    </w:p>
    <w:p w:rsidR="00D17DEC" w:rsidRDefault="00D17DEC" w:rsidP="00D17DEC">
      <w:pPr>
        <w:spacing w:after="0" w:line="240" w:lineRule="auto"/>
        <w:jc w:val="center"/>
        <w:rPr>
          <w:rFonts w:ascii="Arial" w:eastAsia="Arial" w:hAnsi="Arial" w:cs="Arial"/>
          <w:b/>
          <w:sz w:val="24"/>
          <w:szCs w:val="24"/>
        </w:rPr>
      </w:pPr>
    </w:p>
    <w:p w:rsidR="00E90573" w:rsidRDefault="00D17DEC" w:rsidP="00D17DEC">
      <w:pPr>
        <w:spacing w:after="0" w:line="240" w:lineRule="auto"/>
        <w:jc w:val="center"/>
        <w:rPr>
          <w:rFonts w:ascii="Arial" w:eastAsia="Arial" w:hAnsi="Arial" w:cs="Arial"/>
          <w:b/>
          <w:sz w:val="24"/>
          <w:szCs w:val="24"/>
        </w:rPr>
      </w:pPr>
      <w:r>
        <w:rPr>
          <w:rFonts w:ascii="Arial" w:eastAsia="Arial" w:hAnsi="Arial" w:cs="Arial"/>
          <w:b/>
          <w:sz w:val="24"/>
          <w:szCs w:val="24"/>
        </w:rPr>
        <w:t>CATALINA ORTIZ LALINDE</w:t>
      </w:r>
    </w:p>
    <w:p w:rsidR="00E90573" w:rsidRDefault="00D17DEC" w:rsidP="00D17DEC">
      <w:pPr>
        <w:spacing w:after="0" w:line="240" w:lineRule="auto"/>
        <w:jc w:val="center"/>
        <w:rPr>
          <w:rFonts w:ascii="Arial" w:eastAsia="Arial" w:hAnsi="Arial" w:cs="Arial"/>
          <w:sz w:val="24"/>
          <w:szCs w:val="24"/>
        </w:rPr>
      </w:pPr>
      <w:r>
        <w:rPr>
          <w:rFonts w:ascii="Arial" w:eastAsia="Arial" w:hAnsi="Arial" w:cs="Arial"/>
          <w:sz w:val="24"/>
          <w:szCs w:val="24"/>
        </w:rPr>
        <w:t>Representante a la Cámara</w:t>
      </w:r>
    </w:p>
    <w:p w:rsidR="00E90573" w:rsidRDefault="00D17DEC" w:rsidP="00D17DEC">
      <w:pPr>
        <w:spacing w:after="0" w:line="240" w:lineRule="auto"/>
        <w:jc w:val="center"/>
        <w:rPr>
          <w:rFonts w:ascii="Helvetica Neue" w:eastAsia="Helvetica Neue" w:hAnsi="Helvetica Neue" w:cs="Helvetica Neue"/>
          <w:b/>
          <w:sz w:val="24"/>
          <w:szCs w:val="24"/>
        </w:rPr>
      </w:pPr>
      <w:r>
        <w:rPr>
          <w:rFonts w:ascii="Arial" w:eastAsia="Arial" w:hAnsi="Arial" w:cs="Arial"/>
          <w:sz w:val="24"/>
          <w:szCs w:val="24"/>
        </w:rPr>
        <w:t>Alianza Verde</w:t>
      </w:r>
    </w:p>
    <w:p w:rsidR="00E90573" w:rsidRDefault="00E90573" w:rsidP="00D17DEC">
      <w:pPr>
        <w:spacing w:after="0" w:line="240" w:lineRule="auto"/>
        <w:jc w:val="center"/>
        <w:rPr>
          <w:rFonts w:ascii="Helvetica Neue" w:eastAsia="Helvetica Neue" w:hAnsi="Helvetica Neue" w:cs="Helvetica Neue"/>
          <w:b/>
          <w:sz w:val="24"/>
          <w:szCs w:val="24"/>
        </w:rPr>
      </w:pPr>
    </w:p>
    <w:p w:rsidR="00E90573" w:rsidRDefault="00E90573" w:rsidP="00D17DEC">
      <w:pPr>
        <w:spacing w:after="0" w:line="240" w:lineRule="auto"/>
        <w:jc w:val="center"/>
        <w:rPr>
          <w:rFonts w:ascii="Helvetica Neue" w:eastAsia="Helvetica Neue" w:hAnsi="Helvetica Neue" w:cs="Helvetica Neue"/>
          <w:b/>
          <w:sz w:val="24"/>
          <w:szCs w:val="24"/>
        </w:rPr>
      </w:pPr>
    </w:p>
    <w:p w:rsidR="00E90573" w:rsidRDefault="00E90573" w:rsidP="00D17DEC">
      <w:pPr>
        <w:spacing w:after="0" w:line="240" w:lineRule="auto"/>
        <w:jc w:val="center"/>
        <w:rPr>
          <w:rFonts w:ascii="Helvetica Neue" w:eastAsia="Helvetica Neue" w:hAnsi="Helvetica Neue" w:cs="Helvetica Neue"/>
          <w:b/>
          <w:noProof/>
          <w:sz w:val="24"/>
          <w:szCs w:val="24"/>
          <w:lang w:val="es-CO"/>
        </w:rPr>
      </w:pPr>
    </w:p>
    <w:p w:rsidR="009A27FD" w:rsidRDefault="009A27FD" w:rsidP="00D17DEC">
      <w:pPr>
        <w:spacing w:after="0" w:line="240" w:lineRule="auto"/>
        <w:jc w:val="center"/>
        <w:rPr>
          <w:rFonts w:ascii="Helvetica Neue" w:eastAsia="Helvetica Neue" w:hAnsi="Helvetica Neue" w:cs="Helvetica Neue"/>
          <w:b/>
          <w:noProof/>
          <w:sz w:val="24"/>
          <w:szCs w:val="24"/>
          <w:lang w:val="es-CO"/>
        </w:rPr>
      </w:pPr>
    </w:p>
    <w:p w:rsidR="009A27FD" w:rsidRDefault="009A27FD" w:rsidP="00D17DEC">
      <w:pPr>
        <w:spacing w:after="0" w:line="240" w:lineRule="auto"/>
        <w:jc w:val="center"/>
        <w:rPr>
          <w:rFonts w:ascii="Helvetica Neue" w:eastAsia="Helvetica Neue" w:hAnsi="Helvetica Neue" w:cs="Helvetica Neue"/>
          <w:b/>
          <w:noProof/>
          <w:sz w:val="24"/>
          <w:szCs w:val="24"/>
          <w:lang w:val="es-CO"/>
        </w:rPr>
      </w:pPr>
    </w:p>
    <w:p w:rsidR="009A27FD" w:rsidRDefault="009A27FD" w:rsidP="00D17DEC">
      <w:pPr>
        <w:spacing w:after="0" w:line="240" w:lineRule="auto"/>
        <w:jc w:val="center"/>
        <w:rPr>
          <w:rFonts w:ascii="Helvetica Neue" w:eastAsia="Helvetica Neue" w:hAnsi="Helvetica Neue" w:cs="Helvetica Neue"/>
          <w:b/>
          <w:noProof/>
          <w:sz w:val="24"/>
          <w:szCs w:val="24"/>
          <w:lang w:val="es-CO"/>
        </w:rPr>
      </w:pPr>
    </w:p>
    <w:p w:rsidR="009A27FD" w:rsidRDefault="009A27FD" w:rsidP="00D17DEC">
      <w:pPr>
        <w:spacing w:after="0" w:line="240" w:lineRule="auto"/>
        <w:jc w:val="center"/>
        <w:rPr>
          <w:rFonts w:ascii="Helvetica Neue" w:eastAsia="Helvetica Neue" w:hAnsi="Helvetica Neue" w:cs="Helvetica Neue"/>
          <w:b/>
          <w:sz w:val="24"/>
          <w:szCs w:val="24"/>
        </w:rPr>
      </w:pPr>
    </w:p>
    <w:p w:rsidR="00E90573" w:rsidRDefault="00D17DEC" w:rsidP="00D17DEC">
      <w:pPr>
        <w:spacing w:after="0" w:line="240" w:lineRule="auto"/>
        <w:jc w:val="center"/>
        <w:rPr>
          <w:rFonts w:ascii="Helvetica Neue" w:eastAsia="Helvetica Neue" w:hAnsi="Helvetica Neue" w:cs="Helvetica Neue"/>
          <w:sz w:val="24"/>
          <w:szCs w:val="24"/>
        </w:rPr>
      </w:pPr>
      <w:r>
        <w:rPr>
          <w:rFonts w:ascii="Helvetica Neue" w:eastAsia="Helvetica Neue" w:hAnsi="Helvetica Neue" w:cs="Helvetica Neue"/>
          <w:b/>
          <w:sz w:val="24"/>
          <w:szCs w:val="24"/>
        </w:rPr>
        <w:t>ALVARO HENRY MONEDERO RIVERA</w:t>
      </w:r>
    </w:p>
    <w:p w:rsidR="00E90573" w:rsidRDefault="00D17DEC" w:rsidP="00D17DEC">
      <w:pPr>
        <w:spacing w:after="0" w:line="240" w:lineRule="auto"/>
        <w:jc w:val="center"/>
        <w:rPr>
          <w:rFonts w:ascii="Helvetica Neue" w:eastAsia="Helvetica Neue" w:hAnsi="Helvetica Neue" w:cs="Helvetica Neue"/>
          <w:sz w:val="24"/>
          <w:szCs w:val="24"/>
        </w:rPr>
      </w:pPr>
      <w:r>
        <w:rPr>
          <w:rFonts w:ascii="Helvetica Neue" w:eastAsia="Helvetica Neue" w:hAnsi="Helvetica Neue" w:cs="Helvetica Neue"/>
          <w:sz w:val="24"/>
          <w:szCs w:val="24"/>
        </w:rPr>
        <w:t>Representante a la Cámara por el Valle del Cauca</w:t>
      </w:r>
    </w:p>
    <w:p w:rsidR="00E90573" w:rsidRDefault="00D17DEC" w:rsidP="00D17DEC">
      <w:pPr>
        <w:spacing w:after="0" w:line="240" w:lineRule="auto"/>
        <w:jc w:val="center"/>
        <w:rPr>
          <w:rFonts w:ascii="Helvetica Neue" w:eastAsia="Helvetica Neue" w:hAnsi="Helvetica Neue" w:cs="Helvetica Neue"/>
          <w:b/>
          <w:sz w:val="24"/>
          <w:szCs w:val="24"/>
        </w:rPr>
      </w:pPr>
      <w:r>
        <w:rPr>
          <w:rFonts w:ascii="Helvetica Neue" w:eastAsia="Helvetica Neue" w:hAnsi="Helvetica Neue" w:cs="Helvetica Neue"/>
          <w:sz w:val="24"/>
          <w:szCs w:val="24"/>
        </w:rPr>
        <w:t>Partido Liberal</w:t>
      </w:r>
    </w:p>
    <w:p w:rsidR="00E90573" w:rsidRDefault="00E90573">
      <w:pPr>
        <w:spacing w:after="0" w:line="240" w:lineRule="auto"/>
        <w:jc w:val="center"/>
        <w:rPr>
          <w:rFonts w:ascii="Helvetica Neue" w:eastAsia="Helvetica Neue" w:hAnsi="Helvetica Neue" w:cs="Helvetica Neue"/>
          <w:b/>
          <w:sz w:val="24"/>
          <w:szCs w:val="24"/>
        </w:rPr>
      </w:pPr>
    </w:p>
    <w:p w:rsidR="00E90573" w:rsidRDefault="00E90573">
      <w:pPr>
        <w:spacing w:after="0" w:line="240" w:lineRule="auto"/>
        <w:jc w:val="center"/>
        <w:rPr>
          <w:rFonts w:ascii="Helvetica Neue" w:eastAsia="Helvetica Neue" w:hAnsi="Helvetica Neue" w:cs="Helvetica Neue"/>
          <w:b/>
          <w:sz w:val="24"/>
          <w:szCs w:val="24"/>
        </w:rPr>
      </w:pPr>
    </w:p>
    <w:p w:rsidR="00E90573" w:rsidRDefault="00E90573">
      <w:pPr>
        <w:spacing w:after="0" w:line="240" w:lineRule="auto"/>
        <w:jc w:val="center"/>
        <w:rPr>
          <w:rFonts w:ascii="Helvetica Neue" w:eastAsia="Helvetica Neue" w:hAnsi="Helvetica Neue" w:cs="Helvetica Neue"/>
          <w:b/>
          <w:sz w:val="24"/>
          <w:szCs w:val="24"/>
        </w:rPr>
      </w:pPr>
    </w:p>
    <w:p w:rsidR="00E90573" w:rsidRDefault="00E90573">
      <w:pPr>
        <w:spacing w:after="0" w:line="240" w:lineRule="auto"/>
        <w:jc w:val="center"/>
        <w:rPr>
          <w:rFonts w:ascii="Helvetica Neue" w:eastAsia="Helvetica Neue" w:hAnsi="Helvetica Neue" w:cs="Helvetica Neue"/>
          <w:b/>
          <w:sz w:val="24"/>
          <w:szCs w:val="24"/>
        </w:rPr>
      </w:pPr>
    </w:p>
    <w:p w:rsidR="00E90573" w:rsidRDefault="00E90573">
      <w:pPr>
        <w:spacing w:after="0" w:line="240" w:lineRule="auto"/>
        <w:jc w:val="center"/>
        <w:rPr>
          <w:rFonts w:ascii="Helvetica Neue" w:eastAsia="Helvetica Neue" w:hAnsi="Helvetica Neue" w:cs="Helvetica Neue"/>
          <w:b/>
          <w:sz w:val="24"/>
          <w:szCs w:val="24"/>
        </w:rPr>
      </w:pPr>
    </w:p>
    <w:p w:rsidR="00E90573" w:rsidRDefault="00E90573">
      <w:pPr>
        <w:spacing w:after="0" w:line="240" w:lineRule="auto"/>
        <w:jc w:val="center"/>
        <w:rPr>
          <w:rFonts w:ascii="Helvetica Neue" w:eastAsia="Helvetica Neue" w:hAnsi="Helvetica Neue" w:cs="Helvetica Neue"/>
          <w:b/>
          <w:sz w:val="24"/>
          <w:szCs w:val="24"/>
        </w:rPr>
      </w:pPr>
    </w:p>
    <w:p w:rsidR="00E90573" w:rsidRDefault="00E90573">
      <w:pPr>
        <w:spacing w:after="0" w:line="240" w:lineRule="auto"/>
        <w:jc w:val="center"/>
        <w:rPr>
          <w:rFonts w:ascii="Helvetica Neue" w:eastAsia="Helvetica Neue" w:hAnsi="Helvetica Neue" w:cs="Helvetica Neue"/>
          <w:b/>
          <w:sz w:val="24"/>
          <w:szCs w:val="24"/>
        </w:rPr>
      </w:pPr>
    </w:p>
    <w:p w:rsidR="00E90573" w:rsidRDefault="00E90573">
      <w:pPr>
        <w:spacing w:after="0" w:line="240" w:lineRule="auto"/>
        <w:jc w:val="center"/>
        <w:rPr>
          <w:rFonts w:ascii="Helvetica Neue" w:eastAsia="Helvetica Neue" w:hAnsi="Helvetica Neue" w:cs="Helvetica Neue"/>
          <w:b/>
          <w:sz w:val="24"/>
          <w:szCs w:val="24"/>
        </w:rPr>
      </w:pPr>
    </w:p>
    <w:p w:rsidR="00E90573" w:rsidRDefault="00E90573">
      <w:pPr>
        <w:spacing w:after="0" w:line="240" w:lineRule="auto"/>
        <w:jc w:val="center"/>
        <w:rPr>
          <w:rFonts w:ascii="Helvetica Neue" w:eastAsia="Helvetica Neue" w:hAnsi="Helvetica Neue" w:cs="Helvetica Neue"/>
          <w:b/>
          <w:sz w:val="24"/>
          <w:szCs w:val="24"/>
        </w:rPr>
      </w:pPr>
    </w:p>
    <w:p w:rsidR="00E90573" w:rsidRDefault="00D17DEC">
      <w:pPr>
        <w:spacing w:after="0" w:line="240" w:lineRule="auto"/>
        <w:jc w:val="center"/>
        <w:rPr>
          <w:rFonts w:ascii="Helvetica Neue" w:eastAsia="Helvetica Neue" w:hAnsi="Helvetica Neue" w:cs="Helvetica Neue"/>
          <w:b/>
          <w:sz w:val="24"/>
          <w:szCs w:val="24"/>
        </w:rPr>
      </w:pPr>
      <w:r>
        <w:rPr>
          <w:rFonts w:ascii="Helvetica Neue" w:eastAsia="Helvetica Neue" w:hAnsi="Helvetica Neue" w:cs="Helvetica Neue"/>
          <w:b/>
          <w:sz w:val="24"/>
          <w:szCs w:val="24"/>
        </w:rPr>
        <w:lastRenderedPageBreak/>
        <w:t>Proyecto de Ley _____ de 2020</w:t>
      </w:r>
    </w:p>
    <w:p w:rsidR="00E90573" w:rsidRDefault="00E90573">
      <w:pPr>
        <w:spacing w:after="0" w:line="240" w:lineRule="auto"/>
        <w:jc w:val="both"/>
        <w:rPr>
          <w:rFonts w:ascii="Helvetica Neue" w:eastAsia="Helvetica Neue" w:hAnsi="Helvetica Neue" w:cs="Helvetica Neue"/>
          <w:sz w:val="24"/>
          <w:szCs w:val="24"/>
        </w:rPr>
      </w:pPr>
    </w:p>
    <w:p w:rsidR="00E90573" w:rsidRDefault="00D17DEC">
      <w:pPr>
        <w:spacing w:after="0" w:line="240" w:lineRule="auto"/>
        <w:jc w:val="center"/>
        <w:rPr>
          <w:rFonts w:ascii="Helvetica Neue" w:eastAsia="Helvetica Neue" w:hAnsi="Helvetica Neue" w:cs="Helvetica Neue"/>
          <w:b/>
          <w:i/>
          <w:sz w:val="24"/>
          <w:szCs w:val="24"/>
        </w:rPr>
      </w:pPr>
      <w:r>
        <w:rPr>
          <w:rFonts w:ascii="Helvetica Neue" w:eastAsia="Helvetica Neue" w:hAnsi="Helvetica Neue" w:cs="Helvetica Neue"/>
          <w:b/>
          <w:sz w:val="24"/>
          <w:szCs w:val="24"/>
        </w:rPr>
        <w:t>“</w:t>
      </w:r>
      <w:r>
        <w:rPr>
          <w:rFonts w:ascii="Helvetica Neue" w:eastAsia="Helvetica Neue" w:hAnsi="Helvetica Neue" w:cs="Helvetica Neue"/>
          <w:b/>
          <w:i/>
          <w:sz w:val="24"/>
          <w:szCs w:val="24"/>
        </w:rPr>
        <w:t>Por medio de la cual</w:t>
      </w:r>
      <w:r>
        <w:rPr>
          <w:rFonts w:ascii="Helvetica Neue" w:eastAsia="Helvetica Neue" w:hAnsi="Helvetica Neue" w:cs="Helvetica Neue"/>
          <w:i/>
          <w:color w:val="4B4949"/>
          <w:sz w:val="24"/>
          <w:szCs w:val="24"/>
        </w:rPr>
        <w:t xml:space="preserve"> </w:t>
      </w:r>
      <w:r>
        <w:rPr>
          <w:rFonts w:ascii="Helvetica Neue" w:eastAsia="Helvetica Neue" w:hAnsi="Helvetica Neue" w:cs="Helvetica Neue"/>
          <w:b/>
          <w:i/>
          <w:sz w:val="24"/>
          <w:szCs w:val="24"/>
        </w:rPr>
        <w:t xml:space="preserve">se incentiva la competencia </w:t>
      </w:r>
      <w:r>
        <w:rPr>
          <w:rFonts w:ascii="Arial" w:eastAsia="Arial" w:hAnsi="Arial" w:cs="Arial"/>
          <w:b/>
          <w:i/>
          <w:color w:val="222222"/>
          <w:sz w:val="24"/>
          <w:szCs w:val="24"/>
          <w:highlight w:val="white"/>
        </w:rPr>
        <w:t>en las Asociaciones Público Privadas</w:t>
      </w:r>
      <w:r>
        <w:rPr>
          <w:rFonts w:ascii="Helvetica Neue" w:eastAsia="Helvetica Neue" w:hAnsi="Helvetica Neue" w:cs="Helvetica Neue"/>
          <w:b/>
          <w:i/>
          <w:sz w:val="24"/>
          <w:szCs w:val="24"/>
        </w:rPr>
        <w:t xml:space="preserve"> de Iniciativa Privada, modificando parcialmente los artículos 11, 14,19 y 20 de la ley 1508 de 2012”</w:t>
      </w:r>
    </w:p>
    <w:p w:rsidR="00E90573" w:rsidRDefault="00E90573">
      <w:pPr>
        <w:spacing w:after="0" w:line="240" w:lineRule="auto"/>
        <w:jc w:val="both"/>
        <w:rPr>
          <w:rFonts w:ascii="Helvetica Neue" w:eastAsia="Helvetica Neue" w:hAnsi="Helvetica Neue" w:cs="Helvetica Neue"/>
          <w:sz w:val="24"/>
          <w:szCs w:val="24"/>
        </w:rPr>
      </w:pPr>
    </w:p>
    <w:p w:rsidR="00E90573" w:rsidRDefault="00D17DEC">
      <w:pPr>
        <w:spacing w:after="0" w:line="240" w:lineRule="auto"/>
        <w:jc w:val="center"/>
        <w:rPr>
          <w:rFonts w:ascii="Helvetica Neue" w:eastAsia="Helvetica Neue" w:hAnsi="Helvetica Neue" w:cs="Helvetica Neue"/>
          <w:b/>
          <w:sz w:val="24"/>
          <w:szCs w:val="24"/>
        </w:rPr>
      </w:pPr>
      <w:r>
        <w:rPr>
          <w:rFonts w:ascii="Helvetica Neue" w:eastAsia="Helvetica Neue" w:hAnsi="Helvetica Neue" w:cs="Helvetica Neue"/>
          <w:b/>
          <w:sz w:val="24"/>
          <w:szCs w:val="24"/>
        </w:rPr>
        <w:t>EL CONGRESO DE COLOMBIA</w:t>
      </w:r>
    </w:p>
    <w:p w:rsidR="00E90573" w:rsidRDefault="00E90573">
      <w:pPr>
        <w:spacing w:after="0" w:line="240" w:lineRule="auto"/>
        <w:jc w:val="center"/>
        <w:rPr>
          <w:rFonts w:ascii="Helvetica Neue" w:eastAsia="Helvetica Neue" w:hAnsi="Helvetica Neue" w:cs="Helvetica Neue"/>
          <w:b/>
          <w:sz w:val="24"/>
          <w:szCs w:val="24"/>
        </w:rPr>
      </w:pPr>
    </w:p>
    <w:p w:rsidR="00E90573" w:rsidRDefault="00D17DEC">
      <w:pPr>
        <w:spacing w:after="0" w:line="240" w:lineRule="auto"/>
        <w:jc w:val="center"/>
        <w:rPr>
          <w:rFonts w:ascii="Helvetica Neue" w:eastAsia="Helvetica Neue" w:hAnsi="Helvetica Neue" w:cs="Helvetica Neue"/>
          <w:b/>
          <w:sz w:val="24"/>
          <w:szCs w:val="24"/>
        </w:rPr>
      </w:pPr>
      <w:r>
        <w:rPr>
          <w:rFonts w:ascii="Helvetica Neue" w:eastAsia="Helvetica Neue" w:hAnsi="Helvetica Neue" w:cs="Helvetica Neue"/>
          <w:b/>
          <w:sz w:val="24"/>
          <w:szCs w:val="24"/>
        </w:rPr>
        <w:t>Decreta:</w:t>
      </w:r>
    </w:p>
    <w:p w:rsidR="00E90573" w:rsidRDefault="00E90573">
      <w:pPr>
        <w:spacing w:after="0" w:line="240" w:lineRule="auto"/>
        <w:jc w:val="both"/>
        <w:rPr>
          <w:rFonts w:ascii="Helvetica Neue" w:eastAsia="Helvetica Neue" w:hAnsi="Helvetica Neue" w:cs="Helvetica Neue"/>
          <w:b/>
          <w:sz w:val="24"/>
          <w:szCs w:val="24"/>
        </w:rPr>
      </w:pPr>
    </w:p>
    <w:p w:rsidR="00E90573" w:rsidRDefault="00E90573">
      <w:pPr>
        <w:spacing w:after="0" w:line="240" w:lineRule="auto"/>
        <w:jc w:val="both"/>
        <w:rPr>
          <w:rFonts w:ascii="Helvetica Neue" w:eastAsia="Helvetica Neue" w:hAnsi="Helvetica Neue" w:cs="Helvetica Neue"/>
          <w:b/>
          <w:sz w:val="24"/>
          <w:szCs w:val="24"/>
        </w:rPr>
      </w:pPr>
    </w:p>
    <w:p w:rsidR="00E90573" w:rsidRDefault="00D17DEC">
      <w:pPr>
        <w:spacing w:after="0" w:line="240" w:lineRule="auto"/>
        <w:jc w:val="both"/>
        <w:rPr>
          <w:rFonts w:ascii="Helvetica Neue" w:eastAsia="Helvetica Neue" w:hAnsi="Helvetica Neue" w:cs="Helvetica Neue"/>
          <w:b/>
          <w:sz w:val="24"/>
          <w:szCs w:val="24"/>
        </w:rPr>
      </w:pPr>
      <w:r>
        <w:rPr>
          <w:rFonts w:ascii="Helvetica Neue" w:eastAsia="Helvetica Neue" w:hAnsi="Helvetica Neue" w:cs="Helvetica Neue"/>
          <w:b/>
          <w:sz w:val="24"/>
          <w:szCs w:val="24"/>
        </w:rPr>
        <w:t xml:space="preserve">Artículo 1°. </w:t>
      </w:r>
      <w:r>
        <w:rPr>
          <w:rFonts w:ascii="Helvetica Neue" w:eastAsia="Helvetica Neue" w:hAnsi="Helvetica Neue" w:cs="Helvetica Neue"/>
          <w:sz w:val="24"/>
          <w:szCs w:val="24"/>
        </w:rPr>
        <w:t>Modifíquese parcialmente el artículo 11o de la Ley 1508 de 2012, el cual quedará así:</w:t>
      </w:r>
      <w:r>
        <w:rPr>
          <w:rFonts w:ascii="Helvetica Neue" w:eastAsia="Helvetica Neue" w:hAnsi="Helvetica Neue" w:cs="Helvetica Neue"/>
          <w:b/>
          <w:sz w:val="24"/>
          <w:szCs w:val="24"/>
        </w:rPr>
        <w:t xml:space="preserve"> </w:t>
      </w:r>
    </w:p>
    <w:p w:rsidR="00E90573" w:rsidRDefault="00E90573">
      <w:pPr>
        <w:spacing w:after="0" w:line="240" w:lineRule="auto"/>
        <w:jc w:val="both"/>
        <w:rPr>
          <w:rFonts w:ascii="Helvetica Neue" w:eastAsia="Helvetica Neue" w:hAnsi="Helvetica Neue" w:cs="Helvetica Neue"/>
          <w:b/>
          <w:sz w:val="24"/>
          <w:szCs w:val="24"/>
        </w:rPr>
      </w:pPr>
    </w:p>
    <w:p w:rsidR="00E90573" w:rsidRDefault="00D17DEC">
      <w:pPr>
        <w:spacing w:after="0" w:line="240" w:lineRule="auto"/>
        <w:jc w:val="both"/>
        <w:rPr>
          <w:rFonts w:ascii="Helvetica Neue" w:eastAsia="Helvetica Neue" w:hAnsi="Helvetica Neue" w:cs="Helvetica Neue"/>
          <w:sz w:val="24"/>
          <w:szCs w:val="24"/>
        </w:rPr>
      </w:pPr>
      <w:r>
        <w:rPr>
          <w:rFonts w:ascii="Helvetica Neue" w:eastAsia="Helvetica Neue" w:hAnsi="Helvetica Neue" w:cs="Helvetica Neue"/>
          <w:sz w:val="24"/>
          <w:szCs w:val="24"/>
        </w:rPr>
        <w:t>ARTÍCULO 11. REQUISITOS PARA ABRIR PROCESOS DE SELECCIÓN DE CONTRATISTAS PARA LA EJECUCIÓN DE PROYECTOS DE ASOCIACIÓN PÚBLICO PRIVADA, DE INICIATIVA PÚBLICA.</w:t>
      </w:r>
      <w:r>
        <w:rPr>
          <w:rFonts w:ascii="Helvetica Neue" w:eastAsia="Helvetica Neue" w:hAnsi="Helvetica Neue" w:cs="Helvetica Neue"/>
          <w:b/>
          <w:sz w:val="24"/>
          <w:szCs w:val="24"/>
        </w:rPr>
        <w:t xml:space="preserve"> </w:t>
      </w:r>
      <w:r>
        <w:rPr>
          <w:rFonts w:ascii="Helvetica Neue" w:eastAsia="Helvetica Neue" w:hAnsi="Helvetica Neue" w:cs="Helvetica Neue"/>
          <w:sz w:val="24"/>
          <w:szCs w:val="24"/>
        </w:rPr>
        <w:t>En los proyectos de asociación público privada de iniciativa pública, la entidad que invita a participar en el proceso de selección, deberá contar antes de la iniciación del proceso de selección con:</w:t>
      </w:r>
    </w:p>
    <w:p w:rsidR="00E90573" w:rsidRDefault="00E90573">
      <w:pPr>
        <w:spacing w:after="0" w:line="240" w:lineRule="auto"/>
        <w:jc w:val="both"/>
        <w:rPr>
          <w:rFonts w:ascii="Helvetica Neue" w:eastAsia="Helvetica Neue" w:hAnsi="Helvetica Neue" w:cs="Helvetica Neue"/>
          <w:sz w:val="24"/>
          <w:szCs w:val="24"/>
        </w:rPr>
      </w:pPr>
    </w:p>
    <w:p w:rsidR="00E90573" w:rsidRDefault="00D17DEC">
      <w:pPr>
        <w:spacing w:after="0" w:line="240" w:lineRule="auto"/>
        <w:jc w:val="both"/>
        <w:rPr>
          <w:rFonts w:ascii="Helvetica Neue" w:eastAsia="Helvetica Neue" w:hAnsi="Helvetica Neue" w:cs="Helvetica Neue"/>
          <w:sz w:val="24"/>
          <w:szCs w:val="24"/>
        </w:rPr>
      </w:pPr>
      <w:r>
        <w:rPr>
          <w:rFonts w:ascii="Helvetica Neue" w:eastAsia="Helvetica Neue" w:hAnsi="Helvetica Neue" w:cs="Helvetica Neue"/>
          <w:sz w:val="24"/>
          <w:szCs w:val="24"/>
        </w:rPr>
        <w:t>11.1 Los estudios vigentes de carácter técnico, socioeconómico, ambiental, predial, financiero y jurídico acordes con el proyecto, la descripción completa del proyecto incluyendo diseño, construcción, operación, mantenimiento, organización o explotación del mismo, el modelo financiero detallado y formulado que fundamente el valor del proyecto, descripción detallada de las fases y duración del proyecto y justificación del plazo del contrato. El modelo financiero estatal tendrá reserva legal.</w:t>
      </w:r>
    </w:p>
    <w:p w:rsidR="00E90573" w:rsidRDefault="00E90573">
      <w:pPr>
        <w:spacing w:after="0" w:line="240" w:lineRule="auto"/>
        <w:jc w:val="both"/>
        <w:rPr>
          <w:rFonts w:ascii="Helvetica Neue" w:eastAsia="Helvetica Neue" w:hAnsi="Helvetica Neue" w:cs="Helvetica Neue"/>
          <w:sz w:val="24"/>
          <w:szCs w:val="24"/>
        </w:rPr>
      </w:pPr>
    </w:p>
    <w:p w:rsidR="00E90573" w:rsidRDefault="00D17DEC">
      <w:pPr>
        <w:spacing w:after="0" w:line="240" w:lineRule="auto"/>
        <w:jc w:val="both"/>
        <w:rPr>
          <w:rFonts w:ascii="Helvetica Neue" w:eastAsia="Helvetica Neue" w:hAnsi="Helvetica Neue" w:cs="Helvetica Neue"/>
          <w:sz w:val="24"/>
          <w:szCs w:val="24"/>
        </w:rPr>
      </w:pPr>
      <w:r>
        <w:rPr>
          <w:rFonts w:ascii="Helvetica Neue" w:eastAsia="Helvetica Neue" w:hAnsi="Helvetica Neue" w:cs="Helvetica Neue"/>
          <w:sz w:val="24"/>
          <w:szCs w:val="24"/>
        </w:rPr>
        <w:t>11.2 Evaluación costo beneficio del proyecto analizando su impacto social, económico y ambiental sobre la población directamente afectada, evaluando los beneficios socioeconómicos esperados.</w:t>
      </w:r>
    </w:p>
    <w:p w:rsidR="00E90573" w:rsidRDefault="00E90573">
      <w:pPr>
        <w:spacing w:after="0" w:line="240" w:lineRule="auto"/>
        <w:jc w:val="both"/>
        <w:rPr>
          <w:rFonts w:ascii="Helvetica Neue" w:eastAsia="Helvetica Neue" w:hAnsi="Helvetica Neue" w:cs="Helvetica Neue"/>
          <w:sz w:val="24"/>
          <w:szCs w:val="24"/>
        </w:rPr>
      </w:pPr>
    </w:p>
    <w:p w:rsidR="00E90573" w:rsidRDefault="00D17DEC">
      <w:pPr>
        <w:spacing w:after="0" w:line="240" w:lineRule="auto"/>
        <w:jc w:val="both"/>
        <w:rPr>
          <w:rFonts w:ascii="Helvetica Neue" w:eastAsia="Helvetica Neue" w:hAnsi="Helvetica Neue" w:cs="Helvetica Neue"/>
          <w:sz w:val="24"/>
          <w:szCs w:val="24"/>
        </w:rPr>
      </w:pPr>
      <w:r>
        <w:rPr>
          <w:rFonts w:ascii="Helvetica Neue" w:eastAsia="Helvetica Neue" w:hAnsi="Helvetica Neue" w:cs="Helvetica Neue"/>
          <w:sz w:val="24"/>
          <w:szCs w:val="24"/>
        </w:rPr>
        <w:t>11.3 Justificación de utilizar el mecanismo de asociación público privada como una modalidad para la ejecución del proyecto, de conformidad con los parámetros definidos por el Departamento Nacional de Planeación.</w:t>
      </w:r>
      <w:r>
        <w:rPr>
          <w:rFonts w:ascii="Helvetica Neue" w:eastAsia="Helvetica Neue" w:hAnsi="Helvetica Neue" w:cs="Helvetica Neue"/>
          <w:b/>
          <w:sz w:val="24"/>
          <w:szCs w:val="24"/>
        </w:rPr>
        <w:t xml:space="preserve"> </w:t>
      </w:r>
      <w:r>
        <w:rPr>
          <w:rFonts w:ascii="Helvetica Neue" w:eastAsia="Helvetica Neue" w:hAnsi="Helvetica Neue" w:cs="Helvetica Neue"/>
          <w:sz w:val="24"/>
          <w:szCs w:val="24"/>
        </w:rPr>
        <w:t>Los análisis señalados en este numeral</w:t>
      </w:r>
      <w:r>
        <w:rPr>
          <w:rFonts w:ascii="Helvetica Neue" w:eastAsia="Helvetica Neue" w:hAnsi="Helvetica Neue" w:cs="Helvetica Neue"/>
          <w:b/>
          <w:sz w:val="24"/>
          <w:szCs w:val="24"/>
          <w:u w:val="single"/>
        </w:rPr>
        <w:t xml:space="preserve"> serán realizados por el Departamento Nacional de Planeación, en caso que la entidad pública contratante sea de orden nacional, para proyectos desarrollados por entidades territoriales, estará a cargo de la Financiera de Desarrollo Nacional o la entidad de planeación de la respectiva entidad territorial, según defina la entidad contratante</w:t>
      </w:r>
      <w:r>
        <w:rPr>
          <w:rFonts w:ascii="Helvetica Neue" w:eastAsia="Helvetica Neue" w:hAnsi="Helvetica Neue" w:cs="Helvetica Neue"/>
          <w:sz w:val="24"/>
          <w:szCs w:val="24"/>
        </w:rPr>
        <w:t>.  Para lo anterior, se deberá contar con la aprobación del Ministerio de Hacienda y Crédito Público respecto de las valoraciones de las obligaciones contingentes que realicen las Entidades Estatales, en desarrollo de los Esquemas de Asociación Público Privada, en los términos definidos en la Ley 448 de 1998.</w:t>
      </w:r>
    </w:p>
    <w:p w:rsidR="00E90573" w:rsidRDefault="00E90573">
      <w:pPr>
        <w:spacing w:after="0" w:line="240" w:lineRule="auto"/>
        <w:jc w:val="both"/>
        <w:rPr>
          <w:rFonts w:ascii="Helvetica Neue" w:eastAsia="Helvetica Neue" w:hAnsi="Helvetica Neue" w:cs="Helvetica Neue"/>
          <w:sz w:val="24"/>
          <w:szCs w:val="24"/>
        </w:rPr>
      </w:pPr>
    </w:p>
    <w:p w:rsidR="00E90573" w:rsidRDefault="00D17DEC">
      <w:pPr>
        <w:spacing w:after="0" w:line="240" w:lineRule="auto"/>
        <w:jc w:val="both"/>
        <w:rPr>
          <w:rFonts w:ascii="Helvetica Neue" w:eastAsia="Helvetica Neue" w:hAnsi="Helvetica Neue" w:cs="Helvetica Neue"/>
          <w:sz w:val="24"/>
          <w:szCs w:val="24"/>
        </w:rPr>
      </w:pPr>
      <w:r>
        <w:rPr>
          <w:rFonts w:ascii="Helvetica Neue" w:eastAsia="Helvetica Neue" w:hAnsi="Helvetica Neue" w:cs="Helvetica Neue"/>
          <w:sz w:val="24"/>
          <w:szCs w:val="24"/>
        </w:rPr>
        <w:t>11.4 Análisis de amenaza y vulnerabilidad con el fin de garantizar la no generación o reproducción de condiciones de riesgo de desastre.</w:t>
      </w:r>
    </w:p>
    <w:p w:rsidR="00E90573" w:rsidRDefault="00E90573">
      <w:pPr>
        <w:spacing w:after="0" w:line="240" w:lineRule="auto"/>
        <w:jc w:val="both"/>
        <w:rPr>
          <w:rFonts w:ascii="Helvetica Neue" w:eastAsia="Helvetica Neue" w:hAnsi="Helvetica Neue" w:cs="Helvetica Neue"/>
          <w:sz w:val="24"/>
          <w:szCs w:val="24"/>
        </w:rPr>
      </w:pPr>
    </w:p>
    <w:p w:rsidR="00E90573" w:rsidRDefault="00D17DEC">
      <w:pPr>
        <w:spacing w:after="0" w:line="240" w:lineRule="auto"/>
        <w:jc w:val="both"/>
        <w:rPr>
          <w:rFonts w:ascii="Helvetica Neue" w:eastAsia="Helvetica Neue" w:hAnsi="Helvetica Neue" w:cs="Helvetica Neue"/>
          <w:sz w:val="24"/>
          <w:szCs w:val="24"/>
        </w:rPr>
      </w:pPr>
      <w:r>
        <w:rPr>
          <w:rFonts w:ascii="Helvetica Neue" w:eastAsia="Helvetica Neue" w:hAnsi="Helvetica Neue" w:cs="Helvetica Neue"/>
          <w:sz w:val="24"/>
          <w:szCs w:val="24"/>
        </w:rPr>
        <w:t>11.5 La adecuada tipificación, estimación y asignación de los riesgos, posibles contingencias, la respectiva matriz de riesgos asociados al proyecto.</w:t>
      </w:r>
    </w:p>
    <w:p w:rsidR="00E90573" w:rsidRDefault="00E90573">
      <w:pPr>
        <w:spacing w:after="0" w:line="240" w:lineRule="auto"/>
        <w:jc w:val="both"/>
        <w:rPr>
          <w:rFonts w:ascii="Helvetica Neue" w:eastAsia="Helvetica Neue" w:hAnsi="Helvetica Neue" w:cs="Helvetica Neue"/>
          <w:b/>
          <w:sz w:val="24"/>
          <w:szCs w:val="24"/>
        </w:rPr>
      </w:pPr>
    </w:p>
    <w:p w:rsidR="00E90573" w:rsidRDefault="00E90573">
      <w:pPr>
        <w:spacing w:after="0" w:line="240" w:lineRule="auto"/>
        <w:jc w:val="both"/>
        <w:rPr>
          <w:rFonts w:ascii="Helvetica Neue" w:eastAsia="Helvetica Neue" w:hAnsi="Helvetica Neue" w:cs="Helvetica Neue"/>
          <w:b/>
          <w:sz w:val="24"/>
          <w:szCs w:val="24"/>
        </w:rPr>
      </w:pPr>
    </w:p>
    <w:p w:rsidR="00E90573" w:rsidRDefault="00E90573">
      <w:pPr>
        <w:spacing w:after="0" w:line="240" w:lineRule="auto"/>
        <w:jc w:val="both"/>
        <w:rPr>
          <w:rFonts w:ascii="Helvetica Neue" w:eastAsia="Helvetica Neue" w:hAnsi="Helvetica Neue" w:cs="Helvetica Neue"/>
          <w:b/>
          <w:sz w:val="24"/>
          <w:szCs w:val="24"/>
        </w:rPr>
      </w:pPr>
    </w:p>
    <w:p w:rsidR="00E90573" w:rsidRDefault="00D17DEC">
      <w:pPr>
        <w:spacing w:after="0" w:line="240" w:lineRule="auto"/>
        <w:jc w:val="both"/>
        <w:rPr>
          <w:rFonts w:ascii="Helvetica Neue" w:eastAsia="Helvetica Neue" w:hAnsi="Helvetica Neue" w:cs="Helvetica Neue"/>
          <w:b/>
          <w:sz w:val="24"/>
          <w:szCs w:val="24"/>
        </w:rPr>
      </w:pPr>
      <w:r>
        <w:rPr>
          <w:rFonts w:ascii="Helvetica Neue" w:eastAsia="Helvetica Neue" w:hAnsi="Helvetica Neue" w:cs="Helvetica Neue"/>
          <w:b/>
          <w:sz w:val="24"/>
          <w:szCs w:val="24"/>
        </w:rPr>
        <w:t xml:space="preserve">Artículo 2°. </w:t>
      </w:r>
      <w:r>
        <w:rPr>
          <w:rFonts w:ascii="Helvetica Neue" w:eastAsia="Helvetica Neue" w:hAnsi="Helvetica Neue" w:cs="Helvetica Neue"/>
          <w:sz w:val="24"/>
          <w:szCs w:val="24"/>
        </w:rPr>
        <w:t>Modifíquese parcialmente el inciso 7 del artículo 14 de la Ley 1508 de 2012, el cual quedará así:</w:t>
      </w:r>
      <w:r>
        <w:rPr>
          <w:rFonts w:ascii="Helvetica Neue" w:eastAsia="Helvetica Neue" w:hAnsi="Helvetica Neue" w:cs="Helvetica Neue"/>
          <w:b/>
          <w:sz w:val="24"/>
          <w:szCs w:val="24"/>
        </w:rPr>
        <w:t xml:space="preserve"> </w:t>
      </w:r>
    </w:p>
    <w:p w:rsidR="00E90573" w:rsidRDefault="00E90573">
      <w:pPr>
        <w:spacing w:after="0" w:line="240" w:lineRule="auto"/>
        <w:jc w:val="both"/>
        <w:rPr>
          <w:rFonts w:ascii="Helvetica Neue" w:eastAsia="Helvetica Neue" w:hAnsi="Helvetica Neue" w:cs="Helvetica Neue"/>
          <w:b/>
          <w:sz w:val="24"/>
          <w:szCs w:val="24"/>
        </w:rPr>
      </w:pPr>
    </w:p>
    <w:p w:rsidR="00E90573" w:rsidRDefault="00D17DEC">
      <w:pPr>
        <w:spacing w:after="0" w:line="240" w:lineRule="auto"/>
        <w:jc w:val="both"/>
        <w:rPr>
          <w:rFonts w:ascii="Times New Roman" w:eastAsia="Times New Roman" w:hAnsi="Times New Roman" w:cs="Times New Roman"/>
          <w:sz w:val="24"/>
          <w:szCs w:val="24"/>
        </w:rPr>
      </w:pPr>
      <w:r>
        <w:rPr>
          <w:rFonts w:ascii="Helvetica Neue" w:eastAsia="Helvetica Neue" w:hAnsi="Helvetica Neue" w:cs="Helvetica Neue"/>
          <w:b/>
          <w:color w:val="000000"/>
          <w:sz w:val="24"/>
          <w:szCs w:val="24"/>
        </w:rPr>
        <w:lastRenderedPageBreak/>
        <w:t xml:space="preserve">ARTÍCULO 14. </w:t>
      </w:r>
      <w:r>
        <w:rPr>
          <w:rFonts w:ascii="Helvetica Neue" w:eastAsia="Helvetica Neue" w:hAnsi="Helvetica Neue" w:cs="Helvetica Neue"/>
          <w:color w:val="000000"/>
          <w:sz w:val="24"/>
          <w:szCs w:val="24"/>
        </w:rPr>
        <w:t>ESTRUCTURACIÓN DE PROYECTOS POR AGENTES PRIVADOS. Los particulares podrán estructurar proyectos de infraestructura pública o para la prestación de sus servicios asociados, por su propia cuenta y riesgo, asumiendo la totalidad de los costos de la estructuración, y presentarlos de forma confidencial y bajo reserva a consideración de las entidades estatales competentes.</w:t>
      </w:r>
    </w:p>
    <w:p w:rsidR="00E90573" w:rsidRDefault="00E90573">
      <w:pPr>
        <w:spacing w:after="0" w:line="240" w:lineRule="auto"/>
        <w:rPr>
          <w:rFonts w:ascii="Times New Roman" w:eastAsia="Times New Roman" w:hAnsi="Times New Roman" w:cs="Times New Roman"/>
          <w:sz w:val="24"/>
          <w:szCs w:val="24"/>
        </w:rPr>
      </w:pPr>
    </w:p>
    <w:p w:rsidR="00E90573" w:rsidRDefault="00D17DEC">
      <w:pPr>
        <w:spacing w:after="0" w:line="240" w:lineRule="auto"/>
        <w:jc w:val="both"/>
        <w:rPr>
          <w:rFonts w:ascii="Times New Roman" w:eastAsia="Times New Roman" w:hAnsi="Times New Roman" w:cs="Times New Roman"/>
          <w:sz w:val="24"/>
          <w:szCs w:val="24"/>
        </w:rPr>
      </w:pPr>
      <w:r>
        <w:rPr>
          <w:rFonts w:ascii="Helvetica Neue" w:eastAsia="Helvetica Neue" w:hAnsi="Helvetica Neue" w:cs="Helvetica Neue"/>
          <w:color w:val="000000"/>
          <w:sz w:val="24"/>
          <w:szCs w:val="24"/>
        </w:rPr>
        <w:t>El proceso de estructuración del proyecto por agentes privados estará dividido en dos (2) etapas, una de prefactibilidad y otra de factibilidad.</w:t>
      </w:r>
    </w:p>
    <w:p w:rsidR="00E90573" w:rsidRDefault="00E90573">
      <w:pPr>
        <w:spacing w:after="0" w:line="240" w:lineRule="auto"/>
        <w:rPr>
          <w:rFonts w:ascii="Times New Roman" w:eastAsia="Times New Roman" w:hAnsi="Times New Roman" w:cs="Times New Roman"/>
          <w:sz w:val="24"/>
          <w:szCs w:val="24"/>
        </w:rPr>
      </w:pPr>
    </w:p>
    <w:p w:rsidR="00E90573" w:rsidRDefault="00D17DEC">
      <w:pPr>
        <w:spacing w:after="0" w:line="240" w:lineRule="auto"/>
        <w:jc w:val="both"/>
        <w:rPr>
          <w:rFonts w:ascii="Times New Roman" w:eastAsia="Times New Roman" w:hAnsi="Times New Roman" w:cs="Times New Roman"/>
          <w:sz w:val="24"/>
          <w:szCs w:val="24"/>
        </w:rPr>
      </w:pPr>
      <w:r>
        <w:rPr>
          <w:rFonts w:ascii="Helvetica Neue" w:eastAsia="Helvetica Neue" w:hAnsi="Helvetica Neue" w:cs="Helvetica Neue"/>
          <w:color w:val="000000"/>
          <w:sz w:val="24"/>
          <w:szCs w:val="24"/>
        </w:rPr>
        <w:t>En la etapa de prefactibilidad el originador de la propuesta deberá señalar claramente la descripción completa del proyecto incluyendo el diseño mínimo en etapa de prefactibilidad, construcción, operación, mantenimiento, organización y explotación del mismo, alcance del proyecto, estudios de demanda en etapa de prefactibilidad, especificaciones del proyecto, su costo estimado y la fuente de financiación.</w:t>
      </w:r>
    </w:p>
    <w:p w:rsidR="00E90573" w:rsidRDefault="00E90573">
      <w:pPr>
        <w:spacing w:after="0" w:line="240" w:lineRule="auto"/>
        <w:rPr>
          <w:rFonts w:ascii="Times New Roman" w:eastAsia="Times New Roman" w:hAnsi="Times New Roman" w:cs="Times New Roman"/>
          <w:sz w:val="24"/>
          <w:szCs w:val="24"/>
        </w:rPr>
      </w:pPr>
    </w:p>
    <w:p w:rsidR="00E90573" w:rsidRDefault="00D17DEC">
      <w:pPr>
        <w:spacing w:after="0" w:line="240" w:lineRule="auto"/>
        <w:jc w:val="both"/>
        <w:rPr>
          <w:rFonts w:ascii="Times New Roman" w:eastAsia="Times New Roman" w:hAnsi="Times New Roman" w:cs="Times New Roman"/>
          <w:sz w:val="24"/>
          <w:szCs w:val="24"/>
        </w:rPr>
      </w:pPr>
      <w:r>
        <w:rPr>
          <w:rFonts w:ascii="Helvetica Neue" w:eastAsia="Helvetica Neue" w:hAnsi="Helvetica Neue" w:cs="Helvetica Neue"/>
          <w:color w:val="000000"/>
          <w:sz w:val="24"/>
          <w:szCs w:val="24"/>
        </w:rPr>
        <w:t>Para la etapa de factibilidad, la iniciativa para la realización del proyecto deberá comprender: el modelo financiero detallado y formulado que fundamente el valor del proyecto, descripción detallada de las fases y duración del proyecto, justificación del plazo del contrato, análisis de riesgos asociados al proyecto, estudios de impacto ambiental, económico y social, y estudios de factibilidad técnica, económica, ambiental, predial, financiera y jurídica del proyecto.</w:t>
      </w:r>
    </w:p>
    <w:p w:rsidR="00E90573" w:rsidRDefault="00E90573">
      <w:pPr>
        <w:spacing w:after="0" w:line="240" w:lineRule="auto"/>
        <w:rPr>
          <w:rFonts w:ascii="Times New Roman" w:eastAsia="Times New Roman" w:hAnsi="Times New Roman" w:cs="Times New Roman"/>
          <w:sz w:val="24"/>
          <w:szCs w:val="24"/>
        </w:rPr>
      </w:pPr>
    </w:p>
    <w:p w:rsidR="00E90573" w:rsidRDefault="00D17DEC">
      <w:pPr>
        <w:spacing w:after="0" w:line="240" w:lineRule="auto"/>
        <w:jc w:val="both"/>
        <w:rPr>
          <w:rFonts w:ascii="Times New Roman" w:eastAsia="Times New Roman" w:hAnsi="Times New Roman" w:cs="Times New Roman"/>
          <w:sz w:val="24"/>
          <w:szCs w:val="24"/>
        </w:rPr>
      </w:pPr>
      <w:r>
        <w:rPr>
          <w:rFonts w:ascii="Helvetica Neue" w:eastAsia="Helvetica Neue" w:hAnsi="Helvetica Neue" w:cs="Helvetica Neue"/>
          <w:color w:val="000000"/>
          <w:sz w:val="24"/>
          <w:szCs w:val="24"/>
        </w:rPr>
        <w:t>En la etapa de factibilidad el originador del proyecto deberá anexar los documentos que acrediten su capacidad jurídica, financiera o de potencial financiación, de experiencia en inversión o de estructuración de proyectos o para desarrollar el proyecto, el valor de la estructuración del proyecto y una minuta del contrato a celebrar que incluya entre otros, la propuesta de distribución de riesgos.</w:t>
      </w:r>
    </w:p>
    <w:p w:rsidR="00E90573" w:rsidRDefault="00E90573">
      <w:pPr>
        <w:spacing w:after="0" w:line="240" w:lineRule="auto"/>
        <w:rPr>
          <w:rFonts w:ascii="Times New Roman" w:eastAsia="Times New Roman" w:hAnsi="Times New Roman" w:cs="Times New Roman"/>
          <w:sz w:val="24"/>
          <w:szCs w:val="24"/>
        </w:rPr>
      </w:pPr>
    </w:p>
    <w:p w:rsidR="00E90573" w:rsidRDefault="00D17DEC">
      <w:pPr>
        <w:spacing w:after="0" w:line="240" w:lineRule="auto"/>
        <w:jc w:val="both"/>
        <w:rPr>
          <w:rFonts w:ascii="Times New Roman" w:eastAsia="Times New Roman" w:hAnsi="Times New Roman" w:cs="Times New Roman"/>
          <w:sz w:val="24"/>
          <w:szCs w:val="24"/>
        </w:rPr>
      </w:pPr>
      <w:r>
        <w:rPr>
          <w:rFonts w:ascii="Helvetica Neue" w:eastAsia="Helvetica Neue" w:hAnsi="Helvetica Neue" w:cs="Helvetica Neue"/>
          <w:color w:val="000000"/>
          <w:sz w:val="24"/>
          <w:szCs w:val="24"/>
        </w:rPr>
        <w:t>En esta etapa se deberá certificar que la información que entrega es veraz y es toda de la que dispone sobre el proyecto. Esta certificación deberá presentarse mediante una declaración juramentada.</w:t>
      </w:r>
    </w:p>
    <w:p w:rsidR="00E90573" w:rsidRDefault="00E90573">
      <w:pPr>
        <w:spacing w:after="0" w:line="240" w:lineRule="auto"/>
        <w:rPr>
          <w:rFonts w:ascii="Times New Roman" w:eastAsia="Times New Roman" w:hAnsi="Times New Roman" w:cs="Times New Roman"/>
          <w:sz w:val="24"/>
          <w:szCs w:val="24"/>
        </w:rPr>
      </w:pPr>
    </w:p>
    <w:p w:rsidR="00E90573" w:rsidRDefault="00D17DEC">
      <w:pPr>
        <w:spacing w:after="0" w:line="240" w:lineRule="auto"/>
        <w:jc w:val="both"/>
        <w:rPr>
          <w:rFonts w:ascii="Times New Roman" w:eastAsia="Times New Roman" w:hAnsi="Times New Roman" w:cs="Times New Roman"/>
          <w:sz w:val="24"/>
          <w:szCs w:val="24"/>
        </w:rPr>
      </w:pPr>
      <w:r>
        <w:rPr>
          <w:rFonts w:ascii="Helvetica Neue" w:eastAsia="Helvetica Neue" w:hAnsi="Helvetica Neue" w:cs="Helvetica Neue"/>
          <w:color w:val="000000"/>
          <w:sz w:val="24"/>
          <w:szCs w:val="24"/>
        </w:rPr>
        <w:t xml:space="preserve">No podrán presentarse iniciativas en los casos en que correspondan a un proyecto que, al momento de su presentación modifiquen contratos o concesiones existentes o para los cuales se haya adelantado su estructuración por parte de cualquier entidad estatal. Tampoco se aceptarán aquellas iniciativas que demanden garantías del Estado o desembolsos de recursos del Presupuesto General de la Nación, las entidades territoriales o de otros fondos públicos, superiores a los establecidos en la presente ley. </w:t>
      </w:r>
      <w:r>
        <w:rPr>
          <w:rFonts w:ascii="Arial" w:eastAsia="Arial" w:hAnsi="Arial" w:cs="Arial"/>
          <w:b/>
          <w:i/>
          <w:sz w:val="24"/>
          <w:szCs w:val="24"/>
          <w:u w:val="single"/>
        </w:rPr>
        <w:t>Para los efectos previstos en esta ley, los recursos incorporados a un Plan de Aportes al Fondo de Contingencias en los términos de la Ley 448 de 1998, no son considerados desembolsos de recursos públicos.</w:t>
      </w:r>
    </w:p>
    <w:p w:rsidR="00E90573" w:rsidRDefault="00E90573">
      <w:pPr>
        <w:spacing w:after="0" w:line="240" w:lineRule="auto"/>
        <w:rPr>
          <w:rFonts w:ascii="Times New Roman" w:eastAsia="Times New Roman" w:hAnsi="Times New Roman" w:cs="Times New Roman"/>
          <w:sz w:val="24"/>
          <w:szCs w:val="24"/>
        </w:rPr>
      </w:pPr>
    </w:p>
    <w:p w:rsidR="00E90573" w:rsidRDefault="00D17DEC">
      <w:pPr>
        <w:spacing w:after="0" w:line="240" w:lineRule="auto"/>
        <w:jc w:val="both"/>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Cuando existan varios originadores para un mismo proyecto tendrá prioridad para su estudio el primero que radique una oferta ante la entidad estatal competente y que posteriormente sea declarada por esta como viable.</w:t>
      </w:r>
    </w:p>
    <w:p w:rsidR="00E90573" w:rsidRDefault="00E90573">
      <w:pPr>
        <w:spacing w:after="0" w:line="240" w:lineRule="auto"/>
        <w:jc w:val="both"/>
        <w:rPr>
          <w:rFonts w:ascii="Helvetica Neue" w:eastAsia="Helvetica Neue" w:hAnsi="Helvetica Neue" w:cs="Helvetica Neue"/>
          <w:sz w:val="24"/>
          <w:szCs w:val="24"/>
        </w:rPr>
      </w:pPr>
    </w:p>
    <w:p w:rsidR="00E90573" w:rsidRDefault="00E90573">
      <w:pPr>
        <w:spacing w:after="0" w:line="240" w:lineRule="auto"/>
        <w:rPr>
          <w:rFonts w:ascii="Times New Roman" w:eastAsia="Times New Roman" w:hAnsi="Times New Roman" w:cs="Times New Roman"/>
          <w:sz w:val="24"/>
          <w:szCs w:val="24"/>
        </w:rPr>
      </w:pPr>
    </w:p>
    <w:p w:rsidR="00E90573" w:rsidRDefault="00D17DEC">
      <w:pPr>
        <w:spacing w:after="0" w:line="240" w:lineRule="auto"/>
        <w:jc w:val="both"/>
        <w:rPr>
          <w:rFonts w:ascii="Helvetica Neue" w:eastAsia="Helvetica Neue" w:hAnsi="Helvetica Neue" w:cs="Helvetica Neue"/>
          <w:b/>
          <w:sz w:val="24"/>
          <w:szCs w:val="24"/>
        </w:rPr>
      </w:pPr>
      <w:r>
        <w:rPr>
          <w:rFonts w:ascii="Helvetica Neue" w:eastAsia="Helvetica Neue" w:hAnsi="Helvetica Neue" w:cs="Helvetica Neue"/>
          <w:b/>
          <w:sz w:val="24"/>
          <w:szCs w:val="24"/>
        </w:rPr>
        <w:t xml:space="preserve">Artículo 3°. </w:t>
      </w:r>
      <w:r>
        <w:rPr>
          <w:rFonts w:ascii="Helvetica Neue" w:eastAsia="Helvetica Neue" w:hAnsi="Helvetica Neue" w:cs="Helvetica Neue"/>
          <w:sz w:val="24"/>
          <w:szCs w:val="24"/>
        </w:rPr>
        <w:t>Modifíquese parcialmente el artículo 19 de la Ley 1508 de 2012, el cual quedará así:</w:t>
      </w:r>
      <w:r>
        <w:rPr>
          <w:rFonts w:ascii="Helvetica Neue" w:eastAsia="Helvetica Neue" w:hAnsi="Helvetica Neue" w:cs="Helvetica Neue"/>
          <w:b/>
          <w:sz w:val="24"/>
          <w:szCs w:val="24"/>
        </w:rPr>
        <w:t xml:space="preserve"> </w:t>
      </w:r>
    </w:p>
    <w:p w:rsidR="00E90573" w:rsidRDefault="00E90573">
      <w:pPr>
        <w:spacing w:after="0" w:line="240" w:lineRule="auto"/>
        <w:jc w:val="both"/>
        <w:rPr>
          <w:rFonts w:ascii="Helvetica Neue" w:eastAsia="Helvetica Neue" w:hAnsi="Helvetica Neue" w:cs="Helvetica Neue"/>
          <w:b/>
          <w:sz w:val="24"/>
          <w:szCs w:val="24"/>
        </w:rPr>
      </w:pPr>
    </w:p>
    <w:p w:rsidR="00E90573" w:rsidRDefault="00D17DEC">
      <w:pPr>
        <w:spacing w:after="0" w:line="240" w:lineRule="auto"/>
        <w:jc w:val="both"/>
        <w:rPr>
          <w:rFonts w:ascii="Times New Roman" w:eastAsia="Times New Roman" w:hAnsi="Times New Roman" w:cs="Times New Roman"/>
          <w:sz w:val="24"/>
          <w:szCs w:val="24"/>
        </w:rPr>
      </w:pPr>
      <w:r>
        <w:rPr>
          <w:rFonts w:ascii="Helvetica Neue" w:eastAsia="Helvetica Neue" w:hAnsi="Helvetica Neue" w:cs="Helvetica Neue"/>
          <w:color w:val="000000"/>
          <w:sz w:val="24"/>
          <w:szCs w:val="24"/>
        </w:rPr>
        <w:t xml:space="preserve">ARTÍCULO 19. INICIATIVAS PRIVADAS QUE NO REQUIEREN DESEMBOLSOS DE RECURSOS PÚBLICOS. Logrado el acuerdo entre la entidad estatal competente y el originador del proyecto, manteniendo el originador la condición de no requerir recursos del Presupuesto General de la Nación, de las entidades territoriales o de otros fondos públicos para la ejecución del proyecto, la entidad competente publicará el acuerdo, </w:t>
      </w:r>
      <w:r>
        <w:rPr>
          <w:rFonts w:ascii="Helvetica Neue" w:eastAsia="Helvetica Neue" w:hAnsi="Helvetica Neue" w:cs="Helvetica Neue"/>
          <w:color w:val="000000"/>
          <w:sz w:val="24"/>
          <w:szCs w:val="24"/>
        </w:rPr>
        <w:lastRenderedPageBreak/>
        <w:t xml:space="preserve">los estudios y la minuta del contrato y sus anexos por un término no inferior a </w:t>
      </w:r>
      <w:r>
        <w:rPr>
          <w:rFonts w:ascii="Helvetica Neue" w:eastAsia="Helvetica Neue" w:hAnsi="Helvetica Neue" w:cs="Helvetica Neue"/>
          <w:b/>
          <w:color w:val="000000"/>
          <w:sz w:val="24"/>
          <w:szCs w:val="24"/>
          <w:u w:val="single"/>
        </w:rPr>
        <w:t>cuatro (4) meses</w:t>
      </w:r>
      <w:r>
        <w:rPr>
          <w:rFonts w:ascii="Helvetica Neue" w:eastAsia="Helvetica Neue" w:hAnsi="Helvetica Neue" w:cs="Helvetica Neue"/>
          <w:color w:val="000000"/>
          <w:sz w:val="24"/>
          <w:szCs w:val="24"/>
          <w:u w:val="single"/>
        </w:rPr>
        <w:t xml:space="preserve"> </w:t>
      </w:r>
      <w:r>
        <w:rPr>
          <w:rFonts w:ascii="Helvetica Neue" w:eastAsia="Helvetica Neue" w:hAnsi="Helvetica Neue" w:cs="Helvetica Neue"/>
          <w:color w:val="000000"/>
          <w:sz w:val="24"/>
          <w:szCs w:val="24"/>
        </w:rPr>
        <w:t>ni superior a seis (6) meses, en los términos que establezca el reglamento, dependiendo de la complejidad del proyecto, en la página web del Sistema Electrónico para la Contratación Pública “SECOP”.</w:t>
      </w:r>
    </w:p>
    <w:p w:rsidR="00E90573" w:rsidRDefault="00E90573">
      <w:pPr>
        <w:spacing w:after="0" w:line="240" w:lineRule="auto"/>
        <w:rPr>
          <w:rFonts w:ascii="Times New Roman" w:eastAsia="Times New Roman" w:hAnsi="Times New Roman" w:cs="Times New Roman"/>
          <w:sz w:val="24"/>
          <w:szCs w:val="24"/>
        </w:rPr>
      </w:pPr>
    </w:p>
    <w:p w:rsidR="00E90573" w:rsidRDefault="00D17DEC">
      <w:pPr>
        <w:spacing w:after="0" w:line="240" w:lineRule="auto"/>
        <w:jc w:val="both"/>
        <w:rPr>
          <w:rFonts w:ascii="Times New Roman" w:eastAsia="Times New Roman" w:hAnsi="Times New Roman" w:cs="Times New Roman"/>
          <w:sz w:val="24"/>
          <w:szCs w:val="24"/>
        </w:rPr>
      </w:pPr>
      <w:r>
        <w:rPr>
          <w:rFonts w:ascii="Helvetica Neue" w:eastAsia="Helvetica Neue" w:hAnsi="Helvetica Neue" w:cs="Helvetica Neue"/>
          <w:color w:val="000000"/>
          <w:sz w:val="24"/>
          <w:szCs w:val="24"/>
        </w:rPr>
        <w:t>En esta publicación la entidad estatal competente señalará las condiciones que deben cumplir eventuales interesados en participar en la ejecución del proyecto y anunciará su intención de adjudicar un contrato al proponente originador, en las condiciones acordadas, si no existieren otros interesados en la ejecución del proyecto.</w:t>
      </w:r>
    </w:p>
    <w:p w:rsidR="00E90573" w:rsidRDefault="00E90573">
      <w:pPr>
        <w:spacing w:after="0" w:line="240" w:lineRule="auto"/>
        <w:rPr>
          <w:rFonts w:ascii="Times New Roman" w:eastAsia="Times New Roman" w:hAnsi="Times New Roman" w:cs="Times New Roman"/>
          <w:sz w:val="24"/>
          <w:szCs w:val="24"/>
        </w:rPr>
      </w:pPr>
    </w:p>
    <w:p w:rsidR="00E90573" w:rsidRDefault="00D17DEC">
      <w:pPr>
        <w:spacing w:after="0" w:line="240" w:lineRule="auto"/>
        <w:jc w:val="both"/>
        <w:rPr>
          <w:rFonts w:ascii="Times New Roman" w:eastAsia="Times New Roman" w:hAnsi="Times New Roman" w:cs="Times New Roman"/>
          <w:sz w:val="24"/>
          <w:szCs w:val="24"/>
        </w:rPr>
      </w:pPr>
      <w:r>
        <w:rPr>
          <w:rFonts w:ascii="Helvetica Neue" w:eastAsia="Helvetica Neue" w:hAnsi="Helvetica Neue" w:cs="Helvetica Neue"/>
          <w:color w:val="000000"/>
          <w:sz w:val="24"/>
          <w:szCs w:val="24"/>
        </w:rPr>
        <w:t>Transcurrido el plazo de la publicación anteriormente referida, sin que ningún interesado distinto al originador del proyecto manifieste a la entidad estatal competente, su interés de ejecutarlo o cumpla las condiciones para participar en su ejecución, se podrá contratar con el originador, de manera directa en las condiciones pactadas.</w:t>
      </w:r>
    </w:p>
    <w:p w:rsidR="00E90573" w:rsidRDefault="00E90573">
      <w:pPr>
        <w:spacing w:after="0" w:line="240" w:lineRule="auto"/>
        <w:jc w:val="both"/>
        <w:rPr>
          <w:rFonts w:ascii="Helvetica Neue" w:eastAsia="Helvetica Neue" w:hAnsi="Helvetica Neue" w:cs="Helvetica Neue"/>
          <w:sz w:val="24"/>
          <w:szCs w:val="24"/>
        </w:rPr>
      </w:pPr>
    </w:p>
    <w:p w:rsidR="00E90573" w:rsidRDefault="00E90573">
      <w:pPr>
        <w:spacing w:after="0" w:line="240" w:lineRule="auto"/>
        <w:jc w:val="both"/>
        <w:rPr>
          <w:rFonts w:ascii="Helvetica Neue" w:eastAsia="Helvetica Neue" w:hAnsi="Helvetica Neue" w:cs="Helvetica Neue"/>
          <w:sz w:val="24"/>
          <w:szCs w:val="24"/>
        </w:rPr>
      </w:pPr>
    </w:p>
    <w:p w:rsidR="00E90573" w:rsidRDefault="00D17DEC">
      <w:pPr>
        <w:spacing w:after="0" w:line="240" w:lineRule="auto"/>
        <w:jc w:val="both"/>
        <w:rPr>
          <w:rFonts w:ascii="Helvetica Neue" w:eastAsia="Helvetica Neue" w:hAnsi="Helvetica Neue" w:cs="Helvetica Neue"/>
          <w:b/>
          <w:sz w:val="24"/>
          <w:szCs w:val="24"/>
        </w:rPr>
      </w:pPr>
      <w:r>
        <w:rPr>
          <w:rFonts w:ascii="Helvetica Neue" w:eastAsia="Helvetica Neue" w:hAnsi="Helvetica Neue" w:cs="Helvetica Neue"/>
          <w:b/>
          <w:sz w:val="24"/>
          <w:szCs w:val="24"/>
        </w:rPr>
        <w:t xml:space="preserve">Artículo 4°. </w:t>
      </w:r>
      <w:r>
        <w:rPr>
          <w:rFonts w:ascii="Helvetica Neue" w:eastAsia="Helvetica Neue" w:hAnsi="Helvetica Neue" w:cs="Helvetica Neue"/>
          <w:sz w:val="24"/>
          <w:szCs w:val="24"/>
        </w:rPr>
        <w:t>Modifíquese parcialmente el artículo 20 de la Ley 1508 de 2012, el cual quedará así:</w:t>
      </w:r>
      <w:r>
        <w:rPr>
          <w:rFonts w:ascii="Helvetica Neue" w:eastAsia="Helvetica Neue" w:hAnsi="Helvetica Neue" w:cs="Helvetica Neue"/>
          <w:b/>
          <w:sz w:val="24"/>
          <w:szCs w:val="24"/>
        </w:rPr>
        <w:t xml:space="preserve"> </w:t>
      </w:r>
    </w:p>
    <w:p w:rsidR="00E90573" w:rsidRDefault="00E90573">
      <w:pPr>
        <w:spacing w:after="0" w:line="240" w:lineRule="auto"/>
        <w:jc w:val="both"/>
        <w:rPr>
          <w:rFonts w:ascii="Helvetica Neue" w:eastAsia="Helvetica Neue" w:hAnsi="Helvetica Neue" w:cs="Helvetica Neue"/>
          <w:b/>
          <w:sz w:val="24"/>
          <w:szCs w:val="24"/>
          <w:u w:val="single"/>
        </w:rPr>
      </w:pPr>
    </w:p>
    <w:p w:rsidR="00E90573" w:rsidRDefault="00D17DEC">
      <w:pPr>
        <w:spacing w:after="0" w:line="240" w:lineRule="auto"/>
        <w:jc w:val="both"/>
        <w:rPr>
          <w:rFonts w:ascii="Helvetica Neue" w:eastAsia="Helvetica Neue" w:hAnsi="Helvetica Neue" w:cs="Helvetica Neue"/>
          <w:sz w:val="24"/>
          <w:szCs w:val="24"/>
        </w:rPr>
      </w:pPr>
      <w:r>
        <w:rPr>
          <w:rFonts w:ascii="Helvetica Neue" w:eastAsia="Helvetica Neue" w:hAnsi="Helvetica Neue" w:cs="Helvetica Neue"/>
          <w:sz w:val="24"/>
          <w:szCs w:val="24"/>
        </w:rPr>
        <w:t>ARTÍCULO 20. TERCEROS INTERESADOS Y SELECCIÓN. Si un tercero manifiesta su interés en ejecutar el proyecto, en las condiciones pactadas entre la entidad estatal competente y el originador del proyecto, manteniendo la condición de no requerir recursos del Presupuesto General de la Nación, de las entidades territoriales o de otros fondos públicos para la ejecución del proyecto, deberá manifestarlo y garantizar la presentación de la iniciativa mediante una póliza de seguros, un aval bancario u otros medios autorizados por la ley, acreditando su capacidad jurídica, financiera o de potencial financiación, la experiencia en inversión o en estructuración de proyectos, para desarrollar el proyecto acordado.</w:t>
      </w:r>
    </w:p>
    <w:p w:rsidR="00E90573" w:rsidRDefault="00E90573">
      <w:pPr>
        <w:spacing w:after="0" w:line="240" w:lineRule="auto"/>
        <w:jc w:val="both"/>
        <w:rPr>
          <w:rFonts w:ascii="Helvetica Neue" w:eastAsia="Helvetica Neue" w:hAnsi="Helvetica Neue" w:cs="Helvetica Neue"/>
          <w:sz w:val="24"/>
          <w:szCs w:val="24"/>
        </w:rPr>
      </w:pPr>
    </w:p>
    <w:p w:rsidR="00E90573" w:rsidRDefault="00D17DEC">
      <w:pPr>
        <w:spacing w:after="0" w:line="240" w:lineRule="auto"/>
        <w:jc w:val="both"/>
        <w:rPr>
          <w:rFonts w:ascii="Helvetica Neue" w:eastAsia="Helvetica Neue" w:hAnsi="Helvetica Neue" w:cs="Helvetica Neue"/>
          <w:sz w:val="24"/>
          <w:szCs w:val="24"/>
        </w:rPr>
      </w:pPr>
      <w:r>
        <w:rPr>
          <w:rFonts w:ascii="Helvetica Neue" w:eastAsia="Helvetica Neue" w:hAnsi="Helvetica Neue" w:cs="Helvetica Neue"/>
          <w:sz w:val="24"/>
          <w:szCs w:val="24"/>
        </w:rPr>
        <w:t>En ese caso, la entidad deberá abrir un proceso haciendo uso de la metodología establecida para los procesos de selección abreviada de menor cuantía con precalificación, para la selección del contratista entre el originador del proyecto y los oferentes que hayan anexado garantía para la presentación de sus ofertas y cumplan las condiciones para su ejecución.</w:t>
      </w:r>
    </w:p>
    <w:p w:rsidR="00E90573" w:rsidRDefault="00E90573">
      <w:pPr>
        <w:spacing w:after="0" w:line="240" w:lineRule="auto"/>
        <w:jc w:val="both"/>
        <w:rPr>
          <w:rFonts w:ascii="Helvetica Neue" w:eastAsia="Helvetica Neue" w:hAnsi="Helvetica Neue" w:cs="Helvetica Neue"/>
          <w:sz w:val="24"/>
          <w:szCs w:val="24"/>
        </w:rPr>
      </w:pPr>
    </w:p>
    <w:p w:rsidR="00E90573" w:rsidRDefault="00D17DEC">
      <w:pPr>
        <w:spacing w:after="0" w:line="240" w:lineRule="auto"/>
        <w:jc w:val="both"/>
        <w:rPr>
          <w:rFonts w:ascii="Helvetica Neue" w:eastAsia="Helvetica Neue" w:hAnsi="Helvetica Neue" w:cs="Helvetica Neue"/>
          <w:sz w:val="24"/>
          <w:szCs w:val="24"/>
        </w:rPr>
      </w:pPr>
      <w:r>
        <w:rPr>
          <w:rFonts w:ascii="Helvetica Neue" w:eastAsia="Helvetica Neue" w:hAnsi="Helvetica Neue" w:cs="Helvetica Neue"/>
          <w:b/>
          <w:sz w:val="24"/>
          <w:szCs w:val="24"/>
          <w:u w:val="single"/>
        </w:rPr>
        <w:t>Si como resultado de la evaluación, la propuesta presentada por el originador dentro del proceso de selección abreviada de menor cuantía con precalificación no queda en primer orden de elegibilidad y siempre que ésta haya obtenido como mínimo un puntaje igual o superior al noventa y siete por ciento (97%) del puntaje obtenido por la propuesta mejor calificada, este tendrá la opción de mejorar su oferta en la oportunidad establecida en los pliegos de condiciones por un plazo máximo de diez (10) días hábiles contados desde la publicación del informe definitivo de evaluación de las propuestas.</w:t>
      </w:r>
      <w:r>
        <w:rPr>
          <w:rFonts w:ascii="Helvetica Neue" w:eastAsia="Helvetica Neue" w:hAnsi="Helvetica Neue" w:cs="Helvetica Neue"/>
          <w:sz w:val="24"/>
          <w:szCs w:val="24"/>
        </w:rPr>
        <w:t xml:space="preserve">  Si el originador mejora la oferta se le adjudicará el contrato, una vez se cumplan los requisitos establecidos en la presente ley.</w:t>
      </w:r>
    </w:p>
    <w:p w:rsidR="00E90573" w:rsidRDefault="00E90573">
      <w:pPr>
        <w:spacing w:after="0" w:line="240" w:lineRule="auto"/>
        <w:jc w:val="both"/>
        <w:rPr>
          <w:rFonts w:ascii="Helvetica Neue" w:eastAsia="Helvetica Neue" w:hAnsi="Helvetica Neue" w:cs="Helvetica Neue"/>
          <w:sz w:val="24"/>
          <w:szCs w:val="24"/>
        </w:rPr>
      </w:pPr>
    </w:p>
    <w:p w:rsidR="00E90573" w:rsidRDefault="00D17DEC">
      <w:pPr>
        <w:spacing w:after="0" w:line="240" w:lineRule="auto"/>
        <w:jc w:val="both"/>
        <w:rPr>
          <w:rFonts w:ascii="Helvetica Neue" w:eastAsia="Helvetica Neue" w:hAnsi="Helvetica Neue" w:cs="Helvetica Neue"/>
          <w:b/>
          <w:sz w:val="24"/>
          <w:szCs w:val="24"/>
          <w:u w:val="single"/>
        </w:rPr>
      </w:pPr>
      <w:r>
        <w:rPr>
          <w:rFonts w:ascii="Helvetica Neue" w:eastAsia="Helvetica Neue" w:hAnsi="Helvetica Neue" w:cs="Helvetica Neue"/>
          <w:b/>
          <w:sz w:val="24"/>
          <w:szCs w:val="24"/>
          <w:u w:val="single"/>
        </w:rPr>
        <w:t>En caso que el originador mejore su propuesta, la entidad la dará a conocer a los demás oferentes para que realicen las observaciones que consideren necesarias, exclusivamente relacionadas con la mejora de la propuesta por parte del Originador, si a ello hubiere lugar, en la oportunidad establecida en los pliegos de condiciones y por un término máximo de cinco (5) días hábiles.</w:t>
      </w:r>
    </w:p>
    <w:p w:rsidR="00E90573" w:rsidRDefault="00E90573">
      <w:pPr>
        <w:spacing w:after="0" w:line="240" w:lineRule="auto"/>
        <w:jc w:val="both"/>
        <w:rPr>
          <w:rFonts w:ascii="Helvetica Neue" w:eastAsia="Helvetica Neue" w:hAnsi="Helvetica Neue" w:cs="Helvetica Neue"/>
          <w:sz w:val="24"/>
          <w:szCs w:val="24"/>
        </w:rPr>
      </w:pPr>
    </w:p>
    <w:p w:rsidR="00E90573" w:rsidRDefault="00D17DEC">
      <w:pPr>
        <w:spacing w:after="0" w:line="240" w:lineRule="auto"/>
        <w:jc w:val="both"/>
        <w:rPr>
          <w:rFonts w:ascii="Helvetica Neue" w:eastAsia="Helvetica Neue" w:hAnsi="Helvetica Neue" w:cs="Helvetica Neue"/>
          <w:b/>
          <w:sz w:val="24"/>
          <w:szCs w:val="24"/>
          <w:u w:val="single"/>
        </w:rPr>
      </w:pPr>
      <w:r>
        <w:rPr>
          <w:rFonts w:ascii="Helvetica Neue" w:eastAsia="Helvetica Neue" w:hAnsi="Helvetica Neue" w:cs="Helvetica Neue"/>
          <w:b/>
          <w:sz w:val="24"/>
          <w:szCs w:val="24"/>
          <w:u w:val="single"/>
        </w:rPr>
        <w:t xml:space="preserve">Para efectos de lo previsto en el presente artículo, se entiende que el originador mejora la oferta del proponente mejor calificado, cuando la nueva oferta del </w:t>
      </w:r>
      <w:r>
        <w:rPr>
          <w:rFonts w:ascii="Helvetica Neue" w:eastAsia="Helvetica Neue" w:hAnsi="Helvetica Neue" w:cs="Helvetica Neue"/>
          <w:b/>
          <w:sz w:val="24"/>
          <w:szCs w:val="24"/>
          <w:u w:val="single"/>
        </w:rPr>
        <w:lastRenderedPageBreak/>
        <w:t xml:space="preserve">originador obtenga un puntaje que supere el puntaje obtenido por la propuesta mejor calificada. En el caso en que no se presente ninguna oferta dentro del plazo establecido por la entidad para el efecto en el proceso de selección abreviada con precalificación, se dará aplicación a lo señalado en la presente ley para el evento en que ningún tercero presente manifestación de interés dentro del plazo previsto para el efecto.  </w:t>
      </w:r>
    </w:p>
    <w:p w:rsidR="00E90573" w:rsidRDefault="00E90573">
      <w:pPr>
        <w:spacing w:after="0" w:line="240" w:lineRule="auto"/>
        <w:jc w:val="both"/>
        <w:rPr>
          <w:rFonts w:ascii="Helvetica Neue" w:eastAsia="Helvetica Neue" w:hAnsi="Helvetica Neue" w:cs="Helvetica Neue"/>
          <w:b/>
          <w:sz w:val="24"/>
          <w:szCs w:val="24"/>
          <w:u w:val="single"/>
        </w:rPr>
      </w:pPr>
    </w:p>
    <w:p w:rsidR="00E90573" w:rsidRDefault="00D17DEC">
      <w:pPr>
        <w:spacing w:after="0" w:line="240" w:lineRule="auto"/>
        <w:jc w:val="both"/>
        <w:rPr>
          <w:rFonts w:ascii="Helvetica Neue" w:eastAsia="Helvetica Neue" w:hAnsi="Helvetica Neue" w:cs="Helvetica Neue"/>
          <w:b/>
          <w:sz w:val="24"/>
          <w:szCs w:val="24"/>
          <w:u w:val="single"/>
        </w:rPr>
      </w:pPr>
      <w:r>
        <w:rPr>
          <w:rFonts w:ascii="Helvetica Neue" w:eastAsia="Helvetica Neue" w:hAnsi="Helvetica Neue" w:cs="Helvetica Neue"/>
          <w:b/>
          <w:sz w:val="24"/>
          <w:szCs w:val="24"/>
          <w:u w:val="single"/>
        </w:rPr>
        <w:t>Si el originador no hace uso de la opción de mejorar la oferta en los términos señalados en el presente numeral, o si dicha opción no está disponible por no haber obtenido como mínimo un puntaje igual o superior al noventa y siete por ciento (97%) del puntaje obtenido por la propuesta mejor calificada, la entidad estatal incluirá dentro del contrato que resulte del proceso de selección, la obligación de que el contratista adjudicatario reconozca al originador del proyecto el reembolso de los costos en que este haya incurrido por la realización de los estudios necesarios para la estructuración del proyecto de conformidad con lo dispuesto en la presente ley.</w:t>
      </w:r>
    </w:p>
    <w:p w:rsidR="00E90573" w:rsidRDefault="00E90573">
      <w:pPr>
        <w:spacing w:after="0" w:line="240" w:lineRule="auto"/>
        <w:jc w:val="both"/>
        <w:rPr>
          <w:rFonts w:ascii="Helvetica Neue" w:eastAsia="Helvetica Neue" w:hAnsi="Helvetica Neue" w:cs="Helvetica Neue"/>
          <w:b/>
          <w:sz w:val="24"/>
          <w:szCs w:val="24"/>
          <w:u w:val="single"/>
        </w:rPr>
      </w:pPr>
    </w:p>
    <w:p w:rsidR="00E90573" w:rsidRDefault="00E90573">
      <w:pPr>
        <w:spacing w:after="0" w:line="240" w:lineRule="auto"/>
        <w:jc w:val="both"/>
        <w:rPr>
          <w:rFonts w:ascii="Helvetica Neue" w:eastAsia="Helvetica Neue" w:hAnsi="Helvetica Neue" w:cs="Helvetica Neue"/>
          <w:b/>
          <w:sz w:val="24"/>
          <w:szCs w:val="24"/>
          <w:highlight w:val="yellow"/>
        </w:rPr>
      </w:pPr>
    </w:p>
    <w:p w:rsidR="00E90573" w:rsidRDefault="00E90573">
      <w:pPr>
        <w:spacing w:after="0" w:line="240" w:lineRule="auto"/>
        <w:jc w:val="both"/>
        <w:rPr>
          <w:rFonts w:ascii="Helvetica Neue" w:eastAsia="Helvetica Neue" w:hAnsi="Helvetica Neue" w:cs="Helvetica Neue"/>
          <w:b/>
          <w:sz w:val="24"/>
          <w:szCs w:val="24"/>
          <w:highlight w:val="yellow"/>
        </w:rPr>
      </w:pPr>
    </w:p>
    <w:p w:rsidR="00E90573" w:rsidRDefault="00D17DEC">
      <w:pPr>
        <w:spacing w:after="0" w:line="240" w:lineRule="auto"/>
        <w:jc w:val="both"/>
        <w:rPr>
          <w:rFonts w:ascii="Helvetica Neue" w:eastAsia="Helvetica Neue" w:hAnsi="Helvetica Neue" w:cs="Helvetica Neue"/>
          <w:sz w:val="24"/>
          <w:szCs w:val="24"/>
        </w:rPr>
      </w:pPr>
      <w:r>
        <w:rPr>
          <w:rFonts w:ascii="Helvetica Neue" w:eastAsia="Helvetica Neue" w:hAnsi="Helvetica Neue" w:cs="Helvetica Neue"/>
          <w:b/>
          <w:sz w:val="24"/>
          <w:szCs w:val="24"/>
        </w:rPr>
        <w:t xml:space="preserve">Artículo 5°. VIGENCIA. </w:t>
      </w:r>
      <w:r>
        <w:rPr>
          <w:rFonts w:ascii="Helvetica Neue" w:eastAsia="Helvetica Neue" w:hAnsi="Helvetica Neue" w:cs="Helvetica Neue"/>
          <w:sz w:val="24"/>
          <w:szCs w:val="24"/>
        </w:rPr>
        <w:t>La presente ley rige a partir de la fecha de su promulgación y deroga las normas que le sean contrarias.</w:t>
      </w:r>
    </w:p>
    <w:p w:rsidR="00E90573" w:rsidRDefault="00E90573">
      <w:pPr>
        <w:spacing w:after="0" w:line="240" w:lineRule="auto"/>
        <w:jc w:val="both"/>
        <w:rPr>
          <w:rFonts w:ascii="Helvetica Neue" w:eastAsia="Helvetica Neue" w:hAnsi="Helvetica Neue" w:cs="Helvetica Neue"/>
          <w:sz w:val="24"/>
          <w:szCs w:val="24"/>
        </w:rPr>
      </w:pPr>
    </w:p>
    <w:p w:rsidR="00E90573" w:rsidRDefault="00D17DEC">
      <w:pPr>
        <w:spacing w:after="0" w:line="240" w:lineRule="auto"/>
        <w:jc w:val="both"/>
        <w:rPr>
          <w:rFonts w:ascii="Helvetica Neue" w:eastAsia="Helvetica Neue" w:hAnsi="Helvetica Neue" w:cs="Helvetica Neue"/>
          <w:sz w:val="24"/>
          <w:szCs w:val="24"/>
        </w:rPr>
      </w:pPr>
      <w:r>
        <w:rPr>
          <w:rFonts w:ascii="Helvetica Neue" w:eastAsia="Helvetica Neue" w:hAnsi="Helvetica Neue" w:cs="Helvetica Neue"/>
          <w:b/>
          <w:sz w:val="24"/>
          <w:szCs w:val="24"/>
        </w:rPr>
        <w:t>Parágrafo.</w:t>
      </w:r>
      <w:r>
        <w:rPr>
          <w:rFonts w:ascii="Helvetica Neue" w:eastAsia="Helvetica Neue" w:hAnsi="Helvetica Neue" w:cs="Helvetica Neue"/>
          <w:sz w:val="24"/>
          <w:szCs w:val="24"/>
        </w:rPr>
        <w:t xml:space="preserve"> En ningún caso aplicará la presente ley a los procesos de Asociaciones Público Privadas que se encuentren en curso ante las entidades estatales competentes, al momento de su entrada en vigencia.</w:t>
      </w:r>
    </w:p>
    <w:p w:rsidR="00E90573" w:rsidRDefault="00E90573">
      <w:pPr>
        <w:spacing w:after="0" w:line="240" w:lineRule="auto"/>
        <w:jc w:val="both"/>
        <w:rPr>
          <w:rFonts w:ascii="Helvetica Neue" w:eastAsia="Helvetica Neue" w:hAnsi="Helvetica Neue" w:cs="Helvetica Neue"/>
          <w:sz w:val="24"/>
          <w:szCs w:val="24"/>
        </w:rPr>
      </w:pPr>
    </w:p>
    <w:p w:rsidR="00E90573" w:rsidRDefault="00E90573">
      <w:pPr>
        <w:spacing w:after="0" w:line="240" w:lineRule="auto"/>
        <w:jc w:val="both"/>
        <w:rPr>
          <w:rFonts w:ascii="Helvetica Neue" w:eastAsia="Helvetica Neue" w:hAnsi="Helvetica Neue" w:cs="Helvetica Neue"/>
          <w:sz w:val="24"/>
          <w:szCs w:val="24"/>
        </w:rPr>
      </w:pPr>
    </w:p>
    <w:p w:rsidR="00E90573" w:rsidRDefault="00E90573" w:rsidP="00D17DEC">
      <w:pPr>
        <w:spacing w:after="0" w:line="240" w:lineRule="auto"/>
        <w:jc w:val="center"/>
        <w:rPr>
          <w:rFonts w:ascii="Helvetica Neue" w:eastAsia="Helvetica Neue" w:hAnsi="Helvetica Neue" w:cs="Helvetica Neue"/>
          <w:noProof/>
          <w:sz w:val="24"/>
          <w:szCs w:val="24"/>
          <w:lang w:val="es-CO"/>
        </w:rPr>
      </w:pPr>
    </w:p>
    <w:p w:rsidR="009A27FD" w:rsidRDefault="009A27FD" w:rsidP="00D17DEC">
      <w:pPr>
        <w:spacing w:after="0" w:line="240" w:lineRule="auto"/>
        <w:jc w:val="center"/>
        <w:rPr>
          <w:rFonts w:ascii="Helvetica Neue" w:eastAsia="Helvetica Neue" w:hAnsi="Helvetica Neue" w:cs="Helvetica Neue"/>
          <w:noProof/>
          <w:sz w:val="24"/>
          <w:szCs w:val="24"/>
          <w:lang w:val="es-CO"/>
        </w:rPr>
      </w:pPr>
    </w:p>
    <w:p w:rsidR="009A27FD" w:rsidRDefault="009A27FD" w:rsidP="00D17DEC">
      <w:pPr>
        <w:spacing w:after="0" w:line="240" w:lineRule="auto"/>
        <w:jc w:val="center"/>
        <w:rPr>
          <w:rFonts w:ascii="Helvetica Neue" w:eastAsia="Helvetica Neue" w:hAnsi="Helvetica Neue" w:cs="Helvetica Neue"/>
          <w:noProof/>
          <w:sz w:val="24"/>
          <w:szCs w:val="24"/>
          <w:lang w:val="es-CO"/>
        </w:rPr>
      </w:pPr>
    </w:p>
    <w:p w:rsidR="009A27FD" w:rsidRDefault="009A27FD" w:rsidP="00D17DEC">
      <w:pPr>
        <w:spacing w:after="0" w:line="240" w:lineRule="auto"/>
        <w:jc w:val="center"/>
        <w:rPr>
          <w:rFonts w:ascii="Helvetica Neue" w:eastAsia="Helvetica Neue" w:hAnsi="Helvetica Neue" w:cs="Helvetica Neue"/>
          <w:noProof/>
          <w:sz w:val="24"/>
          <w:szCs w:val="24"/>
          <w:lang w:val="es-CO"/>
        </w:rPr>
      </w:pPr>
    </w:p>
    <w:p w:rsidR="009A27FD" w:rsidRDefault="009A27FD" w:rsidP="00D17DEC">
      <w:pPr>
        <w:spacing w:after="0" w:line="240" w:lineRule="auto"/>
        <w:jc w:val="center"/>
        <w:rPr>
          <w:rFonts w:ascii="Helvetica Neue" w:eastAsia="Helvetica Neue" w:hAnsi="Helvetica Neue" w:cs="Helvetica Neue"/>
          <w:noProof/>
          <w:sz w:val="24"/>
          <w:szCs w:val="24"/>
          <w:lang w:val="es-CO"/>
        </w:rPr>
      </w:pPr>
    </w:p>
    <w:p w:rsidR="009A27FD" w:rsidRDefault="009A27FD" w:rsidP="00D17DEC">
      <w:pPr>
        <w:spacing w:after="0" w:line="240" w:lineRule="auto"/>
        <w:jc w:val="center"/>
        <w:rPr>
          <w:rFonts w:ascii="Helvetica Neue" w:eastAsia="Helvetica Neue" w:hAnsi="Helvetica Neue" w:cs="Helvetica Neue"/>
          <w:sz w:val="24"/>
          <w:szCs w:val="24"/>
        </w:rPr>
      </w:pPr>
    </w:p>
    <w:p w:rsidR="00E90573" w:rsidRDefault="00D17DEC" w:rsidP="00D17DEC">
      <w:pPr>
        <w:spacing w:after="0" w:line="240" w:lineRule="auto"/>
        <w:jc w:val="center"/>
        <w:rPr>
          <w:rFonts w:ascii="Helvetica Neue" w:eastAsia="Helvetica Neue" w:hAnsi="Helvetica Neue" w:cs="Helvetica Neue"/>
          <w:b/>
          <w:sz w:val="24"/>
          <w:szCs w:val="24"/>
          <w:u w:val="single"/>
        </w:rPr>
      </w:pPr>
      <w:r>
        <w:rPr>
          <w:rFonts w:ascii="Helvetica Neue" w:eastAsia="Helvetica Neue" w:hAnsi="Helvetica Neue" w:cs="Helvetica Neue"/>
          <w:b/>
          <w:sz w:val="24"/>
          <w:szCs w:val="24"/>
          <w:u w:val="single"/>
        </w:rPr>
        <w:t>___________________________</w:t>
      </w:r>
    </w:p>
    <w:p w:rsidR="00E90573" w:rsidRDefault="00D17DEC" w:rsidP="00D17DEC">
      <w:pPr>
        <w:spacing w:after="0" w:line="240" w:lineRule="auto"/>
        <w:jc w:val="center"/>
        <w:rPr>
          <w:rFonts w:ascii="Helvetica Neue" w:eastAsia="Helvetica Neue" w:hAnsi="Helvetica Neue" w:cs="Helvetica Neue"/>
          <w:sz w:val="24"/>
          <w:szCs w:val="24"/>
        </w:rPr>
      </w:pPr>
      <w:r>
        <w:rPr>
          <w:rFonts w:ascii="Helvetica Neue" w:eastAsia="Helvetica Neue" w:hAnsi="Helvetica Neue" w:cs="Helvetica Neue"/>
          <w:b/>
          <w:sz w:val="24"/>
          <w:szCs w:val="24"/>
        </w:rPr>
        <w:t>CATALINA ORTIZ LALINDE</w:t>
      </w:r>
    </w:p>
    <w:p w:rsidR="00E90573" w:rsidRDefault="00D17DEC" w:rsidP="00D17DEC">
      <w:pPr>
        <w:spacing w:after="0" w:line="240" w:lineRule="auto"/>
        <w:jc w:val="center"/>
        <w:rPr>
          <w:rFonts w:ascii="Helvetica Neue" w:eastAsia="Helvetica Neue" w:hAnsi="Helvetica Neue" w:cs="Helvetica Neue"/>
          <w:sz w:val="24"/>
          <w:szCs w:val="24"/>
        </w:rPr>
      </w:pPr>
      <w:r>
        <w:rPr>
          <w:rFonts w:ascii="Helvetica Neue" w:eastAsia="Helvetica Neue" w:hAnsi="Helvetica Neue" w:cs="Helvetica Neue"/>
          <w:sz w:val="24"/>
          <w:szCs w:val="24"/>
        </w:rPr>
        <w:t>Representante a la Cámara por el Valle del Cauca</w:t>
      </w:r>
    </w:p>
    <w:p w:rsidR="00E90573" w:rsidRDefault="00D17DEC" w:rsidP="00D17DEC">
      <w:pPr>
        <w:spacing w:after="0" w:line="240" w:lineRule="auto"/>
        <w:jc w:val="center"/>
        <w:rPr>
          <w:rFonts w:ascii="Helvetica Neue" w:eastAsia="Helvetica Neue" w:hAnsi="Helvetica Neue" w:cs="Helvetica Neue"/>
          <w:sz w:val="24"/>
          <w:szCs w:val="24"/>
        </w:rPr>
      </w:pPr>
      <w:r>
        <w:rPr>
          <w:rFonts w:ascii="Helvetica Neue" w:eastAsia="Helvetica Neue" w:hAnsi="Helvetica Neue" w:cs="Helvetica Neue"/>
          <w:sz w:val="24"/>
          <w:szCs w:val="24"/>
        </w:rPr>
        <w:t>Partido Alianza Verde</w:t>
      </w:r>
    </w:p>
    <w:p w:rsidR="00E90573" w:rsidRDefault="00E90573" w:rsidP="00D17DEC">
      <w:pPr>
        <w:spacing w:after="0" w:line="240" w:lineRule="auto"/>
        <w:jc w:val="center"/>
        <w:rPr>
          <w:rFonts w:ascii="Helvetica Neue" w:eastAsia="Helvetica Neue" w:hAnsi="Helvetica Neue" w:cs="Helvetica Neue"/>
          <w:b/>
          <w:sz w:val="24"/>
          <w:szCs w:val="24"/>
        </w:rPr>
      </w:pPr>
    </w:p>
    <w:p w:rsidR="00E90573" w:rsidRDefault="00E90573" w:rsidP="00D17DEC">
      <w:pPr>
        <w:spacing w:after="0" w:line="240" w:lineRule="auto"/>
        <w:jc w:val="center"/>
        <w:rPr>
          <w:rFonts w:ascii="Helvetica Neue" w:eastAsia="Helvetica Neue" w:hAnsi="Helvetica Neue" w:cs="Helvetica Neue"/>
          <w:b/>
          <w:sz w:val="24"/>
          <w:szCs w:val="24"/>
        </w:rPr>
      </w:pPr>
    </w:p>
    <w:p w:rsidR="00E90573" w:rsidRDefault="00E90573" w:rsidP="00D17DEC">
      <w:pPr>
        <w:spacing w:after="0" w:line="240" w:lineRule="auto"/>
        <w:jc w:val="center"/>
        <w:rPr>
          <w:rFonts w:ascii="Helvetica Neue" w:eastAsia="Helvetica Neue" w:hAnsi="Helvetica Neue" w:cs="Helvetica Neue"/>
          <w:b/>
          <w:sz w:val="24"/>
          <w:szCs w:val="24"/>
        </w:rPr>
      </w:pPr>
    </w:p>
    <w:p w:rsidR="00E90573" w:rsidRDefault="00E90573" w:rsidP="00D17DEC">
      <w:pPr>
        <w:spacing w:after="0" w:line="240" w:lineRule="auto"/>
        <w:jc w:val="center"/>
        <w:rPr>
          <w:rFonts w:ascii="Helvetica Neue" w:eastAsia="Helvetica Neue" w:hAnsi="Helvetica Neue" w:cs="Helvetica Neue"/>
          <w:b/>
          <w:noProof/>
          <w:sz w:val="24"/>
          <w:szCs w:val="24"/>
          <w:lang w:val="es-CO"/>
        </w:rPr>
      </w:pPr>
    </w:p>
    <w:p w:rsidR="009A27FD" w:rsidRDefault="009A27FD" w:rsidP="00D17DEC">
      <w:pPr>
        <w:spacing w:after="0" w:line="240" w:lineRule="auto"/>
        <w:jc w:val="center"/>
        <w:rPr>
          <w:rFonts w:ascii="Helvetica Neue" w:eastAsia="Helvetica Neue" w:hAnsi="Helvetica Neue" w:cs="Helvetica Neue"/>
          <w:b/>
          <w:noProof/>
          <w:sz w:val="24"/>
          <w:szCs w:val="24"/>
          <w:lang w:val="es-CO"/>
        </w:rPr>
      </w:pPr>
    </w:p>
    <w:p w:rsidR="009A27FD" w:rsidRDefault="009A27FD" w:rsidP="00D17DEC">
      <w:pPr>
        <w:spacing w:after="0" w:line="240" w:lineRule="auto"/>
        <w:jc w:val="center"/>
        <w:rPr>
          <w:rFonts w:ascii="Helvetica Neue" w:eastAsia="Helvetica Neue" w:hAnsi="Helvetica Neue" w:cs="Helvetica Neue"/>
          <w:b/>
          <w:noProof/>
          <w:sz w:val="24"/>
          <w:szCs w:val="24"/>
          <w:lang w:val="es-CO"/>
        </w:rPr>
      </w:pPr>
    </w:p>
    <w:p w:rsidR="009A27FD" w:rsidRDefault="009A27FD" w:rsidP="00D17DEC">
      <w:pPr>
        <w:spacing w:after="0" w:line="240" w:lineRule="auto"/>
        <w:jc w:val="center"/>
        <w:rPr>
          <w:rFonts w:ascii="Helvetica Neue" w:eastAsia="Helvetica Neue" w:hAnsi="Helvetica Neue" w:cs="Helvetica Neue"/>
          <w:b/>
          <w:noProof/>
          <w:sz w:val="24"/>
          <w:szCs w:val="24"/>
          <w:lang w:val="es-CO"/>
        </w:rPr>
      </w:pPr>
    </w:p>
    <w:p w:rsidR="009A27FD" w:rsidRDefault="009A27FD" w:rsidP="00D17DEC">
      <w:pPr>
        <w:spacing w:after="0" w:line="240" w:lineRule="auto"/>
        <w:jc w:val="center"/>
        <w:rPr>
          <w:rFonts w:ascii="Helvetica Neue" w:eastAsia="Helvetica Neue" w:hAnsi="Helvetica Neue" w:cs="Helvetica Neue"/>
          <w:b/>
          <w:noProof/>
          <w:sz w:val="24"/>
          <w:szCs w:val="24"/>
          <w:lang w:val="es-CO"/>
        </w:rPr>
      </w:pPr>
    </w:p>
    <w:p w:rsidR="009A27FD" w:rsidRDefault="009A27FD" w:rsidP="00D17DEC">
      <w:pPr>
        <w:spacing w:after="0" w:line="240" w:lineRule="auto"/>
        <w:jc w:val="center"/>
        <w:rPr>
          <w:rFonts w:ascii="Helvetica Neue" w:eastAsia="Helvetica Neue" w:hAnsi="Helvetica Neue" w:cs="Helvetica Neue"/>
          <w:b/>
          <w:sz w:val="24"/>
          <w:szCs w:val="24"/>
        </w:rPr>
      </w:pPr>
    </w:p>
    <w:p w:rsidR="00E90573" w:rsidRDefault="00D17DEC" w:rsidP="00D17DEC">
      <w:pPr>
        <w:spacing w:after="0" w:line="240" w:lineRule="auto"/>
        <w:jc w:val="center"/>
        <w:rPr>
          <w:rFonts w:ascii="Helvetica Neue" w:eastAsia="Helvetica Neue" w:hAnsi="Helvetica Neue" w:cs="Helvetica Neue"/>
          <w:b/>
          <w:sz w:val="24"/>
          <w:szCs w:val="24"/>
        </w:rPr>
      </w:pPr>
      <w:r>
        <w:rPr>
          <w:rFonts w:ascii="Helvetica Neue" w:eastAsia="Helvetica Neue" w:hAnsi="Helvetica Neue" w:cs="Helvetica Neue"/>
          <w:b/>
          <w:sz w:val="24"/>
          <w:szCs w:val="24"/>
        </w:rPr>
        <w:t>______________________________________</w:t>
      </w:r>
    </w:p>
    <w:p w:rsidR="00E90573" w:rsidRDefault="00D17DEC" w:rsidP="00D17DEC">
      <w:pPr>
        <w:spacing w:after="0" w:line="240" w:lineRule="auto"/>
        <w:jc w:val="center"/>
        <w:rPr>
          <w:rFonts w:ascii="Helvetica Neue" w:eastAsia="Helvetica Neue" w:hAnsi="Helvetica Neue" w:cs="Helvetica Neue"/>
          <w:sz w:val="24"/>
          <w:szCs w:val="24"/>
        </w:rPr>
      </w:pPr>
      <w:r>
        <w:rPr>
          <w:rFonts w:ascii="Helvetica Neue" w:eastAsia="Helvetica Neue" w:hAnsi="Helvetica Neue" w:cs="Helvetica Neue"/>
          <w:b/>
          <w:sz w:val="24"/>
          <w:szCs w:val="24"/>
        </w:rPr>
        <w:t>ALVARO HENRY MONEDERO RIVERA</w:t>
      </w:r>
    </w:p>
    <w:p w:rsidR="00E90573" w:rsidRDefault="00D17DEC" w:rsidP="00D17DEC">
      <w:pPr>
        <w:spacing w:after="0" w:line="240" w:lineRule="auto"/>
        <w:jc w:val="center"/>
        <w:rPr>
          <w:rFonts w:ascii="Helvetica Neue" w:eastAsia="Helvetica Neue" w:hAnsi="Helvetica Neue" w:cs="Helvetica Neue"/>
          <w:sz w:val="24"/>
          <w:szCs w:val="24"/>
        </w:rPr>
      </w:pPr>
      <w:r>
        <w:rPr>
          <w:rFonts w:ascii="Helvetica Neue" w:eastAsia="Helvetica Neue" w:hAnsi="Helvetica Neue" w:cs="Helvetica Neue"/>
          <w:sz w:val="24"/>
          <w:szCs w:val="24"/>
        </w:rPr>
        <w:t>Representante a la Cámara por el Valle del Cauca</w:t>
      </w:r>
    </w:p>
    <w:p w:rsidR="00E90573" w:rsidRDefault="00D17DEC" w:rsidP="00D17DEC">
      <w:pPr>
        <w:spacing w:after="0" w:line="240" w:lineRule="auto"/>
        <w:jc w:val="center"/>
        <w:rPr>
          <w:rFonts w:ascii="Helvetica Neue" w:eastAsia="Helvetica Neue" w:hAnsi="Helvetica Neue" w:cs="Helvetica Neue"/>
          <w:sz w:val="24"/>
          <w:szCs w:val="24"/>
        </w:rPr>
      </w:pPr>
      <w:r>
        <w:rPr>
          <w:rFonts w:ascii="Helvetica Neue" w:eastAsia="Helvetica Neue" w:hAnsi="Helvetica Neue" w:cs="Helvetica Neue"/>
          <w:sz w:val="24"/>
          <w:szCs w:val="24"/>
        </w:rPr>
        <w:t>Partido Liberal</w:t>
      </w:r>
    </w:p>
    <w:p w:rsidR="00E90573" w:rsidRDefault="00E90573">
      <w:pPr>
        <w:spacing w:after="0" w:line="240" w:lineRule="auto"/>
        <w:rPr>
          <w:rFonts w:ascii="Helvetica Neue" w:eastAsia="Helvetica Neue" w:hAnsi="Helvetica Neue" w:cs="Helvetica Neue"/>
          <w:b/>
          <w:sz w:val="24"/>
          <w:szCs w:val="24"/>
        </w:rPr>
      </w:pPr>
    </w:p>
    <w:p w:rsidR="00E90573" w:rsidRDefault="00E90573">
      <w:pPr>
        <w:spacing w:after="0" w:line="240" w:lineRule="auto"/>
        <w:rPr>
          <w:rFonts w:ascii="Helvetica Neue" w:eastAsia="Helvetica Neue" w:hAnsi="Helvetica Neue" w:cs="Helvetica Neue"/>
          <w:b/>
          <w:sz w:val="24"/>
          <w:szCs w:val="24"/>
        </w:rPr>
      </w:pPr>
    </w:p>
    <w:p w:rsidR="00E90573" w:rsidRDefault="00E90573">
      <w:pPr>
        <w:spacing w:after="0" w:line="240" w:lineRule="auto"/>
        <w:rPr>
          <w:rFonts w:ascii="Helvetica Neue" w:eastAsia="Helvetica Neue" w:hAnsi="Helvetica Neue" w:cs="Helvetica Neue"/>
          <w:b/>
          <w:sz w:val="24"/>
          <w:szCs w:val="24"/>
        </w:rPr>
      </w:pPr>
    </w:p>
    <w:p w:rsidR="00E90573" w:rsidRDefault="00E90573">
      <w:pPr>
        <w:spacing w:after="0" w:line="240" w:lineRule="auto"/>
        <w:rPr>
          <w:rFonts w:ascii="Helvetica Neue" w:eastAsia="Helvetica Neue" w:hAnsi="Helvetica Neue" w:cs="Helvetica Neue"/>
          <w:b/>
          <w:sz w:val="24"/>
          <w:szCs w:val="24"/>
        </w:rPr>
      </w:pPr>
    </w:p>
    <w:p w:rsidR="00E90573" w:rsidRDefault="00E90573">
      <w:pPr>
        <w:spacing w:after="0" w:line="240" w:lineRule="auto"/>
        <w:rPr>
          <w:rFonts w:ascii="Helvetica Neue" w:eastAsia="Helvetica Neue" w:hAnsi="Helvetica Neue" w:cs="Helvetica Neue"/>
          <w:b/>
          <w:sz w:val="24"/>
          <w:szCs w:val="24"/>
        </w:rPr>
      </w:pPr>
    </w:p>
    <w:p w:rsidR="00E90573" w:rsidRDefault="00D17DEC">
      <w:pPr>
        <w:spacing w:after="0" w:line="240" w:lineRule="auto"/>
        <w:jc w:val="center"/>
        <w:rPr>
          <w:rFonts w:ascii="Helvetica Neue" w:eastAsia="Helvetica Neue" w:hAnsi="Helvetica Neue" w:cs="Helvetica Neue"/>
          <w:b/>
          <w:sz w:val="24"/>
          <w:szCs w:val="24"/>
        </w:rPr>
      </w:pPr>
      <w:r>
        <w:rPr>
          <w:rFonts w:ascii="Helvetica Neue" w:eastAsia="Helvetica Neue" w:hAnsi="Helvetica Neue" w:cs="Helvetica Neue"/>
          <w:b/>
          <w:sz w:val="24"/>
          <w:szCs w:val="24"/>
        </w:rPr>
        <w:lastRenderedPageBreak/>
        <w:t>Proyecto de Ley _____ de 2020</w:t>
      </w:r>
    </w:p>
    <w:p w:rsidR="00E90573" w:rsidRDefault="00E90573">
      <w:pPr>
        <w:spacing w:after="0" w:line="240" w:lineRule="auto"/>
        <w:rPr>
          <w:rFonts w:ascii="Helvetica Neue" w:eastAsia="Helvetica Neue" w:hAnsi="Helvetica Neue" w:cs="Helvetica Neue"/>
          <w:b/>
          <w:sz w:val="24"/>
          <w:szCs w:val="24"/>
        </w:rPr>
      </w:pPr>
    </w:p>
    <w:p w:rsidR="00E90573" w:rsidRDefault="00D17DEC">
      <w:pPr>
        <w:spacing w:after="0" w:line="240" w:lineRule="auto"/>
        <w:jc w:val="center"/>
        <w:rPr>
          <w:rFonts w:ascii="Helvetica Neue" w:eastAsia="Helvetica Neue" w:hAnsi="Helvetica Neue" w:cs="Helvetica Neue"/>
          <w:b/>
          <w:sz w:val="24"/>
          <w:szCs w:val="24"/>
        </w:rPr>
      </w:pPr>
      <w:r>
        <w:rPr>
          <w:rFonts w:ascii="Helvetica Neue" w:eastAsia="Helvetica Neue" w:hAnsi="Helvetica Neue" w:cs="Helvetica Neue"/>
          <w:b/>
          <w:sz w:val="24"/>
          <w:szCs w:val="24"/>
        </w:rPr>
        <w:t>“</w:t>
      </w:r>
      <w:r>
        <w:rPr>
          <w:rFonts w:ascii="Helvetica Neue" w:eastAsia="Helvetica Neue" w:hAnsi="Helvetica Neue" w:cs="Helvetica Neue"/>
          <w:b/>
          <w:i/>
          <w:sz w:val="24"/>
          <w:szCs w:val="24"/>
        </w:rPr>
        <w:t>Por medio de la cual</w:t>
      </w:r>
      <w:r>
        <w:rPr>
          <w:rFonts w:ascii="Helvetica Neue" w:eastAsia="Helvetica Neue" w:hAnsi="Helvetica Neue" w:cs="Helvetica Neue"/>
          <w:i/>
          <w:color w:val="4B4949"/>
          <w:sz w:val="24"/>
          <w:szCs w:val="24"/>
        </w:rPr>
        <w:t xml:space="preserve"> </w:t>
      </w:r>
      <w:r>
        <w:rPr>
          <w:rFonts w:ascii="Helvetica Neue" w:eastAsia="Helvetica Neue" w:hAnsi="Helvetica Neue" w:cs="Helvetica Neue"/>
          <w:b/>
          <w:i/>
          <w:sz w:val="24"/>
          <w:szCs w:val="24"/>
        </w:rPr>
        <w:t xml:space="preserve">se incentiva la competencia </w:t>
      </w:r>
      <w:r>
        <w:rPr>
          <w:rFonts w:ascii="Arial" w:eastAsia="Arial" w:hAnsi="Arial" w:cs="Arial"/>
          <w:b/>
          <w:i/>
          <w:color w:val="222222"/>
          <w:sz w:val="24"/>
          <w:szCs w:val="24"/>
          <w:highlight w:val="white"/>
        </w:rPr>
        <w:t>en las Asociaciones Público Privadas</w:t>
      </w:r>
      <w:r>
        <w:rPr>
          <w:rFonts w:ascii="Helvetica Neue" w:eastAsia="Helvetica Neue" w:hAnsi="Helvetica Neue" w:cs="Helvetica Neue"/>
          <w:b/>
          <w:i/>
          <w:sz w:val="24"/>
          <w:szCs w:val="24"/>
        </w:rPr>
        <w:t xml:space="preserve"> de Iniciativa Privada, modificando parcialmente los artículos  11, 14,19 y 20 de la ley 1508 de 2012”</w:t>
      </w:r>
    </w:p>
    <w:p w:rsidR="00E90573" w:rsidRDefault="00E90573">
      <w:pPr>
        <w:spacing w:after="0" w:line="240" w:lineRule="auto"/>
        <w:rPr>
          <w:rFonts w:ascii="Helvetica Neue" w:eastAsia="Helvetica Neue" w:hAnsi="Helvetica Neue" w:cs="Helvetica Neue"/>
          <w:b/>
          <w:sz w:val="24"/>
          <w:szCs w:val="24"/>
          <w:highlight w:val="white"/>
        </w:rPr>
      </w:pPr>
    </w:p>
    <w:p w:rsidR="00E90573" w:rsidRDefault="00D17DEC">
      <w:pPr>
        <w:spacing w:after="0" w:line="240" w:lineRule="auto"/>
        <w:jc w:val="center"/>
        <w:rPr>
          <w:rFonts w:ascii="Helvetica Neue" w:eastAsia="Helvetica Neue" w:hAnsi="Helvetica Neue" w:cs="Helvetica Neue"/>
          <w:b/>
          <w:sz w:val="24"/>
          <w:szCs w:val="24"/>
        </w:rPr>
      </w:pPr>
      <w:r>
        <w:rPr>
          <w:rFonts w:ascii="Helvetica Neue" w:eastAsia="Helvetica Neue" w:hAnsi="Helvetica Neue" w:cs="Helvetica Neue"/>
          <w:b/>
          <w:sz w:val="24"/>
          <w:szCs w:val="24"/>
        </w:rPr>
        <w:t>EXPOSICIÓN DE MOTIVOS</w:t>
      </w:r>
    </w:p>
    <w:p w:rsidR="00E90573" w:rsidRDefault="00E90573">
      <w:pPr>
        <w:spacing w:after="0" w:line="240" w:lineRule="auto"/>
        <w:rPr>
          <w:rFonts w:ascii="Helvetica Neue" w:eastAsia="Helvetica Neue" w:hAnsi="Helvetica Neue" w:cs="Helvetica Neue"/>
          <w:b/>
          <w:sz w:val="24"/>
          <w:szCs w:val="24"/>
        </w:rPr>
      </w:pPr>
    </w:p>
    <w:p w:rsidR="00E90573" w:rsidRDefault="00D17DEC">
      <w:pPr>
        <w:pStyle w:val="Ttulo"/>
        <w:numPr>
          <w:ilvl w:val="0"/>
          <w:numId w:val="14"/>
        </w:numPr>
        <w:shd w:val="clear" w:color="auto" w:fill="FFFFFF"/>
        <w:spacing w:after="0" w:line="240" w:lineRule="auto"/>
        <w:jc w:val="both"/>
        <w:rPr>
          <w:rFonts w:ascii="Helvetica Neue" w:eastAsia="Helvetica Neue" w:hAnsi="Helvetica Neue" w:cs="Helvetica Neue"/>
          <w:sz w:val="24"/>
          <w:szCs w:val="24"/>
        </w:rPr>
      </w:pPr>
      <w:bookmarkStart w:id="0" w:name="_heading=h.j2xzhn2f86pb" w:colFirst="0" w:colLast="0"/>
      <w:bookmarkEnd w:id="0"/>
      <w:r>
        <w:rPr>
          <w:rFonts w:ascii="Helvetica Neue" w:eastAsia="Helvetica Neue" w:hAnsi="Helvetica Neue" w:cs="Helvetica Neue"/>
          <w:sz w:val="24"/>
          <w:szCs w:val="24"/>
          <w:u w:val="single"/>
        </w:rPr>
        <w:t>OBJETIVO</w:t>
      </w:r>
    </w:p>
    <w:p w:rsidR="00E90573" w:rsidRDefault="00E90573">
      <w:pPr>
        <w:shd w:val="clear" w:color="auto" w:fill="FFFFFF"/>
        <w:spacing w:after="0" w:line="240" w:lineRule="auto"/>
        <w:jc w:val="both"/>
        <w:rPr>
          <w:rFonts w:ascii="Helvetica Neue" w:eastAsia="Helvetica Neue" w:hAnsi="Helvetica Neue" w:cs="Helvetica Neue"/>
          <w:sz w:val="24"/>
          <w:szCs w:val="24"/>
        </w:rPr>
      </w:pPr>
    </w:p>
    <w:p w:rsidR="00E90573" w:rsidRDefault="00D17DEC">
      <w:pPr>
        <w:shd w:val="clear" w:color="auto" w:fill="FFFFFF"/>
        <w:spacing w:after="0" w:line="240" w:lineRule="auto"/>
        <w:jc w:val="both"/>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El proyecto de ley presentado a consideración del honorable Congreso de la República busca modificar los artículos 11, 14, 19 y 20 de la Ley 1502 de 2012, con la finalidad de mejorar los lineamientos establecidos para las Asociaciones Público-Privadas de Iniciativa Privada, de manera que promueva competencia y una eficiente asignación de riesgos en las mismas. Lo que repercutirá en el desarrollo óptimo de la infraestructura necesaria para la competitividad del país. </w:t>
      </w:r>
    </w:p>
    <w:p w:rsidR="00E90573" w:rsidRDefault="00E90573">
      <w:pPr>
        <w:shd w:val="clear" w:color="auto" w:fill="FFFFFF"/>
        <w:spacing w:after="0" w:line="240" w:lineRule="auto"/>
        <w:jc w:val="both"/>
        <w:rPr>
          <w:rFonts w:ascii="Helvetica Neue" w:eastAsia="Helvetica Neue" w:hAnsi="Helvetica Neue" w:cs="Helvetica Neue"/>
          <w:sz w:val="24"/>
          <w:szCs w:val="24"/>
        </w:rPr>
      </w:pPr>
    </w:p>
    <w:p w:rsidR="00E90573" w:rsidRDefault="00D17DEC">
      <w:pPr>
        <w:pStyle w:val="Ttulo"/>
        <w:numPr>
          <w:ilvl w:val="0"/>
          <w:numId w:val="14"/>
        </w:numPr>
        <w:spacing w:after="0" w:line="240" w:lineRule="auto"/>
        <w:jc w:val="both"/>
        <w:rPr>
          <w:rFonts w:ascii="Helvetica Neue" w:eastAsia="Helvetica Neue" w:hAnsi="Helvetica Neue" w:cs="Helvetica Neue"/>
          <w:sz w:val="24"/>
          <w:szCs w:val="24"/>
        </w:rPr>
      </w:pPr>
      <w:bookmarkStart w:id="1" w:name="_heading=h.dkejfku27z39" w:colFirst="0" w:colLast="0"/>
      <w:bookmarkEnd w:id="1"/>
      <w:r>
        <w:rPr>
          <w:rFonts w:ascii="Helvetica Neue" w:eastAsia="Helvetica Neue" w:hAnsi="Helvetica Neue" w:cs="Helvetica Neue"/>
          <w:sz w:val="24"/>
          <w:szCs w:val="24"/>
          <w:u w:val="single"/>
        </w:rPr>
        <w:t>PROBLEMA QUE PRETENDE RESOLVER ESTE PROYECTO DE LEY</w:t>
      </w:r>
    </w:p>
    <w:p w:rsidR="00E90573" w:rsidRDefault="00D17DEC">
      <w:pPr>
        <w:spacing w:after="0"/>
        <w:jc w:val="both"/>
        <w:rPr>
          <w:rFonts w:ascii="Helvetica Neue" w:eastAsia="Helvetica Neue" w:hAnsi="Helvetica Neue" w:cs="Helvetica Neue"/>
          <w:sz w:val="24"/>
          <w:szCs w:val="24"/>
        </w:rPr>
      </w:pPr>
      <w:r>
        <w:rPr>
          <w:rFonts w:ascii="Helvetica Neue" w:eastAsia="Helvetica Neue" w:hAnsi="Helvetica Neue" w:cs="Helvetica Neue"/>
          <w:sz w:val="24"/>
          <w:szCs w:val="24"/>
        </w:rPr>
        <w:t>En 2019 Colombia ocupó el puesto 57 entre 141 economías en el índice de competitividad global, en esta medición se sigue evidenciando el rezago general que tiene el país en infraestructura</w:t>
      </w:r>
      <w:r>
        <w:rPr>
          <w:rFonts w:ascii="Helvetica Neue" w:eastAsia="Helvetica Neue" w:hAnsi="Helvetica Neue" w:cs="Helvetica Neue"/>
          <w:sz w:val="24"/>
          <w:szCs w:val="24"/>
          <w:vertAlign w:val="superscript"/>
        </w:rPr>
        <w:footnoteReference w:id="1"/>
      </w:r>
      <w:r>
        <w:rPr>
          <w:rFonts w:ascii="Helvetica Neue" w:eastAsia="Helvetica Neue" w:hAnsi="Helvetica Neue" w:cs="Helvetica Neue"/>
          <w:sz w:val="24"/>
          <w:szCs w:val="24"/>
        </w:rPr>
        <w:t xml:space="preserve"> . Con respecto a lo que correspondería a un país con sus características, Colombia cuenta con 26% menos de kilómetros de carreteras</w:t>
      </w:r>
      <w:r>
        <w:rPr>
          <w:rFonts w:ascii="Helvetica Neue" w:eastAsia="Helvetica Neue" w:hAnsi="Helvetica Neue" w:cs="Helvetica Neue"/>
          <w:sz w:val="24"/>
          <w:szCs w:val="24"/>
          <w:vertAlign w:val="superscript"/>
        </w:rPr>
        <w:footnoteReference w:id="2"/>
      </w:r>
      <w:r>
        <w:rPr>
          <w:rFonts w:ascii="Helvetica Neue" w:eastAsia="Helvetica Neue" w:hAnsi="Helvetica Neue" w:cs="Helvetica Neue"/>
          <w:sz w:val="24"/>
          <w:szCs w:val="24"/>
        </w:rPr>
        <w:t>, para superar este rezago se han promocionado las Asociaciones Público Privadas (APP), en especial las de Iniciativa Privada en las cuales se entiende que el privado originador es quien desarrolla la propuesta inicial del proyecto y la entidad estatal competente rechaza o prueba</w:t>
      </w:r>
      <w:r>
        <w:rPr>
          <w:rFonts w:ascii="Helvetica Neue" w:eastAsia="Helvetica Neue" w:hAnsi="Helvetica Neue" w:cs="Helvetica Neue"/>
          <w:sz w:val="24"/>
          <w:szCs w:val="24"/>
          <w:vertAlign w:val="superscript"/>
        </w:rPr>
        <w:footnoteReference w:id="3"/>
      </w:r>
      <w:r>
        <w:rPr>
          <w:rFonts w:ascii="Helvetica Neue" w:eastAsia="Helvetica Neue" w:hAnsi="Helvetica Neue" w:cs="Helvetica Neue"/>
          <w:sz w:val="24"/>
          <w:szCs w:val="24"/>
        </w:rPr>
        <w:t xml:space="preserve"> .   </w:t>
      </w:r>
    </w:p>
    <w:p w:rsidR="00E90573" w:rsidRDefault="00E90573">
      <w:pPr>
        <w:spacing w:after="0"/>
        <w:jc w:val="both"/>
        <w:rPr>
          <w:rFonts w:ascii="Helvetica Neue" w:eastAsia="Helvetica Neue" w:hAnsi="Helvetica Neue" w:cs="Helvetica Neue"/>
          <w:sz w:val="24"/>
          <w:szCs w:val="24"/>
        </w:rPr>
      </w:pPr>
    </w:p>
    <w:p w:rsidR="00E90573" w:rsidRDefault="00D17DEC">
      <w:pPr>
        <w:spacing w:after="0"/>
        <w:jc w:val="both"/>
        <w:rPr>
          <w:rFonts w:ascii="Helvetica Neue" w:eastAsia="Helvetica Neue" w:hAnsi="Helvetica Neue" w:cs="Helvetica Neue"/>
          <w:sz w:val="24"/>
          <w:szCs w:val="24"/>
        </w:rPr>
      </w:pPr>
      <w:r>
        <w:rPr>
          <w:rFonts w:ascii="Helvetica Neue" w:eastAsia="Helvetica Neue" w:hAnsi="Helvetica Neue" w:cs="Helvetica Neue"/>
          <w:sz w:val="24"/>
          <w:szCs w:val="24"/>
        </w:rPr>
        <w:t>Hasta finales de 2019 se registraron 777 proyectos de APPs, de los cuales 434 han sido desistidos, rechazados o fallidos (55,8% del total) y 343 se encuentran vigentes en etapa de evaluación o aprobación (44,2% del total); de las vigentes, 263 son de iniciativa privada (76,6%)</w:t>
      </w:r>
      <w:r>
        <w:rPr>
          <w:rFonts w:ascii="Helvetica Neue" w:eastAsia="Helvetica Neue" w:hAnsi="Helvetica Neue" w:cs="Helvetica Neue"/>
          <w:sz w:val="24"/>
          <w:szCs w:val="24"/>
          <w:vertAlign w:val="superscript"/>
        </w:rPr>
        <w:footnoteReference w:id="4"/>
      </w:r>
      <w:r>
        <w:rPr>
          <w:rFonts w:ascii="Helvetica Neue" w:eastAsia="Helvetica Neue" w:hAnsi="Helvetica Neue" w:cs="Helvetica Neue"/>
          <w:sz w:val="24"/>
          <w:szCs w:val="24"/>
        </w:rPr>
        <w:t xml:space="preserve">. El problema es que, debido a las condiciones normativas actuales, de las APP de Iniciativa Privada, no se está garantizando el manejo correcto de los riesgos y la competencia en la adjudicación de megaproyectos estratégicos para el país, que se han contratado a través de IPs, como la Malla Vial del Meta, vía Antioquia-Bolívar, vía Cesar-Guajira, entre otros. </w:t>
      </w:r>
    </w:p>
    <w:p w:rsidR="00E90573" w:rsidRDefault="00E90573">
      <w:pPr>
        <w:spacing w:after="0"/>
        <w:jc w:val="both"/>
        <w:rPr>
          <w:rFonts w:ascii="Helvetica Neue" w:eastAsia="Helvetica Neue" w:hAnsi="Helvetica Neue" w:cs="Helvetica Neue"/>
          <w:sz w:val="24"/>
          <w:szCs w:val="24"/>
        </w:rPr>
      </w:pPr>
    </w:p>
    <w:p w:rsidR="00E90573" w:rsidRDefault="00D17DEC">
      <w:pPr>
        <w:spacing w:after="0"/>
        <w:jc w:val="both"/>
        <w:rPr>
          <w:rFonts w:ascii="Helvetica Neue" w:eastAsia="Helvetica Neue" w:hAnsi="Helvetica Neue" w:cs="Helvetica Neue"/>
          <w:sz w:val="24"/>
          <w:szCs w:val="24"/>
        </w:rPr>
      </w:pPr>
      <w:r>
        <w:rPr>
          <w:rFonts w:ascii="Helvetica Neue" w:eastAsia="Helvetica Neue" w:hAnsi="Helvetica Neue" w:cs="Helvetica Neue"/>
          <w:sz w:val="24"/>
          <w:szCs w:val="24"/>
        </w:rPr>
        <w:t>En términos prácticos estamos ante un crecimiento de la contratación directa. A la fecha de los 11</w:t>
      </w:r>
      <w:r>
        <w:rPr>
          <w:rFonts w:ascii="Helvetica Neue" w:eastAsia="Helvetica Neue" w:hAnsi="Helvetica Neue" w:cs="Helvetica Neue"/>
          <w:sz w:val="24"/>
          <w:szCs w:val="24"/>
          <w:vertAlign w:val="superscript"/>
        </w:rPr>
        <w:footnoteReference w:id="5"/>
      </w:r>
      <w:r>
        <w:rPr>
          <w:rFonts w:ascii="Helvetica Neue" w:eastAsia="Helvetica Neue" w:hAnsi="Helvetica Neue" w:cs="Helvetica Neue"/>
          <w:sz w:val="24"/>
          <w:szCs w:val="24"/>
        </w:rPr>
        <w:t xml:space="preserve"> proyectos IP adjudicados por la ANI</w:t>
      </w:r>
      <w:r>
        <w:rPr>
          <w:rFonts w:ascii="Helvetica Neue" w:eastAsia="Helvetica Neue" w:hAnsi="Helvetica Neue" w:cs="Helvetica Neue"/>
          <w:sz w:val="24"/>
          <w:szCs w:val="24"/>
          <w:vertAlign w:val="superscript"/>
        </w:rPr>
        <w:footnoteReference w:id="6"/>
      </w:r>
      <w:r>
        <w:rPr>
          <w:rFonts w:ascii="Helvetica Neue" w:eastAsia="Helvetica Neue" w:hAnsi="Helvetica Neue" w:cs="Helvetica Neue"/>
          <w:sz w:val="24"/>
          <w:szCs w:val="24"/>
        </w:rPr>
        <w:t xml:space="preserve">, solo se han presentado terceros interesados en dos. Estos 11 proyectos, tienen un costo estimado, solo por </w:t>
      </w:r>
      <w:r>
        <w:rPr>
          <w:rFonts w:ascii="Helvetica Neue" w:eastAsia="Helvetica Neue" w:hAnsi="Helvetica Neue" w:cs="Helvetica Neue"/>
          <w:sz w:val="24"/>
          <w:szCs w:val="24"/>
        </w:rPr>
        <w:lastRenderedPageBreak/>
        <w:t>construcción, de aproximadamente 13  billones de pesos, lo que representa el 1.4% del PIB .</w:t>
      </w:r>
    </w:p>
    <w:p w:rsidR="00E90573" w:rsidRDefault="00E90573">
      <w:pPr>
        <w:spacing w:after="0"/>
        <w:jc w:val="both"/>
        <w:rPr>
          <w:rFonts w:ascii="Helvetica Neue" w:eastAsia="Helvetica Neue" w:hAnsi="Helvetica Neue" w:cs="Helvetica Neue"/>
          <w:sz w:val="24"/>
          <w:szCs w:val="24"/>
        </w:rPr>
      </w:pPr>
    </w:p>
    <w:p w:rsidR="00E90573" w:rsidRDefault="00D17DEC">
      <w:pPr>
        <w:spacing w:after="0"/>
        <w:jc w:val="both"/>
        <w:rPr>
          <w:rFonts w:ascii="Helvetica Neue" w:eastAsia="Helvetica Neue" w:hAnsi="Helvetica Neue" w:cs="Helvetica Neue"/>
          <w:sz w:val="24"/>
          <w:szCs w:val="24"/>
        </w:rPr>
      </w:pPr>
      <w:r>
        <w:rPr>
          <w:rFonts w:ascii="Helvetica Neue" w:eastAsia="Helvetica Neue" w:hAnsi="Helvetica Neue" w:cs="Helvetica Neue"/>
          <w:sz w:val="24"/>
          <w:szCs w:val="24"/>
        </w:rPr>
        <w:t>Estos resultados hacen evidente que el marco normativo actual de las Asociaciones Público-Privadas de Iniciativa Privada (APP IP) en Colombia, está generando serios desincentivos a la competencia, lo que a su vez repercute en:</w:t>
      </w:r>
    </w:p>
    <w:p w:rsidR="00E90573" w:rsidRDefault="00D17DEC">
      <w:pPr>
        <w:numPr>
          <w:ilvl w:val="0"/>
          <w:numId w:val="1"/>
        </w:numPr>
        <w:spacing w:after="0"/>
        <w:jc w:val="both"/>
        <w:rPr>
          <w:rFonts w:ascii="Helvetica Neue" w:eastAsia="Helvetica Neue" w:hAnsi="Helvetica Neue" w:cs="Helvetica Neue"/>
          <w:sz w:val="24"/>
          <w:szCs w:val="24"/>
        </w:rPr>
      </w:pPr>
      <w:r>
        <w:rPr>
          <w:rFonts w:ascii="Helvetica Neue" w:eastAsia="Helvetica Neue" w:hAnsi="Helvetica Neue" w:cs="Helvetica Neue"/>
          <w:sz w:val="24"/>
          <w:szCs w:val="24"/>
        </w:rPr>
        <w:t>Dificultades para cerrar financieramente los proyectos (en caso de mala asignación de los riesgos, por lo que el concesionario no tiene la posibilidad de valorar anticipadamente las consecuencias financieras, por lo que no existe forma de sustentar al financiador de un proyecto, que la redistribución resultará suficiente para cubrir los efectos derivados de su materialización (Cámara Colombiana de Infraestructura, 2019</w:t>
      </w:r>
      <w:r>
        <w:rPr>
          <w:rFonts w:ascii="Helvetica Neue" w:eastAsia="Helvetica Neue" w:hAnsi="Helvetica Neue" w:cs="Helvetica Neue"/>
          <w:sz w:val="24"/>
          <w:szCs w:val="24"/>
          <w:vertAlign w:val="superscript"/>
        </w:rPr>
        <w:footnoteReference w:id="7"/>
      </w:r>
      <w:r>
        <w:rPr>
          <w:rFonts w:ascii="Helvetica Neue" w:eastAsia="Helvetica Neue" w:hAnsi="Helvetica Neue" w:cs="Helvetica Neue"/>
          <w:sz w:val="24"/>
          <w:szCs w:val="24"/>
        </w:rPr>
        <w:t xml:space="preserve">)), </w:t>
      </w:r>
    </w:p>
    <w:p w:rsidR="00E90573" w:rsidRDefault="00D17DEC">
      <w:pPr>
        <w:numPr>
          <w:ilvl w:val="0"/>
          <w:numId w:val="1"/>
        </w:numPr>
        <w:spacing w:after="0"/>
        <w:jc w:val="both"/>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Ausencia de reducción de los valores de los proyectos (frente a la experiencia de las iniciativas públicas), producto de la imposibilidad de enfrentar ofertas de proponentes, que presenten soluciones innovadoras y menos onerosas. </w:t>
      </w:r>
    </w:p>
    <w:p w:rsidR="00E90573" w:rsidRDefault="00D17DEC">
      <w:pPr>
        <w:numPr>
          <w:ilvl w:val="0"/>
          <w:numId w:val="1"/>
        </w:numPr>
        <w:spacing w:after="0"/>
        <w:jc w:val="both"/>
        <w:rPr>
          <w:rFonts w:ascii="Helvetica Neue" w:eastAsia="Helvetica Neue" w:hAnsi="Helvetica Neue" w:cs="Helvetica Neue"/>
          <w:sz w:val="24"/>
          <w:szCs w:val="24"/>
        </w:rPr>
      </w:pPr>
      <w:r>
        <w:rPr>
          <w:rFonts w:ascii="Helvetica Neue" w:eastAsia="Helvetica Neue" w:hAnsi="Helvetica Neue" w:cs="Helvetica Neue"/>
          <w:sz w:val="24"/>
          <w:szCs w:val="24"/>
        </w:rPr>
        <w:t>Asimetría en la asignación de riesgos que son evidentes en casos como la vía Cesar-Guajira (corredor para el turismo y exportación de Carbón, liquidada por problemas con consultas previas), la Malla Vial del Meta (corredor para el desarrollo de los Llanos orientales, paralizada hace 4 años, por diferencias frente a riesgos financieros, contrato que deberá renegociarse de acuerdo a laudo arbitral de febrero de 2019</w:t>
      </w:r>
      <w:r>
        <w:rPr>
          <w:rFonts w:ascii="Helvetica Neue" w:eastAsia="Helvetica Neue" w:hAnsi="Helvetica Neue" w:cs="Helvetica Neue"/>
          <w:sz w:val="24"/>
          <w:szCs w:val="24"/>
          <w:vertAlign w:val="superscript"/>
        </w:rPr>
        <w:footnoteReference w:id="8"/>
      </w:r>
      <w:r>
        <w:rPr>
          <w:rFonts w:ascii="Helvetica Neue" w:eastAsia="Helvetica Neue" w:hAnsi="Helvetica Neue" w:cs="Helvetica Neue"/>
          <w:sz w:val="24"/>
          <w:szCs w:val="24"/>
        </w:rPr>
        <w:t>) y la vía al Puerto, Trayecto Buga- Buenaventura</w:t>
      </w:r>
      <w:r>
        <w:rPr>
          <w:rFonts w:ascii="Helvetica Neue" w:eastAsia="Helvetica Neue" w:hAnsi="Helvetica Neue" w:cs="Helvetica Neue"/>
          <w:sz w:val="24"/>
          <w:szCs w:val="24"/>
          <w:vertAlign w:val="superscript"/>
        </w:rPr>
        <w:footnoteReference w:id="9"/>
      </w:r>
      <w:r>
        <w:rPr>
          <w:rFonts w:ascii="Helvetica Neue" w:eastAsia="Helvetica Neue" w:hAnsi="Helvetica Neue" w:cs="Helvetica Neue"/>
          <w:sz w:val="24"/>
          <w:szCs w:val="24"/>
        </w:rPr>
        <w:t xml:space="preserve">  (corredor de comercio hacia el Pacífico, liquidada por problemas del contrato) y los efectos de una pandemia como el COVID-19. </w:t>
      </w:r>
    </w:p>
    <w:p w:rsidR="00E90573" w:rsidRDefault="00E90573">
      <w:pPr>
        <w:spacing w:after="0"/>
        <w:jc w:val="both"/>
        <w:rPr>
          <w:rFonts w:ascii="Helvetica Neue" w:eastAsia="Helvetica Neue" w:hAnsi="Helvetica Neue" w:cs="Helvetica Neue"/>
          <w:sz w:val="24"/>
          <w:szCs w:val="24"/>
        </w:rPr>
      </w:pPr>
    </w:p>
    <w:p w:rsidR="00E90573" w:rsidRDefault="00D17DEC">
      <w:pPr>
        <w:spacing w:after="0"/>
        <w:jc w:val="both"/>
        <w:rPr>
          <w:rFonts w:ascii="Helvetica Neue" w:eastAsia="Helvetica Neue" w:hAnsi="Helvetica Neue" w:cs="Helvetica Neue"/>
          <w:sz w:val="24"/>
          <w:szCs w:val="24"/>
        </w:rPr>
      </w:pPr>
      <w:r>
        <w:rPr>
          <w:rFonts w:ascii="Helvetica Neue" w:eastAsia="Helvetica Neue" w:hAnsi="Helvetica Neue" w:cs="Helvetica Neue"/>
          <w:sz w:val="24"/>
          <w:szCs w:val="24"/>
        </w:rPr>
        <w:t>Esto se encuentra principalmente porque:</w:t>
      </w:r>
    </w:p>
    <w:p w:rsidR="00E90573" w:rsidRDefault="00E90573">
      <w:pPr>
        <w:spacing w:after="0"/>
        <w:jc w:val="both"/>
        <w:rPr>
          <w:rFonts w:ascii="Helvetica Neue" w:eastAsia="Helvetica Neue" w:hAnsi="Helvetica Neue" w:cs="Helvetica Neue"/>
          <w:sz w:val="24"/>
          <w:szCs w:val="24"/>
        </w:rPr>
      </w:pPr>
    </w:p>
    <w:p w:rsidR="00E90573" w:rsidRDefault="00D17DEC">
      <w:pPr>
        <w:numPr>
          <w:ilvl w:val="0"/>
          <w:numId w:val="11"/>
        </w:numPr>
        <w:spacing w:after="0"/>
        <w:jc w:val="both"/>
        <w:rPr>
          <w:rFonts w:ascii="Helvetica Neue" w:eastAsia="Helvetica Neue" w:hAnsi="Helvetica Neue" w:cs="Helvetica Neue"/>
          <w:sz w:val="24"/>
          <w:szCs w:val="24"/>
        </w:rPr>
      </w:pPr>
      <w:r>
        <w:rPr>
          <w:rFonts w:ascii="Helvetica Neue" w:eastAsia="Helvetica Neue" w:hAnsi="Helvetica Neue" w:cs="Helvetica Neue"/>
          <w:sz w:val="24"/>
          <w:szCs w:val="24"/>
        </w:rPr>
        <w:t>En una Asociación Público Privada de Iniciativa Privada que no requiere desembolso de recursos públicos, la Ley 1508 permite que el término para recibir a terceros interesados sea tan corto como un mes. (1-6 meses)</w:t>
      </w:r>
    </w:p>
    <w:p w:rsidR="00E90573" w:rsidRDefault="00D17DEC">
      <w:pPr>
        <w:numPr>
          <w:ilvl w:val="0"/>
          <w:numId w:val="11"/>
        </w:numPr>
        <w:spacing w:after="0"/>
        <w:jc w:val="both"/>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Un mes es a todas luces un desincentivo y poco tiempo para que otros puedan presentar ofertas. </w:t>
      </w:r>
    </w:p>
    <w:p w:rsidR="00E90573" w:rsidRDefault="00D17DEC">
      <w:pPr>
        <w:numPr>
          <w:ilvl w:val="0"/>
          <w:numId w:val="11"/>
        </w:numPr>
        <w:spacing w:after="0"/>
        <w:jc w:val="both"/>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Adicionalmente la norma permite al privado “originador” mejorar su oferta en caso que no resulte ganador, y a través de un decreto se estableció que esto sería cuando la diferencia con respecto a la mejor propuesta fuera de hasta un 20%. </w:t>
      </w:r>
    </w:p>
    <w:p w:rsidR="00E90573" w:rsidRDefault="00D17DEC">
      <w:pPr>
        <w:numPr>
          <w:ilvl w:val="0"/>
          <w:numId w:val="11"/>
        </w:numPr>
        <w:spacing w:after="0"/>
        <w:jc w:val="both"/>
        <w:rPr>
          <w:rFonts w:ascii="Helvetica Neue" w:eastAsia="Helvetica Neue" w:hAnsi="Helvetica Neue" w:cs="Helvetica Neue"/>
          <w:sz w:val="24"/>
          <w:szCs w:val="24"/>
        </w:rPr>
      </w:pPr>
      <w:r>
        <w:rPr>
          <w:rFonts w:ascii="Helvetica Neue" w:eastAsia="Helvetica Neue" w:hAnsi="Helvetica Neue" w:cs="Helvetica Neue"/>
          <w:sz w:val="24"/>
          <w:szCs w:val="24"/>
        </w:rPr>
        <w:t>Esto termina generando el escenario perfecto para que ningún tercero se presente y termine adjudicándose directamente el proyecto al originador.</w:t>
      </w:r>
    </w:p>
    <w:p w:rsidR="00E90573" w:rsidRDefault="00D17DEC">
      <w:pPr>
        <w:numPr>
          <w:ilvl w:val="0"/>
          <w:numId w:val="11"/>
        </w:numPr>
        <w:spacing w:after="0"/>
        <w:jc w:val="both"/>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Riesgos: En las APPs- Iniciativa Privada sin desembolso de recursos Públicos, se ha entendido por muchas entidades que todos los riesgos deben ser asumidos por el privado, en la medida en que se interpreta que no hay forma que la entidad pueda disponer de un fondo de contingencias (recursos para </w:t>
      </w:r>
      <w:r>
        <w:rPr>
          <w:rFonts w:ascii="Helvetica Neue" w:eastAsia="Helvetica Neue" w:hAnsi="Helvetica Neue" w:cs="Helvetica Neue"/>
          <w:sz w:val="24"/>
          <w:szCs w:val="24"/>
        </w:rPr>
        <w:lastRenderedPageBreak/>
        <w:t>utilizar en caso de materializarse los riesgos), lo cual encarece la competencia dando como resultado la imposibilidad de reducir costos de los proyectos, dificultades en la financiación y asimetría de los riesgos que quedan pactados, riesgos que al materializarse generan graves consecuencias para la competitividad del país.</w:t>
      </w:r>
    </w:p>
    <w:p w:rsidR="00E90573" w:rsidRDefault="00D17DEC">
      <w:pPr>
        <w:numPr>
          <w:ilvl w:val="0"/>
          <w:numId w:val="11"/>
        </w:numPr>
        <w:spacing w:after="0"/>
        <w:jc w:val="both"/>
        <w:rPr>
          <w:rFonts w:ascii="Helvetica Neue" w:eastAsia="Helvetica Neue" w:hAnsi="Helvetica Neue" w:cs="Helvetica Neue"/>
          <w:sz w:val="24"/>
          <w:szCs w:val="24"/>
        </w:rPr>
      </w:pPr>
      <w:r>
        <w:rPr>
          <w:rFonts w:ascii="Helvetica Neue" w:eastAsia="Helvetica Neue" w:hAnsi="Helvetica Neue" w:cs="Helvetica Neue"/>
          <w:sz w:val="24"/>
          <w:szCs w:val="24"/>
        </w:rPr>
        <w:t>La ley 1508 establece la obligación de justificar cuando una APP realmente es el mecanismo necesario o más eficiente para realizar un proyecto, comparado con el mecanismo de Obra pública. Sin embargo, la norma quedó tan general, que hoy en día, de acuerdo a interpretaciones de entidades como el Departamento Nacional de Planeación (DNP), en las IPs es el privado el que debe realizar este comparativo. Es decir, el mayor interesado en que se realice la APP termina presentando dicha justificación (existiendo un conflicto de intereses autorizado por las interpretaciones legales. Debería ser la Entidad Pública contratante, la que por su conocimiento histórico y de sus proceso tendría la capacidad de demostrar esa necesidad.</w:t>
      </w:r>
    </w:p>
    <w:p w:rsidR="00E90573" w:rsidRDefault="00D17DEC">
      <w:pPr>
        <w:pStyle w:val="Ttulo"/>
        <w:numPr>
          <w:ilvl w:val="0"/>
          <w:numId w:val="14"/>
        </w:numPr>
        <w:spacing w:after="0" w:line="240" w:lineRule="auto"/>
        <w:jc w:val="both"/>
        <w:rPr>
          <w:rFonts w:ascii="Helvetica Neue" w:eastAsia="Helvetica Neue" w:hAnsi="Helvetica Neue" w:cs="Helvetica Neue"/>
          <w:sz w:val="24"/>
          <w:szCs w:val="24"/>
        </w:rPr>
      </w:pPr>
      <w:bookmarkStart w:id="2" w:name="_heading=h.v3am6vbee0xt" w:colFirst="0" w:colLast="0"/>
      <w:bookmarkEnd w:id="2"/>
      <w:r>
        <w:rPr>
          <w:rFonts w:ascii="Helvetica Neue" w:eastAsia="Helvetica Neue" w:hAnsi="Helvetica Neue" w:cs="Helvetica Neue"/>
          <w:sz w:val="24"/>
          <w:szCs w:val="24"/>
          <w:u w:val="single"/>
        </w:rPr>
        <w:t>CÓMO PRETENDE RESOLVER ESTE PROBLEMA ESTE PROYECTO DE LEY</w:t>
      </w:r>
    </w:p>
    <w:p w:rsidR="00E90573" w:rsidRDefault="00E90573">
      <w:pPr>
        <w:shd w:val="clear" w:color="auto" w:fill="FFFFFF"/>
        <w:spacing w:after="0" w:line="240" w:lineRule="auto"/>
        <w:jc w:val="both"/>
        <w:rPr>
          <w:rFonts w:ascii="Helvetica Neue" w:eastAsia="Helvetica Neue" w:hAnsi="Helvetica Neue" w:cs="Helvetica Neue"/>
          <w:sz w:val="24"/>
          <w:szCs w:val="24"/>
        </w:rPr>
      </w:pPr>
    </w:p>
    <w:p w:rsidR="00E90573" w:rsidRDefault="00D17DEC">
      <w:pPr>
        <w:shd w:val="clear" w:color="auto" w:fill="FFFFFF"/>
        <w:spacing w:after="0" w:line="240" w:lineRule="auto"/>
        <w:jc w:val="both"/>
        <w:rPr>
          <w:rFonts w:ascii="Helvetica Neue" w:eastAsia="Helvetica Neue" w:hAnsi="Helvetica Neue" w:cs="Helvetica Neue"/>
          <w:sz w:val="24"/>
          <w:szCs w:val="24"/>
        </w:rPr>
      </w:pPr>
      <w:r>
        <w:rPr>
          <w:rFonts w:ascii="Helvetica Neue" w:eastAsia="Helvetica Neue" w:hAnsi="Helvetica Neue" w:cs="Helvetica Neue"/>
          <w:sz w:val="24"/>
          <w:szCs w:val="24"/>
          <w:highlight w:val="white"/>
        </w:rPr>
        <w:t>Actualmente las APP IP, se rigen principalmente por la ley 1508 de 2012</w:t>
      </w:r>
      <w:r>
        <w:rPr>
          <w:rFonts w:ascii="Helvetica Neue" w:eastAsia="Helvetica Neue" w:hAnsi="Helvetica Neue" w:cs="Helvetica Neue"/>
          <w:sz w:val="24"/>
          <w:szCs w:val="24"/>
        </w:rPr>
        <w:t xml:space="preserve"> </w:t>
      </w:r>
      <w:r>
        <w:rPr>
          <w:rFonts w:ascii="Helvetica Neue" w:eastAsia="Helvetica Neue" w:hAnsi="Helvetica Neue" w:cs="Helvetica Neue"/>
          <w:sz w:val="24"/>
          <w:szCs w:val="24"/>
          <w:highlight w:val="white"/>
        </w:rPr>
        <w:t xml:space="preserve">que estipula  en su artículo 19 y 20, que ante Iniciativas Privadas que no requieren desembolso de recursos públicos, </w:t>
      </w:r>
      <w:r>
        <w:rPr>
          <w:rFonts w:ascii="Helvetica Neue" w:eastAsia="Helvetica Neue" w:hAnsi="Helvetica Neue" w:cs="Helvetica Neue"/>
          <w:sz w:val="24"/>
          <w:szCs w:val="24"/>
        </w:rPr>
        <w:t>la entidad pública contratante, podrá publicar el proyecto para que terceros puedan manifestar interés, desde un mes hasta seis meses. Tener un mes para conocer proyectos tan técnicos es a todas luces un desincentivo para la participación. A lo que se suma que,  la norma permite al privado “originador” del proyecto mejorar su oferta en caso que no resulte ganador, y a través de un decreto</w:t>
      </w:r>
      <w:r>
        <w:rPr>
          <w:rFonts w:ascii="Helvetica Neue" w:eastAsia="Helvetica Neue" w:hAnsi="Helvetica Neue" w:cs="Helvetica Neue"/>
          <w:sz w:val="24"/>
          <w:szCs w:val="24"/>
          <w:vertAlign w:val="superscript"/>
        </w:rPr>
        <w:footnoteReference w:id="10"/>
      </w:r>
      <w:r>
        <w:rPr>
          <w:rFonts w:ascii="Helvetica Neue" w:eastAsia="Helvetica Neue" w:hAnsi="Helvetica Neue" w:cs="Helvetica Neue"/>
          <w:sz w:val="24"/>
          <w:szCs w:val="24"/>
        </w:rPr>
        <w:t xml:space="preserve"> se estableció que esto sería cuando la diferencia con respecto a la mejor propuesta fuera de hasta un 20%. Lo que termina generando el escenario perfecto para que ningún tercero se presente y termine adjudicándose directamente el proyecto al originador.</w:t>
      </w:r>
    </w:p>
    <w:p w:rsidR="00E90573" w:rsidRDefault="00E90573">
      <w:pPr>
        <w:spacing w:after="0"/>
        <w:jc w:val="both"/>
        <w:rPr>
          <w:rFonts w:ascii="Helvetica Neue" w:eastAsia="Helvetica Neue" w:hAnsi="Helvetica Neue" w:cs="Helvetica Neue"/>
          <w:sz w:val="24"/>
          <w:szCs w:val="24"/>
        </w:rPr>
      </w:pPr>
    </w:p>
    <w:p w:rsidR="00E90573" w:rsidRDefault="00D17DEC">
      <w:pPr>
        <w:spacing w:after="0" w:line="240" w:lineRule="auto"/>
        <w:jc w:val="both"/>
      </w:pPr>
      <w:r>
        <w:rPr>
          <w:rFonts w:ascii="Helvetica Neue" w:eastAsia="Helvetica Neue" w:hAnsi="Helvetica Neue" w:cs="Helvetica Neue"/>
          <w:sz w:val="24"/>
          <w:szCs w:val="24"/>
        </w:rPr>
        <w:t xml:space="preserve">Por lo anterior, se propone modificar el artículo 19 para que el tiempo mínimo de publicación sea de 4 meses, teniendo en cuenta que el límite máximo establecido por la ley son 6 meses y que se requiere un piso mínimo que permita a un tercero manifestar interés en una APP IP sin recursos públicos. Además, se busca modificar el artículo 20 de la ley 1508 de 2012 de manera que la propuesta del originador deba obtener como mínimo un porcentaje igual o superior al 97% del puntaje obtenido por la propuesta mejor calificada y no del 80% como está en la normatividad actual. Esto permite incentivar más competencia y que el originador se esfuerce en presentar propuestas más competitivas. </w:t>
      </w:r>
    </w:p>
    <w:p w:rsidR="00E90573" w:rsidRDefault="00E90573">
      <w:pPr>
        <w:spacing w:after="0" w:line="240" w:lineRule="auto"/>
        <w:jc w:val="both"/>
        <w:rPr>
          <w:rFonts w:ascii="Helvetica Neue" w:eastAsia="Helvetica Neue" w:hAnsi="Helvetica Neue" w:cs="Helvetica Neue"/>
          <w:sz w:val="24"/>
          <w:szCs w:val="24"/>
        </w:rPr>
      </w:pPr>
    </w:p>
    <w:p w:rsidR="00E90573" w:rsidRDefault="00D17DEC">
      <w:pPr>
        <w:spacing w:after="0"/>
        <w:jc w:val="both"/>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Además, en APPs de Iniciativa Privada sin desembolso de recursos Públicos, se ha entendido por muchas entidades que todos los riesgos deben ser asumidos por el privado, en la medida en que se interpreta que no hay forma que la entidad pueda disponer de un fondo de contingencias (recursos para utilizar en caso de materializarse los riesgos), lo que termina por un lado imponiendo riesgos que por su naturaleza deberían estar en cabeza del privado (como el riesgo regulatorio) y por otro encarece más la competencia porque un tercero no competirá en condiciones tan extremas, genera una asimetría de riesgos y falta de reducción del valor del proyecto. </w:t>
      </w:r>
    </w:p>
    <w:p w:rsidR="00E90573" w:rsidRDefault="00E90573">
      <w:pPr>
        <w:spacing w:after="0"/>
        <w:jc w:val="both"/>
        <w:rPr>
          <w:rFonts w:ascii="Helvetica Neue" w:eastAsia="Helvetica Neue" w:hAnsi="Helvetica Neue" w:cs="Helvetica Neue"/>
          <w:sz w:val="24"/>
          <w:szCs w:val="24"/>
        </w:rPr>
      </w:pPr>
    </w:p>
    <w:p w:rsidR="00E90573" w:rsidRDefault="00D17DEC">
      <w:pPr>
        <w:spacing w:after="0"/>
        <w:jc w:val="both"/>
        <w:rPr>
          <w:rFonts w:ascii="Helvetica Neue" w:eastAsia="Helvetica Neue" w:hAnsi="Helvetica Neue" w:cs="Helvetica Neue"/>
          <w:sz w:val="24"/>
          <w:szCs w:val="24"/>
        </w:rPr>
      </w:pPr>
      <w:r>
        <w:rPr>
          <w:rFonts w:ascii="Helvetica Neue" w:eastAsia="Helvetica Neue" w:hAnsi="Helvetica Neue" w:cs="Helvetica Neue"/>
          <w:sz w:val="24"/>
          <w:szCs w:val="24"/>
        </w:rPr>
        <w:t>Teniendo en cuenta que los recursos que se encuentran en el fondo de contingencias no son derechos económicos a los que tenga acceso el privado y no serán destinados a la ejecución del proyecto, se propone la modificación del inciso 7 del artículo 14, dejando claro la calidad que tiene estos recursos públicos, que en ningún caso deberían entenderse como desembolso de recursos públicos o retribución a favor del privado, a los que hace mención este artículo y tal como ya está permitido.</w:t>
      </w:r>
      <w:r>
        <w:rPr>
          <w:rFonts w:ascii="Helvetica Neue" w:eastAsia="Helvetica Neue" w:hAnsi="Helvetica Neue" w:cs="Helvetica Neue"/>
          <w:sz w:val="24"/>
          <w:szCs w:val="24"/>
          <w:vertAlign w:val="superscript"/>
        </w:rPr>
        <w:footnoteReference w:id="11"/>
      </w:r>
      <w:r>
        <w:rPr>
          <w:rFonts w:ascii="Helvetica Neue" w:eastAsia="Helvetica Neue" w:hAnsi="Helvetica Neue" w:cs="Helvetica Neue"/>
          <w:sz w:val="24"/>
          <w:szCs w:val="24"/>
        </w:rPr>
        <w:t xml:space="preserve">  </w:t>
      </w:r>
    </w:p>
    <w:p w:rsidR="00E90573" w:rsidRDefault="00E90573">
      <w:pPr>
        <w:spacing w:after="0"/>
        <w:jc w:val="both"/>
        <w:rPr>
          <w:rFonts w:ascii="Helvetica Neue" w:eastAsia="Helvetica Neue" w:hAnsi="Helvetica Neue" w:cs="Helvetica Neue"/>
          <w:sz w:val="24"/>
          <w:szCs w:val="24"/>
        </w:rPr>
      </w:pPr>
    </w:p>
    <w:p w:rsidR="00E90573" w:rsidRDefault="00D17DEC">
      <w:pPr>
        <w:spacing w:after="0"/>
        <w:jc w:val="both"/>
        <w:rPr>
          <w:rFonts w:ascii="Helvetica Neue" w:eastAsia="Helvetica Neue" w:hAnsi="Helvetica Neue" w:cs="Helvetica Neue"/>
          <w:sz w:val="24"/>
          <w:szCs w:val="24"/>
          <w:highlight w:val="white"/>
        </w:rPr>
      </w:pPr>
      <w:r>
        <w:rPr>
          <w:rFonts w:ascii="Helvetica Neue" w:eastAsia="Helvetica Neue" w:hAnsi="Helvetica Neue" w:cs="Helvetica Neue"/>
          <w:sz w:val="24"/>
          <w:szCs w:val="24"/>
        </w:rPr>
        <w:t xml:space="preserve">Adicional a lo anterior, en </w:t>
      </w:r>
      <w:r>
        <w:rPr>
          <w:rFonts w:ascii="Helvetica Neue" w:eastAsia="Helvetica Neue" w:hAnsi="Helvetica Neue" w:cs="Helvetica Neue"/>
          <w:sz w:val="24"/>
          <w:szCs w:val="24"/>
          <w:highlight w:val="white"/>
        </w:rPr>
        <w:t xml:space="preserve">el numeral 11.3 del artículo 11 de la Ley 1508 de 2012 </w:t>
      </w:r>
      <w:r>
        <w:rPr>
          <w:rFonts w:ascii="Helvetica Neue" w:eastAsia="Helvetica Neue" w:hAnsi="Helvetica Neue" w:cs="Helvetica Neue"/>
          <w:sz w:val="24"/>
          <w:szCs w:val="24"/>
        </w:rPr>
        <w:t xml:space="preserve">se establece la </w:t>
      </w:r>
      <w:r>
        <w:rPr>
          <w:rFonts w:ascii="Helvetica Neue" w:eastAsia="Helvetica Neue" w:hAnsi="Helvetica Neue" w:cs="Helvetica Neue"/>
          <w:b/>
          <w:sz w:val="24"/>
          <w:szCs w:val="24"/>
        </w:rPr>
        <w:t>obligación de justificar el mecanismo de asociación público privada como modalidad para la ejecución del proyecto.</w:t>
      </w:r>
      <w:r>
        <w:rPr>
          <w:rFonts w:ascii="Helvetica Neue" w:eastAsia="Helvetica Neue" w:hAnsi="Helvetica Neue" w:cs="Helvetica Neue"/>
          <w:sz w:val="24"/>
          <w:szCs w:val="24"/>
        </w:rPr>
        <w:t xml:space="preserve"> Actualmente, de acuerdo a interpretaciones de diferentes entidades, es el privado el que debe realizar este comparativo en las Iniciativas Privadas. Es decir, el mayor interesado en que se realice la APP termina presentando dicha justificación (existiendo un notorio conflicto de intereses), cuando es la Entidad Pública, la que por su conocimiento histórico y de sus proceso tendría la capacidad de demostrar esa necesidad. Por esto se propone modificar el artículo 11 de la ley en mención, de manera que se de total claridad frente a que la justificación que se debe realizar para demostrar que la modalidad más eficiente y necesaria para la ejecución de un proyecto es una APP; la debe hacer el DNP en caso de ser una entidad de orden nacional o para proyectos desarrollados por entidades territoriales, estará a cargo de la Financiera de Desarrollo Nacional o la entidad de planeación de la respectiva entidad territorial, según defina la entidad contratante.</w:t>
      </w:r>
    </w:p>
    <w:p w:rsidR="00E90573" w:rsidRDefault="00D17DEC">
      <w:pPr>
        <w:spacing w:before="240" w:after="240" w:line="240" w:lineRule="auto"/>
        <w:jc w:val="both"/>
        <w:rPr>
          <w:rFonts w:ascii="Helvetica Neue" w:eastAsia="Helvetica Neue" w:hAnsi="Helvetica Neue" w:cs="Helvetica Neue"/>
          <w:b/>
          <w:sz w:val="24"/>
          <w:szCs w:val="24"/>
          <w:highlight w:val="white"/>
        </w:rPr>
      </w:pPr>
      <w:r>
        <w:rPr>
          <w:rFonts w:ascii="Helvetica Neue" w:eastAsia="Helvetica Neue" w:hAnsi="Helvetica Neue" w:cs="Helvetica Neue"/>
          <w:sz w:val="24"/>
          <w:szCs w:val="24"/>
          <w:highlight w:val="white"/>
        </w:rPr>
        <w:t xml:space="preserve">En conclusión, una vez analizados los resultados de la implementación de la Ley 1508 de 2012 y reglamentaciones que se han desprendido de la misma, se denota la necesidad de incorporar unos ajustes a la norma, con el fin de que ciertas condiciones aplicables a los Asociaciones Público-Privadas de Iniciativa Privada se permitan generar competencia en este tipo de proyectos. </w:t>
      </w:r>
    </w:p>
    <w:p w:rsidR="00E90573" w:rsidRDefault="00D17DEC">
      <w:pPr>
        <w:pStyle w:val="Ttulo"/>
        <w:spacing w:line="276" w:lineRule="auto"/>
        <w:jc w:val="both"/>
        <w:rPr>
          <w:rFonts w:ascii="Helvetica Neue" w:eastAsia="Helvetica Neue" w:hAnsi="Helvetica Neue" w:cs="Helvetica Neue"/>
          <w:sz w:val="24"/>
          <w:szCs w:val="24"/>
          <w:u w:val="single"/>
        </w:rPr>
      </w:pPr>
      <w:bookmarkStart w:id="3" w:name="_heading=h.a9pzmy3gv9vn" w:colFirst="0" w:colLast="0"/>
      <w:bookmarkEnd w:id="3"/>
      <w:r>
        <w:rPr>
          <w:rFonts w:ascii="Helvetica Neue" w:eastAsia="Helvetica Neue" w:hAnsi="Helvetica Neue" w:cs="Helvetica Neue"/>
          <w:sz w:val="24"/>
          <w:szCs w:val="24"/>
          <w:u w:val="single"/>
        </w:rPr>
        <w:t>4. CONSIDERACIONES GENERALES</w:t>
      </w:r>
    </w:p>
    <w:p w:rsidR="00E90573" w:rsidRDefault="00E90573">
      <w:pPr>
        <w:pBdr>
          <w:top w:val="nil"/>
          <w:left w:val="nil"/>
          <w:bottom w:val="nil"/>
          <w:right w:val="nil"/>
          <w:between w:val="nil"/>
        </w:pBdr>
        <w:spacing w:after="120" w:line="276" w:lineRule="auto"/>
        <w:jc w:val="both"/>
        <w:rPr>
          <w:rFonts w:ascii="Helvetica Neue" w:eastAsia="Helvetica Neue" w:hAnsi="Helvetica Neue" w:cs="Helvetica Neue"/>
          <w:b/>
          <w:sz w:val="24"/>
          <w:szCs w:val="24"/>
        </w:rPr>
      </w:pPr>
    </w:p>
    <w:p w:rsidR="00E90573" w:rsidRDefault="00D17DEC">
      <w:pPr>
        <w:pBdr>
          <w:top w:val="nil"/>
          <w:left w:val="nil"/>
          <w:bottom w:val="nil"/>
          <w:right w:val="nil"/>
          <w:between w:val="nil"/>
        </w:pBdr>
        <w:spacing w:after="120" w:line="276" w:lineRule="auto"/>
        <w:jc w:val="both"/>
        <w:rPr>
          <w:rFonts w:ascii="Helvetica Neue" w:eastAsia="Helvetica Neue" w:hAnsi="Helvetica Neue" w:cs="Helvetica Neue"/>
          <w:b/>
          <w:sz w:val="24"/>
          <w:szCs w:val="24"/>
          <w:u w:val="single"/>
        </w:rPr>
      </w:pPr>
      <w:r>
        <w:rPr>
          <w:rFonts w:ascii="Helvetica Neue" w:eastAsia="Helvetica Neue" w:hAnsi="Helvetica Neue" w:cs="Helvetica Neue"/>
          <w:b/>
          <w:sz w:val="24"/>
          <w:szCs w:val="24"/>
          <w:u w:val="single"/>
        </w:rPr>
        <w:t>4.1. ¿Qué son las APPs?</w:t>
      </w:r>
    </w:p>
    <w:p w:rsidR="00E90573" w:rsidRDefault="00D17DEC">
      <w:pPr>
        <w:spacing w:line="240" w:lineRule="auto"/>
        <w:jc w:val="both"/>
        <w:rPr>
          <w:rFonts w:ascii="Helvetica Neue" w:eastAsia="Helvetica Neue" w:hAnsi="Helvetica Neue" w:cs="Helvetica Neue"/>
          <w:sz w:val="24"/>
          <w:szCs w:val="24"/>
          <w:highlight w:val="white"/>
        </w:rPr>
      </w:pPr>
      <w:r>
        <w:rPr>
          <w:rFonts w:ascii="Helvetica Neue" w:eastAsia="Helvetica Neue" w:hAnsi="Helvetica Neue" w:cs="Helvetica Neue"/>
          <w:sz w:val="24"/>
          <w:szCs w:val="24"/>
          <w:highlight w:val="white"/>
        </w:rPr>
        <w:t>Las Asociaciones Público-Privadas (APPs) son una herramienta de financiación, creada a partir de la Ley 1508 de 2012, con el fin de generar participación del capital privado en la realización de proyectos que el Estado evalúe como necesarios y los cuales no podrían desarrollarse en las condiciones financieras actuales. El capital privado por lo regular proviene de particulares, que no hacen parte del contrato, pero son quienes prestan el dinero al contratista que ejecutará la obra que sea aprobada por la Entidad Estatal.</w:t>
      </w:r>
    </w:p>
    <w:p w:rsidR="00E90573" w:rsidRDefault="00D17DEC">
      <w:pPr>
        <w:spacing w:before="240" w:after="240"/>
        <w:jc w:val="both"/>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En el CONPES 3615 de 2009, se define las Asociaciones Público-Privadas como: “una tipología general de relación público-privada materializada en un contrato entre una organización pública y una compañía privada para la provisión de bienes públicos y de </w:t>
      </w:r>
      <w:r>
        <w:rPr>
          <w:rFonts w:ascii="Helvetica Neue" w:eastAsia="Helvetica Neue" w:hAnsi="Helvetica Neue" w:cs="Helvetica Neue"/>
          <w:sz w:val="24"/>
          <w:szCs w:val="24"/>
        </w:rPr>
        <w:lastRenderedPageBreak/>
        <w:t>sus servicios relacionados en un contexto de largo plazo, financiados indistintamente a través de pagos diferidos en el tiempo por parte del Estado, de los usuarios o una combinación de ambas fuentes. Dicha asociación se traduce en retención y transferencia de riesgos, en derechos y obligaciones para las partes, en mecanismos de pago relacionados con la disponibilidad y el nivel del servicio de la infraestructura y/o servicio, incentivos y deducciones, y en general, en el establecimiento de una regulación integral de los estándares de calidad de los servicios contratados e indicadores claves de cumplimiento”.</w:t>
      </w:r>
    </w:p>
    <w:p w:rsidR="00E90573" w:rsidRDefault="00D17DEC">
      <w:pPr>
        <w:spacing w:before="240" w:after="240"/>
        <w:jc w:val="both"/>
        <w:rPr>
          <w:rFonts w:ascii="Helvetica Neue" w:eastAsia="Helvetica Neue" w:hAnsi="Helvetica Neue" w:cs="Helvetica Neue"/>
          <w:sz w:val="24"/>
          <w:szCs w:val="24"/>
        </w:rPr>
      </w:pPr>
      <w:r>
        <w:rPr>
          <w:rFonts w:ascii="Helvetica Neue" w:eastAsia="Helvetica Neue" w:hAnsi="Helvetica Neue" w:cs="Helvetica Neue"/>
          <w:sz w:val="24"/>
          <w:szCs w:val="24"/>
        </w:rPr>
        <w:t>De acuerdo con Philippa Roe and Craig Allistair, a través de las Asociación Público-Privada (APP), el estado le cede a un contratista,  normalmente a través de un patrimonio autónomo, la construcción, operación y mantenimiento de un bien público, bajo el cumplimiento de niveles de servicio y estándares de calidad</w:t>
      </w:r>
      <w:r>
        <w:rPr>
          <w:rFonts w:ascii="Helvetica Neue" w:eastAsia="Helvetica Neue" w:hAnsi="Helvetica Neue" w:cs="Helvetica Neue"/>
          <w:sz w:val="24"/>
          <w:szCs w:val="24"/>
          <w:vertAlign w:val="superscript"/>
        </w:rPr>
        <w:footnoteReference w:id="12"/>
      </w:r>
      <w:r>
        <w:rPr>
          <w:rFonts w:ascii="Helvetica Neue" w:eastAsia="Helvetica Neue" w:hAnsi="Helvetica Neue" w:cs="Helvetica Neue"/>
          <w:sz w:val="24"/>
          <w:szCs w:val="24"/>
        </w:rPr>
        <w:t xml:space="preserve">. Este esquema tiene dos tipos: 1) APP de iniciativa pública, 2) APPs de iniciativa privada. La principal diferencia entre ambos esquemas tiene que ver con quién asume el rol de estructuración del proyecto y la asignación de riesgos, junto con los mecanismos para cobertura de los mismos. </w:t>
      </w:r>
    </w:p>
    <w:p w:rsidR="00E90573" w:rsidRDefault="00D17DEC">
      <w:pPr>
        <w:spacing w:before="240" w:after="240"/>
        <w:jc w:val="both"/>
        <w:rPr>
          <w:rFonts w:ascii="Helvetica Neue" w:eastAsia="Helvetica Neue" w:hAnsi="Helvetica Neue" w:cs="Helvetica Neue"/>
          <w:sz w:val="24"/>
          <w:szCs w:val="24"/>
        </w:rPr>
      </w:pPr>
      <w:r>
        <w:rPr>
          <w:rFonts w:ascii="Helvetica Neue" w:eastAsia="Helvetica Neue" w:hAnsi="Helvetica Neue" w:cs="Helvetica Neue"/>
          <w:sz w:val="24"/>
          <w:szCs w:val="24"/>
        </w:rPr>
        <w:t>Para el caso de las APP de iniciativa privada, la propuesta inicial es presentada por un privado “originador del proyecto” y el estado dependiendo de sus necesidades, rechaza o aprueba dicha propuesta, previo un análisis y evaluación de esta. Entre los objetivos principales de este tipo de iniciativas se encuentran: mayor eficiencia operacional y constructiva, junto con un alivianamiento de las necesidades fiscales del gobierno central, siempre a través de una cifra positiva de valor por dinero para el contribuyente</w:t>
      </w:r>
      <w:r>
        <w:rPr>
          <w:rFonts w:ascii="Helvetica Neue" w:eastAsia="Helvetica Neue" w:hAnsi="Helvetica Neue" w:cs="Helvetica Neue"/>
          <w:sz w:val="24"/>
          <w:szCs w:val="24"/>
          <w:vertAlign w:val="superscript"/>
        </w:rPr>
        <w:footnoteReference w:id="13"/>
      </w:r>
      <w:r>
        <w:rPr>
          <w:rFonts w:ascii="Helvetica Neue" w:eastAsia="Helvetica Neue" w:hAnsi="Helvetica Neue" w:cs="Helvetica Neue"/>
          <w:sz w:val="24"/>
          <w:szCs w:val="24"/>
        </w:rPr>
        <w:t xml:space="preserve">.En su gran mayoría los proyectos que contemplan las iniciativas privadas son: vías, aeropuertos, puentes, túneles, complejos hídricos, prisiones, colegios públicos, estadios y complejos deportivos. </w:t>
      </w:r>
    </w:p>
    <w:p w:rsidR="00E90573" w:rsidRDefault="00D17DEC">
      <w:pPr>
        <w:spacing w:after="0" w:line="240" w:lineRule="auto"/>
        <w:jc w:val="both"/>
        <w:rPr>
          <w:rFonts w:ascii="Helvetica Neue" w:eastAsia="Helvetica Neue" w:hAnsi="Helvetica Neue" w:cs="Helvetica Neue"/>
          <w:b/>
          <w:sz w:val="24"/>
          <w:szCs w:val="24"/>
          <w:highlight w:val="white"/>
          <w:u w:val="single"/>
        </w:rPr>
      </w:pPr>
      <w:r>
        <w:rPr>
          <w:rFonts w:ascii="Helvetica Neue" w:eastAsia="Helvetica Neue" w:hAnsi="Helvetica Neue" w:cs="Helvetica Neue"/>
          <w:b/>
          <w:sz w:val="24"/>
          <w:szCs w:val="24"/>
          <w:highlight w:val="white"/>
          <w:u w:val="single"/>
        </w:rPr>
        <w:t xml:space="preserve">4.2 Antecedentes </w:t>
      </w:r>
    </w:p>
    <w:p w:rsidR="00E90573" w:rsidRDefault="00E90573">
      <w:pPr>
        <w:spacing w:after="0" w:line="240" w:lineRule="auto"/>
        <w:jc w:val="both"/>
        <w:rPr>
          <w:rFonts w:ascii="Helvetica Neue" w:eastAsia="Helvetica Neue" w:hAnsi="Helvetica Neue" w:cs="Helvetica Neue"/>
          <w:sz w:val="24"/>
          <w:szCs w:val="24"/>
          <w:highlight w:val="white"/>
        </w:rPr>
      </w:pPr>
    </w:p>
    <w:p w:rsidR="00E90573" w:rsidRDefault="00D17DEC">
      <w:pPr>
        <w:spacing w:after="0" w:line="240" w:lineRule="auto"/>
        <w:jc w:val="both"/>
        <w:rPr>
          <w:rFonts w:ascii="Helvetica Neue" w:eastAsia="Helvetica Neue" w:hAnsi="Helvetica Neue" w:cs="Helvetica Neue"/>
          <w:sz w:val="24"/>
          <w:szCs w:val="24"/>
          <w:highlight w:val="white"/>
        </w:rPr>
      </w:pPr>
      <w:r>
        <w:rPr>
          <w:rFonts w:ascii="Helvetica Neue" w:eastAsia="Helvetica Neue" w:hAnsi="Helvetica Neue" w:cs="Helvetica Neue"/>
          <w:sz w:val="24"/>
          <w:szCs w:val="24"/>
          <w:highlight w:val="white"/>
        </w:rPr>
        <w:t xml:space="preserve">La Constitución Política promulgada en 1991 abrió nuevos espacios para la participación privada en proyectos de infraestructura y servicios públicos, lo cual condujo a la expedición de un número importante de leyes y decretos que dieron vida y regulación a diversos esquemas de participación y colaboración entre el sector público y privado. </w:t>
      </w:r>
    </w:p>
    <w:p w:rsidR="00E90573" w:rsidRDefault="00E90573">
      <w:pPr>
        <w:spacing w:after="0" w:line="240" w:lineRule="auto"/>
        <w:jc w:val="both"/>
        <w:rPr>
          <w:rFonts w:ascii="Helvetica Neue" w:eastAsia="Helvetica Neue" w:hAnsi="Helvetica Neue" w:cs="Helvetica Neue"/>
          <w:sz w:val="24"/>
          <w:szCs w:val="24"/>
          <w:highlight w:val="white"/>
        </w:rPr>
      </w:pPr>
    </w:p>
    <w:p w:rsidR="00E90573" w:rsidRDefault="00D17DEC">
      <w:pPr>
        <w:spacing w:after="0" w:line="240" w:lineRule="auto"/>
        <w:jc w:val="both"/>
        <w:rPr>
          <w:rFonts w:ascii="Helvetica Neue" w:eastAsia="Helvetica Neue" w:hAnsi="Helvetica Neue" w:cs="Helvetica Neue"/>
          <w:sz w:val="24"/>
          <w:szCs w:val="24"/>
          <w:highlight w:val="white"/>
        </w:rPr>
      </w:pPr>
      <w:r>
        <w:rPr>
          <w:rFonts w:ascii="Helvetica Neue" w:eastAsia="Helvetica Neue" w:hAnsi="Helvetica Neue" w:cs="Helvetica Neue"/>
          <w:sz w:val="24"/>
          <w:szCs w:val="24"/>
          <w:highlight w:val="white"/>
        </w:rPr>
        <w:t xml:space="preserve">En efecto, a partir de la promulgación de estos cuerpos legales se dio inicio, a principio de los años 90, al proceso de atracción de participación privada con la liquidación de entidades públicas monopolísticas en el área de la banca y de algunas empresas industriales y comerciales del Estado. Además se dio inicio a la participación del sector privado en la construcción, operación y mantenimiento de la infraestructura de transporte, mediante la adjudicación de concesiones viales, aeroportuarias, portuarias férreas; así mismo en materia de telecomunicaciones, se avanzó en el desarrollo del servicio de telefonía móvil celular, la apertura del mercado de larga distancia a nuevos operadores y una mejor oferta de televisión a través de la concesión de los canales nacionales; mientras que en el sector de energía, a través de la venta de activos en el sector y la entrada de operadores privados, han hecho posible la mejora en la prestación de los servicios y el aseguramiento de la oferta en el largo plazo. </w:t>
      </w:r>
    </w:p>
    <w:p w:rsidR="00E90573" w:rsidRDefault="00E90573">
      <w:pPr>
        <w:spacing w:after="0" w:line="240" w:lineRule="auto"/>
        <w:jc w:val="both"/>
        <w:rPr>
          <w:rFonts w:ascii="Helvetica Neue" w:eastAsia="Helvetica Neue" w:hAnsi="Helvetica Neue" w:cs="Helvetica Neue"/>
          <w:sz w:val="24"/>
          <w:szCs w:val="24"/>
          <w:highlight w:val="white"/>
        </w:rPr>
      </w:pPr>
    </w:p>
    <w:p w:rsidR="00E90573" w:rsidRDefault="00D17DEC">
      <w:pPr>
        <w:spacing w:after="0" w:line="240" w:lineRule="auto"/>
        <w:jc w:val="both"/>
        <w:rPr>
          <w:rFonts w:ascii="Helvetica Neue" w:eastAsia="Helvetica Neue" w:hAnsi="Helvetica Neue" w:cs="Helvetica Neue"/>
          <w:sz w:val="24"/>
          <w:szCs w:val="24"/>
          <w:highlight w:val="white"/>
        </w:rPr>
      </w:pPr>
      <w:r>
        <w:rPr>
          <w:rFonts w:ascii="Helvetica Neue" w:eastAsia="Helvetica Neue" w:hAnsi="Helvetica Neue" w:cs="Helvetica Neue"/>
          <w:sz w:val="24"/>
          <w:szCs w:val="24"/>
          <w:highlight w:val="white"/>
        </w:rPr>
        <w:t xml:space="preserve">Estos esquemas de participación privada en proyectos de Infraestructura y servicios públicos han sido utilizados para desarrollar proyectos que no hubieran podido </w:t>
      </w:r>
      <w:r>
        <w:rPr>
          <w:rFonts w:ascii="Helvetica Neue" w:eastAsia="Helvetica Neue" w:hAnsi="Helvetica Neue" w:cs="Helvetica Neue"/>
          <w:sz w:val="24"/>
          <w:szCs w:val="24"/>
          <w:highlight w:val="white"/>
        </w:rPr>
        <w:lastRenderedPageBreak/>
        <w:t xml:space="preserve">ejecutarse bajo el esquema de inversión pública, dadas las restricciones fiscales existentes. </w:t>
      </w:r>
    </w:p>
    <w:p w:rsidR="00E90573" w:rsidRDefault="00E90573">
      <w:pPr>
        <w:spacing w:after="0" w:line="240" w:lineRule="auto"/>
        <w:jc w:val="both"/>
        <w:rPr>
          <w:rFonts w:ascii="Helvetica Neue" w:eastAsia="Helvetica Neue" w:hAnsi="Helvetica Neue" w:cs="Helvetica Neue"/>
          <w:sz w:val="24"/>
          <w:szCs w:val="24"/>
          <w:highlight w:val="white"/>
        </w:rPr>
      </w:pPr>
    </w:p>
    <w:p w:rsidR="00E90573" w:rsidRDefault="00D17DEC">
      <w:pPr>
        <w:spacing w:after="0" w:line="240" w:lineRule="auto"/>
        <w:jc w:val="both"/>
        <w:rPr>
          <w:rFonts w:ascii="Helvetica Neue" w:eastAsia="Helvetica Neue" w:hAnsi="Helvetica Neue" w:cs="Helvetica Neue"/>
          <w:sz w:val="24"/>
          <w:szCs w:val="24"/>
          <w:highlight w:val="white"/>
        </w:rPr>
      </w:pPr>
      <w:r>
        <w:rPr>
          <w:rFonts w:ascii="Helvetica Neue" w:eastAsia="Helvetica Neue" w:hAnsi="Helvetica Neue" w:cs="Helvetica Neue"/>
          <w:sz w:val="24"/>
          <w:szCs w:val="24"/>
          <w:highlight w:val="white"/>
        </w:rPr>
        <w:t>Son múltiples los beneficios alcanzados a través de la vinculación del sector privado, como se resalta en el CONPES 3538, en el cual se concluye que la "inversión del sector privado en infraestructura ha contribuido a incrementar productividad, establecer empresas con solidez financiera, mejorar la gestión de las mismas, promocionar la competencia, aumentar la eficiencia en la construcción, operación y mantenimiento de proyectos de infraestructura, promocionar la inversión extranjera, propiciar programas de democratización de la propiedad accionaria, aumentar la cobertura y calidad de los servicios y disminuir los recursos transferidos a empresas públicas y/o subsectores de infraestructura incidiendo de manera positiva en las perspectivas de endeudamiento público y posibilitando el aumento de recursos destinados a otros sectores".</w:t>
      </w:r>
    </w:p>
    <w:p w:rsidR="00E90573" w:rsidRDefault="00E90573">
      <w:pPr>
        <w:spacing w:after="0" w:line="240" w:lineRule="auto"/>
        <w:jc w:val="both"/>
        <w:rPr>
          <w:rFonts w:ascii="Helvetica Neue" w:eastAsia="Helvetica Neue" w:hAnsi="Helvetica Neue" w:cs="Helvetica Neue"/>
          <w:sz w:val="24"/>
          <w:szCs w:val="24"/>
          <w:highlight w:val="white"/>
        </w:rPr>
      </w:pPr>
    </w:p>
    <w:p w:rsidR="00E90573" w:rsidRDefault="00E90573">
      <w:pPr>
        <w:spacing w:after="0" w:line="240" w:lineRule="auto"/>
        <w:jc w:val="both"/>
        <w:rPr>
          <w:rFonts w:ascii="Helvetica Neue" w:eastAsia="Helvetica Neue" w:hAnsi="Helvetica Neue" w:cs="Helvetica Neue"/>
          <w:sz w:val="24"/>
          <w:szCs w:val="24"/>
          <w:highlight w:val="white"/>
        </w:rPr>
      </w:pPr>
    </w:p>
    <w:p w:rsidR="00E90573" w:rsidRDefault="00D17DEC">
      <w:pPr>
        <w:pBdr>
          <w:top w:val="nil"/>
          <w:left w:val="nil"/>
          <w:bottom w:val="nil"/>
          <w:right w:val="nil"/>
          <w:between w:val="nil"/>
        </w:pBdr>
        <w:ind w:right="335"/>
        <w:jc w:val="both"/>
        <w:rPr>
          <w:rFonts w:ascii="Helvetica Neue" w:eastAsia="Helvetica Neue" w:hAnsi="Helvetica Neue" w:cs="Helvetica Neue"/>
          <w:b/>
          <w:color w:val="000000"/>
          <w:sz w:val="24"/>
          <w:szCs w:val="24"/>
          <w:u w:val="single"/>
        </w:rPr>
      </w:pPr>
      <w:r>
        <w:rPr>
          <w:rFonts w:ascii="Helvetica Neue" w:eastAsia="Helvetica Neue" w:hAnsi="Helvetica Neue" w:cs="Helvetica Neue"/>
          <w:b/>
          <w:sz w:val="24"/>
          <w:szCs w:val="24"/>
          <w:u w:val="single"/>
        </w:rPr>
        <w:t xml:space="preserve">4.3. </w:t>
      </w:r>
      <w:r>
        <w:rPr>
          <w:rFonts w:ascii="Helvetica Neue" w:eastAsia="Helvetica Neue" w:hAnsi="Helvetica Neue" w:cs="Helvetica Neue"/>
          <w:b/>
          <w:color w:val="000000"/>
          <w:sz w:val="24"/>
          <w:szCs w:val="24"/>
          <w:u w:val="single"/>
        </w:rPr>
        <w:t>Consideraciones legales</w:t>
      </w:r>
    </w:p>
    <w:p w:rsidR="00E90573" w:rsidRDefault="00E90573">
      <w:pPr>
        <w:ind w:right="335"/>
        <w:jc w:val="both"/>
        <w:rPr>
          <w:rFonts w:ascii="Helvetica Neue" w:eastAsia="Helvetica Neue" w:hAnsi="Helvetica Neue" w:cs="Helvetica Neue"/>
          <w:sz w:val="24"/>
          <w:szCs w:val="24"/>
          <w:u w:val="single"/>
        </w:rPr>
      </w:pPr>
    </w:p>
    <w:p w:rsidR="00E90573" w:rsidRDefault="00D17DEC">
      <w:pPr>
        <w:pBdr>
          <w:top w:val="nil"/>
          <w:left w:val="nil"/>
          <w:bottom w:val="nil"/>
          <w:right w:val="nil"/>
          <w:between w:val="nil"/>
        </w:pBdr>
        <w:ind w:left="425" w:right="335"/>
        <w:jc w:val="both"/>
        <w:rPr>
          <w:rFonts w:ascii="Helvetica Neue" w:eastAsia="Helvetica Neue" w:hAnsi="Helvetica Neue" w:cs="Helvetica Neue"/>
          <w:sz w:val="24"/>
          <w:szCs w:val="24"/>
        </w:rPr>
      </w:pPr>
      <w:r>
        <w:rPr>
          <w:rFonts w:ascii="Helvetica Neue" w:eastAsia="Helvetica Neue" w:hAnsi="Helvetica Neue" w:cs="Helvetica Neue"/>
          <w:b/>
          <w:sz w:val="24"/>
          <w:szCs w:val="24"/>
          <w:u w:val="single"/>
        </w:rPr>
        <w:t xml:space="preserve">4.3.1. </w:t>
      </w:r>
      <w:r>
        <w:rPr>
          <w:rFonts w:ascii="Helvetica Neue" w:eastAsia="Helvetica Neue" w:hAnsi="Helvetica Neue" w:cs="Helvetica Neue"/>
          <w:b/>
          <w:color w:val="000000"/>
          <w:sz w:val="24"/>
          <w:szCs w:val="24"/>
          <w:u w:val="single"/>
        </w:rPr>
        <w:t>Normatividad que regula</w:t>
      </w:r>
      <w:r>
        <w:rPr>
          <w:rFonts w:ascii="Helvetica Neue" w:eastAsia="Helvetica Neue" w:hAnsi="Helvetica Neue" w:cs="Helvetica Neue"/>
          <w:b/>
          <w:sz w:val="24"/>
          <w:szCs w:val="24"/>
          <w:u w:val="single"/>
        </w:rPr>
        <w:t xml:space="preserve"> Ley 1508 de 2012</w:t>
      </w:r>
    </w:p>
    <w:p w:rsidR="00E90573" w:rsidRDefault="00D17DEC">
      <w:pPr>
        <w:pBdr>
          <w:top w:val="nil"/>
          <w:left w:val="nil"/>
          <w:bottom w:val="nil"/>
          <w:right w:val="nil"/>
          <w:between w:val="nil"/>
        </w:pBdr>
        <w:ind w:right="335"/>
        <w:jc w:val="both"/>
        <w:rPr>
          <w:b/>
        </w:rPr>
      </w:pPr>
      <w:r>
        <w:rPr>
          <w:rFonts w:ascii="Helvetica Neue" w:eastAsia="Helvetica Neue" w:hAnsi="Helvetica Neue" w:cs="Helvetica Neue"/>
          <w:sz w:val="24"/>
          <w:szCs w:val="24"/>
        </w:rPr>
        <w:t>Para lograr satisfacer las necesidades actuales de inversión en la infraestructura, resulta trascendental la participación del sector privado, por lo que en enero de 2012, luego de estudiar y analizar modelos exitosos de asociaciones público-privadas en otros países, se expidió la Ley 1508 “por la cual se establece el régimen jurídico de las Asociaciones Público Privadas, se dictan normas orgánicas de presupuesto y se dictan otras disposiciones”. Dicha norma busca, entre otras cosas, incentivar la participación privada en los proyectos que cumplan ciertos requisitos, definiendo una forma de financiación de la infraestructura y sus servicios asociados, en la cual el privado es quien construye la obra y su retribución estará condicionada al cumplimiento de ciertos requisitos, haciendo más eficaz y eficiente el desarrollo de proyectos, por la motivación que tendrá el privado de garantizar el retorno y las utilidades de la inversión realizada.</w:t>
      </w:r>
    </w:p>
    <w:p w:rsidR="00E90573" w:rsidRDefault="00D17DEC">
      <w:pPr>
        <w:spacing w:before="240" w:after="240"/>
        <w:jc w:val="both"/>
        <w:rPr>
          <w:rFonts w:ascii="Helvetica Neue" w:eastAsia="Helvetica Neue" w:hAnsi="Helvetica Neue" w:cs="Helvetica Neue"/>
          <w:sz w:val="24"/>
          <w:szCs w:val="24"/>
        </w:rPr>
      </w:pPr>
      <w:r>
        <w:rPr>
          <w:rFonts w:ascii="Helvetica Neue" w:eastAsia="Helvetica Neue" w:hAnsi="Helvetica Neue" w:cs="Helvetica Neue"/>
          <w:sz w:val="24"/>
          <w:szCs w:val="24"/>
        </w:rPr>
        <w:t>Esta Ley introduce dos modelos de Asociaciones Público Privadas (APP); la primera de ellas relativa a proyectos de iniciativa pública con recursos públicos, y, la segunda, aquellos que sean estructurados a partir de una iniciativa privada en donde la entidad resulta ser un socio que puede realizar aportes para facilitar la realización de proyectos y el particular es quien hace la inversión a cambio del derecho a la explotación económica de esa infraestructura o servicio</w:t>
      </w:r>
      <w:r>
        <w:rPr>
          <w:rFonts w:ascii="Helvetica Neue" w:eastAsia="Helvetica Neue" w:hAnsi="Helvetica Neue" w:cs="Helvetica Neue"/>
          <w:sz w:val="24"/>
          <w:szCs w:val="24"/>
          <w:vertAlign w:val="superscript"/>
        </w:rPr>
        <w:footnoteReference w:id="14"/>
      </w:r>
      <w:r>
        <w:rPr>
          <w:rFonts w:ascii="Helvetica Neue" w:eastAsia="Helvetica Neue" w:hAnsi="Helvetica Neue" w:cs="Helvetica Neue"/>
          <w:sz w:val="24"/>
          <w:szCs w:val="24"/>
        </w:rPr>
        <w:t>.</w:t>
      </w:r>
    </w:p>
    <w:p w:rsidR="00E90573" w:rsidRDefault="00E90573">
      <w:pPr>
        <w:spacing w:before="240" w:after="240"/>
        <w:jc w:val="both"/>
        <w:rPr>
          <w:rFonts w:ascii="Helvetica Neue" w:eastAsia="Helvetica Neue" w:hAnsi="Helvetica Neue" w:cs="Helvetica Neue"/>
          <w:sz w:val="24"/>
          <w:szCs w:val="24"/>
        </w:rPr>
      </w:pPr>
    </w:p>
    <w:p w:rsidR="00E90573" w:rsidRDefault="00D17DEC">
      <w:pPr>
        <w:numPr>
          <w:ilvl w:val="0"/>
          <w:numId w:val="13"/>
        </w:numPr>
        <w:spacing w:before="240" w:after="240"/>
        <w:jc w:val="both"/>
        <w:rPr>
          <w:rFonts w:ascii="Helvetica Neue" w:eastAsia="Helvetica Neue" w:hAnsi="Helvetica Neue" w:cs="Helvetica Neue"/>
          <w:b/>
          <w:sz w:val="24"/>
          <w:szCs w:val="24"/>
        </w:rPr>
      </w:pPr>
      <w:r>
        <w:rPr>
          <w:rFonts w:ascii="Helvetica Neue" w:eastAsia="Helvetica Neue" w:hAnsi="Helvetica Neue" w:cs="Helvetica Neue"/>
          <w:b/>
          <w:sz w:val="24"/>
          <w:szCs w:val="24"/>
        </w:rPr>
        <w:t>Diferencia entre Asociación Público Privadas de Iniciativa Pública y de Iniciativa Privada</w:t>
      </w:r>
    </w:p>
    <w:p w:rsidR="00E90573" w:rsidRDefault="00D17DEC">
      <w:pPr>
        <w:spacing w:before="240" w:after="240"/>
        <w:jc w:val="both"/>
        <w:rPr>
          <w:b/>
        </w:rPr>
      </w:pPr>
      <w:r>
        <w:rPr>
          <w:rFonts w:ascii="Helvetica Neue" w:eastAsia="Helvetica Neue" w:hAnsi="Helvetica Neue" w:cs="Helvetica Neue"/>
          <w:b/>
          <w:sz w:val="24"/>
          <w:szCs w:val="24"/>
        </w:rPr>
        <w:t xml:space="preserve">En las APPs de Iniciativa Pública </w:t>
      </w:r>
      <w:r>
        <w:rPr>
          <w:rFonts w:ascii="Helvetica Neue" w:eastAsia="Helvetica Neue" w:hAnsi="Helvetica Neue" w:cs="Helvetica Neue"/>
          <w:sz w:val="24"/>
          <w:szCs w:val="24"/>
        </w:rPr>
        <w:t xml:space="preserve">la idea conceptual del proyecto es estructurada por la entidad pública con participación del sector privado. La fuente de pago del proyecto </w:t>
      </w:r>
      <w:r>
        <w:rPr>
          <w:rFonts w:ascii="Helvetica Neue" w:eastAsia="Helvetica Neue" w:hAnsi="Helvetica Neue" w:cs="Helvetica Neue"/>
          <w:sz w:val="24"/>
          <w:szCs w:val="24"/>
        </w:rPr>
        <w:lastRenderedPageBreak/>
        <w:t>puede ser a través de aportes de recursos públicos, de la explotación económica del APP o una combinación de estas</w:t>
      </w:r>
      <w:r>
        <w:rPr>
          <w:rFonts w:ascii="Helvetica Neue" w:eastAsia="Helvetica Neue" w:hAnsi="Helvetica Neue" w:cs="Helvetica Neue"/>
          <w:sz w:val="24"/>
          <w:szCs w:val="24"/>
          <w:vertAlign w:val="superscript"/>
        </w:rPr>
        <w:footnoteReference w:id="15"/>
      </w:r>
      <w:r>
        <w:rPr>
          <w:rFonts w:ascii="Helvetica Neue" w:eastAsia="Helvetica Neue" w:hAnsi="Helvetica Neue" w:cs="Helvetica Neue"/>
          <w:sz w:val="24"/>
          <w:szCs w:val="24"/>
        </w:rPr>
        <w:t>.</w:t>
      </w:r>
    </w:p>
    <w:p w:rsidR="00E90573" w:rsidRDefault="00D17DEC">
      <w:pPr>
        <w:pBdr>
          <w:top w:val="nil"/>
          <w:left w:val="nil"/>
          <w:bottom w:val="nil"/>
          <w:right w:val="nil"/>
          <w:between w:val="nil"/>
        </w:pBdr>
        <w:ind w:right="335"/>
        <w:jc w:val="both"/>
        <w:rPr>
          <w:rFonts w:ascii="Helvetica Neue" w:eastAsia="Helvetica Neue" w:hAnsi="Helvetica Neue" w:cs="Helvetica Neue"/>
          <w:sz w:val="24"/>
          <w:szCs w:val="24"/>
        </w:rPr>
      </w:pPr>
      <w:r>
        <w:rPr>
          <w:rFonts w:ascii="Helvetica Neue" w:eastAsia="Helvetica Neue" w:hAnsi="Helvetica Neue" w:cs="Helvetica Neue"/>
          <w:b/>
          <w:sz w:val="24"/>
          <w:szCs w:val="24"/>
        </w:rPr>
        <w:t xml:space="preserve">En las APPs de Iniciativa Privada </w:t>
      </w:r>
      <w:r>
        <w:rPr>
          <w:rFonts w:ascii="Helvetica Neue" w:eastAsia="Helvetica Neue" w:hAnsi="Helvetica Neue" w:cs="Helvetica Neue"/>
          <w:sz w:val="24"/>
          <w:szCs w:val="24"/>
        </w:rPr>
        <w:t>la idea conceptual y propuesta proviene del sector privado. En este caso el privado tiene la responsabilidad de realizar, por su propia cuenta y riesgo, la estructuración del proyecto sin obligación del público a reconocerle los costos asociados. Las fuentes de pago tienen las siguientes limitaciones</w:t>
      </w:r>
      <w:r>
        <w:rPr>
          <w:rFonts w:ascii="Helvetica Neue" w:eastAsia="Helvetica Neue" w:hAnsi="Helvetica Neue" w:cs="Helvetica Neue"/>
          <w:sz w:val="24"/>
          <w:szCs w:val="24"/>
          <w:vertAlign w:val="superscript"/>
        </w:rPr>
        <w:footnoteReference w:id="16"/>
      </w:r>
      <w:r>
        <w:rPr>
          <w:rFonts w:ascii="Helvetica Neue" w:eastAsia="Helvetica Neue" w:hAnsi="Helvetica Neue" w:cs="Helvetica Neue"/>
          <w:sz w:val="24"/>
          <w:szCs w:val="24"/>
        </w:rPr>
        <w:t>:</w:t>
      </w:r>
    </w:p>
    <w:p w:rsidR="00E90573" w:rsidRDefault="00D17DEC">
      <w:pPr>
        <w:numPr>
          <w:ilvl w:val="0"/>
          <w:numId w:val="3"/>
        </w:numPr>
        <w:pBdr>
          <w:top w:val="nil"/>
          <w:left w:val="nil"/>
          <w:bottom w:val="nil"/>
          <w:right w:val="nil"/>
          <w:between w:val="nil"/>
        </w:pBdr>
        <w:spacing w:after="0"/>
        <w:ind w:right="335"/>
        <w:jc w:val="both"/>
        <w:rPr>
          <w:rFonts w:ascii="Helvetica Neue" w:eastAsia="Helvetica Neue" w:hAnsi="Helvetica Neue" w:cs="Helvetica Neue"/>
          <w:sz w:val="24"/>
          <w:szCs w:val="24"/>
        </w:rPr>
      </w:pPr>
      <w:r>
        <w:rPr>
          <w:rFonts w:ascii="Helvetica Neue" w:eastAsia="Helvetica Neue" w:hAnsi="Helvetica Neue" w:cs="Helvetica Neue"/>
          <w:sz w:val="24"/>
          <w:szCs w:val="24"/>
        </w:rPr>
        <w:t>Podrá contar con recursos públicos de hasta el 20% del valor de la inversión. En este caso la selección del contratista se realizará a través de licitación pública.</w:t>
      </w:r>
    </w:p>
    <w:p w:rsidR="00E90573" w:rsidRDefault="00D17DEC">
      <w:pPr>
        <w:numPr>
          <w:ilvl w:val="0"/>
          <w:numId w:val="3"/>
        </w:numPr>
        <w:pBdr>
          <w:top w:val="nil"/>
          <w:left w:val="nil"/>
          <w:bottom w:val="nil"/>
          <w:right w:val="nil"/>
          <w:between w:val="nil"/>
        </w:pBdr>
        <w:ind w:right="335"/>
        <w:jc w:val="both"/>
        <w:rPr>
          <w:rFonts w:ascii="Helvetica Neue" w:eastAsia="Helvetica Neue" w:hAnsi="Helvetica Neue" w:cs="Helvetica Neue"/>
          <w:sz w:val="24"/>
          <w:szCs w:val="24"/>
        </w:rPr>
      </w:pPr>
      <w:r>
        <w:rPr>
          <w:rFonts w:ascii="Helvetica Neue" w:eastAsia="Helvetica Neue" w:hAnsi="Helvetica Neue" w:cs="Helvetica Neue"/>
          <w:sz w:val="24"/>
          <w:szCs w:val="24"/>
        </w:rPr>
        <w:t>Cuando el pago del servicio que presta la infraestructura en su totalidad es a través de la explotación económica del proyecto, operará el mecanismo de selección abreviada de menor cuantía.</w:t>
      </w:r>
    </w:p>
    <w:p w:rsidR="00E90573" w:rsidRDefault="00D17DEC">
      <w:pPr>
        <w:ind w:right="441"/>
        <w:jc w:val="both"/>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Dentro de estos proyectos de Iniciativa Privada, existen dos tipos: </w:t>
      </w:r>
      <w:r>
        <w:rPr>
          <w:rFonts w:ascii="Helvetica Neue" w:eastAsia="Helvetica Neue" w:hAnsi="Helvetica Neue" w:cs="Helvetica Neue"/>
          <w:b/>
          <w:sz w:val="24"/>
          <w:szCs w:val="24"/>
        </w:rPr>
        <w:t>proyectos de iniciativa privada con desembolsos de recursos públicos y proyectos de iniciativa privada sin desembolsos de recursos públicos</w:t>
      </w:r>
      <w:r>
        <w:rPr>
          <w:rFonts w:ascii="Helvetica Neue" w:eastAsia="Helvetica Neue" w:hAnsi="Helvetica Neue" w:cs="Helvetica Neue"/>
          <w:b/>
          <w:sz w:val="24"/>
          <w:szCs w:val="24"/>
          <w:vertAlign w:val="superscript"/>
        </w:rPr>
        <w:footnoteReference w:id="17"/>
      </w:r>
      <w:r>
        <w:rPr>
          <w:rFonts w:ascii="Helvetica Neue" w:eastAsia="Helvetica Neue" w:hAnsi="Helvetica Neue" w:cs="Helvetica Neue"/>
          <w:sz w:val="24"/>
          <w:szCs w:val="24"/>
        </w:rPr>
        <w:t>.</w:t>
      </w:r>
    </w:p>
    <w:p w:rsidR="00E90573" w:rsidRDefault="00E90573">
      <w:pPr>
        <w:ind w:right="441"/>
        <w:jc w:val="both"/>
        <w:rPr>
          <w:rFonts w:ascii="Helvetica Neue" w:eastAsia="Helvetica Neue" w:hAnsi="Helvetica Neue" w:cs="Helvetica Neue"/>
          <w:sz w:val="24"/>
          <w:szCs w:val="24"/>
        </w:rPr>
      </w:pPr>
    </w:p>
    <w:p w:rsidR="00E90573" w:rsidRDefault="00D17DEC">
      <w:pPr>
        <w:ind w:right="441"/>
        <w:jc w:val="center"/>
        <w:rPr>
          <w:rFonts w:ascii="Helvetica Neue" w:eastAsia="Helvetica Neue" w:hAnsi="Helvetica Neue" w:cs="Helvetica Neue"/>
          <w:sz w:val="24"/>
          <w:szCs w:val="24"/>
        </w:rPr>
      </w:pPr>
      <w:r>
        <w:rPr>
          <w:rFonts w:ascii="Helvetica Neue" w:eastAsia="Helvetica Neue" w:hAnsi="Helvetica Neue" w:cs="Helvetica Neue"/>
          <w:b/>
          <w:sz w:val="24"/>
          <w:szCs w:val="24"/>
        </w:rPr>
        <w:t>Esquema 1.</w:t>
      </w:r>
      <w:r>
        <w:rPr>
          <w:rFonts w:ascii="Helvetica Neue" w:eastAsia="Helvetica Neue" w:hAnsi="Helvetica Neue" w:cs="Helvetica Neue"/>
          <w:sz w:val="24"/>
          <w:szCs w:val="24"/>
        </w:rPr>
        <w:t xml:space="preserve"> Tipos de APPs de Iniciativa Privada</w:t>
      </w:r>
      <w:r>
        <w:rPr>
          <w:rFonts w:ascii="Helvetica Neue" w:eastAsia="Helvetica Neue" w:hAnsi="Helvetica Neue" w:cs="Helvetica Neue"/>
          <w:sz w:val="24"/>
          <w:szCs w:val="24"/>
          <w:vertAlign w:val="superscript"/>
        </w:rPr>
        <w:footnoteReference w:id="18"/>
      </w:r>
    </w:p>
    <w:p w:rsidR="00E90573" w:rsidRDefault="00D17DEC">
      <w:pPr>
        <w:ind w:right="441"/>
        <w:jc w:val="both"/>
        <w:rPr>
          <w:rFonts w:ascii="Helvetica Neue" w:eastAsia="Helvetica Neue" w:hAnsi="Helvetica Neue" w:cs="Helvetica Neue"/>
          <w:sz w:val="24"/>
          <w:szCs w:val="24"/>
        </w:rPr>
      </w:pPr>
      <w:r>
        <w:rPr>
          <w:rFonts w:ascii="Helvetica Neue" w:eastAsia="Helvetica Neue" w:hAnsi="Helvetica Neue" w:cs="Helvetica Neue"/>
          <w:noProof/>
          <w:sz w:val="24"/>
          <w:szCs w:val="24"/>
          <w:lang w:val="es-CO"/>
        </w:rPr>
        <w:drawing>
          <wp:inline distT="114300" distB="114300" distL="114300" distR="114300">
            <wp:extent cx="6305550" cy="2228850"/>
            <wp:effectExtent l="0" t="0" r="0" b="0"/>
            <wp:docPr id="2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6305550" cy="2228850"/>
                    </a:xfrm>
                    <a:prstGeom prst="rect">
                      <a:avLst/>
                    </a:prstGeom>
                    <a:ln/>
                  </pic:spPr>
                </pic:pic>
              </a:graphicData>
            </a:graphic>
          </wp:inline>
        </w:drawing>
      </w:r>
    </w:p>
    <w:p w:rsidR="00E90573" w:rsidRDefault="00D17DEC">
      <w:pPr>
        <w:ind w:right="441"/>
        <w:jc w:val="center"/>
        <w:rPr>
          <w:rFonts w:ascii="Helvetica Neue" w:eastAsia="Helvetica Neue" w:hAnsi="Helvetica Neue" w:cs="Helvetica Neue"/>
          <w:sz w:val="24"/>
          <w:szCs w:val="24"/>
        </w:rPr>
      </w:pPr>
      <w:r>
        <w:rPr>
          <w:rFonts w:ascii="Helvetica Neue" w:eastAsia="Helvetica Neue" w:hAnsi="Helvetica Neue" w:cs="Helvetica Neue"/>
          <w:b/>
          <w:sz w:val="24"/>
          <w:szCs w:val="24"/>
        </w:rPr>
        <w:t>Fuente</w:t>
      </w:r>
      <w:r>
        <w:rPr>
          <w:rFonts w:ascii="Helvetica Neue" w:eastAsia="Helvetica Neue" w:hAnsi="Helvetica Neue" w:cs="Helvetica Neue"/>
          <w:sz w:val="24"/>
          <w:szCs w:val="24"/>
        </w:rPr>
        <w:t>. Programa de Capacitación a las Entidades Territoriales Asociaciones Público Privadas (APP’s)</w:t>
      </w:r>
      <w:r>
        <w:rPr>
          <w:rFonts w:ascii="Helvetica Neue" w:eastAsia="Helvetica Neue" w:hAnsi="Helvetica Neue" w:cs="Helvetica Neue"/>
          <w:sz w:val="24"/>
          <w:szCs w:val="24"/>
          <w:vertAlign w:val="superscript"/>
        </w:rPr>
        <w:footnoteReference w:id="19"/>
      </w:r>
    </w:p>
    <w:p w:rsidR="00E90573" w:rsidRDefault="00E90573">
      <w:pPr>
        <w:spacing w:after="0" w:line="240" w:lineRule="auto"/>
        <w:jc w:val="both"/>
        <w:rPr>
          <w:rFonts w:ascii="Helvetica Neue" w:eastAsia="Helvetica Neue" w:hAnsi="Helvetica Neue" w:cs="Helvetica Neue"/>
          <w:sz w:val="24"/>
          <w:szCs w:val="24"/>
          <w:highlight w:val="white"/>
        </w:rPr>
      </w:pPr>
    </w:p>
    <w:p w:rsidR="00E90573" w:rsidRDefault="00E90573">
      <w:pPr>
        <w:spacing w:after="0" w:line="240" w:lineRule="auto"/>
        <w:jc w:val="both"/>
        <w:rPr>
          <w:rFonts w:ascii="Helvetica Neue" w:eastAsia="Helvetica Neue" w:hAnsi="Helvetica Neue" w:cs="Helvetica Neue"/>
          <w:sz w:val="24"/>
          <w:szCs w:val="24"/>
          <w:highlight w:val="white"/>
        </w:rPr>
      </w:pPr>
    </w:p>
    <w:p w:rsidR="00E90573" w:rsidRDefault="00D17DEC">
      <w:pPr>
        <w:spacing w:before="240" w:after="240" w:line="240" w:lineRule="auto"/>
        <w:jc w:val="both"/>
        <w:rPr>
          <w:rFonts w:ascii="Helvetica Neue" w:eastAsia="Helvetica Neue" w:hAnsi="Helvetica Neue" w:cs="Helvetica Neue"/>
          <w:b/>
          <w:sz w:val="24"/>
          <w:szCs w:val="24"/>
          <w:highlight w:val="white"/>
          <w:u w:val="single"/>
        </w:rPr>
      </w:pPr>
      <w:r>
        <w:rPr>
          <w:rFonts w:ascii="Helvetica Neue" w:eastAsia="Helvetica Neue" w:hAnsi="Helvetica Neue" w:cs="Helvetica Neue"/>
          <w:b/>
          <w:sz w:val="24"/>
          <w:szCs w:val="24"/>
          <w:highlight w:val="white"/>
          <w:u w:val="single"/>
        </w:rPr>
        <w:t>4.4. Participación privada en el marco del Plan Nacional de Desarrollo (PND) 2018-2022</w:t>
      </w:r>
      <w:r>
        <w:rPr>
          <w:rFonts w:ascii="Helvetica Neue" w:eastAsia="Helvetica Neue" w:hAnsi="Helvetica Neue" w:cs="Helvetica Neue"/>
          <w:b/>
          <w:sz w:val="24"/>
          <w:szCs w:val="24"/>
          <w:highlight w:val="white"/>
          <w:u w:val="single"/>
          <w:vertAlign w:val="superscript"/>
        </w:rPr>
        <w:footnoteReference w:id="20"/>
      </w:r>
      <w:r>
        <w:rPr>
          <w:rFonts w:ascii="Helvetica Neue" w:eastAsia="Helvetica Neue" w:hAnsi="Helvetica Neue" w:cs="Helvetica Neue"/>
          <w:b/>
          <w:sz w:val="24"/>
          <w:szCs w:val="24"/>
          <w:highlight w:val="white"/>
          <w:u w:val="single"/>
        </w:rPr>
        <w:t xml:space="preserve"> </w:t>
      </w:r>
    </w:p>
    <w:p w:rsidR="00E90573" w:rsidRDefault="00D17DEC">
      <w:pPr>
        <w:spacing w:after="120" w:line="276" w:lineRule="auto"/>
        <w:jc w:val="both"/>
        <w:rPr>
          <w:rFonts w:ascii="Helvetica Neue" w:eastAsia="Helvetica Neue" w:hAnsi="Helvetica Neue" w:cs="Helvetica Neue"/>
          <w:sz w:val="24"/>
          <w:szCs w:val="24"/>
        </w:rPr>
      </w:pPr>
      <w:r>
        <w:rPr>
          <w:rFonts w:ascii="Helvetica Neue" w:eastAsia="Helvetica Neue" w:hAnsi="Helvetica Neue" w:cs="Helvetica Neue"/>
          <w:sz w:val="24"/>
          <w:szCs w:val="24"/>
        </w:rPr>
        <w:lastRenderedPageBreak/>
        <w:t xml:space="preserve">Es pertinente mencionar que el Plan Nacional de Desarrollo vigente 2018-2022 contempla la importancia de diseñar, formular e implementar políticas públicas integrales para la promoción, planeación, protección, fortalecimiento y desarrollo del sector empresarial, así como también la eficiencia y facilidad para la cooperación entre el sector privado y el público. La ruta del gobierno nacional para el periodo vigente establece además la importancia de facilitar y mejorar la implementación de asociaciones público-privadas, al promulgar por la reducción de los tiempos de evaluación, al promulgar el uso de este tipo de contratación para el desarrollo de infraestructura pública alrededor del país. </w:t>
      </w:r>
    </w:p>
    <w:p w:rsidR="00E90573" w:rsidRDefault="00D17DEC">
      <w:pPr>
        <w:spacing w:before="240" w:after="240" w:line="240" w:lineRule="auto"/>
        <w:jc w:val="both"/>
        <w:rPr>
          <w:rFonts w:ascii="Helvetica Neue" w:eastAsia="Helvetica Neue" w:hAnsi="Helvetica Neue" w:cs="Helvetica Neue"/>
          <w:sz w:val="24"/>
          <w:szCs w:val="24"/>
          <w:highlight w:val="white"/>
        </w:rPr>
      </w:pPr>
      <w:r>
        <w:rPr>
          <w:rFonts w:ascii="Helvetica Neue" w:eastAsia="Helvetica Neue" w:hAnsi="Helvetica Neue" w:cs="Helvetica Neue"/>
          <w:sz w:val="24"/>
          <w:szCs w:val="24"/>
          <w:highlight w:val="white"/>
        </w:rPr>
        <w:t>El Plan Nacional de desarrollo 2018-2022 resalta la importancia de vincular de manera activa al sector privado, teniendo en cuenta que es este sector el que más aporta a la transformación de la sociedad. Además, para que Colombia pueda desarrollar su potencial productivo, requiere trabajar conjuntamente con el sector privado como protagonista de la creación de empleo y bienestar en áreas urbanas y rurales</w:t>
      </w:r>
      <w:r>
        <w:rPr>
          <w:rFonts w:ascii="Helvetica Neue" w:eastAsia="Helvetica Neue" w:hAnsi="Helvetica Neue" w:cs="Helvetica Neue"/>
          <w:sz w:val="24"/>
          <w:szCs w:val="24"/>
          <w:highlight w:val="white"/>
          <w:vertAlign w:val="superscript"/>
        </w:rPr>
        <w:footnoteReference w:id="21"/>
      </w:r>
      <w:r>
        <w:rPr>
          <w:rFonts w:ascii="Helvetica Neue" w:eastAsia="Helvetica Neue" w:hAnsi="Helvetica Neue" w:cs="Helvetica Neue"/>
          <w:sz w:val="24"/>
          <w:szCs w:val="24"/>
          <w:highlight w:val="white"/>
        </w:rPr>
        <w:t xml:space="preserve">. </w:t>
      </w:r>
    </w:p>
    <w:p w:rsidR="00E90573" w:rsidRDefault="00D17DEC">
      <w:pPr>
        <w:spacing w:before="240" w:after="240" w:line="240" w:lineRule="auto"/>
        <w:jc w:val="both"/>
        <w:rPr>
          <w:rFonts w:ascii="Helvetica Neue" w:eastAsia="Helvetica Neue" w:hAnsi="Helvetica Neue" w:cs="Helvetica Neue"/>
          <w:sz w:val="24"/>
          <w:szCs w:val="24"/>
          <w:highlight w:val="white"/>
        </w:rPr>
      </w:pPr>
      <w:r>
        <w:rPr>
          <w:rFonts w:ascii="Helvetica Neue" w:eastAsia="Helvetica Neue" w:hAnsi="Helvetica Neue" w:cs="Helvetica Neue"/>
          <w:sz w:val="24"/>
          <w:szCs w:val="24"/>
          <w:highlight w:val="white"/>
        </w:rPr>
        <w:t>Dentro de los compromisos esbozados en las bases del Plan de Desarrollo, se destaca la participación de MinVivienda, Min Hacienda y el DNP, en la reglamentación para la implementación de instrumentos innovadores que permitan el financiamiento del desarrollo urbano, tales como: (1) Asociaciones Público-Privadas para la financiación de la infraestructura urbana; y (2) estrategias y alternativas de captura de valor de suelo, como la financiación por impuestos futuros, entre otros. MinVivienda, con el apoyo del DNP, liderará los respectivos pilotos de implementación.</w:t>
      </w:r>
    </w:p>
    <w:p w:rsidR="00E90573" w:rsidRDefault="00D17DEC">
      <w:pPr>
        <w:spacing w:before="240" w:after="240" w:line="240" w:lineRule="auto"/>
        <w:jc w:val="both"/>
        <w:rPr>
          <w:rFonts w:ascii="Helvetica Neue" w:eastAsia="Helvetica Neue" w:hAnsi="Helvetica Neue" w:cs="Helvetica Neue"/>
          <w:sz w:val="24"/>
          <w:szCs w:val="24"/>
          <w:highlight w:val="white"/>
        </w:rPr>
      </w:pPr>
      <w:r>
        <w:rPr>
          <w:rFonts w:ascii="Helvetica Neue" w:eastAsia="Helvetica Neue" w:hAnsi="Helvetica Neue" w:cs="Helvetica Neue"/>
          <w:sz w:val="24"/>
          <w:szCs w:val="24"/>
          <w:highlight w:val="white"/>
        </w:rPr>
        <w:t xml:space="preserve">Este plan además aborda temas en manejo de corrupción según el cual para efectos del desarrollo y adaptación en salud de las Asociaciones Público Privadas (conforme al ley 1508 de 2012), y demás alianzas con el sector privado, se adoptará el enfoque de tolerancia cero con la corrupción, acompañado de un análisis integral, que: (1) promueva la sanción oportuna de los responsables de hechos de corrupción; (2) impulse medidas para salvaguardar el logro de los objetivos públicos, blindándose del impacto del corrupcion; (3) estructure contratos con medidas preventivas, punitivas y sancionatorias oportunas; y (4) lleven a que cuando se definan unidades de APP o áreas encargadas del tema, estas deban adoptar reglas de integralidad para los funcionarios que participen de alguna forma en este tipo de proyectos. </w:t>
      </w:r>
    </w:p>
    <w:p w:rsidR="00E90573" w:rsidRDefault="00D17DEC">
      <w:pPr>
        <w:spacing w:before="240" w:after="240" w:line="240" w:lineRule="auto"/>
        <w:jc w:val="both"/>
        <w:rPr>
          <w:rFonts w:ascii="Helvetica Neue" w:eastAsia="Helvetica Neue" w:hAnsi="Helvetica Neue" w:cs="Helvetica Neue"/>
          <w:sz w:val="24"/>
          <w:szCs w:val="24"/>
          <w:highlight w:val="white"/>
        </w:rPr>
      </w:pPr>
      <w:r>
        <w:rPr>
          <w:rFonts w:ascii="Helvetica Neue" w:eastAsia="Helvetica Neue" w:hAnsi="Helvetica Neue" w:cs="Helvetica Neue"/>
          <w:sz w:val="24"/>
          <w:szCs w:val="24"/>
          <w:highlight w:val="white"/>
        </w:rPr>
        <w:t>Finalmente, frente a las Asociaciones público-privadas</w:t>
      </w:r>
      <w:r>
        <w:rPr>
          <w:rFonts w:ascii="Helvetica Neue" w:eastAsia="Helvetica Neue" w:hAnsi="Helvetica Neue" w:cs="Helvetica Neue"/>
          <w:sz w:val="24"/>
          <w:szCs w:val="24"/>
        </w:rPr>
        <w:t xml:space="preserve"> se sugiere una serie de medidas a implementar para los proyectos de iniciativa privada en donde el originador será quien asuma el riesgo del costo de la etapa de revisión y/o evaluación de la factibilidad.</w:t>
      </w:r>
    </w:p>
    <w:p w:rsidR="00E90573" w:rsidRDefault="00E90573">
      <w:pPr>
        <w:spacing w:before="240" w:after="240" w:line="240" w:lineRule="auto"/>
        <w:jc w:val="both"/>
        <w:rPr>
          <w:rFonts w:ascii="Helvetica Neue" w:eastAsia="Helvetica Neue" w:hAnsi="Helvetica Neue" w:cs="Helvetica Neue"/>
          <w:sz w:val="24"/>
          <w:szCs w:val="24"/>
          <w:highlight w:val="white"/>
        </w:rPr>
      </w:pPr>
    </w:p>
    <w:p w:rsidR="00E90573" w:rsidRDefault="00D17DEC">
      <w:pPr>
        <w:spacing w:before="240" w:after="240" w:line="240" w:lineRule="auto"/>
        <w:ind w:left="566"/>
        <w:jc w:val="both"/>
        <w:rPr>
          <w:rFonts w:ascii="Helvetica Neue" w:eastAsia="Helvetica Neue" w:hAnsi="Helvetica Neue" w:cs="Helvetica Neue"/>
          <w:b/>
          <w:sz w:val="24"/>
          <w:szCs w:val="24"/>
          <w:highlight w:val="white"/>
          <w:u w:val="single"/>
        </w:rPr>
      </w:pPr>
      <w:r>
        <w:rPr>
          <w:rFonts w:ascii="Helvetica Neue" w:eastAsia="Helvetica Neue" w:hAnsi="Helvetica Neue" w:cs="Helvetica Neue"/>
          <w:b/>
          <w:sz w:val="24"/>
          <w:szCs w:val="24"/>
          <w:highlight w:val="white"/>
          <w:u w:val="single"/>
        </w:rPr>
        <w:t>4.4.1. Importancia de las APPs para la transformación digital del país según el PND 2018-2022</w:t>
      </w:r>
    </w:p>
    <w:p w:rsidR="00E90573" w:rsidRDefault="00D17DEC">
      <w:pPr>
        <w:spacing w:before="240" w:after="240" w:line="240" w:lineRule="auto"/>
        <w:jc w:val="both"/>
        <w:rPr>
          <w:rFonts w:ascii="Helvetica Neue" w:eastAsia="Helvetica Neue" w:hAnsi="Helvetica Neue" w:cs="Helvetica Neue"/>
          <w:sz w:val="24"/>
          <w:szCs w:val="24"/>
          <w:highlight w:val="white"/>
        </w:rPr>
      </w:pPr>
      <w:r>
        <w:rPr>
          <w:rFonts w:ascii="Helvetica Neue" w:eastAsia="Helvetica Neue" w:hAnsi="Helvetica Neue" w:cs="Helvetica Neue"/>
          <w:sz w:val="24"/>
          <w:szCs w:val="24"/>
          <w:highlight w:val="white"/>
        </w:rPr>
        <w:t xml:space="preserve">En las bases del PND 2018-2022 se menciona la necesidad de lograr activar este mecanismo de financiación, en otras áreas que requieren un crecimiento mayor en Colombia, para que el país pueda alcanzar sus metas en materia de desarrollo económico y tecnológico. A pesar del amplio uso en infraestructura de transporte, de las asociaciones público privadas (APP), previstas en la Ley 1508 de 2012, para vincular capital privado, este ha sido muy poco utilizado en el sector TIC y  puede ser de gran utilidad para el despliegue de proyectos e iniciativas, que permitan llevar conectividad a todos los colombianos, cerrar la brecha digital e incentivar la apropiación tecnológica en el marco de la cuarta revolución industrial y como promotor </w:t>
      </w:r>
      <w:r>
        <w:rPr>
          <w:rFonts w:ascii="Helvetica Neue" w:eastAsia="Helvetica Neue" w:hAnsi="Helvetica Neue" w:cs="Helvetica Neue"/>
          <w:sz w:val="24"/>
          <w:szCs w:val="24"/>
          <w:highlight w:val="white"/>
        </w:rPr>
        <w:lastRenderedPageBreak/>
        <w:t>de la transformación digital</w:t>
      </w:r>
      <w:r>
        <w:rPr>
          <w:rFonts w:ascii="Helvetica Neue" w:eastAsia="Helvetica Neue" w:hAnsi="Helvetica Neue" w:cs="Helvetica Neue"/>
          <w:sz w:val="24"/>
          <w:szCs w:val="24"/>
          <w:highlight w:val="white"/>
          <w:vertAlign w:val="superscript"/>
        </w:rPr>
        <w:footnoteReference w:id="22"/>
      </w:r>
      <w:r>
        <w:rPr>
          <w:rFonts w:ascii="Helvetica Neue" w:eastAsia="Helvetica Neue" w:hAnsi="Helvetica Neue" w:cs="Helvetica Neue"/>
          <w:sz w:val="24"/>
          <w:szCs w:val="24"/>
          <w:highlight w:val="white"/>
        </w:rPr>
        <w:t xml:space="preserve">. Para tal efecto, el DNP y MinTIC se comprometieron a reglamentar aquellos aspectos normativos que permitan fomentar la estructuración, presentación y ejecución de proyectos que brinden soluciones estructurales y sostenibles en el tiempo. </w:t>
      </w:r>
    </w:p>
    <w:p w:rsidR="00E90573" w:rsidRDefault="00E90573">
      <w:pPr>
        <w:spacing w:before="240" w:after="240" w:line="240" w:lineRule="auto"/>
        <w:jc w:val="both"/>
        <w:rPr>
          <w:rFonts w:ascii="Helvetica Neue" w:eastAsia="Helvetica Neue" w:hAnsi="Helvetica Neue" w:cs="Helvetica Neue"/>
          <w:sz w:val="24"/>
          <w:szCs w:val="24"/>
          <w:highlight w:val="white"/>
        </w:rPr>
      </w:pPr>
    </w:p>
    <w:p w:rsidR="00E90573" w:rsidRDefault="00D17DEC">
      <w:pPr>
        <w:pStyle w:val="Ttulo"/>
        <w:spacing w:after="0" w:line="240" w:lineRule="auto"/>
        <w:jc w:val="both"/>
        <w:rPr>
          <w:rFonts w:ascii="Helvetica Neue" w:eastAsia="Helvetica Neue" w:hAnsi="Helvetica Neue" w:cs="Helvetica Neue"/>
          <w:sz w:val="24"/>
          <w:szCs w:val="24"/>
          <w:u w:val="single"/>
        </w:rPr>
      </w:pPr>
      <w:bookmarkStart w:id="4" w:name="_heading=h.7gid6lyku1dd" w:colFirst="0" w:colLast="0"/>
      <w:bookmarkEnd w:id="4"/>
      <w:r>
        <w:rPr>
          <w:rFonts w:ascii="Helvetica Neue" w:eastAsia="Helvetica Neue" w:hAnsi="Helvetica Neue" w:cs="Helvetica Neue"/>
          <w:sz w:val="24"/>
          <w:szCs w:val="24"/>
          <w:u w:val="single"/>
        </w:rPr>
        <w:t>5. AVANCE DE LAS ASOCIACIONES PÚBLICO-PRIVADAS VIGENTES, INFORME CUARTO TRIMESTRE DE 2019, RUAPP</w:t>
      </w:r>
      <w:r>
        <w:rPr>
          <w:rFonts w:ascii="Helvetica Neue" w:eastAsia="Helvetica Neue" w:hAnsi="Helvetica Neue" w:cs="Helvetica Neue"/>
          <w:sz w:val="24"/>
          <w:szCs w:val="24"/>
          <w:u w:val="single"/>
          <w:vertAlign w:val="superscript"/>
        </w:rPr>
        <w:footnoteReference w:id="23"/>
      </w:r>
      <w:r>
        <w:rPr>
          <w:rFonts w:ascii="Helvetica Neue" w:eastAsia="Helvetica Neue" w:hAnsi="Helvetica Neue" w:cs="Helvetica Neue"/>
          <w:sz w:val="24"/>
          <w:szCs w:val="24"/>
          <w:u w:val="single"/>
        </w:rPr>
        <w:t>.</w:t>
      </w:r>
    </w:p>
    <w:p w:rsidR="00E90573" w:rsidRDefault="00E90573">
      <w:pPr>
        <w:spacing w:after="0" w:line="240" w:lineRule="auto"/>
        <w:jc w:val="both"/>
        <w:rPr>
          <w:rFonts w:ascii="Helvetica Neue" w:eastAsia="Helvetica Neue" w:hAnsi="Helvetica Neue" w:cs="Helvetica Neue"/>
          <w:sz w:val="24"/>
          <w:szCs w:val="24"/>
          <w:highlight w:val="white"/>
        </w:rPr>
      </w:pPr>
    </w:p>
    <w:p w:rsidR="00E90573" w:rsidRDefault="00D17DEC">
      <w:pPr>
        <w:spacing w:after="0" w:line="240" w:lineRule="auto"/>
        <w:jc w:val="both"/>
        <w:rPr>
          <w:rFonts w:ascii="Helvetica Neue" w:eastAsia="Helvetica Neue" w:hAnsi="Helvetica Neue" w:cs="Helvetica Neue"/>
          <w:sz w:val="24"/>
          <w:szCs w:val="24"/>
          <w:highlight w:val="white"/>
        </w:rPr>
      </w:pPr>
      <w:r>
        <w:rPr>
          <w:rFonts w:ascii="Helvetica Neue" w:eastAsia="Helvetica Neue" w:hAnsi="Helvetica Neue" w:cs="Helvetica Neue"/>
          <w:sz w:val="24"/>
          <w:szCs w:val="24"/>
          <w:highlight w:val="white"/>
        </w:rPr>
        <w:t>El Registro Único de Asociaciones Público-Privadas (RUAPP), contiene una base de datos administrada por el Departamento Nacional de Planeación (DNP) con información que recopila la información sobre el estado de los proyectos que bajo este esquema se desarrollan a escala nacional y territorial (Ley 1508 de 2012, artículo 25; Decreto Reglamentario 1082 de 2015, artículo 2.2.2.1.5.3)</w:t>
      </w:r>
      <w:r>
        <w:rPr>
          <w:rFonts w:ascii="Helvetica Neue" w:eastAsia="Helvetica Neue" w:hAnsi="Helvetica Neue" w:cs="Helvetica Neue"/>
          <w:sz w:val="24"/>
          <w:szCs w:val="24"/>
          <w:highlight w:val="white"/>
          <w:vertAlign w:val="superscript"/>
        </w:rPr>
        <w:footnoteReference w:id="24"/>
      </w:r>
      <w:r>
        <w:rPr>
          <w:rFonts w:ascii="Helvetica Neue" w:eastAsia="Helvetica Neue" w:hAnsi="Helvetica Neue" w:cs="Helvetica Neue"/>
          <w:sz w:val="24"/>
          <w:szCs w:val="24"/>
          <w:highlight w:val="white"/>
        </w:rPr>
        <w:t>.</w:t>
      </w:r>
    </w:p>
    <w:p w:rsidR="00E90573" w:rsidRDefault="00E90573">
      <w:pPr>
        <w:spacing w:after="0" w:line="240" w:lineRule="auto"/>
        <w:jc w:val="both"/>
        <w:rPr>
          <w:rFonts w:ascii="Helvetica Neue" w:eastAsia="Helvetica Neue" w:hAnsi="Helvetica Neue" w:cs="Helvetica Neue"/>
          <w:sz w:val="24"/>
          <w:szCs w:val="24"/>
          <w:highlight w:val="white"/>
        </w:rPr>
      </w:pPr>
    </w:p>
    <w:p w:rsidR="00E90573" w:rsidRDefault="00D17DEC">
      <w:pPr>
        <w:spacing w:after="0" w:line="240" w:lineRule="auto"/>
        <w:jc w:val="both"/>
        <w:rPr>
          <w:rFonts w:ascii="Helvetica Neue" w:eastAsia="Helvetica Neue" w:hAnsi="Helvetica Neue" w:cs="Helvetica Neue"/>
          <w:sz w:val="24"/>
          <w:szCs w:val="24"/>
          <w:highlight w:val="white"/>
        </w:rPr>
      </w:pPr>
      <w:r>
        <w:rPr>
          <w:rFonts w:ascii="Helvetica Neue" w:eastAsia="Helvetica Neue" w:hAnsi="Helvetica Neue" w:cs="Helvetica Neue"/>
          <w:sz w:val="24"/>
          <w:szCs w:val="24"/>
          <w:highlight w:val="white"/>
        </w:rPr>
        <w:t>De acuerdo al Informe del Cuarto Trimestre de 2019 de este Registro</w:t>
      </w:r>
      <w:r>
        <w:rPr>
          <w:rFonts w:ascii="Helvetica Neue" w:eastAsia="Helvetica Neue" w:hAnsi="Helvetica Neue" w:cs="Helvetica Neue"/>
          <w:sz w:val="24"/>
          <w:szCs w:val="24"/>
          <w:highlight w:val="white"/>
          <w:vertAlign w:val="superscript"/>
        </w:rPr>
        <w:footnoteReference w:id="25"/>
      </w:r>
      <w:r>
        <w:rPr>
          <w:rFonts w:ascii="Helvetica Neue" w:eastAsia="Helvetica Neue" w:hAnsi="Helvetica Neue" w:cs="Helvetica Neue"/>
          <w:sz w:val="24"/>
          <w:szCs w:val="24"/>
          <w:highlight w:val="white"/>
        </w:rPr>
        <w:t>, se han incluido 777 proyectos en el Registro Único de Asociaciones Público-Privadas (RUAPP), que, en particular tienen las siguientes características:</w:t>
      </w:r>
    </w:p>
    <w:p w:rsidR="00E90573" w:rsidRDefault="00E90573">
      <w:pPr>
        <w:spacing w:after="0" w:line="240" w:lineRule="auto"/>
        <w:jc w:val="both"/>
        <w:rPr>
          <w:rFonts w:ascii="Helvetica Neue" w:eastAsia="Helvetica Neue" w:hAnsi="Helvetica Neue" w:cs="Helvetica Neue"/>
          <w:sz w:val="24"/>
          <w:szCs w:val="24"/>
          <w:highlight w:val="white"/>
        </w:rPr>
      </w:pPr>
    </w:p>
    <w:p w:rsidR="00E90573" w:rsidRDefault="00D17DEC">
      <w:pPr>
        <w:numPr>
          <w:ilvl w:val="0"/>
          <w:numId w:val="12"/>
        </w:numPr>
        <w:spacing w:after="0" w:line="240" w:lineRule="auto"/>
        <w:jc w:val="both"/>
        <w:rPr>
          <w:rFonts w:ascii="Helvetica Neue" w:eastAsia="Helvetica Neue" w:hAnsi="Helvetica Neue" w:cs="Helvetica Neue"/>
          <w:sz w:val="24"/>
          <w:szCs w:val="24"/>
          <w:highlight w:val="white"/>
        </w:rPr>
      </w:pPr>
      <w:r>
        <w:rPr>
          <w:rFonts w:ascii="Helvetica Neue" w:eastAsia="Helvetica Neue" w:hAnsi="Helvetica Neue" w:cs="Helvetica Neue"/>
          <w:sz w:val="24"/>
          <w:szCs w:val="24"/>
          <w:highlight w:val="white"/>
        </w:rPr>
        <w:t xml:space="preserve">Del total de proyectos registrados, 343 se encuentran en etapas de evaluación o aprobación (vigentes); no obstante, 222 proyectos se encuentran en etapas que superan su plazo máximo de ejecución. </w:t>
      </w:r>
    </w:p>
    <w:p w:rsidR="00E90573" w:rsidRDefault="00D17DEC">
      <w:pPr>
        <w:numPr>
          <w:ilvl w:val="0"/>
          <w:numId w:val="12"/>
        </w:numPr>
        <w:spacing w:after="0" w:line="240" w:lineRule="auto"/>
        <w:jc w:val="both"/>
        <w:rPr>
          <w:rFonts w:ascii="Helvetica Neue" w:eastAsia="Helvetica Neue" w:hAnsi="Helvetica Neue" w:cs="Helvetica Neue"/>
          <w:sz w:val="24"/>
          <w:szCs w:val="24"/>
          <w:highlight w:val="white"/>
        </w:rPr>
      </w:pPr>
      <w:r>
        <w:rPr>
          <w:rFonts w:ascii="Helvetica Neue" w:eastAsia="Helvetica Neue" w:hAnsi="Helvetica Neue" w:cs="Helvetica Neue"/>
          <w:sz w:val="24"/>
          <w:szCs w:val="24"/>
          <w:highlight w:val="white"/>
        </w:rPr>
        <w:t xml:space="preserve">434 proyectos han resultado fallidos, desistidos por el proponente, rechazados o declarados desiertos, lo que corresponde al 55,85 % del total. </w:t>
      </w:r>
    </w:p>
    <w:p w:rsidR="00E90573" w:rsidRDefault="00D17DEC">
      <w:pPr>
        <w:numPr>
          <w:ilvl w:val="0"/>
          <w:numId w:val="12"/>
        </w:numPr>
        <w:spacing w:after="0" w:line="240" w:lineRule="auto"/>
        <w:jc w:val="both"/>
        <w:rPr>
          <w:rFonts w:ascii="Helvetica Neue" w:eastAsia="Helvetica Neue" w:hAnsi="Helvetica Neue" w:cs="Helvetica Neue"/>
          <w:sz w:val="24"/>
          <w:szCs w:val="24"/>
          <w:highlight w:val="white"/>
        </w:rPr>
      </w:pPr>
      <w:r>
        <w:rPr>
          <w:rFonts w:ascii="Helvetica Neue" w:eastAsia="Helvetica Neue" w:hAnsi="Helvetica Neue" w:cs="Helvetica Neue"/>
          <w:sz w:val="24"/>
          <w:szCs w:val="24"/>
          <w:highlight w:val="white"/>
        </w:rPr>
        <w:t>Del total de proyectos vigentes 263 son de iniciativa privada, lo que representa el 76,68%, mientras que 80 son de iniciativa pública los que equivalen al 23,32%</w:t>
      </w:r>
    </w:p>
    <w:p w:rsidR="00E90573" w:rsidRDefault="00D17DEC">
      <w:pPr>
        <w:numPr>
          <w:ilvl w:val="0"/>
          <w:numId w:val="12"/>
        </w:numPr>
        <w:spacing w:after="0" w:line="240" w:lineRule="auto"/>
        <w:jc w:val="both"/>
        <w:rPr>
          <w:rFonts w:ascii="Helvetica Neue" w:eastAsia="Helvetica Neue" w:hAnsi="Helvetica Neue" w:cs="Helvetica Neue"/>
          <w:sz w:val="24"/>
          <w:szCs w:val="24"/>
          <w:highlight w:val="white"/>
        </w:rPr>
      </w:pPr>
      <w:r>
        <w:rPr>
          <w:rFonts w:ascii="Helvetica Neue" w:eastAsia="Helvetica Neue" w:hAnsi="Helvetica Neue" w:cs="Helvetica Neue"/>
          <w:sz w:val="24"/>
          <w:szCs w:val="24"/>
          <w:highlight w:val="white"/>
        </w:rPr>
        <w:t>Durante el cuarto trimestre de 2019 se registraron 34 proyectos nuevos, lo que significa el 4,38 % de los proyectos inscritos en el RUAPP, situación que, a su vez, mantiene la dinámica positiva en la generación de iniciativas de proyectos de infraestructura bajo el esquema de Asociación Público-Privada en el país (Figura 1).</w:t>
      </w:r>
    </w:p>
    <w:p w:rsidR="00E90573" w:rsidRDefault="00E90573">
      <w:pPr>
        <w:spacing w:after="0" w:line="240" w:lineRule="auto"/>
        <w:ind w:left="720"/>
        <w:jc w:val="both"/>
        <w:rPr>
          <w:rFonts w:ascii="Helvetica Neue" w:eastAsia="Helvetica Neue" w:hAnsi="Helvetica Neue" w:cs="Helvetica Neue"/>
          <w:sz w:val="24"/>
          <w:szCs w:val="24"/>
          <w:highlight w:val="white"/>
        </w:rPr>
      </w:pPr>
    </w:p>
    <w:p w:rsidR="00E90573" w:rsidRDefault="00D17DEC">
      <w:pPr>
        <w:spacing w:after="0" w:line="240" w:lineRule="auto"/>
        <w:ind w:left="720"/>
        <w:jc w:val="both"/>
        <w:rPr>
          <w:rFonts w:ascii="Helvetica Neue" w:eastAsia="Helvetica Neue" w:hAnsi="Helvetica Neue" w:cs="Helvetica Neue"/>
          <w:b/>
          <w:sz w:val="24"/>
          <w:szCs w:val="24"/>
          <w:highlight w:val="white"/>
        </w:rPr>
      </w:pPr>
      <w:r>
        <w:rPr>
          <w:rFonts w:ascii="Helvetica Neue" w:eastAsia="Helvetica Neue" w:hAnsi="Helvetica Neue" w:cs="Helvetica Neue"/>
          <w:b/>
          <w:sz w:val="24"/>
          <w:szCs w:val="24"/>
          <w:highlight w:val="white"/>
        </w:rPr>
        <w:t>Figura 1. Registros acumulados de RUAPP desde 2017 a 2019, según el tipo de APP</w:t>
      </w:r>
    </w:p>
    <w:p w:rsidR="00E90573" w:rsidRDefault="00D17DEC">
      <w:pPr>
        <w:spacing w:after="0" w:line="240" w:lineRule="auto"/>
        <w:jc w:val="both"/>
        <w:rPr>
          <w:rFonts w:ascii="Helvetica Neue" w:eastAsia="Helvetica Neue" w:hAnsi="Helvetica Neue" w:cs="Helvetica Neue"/>
          <w:sz w:val="24"/>
          <w:szCs w:val="24"/>
          <w:highlight w:val="white"/>
        </w:rPr>
      </w:pPr>
      <w:r>
        <w:rPr>
          <w:rFonts w:ascii="Helvetica Neue" w:eastAsia="Helvetica Neue" w:hAnsi="Helvetica Neue" w:cs="Helvetica Neue"/>
          <w:noProof/>
          <w:sz w:val="24"/>
          <w:szCs w:val="24"/>
          <w:highlight w:val="white"/>
          <w:lang w:val="es-CO"/>
        </w:rPr>
        <w:lastRenderedPageBreak/>
        <w:drawing>
          <wp:inline distT="114300" distB="114300" distL="114300" distR="114300">
            <wp:extent cx="6400800" cy="3244850"/>
            <wp:effectExtent l="0" t="0" r="0" b="0"/>
            <wp:docPr id="2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a:srcRect t="11515"/>
                    <a:stretch>
                      <a:fillRect/>
                    </a:stretch>
                  </pic:blipFill>
                  <pic:spPr>
                    <a:xfrm>
                      <a:off x="0" y="0"/>
                      <a:ext cx="6400800" cy="3244850"/>
                    </a:xfrm>
                    <a:prstGeom prst="rect">
                      <a:avLst/>
                    </a:prstGeom>
                    <a:ln/>
                  </pic:spPr>
                </pic:pic>
              </a:graphicData>
            </a:graphic>
          </wp:inline>
        </w:drawing>
      </w:r>
    </w:p>
    <w:p w:rsidR="00E90573" w:rsidRDefault="00E90573">
      <w:pPr>
        <w:spacing w:after="0" w:line="240" w:lineRule="auto"/>
        <w:jc w:val="both"/>
        <w:rPr>
          <w:rFonts w:ascii="Helvetica Neue" w:eastAsia="Helvetica Neue" w:hAnsi="Helvetica Neue" w:cs="Helvetica Neue"/>
          <w:sz w:val="24"/>
          <w:szCs w:val="24"/>
          <w:highlight w:val="white"/>
        </w:rPr>
      </w:pPr>
    </w:p>
    <w:p w:rsidR="00E90573" w:rsidRDefault="00D17DEC">
      <w:pPr>
        <w:numPr>
          <w:ilvl w:val="0"/>
          <w:numId w:val="2"/>
        </w:numPr>
        <w:spacing w:after="0" w:line="240" w:lineRule="auto"/>
        <w:jc w:val="both"/>
        <w:rPr>
          <w:rFonts w:ascii="Helvetica Neue" w:eastAsia="Helvetica Neue" w:hAnsi="Helvetica Neue" w:cs="Helvetica Neue"/>
          <w:sz w:val="24"/>
          <w:szCs w:val="24"/>
          <w:highlight w:val="white"/>
        </w:rPr>
      </w:pPr>
      <w:r>
        <w:rPr>
          <w:rFonts w:ascii="Helvetica Neue" w:eastAsia="Helvetica Neue" w:hAnsi="Helvetica Neue" w:cs="Helvetica Neue"/>
          <w:b/>
          <w:sz w:val="24"/>
          <w:szCs w:val="24"/>
          <w:highlight w:val="white"/>
        </w:rPr>
        <w:t>Por sectores</w:t>
      </w:r>
      <w:r>
        <w:rPr>
          <w:rFonts w:ascii="Helvetica Neue" w:eastAsia="Helvetica Neue" w:hAnsi="Helvetica Neue" w:cs="Helvetica Neue"/>
          <w:sz w:val="24"/>
          <w:szCs w:val="24"/>
          <w:highlight w:val="white"/>
        </w:rPr>
        <w:t>: De las iniciativas vigentes, el sector de Transporte y movilidad presenta la mayor participación con el 45,77%, seguido de Edificaciones públicas y renovación urbana con el 18,66% y Agua y saneamiento básico con el 10,20%.</w:t>
      </w:r>
    </w:p>
    <w:p w:rsidR="00E90573" w:rsidRDefault="00D17DEC">
      <w:pPr>
        <w:numPr>
          <w:ilvl w:val="0"/>
          <w:numId w:val="2"/>
        </w:numPr>
        <w:spacing w:after="0" w:line="240" w:lineRule="auto"/>
        <w:jc w:val="both"/>
        <w:rPr>
          <w:rFonts w:ascii="Helvetica Neue" w:eastAsia="Helvetica Neue" w:hAnsi="Helvetica Neue" w:cs="Helvetica Neue"/>
          <w:sz w:val="24"/>
          <w:szCs w:val="24"/>
          <w:highlight w:val="white"/>
        </w:rPr>
      </w:pPr>
      <w:r>
        <w:rPr>
          <w:rFonts w:ascii="Helvetica Neue" w:eastAsia="Helvetica Neue" w:hAnsi="Helvetica Neue" w:cs="Helvetica Neue"/>
          <w:b/>
          <w:sz w:val="24"/>
          <w:szCs w:val="24"/>
          <w:highlight w:val="white"/>
        </w:rPr>
        <w:t>Por etapas en las que se encuentran</w:t>
      </w:r>
      <w:r>
        <w:rPr>
          <w:rFonts w:ascii="Helvetica Neue" w:eastAsia="Helvetica Neue" w:hAnsi="Helvetica Neue" w:cs="Helvetica Neue"/>
          <w:sz w:val="24"/>
          <w:szCs w:val="24"/>
          <w:highlight w:val="white"/>
        </w:rPr>
        <w:t>: A diciembre de 2019, 81 proyectos incluidos en el RUAPP se encuentran en etapa de factibilidad y 10 proyectos se encuentran en etapas de aprobaciones; es decir, el 26,5% de las iniciativas vigentes se encuentran en etapas avanzadas. Además, el 10,8% de los proyectos registrados (37) han sido adjudicados o contratados (figura 2).</w:t>
      </w:r>
    </w:p>
    <w:p w:rsidR="00E90573" w:rsidRDefault="00E90573">
      <w:pPr>
        <w:spacing w:after="0" w:line="240" w:lineRule="auto"/>
        <w:jc w:val="both"/>
        <w:rPr>
          <w:rFonts w:ascii="Helvetica Neue" w:eastAsia="Helvetica Neue" w:hAnsi="Helvetica Neue" w:cs="Helvetica Neue"/>
          <w:sz w:val="24"/>
          <w:szCs w:val="24"/>
          <w:highlight w:val="white"/>
        </w:rPr>
      </w:pPr>
    </w:p>
    <w:p w:rsidR="00E90573" w:rsidRDefault="00D17DEC">
      <w:pPr>
        <w:spacing w:after="0" w:line="240" w:lineRule="auto"/>
        <w:jc w:val="center"/>
        <w:rPr>
          <w:rFonts w:ascii="Helvetica Neue" w:eastAsia="Helvetica Neue" w:hAnsi="Helvetica Neue" w:cs="Helvetica Neue"/>
          <w:b/>
          <w:sz w:val="24"/>
          <w:szCs w:val="24"/>
          <w:highlight w:val="white"/>
        </w:rPr>
      </w:pPr>
      <w:r>
        <w:rPr>
          <w:rFonts w:ascii="Helvetica Neue" w:eastAsia="Helvetica Neue" w:hAnsi="Helvetica Neue" w:cs="Helvetica Neue"/>
          <w:b/>
          <w:sz w:val="24"/>
          <w:szCs w:val="24"/>
          <w:highlight w:val="white"/>
        </w:rPr>
        <w:t>Figura 2. Estado de las iniciativas en el RUAPP por sector</w:t>
      </w:r>
    </w:p>
    <w:p w:rsidR="00E90573" w:rsidRDefault="00D17DEC">
      <w:pPr>
        <w:spacing w:after="0" w:line="240" w:lineRule="auto"/>
        <w:jc w:val="center"/>
        <w:rPr>
          <w:rFonts w:ascii="Helvetica Neue" w:eastAsia="Helvetica Neue" w:hAnsi="Helvetica Neue" w:cs="Helvetica Neue"/>
          <w:sz w:val="24"/>
          <w:szCs w:val="24"/>
          <w:highlight w:val="white"/>
        </w:rPr>
      </w:pPr>
      <w:r>
        <w:rPr>
          <w:rFonts w:ascii="Helvetica Neue" w:eastAsia="Helvetica Neue" w:hAnsi="Helvetica Neue" w:cs="Helvetica Neue"/>
          <w:noProof/>
          <w:sz w:val="24"/>
          <w:szCs w:val="24"/>
          <w:highlight w:val="white"/>
          <w:lang w:val="es-CO"/>
        </w:rPr>
        <w:drawing>
          <wp:inline distT="114300" distB="114300" distL="114300" distR="114300">
            <wp:extent cx="6206656" cy="3433623"/>
            <wp:effectExtent l="0" t="0" r="0" b="0"/>
            <wp:docPr id="21"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0"/>
                    <a:srcRect/>
                    <a:stretch>
                      <a:fillRect/>
                    </a:stretch>
                  </pic:blipFill>
                  <pic:spPr>
                    <a:xfrm>
                      <a:off x="0" y="0"/>
                      <a:ext cx="6206656" cy="3433623"/>
                    </a:xfrm>
                    <a:prstGeom prst="rect">
                      <a:avLst/>
                    </a:prstGeom>
                    <a:ln/>
                  </pic:spPr>
                </pic:pic>
              </a:graphicData>
            </a:graphic>
          </wp:inline>
        </w:drawing>
      </w:r>
    </w:p>
    <w:p w:rsidR="00E90573" w:rsidRDefault="00D17DEC">
      <w:pPr>
        <w:spacing w:after="0" w:line="240" w:lineRule="auto"/>
        <w:jc w:val="both"/>
        <w:rPr>
          <w:rFonts w:ascii="Helvetica Neue" w:eastAsia="Helvetica Neue" w:hAnsi="Helvetica Neue" w:cs="Helvetica Neue"/>
          <w:sz w:val="24"/>
          <w:szCs w:val="24"/>
          <w:highlight w:val="white"/>
        </w:rPr>
      </w:pPr>
      <w:r>
        <w:rPr>
          <w:rFonts w:ascii="Helvetica Neue" w:eastAsia="Helvetica Neue" w:hAnsi="Helvetica Neue" w:cs="Helvetica Neue"/>
          <w:sz w:val="24"/>
          <w:szCs w:val="24"/>
          <w:highlight w:val="white"/>
        </w:rPr>
        <w:t>Al cierre del cuarto trimestre de 2019, 215 proyectos se encuentran en etapa de prefactibilidad</w:t>
      </w:r>
      <w:r>
        <w:rPr>
          <w:rFonts w:ascii="Helvetica Neue" w:eastAsia="Helvetica Neue" w:hAnsi="Helvetica Neue" w:cs="Helvetica Neue"/>
          <w:sz w:val="24"/>
          <w:szCs w:val="24"/>
          <w:highlight w:val="white"/>
          <w:vertAlign w:val="superscript"/>
        </w:rPr>
        <w:footnoteReference w:id="26"/>
      </w:r>
      <w:r>
        <w:rPr>
          <w:rFonts w:ascii="Helvetica Neue" w:eastAsia="Helvetica Neue" w:hAnsi="Helvetica Neue" w:cs="Helvetica Neue"/>
          <w:sz w:val="24"/>
          <w:szCs w:val="24"/>
          <w:highlight w:val="white"/>
        </w:rPr>
        <w:t xml:space="preserve"> , y 81 más, en etapa de factibilidad. En relación con los proyectos no realizados, se evidencia que se mantiene la tendencia de los proyectos vigentes, al ser el sector de Transporte y movilidad el de mayor participación (64,29%), seguido del sector de Edificaciones públicas y renovación urbana (22,12%) y Agua y saneamiento </w:t>
      </w:r>
      <w:r>
        <w:rPr>
          <w:rFonts w:ascii="Helvetica Neue" w:eastAsia="Helvetica Neue" w:hAnsi="Helvetica Neue" w:cs="Helvetica Neue"/>
          <w:sz w:val="24"/>
          <w:szCs w:val="24"/>
          <w:highlight w:val="white"/>
        </w:rPr>
        <w:lastRenderedPageBreak/>
        <w:t xml:space="preserve">básico (6,22%). Del total de proyectos no realizados, 33 (7,60%) han sido desistidos por los proponentes, 399 (91,94%) han sido rechazados en etapas de prefactibilidad o factibilidad y únicamente 2 (0,46%) han sido declarados desiertos (figura 3). </w:t>
      </w:r>
    </w:p>
    <w:p w:rsidR="00E90573" w:rsidRDefault="00E90573">
      <w:pPr>
        <w:spacing w:after="0" w:line="240" w:lineRule="auto"/>
        <w:jc w:val="both"/>
        <w:rPr>
          <w:rFonts w:ascii="Helvetica Neue" w:eastAsia="Helvetica Neue" w:hAnsi="Helvetica Neue" w:cs="Helvetica Neue"/>
          <w:sz w:val="24"/>
          <w:szCs w:val="24"/>
          <w:highlight w:val="white"/>
        </w:rPr>
      </w:pPr>
    </w:p>
    <w:p w:rsidR="00E90573" w:rsidRDefault="00D17DEC">
      <w:pPr>
        <w:spacing w:after="0" w:line="240" w:lineRule="auto"/>
        <w:jc w:val="center"/>
        <w:rPr>
          <w:rFonts w:ascii="Helvetica Neue" w:eastAsia="Helvetica Neue" w:hAnsi="Helvetica Neue" w:cs="Helvetica Neue"/>
          <w:b/>
          <w:sz w:val="24"/>
          <w:szCs w:val="24"/>
          <w:highlight w:val="white"/>
        </w:rPr>
      </w:pPr>
      <w:r>
        <w:rPr>
          <w:rFonts w:ascii="Helvetica Neue" w:eastAsia="Helvetica Neue" w:hAnsi="Helvetica Neue" w:cs="Helvetica Neue"/>
          <w:b/>
          <w:sz w:val="24"/>
          <w:szCs w:val="24"/>
          <w:highlight w:val="white"/>
        </w:rPr>
        <w:t>Figura 3. Proyectos No realizados hasta 2019</w:t>
      </w:r>
    </w:p>
    <w:p w:rsidR="00E90573" w:rsidRDefault="00D17DEC">
      <w:pPr>
        <w:spacing w:after="0" w:line="240" w:lineRule="auto"/>
        <w:jc w:val="both"/>
        <w:rPr>
          <w:rFonts w:ascii="Helvetica Neue" w:eastAsia="Helvetica Neue" w:hAnsi="Helvetica Neue" w:cs="Helvetica Neue"/>
          <w:sz w:val="24"/>
          <w:szCs w:val="24"/>
          <w:highlight w:val="white"/>
        </w:rPr>
      </w:pPr>
      <w:r>
        <w:rPr>
          <w:rFonts w:ascii="Helvetica Neue" w:eastAsia="Helvetica Neue" w:hAnsi="Helvetica Neue" w:cs="Helvetica Neue"/>
          <w:noProof/>
          <w:sz w:val="24"/>
          <w:szCs w:val="24"/>
          <w:highlight w:val="white"/>
          <w:lang w:val="es-CO"/>
        </w:rPr>
        <w:drawing>
          <wp:inline distT="114300" distB="114300" distL="114300" distR="114300">
            <wp:extent cx="6161108" cy="2897188"/>
            <wp:effectExtent l="0" t="0" r="0" b="0"/>
            <wp:docPr id="24"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1"/>
                    <a:srcRect/>
                    <a:stretch>
                      <a:fillRect/>
                    </a:stretch>
                  </pic:blipFill>
                  <pic:spPr>
                    <a:xfrm>
                      <a:off x="0" y="0"/>
                      <a:ext cx="6161108" cy="2897188"/>
                    </a:xfrm>
                    <a:prstGeom prst="rect">
                      <a:avLst/>
                    </a:prstGeom>
                    <a:ln/>
                  </pic:spPr>
                </pic:pic>
              </a:graphicData>
            </a:graphic>
          </wp:inline>
        </w:drawing>
      </w:r>
    </w:p>
    <w:p w:rsidR="00E90573" w:rsidRDefault="00D17DEC">
      <w:pPr>
        <w:spacing w:after="0" w:line="240" w:lineRule="auto"/>
        <w:jc w:val="both"/>
        <w:rPr>
          <w:rFonts w:ascii="Helvetica Neue" w:eastAsia="Helvetica Neue" w:hAnsi="Helvetica Neue" w:cs="Helvetica Neue"/>
          <w:sz w:val="24"/>
          <w:szCs w:val="24"/>
          <w:highlight w:val="white"/>
        </w:rPr>
      </w:pPr>
      <w:r>
        <w:rPr>
          <w:rFonts w:ascii="Helvetica Neue" w:eastAsia="Helvetica Neue" w:hAnsi="Helvetica Neue" w:cs="Helvetica Neue"/>
          <w:sz w:val="24"/>
          <w:szCs w:val="24"/>
          <w:highlight w:val="white"/>
        </w:rPr>
        <w:t>De los proyectos en evaluación, el sector Transporte lidera la cantidad de iniciativas con una participación del 40,54 %, mientras que el 59,46 % restante se distribuye entre los sectores de Renovación urbana, Agua y saneamiento básico, Educación, Justicia y Agricultura y otros (figura 5); con lo anterior, están siendo evaluados 156 proyectos en infraestructura productiva y 140 proyectos en infraestructura social (figura 4).</w:t>
      </w:r>
    </w:p>
    <w:p w:rsidR="00E90573" w:rsidRDefault="00E90573">
      <w:pPr>
        <w:spacing w:after="0" w:line="240" w:lineRule="auto"/>
        <w:jc w:val="both"/>
        <w:rPr>
          <w:rFonts w:ascii="Helvetica Neue" w:eastAsia="Helvetica Neue" w:hAnsi="Helvetica Neue" w:cs="Helvetica Neue"/>
          <w:sz w:val="24"/>
          <w:szCs w:val="24"/>
          <w:highlight w:val="white"/>
        </w:rPr>
      </w:pPr>
    </w:p>
    <w:p w:rsidR="00E90573" w:rsidRDefault="00D17DEC">
      <w:pPr>
        <w:spacing w:after="0" w:line="240" w:lineRule="auto"/>
        <w:jc w:val="center"/>
        <w:rPr>
          <w:rFonts w:ascii="Helvetica Neue" w:eastAsia="Helvetica Neue" w:hAnsi="Helvetica Neue" w:cs="Helvetica Neue"/>
          <w:b/>
          <w:sz w:val="24"/>
          <w:szCs w:val="24"/>
          <w:highlight w:val="white"/>
        </w:rPr>
      </w:pPr>
      <w:r>
        <w:rPr>
          <w:rFonts w:ascii="Helvetica Neue" w:eastAsia="Helvetica Neue" w:hAnsi="Helvetica Neue" w:cs="Helvetica Neue"/>
          <w:b/>
          <w:sz w:val="24"/>
          <w:szCs w:val="24"/>
          <w:highlight w:val="white"/>
        </w:rPr>
        <w:t>Figura 4. Proyectos en evaluación hasta 2019</w:t>
      </w:r>
    </w:p>
    <w:p w:rsidR="00E90573" w:rsidRDefault="00D17DEC">
      <w:pPr>
        <w:spacing w:after="0" w:line="240" w:lineRule="auto"/>
        <w:jc w:val="center"/>
        <w:rPr>
          <w:rFonts w:ascii="Helvetica Neue" w:eastAsia="Helvetica Neue" w:hAnsi="Helvetica Neue" w:cs="Helvetica Neue"/>
          <w:sz w:val="24"/>
          <w:szCs w:val="24"/>
          <w:highlight w:val="white"/>
        </w:rPr>
      </w:pPr>
      <w:r>
        <w:rPr>
          <w:rFonts w:ascii="Helvetica Neue" w:eastAsia="Helvetica Neue" w:hAnsi="Helvetica Neue" w:cs="Helvetica Neue"/>
          <w:noProof/>
          <w:sz w:val="24"/>
          <w:szCs w:val="24"/>
          <w:highlight w:val="white"/>
          <w:lang w:val="es-CO"/>
        </w:rPr>
        <w:drawing>
          <wp:inline distT="114300" distB="114300" distL="114300" distR="114300">
            <wp:extent cx="6397699" cy="3275013"/>
            <wp:effectExtent l="0" t="0" r="0" b="0"/>
            <wp:docPr id="23"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2"/>
                    <a:srcRect/>
                    <a:stretch>
                      <a:fillRect/>
                    </a:stretch>
                  </pic:blipFill>
                  <pic:spPr>
                    <a:xfrm>
                      <a:off x="0" y="0"/>
                      <a:ext cx="6397699" cy="3275013"/>
                    </a:xfrm>
                    <a:prstGeom prst="rect">
                      <a:avLst/>
                    </a:prstGeom>
                    <a:ln/>
                  </pic:spPr>
                </pic:pic>
              </a:graphicData>
            </a:graphic>
          </wp:inline>
        </w:drawing>
      </w:r>
    </w:p>
    <w:p w:rsidR="00E90573" w:rsidRDefault="00D17DEC">
      <w:pPr>
        <w:spacing w:after="0" w:line="240" w:lineRule="auto"/>
        <w:jc w:val="both"/>
        <w:rPr>
          <w:rFonts w:ascii="Helvetica Neue" w:eastAsia="Helvetica Neue" w:hAnsi="Helvetica Neue" w:cs="Helvetica Neue"/>
          <w:highlight w:val="white"/>
        </w:rPr>
      </w:pPr>
      <w:r>
        <w:rPr>
          <w:rFonts w:ascii="Helvetica Neue" w:eastAsia="Helvetica Neue" w:hAnsi="Helvetica Neue" w:cs="Helvetica Neue"/>
          <w:sz w:val="24"/>
          <w:szCs w:val="24"/>
          <w:highlight w:val="white"/>
        </w:rPr>
        <w:t xml:space="preserve">De los 296 proyectos en etapas de prefactibilidad y factibilidad, 241 proyectos corresponden a iniciativas privadas, cifra que corresponde al 7,77% iniciativas con recursos públicos, mientras que el 73,65% equivale a iniciativas sin recursos públicos; 55 proyectos (18,58%) corresponden a iniciativas públicas con recursos públicos. </w:t>
      </w:r>
    </w:p>
    <w:p w:rsidR="00E90573" w:rsidRDefault="00E90573">
      <w:pPr>
        <w:spacing w:after="0" w:line="240" w:lineRule="auto"/>
        <w:jc w:val="center"/>
        <w:rPr>
          <w:rFonts w:ascii="Helvetica Neue" w:eastAsia="Helvetica Neue" w:hAnsi="Helvetica Neue" w:cs="Helvetica Neue"/>
          <w:sz w:val="24"/>
          <w:szCs w:val="24"/>
          <w:highlight w:val="white"/>
        </w:rPr>
      </w:pPr>
    </w:p>
    <w:p w:rsidR="00E90573" w:rsidRDefault="00D17DEC">
      <w:pPr>
        <w:spacing w:after="0" w:line="240" w:lineRule="auto"/>
        <w:jc w:val="both"/>
        <w:rPr>
          <w:rFonts w:ascii="Helvetica Neue" w:eastAsia="Helvetica Neue" w:hAnsi="Helvetica Neue" w:cs="Helvetica Neue"/>
          <w:sz w:val="24"/>
          <w:szCs w:val="24"/>
          <w:highlight w:val="white"/>
        </w:rPr>
      </w:pPr>
      <w:r>
        <w:rPr>
          <w:rFonts w:ascii="Helvetica Neue" w:eastAsia="Helvetica Neue" w:hAnsi="Helvetica Neue" w:cs="Helvetica Neue"/>
          <w:sz w:val="24"/>
          <w:szCs w:val="24"/>
          <w:highlight w:val="white"/>
        </w:rPr>
        <w:t>Por participación de entidades, se destaca la mayor contribución por parte de la Agencia Nacional de Infraestructura con un total de 47 proyectos, seguida por la Alcaldía de Bogotá con 37 iniciativas; el tercer lugar lo ocupa la Gobernación del Magdalena con 11 proyectos (figura 6).</w:t>
      </w:r>
    </w:p>
    <w:p w:rsidR="00E90573" w:rsidRDefault="00E90573">
      <w:pPr>
        <w:spacing w:after="0" w:line="240" w:lineRule="auto"/>
        <w:jc w:val="both"/>
        <w:rPr>
          <w:rFonts w:ascii="Helvetica Neue" w:eastAsia="Helvetica Neue" w:hAnsi="Helvetica Neue" w:cs="Helvetica Neue"/>
          <w:sz w:val="24"/>
          <w:szCs w:val="24"/>
          <w:highlight w:val="white"/>
        </w:rPr>
      </w:pPr>
    </w:p>
    <w:p w:rsidR="00E90573" w:rsidRDefault="00D17DEC">
      <w:pPr>
        <w:spacing w:after="0" w:line="240" w:lineRule="auto"/>
        <w:jc w:val="center"/>
        <w:rPr>
          <w:rFonts w:ascii="Helvetica Neue" w:eastAsia="Helvetica Neue" w:hAnsi="Helvetica Neue" w:cs="Helvetica Neue"/>
          <w:b/>
          <w:sz w:val="24"/>
          <w:szCs w:val="24"/>
          <w:highlight w:val="white"/>
        </w:rPr>
      </w:pPr>
      <w:r>
        <w:rPr>
          <w:rFonts w:ascii="Helvetica Neue" w:eastAsia="Helvetica Neue" w:hAnsi="Helvetica Neue" w:cs="Helvetica Neue"/>
          <w:b/>
          <w:sz w:val="24"/>
          <w:szCs w:val="24"/>
          <w:highlight w:val="white"/>
        </w:rPr>
        <w:lastRenderedPageBreak/>
        <w:t>Figura 6. Entidades con mayor registro de proyectos de iniciativa privada en estado de factibilidad y de prefactibilidad</w:t>
      </w:r>
    </w:p>
    <w:p w:rsidR="00E90573" w:rsidRDefault="00E90573">
      <w:pPr>
        <w:spacing w:after="0" w:line="240" w:lineRule="auto"/>
        <w:jc w:val="both"/>
        <w:rPr>
          <w:rFonts w:ascii="Helvetica Neue" w:eastAsia="Helvetica Neue" w:hAnsi="Helvetica Neue" w:cs="Helvetica Neue"/>
          <w:sz w:val="24"/>
          <w:szCs w:val="24"/>
          <w:highlight w:val="white"/>
        </w:rPr>
      </w:pPr>
    </w:p>
    <w:p w:rsidR="00E90573" w:rsidRDefault="00D17DEC">
      <w:pPr>
        <w:spacing w:after="0" w:line="240" w:lineRule="auto"/>
        <w:jc w:val="both"/>
        <w:rPr>
          <w:rFonts w:ascii="Helvetica Neue" w:eastAsia="Helvetica Neue" w:hAnsi="Helvetica Neue" w:cs="Helvetica Neue"/>
          <w:sz w:val="24"/>
          <w:szCs w:val="24"/>
          <w:highlight w:val="white"/>
        </w:rPr>
      </w:pPr>
      <w:r>
        <w:rPr>
          <w:rFonts w:ascii="Helvetica Neue" w:eastAsia="Helvetica Neue" w:hAnsi="Helvetica Neue" w:cs="Helvetica Neue"/>
          <w:noProof/>
          <w:sz w:val="24"/>
          <w:szCs w:val="24"/>
          <w:highlight w:val="white"/>
          <w:lang w:val="es-CO"/>
        </w:rPr>
        <w:drawing>
          <wp:inline distT="114300" distB="114300" distL="114300" distR="114300">
            <wp:extent cx="6134100" cy="3246437"/>
            <wp:effectExtent l="0" t="0" r="0" b="0"/>
            <wp:docPr id="25"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3"/>
                    <a:srcRect/>
                    <a:stretch>
                      <a:fillRect/>
                    </a:stretch>
                  </pic:blipFill>
                  <pic:spPr>
                    <a:xfrm>
                      <a:off x="0" y="0"/>
                      <a:ext cx="6134100" cy="3246437"/>
                    </a:xfrm>
                    <a:prstGeom prst="rect">
                      <a:avLst/>
                    </a:prstGeom>
                    <a:ln/>
                  </pic:spPr>
                </pic:pic>
              </a:graphicData>
            </a:graphic>
          </wp:inline>
        </w:drawing>
      </w:r>
    </w:p>
    <w:p w:rsidR="00E90573" w:rsidRDefault="00E90573">
      <w:pPr>
        <w:spacing w:after="0" w:line="240" w:lineRule="auto"/>
        <w:jc w:val="both"/>
        <w:rPr>
          <w:rFonts w:ascii="Helvetica Neue" w:eastAsia="Helvetica Neue" w:hAnsi="Helvetica Neue" w:cs="Helvetica Neue"/>
          <w:b/>
          <w:sz w:val="24"/>
          <w:szCs w:val="24"/>
          <w:highlight w:val="white"/>
          <w:u w:val="single"/>
        </w:rPr>
      </w:pPr>
    </w:p>
    <w:p w:rsidR="00E90573" w:rsidRDefault="00D17DEC">
      <w:pPr>
        <w:spacing w:after="0" w:line="240" w:lineRule="auto"/>
        <w:jc w:val="both"/>
        <w:rPr>
          <w:rFonts w:ascii="Helvetica Neue" w:eastAsia="Helvetica Neue" w:hAnsi="Helvetica Neue" w:cs="Helvetica Neue"/>
          <w:sz w:val="24"/>
          <w:szCs w:val="24"/>
          <w:highlight w:val="white"/>
        </w:rPr>
      </w:pPr>
      <w:r>
        <w:rPr>
          <w:rFonts w:ascii="Helvetica Neue" w:eastAsia="Helvetica Neue" w:hAnsi="Helvetica Neue" w:cs="Helvetica Neue"/>
          <w:sz w:val="24"/>
          <w:szCs w:val="24"/>
          <w:highlight w:val="white"/>
        </w:rPr>
        <w:t>Por localización geográfica, la entidad territorial con mayor participación en el RUAPP es el Distrito de Bogotá, con 90 proyectos - el 26,24 % del total de proyectos vigentes-; le siguen los departamentos de Antioquia con 39 iniciativas (11,37%), Bolívar con 30 (8,75%) y Cundinamarca con 24 (7.00%) (figura 7).</w:t>
      </w:r>
    </w:p>
    <w:p w:rsidR="00E90573" w:rsidRDefault="00E90573">
      <w:pPr>
        <w:spacing w:after="0" w:line="240" w:lineRule="auto"/>
        <w:jc w:val="both"/>
        <w:rPr>
          <w:rFonts w:ascii="Helvetica Neue" w:eastAsia="Helvetica Neue" w:hAnsi="Helvetica Neue" w:cs="Helvetica Neue"/>
          <w:sz w:val="24"/>
          <w:szCs w:val="24"/>
          <w:highlight w:val="white"/>
        </w:rPr>
      </w:pPr>
    </w:p>
    <w:p w:rsidR="00E90573" w:rsidRDefault="00E90573">
      <w:pPr>
        <w:spacing w:after="0" w:line="240" w:lineRule="auto"/>
        <w:jc w:val="both"/>
        <w:rPr>
          <w:rFonts w:ascii="Helvetica Neue" w:eastAsia="Helvetica Neue" w:hAnsi="Helvetica Neue" w:cs="Helvetica Neue"/>
          <w:sz w:val="24"/>
          <w:szCs w:val="24"/>
          <w:highlight w:val="white"/>
        </w:rPr>
      </w:pPr>
    </w:p>
    <w:p w:rsidR="00E90573" w:rsidRDefault="00E90573">
      <w:pPr>
        <w:spacing w:after="0" w:line="240" w:lineRule="auto"/>
        <w:jc w:val="both"/>
        <w:rPr>
          <w:rFonts w:ascii="Helvetica Neue" w:eastAsia="Helvetica Neue" w:hAnsi="Helvetica Neue" w:cs="Helvetica Neue"/>
          <w:sz w:val="24"/>
          <w:szCs w:val="24"/>
          <w:highlight w:val="white"/>
        </w:rPr>
      </w:pPr>
    </w:p>
    <w:p w:rsidR="00E90573" w:rsidRDefault="00D17DEC">
      <w:pPr>
        <w:spacing w:after="0" w:line="240" w:lineRule="auto"/>
        <w:jc w:val="center"/>
        <w:rPr>
          <w:rFonts w:ascii="Helvetica Neue" w:eastAsia="Helvetica Neue" w:hAnsi="Helvetica Neue" w:cs="Helvetica Neue"/>
          <w:b/>
          <w:sz w:val="24"/>
          <w:szCs w:val="24"/>
          <w:highlight w:val="white"/>
        </w:rPr>
      </w:pPr>
      <w:r>
        <w:rPr>
          <w:rFonts w:ascii="Helvetica Neue" w:eastAsia="Helvetica Neue" w:hAnsi="Helvetica Neue" w:cs="Helvetica Neue"/>
          <w:b/>
          <w:sz w:val="24"/>
          <w:szCs w:val="24"/>
          <w:highlight w:val="white"/>
        </w:rPr>
        <w:t>Figura 7. Principales localizaciones de las APPs</w:t>
      </w:r>
    </w:p>
    <w:p w:rsidR="00E90573" w:rsidRDefault="00E90573">
      <w:pPr>
        <w:spacing w:after="0" w:line="240" w:lineRule="auto"/>
        <w:jc w:val="both"/>
        <w:rPr>
          <w:rFonts w:ascii="Helvetica Neue" w:eastAsia="Helvetica Neue" w:hAnsi="Helvetica Neue" w:cs="Helvetica Neue"/>
          <w:b/>
          <w:sz w:val="24"/>
          <w:szCs w:val="24"/>
          <w:highlight w:val="white"/>
          <w:u w:val="single"/>
        </w:rPr>
      </w:pPr>
    </w:p>
    <w:p w:rsidR="00E90573" w:rsidRDefault="00D17DEC">
      <w:pPr>
        <w:spacing w:after="0" w:line="240" w:lineRule="auto"/>
        <w:jc w:val="both"/>
        <w:rPr>
          <w:rFonts w:ascii="Helvetica Neue" w:eastAsia="Helvetica Neue" w:hAnsi="Helvetica Neue" w:cs="Helvetica Neue"/>
          <w:b/>
          <w:sz w:val="24"/>
          <w:szCs w:val="24"/>
          <w:highlight w:val="white"/>
          <w:u w:val="single"/>
        </w:rPr>
      </w:pPr>
      <w:r>
        <w:rPr>
          <w:rFonts w:ascii="Helvetica Neue" w:eastAsia="Helvetica Neue" w:hAnsi="Helvetica Neue" w:cs="Helvetica Neue"/>
          <w:b/>
          <w:noProof/>
          <w:sz w:val="24"/>
          <w:szCs w:val="24"/>
          <w:highlight w:val="white"/>
          <w:u w:val="single"/>
          <w:lang w:val="es-CO"/>
        </w:rPr>
        <w:drawing>
          <wp:inline distT="114300" distB="114300" distL="114300" distR="114300">
            <wp:extent cx="4733925" cy="2257425"/>
            <wp:effectExtent l="0" t="0" r="0" b="0"/>
            <wp:docPr id="27"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4"/>
                    <a:srcRect/>
                    <a:stretch>
                      <a:fillRect/>
                    </a:stretch>
                  </pic:blipFill>
                  <pic:spPr>
                    <a:xfrm>
                      <a:off x="0" y="0"/>
                      <a:ext cx="4733925" cy="2257425"/>
                    </a:xfrm>
                    <a:prstGeom prst="rect">
                      <a:avLst/>
                    </a:prstGeom>
                    <a:ln/>
                  </pic:spPr>
                </pic:pic>
              </a:graphicData>
            </a:graphic>
          </wp:inline>
        </w:drawing>
      </w:r>
    </w:p>
    <w:p w:rsidR="00E90573" w:rsidRDefault="00E90573">
      <w:pPr>
        <w:spacing w:after="0" w:line="240" w:lineRule="auto"/>
        <w:jc w:val="both"/>
        <w:rPr>
          <w:rFonts w:ascii="Helvetica Neue" w:eastAsia="Helvetica Neue" w:hAnsi="Helvetica Neue" w:cs="Helvetica Neue"/>
          <w:b/>
          <w:sz w:val="24"/>
          <w:szCs w:val="24"/>
          <w:highlight w:val="white"/>
          <w:u w:val="single"/>
        </w:rPr>
      </w:pPr>
    </w:p>
    <w:p w:rsidR="00E90573" w:rsidRDefault="00E90573">
      <w:pPr>
        <w:spacing w:after="0" w:line="240" w:lineRule="auto"/>
        <w:jc w:val="both"/>
        <w:rPr>
          <w:rFonts w:ascii="Helvetica Neue" w:eastAsia="Helvetica Neue" w:hAnsi="Helvetica Neue" w:cs="Helvetica Neue"/>
          <w:b/>
          <w:sz w:val="24"/>
          <w:szCs w:val="24"/>
          <w:highlight w:val="white"/>
          <w:u w:val="single"/>
        </w:rPr>
      </w:pPr>
    </w:p>
    <w:p w:rsidR="00E90573" w:rsidRDefault="00E90573">
      <w:pPr>
        <w:spacing w:after="0" w:line="240" w:lineRule="auto"/>
        <w:jc w:val="both"/>
        <w:rPr>
          <w:rFonts w:ascii="Helvetica Neue" w:eastAsia="Helvetica Neue" w:hAnsi="Helvetica Neue" w:cs="Helvetica Neue"/>
          <w:b/>
          <w:sz w:val="24"/>
          <w:szCs w:val="24"/>
          <w:highlight w:val="white"/>
          <w:u w:val="single"/>
        </w:rPr>
      </w:pPr>
    </w:p>
    <w:p w:rsidR="00E90573" w:rsidRDefault="00D17DEC">
      <w:pPr>
        <w:pStyle w:val="Ttulo"/>
        <w:rPr>
          <w:rFonts w:ascii="Helvetica Neue" w:eastAsia="Helvetica Neue" w:hAnsi="Helvetica Neue" w:cs="Helvetica Neue"/>
          <w:sz w:val="24"/>
          <w:szCs w:val="24"/>
          <w:u w:val="single"/>
        </w:rPr>
      </w:pPr>
      <w:bookmarkStart w:id="5" w:name="_heading=h.9eqorf39huhr" w:colFirst="0" w:colLast="0"/>
      <w:bookmarkEnd w:id="5"/>
      <w:r>
        <w:rPr>
          <w:rFonts w:ascii="Helvetica Neue" w:eastAsia="Helvetica Neue" w:hAnsi="Helvetica Neue" w:cs="Helvetica Neue"/>
          <w:sz w:val="24"/>
          <w:szCs w:val="24"/>
          <w:u w:val="single"/>
        </w:rPr>
        <w:t>6. PREOCUPACIONES FRENTE A PROYECTOS ADJUDICADOS ANTE LA AGENCIA NACIONAL DE INFRAESTRUCTURA -ANI</w:t>
      </w:r>
      <w:r>
        <w:rPr>
          <w:rFonts w:ascii="Helvetica Neue" w:eastAsia="Helvetica Neue" w:hAnsi="Helvetica Neue" w:cs="Helvetica Neue"/>
          <w:sz w:val="24"/>
          <w:szCs w:val="24"/>
          <w:u w:val="single"/>
          <w:vertAlign w:val="superscript"/>
        </w:rPr>
        <w:footnoteReference w:id="27"/>
      </w:r>
    </w:p>
    <w:p w:rsidR="00E90573" w:rsidRDefault="00E90573">
      <w:pPr>
        <w:spacing w:after="0" w:line="240" w:lineRule="auto"/>
        <w:jc w:val="both"/>
        <w:rPr>
          <w:rFonts w:ascii="Helvetica Neue" w:eastAsia="Helvetica Neue" w:hAnsi="Helvetica Neue" w:cs="Helvetica Neue"/>
          <w:b/>
          <w:sz w:val="24"/>
          <w:szCs w:val="24"/>
          <w:highlight w:val="white"/>
          <w:u w:val="single"/>
        </w:rPr>
      </w:pPr>
    </w:p>
    <w:p w:rsidR="00E90573" w:rsidRDefault="00D17DEC">
      <w:pPr>
        <w:spacing w:after="0" w:line="240" w:lineRule="auto"/>
        <w:jc w:val="both"/>
        <w:rPr>
          <w:rFonts w:ascii="Helvetica Neue" w:eastAsia="Helvetica Neue" w:hAnsi="Helvetica Neue" w:cs="Helvetica Neue"/>
          <w:sz w:val="24"/>
          <w:szCs w:val="24"/>
          <w:highlight w:val="white"/>
        </w:rPr>
      </w:pPr>
      <w:r>
        <w:rPr>
          <w:rFonts w:ascii="Helvetica Neue" w:eastAsia="Helvetica Neue" w:hAnsi="Helvetica Neue" w:cs="Helvetica Neue"/>
          <w:sz w:val="24"/>
          <w:szCs w:val="24"/>
          <w:highlight w:val="white"/>
        </w:rPr>
        <w:t xml:space="preserve">De acuerdo con información de la Agencia Nacional de Infraestructura, sobre los proyectos de Iniciativa Privada que se adelantaban hasta abril de 2019 se encuentra que, ante esta entidad, que es una de las más importantes en el desarrollo de </w:t>
      </w:r>
      <w:r>
        <w:rPr>
          <w:rFonts w:ascii="Helvetica Neue" w:eastAsia="Helvetica Neue" w:hAnsi="Helvetica Neue" w:cs="Helvetica Neue"/>
          <w:sz w:val="24"/>
          <w:szCs w:val="24"/>
          <w:highlight w:val="white"/>
        </w:rPr>
        <w:lastRenderedPageBreak/>
        <w:t xml:space="preserve">infraestructura para la competitividad del país, se han radicado alrededor de 171 proyectos, de los cuales 122 han sido rechazados, 37 se encuentran en etapa de evaluación y   sólo 11 han sido adjudicados, todos de modo carretero (Tabla 1). </w:t>
      </w:r>
    </w:p>
    <w:p w:rsidR="00E90573" w:rsidRDefault="00E90573">
      <w:pPr>
        <w:spacing w:after="0" w:line="240" w:lineRule="auto"/>
        <w:jc w:val="both"/>
        <w:rPr>
          <w:rFonts w:ascii="Helvetica Neue" w:eastAsia="Helvetica Neue" w:hAnsi="Helvetica Neue" w:cs="Helvetica Neue"/>
          <w:sz w:val="24"/>
          <w:szCs w:val="24"/>
          <w:highlight w:val="white"/>
        </w:rPr>
      </w:pPr>
    </w:p>
    <w:p w:rsidR="00E90573" w:rsidRDefault="00E90573">
      <w:pPr>
        <w:spacing w:after="0" w:line="240" w:lineRule="auto"/>
        <w:jc w:val="both"/>
        <w:rPr>
          <w:rFonts w:ascii="Helvetica Neue" w:eastAsia="Helvetica Neue" w:hAnsi="Helvetica Neue" w:cs="Helvetica Neue"/>
          <w:sz w:val="24"/>
          <w:szCs w:val="24"/>
          <w:highlight w:val="white"/>
        </w:rPr>
      </w:pPr>
    </w:p>
    <w:p w:rsidR="00E90573" w:rsidRDefault="00D17DEC">
      <w:pPr>
        <w:spacing w:after="0" w:line="240" w:lineRule="auto"/>
        <w:rPr>
          <w:rFonts w:ascii="Helvetica Neue" w:eastAsia="Helvetica Neue" w:hAnsi="Helvetica Neue" w:cs="Helvetica Neue"/>
          <w:sz w:val="24"/>
          <w:szCs w:val="24"/>
          <w:highlight w:val="white"/>
        </w:rPr>
      </w:pPr>
      <w:r>
        <w:rPr>
          <w:rFonts w:ascii="Helvetica Neue" w:eastAsia="Helvetica Neue" w:hAnsi="Helvetica Neue" w:cs="Helvetica Neue"/>
          <w:b/>
          <w:sz w:val="24"/>
          <w:szCs w:val="24"/>
          <w:highlight w:val="white"/>
        </w:rPr>
        <w:t xml:space="preserve">Tabla 1. </w:t>
      </w:r>
      <w:r>
        <w:rPr>
          <w:rFonts w:ascii="Helvetica Neue" w:eastAsia="Helvetica Neue" w:hAnsi="Helvetica Neue" w:cs="Helvetica Neue"/>
          <w:sz w:val="24"/>
          <w:szCs w:val="24"/>
          <w:highlight w:val="white"/>
        </w:rPr>
        <w:t>Asociaciones Público Privadas radicadas ante la ANI</w:t>
      </w:r>
    </w:p>
    <w:tbl>
      <w:tblPr>
        <w:tblStyle w:val="a0"/>
        <w:tblW w:w="59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620"/>
        <w:gridCol w:w="1755"/>
        <w:gridCol w:w="1380"/>
        <w:gridCol w:w="1170"/>
      </w:tblGrid>
      <w:tr w:rsidR="00E90573">
        <w:trPr>
          <w:trHeight w:val="300"/>
        </w:trPr>
        <w:tc>
          <w:tcPr>
            <w:tcW w:w="5925" w:type="dxa"/>
            <w:gridSpan w:val="4"/>
            <w:tcBorders>
              <w:top w:val="single" w:sz="8" w:space="0" w:color="000000"/>
              <w:left w:val="single" w:sz="8" w:space="0" w:color="000000"/>
              <w:bottom w:val="single" w:sz="8" w:space="0" w:color="000000"/>
              <w:right w:val="single" w:sz="8" w:space="0" w:color="000000"/>
            </w:tcBorders>
            <w:shd w:val="clear" w:color="auto" w:fill="9FC5E8"/>
            <w:tcMar>
              <w:top w:w="0" w:type="dxa"/>
              <w:left w:w="40" w:type="dxa"/>
              <w:bottom w:w="0" w:type="dxa"/>
              <w:right w:w="40" w:type="dxa"/>
            </w:tcMar>
            <w:vAlign w:val="bottom"/>
          </w:tcPr>
          <w:p w:rsidR="00E90573" w:rsidRDefault="00D17DEC">
            <w:pPr>
              <w:widowControl w:val="0"/>
              <w:spacing w:after="0" w:line="276" w:lineRule="auto"/>
              <w:jc w:val="center"/>
            </w:pPr>
            <w:r>
              <w:rPr>
                <w:b/>
              </w:rPr>
              <w:t>TOTAL IPs radicadas ante la ANI hasta abril 2019</w:t>
            </w:r>
          </w:p>
        </w:tc>
      </w:tr>
      <w:tr w:rsidR="00E90573">
        <w:trPr>
          <w:trHeight w:val="540"/>
        </w:trPr>
        <w:tc>
          <w:tcPr>
            <w:tcW w:w="1620" w:type="dxa"/>
            <w:tcBorders>
              <w:top w:val="single" w:sz="8" w:space="0" w:color="CCCCCC"/>
              <w:left w:val="single" w:sz="8" w:space="0" w:color="000000"/>
              <w:bottom w:val="single" w:sz="8" w:space="0" w:color="000000"/>
              <w:right w:val="single" w:sz="8" w:space="0" w:color="000000"/>
            </w:tcBorders>
            <w:shd w:val="clear" w:color="auto" w:fill="9FC5E8"/>
            <w:tcMar>
              <w:top w:w="0" w:type="dxa"/>
              <w:left w:w="40" w:type="dxa"/>
              <w:bottom w:w="0" w:type="dxa"/>
              <w:right w:w="40" w:type="dxa"/>
            </w:tcMar>
            <w:vAlign w:val="bottom"/>
          </w:tcPr>
          <w:p w:rsidR="00E90573" w:rsidRDefault="00D17DEC">
            <w:pPr>
              <w:widowControl w:val="0"/>
              <w:spacing w:after="0" w:line="276" w:lineRule="auto"/>
            </w:pPr>
            <w:r>
              <w:rPr>
                <w:b/>
              </w:rPr>
              <w:t>Etapa</w:t>
            </w:r>
          </w:p>
        </w:tc>
        <w:tc>
          <w:tcPr>
            <w:tcW w:w="1755" w:type="dxa"/>
            <w:tcBorders>
              <w:top w:val="single" w:sz="8" w:space="0" w:color="CCCCCC"/>
              <w:left w:val="single" w:sz="8" w:space="0" w:color="CCCCCC"/>
              <w:bottom w:val="single" w:sz="8" w:space="0" w:color="000000"/>
              <w:right w:val="single" w:sz="8" w:space="0" w:color="000000"/>
            </w:tcBorders>
            <w:shd w:val="clear" w:color="auto" w:fill="9FC5E8"/>
            <w:tcMar>
              <w:top w:w="0" w:type="dxa"/>
              <w:left w:w="40" w:type="dxa"/>
              <w:bottom w:w="0" w:type="dxa"/>
              <w:right w:w="40" w:type="dxa"/>
            </w:tcMar>
            <w:vAlign w:val="bottom"/>
          </w:tcPr>
          <w:p w:rsidR="00E90573" w:rsidRDefault="00D17DEC">
            <w:pPr>
              <w:widowControl w:val="0"/>
              <w:spacing w:after="0" w:line="276" w:lineRule="auto"/>
            </w:pPr>
            <w:r>
              <w:rPr>
                <w:b/>
              </w:rPr>
              <w:t>Modo Carretero</w:t>
            </w:r>
          </w:p>
        </w:tc>
        <w:tc>
          <w:tcPr>
            <w:tcW w:w="1380" w:type="dxa"/>
            <w:tcBorders>
              <w:top w:val="single" w:sz="8" w:space="0" w:color="CCCCCC"/>
              <w:left w:val="single" w:sz="8" w:space="0" w:color="CCCCCC"/>
              <w:bottom w:val="single" w:sz="8" w:space="0" w:color="000000"/>
              <w:right w:val="single" w:sz="8" w:space="0" w:color="000000"/>
            </w:tcBorders>
            <w:shd w:val="clear" w:color="auto" w:fill="9FC5E8"/>
            <w:tcMar>
              <w:top w:w="0" w:type="dxa"/>
              <w:left w:w="40" w:type="dxa"/>
              <w:bottom w:w="0" w:type="dxa"/>
              <w:right w:w="40" w:type="dxa"/>
            </w:tcMar>
            <w:vAlign w:val="bottom"/>
          </w:tcPr>
          <w:p w:rsidR="00E90573" w:rsidRDefault="00D17DEC">
            <w:pPr>
              <w:widowControl w:val="0"/>
              <w:spacing w:after="0" w:line="276" w:lineRule="auto"/>
            </w:pPr>
            <w:r>
              <w:rPr>
                <w:b/>
              </w:rPr>
              <w:t>Otros Modos</w:t>
            </w:r>
          </w:p>
        </w:tc>
        <w:tc>
          <w:tcPr>
            <w:tcW w:w="1170" w:type="dxa"/>
            <w:tcBorders>
              <w:top w:val="single" w:sz="8" w:space="0" w:color="CCCCCC"/>
              <w:left w:val="single" w:sz="8" w:space="0" w:color="CCCCCC"/>
              <w:bottom w:val="single" w:sz="8" w:space="0" w:color="000000"/>
              <w:right w:val="single" w:sz="8" w:space="0" w:color="000000"/>
            </w:tcBorders>
            <w:shd w:val="clear" w:color="auto" w:fill="9FC5E8"/>
            <w:tcMar>
              <w:top w:w="0" w:type="dxa"/>
              <w:left w:w="40" w:type="dxa"/>
              <w:bottom w:w="0" w:type="dxa"/>
              <w:right w:w="40" w:type="dxa"/>
            </w:tcMar>
            <w:vAlign w:val="bottom"/>
          </w:tcPr>
          <w:p w:rsidR="00E90573" w:rsidRDefault="00D17DEC">
            <w:pPr>
              <w:widowControl w:val="0"/>
              <w:spacing w:after="0" w:line="276" w:lineRule="auto"/>
            </w:pPr>
            <w:r>
              <w:rPr>
                <w:b/>
              </w:rPr>
              <w:t>Total</w:t>
            </w:r>
          </w:p>
        </w:tc>
      </w:tr>
      <w:tr w:rsidR="00E90573">
        <w:trPr>
          <w:trHeight w:val="300"/>
        </w:trPr>
        <w:tc>
          <w:tcPr>
            <w:tcW w:w="1620" w:type="dxa"/>
            <w:tcBorders>
              <w:top w:val="single" w:sz="8" w:space="0" w:color="CCCCCC"/>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E90573" w:rsidRDefault="00D17DEC">
            <w:pPr>
              <w:widowControl w:val="0"/>
              <w:spacing w:after="0" w:line="276" w:lineRule="auto"/>
            </w:pPr>
            <w:r>
              <w:t>Adjudicados</w:t>
            </w:r>
          </w:p>
        </w:tc>
        <w:tc>
          <w:tcPr>
            <w:tcW w:w="1755"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bottom"/>
          </w:tcPr>
          <w:p w:rsidR="00E90573" w:rsidRDefault="00D17DEC">
            <w:pPr>
              <w:widowControl w:val="0"/>
              <w:spacing w:after="0" w:line="276" w:lineRule="auto"/>
              <w:jc w:val="right"/>
            </w:pPr>
            <w:r>
              <w:t>11</w:t>
            </w:r>
          </w:p>
        </w:tc>
        <w:tc>
          <w:tcPr>
            <w:tcW w:w="1380"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bottom"/>
          </w:tcPr>
          <w:p w:rsidR="00E90573" w:rsidRDefault="00D17DEC">
            <w:pPr>
              <w:widowControl w:val="0"/>
              <w:spacing w:after="0" w:line="276" w:lineRule="auto"/>
              <w:jc w:val="right"/>
            </w:pPr>
            <w:r>
              <w:t>0</w:t>
            </w:r>
          </w:p>
        </w:tc>
        <w:tc>
          <w:tcPr>
            <w:tcW w:w="1170"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bottom"/>
          </w:tcPr>
          <w:p w:rsidR="00E90573" w:rsidRDefault="00D17DEC">
            <w:pPr>
              <w:widowControl w:val="0"/>
              <w:spacing w:after="0" w:line="276" w:lineRule="auto"/>
              <w:jc w:val="right"/>
            </w:pPr>
            <w:r>
              <w:t>11</w:t>
            </w:r>
          </w:p>
        </w:tc>
      </w:tr>
      <w:tr w:rsidR="00E90573">
        <w:trPr>
          <w:trHeight w:val="540"/>
        </w:trPr>
        <w:tc>
          <w:tcPr>
            <w:tcW w:w="1620" w:type="dxa"/>
            <w:tcBorders>
              <w:top w:val="single" w:sz="8" w:space="0" w:color="CCCCCC"/>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E90573" w:rsidRDefault="00D17DEC">
            <w:pPr>
              <w:widowControl w:val="0"/>
              <w:spacing w:after="0" w:line="276" w:lineRule="auto"/>
            </w:pPr>
            <w:r>
              <w:t>Factibilidad aprobada</w:t>
            </w:r>
          </w:p>
        </w:tc>
        <w:tc>
          <w:tcPr>
            <w:tcW w:w="1755"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bottom"/>
          </w:tcPr>
          <w:p w:rsidR="00E90573" w:rsidRDefault="00D17DEC">
            <w:pPr>
              <w:widowControl w:val="0"/>
              <w:spacing w:after="0" w:line="276" w:lineRule="auto"/>
              <w:jc w:val="right"/>
            </w:pPr>
            <w:r>
              <w:t>1</w:t>
            </w:r>
          </w:p>
        </w:tc>
        <w:tc>
          <w:tcPr>
            <w:tcW w:w="1380"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bottom"/>
          </w:tcPr>
          <w:p w:rsidR="00E90573" w:rsidRDefault="00D17DEC">
            <w:pPr>
              <w:widowControl w:val="0"/>
              <w:spacing w:after="0" w:line="276" w:lineRule="auto"/>
              <w:jc w:val="right"/>
            </w:pPr>
            <w:r>
              <w:t>0</w:t>
            </w:r>
          </w:p>
        </w:tc>
        <w:tc>
          <w:tcPr>
            <w:tcW w:w="1170"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bottom"/>
          </w:tcPr>
          <w:p w:rsidR="00E90573" w:rsidRDefault="00D17DEC">
            <w:pPr>
              <w:widowControl w:val="0"/>
              <w:spacing w:after="0" w:line="276" w:lineRule="auto"/>
              <w:jc w:val="right"/>
            </w:pPr>
            <w:r>
              <w:t>1</w:t>
            </w:r>
          </w:p>
        </w:tc>
      </w:tr>
      <w:tr w:rsidR="00E90573">
        <w:trPr>
          <w:trHeight w:val="300"/>
        </w:trPr>
        <w:tc>
          <w:tcPr>
            <w:tcW w:w="1620" w:type="dxa"/>
            <w:tcBorders>
              <w:top w:val="single" w:sz="8" w:space="0" w:color="CCCCCC"/>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E90573" w:rsidRDefault="00D17DEC">
            <w:pPr>
              <w:widowControl w:val="0"/>
              <w:spacing w:after="0" w:line="276" w:lineRule="auto"/>
            </w:pPr>
            <w:r>
              <w:t>En evaluación</w:t>
            </w:r>
          </w:p>
        </w:tc>
        <w:tc>
          <w:tcPr>
            <w:tcW w:w="1755"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bottom"/>
          </w:tcPr>
          <w:p w:rsidR="00E90573" w:rsidRDefault="00D17DEC">
            <w:pPr>
              <w:widowControl w:val="0"/>
              <w:spacing w:after="0" w:line="276" w:lineRule="auto"/>
              <w:jc w:val="right"/>
            </w:pPr>
            <w:r>
              <w:t>15</w:t>
            </w:r>
          </w:p>
        </w:tc>
        <w:tc>
          <w:tcPr>
            <w:tcW w:w="1380"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bottom"/>
          </w:tcPr>
          <w:p w:rsidR="00E90573" w:rsidRDefault="00D17DEC">
            <w:pPr>
              <w:widowControl w:val="0"/>
              <w:spacing w:after="0" w:line="276" w:lineRule="auto"/>
              <w:jc w:val="right"/>
            </w:pPr>
            <w:r>
              <w:t>22</w:t>
            </w:r>
          </w:p>
        </w:tc>
        <w:tc>
          <w:tcPr>
            <w:tcW w:w="1170"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bottom"/>
          </w:tcPr>
          <w:p w:rsidR="00E90573" w:rsidRDefault="00D17DEC">
            <w:pPr>
              <w:widowControl w:val="0"/>
              <w:spacing w:after="0" w:line="276" w:lineRule="auto"/>
              <w:jc w:val="right"/>
            </w:pPr>
            <w:r>
              <w:t>37</w:t>
            </w:r>
          </w:p>
        </w:tc>
      </w:tr>
      <w:tr w:rsidR="00E90573">
        <w:trPr>
          <w:trHeight w:val="300"/>
        </w:trPr>
        <w:tc>
          <w:tcPr>
            <w:tcW w:w="1620" w:type="dxa"/>
            <w:tcBorders>
              <w:top w:val="single" w:sz="8" w:space="0" w:color="CCCCCC"/>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E90573" w:rsidRDefault="00D17DEC">
            <w:pPr>
              <w:widowControl w:val="0"/>
              <w:spacing w:after="0" w:line="276" w:lineRule="auto"/>
            </w:pPr>
            <w:r>
              <w:t>Rechazadas</w:t>
            </w:r>
          </w:p>
        </w:tc>
        <w:tc>
          <w:tcPr>
            <w:tcW w:w="1755"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bottom"/>
          </w:tcPr>
          <w:p w:rsidR="00E90573" w:rsidRDefault="00D17DEC">
            <w:pPr>
              <w:widowControl w:val="0"/>
              <w:spacing w:after="0" w:line="276" w:lineRule="auto"/>
              <w:jc w:val="right"/>
            </w:pPr>
            <w:r>
              <w:t>89</w:t>
            </w:r>
          </w:p>
        </w:tc>
        <w:tc>
          <w:tcPr>
            <w:tcW w:w="1380"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bottom"/>
          </w:tcPr>
          <w:p w:rsidR="00E90573" w:rsidRDefault="00D17DEC">
            <w:pPr>
              <w:widowControl w:val="0"/>
              <w:spacing w:after="0" w:line="276" w:lineRule="auto"/>
              <w:jc w:val="right"/>
            </w:pPr>
            <w:r>
              <w:t>33</w:t>
            </w:r>
          </w:p>
        </w:tc>
        <w:tc>
          <w:tcPr>
            <w:tcW w:w="1170"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bottom"/>
          </w:tcPr>
          <w:p w:rsidR="00E90573" w:rsidRDefault="00D17DEC">
            <w:pPr>
              <w:widowControl w:val="0"/>
              <w:spacing w:after="0" w:line="276" w:lineRule="auto"/>
              <w:jc w:val="right"/>
            </w:pPr>
            <w:r>
              <w:t>122</w:t>
            </w:r>
          </w:p>
        </w:tc>
      </w:tr>
    </w:tbl>
    <w:p w:rsidR="00E90573" w:rsidRDefault="00D17DEC">
      <w:pPr>
        <w:widowControl w:val="0"/>
        <w:spacing w:after="0" w:line="276" w:lineRule="auto"/>
        <w:rPr>
          <w:rFonts w:ascii="Helvetica Neue" w:eastAsia="Helvetica Neue" w:hAnsi="Helvetica Neue" w:cs="Helvetica Neue"/>
        </w:rPr>
      </w:pPr>
      <w:r>
        <w:rPr>
          <w:rFonts w:ascii="Helvetica Neue" w:eastAsia="Helvetica Neue" w:hAnsi="Helvetica Neue" w:cs="Helvetica Neue"/>
        </w:rPr>
        <w:t>Fuente. ANI, Presentación Iniciativas Privadas</w:t>
      </w:r>
    </w:p>
    <w:p w:rsidR="00E90573" w:rsidRDefault="00E90573">
      <w:pPr>
        <w:widowControl w:val="0"/>
        <w:spacing w:after="0" w:line="276" w:lineRule="auto"/>
        <w:rPr>
          <w:rFonts w:ascii="Helvetica Neue" w:eastAsia="Helvetica Neue" w:hAnsi="Helvetica Neue" w:cs="Helvetica Neue"/>
        </w:rPr>
      </w:pPr>
    </w:p>
    <w:p w:rsidR="00E90573" w:rsidRDefault="00D17DEC">
      <w:pPr>
        <w:spacing w:after="0" w:line="240" w:lineRule="auto"/>
        <w:jc w:val="both"/>
        <w:rPr>
          <w:rFonts w:ascii="Helvetica Neue" w:eastAsia="Helvetica Neue" w:hAnsi="Helvetica Neue" w:cs="Helvetica Neue"/>
          <w:sz w:val="24"/>
          <w:szCs w:val="24"/>
          <w:highlight w:val="white"/>
        </w:rPr>
      </w:pPr>
      <w:r>
        <w:rPr>
          <w:rFonts w:ascii="Helvetica Neue" w:eastAsia="Helvetica Neue" w:hAnsi="Helvetica Neue" w:cs="Helvetica Neue"/>
          <w:sz w:val="24"/>
          <w:szCs w:val="24"/>
          <w:highlight w:val="white"/>
        </w:rPr>
        <w:t>De los 11 proyectos que fueron adjudicados tienen un valor de alrededor de 13,7 billones de pesos. Lo que equivale al 1.4% del PIB Nacional en 2019. De estos proyectos solo tres cuentan con un avance mayor al 50% de la obra y proyectos fueron liquidados, la vía Cesar- Guajira y el Proyecto Vía al Puerto (que comprende el trabajo Buga-Buenaventura) (Tabla 2).</w:t>
      </w:r>
    </w:p>
    <w:p w:rsidR="00E90573" w:rsidRDefault="00E90573">
      <w:pPr>
        <w:spacing w:after="0" w:line="240" w:lineRule="auto"/>
        <w:jc w:val="both"/>
        <w:rPr>
          <w:rFonts w:ascii="Helvetica Neue" w:eastAsia="Helvetica Neue" w:hAnsi="Helvetica Neue" w:cs="Helvetica Neue"/>
          <w:sz w:val="24"/>
          <w:szCs w:val="24"/>
          <w:highlight w:val="white"/>
        </w:rPr>
      </w:pPr>
    </w:p>
    <w:p w:rsidR="00E90573" w:rsidRDefault="00D17DEC">
      <w:pPr>
        <w:spacing w:after="0" w:line="240" w:lineRule="auto"/>
        <w:jc w:val="both"/>
        <w:rPr>
          <w:rFonts w:ascii="Helvetica Neue" w:eastAsia="Helvetica Neue" w:hAnsi="Helvetica Neue" w:cs="Helvetica Neue"/>
          <w:sz w:val="24"/>
          <w:szCs w:val="24"/>
          <w:highlight w:val="white"/>
        </w:rPr>
      </w:pPr>
      <w:r>
        <w:rPr>
          <w:rFonts w:ascii="Helvetica Neue" w:eastAsia="Helvetica Neue" w:hAnsi="Helvetica Neue" w:cs="Helvetica Neue"/>
          <w:b/>
          <w:sz w:val="24"/>
          <w:szCs w:val="24"/>
          <w:highlight w:val="white"/>
        </w:rPr>
        <w:t>Tabla 2.</w:t>
      </w:r>
      <w:r>
        <w:rPr>
          <w:rFonts w:ascii="Helvetica Neue" w:eastAsia="Helvetica Neue" w:hAnsi="Helvetica Neue" w:cs="Helvetica Neue"/>
          <w:sz w:val="24"/>
          <w:szCs w:val="24"/>
          <w:highlight w:val="white"/>
        </w:rPr>
        <w:t xml:space="preserve"> Proyectos de IPs adjudicados por la ANI </w:t>
      </w:r>
    </w:p>
    <w:tbl>
      <w:tblPr>
        <w:tblStyle w:val="a1"/>
        <w:tblW w:w="1008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217"/>
        <w:gridCol w:w="2199"/>
        <w:gridCol w:w="2088"/>
        <w:gridCol w:w="2576"/>
      </w:tblGrid>
      <w:tr w:rsidR="00E90573">
        <w:trPr>
          <w:trHeight w:val="300"/>
        </w:trPr>
        <w:tc>
          <w:tcPr>
            <w:tcW w:w="10078" w:type="dxa"/>
            <w:gridSpan w:val="4"/>
            <w:tcBorders>
              <w:top w:val="single" w:sz="8" w:space="0" w:color="000000"/>
              <w:left w:val="single" w:sz="8" w:space="0" w:color="000000"/>
              <w:bottom w:val="single" w:sz="8" w:space="0" w:color="000000"/>
              <w:right w:val="single" w:sz="8" w:space="0" w:color="000000"/>
            </w:tcBorders>
            <w:shd w:val="clear" w:color="auto" w:fill="92D050"/>
            <w:tcMar>
              <w:top w:w="0" w:type="dxa"/>
              <w:left w:w="40" w:type="dxa"/>
              <w:bottom w:w="0" w:type="dxa"/>
              <w:right w:w="40" w:type="dxa"/>
            </w:tcMar>
            <w:vAlign w:val="bottom"/>
          </w:tcPr>
          <w:p w:rsidR="00E90573" w:rsidRDefault="00D17DEC">
            <w:pPr>
              <w:widowControl w:val="0"/>
              <w:spacing w:after="0" w:line="276" w:lineRule="auto"/>
              <w:jc w:val="center"/>
            </w:pPr>
            <w:r>
              <w:rPr>
                <w:b/>
              </w:rPr>
              <w:t>Proyectos de APPs de Iniciativa Privada adjudicados por la ANI hasta abril 2019</w:t>
            </w:r>
          </w:p>
        </w:tc>
      </w:tr>
      <w:tr w:rsidR="00E90573">
        <w:trPr>
          <w:trHeight w:val="300"/>
        </w:trPr>
        <w:tc>
          <w:tcPr>
            <w:tcW w:w="3216" w:type="dxa"/>
            <w:tcBorders>
              <w:top w:val="single" w:sz="8" w:space="0" w:color="CCCCCC"/>
              <w:left w:val="single" w:sz="8" w:space="0" w:color="000000"/>
              <w:bottom w:val="single" w:sz="8" w:space="0" w:color="000000"/>
              <w:right w:val="single" w:sz="8" w:space="0" w:color="000000"/>
            </w:tcBorders>
            <w:shd w:val="clear" w:color="auto" w:fill="92D050"/>
            <w:tcMar>
              <w:top w:w="0" w:type="dxa"/>
              <w:left w:w="40" w:type="dxa"/>
              <w:bottom w:w="0" w:type="dxa"/>
              <w:right w:w="40" w:type="dxa"/>
            </w:tcMar>
            <w:vAlign w:val="bottom"/>
          </w:tcPr>
          <w:p w:rsidR="00E90573" w:rsidRDefault="00D17DEC">
            <w:pPr>
              <w:widowControl w:val="0"/>
              <w:spacing w:after="0" w:line="276" w:lineRule="auto"/>
            </w:pPr>
            <w:r>
              <w:rPr>
                <w:b/>
              </w:rPr>
              <w:t>Proyecto</w:t>
            </w:r>
          </w:p>
        </w:tc>
        <w:tc>
          <w:tcPr>
            <w:tcW w:w="2199" w:type="dxa"/>
            <w:tcBorders>
              <w:top w:val="single" w:sz="8" w:space="0" w:color="CCCCCC"/>
              <w:left w:val="single" w:sz="8" w:space="0" w:color="CCCCCC"/>
              <w:bottom w:val="single" w:sz="8" w:space="0" w:color="000000"/>
              <w:right w:val="single" w:sz="8" w:space="0" w:color="000000"/>
            </w:tcBorders>
            <w:shd w:val="clear" w:color="auto" w:fill="92D050"/>
            <w:tcMar>
              <w:top w:w="0" w:type="dxa"/>
              <w:left w:w="40" w:type="dxa"/>
              <w:bottom w:w="0" w:type="dxa"/>
              <w:right w:w="40" w:type="dxa"/>
            </w:tcMar>
            <w:vAlign w:val="bottom"/>
          </w:tcPr>
          <w:p w:rsidR="00E90573" w:rsidRDefault="00D17DEC">
            <w:pPr>
              <w:widowControl w:val="0"/>
              <w:spacing w:after="0" w:line="276" w:lineRule="auto"/>
            </w:pPr>
            <w:r>
              <w:rPr>
                <w:b/>
              </w:rPr>
              <w:t>Inversión Capex*</w:t>
            </w:r>
          </w:p>
        </w:tc>
        <w:tc>
          <w:tcPr>
            <w:tcW w:w="2088" w:type="dxa"/>
            <w:tcBorders>
              <w:top w:val="single" w:sz="8" w:space="0" w:color="CCCCCC"/>
              <w:left w:val="single" w:sz="8" w:space="0" w:color="CCCCCC"/>
              <w:bottom w:val="single" w:sz="8" w:space="0" w:color="000000"/>
              <w:right w:val="single" w:sz="8" w:space="0" w:color="000000"/>
            </w:tcBorders>
            <w:shd w:val="clear" w:color="auto" w:fill="92D050"/>
            <w:tcMar>
              <w:top w:w="0" w:type="dxa"/>
              <w:left w:w="40" w:type="dxa"/>
              <w:bottom w:w="0" w:type="dxa"/>
              <w:right w:w="40" w:type="dxa"/>
            </w:tcMar>
            <w:vAlign w:val="bottom"/>
          </w:tcPr>
          <w:p w:rsidR="00E90573" w:rsidRDefault="00D17DEC">
            <w:pPr>
              <w:widowControl w:val="0"/>
              <w:spacing w:after="0" w:line="276" w:lineRule="auto"/>
            </w:pPr>
            <w:r>
              <w:rPr>
                <w:b/>
              </w:rPr>
              <w:t>Fecha de adjudicación</w:t>
            </w:r>
          </w:p>
        </w:tc>
        <w:tc>
          <w:tcPr>
            <w:tcW w:w="2575" w:type="dxa"/>
            <w:tcBorders>
              <w:top w:val="single" w:sz="8" w:space="0" w:color="CCCCCC"/>
              <w:left w:val="single" w:sz="8" w:space="0" w:color="CCCCCC"/>
              <w:bottom w:val="single" w:sz="8" w:space="0" w:color="000000"/>
              <w:right w:val="single" w:sz="8" w:space="0" w:color="000000"/>
            </w:tcBorders>
            <w:shd w:val="clear" w:color="auto" w:fill="92D050"/>
            <w:tcMar>
              <w:top w:w="0" w:type="dxa"/>
              <w:left w:w="40" w:type="dxa"/>
              <w:bottom w:w="0" w:type="dxa"/>
              <w:right w:w="40" w:type="dxa"/>
            </w:tcMar>
            <w:vAlign w:val="bottom"/>
          </w:tcPr>
          <w:p w:rsidR="00E90573" w:rsidRDefault="00D17DEC">
            <w:pPr>
              <w:widowControl w:val="0"/>
              <w:spacing w:after="0" w:line="276" w:lineRule="auto"/>
            </w:pPr>
            <w:r>
              <w:rPr>
                <w:b/>
              </w:rPr>
              <w:t>Estado actual</w:t>
            </w:r>
          </w:p>
        </w:tc>
      </w:tr>
      <w:tr w:rsidR="00E90573">
        <w:trPr>
          <w:trHeight w:val="300"/>
        </w:trPr>
        <w:tc>
          <w:tcPr>
            <w:tcW w:w="3216" w:type="dxa"/>
            <w:tcBorders>
              <w:top w:val="single" w:sz="8" w:space="0" w:color="CCCCCC"/>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E90573" w:rsidRDefault="00D17DEC">
            <w:pPr>
              <w:widowControl w:val="0"/>
              <w:spacing w:after="0" w:line="276" w:lineRule="auto"/>
              <w:rPr>
                <w:b/>
              </w:rPr>
            </w:pPr>
            <w:r>
              <w:rPr>
                <w:b/>
              </w:rPr>
              <w:t>GICA</w:t>
            </w:r>
          </w:p>
        </w:tc>
        <w:tc>
          <w:tcPr>
            <w:tcW w:w="2199"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bottom"/>
          </w:tcPr>
          <w:p w:rsidR="00E90573" w:rsidRDefault="00D17DEC">
            <w:pPr>
              <w:widowControl w:val="0"/>
              <w:spacing w:after="0" w:line="276" w:lineRule="auto"/>
              <w:jc w:val="right"/>
            </w:pPr>
            <w:r>
              <w:t>$ 1,360</w:t>
            </w:r>
          </w:p>
        </w:tc>
        <w:tc>
          <w:tcPr>
            <w:tcW w:w="2088"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bottom"/>
          </w:tcPr>
          <w:p w:rsidR="00E90573" w:rsidRDefault="00D17DEC">
            <w:pPr>
              <w:widowControl w:val="0"/>
              <w:spacing w:after="0" w:line="276" w:lineRule="auto"/>
              <w:jc w:val="right"/>
            </w:pPr>
            <w:r>
              <w:t>abr.-15</w:t>
            </w:r>
          </w:p>
        </w:tc>
        <w:tc>
          <w:tcPr>
            <w:tcW w:w="2575"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bottom"/>
          </w:tcPr>
          <w:p w:rsidR="00E90573" w:rsidRDefault="00D17DEC">
            <w:pPr>
              <w:widowControl w:val="0"/>
              <w:spacing w:after="0" w:line="276" w:lineRule="auto"/>
            </w:pPr>
            <w:r>
              <w:t>Construcción, avance 43%</w:t>
            </w:r>
          </w:p>
        </w:tc>
      </w:tr>
      <w:tr w:rsidR="00E90573">
        <w:trPr>
          <w:trHeight w:val="540"/>
        </w:trPr>
        <w:tc>
          <w:tcPr>
            <w:tcW w:w="3216" w:type="dxa"/>
            <w:tcBorders>
              <w:top w:val="single" w:sz="8" w:space="0" w:color="CCCCCC"/>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E90573" w:rsidRDefault="00D17DEC">
            <w:pPr>
              <w:widowControl w:val="0"/>
              <w:spacing w:after="0" w:line="276" w:lineRule="auto"/>
              <w:rPr>
                <w:b/>
              </w:rPr>
            </w:pPr>
            <w:r>
              <w:rPr>
                <w:b/>
              </w:rPr>
              <w:t>CESAR- GUAJIRA</w:t>
            </w:r>
          </w:p>
        </w:tc>
        <w:tc>
          <w:tcPr>
            <w:tcW w:w="2199"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bottom"/>
          </w:tcPr>
          <w:p w:rsidR="00E90573" w:rsidRDefault="00D17DEC">
            <w:pPr>
              <w:widowControl w:val="0"/>
              <w:spacing w:after="0" w:line="276" w:lineRule="auto"/>
              <w:jc w:val="right"/>
            </w:pPr>
            <w:r>
              <w:t>$ 263</w:t>
            </w:r>
          </w:p>
        </w:tc>
        <w:tc>
          <w:tcPr>
            <w:tcW w:w="2088"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bottom"/>
          </w:tcPr>
          <w:p w:rsidR="00E90573" w:rsidRDefault="00D17DEC">
            <w:pPr>
              <w:widowControl w:val="0"/>
              <w:spacing w:after="0" w:line="276" w:lineRule="auto"/>
              <w:jc w:val="right"/>
            </w:pPr>
            <w:r>
              <w:t>jun.-15</w:t>
            </w:r>
          </w:p>
        </w:tc>
        <w:tc>
          <w:tcPr>
            <w:tcW w:w="2575"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bottom"/>
          </w:tcPr>
          <w:p w:rsidR="00E90573" w:rsidRDefault="00D17DEC">
            <w:pPr>
              <w:widowControl w:val="0"/>
              <w:spacing w:after="0" w:line="276" w:lineRule="auto"/>
              <w:rPr>
                <w:b/>
              </w:rPr>
            </w:pPr>
            <w:r>
              <w:rPr>
                <w:b/>
              </w:rPr>
              <w:t>Liquidada, por imposibilidad de instalación de peajes</w:t>
            </w:r>
          </w:p>
        </w:tc>
      </w:tr>
      <w:tr w:rsidR="00E90573">
        <w:trPr>
          <w:trHeight w:val="300"/>
        </w:trPr>
        <w:tc>
          <w:tcPr>
            <w:tcW w:w="3216" w:type="dxa"/>
            <w:tcBorders>
              <w:top w:val="single" w:sz="8" w:space="0" w:color="CCCCCC"/>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E90573" w:rsidRDefault="00D17DEC">
            <w:pPr>
              <w:widowControl w:val="0"/>
              <w:spacing w:after="0" w:line="276" w:lineRule="auto"/>
              <w:rPr>
                <w:b/>
              </w:rPr>
            </w:pPr>
            <w:r>
              <w:rPr>
                <w:b/>
              </w:rPr>
              <w:t>MALLA VIAL DEL META</w:t>
            </w:r>
          </w:p>
        </w:tc>
        <w:tc>
          <w:tcPr>
            <w:tcW w:w="2199"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bottom"/>
          </w:tcPr>
          <w:p w:rsidR="00E90573" w:rsidRDefault="00D17DEC">
            <w:pPr>
              <w:widowControl w:val="0"/>
              <w:spacing w:after="0" w:line="276" w:lineRule="auto"/>
              <w:jc w:val="right"/>
            </w:pPr>
            <w:r>
              <w:t>$ 1,550</w:t>
            </w:r>
          </w:p>
        </w:tc>
        <w:tc>
          <w:tcPr>
            <w:tcW w:w="2088"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bottom"/>
          </w:tcPr>
          <w:p w:rsidR="00E90573" w:rsidRDefault="00D17DEC">
            <w:pPr>
              <w:widowControl w:val="0"/>
              <w:spacing w:after="0" w:line="276" w:lineRule="auto"/>
              <w:jc w:val="right"/>
            </w:pPr>
            <w:r>
              <w:t>jun.-15</w:t>
            </w:r>
          </w:p>
        </w:tc>
        <w:tc>
          <w:tcPr>
            <w:tcW w:w="2575"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bottom"/>
          </w:tcPr>
          <w:p w:rsidR="00E90573" w:rsidRDefault="00D17DEC">
            <w:pPr>
              <w:widowControl w:val="0"/>
              <w:spacing w:after="0" w:line="276" w:lineRule="auto"/>
            </w:pPr>
            <w:r>
              <w:t>No ha iniciado construcción</w:t>
            </w:r>
          </w:p>
        </w:tc>
      </w:tr>
      <w:tr w:rsidR="00E90573">
        <w:trPr>
          <w:trHeight w:val="300"/>
        </w:trPr>
        <w:tc>
          <w:tcPr>
            <w:tcW w:w="3216" w:type="dxa"/>
            <w:tcBorders>
              <w:top w:val="single" w:sz="8" w:space="0" w:color="CCCCCC"/>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E90573" w:rsidRDefault="00D17DEC">
            <w:pPr>
              <w:widowControl w:val="0"/>
              <w:spacing w:after="0" w:line="276" w:lineRule="auto"/>
              <w:rPr>
                <w:b/>
              </w:rPr>
            </w:pPr>
            <w:r>
              <w:rPr>
                <w:b/>
              </w:rPr>
              <w:t>CHIRAJARA- VILLAVICENCIO</w:t>
            </w:r>
          </w:p>
        </w:tc>
        <w:tc>
          <w:tcPr>
            <w:tcW w:w="2199"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bottom"/>
          </w:tcPr>
          <w:p w:rsidR="00E90573" w:rsidRDefault="00D17DEC">
            <w:pPr>
              <w:widowControl w:val="0"/>
              <w:spacing w:after="0" w:line="276" w:lineRule="auto"/>
              <w:jc w:val="right"/>
            </w:pPr>
            <w:r>
              <w:t>$ 2,800</w:t>
            </w:r>
          </w:p>
        </w:tc>
        <w:tc>
          <w:tcPr>
            <w:tcW w:w="2088"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bottom"/>
          </w:tcPr>
          <w:p w:rsidR="00E90573" w:rsidRDefault="00D17DEC">
            <w:pPr>
              <w:widowControl w:val="0"/>
              <w:spacing w:after="0" w:line="276" w:lineRule="auto"/>
              <w:jc w:val="right"/>
            </w:pPr>
            <w:r>
              <w:t>jul.-15</w:t>
            </w:r>
          </w:p>
        </w:tc>
        <w:tc>
          <w:tcPr>
            <w:tcW w:w="2575"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bottom"/>
          </w:tcPr>
          <w:p w:rsidR="00E90573" w:rsidRDefault="00D17DEC">
            <w:pPr>
              <w:widowControl w:val="0"/>
              <w:spacing w:after="0" w:line="276" w:lineRule="auto"/>
            </w:pPr>
            <w:r>
              <w:t>Construcción, avance 71%</w:t>
            </w:r>
          </w:p>
        </w:tc>
      </w:tr>
      <w:tr w:rsidR="00E90573">
        <w:trPr>
          <w:trHeight w:val="300"/>
        </w:trPr>
        <w:tc>
          <w:tcPr>
            <w:tcW w:w="3216" w:type="dxa"/>
            <w:tcBorders>
              <w:top w:val="single" w:sz="8" w:space="0" w:color="CCCCCC"/>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E90573" w:rsidRDefault="00D17DEC">
            <w:pPr>
              <w:widowControl w:val="0"/>
              <w:spacing w:after="0" w:line="276" w:lineRule="auto"/>
              <w:rPr>
                <w:b/>
              </w:rPr>
            </w:pPr>
            <w:r>
              <w:rPr>
                <w:b/>
              </w:rPr>
              <w:t>CAMBAO- MANIZALES</w:t>
            </w:r>
          </w:p>
        </w:tc>
        <w:tc>
          <w:tcPr>
            <w:tcW w:w="2199"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bottom"/>
          </w:tcPr>
          <w:p w:rsidR="00E90573" w:rsidRDefault="00D17DEC">
            <w:pPr>
              <w:widowControl w:val="0"/>
              <w:spacing w:after="0" w:line="276" w:lineRule="auto"/>
              <w:jc w:val="right"/>
            </w:pPr>
            <w:r>
              <w:t>$ 640</w:t>
            </w:r>
          </w:p>
        </w:tc>
        <w:tc>
          <w:tcPr>
            <w:tcW w:w="2088"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bottom"/>
          </w:tcPr>
          <w:p w:rsidR="00E90573" w:rsidRDefault="00D17DEC">
            <w:pPr>
              <w:widowControl w:val="0"/>
              <w:spacing w:after="0" w:line="276" w:lineRule="auto"/>
              <w:jc w:val="right"/>
            </w:pPr>
            <w:r>
              <w:t>ago.-15</w:t>
            </w:r>
          </w:p>
        </w:tc>
        <w:tc>
          <w:tcPr>
            <w:tcW w:w="2575"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bottom"/>
          </w:tcPr>
          <w:p w:rsidR="00E90573" w:rsidRDefault="00D17DEC">
            <w:pPr>
              <w:widowControl w:val="0"/>
              <w:spacing w:after="0" w:line="276" w:lineRule="auto"/>
            </w:pPr>
            <w:r>
              <w:t>No ha iniciado construcción</w:t>
            </w:r>
          </w:p>
        </w:tc>
      </w:tr>
      <w:tr w:rsidR="00E90573">
        <w:trPr>
          <w:trHeight w:val="300"/>
        </w:trPr>
        <w:tc>
          <w:tcPr>
            <w:tcW w:w="3216" w:type="dxa"/>
            <w:tcBorders>
              <w:top w:val="single" w:sz="8" w:space="0" w:color="CCCCCC"/>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E90573" w:rsidRDefault="00D17DEC">
            <w:pPr>
              <w:widowControl w:val="0"/>
              <w:spacing w:after="0" w:line="276" w:lineRule="auto"/>
              <w:rPr>
                <w:b/>
              </w:rPr>
            </w:pPr>
            <w:r>
              <w:rPr>
                <w:b/>
              </w:rPr>
              <w:t>ANTIOQUIA- BOLIVAR</w:t>
            </w:r>
          </w:p>
        </w:tc>
        <w:tc>
          <w:tcPr>
            <w:tcW w:w="2199"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bottom"/>
          </w:tcPr>
          <w:p w:rsidR="00E90573" w:rsidRDefault="00D17DEC">
            <w:pPr>
              <w:widowControl w:val="0"/>
              <w:spacing w:after="0" w:line="276" w:lineRule="auto"/>
              <w:jc w:val="right"/>
            </w:pPr>
            <w:r>
              <w:t>$ 1,400</w:t>
            </w:r>
          </w:p>
        </w:tc>
        <w:tc>
          <w:tcPr>
            <w:tcW w:w="2088"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bottom"/>
          </w:tcPr>
          <w:p w:rsidR="00E90573" w:rsidRDefault="00D17DEC">
            <w:pPr>
              <w:widowControl w:val="0"/>
              <w:spacing w:after="0" w:line="276" w:lineRule="auto"/>
              <w:jc w:val="right"/>
            </w:pPr>
            <w:r>
              <w:t>nov.-15</w:t>
            </w:r>
          </w:p>
        </w:tc>
        <w:tc>
          <w:tcPr>
            <w:tcW w:w="2575"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bottom"/>
          </w:tcPr>
          <w:p w:rsidR="00E90573" w:rsidRDefault="00D17DEC">
            <w:pPr>
              <w:widowControl w:val="0"/>
              <w:spacing w:after="0" w:line="276" w:lineRule="auto"/>
            </w:pPr>
            <w:r>
              <w:t>Construcción, avance 52%</w:t>
            </w:r>
          </w:p>
        </w:tc>
      </w:tr>
      <w:tr w:rsidR="00E90573">
        <w:trPr>
          <w:trHeight w:val="300"/>
        </w:trPr>
        <w:tc>
          <w:tcPr>
            <w:tcW w:w="3216" w:type="dxa"/>
            <w:tcBorders>
              <w:top w:val="single" w:sz="8" w:space="0" w:color="CCCCCC"/>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E90573" w:rsidRDefault="00D17DEC">
            <w:pPr>
              <w:widowControl w:val="0"/>
              <w:spacing w:after="0" w:line="276" w:lineRule="auto"/>
              <w:rPr>
                <w:b/>
              </w:rPr>
            </w:pPr>
            <w:r>
              <w:rPr>
                <w:b/>
              </w:rPr>
              <w:t>NEIVA - GIRARDOT</w:t>
            </w:r>
          </w:p>
        </w:tc>
        <w:tc>
          <w:tcPr>
            <w:tcW w:w="2199"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bottom"/>
          </w:tcPr>
          <w:p w:rsidR="00E90573" w:rsidRDefault="00D17DEC">
            <w:pPr>
              <w:widowControl w:val="0"/>
              <w:spacing w:after="0" w:line="276" w:lineRule="auto"/>
              <w:jc w:val="right"/>
            </w:pPr>
            <w:r>
              <w:t>$ 850</w:t>
            </w:r>
          </w:p>
        </w:tc>
        <w:tc>
          <w:tcPr>
            <w:tcW w:w="2088"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bottom"/>
          </w:tcPr>
          <w:p w:rsidR="00E90573" w:rsidRDefault="00D17DEC">
            <w:pPr>
              <w:widowControl w:val="0"/>
              <w:spacing w:after="0" w:line="276" w:lineRule="auto"/>
              <w:jc w:val="right"/>
            </w:pPr>
            <w:r>
              <w:t>dic.-15</w:t>
            </w:r>
          </w:p>
        </w:tc>
        <w:tc>
          <w:tcPr>
            <w:tcW w:w="2575"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bottom"/>
          </w:tcPr>
          <w:p w:rsidR="00E90573" w:rsidRDefault="00D17DEC">
            <w:pPr>
              <w:widowControl w:val="0"/>
              <w:spacing w:after="0" w:line="276" w:lineRule="auto"/>
            </w:pPr>
            <w:r>
              <w:t>Construcción, avance 47%</w:t>
            </w:r>
          </w:p>
        </w:tc>
      </w:tr>
      <w:tr w:rsidR="00E90573">
        <w:trPr>
          <w:trHeight w:val="300"/>
        </w:trPr>
        <w:tc>
          <w:tcPr>
            <w:tcW w:w="3216" w:type="dxa"/>
            <w:tcBorders>
              <w:top w:val="single" w:sz="8" w:space="0" w:color="CCCCCC"/>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E90573" w:rsidRDefault="00D17DEC">
            <w:pPr>
              <w:widowControl w:val="0"/>
              <w:spacing w:after="0" w:line="276" w:lineRule="auto"/>
              <w:rPr>
                <w:b/>
              </w:rPr>
            </w:pPr>
            <w:r>
              <w:rPr>
                <w:b/>
              </w:rPr>
              <w:t>VIAS DEL NUS</w:t>
            </w:r>
          </w:p>
        </w:tc>
        <w:tc>
          <w:tcPr>
            <w:tcW w:w="2199"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bottom"/>
          </w:tcPr>
          <w:p w:rsidR="00E90573" w:rsidRDefault="00D17DEC">
            <w:pPr>
              <w:widowControl w:val="0"/>
              <w:spacing w:after="0" w:line="276" w:lineRule="auto"/>
              <w:jc w:val="right"/>
            </w:pPr>
            <w:r>
              <w:t>$ 1,170</w:t>
            </w:r>
          </w:p>
        </w:tc>
        <w:tc>
          <w:tcPr>
            <w:tcW w:w="2088"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bottom"/>
          </w:tcPr>
          <w:p w:rsidR="00E90573" w:rsidRDefault="00D17DEC">
            <w:pPr>
              <w:widowControl w:val="0"/>
              <w:spacing w:after="0" w:line="276" w:lineRule="auto"/>
              <w:jc w:val="right"/>
            </w:pPr>
            <w:r>
              <w:t>mar.-16</w:t>
            </w:r>
          </w:p>
        </w:tc>
        <w:tc>
          <w:tcPr>
            <w:tcW w:w="2575"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bottom"/>
          </w:tcPr>
          <w:p w:rsidR="00E90573" w:rsidRDefault="00D17DEC">
            <w:pPr>
              <w:widowControl w:val="0"/>
              <w:spacing w:after="0" w:line="276" w:lineRule="auto"/>
            </w:pPr>
            <w:r>
              <w:t>Construcción, avance 61%</w:t>
            </w:r>
          </w:p>
        </w:tc>
      </w:tr>
      <w:tr w:rsidR="00E90573">
        <w:trPr>
          <w:trHeight w:val="810"/>
        </w:trPr>
        <w:tc>
          <w:tcPr>
            <w:tcW w:w="3216" w:type="dxa"/>
            <w:tcBorders>
              <w:top w:val="single" w:sz="8" w:space="0" w:color="CCCCCC"/>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E90573" w:rsidRDefault="00D17DEC">
            <w:pPr>
              <w:widowControl w:val="0"/>
              <w:spacing w:after="0" w:line="276" w:lineRule="auto"/>
              <w:rPr>
                <w:b/>
              </w:rPr>
            </w:pPr>
            <w:r>
              <w:rPr>
                <w:b/>
              </w:rPr>
              <w:t>VÍA AL PUERTO (Buga-btura)</w:t>
            </w:r>
          </w:p>
        </w:tc>
        <w:tc>
          <w:tcPr>
            <w:tcW w:w="2199"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bottom"/>
          </w:tcPr>
          <w:p w:rsidR="00E90573" w:rsidRDefault="00D17DEC">
            <w:pPr>
              <w:widowControl w:val="0"/>
              <w:spacing w:after="0" w:line="276" w:lineRule="auto"/>
              <w:jc w:val="right"/>
            </w:pPr>
            <w:r>
              <w:t>$ 1,180</w:t>
            </w:r>
          </w:p>
        </w:tc>
        <w:tc>
          <w:tcPr>
            <w:tcW w:w="2088"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bottom"/>
          </w:tcPr>
          <w:p w:rsidR="00E90573" w:rsidRDefault="00D17DEC">
            <w:pPr>
              <w:widowControl w:val="0"/>
              <w:spacing w:after="0" w:line="276" w:lineRule="auto"/>
              <w:jc w:val="right"/>
            </w:pPr>
            <w:r>
              <w:t>ago.-16</w:t>
            </w:r>
          </w:p>
        </w:tc>
        <w:tc>
          <w:tcPr>
            <w:tcW w:w="2575"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bottom"/>
          </w:tcPr>
          <w:p w:rsidR="00E90573" w:rsidRDefault="00D17DEC">
            <w:pPr>
              <w:widowControl w:val="0"/>
              <w:spacing w:after="0" w:line="276" w:lineRule="auto"/>
              <w:rPr>
                <w:b/>
              </w:rPr>
            </w:pPr>
            <w:r>
              <w:rPr>
                <w:b/>
              </w:rPr>
              <w:t>Liquidada. El Riesgo sobrepasar el límite del contrato</w:t>
            </w:r>
          </w:p>
        </w:tc>
      </w:tr>
      <w:tr w:rsidR="00E90573">
        <w:trPr>
          <w:trHeight w:val="300"/>
        </w:trPr>
        <w:tc>
          <w:tcPr>
            <w:tcW w:w="3216" w:type="dxa"/>
            <w:tcBorders>
              <w:top w:val="single" w:sz="8" w:space="0" w:color="CCCCCC"/>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E90573" w:rsidRDefault="00D17DEC">
            <w:pPr>
              <w:widowControl w:val="0"/>
              <w:spacing w:after="0" w:line="276" w:lineRule="auto"/>
              <w:rPr>
                <w:b/>
              </w:rPr>
            </w:pPr>
            <w:r>
              <w:rPr>
                <w:b/>
              </w:rPr>
              <w:t>TERCER CARRIL BOGOTÁ-GIRARDOT</w:t>
            </w:r>
          </w:p>
        </w:tc>
        <w:tc>
          <w:tcPr>
            <w:tcW w:w="2199"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bottom"/>
          </w:tcPr>
          <w:p w:rsidR="00E90573" w:rsidRDefault="00D17DEC">
            <w:pPr>
              <w:widowControl w:val="0"/>
              <w:spacing w:after="0" w:line="276" w:lineRule="auto"/>
              <w:jc w:val="right"/>
            </w:pPr>
            <w:r>
              <w:t>$ 2,010</w:t>
            </w:r>
          </w:p>
        </w:tc>
        <w:tc>
          <w:tcPr>
            <w:tcW w:w="2088"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bottom"/>
          </w:tcPr>
          <w:p w:rsidR="00E90573" w:rsidRDefault="00D17DEC">
            <w:pPr>
              <w:widowControl w:val="0"/>
              <w:spacing w:after="0" w:line="276" w:lineRule="auto"/>
              <w:jc w:val="right"/>
            </w:pPr>
            <w:r>
              <w:t>oct.-16</w:t>
            </w:r>
          </w:p>
        </w:tc>
        <w:tc>
          <w:tcPr>
            <w:tcW w:w="2575"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bottom"/>
          </w:tcPr>
          <w:p w:rsidR="00E90573" w:rsidRDefault="00D17DEC">
            <w:pPr>
              <w:widowControl w:val="0"/>
              <w:spacing w:after="0" w:line="276" w:lineRule="auto"/>
            </w:pPr>
            <w:r>
              <w:t>Construcción, avance 2.8%</w:t>
            </w:r>
          </w:p>
        </w:tc>
      </w:tr>
      <w:tr w:rsidR="00E90573">
        <w:trPr>
          <w:trHeight w:val="300"/>
        </w:trPr>
        <w:tc>
          <w:tcPr>
            <w:tcW w:w="3216" w:type="dxa"/>
            <w:tcBorders>
              <w:top w:val="single" w:sz="8" w:space="0" w:color="CCCCCC"/>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E90573" w:rsidRDefault="00D17DEC">
            <w:pPr>
              <w:widowControl w:val="0"/>
              <w:spacing w:after="0" w:line="276" w:lineRule="auto"/>
              <w:rPr>
                <w:b/>
              </w:rPr>
            </w:pPr>
            <w:r>
              <w:rPr>
                <w:b/>
              </w:rPr>
              <w:t>ACCENORTE</w:t>
            </w:r>
          </w:p>
        </w:tc>
        <w:tc>
          <w:tcPr>
            <w:tcW w:w="2199"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bottom"/>
          </w:tcPr>
          <w:p w:rsidR="00E90573" w:rsidRDefault="00D17DEC">
            <w:pPr>
              <w:widowControl w:val="0"/>
              <w:spacing w:after="0" w:line="276" w:lineRule="auto"/>
              <w:jc w:val="right"/>
            </w:pPr>
            <w:r>
              <w:t>$ 540</w:t>
            </w:r>
          </w:p>
        </w:tc>
        <w:tc>
          <w:tcPr>
            <w:tcW w:w="2088"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bottom"/>
          </w:tcPr>
          <w:p w:rsidR="00E90573" w:rsidRDefault="00D17DEC">
            <w:pPr>
              <w:widowControl w:val="0"/>
              <w:spacing w:after="0" w:line="276" w:lineRule="auto"/>
              <w:jc w:val="right"/>
            </w:pPr>
            <w:r>
              <w:t>abr.-17</w:t>
            </w:r>
          </w:p>
        </w:tc>
        <w:tc>
          <w:tcPr>
            <w:tcW w:w="2575"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bottom"/>
          </w:tcPr>
          <w:p w:rsidR="00E90573" w:rsidRDefault="00D17DEC">
            <w:pPr>
              <w:widowControl w:val="0"/>
              <w:spacing w:after="0" w:line="276" w:lineRule="auto"/>
            </w:pPr>
            <w:r>
              <w:t>Construcción, avance 31%</w:t>
            </w:r>
          </w:p>
        </w:tc>
      </w:tr>
      <w:tr w:rsidR="00E90573">
        <w:tc>
          <w:tcPr>
            <w:tcW w:w="3216" w:type="dxa"/>
            <w:tcBorders>
              <w:top w:val="single" w:sz="8" w:space="0" w:color="CCCCCC"/>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E90573" w:rsidRDefault="00D17DEC">
            <w:pPr>
              <w:widowControl w:val="0"/>
              <w:spacing w:after="0" w:line="276" w:lineRule="auto"/>
              <w:rPr>
                <w:b/>
              </w:rPr>
            </w:pPr>
            <w:r>
              <w:rPr>
                <w:b/>
              </w:rPr>
              <w:t>Total</w:t>
            </w:r>
          </w:p>
        </w:tc>
        <w:tc>
          <w:tcPr>
            <w:tcW w:w="2199"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bottom"/>
          </w:tcPr>
          <w:p w:rsidR="00E90573" w:rsidRDefault="00D17DEC">
            <w:pPr>
              <w:widowControl w:val="0"/>
              <w:spacing w:after="0" w:line="276" w:lineRule="auto"/>
              <w:jc w:val="right"/>
            </w:pPr>
            <w:r>
              <w:t>$ 13,763</w:t>
            </w:r>
          </w:p>
        </w:tc>
        <w:tc>
          <w:tcPr>
            <w:tcW w:w="2088"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bottom"/>
          </w:tcPr>
          <w:p w:rsidR="00E90573" w:rsidRDefault="00E90573">
            <w:pPr>
              <w:widowControl w:val="0"/>
              <w:spacing w:after="0" w:line="276" w:lineRule="auto"/>
            </w:pPr>
          </w:p>
        </w:tc>
        <w:tc>
          <w:tcPr>
            <w:tcW w:w="2575"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bottom"/>
          </w:tcPr>
          <w:p w:rsidR="00E90573" w:rsidRDefault="00E90573">
            <w:pPr>
              <w:widowControl w:val="0"/>
              <w:spacing w:after="0" w:line="276" w:lineRule="auto"/>
            </w:pPr>
          </w:p>
        </w:tc>
      </w:tr>
      <w:tr w:rsidR="00E90573">
        <w:trPr>
          <w:trHeight w:val="600"/>
        </w:trPr>
        <w:tc>
          <w:tcPr>
            <w:tcW w:w="10078" w:type="dxa"/>
            <w:gridSpan w:val="4"/>
            <w:tcBorders>
              <w:top w:val="single" w:sz="8" w:space="0" w:color="CCCCCC"/>
              <w:left w:val="single" w:sz="8" w:space="0" w:color="CCCCCC"/>
              <w:bottom w:val="single" w:sz="8" w:space="0" w:color="CCCCCC"/>
              <w:right w:val="single" w:sz="8" w:space="0" w:color="CCCCCC"/>
            </w:tcBorders>
            <w:shd w:val="clear" w:color="auto" w:fill="auto"/>
            <w:tcMar>
              <w:top w:w="0" w:type="dxa"/>
              <w:left w:w="40" w:type="dxa"/>
              <w:bottom w:w="0" w:type="dxa"/>
              <w:right w:w="40" w:type="dxa"/>
            </w:tcMar>
            <w:vAlign w:val="bottom"/>
          </w:tcPr>
          <w:p w:rsidR="00E90573" w:rsidRDefault="00D17DEC">
            <w:pPr>
              <w:widowControl w:val="0"/>
              <w:spacing w:after="0" w:line="276" w:lineRule="auto"/>
            </w:pPr>
            <w:r>
              <w:rPr>
                <w:sz w:val="20"/>
                <w:szCs w:val="20"/>
              </w:rPr>
              <w:t>*Miles de millones de pesos 2017</w:t>
            </w:r>
          </w:p>
        </w:tc>
      </w:tr>
    </w:tbl>
    <w:p w:rsidR="00E90573" w:rsidRDefault="00D17DEC">
      <w:pPr>
        <w:widowControl w:val="0"/>
        <w:spacing w:after="0" w:line="276" w:lineRule="auto"/>
        <w:jc w:val="center"/>
        <w:rPr>
          <w:rFonts w:ascii="Helvetica Neue" w:eastAsia="Helvetica Neue" w:hAnsi="Helvetica Neue" w:cs="Helvetica Neue"/>
          <w:highlight w:val="white"/>
        </w:rPr>
      </w:pPr>
      <w:r>
        <w:rPr>
          <w:rFonts w:ascii="Helvetica Neue" w:eastAsia="Helvetica Neue" w:hAnsi="Helvetica Neue" w:cs="Helvetica Neue"/>
        </w:rPr>
        <w:t>Fuente. ANI, Presentación Iniciativas Privadas</w:t>
      </w:r>
    </w:p>
    <w:p w:rsidR="00E90573" w:rsidRDefault="00E90573">
      <w:pPr>
        <w:spacing w:after="0" w:line="240" w:lineRule="auto"/>
        <w:jc w:val="both"/>
        <w:rPr>
          <w:rFonts w:ascii="Helvetica Neue" w:eastAsia="Helvetica Neue" w:hAnsi="Helvetica Neue" w:cs="Helvetica Neue"/>
          <w:sz w:val="24"/>
          <w:szCs w:val="24"/>
        </w:rPr>
      </w:pPr>
    </w:p>
    <w:p w:rsidR="00E90573" w:rsidRDefault="00E90573">
      <w:pPr>
        <w:spacing w:after="0" w:line="240" w:lineRule="auto"/>
        <w:jc w:val="both"/>
        <w:rPr>
          <w:rFonts w:ascii="Helvetica Neue" w:eastAsia="Helvetica Neue" w:hAnsi="Helvetica Neue" w:cs="Helvetica Neue"/>
          <w:sz w:val="24"/>
          <w:szCs w:val="24"/>
        </w:rPr>
      </w:pPr>
    </w:p>
    <w:p w:rsidR="00E90573" w:rsidRDefault="00D17DEC">
      <w:pPr>
        <w:spacing w:after="0" w:line="240" w:lineRule="auto"/>
        <w:jc w:val="both"/>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Los dos proyectos de infraestructura que fueron liquidados, aún continúan con su estructuración, sin contarse aún con un mecanismo de contratación definido para cada uno. Lo que resulta preocupante sabiendo la importancia para la competitividad del País que tienen estos dos proyectos. </w:t>
      </w:r>
    </w:p>
    <w:p w:rsidR="00E90573" w:rsidRDefault="00E90573">
      <w:pPr>
        <w:spacing w:after="0" w:line="240" w:lineRule="auto"/>
        <w:jc w:val="both"/>
        <w:rPr>
          <w:rFonts w:ascii="Helvetica Neue" w:eastAsia="Helvetica Neue" w:hAnsi="Helvetica Neue" w:cs="Helvetica Neue"/>
          <w:sz w:val="24"/>
          <w:szCs w:val="24"/>
        </w:rPr>
      </w:pPr>
    </w:p>
    <w:p w:rsidR="00E90573" w:rsidRDefault="00D17DEC">
      <w:pPr>
        <w:spacing w:after="0" w:line="240" w:lineRule="auto"/>
        <w:jc w:val="both"/>
      </w:pPr>
      <w:r>
        <w:rPr>
          <w:rFonts w:ascii="Helvetica Neue" w:eastAsia="Helvetica Neue" w:hAnsi="Helvetica Neue" w:cs="Helvetica Neue"/>
          <w:sz w:val="24"/>
          <w:szCs w:val="24"/>
        </w:rPr>
        <w:lastRenderedPageBreak/>
        <w:t>Por un lado la Vía Cesar- Guajira buscaba interconectar eficientemente los departamentos del Cesar y la Guajira, para servir de modo alterno para el transporte de carbón, con motivo de la apertura de nuevas minas y el crecimiento de la producción de este mineral, lo cual es esperable que ocurra en los próximos años, y para disminuir los índices de accidentalidad, propiciar el turismo en la región del valle de Upar y el sur de la Guajira, consolidar una comunicación eficiente con la frontera Colombo – Venezolana y fomentar el progreso económico y social de la zona.</w:t>
      </w:r>
    </w:p>
    <w:p w:rsidR="00E90573" w:rsidRDefault="00E90573">
      <w:pPr>
        <w:jc w:val="both"/>
      </w:pPr>
    </w:p>
    <w:p w:rsidR="00E90573" w:rsidRDefault="00D17DEC">
      <w:pPr>
        <w:jc w:val="both"/>
      </w:pPr>
      <w:r>
        <w:rPr>
          <w:rFonts w:ascii="Helvetica Neue" w:eastAsia="Helvetica Neue" w:hAnsi="Helvetica Neue" w:cs="Helvetica Neue"/>
          <w:sz w:val="24"/>
          <w:szCs w:val="24"/>
        </w:rPr>
        <w:t>Por otro lado, la Vía al Puerto, representa el corredor Buenaventura – Loboguerrero – Buga, corresponde a la sección final del corredor vial de dobles calzadas Bogotá–Buenaventura, el cual es considerado como uno de los más importantes ejes de la red vial nacional. Su objetivo es conectar el principal puerto marítimo de Colombia sobre la costa Pacífica -Puerto de Buenaventura– con el interior del País.</w:t>
      </w:r>
    </w:p>
    <w:p w:rsidR="00E90573" w:rsidRDefault="00D17DEC">
      <w:pPr>
        <w:pStyle w:val="Ttulo"/>
        <w:spacing w:after="0" w:line="240" w:lineRule="auto"/>
        <w:jc w:val="both"/>
        <w:rPr>
          <w:u w:val="single"/>
        </w:rPr>
      </w:pPr>
      <w:r>
        <w:rPr>
          <w:rFonts w:ascii="Helvetica Neue" w:eastAsia="Helvetica Neue" w:hAnsi="Helvetica Neue" w:cs="Helvetica Neue"/>
          <w:sz w:val="24"/>
          <w:szCs w:val="24"/>
          <w:u w:val="single"/>
        </w:rPr>
        <w:t xml:space="preserve">7. MARCO NORMATIVO </w:t>
      </w:r>
    </w:p>
    <w:p w:rsidR="00E90573" w:rsidRDefault="00E90573">
      <w:pPr>
        <w:spacing w:after="0" w:line="240" w:lineRule="auto"/>
        <w:jc w:val="both"/>
        <w:rPr>
          <w:rFonts w:ascii="Helvetica Neue" w:eastAsia="Helvetica Neue" w:hAnsi="Helvetica Neue" w:cs="Helvetica Neue"/>
          <w:sz w:val="24"/>
          <w:szCs w:val="24"/>
          <w:highlight w:val="yellow"/>
        </w:rPr>
      </w:pPr>
    </w:p>
    <w:p w:rsidR="00E90573" w:rsidRDefault="00D17DEC">
      <w:pPr>
        <w:spacing w:after="0" w:line="240" w:lineRule="auto"/>
        <w:jc w:val="both"/>
        <w:rPr>
          <w:rFonts w:ascii="Helvetica Neue" w:eastAsia="Helvetica Neue" w:hAnsi="Helvetica Neue" w:cs="Helvetica Neue"/>
          <w:sz w:val="24"/>
          <w:szCs w:val="24"/>
        </w:rPr>
      </w:pPr>
      <w:r>
        <w:rPr>
          <w:rFonts w:ascii="Helvetica Neue" w:eastAsia="Helvetica Neue" w:hAnsi="Helvetica Neue" w:cs="Helvetica Neue"/>
          <w:b/>
          <w:sz w:val="24"/>
          <w:szCs w:val="24"/>
        </w:rPr>
        <w:t xml:space="preserve">Tabla 3. </w:t>
      </w:r>
      <w:r>
        <w:rPr>
          <w:rFonts w:ascii="Helvetica Neue" w:eastAsia="Helvetica Neue" w:hAnsi="Helvetica Neue" w:cs="Helvetica Neue"/>
          <w:sz w:val="24"/>
          <w:szCs w:val="24"/>
        </w:rPr>
        <w:t>Marco Normativo de las Asociaciones Público Privadas</w:t>
      </w:r>
    </w:p>
    <w:tbl>
      <w:tblPr>
        <w:tblStyle w:val="a2"/>
        <w:tblW w:w="1008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95"/>
        <w:gridCol w:w="4425"/>
        <w:gridCol w:w="3360"/>
      </w:tblGrid>
      <w:tr w:rsidR="00E90573">
        <w:tc>
          <w:tcPr>
            <w:tcW w:w="2295" w:type="dxa"/>
            <w:shd w:val="clear" w:color="auto" w:fill="auto"/>
            <w:tcMar>
              <w:top w:w="100" w:type="dxa"/>
              <w:left w:w="100" w:type="dxa"/>
              <w:bottom w:w="100" w:type="dxa"/>
              <w:right w:w="100" w:type="dxa"/>
            </w:tcMar>
          </w:tcPr>
          <w:p w:rsidR="00E90573" w:rsidRDefault="00D17DEC">
            <w:pPr>
              <w:widowControl w:val="0"/>
              <w:pBdr>
                <w:top w:val="nil"/>
                <w:left w:val="nil"/>
                <w:bottom w:val="nil"/>
                <w:right w:val="nil"/>
                <w:between w:val="nil"/>
              </w:pBdr>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Norma</w:t>
            </w:r>
          </w:p>
        </w:tc>
        <w:tc>
          <w:tcPr>
            <w:tcW w:w="4425" w:type="dxa"/>
            <w:shd w:val="clear" w:color="auto" w:fill="auto"/>
            <w:tcMar>
              <w:top w:w="100" w:type="dxa"/>
              <w:left w:w="100" w:type="dxa"/>
              <w:bottom w:w="100" w:type="dxa"/>
              <w:right w:w="100" w:type="dxa"/>
            </w:tcMar>
          </w:tcPr>
          <w:p w:rsidR="00E90573" w:rsidRDefault="00D17DEC">
            <w:pPr>
              <w:widowControl w:val="0"/>
              <w:pBdr>
                <w:top w:val="nil"/>
                <w:left w:val="nil"/>
                <w:bottom w:val="nil"/>
                <w:right w:val="nil"/>
                <w:between w:val="nil"/>
              </w:pBdr>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Descripción</w:t>
            </w:r>
          </w:p>
        </w:tc>
        <w:tc>
          <w:tcPr>
            <w:tcW w:w="3360" w:type="dxa"/>
            <w:shd w:val="clear" w:color="auto" w:fill="auto"/>
            <w:tcMar>
              <w:top w:w="100" w:type="dxa"/>
              <w:left w:w="100" w:type="dxa"/>
              <w:bottom w:w="100" w:type="dxa"/>
              <w:right w:w="100" w:type="dxa"/>
            </w:tcMar>
          </w:tcPr>
          <w:p w:rsidR="00E90573" w:rsidRDefault="00D17DEC">
            <w:pPr>
              <w:widowControl w:val="0"/>
              <w:pBdr>
                <w:top w:val="nil"/>
                <w:left w:val="nil"/>
                <w:bottom w:val="nil"/>
                <w:right w:val="nil"/>
                <w:between w:val="nil"/>
              </w:pBdr>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Título de la Norma</w:t>
            </w:r>
          </w:p>
        </w:tc>
      </w:tr>
      <w:tr w:rsidR="00E90573">
        <w:tc>
          <w:tcPr>
            <w:tcW w:w="2295" w:type="dxa"/>
            <w:shd w:val="clear" w:color="auto" w:fill="auto"/>
            <w:tcMar>
              <w:top w:w="100" w:type="dxa"/>
              <w:left w:w="100" w:type="dxa"/>
              <w:bottom w:w="100" w:type="dxa"/>
              <w:right w:w="100" w:type="dxa"/>
            </w:tcMar>
          </w:tcPr>
          <w:p w:rsidR="00E90573" w:rsidRDefault="00D17DEC">
            <w:pPr>
              <w:widowControl w:val="0"/>
              <w:pBdr>
                <w:top w:val="nil"/>
                <w:left w:val="nil"/>
                <w:bottom w:val="nil"/>
                <w:right w:val="nil"/>
                <w:between w:val="nil"/>
              </w:pBd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Ley 1508 de 2012</w:t>
            </w:r>
          </w:p>
        </w:tc>
        <w:tc>
          <w:tcPr>
            <w:tcW w:w="4425" w:type="dxa"/>
            <w:shd w:val="clear" w:color="auto" w:fill="auto"/>
            <w:tcMar>
              <w:top w:w="100" w:type="dxa"/>
              <w:left w:w="100" w:type="dxa"/>
              <w:bottom w:w="100" w:type="dxa"/>
              <w:right w:w="100" w:type="dxa"/>
            </w:tcMar>
          </w:tcPr>
          <w:p w:rsidR="00E90573" w:rsidRDefault="00D17DEC">
            <w:pPr>
              <w:widowControl w:val="0"/>
              <w:pBdr>
                <w:top w:val="nil"/>
                <w:left w:val="nil"/>
                <w:bottom w:val="nil"/>
                <w:right w:val="nil"/>
                <w:between w:val="nil"/>
              </w:pBd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Define los conceptos y lineamientos de los proyectos de inversión con iniciativa pública y privada, los montos de la inversión y la estructura de cada proyecto. </w:t>
            </w:r>
          </w:p>
        </w:tc>
        <w:tc>
          <w:tcPr>
            <w:tcW w:w="3360" w:type="dxa"/>
            <w:shd w:val="clear" w:color="auto" w:fill="auto"/>
            <w:tcMar>
              <w:top w:w="100" w:type="dxa"/>
              <w:left w:w="100" w:type="dxa"/>
              <w:bottom w:w="100" w:type="dxa"/>
              <w:right w:w="100" w:type="dxa"/>
            </w:tcMar>
          </w:tcPr>
          <w:p w:rsidR="00E90573" w:rsidRDefault="00D17DEC">
            <w:pPr>
              <w:widowControl w:val="0"/>
              <w:pBdr>
                <w:top w:val="nil"/>
                <w:left w:val="nil"/>
                <w:bottom w:val="nil"/>
                <w:right w:val="nil"/>
                <w:between w:val="nil"/>
              </w:pBd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Por la cual se establece el régimen jurídico de las Asociaciones Público Privadas, se dictan normas orgánicas de presupuesto y se dictan otras disposiciones. </w:t>
            </w:r>
          </w:p>
        </w:tc>
      </w:tr>
      <w:tr w:rsidR="00E90573">
        <w:tc>
          <w:tcPr>
            <w:tcW w:w="2295" w:type="dxa"/>
            <w:shd w:val="clear" w:color="auto" w:fill="auto"/>
            <w:tcMar>
              <w:top w:w="100" w:type="dxa"/>
              <w:left w:w="100" w:type="dxa"/>
              <w:bottom w:w="100" w:type="dxa"/>
              <w:right w:w="100" w:type="dxa"/>
            </w:tcMar>
          </w:tcPr>
          <w:p w:rsidR="00E90573" w:rsidRDefault="00D17DEC">
            <w:pPr>
              <w:widowControl w:val="0"/>
              <w:pBdr>
                <w:top w:val="nil"/>
                <w:left w:val="nil"/>
                <w:bottom w:val="nil"/>
                <w:right w:val="nil"/>
                <w:between w:val="nil"/>
              </w:pBd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Decreto 1467 de 2012</w:t>
            </w:r>
          </w:p>
        </w:tc>
        <w:tc>
          <w:tcPr>
            <w:tcW w:w="4425" w:type="dxa"/>
            <w:shd w:val="clear" w:color="auto" w:fill="auto"/>
            <w:tcMar>
              <w:top w:w="100" w:type="dxa"/>
              <w:left w:w="100" w:type="dxa"/>
              <w:bottom w:w="100" w:type="dxa"/>
              <w:right w:w="100" w:type="dxa"/>
            </w:tcMar>
          </w:tcPr>
          <w:p w:rsidR="00E90573" w:rsidRDefault="00D17DEC">
            <w:pPr>
              <w:widowControl w:val="0"/>
              <w:pBdr>
                <w:top w:val="nil"/>
                <w:left w:val="nil"/>
                <w:bottom w:val="nil"/>
                <w:right w:val="nil"/>
                <w:between w:val="nil"/>
              </w:pBd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Establece los procedimientos para la contratación a través del sistema de APPs.</w:t>
            </w:r>
          </w:p>
        </w:tc>
        <w:tc>
          <w:tcPr>
            <w:tcW w:w="3360" w:type="dxa"/>
            <w:shd w:val="clear" w:color="auto" w:fill="auto"/>
            <w:tcMar>
              <w:top w:w="100" w:type="dxa"/>
              <w:left w:w="100" w:type="dxa"/>
              <w:bottom w:w="100" w:type="dxa"/>
              <w:right w:w="100" w:type="dxa"/>
            </w:tcMar>
          </w:tcPr>
          <w:p w:rsidR="00E90573" w:rsidRDefault="00D17DEC">
            <w:pPr>
              <w:widowControl w:val="0"/>
              <w:pBdr>
                <w:top w:val="nil"/>
                <w:left w:val="nil"/>
                <w:bottom w:val="nil"/>
                <w:right w:val="nil"/>
                <w:between w:val="nil"/>
              </w:pBd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Decreto Reglamentario de la Ley 1508 de 2012 </w:t>
            </w:r>
          </w:p>
        </w:tc>
      </w:tr>
      <w:tr w:rsidR="00E90573">
        <w:tc>
          <w:tcPr>
            <w:tcW w:w="2295" w:type="dxa"/>
            <w:shd w:val="clear" w:color="auto" w:fill="auto"/>
            <w:tcMar>
              <w:top w:w="100" w:type="dxa"/>
              <w:left w:w="100" w:type="dxa"/>
              <w:bottom w:w="100" w:type="dxa"/>
              <w:right w:w="100" w:type="dxa"/>
            </w:tcMar>
          </w:tcPr>
          <w:p w:rsidR="00E90573" w:rsidRDefault="00D17DEC">
            <w:pPr>
              <w:widowControl w:val="0"/>
              <w:pBdr>
                <w:top w:val="nil"/>
                <w:left w:val="nil"/>
                <w:bottom w:val="nil"/>
                <w:right w:val="nil"/>
                <w:between w:val="nil"/>
              </w:pBd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Resolución 3656 de 2012 </w:t>
            </w:r>
          </w:p>
        </w:tc>
        <w:tc>
          <w:tcPr>
            <w:tcW w:w="4425" w:type="dxa"/>
            <w:shd w:val="clear" w:color="auto" w:fill="auto"/>
            <w:tcMar>
              <w:top w:w="100" w:type="dxa"/>
              <w:left w:w="100" w:type="dxa"/>
              <w:bottom w:w="100" w:type="dxa"/>
              <w:right w:w="100" w:type="dxa"/>
            </w:tcMar>
          </w:tcPr>
          <w:p w:rsidR="00E90573" w:rsidRDefault="00D17DEC">
            <w:pPr>
              <w:widowControl w:val="0"/>
              <w:pBdr>
                <w:top w:val="nil"/>
                <w:left w:val="nil"/>
                <w:bottom w:val="nil"/>
                <w:right w:val="nil"/>
                <w:between w:val="nil"/>
              </w:pBd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Adopta la metodología del comparador público privado. </w:t>
            </w:r>
          </w:p>
        </w:tc>
        <w:tc>
          <w:tcPr>
            <w:tcW w:w="3360" w:type="dxa"/>
            <w:shd w:val="clear" w:color="auto" w:fill="auto"/>
            <w:tcMar>
              <w:top w:w="100" w:type="dxa"/>
              <w:left w:w="100" w:type="dxa"/>
              <w:bottom w:w="100" w:type="dxa"/>
              <w:right w:w="100" w:type="dxa"/>
            </w:tcMar>
          </w:tcPr>
          <w:p w:rsidR="00E90573" w:rsidRDefault="00D17DEC">
            <w:pPr>
              <w:widowControl w:val="0"/>
              <w:pBdr>
                <w:top w:val="nil"/>
                <w:left w:val="nil"/>
                <w:bottom w:val="nil"/>
                <w:right w:val="nil"/>
                <w:between w:val="nil"/>
              </w:pBd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Por el cual se establecen parámetros para la evaluación del mecanismos de APPs, como una modalidad de ejecución de proyectos de qué trata la Ley 1508 de 2012 el Decreto 1467 de 2012. </w:t>
            </w:r>
          </w:p>
        </w:tc>
      </w:tr>
      <w:tr w:rsidR="00E90573">
        <w:tc>
          <w:tcPr>
            <w:tcW w:w="2295" w:type="dxa"/>
            <w:shd w:val="clear" w:color="auto" w:fill="auto"/>
            <w:tcMar>
              <w:top w:w="100" w:type="dxa"/>
              <w:left w:w="100" w:type="dxa"/>
              <w:bottom w:w="100" w:type="dxa"/>
              <w:right w:w="100" w:type="dxa"/>
            </w:tcMar>
          </w:tcPr>
          <w:p w:rsidR="00E90573" w:rsidRDefault="00D17DEC">
            <w:pPr>
              <w:widowControl w:val="0"/>
              <w:pBdr>
                <w:top w:val="nil"/>
                <w:left w:val="nil"/>
                <w:bottom w:val="nil"/>
                <w:right w:val="nil"/>
                <w:between w:val="nil"/>
              </w:pBd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Decreto 1610 de 2013 </w:t>
            </w:r>
          </w:p>
        </w:tc>
        <w:tc>
          <w:tcPr>
            <w:tcW w:w="4425" w:type="dxa"/>
            <w:shd w:val="clear" w:color="auto" w:fill="auto"/>
            <w:tcMar>
              <w:top w:w="100" w:type="dxa"/>
              <w:left w:w="100" w:type="dxa"/>
              <w:bottom w:w="100" w:type="dxa"/>
              <w:right w:w="100" w:type="dxa"/>
            </w:tcMar>
          </w:tcPr>
          <w:p w:rsidR="00E90573" w:rsidRDefault="00D17DEC">
            <w:pPr>
              <w:widowControl w:val="0"/>
              <w:pBdr>
                <w:top w:val="nil"/>
                <w:left w:val="nil"/>
                <w:bottom w:val="nil"/>
                <w:right w:val="nil"/>
                <w:between w:val="nil"/>
              </w:pBd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Límites para fijar vigencias futuras.</w:t>
            </w:r>
          </w:p>
        </w:tc>
        <w:tc>
          <w:tcPr>
            <w:tcW w:w="3360" w:type="dxa"/>
            <w:shd w:val="clear" w:color="auto" w:fill="auto"/>
            <w:tcMar>
              <w:top w:w="100" w:type="dxa"/>
              <w:left w:w="100" w:type="dxa"/>
              <w:bottom w:w="100" w:type="dxa"/>
              <w:right w:w="100" w:type="dxa"/>
            </w:tcMar>
          </w:tcPr>
          <w:p w:rsidR="00E90573" w:rsidRDefault="00D17DEC">
            <w:pPr>
              <w:widowControl w:val="0"/>
              <w:pBdr>
                <w:top w:val="nil"/>
                <w:left w:val="nil"/>
                <w:bottom w:val="nil"/>
                <w:right w:val="nil"/>
                <w:between w:val="nil"/>
              </w:pBd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Reglamenta el artículo 26 de la Ley 1508 de 2012.</w:t>
            </w:r>
          </w:p>
        </w:tc>
      </w:tr>
      <w:tr w:rsidR="00E90573">
        <w:tc>
          <w:tcPr>
            <w:tcW w:w="2295" w:type="dxa"/>
            <w:shd w:val="clear" w:color="auto" w:fill="auto"/>
            <w:tcMar>
              <w:top w:w="100" w:type="dxa"/>
              <w:left w:w="100" w:type="dxa"/>
              <w:bottom w:w="100" w:type="dxa"/>
              <w:right w:w="100" w:type="dxa"/>
            </w:tcMar>
          </w:tcPr>
          <w:p w:rsidR="00E90573" w:rsidRDefault="00D17DEC">
            <w:pPr>
              <w:widowControl w:val="0"/>
              <w:pBdr>
                <w:top w:val="nil"/>
                <w:left w:val="nil"/>
                <w:bottom w:val="nil"/>
                <w:right w:val="nil"/>
                <w:between w:val="nil"/>
              </w:pBd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Ley 1682 de 2013</w:t>
            </w:r>
          </w:p>
        </w:tc>
        <w:tc>
          <w:tcPr>
            <w:tcW w:w="4425" w:type="dxa"/>
            <w:shd w:val="clear" w:color="auto" w:fill="auto"/>
            <w:tcMar>
              <w:top w:w="100" w:type="dxa"/>
              <w:left w:w="100" w:type="dxa"/>
              <w:bottom w:w="100" w:type="dxa"/>
              <w:right w:w="100" w:type="dxa"/>
            </w:tcMar>
          </w:tcPr>
          <w:p w:rsidR="00E90573" w:rsidRDefault="00D17DEC">
            <w:pPr>
              <w:widowControl w:val="0"/>
              <w:pBdr>
                <w:top w:val="nil"/>
                <w:left w:val="nil"/>
                <w:bottom w:val="nil"/>
                <w:right w:val="nil"/>
                <w:between w:val="nil"/>
              </w:pBd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Artículo 65 registro en el SECOP de APP de infraestructura de transporte. </w:t>
            </w:r>
          </w:p>
        </w:tc>
        <w:tc>
          <w:tcPr>
            <w:tcW w:w="3360" w:type="dxa"/>
            <w:shd w:val="clear" w:color="auto" w:fill="auto"/>
            <w:tcMar>
              <w:top w:w="100" w:type="dxa"/>
              <w:left w:w="100" w:type="dxa"/>
              <w:bottom w:w="100" w:type="dxa"/>
              <w:right w:w="100" w:type="dxa"/>
            </w:tcMar>
          </w:tcPr>
          <w:p w:rsidR="00E90573" w:rsidRDefault="00D17DEC">
            <w:pPr>
              <w:widowControl w:val="0"/>
              <w:pBdr>
                <w:top w:val="nil"/>
                <w:left w:val="nil"/>
                <w:bottom w:val="nil"/>
                <w:right w:val="nil"/>
                <w:between w:val="nil"/>
              </w:pBd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Por la cual se adoptan medidas y disposiciones para los proyectos de infraestructura de transporte y se conceden facultades extraordinarias </w:t>
            </w:r>
          </w:p>
        </w:tc>
      </w:tr>
      <w:tr w:rsidR="00E90573">
        <w:tc>
          <w:tcPr>
            <w:tcW w:w="2295" w:type="dxa"/>
            <w:shd w:val="clear" w:color="auto" w:fill="auto"/>
            <w:tcMar>
              <w:top w:w="100" w:type="dxa"/>
              <w:left w:w="100" w:type="dxa"/>
              <w:bottom w:w="100" w:type="dxa"/>
              <w:right w:w="100" w:type="dxa"/>
            </w:tcMar>
          </w:tcPr>
          <w:p w:rsidR="00E90573" w:rsidRDefault="00D17DEC">
            <w:pPr>
              <w:widowControl w:val="0"/>
              <w:pBdr>
                <w:top w:val="nil"/>
                <w:left w:val="nil"/>
                <w:bottom w:val="nil"/>
                <w:right w:val="nil"/>
                <w:between w:val="nil"/>
              </w:pBd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Decreto 100 de 2013 </w:t>
            </w:r>
          </w:p>
        </w:tc>
        <w:tc>
          <w:tcPr>
            <w:tcW w:w="4425" w:type="dxa"/>
            <w:shd w:val="clear" w:color="auto" w:fill="auto"/>
            <w:tcMar>
              <w:top w:w="100" w:type="dxa"/>
              <w:left w:w="100" w:type="dxa"/>
              <w:bottom w:w="100" w:type="dxa"/>
              <w:right w:w="100" w:type="dxa"/>
            </w:tcMar>
          </w:tcPr>
          <w:p w:rsidR="00E90573" w:rsidRDefault="00D17DEC">
            <w:pPr>
              <w:widowControl w:val="0"/>
              <w:pBdr>
                <w:top w:val="nil"/>
                <w:left w:val="nil"/>
                <w:bottom w:val="nil"/>
                <w:right w:val="nil"/>
                <w:between w:val="nil"/>
              </w:pBd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Conformaciones listas de precalificados </w:t>
            </w:r>
          </w:p>
        </w:tc>
        <w:tc>
          <w:tcPr>
            <w:tcW w:w="3360" w:type="dxa"/>
            <w:shd w:val="clear" w:color="auto" w:fill="auto"/>
            <w:tcMar>
              <w:top w:w="100" w:type="dxa"/>
              <w:left w:w="100" w:type="dxa"/>
              <w:bottom w:w="100" w:type="dxa"/>
              <w:right w:w="100" w:type="dxa"/>
            </w:tcMar>
          </w:tcPr>
          <w:p w:rsidR="00E90573" w:rsidRDefault="00D17DEC">
            <w:pPr>
              <w:widowControl w:val="0"/>
              <w:pBdr>
                <w:top w:val="nil"/>
                <w:left w:val="nil"/>
                <w:bottom w:val="nil"/>
                <w:right w:val="nil"/>
                <w:between w:val="nil"/>
              </w:pBd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s Por el cual se modifica el Decreto número 1467 de 2012. </w:t>
            </w:r>
          </w:p>
        </w:tc>
      </w:tr>
      <w:tr w:rsidR="00E90573">
        <w:tc>
          <w:tcPr>
            <w:tcW w:w="2295" w:type="dxa"/>
            <w:shd w:val="clear" w:color="auto" w:fill="auto"/>
            <w:tcMar>
              <w:top w:w="100" w:type="dxa"/>
              <w:left w:w="100" w:type="dxa"/>
              <w:bottom w:w="100" w:type="dxa"/>
              <w:right w:w="100" w:type="dxa"/>
            </w:tcMar>
          </w:tcPr>
          <w:p w:rsidR="00E90573" w:rsidRDefault="00D17DEC">
            <w:pPr>
              <w:widowControl w:val="0"/>
              <w:pBdr>
                <w:top w:val="nil"/>
                <w:left w:val="nil"/>
                <w:bottom w:val="nil"/>
                <w:right w:val="nil"/>
                <w:between w:val="nil"/>
              </w:pBd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lastRenderedPageBreak/>
              <w:t xml:space="preserve">Decreto 1510 de 2013 </w:t>
            </w:r>
          </w:p>
        </w:tc>
        <w:tc>
          <w:tcPr>
            <w:tcW w:w="4425" w:type="dxa"/>
            <w:shd w:val="clear" w:color="auto" w:fill="auto"/>
            <w:tcMar>
              <w:top w:w="100" w:type="dxa"/>
              <w:left w:w="100" w:type="dxa"/>
              <w:bottom w:w="100" w:type="dxa"/>
              <w:right w:w="100" w:type="dxa"/>
            </w:tcMar>
          </w:tcPr>
          <w:p w:rsidR="00E90573" w:rsidRDefault="00D17DEC">
            <w:pPr>
              <w:widowControl w:val="0"/>
              <w:pBdr>
                <w:top w:val="nil"/>
                <w:left w:val="nil"/>
                <w:bottom w:val="nil"/>
                <w:right w:val="nil"/>
                <w:between w:val="nil"/>
              </w:pBd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Artículo 112 Garantías Independientes en cada Unidad Funcional de AP</w:t>
            </w:r>
          </w:p>
        </w:tc>
        <w:tc>
          <w:tcPr>
            <w:tcW w:w="3360" w:type="dxa"/>
            <w:shd w:val="clear" w:color="auto" w:fill="auto"/>
            <w:tcMar>
              <w:top w:w="100" w:type="dxa"/>
              <w:left w:w="100" w:type="dxa"/>
              <w:bottom w:w="100" w:type="dxa"/>
              <w:right w:w="100" w:type="dxa"/>
            </w:tcMar>
          </w:tcPr>
          <w:p w:rsidR="00E90573" w:rsidRDefault="00D17DEC">
            <w:pPr>
              <w:widowControl w:val="0"/>
              <w:pBdr>
                <w:top w:val="nil"/>
                <w:left w:val="nil"/>
                <w:bottom w:val="nil"/>
                <w:right w:val="nil"/>
                <w:between w:val="nil"/>
              </w:pBd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Por el cual se reglamenta el sistema de compras y contratación pública. </w:t>
            </w:r>
          </w:p>
        </w:tc>
      </w:tr>
      <w:tr w:rsidR="00E90573">
        <w:tc>
          <w:tcPr>
            <w:tcW w:w="2295" w:type="dxa"/>
            <w:shd w:val="clear" w:color="auto" w:fill="auto"/>
            <w:tcMar>
              <w:top w:w="100" w:type="dxa"/>
              <w:left w:w="100" w:type="dxa"/>
              <w:bottom w:w="100" w:type="dxa"/>
              <w:right w:w="100" w:type="dxa"/>
            </w:tcMar>
          </w:tcPr>
          <w:p w:rsidR="00E90573" w:rsidRDefault="00D17DEC">
            <w:pPr>
              <w:widowControl w:val="0"/>
              <w:pBdr>
                <w:top w:val="nil"/>
                <w:left w:val="nil"/>
                <w:bottom w:val="nil"/>
                <w:right w:val="nil"/>
                <w:between w:val="nil"/>
              </w:pBd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Documento Conpes 3760 de 2013 </w:t>
            </w:r>
          </w:p>
        </w:tc>
        <w:tc>
          <w:tcPr>
            <w:tcW w:w="4425" w:type="dxa"/>
            <w:shd w:val="clear" w:color="auto" w:fill="auto"/>
            <w:tcMar>
              <w:top w:w="100" w:type="dxa"/>
              <w:left w:w="100" w:type="dxa"/>
              <w:bottom w:w="100" w:type="dxa"/>
              <w:right w:w="100" w:type="dxa"/>
            </w:tcMar>
          </w:tcPr>
          <w:p w:rsidR="00E90573" w:rsidRDefault="00D17DEC">
            <w:pPr>
              <w:widowControl w:val="0"/>
              <w:pBdr>
                <w:top w:val="nil"/>
                <w:left w:val="nil"/>
                <w:bottom w:val="nil"/>
                <w:right w:val="nil"/>
                <w:between w:val="nil"/>
              </w:pBd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Proyectos viales bajo el esquema de asociaciones público privadas: cuarta generación de concesiones viales.</w:t>
            </w:r>
          </w:p>
        </w:tc>
        <w:tc>
          <w:tcPr>
            <w:tcW w:w="3360" w:type="dxa"/>
            <w:shd w:val="clear" w:color="auto" w:fill="auto"/>
            <w:tcMar>
              <w:top w:w="100" w:type="dxa"/>
              <w:left w:w="100" w:type="dxa"/>
              <w:bottom w:w="100" w:type="dxa"/>
              <w:right w:w="100" w:type="dxa"/>
            </w:tcMar>
          </w:tcPr>
          <w:p w:rsidR="00E90573" w:rsidRDefault="00D17DEC">
            <w:pPr>
              <w:widowControl w:val="0"/>
              <w:pBdr>
                <w:top w:val="nil"/>
                <w:left w:val="nil"/>
                <w:bottom w:val="nil"/>
                <w:right w:val="nil"/>
                <w:between w:val="nil"/>
              </w:pBd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Este documento presenta los lineamientos de política del programa de cuarta generación y programa para el desarrollo de concesiones de autopistas 2006 – 2014.</w:t>
            </w:r>
          </w:p>
        </w:tc>
      </w:tr>
      <w:tr w:rsidR="00E90573">
        <w:tc>
          <w:tcPr>
            <w:tcW w:w="2295" w:type="dxa"/>
            <w:shd w:val="clear" w:color="auto" w:fill="auto"/>
            <w:tcMar>
              <w:top w:w="100" w:type="dxa"/>
              <w:left w:w="100" w:type="dxa"/>
              <w:bottom w:w="100" w:type="dxa"/>
              <w:right w:w="100" w:type="dxa"/>
            </w:tcMar>
          </w:tcPr>
          <w:p w:rsidR="00E90573" w:rsidRDefault="00D17DEC">
            <w:pPr>
              <w:widowControl w:val="0"/>
              <w:pBdr>
                <w:top w:val="nil"/>
                <w:left w:val="nil"/>
                <w:bottom w:val="nil"/>
                <w:right w:val="nil"/>
                <w:between w:val="nil"/>
              </w:pBd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Decreto 2043 de 2014</w:t>
            </w:r>
          </w:p>
        </w:tc>
        <w:tc>
          <w:tcPr>
            <w:tcW w:w="4425" w:type="dxa"/>
            <w:shd w:val="clear" w:color="auto" w:fill="auto"/>
            <w:tcMar>
              <w:top w:w="100" w:type="dxa"/>
              <w:left w:w="100" w:type="dxa"/>
              <w:bottom w:w="100" w:type="dxa"/>
              <w:right w:w="100" w:type="dxa"/>
            </w:tcMar>
          </w:tcPr>
          <w:p w:rsidR="00E90573" w:rsidRDefault="00D17DEC">
            <w:pPr>
              <w:widowControl w:val="0"/>
              <w:pBdr>
                <w:top w:val="nil"/>
                <w:left w:val="nil"/>
                <w:bottom w:val="nil"/>
                <w:right w:val="nil"/>
                <w:between w:val="nil"/>
              </w:pBd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Se refiere a contribuciones, conformación de listas de precalificado, valoración de obligaciones contingentes. </w:t>
            </w:r>
          </w:p>
        </w:tc>
        <w:tc>
          <w:tcPr>
            <w:tcW w:w="3360" w:type="dxa"/>
            <w:shd w:val="clear" w:color="auto" w:fill="auto"/>
            <w:tcMar>
              <w:top w:w="100" w:type="dxa"/>
              <w:left w:w="100" w:type="dxa"/>
              <w:bottom w:w="100" w:type="dxa"/>
              <w:right w:w="100" w:type="dxa"/>
            </w:tcMar>
          </w:tcPr>
          <w:p w:rsidR="00E90573" w:rsidRDefault="00D17DEC">
            <w:pPr>
              <w:widowControl w:val="0"/>
              <w:pBdr>
                <w:top w:val="nil"/>
                <w:left w:val="nil"/>
                <w:bottom w:val="nil"/>
                <w:right w:val="nil"/>
                <w:between w:val="nil"/>
              </w:pBd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Por el cual se modifica el Decreto 1467 de 2012, reglamentario de la Ley 1508 de 2012. </w:t>
            </w:r>
          </w:p>
        </w:tc>
      </w:tr>
      <w:tr w:rsidR="00E90573">
        <w:tc>
          <w:tcPr>
            <w:tcW w:w="2295" w:type="dxa"/>
            <w:shd w:val="clear" w:color="auto" w:fill="auto"/>
            <w:tcMar>
              <w:top w:w="100" w:type="dxa"/>
              <w:left w:w="100" w:type="dxa"/>
              <w:bottom w:w="100" w:type="dxa"/>
              <w:right w:w="100" w:type="dxa"/>
            </w:tcMar>
          </w:tcPr>
          <w:p w:rsidR="00E90573" w:rsidRDefault="00D17DEC">
            <w:pPr>
              <w:widowControl w:val="0"/>
              <w:pBdr>
                <w:top w:val="nil"/>
                <w:left w:val="nil"/>
                <w:bottom w:val="nil"/>
                <w:right w:val="nil"/>
                <w:between w:val="nil"/>
              </w:pBd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Decreto 1026 de 2014</w:t>
            </w:r>
          </w:p>
        </w:tc>
        <w:tc>
          <w:tcPr>
            <w:tcW w:w="4425" w:type="dxa"/>
            <w:shd w:val="clear" w:color="auto" w:fill="auto"/>
            <w:tcMar>
              <w:top w:w="100" w:type="dxa"/>
              <w:left w:w="100" w:type="dxa"/>
              <w:bottom w:w="100" w:type="dxa"/>
              <w:right w:w="100" w:type="dxa"/>
            </w:tcMar>
          </w:tcPr>
          <w:p w:rsidR="00E90573" w:rsidRDefault="00D17DEC">
            <w:pPr>
              <w:widowControl w:val="0"/>
              <w:pBdr>
                <w:top w:val="nil"/>
                <w:left w:val="nil"/>
                <w:bottom w:val="nil"/>
                <w:right w:val="nil"/>
                <w:between w:val="nil"/>
              </w:pBd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El gobierno nacional reglamenta las formas que podrán establecer los proyectos de APPs, unidad de funcionamientos de Tramos de túnel en los cuales habrá disponibilidad parcial. </w:t>
            </w:r>
          </w:p>
        </w:tc>
        <w:tc>
          <w:tcPr>
            <w:tcW w:w="3360" w:type="dxa"/>
            <w:shd w:val="clear" w:color="auto" w:fill="auto"/>
            <w:tcMar>
              <w:top w:w="100" w:type="dxa"/>
              <w:left w:w="100" w:type="dxa"/>
              <w:bottom w:w="100" w:type="dxa"/>
              <w:right w:w="100" w:type="dxa"/>
            </w:tcMar>
          </w:tcPr>
          <w:p w:rsidR="00E90573" w:rsidRDefault="00D17DEC">
            <w:pPr>
              <w:widowControl w:val="0"/>
              <w:pBdr>
                <w:top w:val="nil"/>
                <w:left w:val="nil"/>
                <w:bottom w:val="nil"/>
                <w:right w:val="nil"/>
                <w:between w:val="nil"/>
              </w:pBd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Por el cual se reglamenta la forma en que podrán establecerse en proyectos de Asociación Público Privada, Unidades Funcionales de Tramos de Túneles, de conformidad con lo establecido en el artículo 71 de la Ley 1682 de 2013" </w:t>
            </w:r>
          </w:p>
        </w:tc>
      </w:tr>
      <w:tr w:rsidR="00E90573">
        <w:tc>
          <w:tcPr>
            <w:tcW w:w="2295" w:type="dxa"/>
            <w:shd w:val="clear" w:color="auto" w:fill="auto"/>
            <w:tcMar>
              <w:top w:w="100" w:type="dxa"/>
              <w:left w:w="100" w:type="dxa"/>
              <w:bottom w:w="100" w:type="dxa"/>
              <w:right w:w="100" w:type="dxa"/>
            </w:tcMar>
          </w:tcPr>
          <w:p w:rsidR="00E90573" w:rsidRDefault="00D17DEC">
            <w:pPr>
              <w:widowControl w:val="0"/>
              <w:pBdr>
                <w:top w:val="nil"/>
                <w:left w:val="nil"/>
                <w:bottom w:val="nil"/>
                <w:right w:val="nil"/>
                <w:between w:val="nil"/>
              </w:pBd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Decreto 1553 de 2014</w:t>
            </w:r>
          </w:p>
        </w:tc>
        <w:tc>
          <w:tcPr>
            <w:tcW w:w="4425" w:type="dxa"/>
            <w:shd w:val="clear" w:color="auto" w:fill="auto"/>
            <w:tcMar>
              <w:top w:w="100" w:type="dxa"/>
              <w:left w:w="100" w:type="dxa"/>
              <w:bottom w:w="100" w:type="dxa"/>
              <w:right w:w="100" w:type="dxa"/>
            </w:tcMar>
          </w:tcPr>
          <w:p w:rsidR="00E90573" w:rsidRDefault="00D17DEC">
            <w:pPr>
              <w:widowControl w:val="0"/>
              <w:pBdr>
                <w:top w:val="nil"/>
                <w:left w:val="nil"/>
                <w:bottom w:val="nil"/>
                <w:right w:val="nil"/>
                <w:between w:val="nil"/>
              </w:pBd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Derecho a retribuciones en proyectos APP, Sistemas de precalificación. </w:t>
            </w:r>
          </w:p>
        </w:tc>
        <w:tc>
          <w:tcPr>
            <w:tcW w:w="3360" w:type="dxa"/>
            <w:shd w:val="clear" w:color="auto" w:fill="auto"/>
            <w:tcMar>
              <w:top w:w="100" w:type="dxa"/>
              <w:left w:w="100" w:type="dxa"/>
              <w:bottom w:w="100" w:type="dxa"/>
              <w:right w:w="100" w:type="dxa"/>
            </w:tcMar>
          </w:tcPr>
          <w:p w:rsidR="00E90573" w:rsidRDefault="00D17DEC">
            <w:pPr>
              <w:widowControl w:val="0"/>
              <w:pBdr>
                <w:top w:val="nil"/>
                <w:left w:val="nil"/>
                <w:bottom w:val="nil"/>
                <w:right w:val="nil"/>
                <w:between w:val="nil"/>
              </w:pBd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Por medio del cual se modifica el Decreto 1467 de 2012“una vez puesta en </w:t>
            </w:r>
          </w:p>
          <w:p w:rsidR="00E90573" w:rsidRDefault="00D17DEC">
            <w:pPr>
              <w:widowControl w:val="0"/>
              <w:pBdr>
                <w:top w:val="nil"/>
                <w:left w:val="nil"/>
                <w:bottom w:val="nil"/>
                <w:right w:val="nil"/>
                <w:between w:val="nil"/>
              </w:pBd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marcha las APPs, reglamentadas por el decreto 1476 de 2012 es necesario incorporar nuevos ajustes". </w:t>
            </w:r>
          </w:p>
        </w:tc>
      </w:tr>
      <w:tr w:rsidR="00E90573">
        <w:tc>
          <w:tcPr>
            <w:tcW w:w="2295" w:type="dxa"/>
            <w:shd w:val="clear" w:color="auto" w:fill="auto"/>
            <w:tcMar>
              <w:top w:w="100" w:type="dxa"/>
              <w:left w:w="100" w:type="dxa"/>
              <w:bottom w:w="100" w:type="dxa"/>
              <w:right w:w="100" w:type="dxa"/>
            </w:tcMar>
          </w:tcPr>
          <w:p w:rsidR="00E90573" w:rsidRDefault="00D17DEC">
            <w:pPr>
              <w:widowControl w:val="0"/>
              <w:pBdr>
                <w:top w:val="nil"/>
                <w:left w:val="nil"/>
                <w:bottom w:val="nil"/>
                <w:right w:val="nil"/>
                <w:between w:val="nil"/>
              </w:pBd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Decreto 0301 de 2014</w:t>
            </w:r>
          </w:p>
        </w:tc>
        <w:tc>
          <w:tcPr>
            <w:tcW w:w="4425" w:type="dxa"/>
            <w:shd w:val="clear" w:color="auto" w:fill="auto"/>
            <w:tcMar>
              <w:top w:w="100" w:type="dxa"/>
              <w:left w:w="100" w:type="dxa"/>
              <w:bottom w:w="100" w:type="dxa"/>
              <w:right w:w="100" w:type="dxa"/>
            </w:tcMar>
          </w:tcPr>
          <w:p w:rsidR="00E90573" w:rsidRDefault="00D17DEC">
            <w:pPr>
              <w:widowControl w:val="0"/>
              <w:pBdr>
                <w:top w:val="nil"/>
                <w:left w:val="nil"/>
                <w:bottom w:val="nil"/>
                <w:right w:val="nil"/>
                <w:between w:val="nil"/>
              </w:pBd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Derecho a retribuciones en proyectos APP, desembolso de recursos públicos.</w:t>
            </w:r>
          </w:p>
        </w:tc>
        <w:tc>
          <w:tcPr>
            <w:tcW w:w="3360" w:type="dxa"/>
            <w:shd w:val="clear" w:color="auto" w:fill="auto"/>
            <w:tcMar>
              <w:top w:w="100" w:type="dxa"/>
              <w:left w:w="100" w:type="dxa"/>
              <w:bottom w:w="100" w:type="dxa"/>
              <w:right w:w="100" w:type="dxa"/>
            </w:tcMar>
          </w:tcPr>
          <w:p w:rsidR="00E90573" w:rsidRDefault="00D17DEC">
            <w:pPr>
              <w:widowControl w:val="0"/>
              <w:pBdr>
                <w:top w:val="nil"/>
                <w:left w:val="nil"/>
                <w:bottom w:val="nil"/>
                <w:right w:val="nil"/>
                <w:between w:val="nil"/>
              </w:pBd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Por el cual se modifica el Decreto número 1467 de 2012 </w:t>
            </w:r>
          </w:p>
        </w:tc>
      </w:tr>
      <w:tr w:rsidR="00E90573">
        <w:tc>
          <w:tcPr>
            <w:tcW w:w="2295" w:type="dxa"/>
            <w:shd w:val="clear" w:color="auto" w:fill="auto"/>
            <w:tcMar>
              <w:top w:w="100" w:type="dxa"/>
              <w:left w:w="100" w:type="dxa"/>
              <w:bottom w:w="100" w:type="dxa"/>
              <w:right w:w="100" w:type="dxa"/>
            </w:tcMar>
          </w:tcPr>
          <w:p w:rsidR="00E90573" w:rsidRDefault="00D17DEC">
            <w:pPr>
              <w:widowControl w:val="0"/>
              <w:pBdr>
                <w:top w:val="nil"/>
                <w:left w:val="nil"/>
                <w:bottom w:val="nil"/>
                <w:right w:val="nil"/>
                <w:between w:val="nil"/>
              </w:pBd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Decreto 063 de 2015 </w:t>
            </w:r>
          </w:p>
        </w:tc>
        <w:tc>
          <w:tcPr>
            <w:tcW w:w="4425" w:type="dxa"/>
            <w:shd w:val="clear" w:color="auto" w:fill="auto"/>
            <w:tcMar>
              <w:top w:w="100" w:type="dxa"/>
              <w:left w:w="100" w:type="dxa"/>
              <w:bottom w:w="100" w:type="dxa"/>
              <w:right w:w="100" w:type="dxa"/>
            </w:tcMar>
          </w:tcPr>
          <w:p w:rsidR="00E90573" w:rsidRDefault="00D17DEC">
            <w:pPr>
              <w:widowControl w:val="0"/>
              <w:pBdr>
                <w:top w:val="nil"/>
                <w:left w:val="nil"/>
                <w:bottom w:val="nil"/>
                <w:right w:val="nil"/>
                <w:between w:val="nil"/>
              </w:pBd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Requisitos en procesos de selección de proyectos de APP del sector de agua potable, retribuciones, niveles de servicios. </w:t>
            </w:r>
          </w:p>
        </w:tc>
        <w:tc>
          <w:tcPr>
            <w:tcW w:w="3360" w:type="dxa"/>
            <w:shd w:val="clear" w:color="auto" w:fill="auto"/>
            <w:tcMar>
              <w:top w:w="100" w:type="dxa"/>
              <w:left w:w="100" w:type="dxa"/>
              <w:bottom w:w="100" w:type="dxa"/>
              <w:right w:w="100" w:type="dxa"/>
            </w:tcMar>
          </w:tcPr>
          <w:p w:rsidR="00E90573" w:rsidRDefault="00D17DEC">
            <w:pPr>
              <w:widowControl w:val="0"/>
              <w:pBdr>
                <w:top w:val="nil"/>
                <w:left w:val="nil"/>
                <w:bottom w:val="nil"/>
                <w:right w:val="nil"/>
                <w:between w:val="nil"/>
              </w:pBd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Por el cual se reglamentan las particularidades para la implementación de Asociaciones Público Privadas en el sector de Agua Potable y Saneamiento Básico </w:t>
            </w:r>
          </w:p>
        </w:tc>
      </w:tr>
      <w:tr w:rsidR="00E90573">
        <w:tc>
          <w:tcPr>
            <w:tcW w:w="2295" w:type="dxa"/>
            <w:shd w:val="clear" w:color="auto" w:fill="auto"/>
            <w:tcMar>
              <w:top w:w="100" w:type="dxa"/>
              <w:left w:w="100" w:type="dxa"/>
              <w:bottom w:w="100" w:type="dxa"/>
              <w:right w:w="100" w:type="dxa"/>
            </w:tcMar>
          </w:tcPr>
          <w:p w:rsidR="00E90573" w:rsidRDefault="00D17DEC">
            <w:pPr>
              <w:widowControl w:val="0"/>
              <w:pBdr>
                <w:top w:val="nil"/>
                <w:left w:val="nil"/>
                <w:bottom w:val="nil"/>
                <w:right w:val="nil"/>
                <w:between w:val="nil"/>
              </w:pBd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Decreto 1082 de 2015</w:t>
            </w:r>
          </w:p>
        </w:tc>
        <w:tc>
          <w:tcPr>
            <w:tcW w:w="4425" w:type="dxa"/>
            <w:shd w:val="clear" w:color="auto" w:fill="auto"/>
            <w:tcMar>
              <w:top w:w="100" w:type="dxa"/>
              <w:left w:w="100" w:type="dxa"/>
              <w:bottom w:w="100" w:type="dxa"/>
              <w:right w:w="100" w:type="dxa"/>
            </w:tcMar>
          </w:tcPr>
          <w:p w:rsidR="00E90573" w:rsidRDefault="00D17DEC">
            <w:pPr>
              <w:widowControl w:val="0"/>
              <w:pBdr>
                <w:top w:val="nil"/>
                <w:left w:val="nil"/>
                <w:bottom w:val="nil"/>
                <w:right w:val="nil"/>
                <w:between w:val="nil"/>
              </w:pBd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Define Indicadores de gestión, estándar de calidad, nivel de servicio, específico, medibles, oportunos, pertinentes, viables, unidad funcional, Fondos públicos.  </w:t>
            </w:r>
          </w:p>
        </w:tc>
        <w:tc>
          <w:tcPr>
            <w:tcW w:w="3360" w:type="dxa"/>
            <w:shd w:val="clear" w:color="auto" w:fill="auto"/>
            <w:tcMar>
              <w:top w:w="100" w:type="dxa"/>
              <w:left w:w="100" w:type="dxa"/>
              <w:bottom w:w="100" w:type="dxa"/>
              <w:right w:w="100" w:type="dxa"/>
            </w:tcMar>
          </w:tcPr>
          <w:p w:rsidR="00E90573" w:rsidRDefault="00D17DEC">
            <w:pPr>
              <w:widowControl w:val="0"/>
              <w:pBdr>
                <w:top w:val="nil"/>
                <w:left w:val="nil"/>
                <w:bottom w:val="nil"/>
                <w:right w:val="nil"/>
                <w:between w:val="nil"/>
              </w:pBd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Por medio del cual se expide el decreto único reglamentario del sector administrativo de Planeación Nacional. </w:t>
            </w:r>
          </w:p>
        </w:tc>
      </w:tr>
      <w:tr w:rsidR="00E90573">
        <w:tc>
          <w:tcPr>
            <w:tcW w:w="2295" w:type="dxa"/>
            <w:shd w:val="clear" w:color="auto" w:fill="auto"/>
            <w:tcMar>
              <w:top w:w="100" w:type="dxa"/>
              <w:left w:w="100" w:type="dxa"/>
              <w:bottom w:w="100" w:type="dxa"/>
              <w:right w:w="100" w:type="dxa"/>
            </w:tcMar>
          </w:tcPr>
          <w:p w:rsidR="00E90573" w:rsidRDefault="00D17DEC">
            <w:pPr>
              <w:widowControl w:val="0"/>
              <w:pBdr>
                <w:top w:val="nil"/>
                <w:left w:val="nil"/>
                <w:bottom w:val="nil"/>
                <w:right w:val="nil"/>
                <w:between w:val="nil"/>
              </w:pBd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Ley 1753 de 2015 </w:t>
            </w:r>
          </w:p>
        </w:tc>
        <w:tc>
          <w:tcPr>
            <w:tcW w:w="4425" w:type="dxa"/>
            <w:shd w:val="clear" w:color="auto" w:fill="auto"/>
            <w:tcMar>
              <w:top w:w="100" w:type="dxa"/>
              <w:left w:w="100" w:type="dxa"/>
              <w:bottom w:w="100" w:type="dxa"/>
              <w:right w:w="100" w:type="dxa"/>
            </w:tcMar>
          </w:tcPr>
          <w:p w:rsidR="00E90573" w:rsidRDefault="00D17DEC">
            <w:pPr>
              <w:widowControl w:val="0"/>
              <w:pBdr>
                <w:top w:val="nil"/>
                <w:left w:val="nil"/>
                <w:bottom w:val="nil"/>
                <w:right w:val="nil"/>
                <w:between w:val="nil"/>
              </w:pBd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Construir una Colombia en paz, equitativa y educada, en armonía con los propósitos del Gobierno nacional. Mejores prácticas y estándares </w:t>
            </w:r>
            <w:r>
              <w:rPr>
                <w:rFonts w:ascii="Helvetica Neue" w:eastAsia="Helvetica Neue" w:hAnsi="Helvetica Neue" w:cs="Helvetica Neue"/>
                <w:sz w:val="24"/>
                <w:szCs w:val="24"/>
              </w:rPr>
              <w:lastRenderedPageBreak/>
              <w:t xml:space="preserve">internacionales. Organizar un modelo de planificación, de largo plazo y un desarrollo sostenible. </w:t>
            </w:r>
          </w:p>
        </w:tc>
        <w:tc>
          <w:tcPr>
            <w:tcW w:w="3360" w:type="dxa"/>
            <w:shd w:val="clear" w:color="auto" w:fill="auto"/>
            <w:tcMar>
              <w:top w:w="100" w:type="dxa"/>
              <w:left w:w="100" w:type="dxa"/>
              <w:bottom w:w="100" w:type="dxa"/>
              <w:right w:w="100" w:type="dxa"/>
            </w:tcMar>
          </w:tcPr>
          <w:p w:rsidR="00E90573" w:rsidRDefault="00D17DEC">
            <w:pPr>
              <w:widowControl w:val="0"/>
              <w:pBdr>
                <w:top w:val="nil"/>
                <w:left w:val="nil"/>
                <w:bottom w:val="nil"/>
                <w:right w:val="nil"/>
                <w:between w:val="nil"/>
              </w:pBd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lastRenderedPageBreak/>
              <w:t xml:space="preserve">Por la cual se expide el Plan Nacional de Desarrollo 2014-2018 "Todos por un nuevo país" </w:t>
            </w:r>
          </w:p>
        </w:tc>
      </w:tr>
      <w:tr w:rsidR="00E90573">
        <w:tc>
          <w:tcPr>
            <w:tcW w:w="2295" w:type="dxa"/>
            <w:shd w:val="clear" w:color="auto" w:fill="auto"/>
            <w:tcMar>
              <w:top w:w="100" w:type="dxa"/>
              <w:left w:w="100" w:type="dxa"/>
              <w:bottom w:w="100" w:type="dxa"/>
              <w:right w:w="100" w:type="dxa"/>
            </w:tcMar>
          </w:tcPr>
          <w:p w:rsidR="00E90573" w:rsidRDefault="00D17DEC">
            <w:pPr>
              <w:widowControl w:val="0"/>
              <w:pBdr>
                <w:top w:val="nil"/>
                <w:left w:val="nil"/>
                <w:bottom w:val="nil"/>
                <w:right w:val="nil"/>
                <w:between w:val="nil"/>
              </w:pBd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Resolución 1464 de 2016</w:t>
            </w:r>
          </w:p>
        </w:tc>
        <w:tc>
          <w:tcPr>
            <w:tcW w:w="4425" w:type="dxa"/>
            <w:shd w:val="clear" w:color="auto" w:fill="auto"/>
            <w:tcMar>
              <w:top w:w="100" w:type="dxa"/>
              <w:left w:w="100" w:type="dxa"/>
              <w:bottom w:w="100" w:type="dxa"/>
              <w:right w:w="100" w:type="dxa"/>
            </w:tcMar>
          </w:tcPr>
          <w:p w:rsidR="00E90573" w:rsidRDefault="00D17DEC">
            <w:pPr>
              <w:widowControl w:val="0"/>
              <w:pBdr>
                <w:top w:val="nil"/>
                <w:left w:val="nil"/>
                <w:bottom w:val="nil"/>
                <w:right w:val="nil"/>
                <w:between w:val="nil"/>
              </w:pBd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Ajusta procedimientos para evaluar y priorizar los proyectos de Asociación Pública Privada. </w:t>
            </w:r>
          </w:p>
        </w:tc>
        <w:tc>
          <w:tcPr>
            <w:tcW w:w="3360" w:type="dxa"/>
            <w:shd w:val="clear" w:color="auto" w:fill="auto"/>
            <w:tcMar>
              <w:top w:w="100" w:type="dxa"/>
              <w:left w:w="100" w:type="dxa"/>
              <w:bottom w:w="100" w:type="dxa"/>
              <w:right w:w="100" w:type="dxa"/>
            </w:tcMar>
          </w:tcPr>
          <w:p w:rsidR="00E90573" w:rsidRDefault="00D17DEC">
            <w:pPr>
              <w:widowControl w:val="0"/>
              <w:pBdr>
                <w:top w:val="nil"/>
                <w:left w:val="nil"/>
                <w:bottom w:val="nil"/>
                <w:right w:val="nil"/>
                <w:between w:val="nil"/>
              </w:pBd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Por la cual se establecen los requisitos y parámetros que deberán cumplir las entidades públicas responsables del desarrollo de proyectos de Asociación Público Privada para solicitar el concepto previo en el artículo 20 y 16 de la Ley 1753 de 2015. </w:t>
            </w:r>
          </w:p>
        </w:tc>
      </w:tr>
      <w:tr w:rsidR="00E90573">
        <w:tc>
          <w:tcPr>
            <w:tcW w:w="2295" w:type="dxa"/>
            <w:shd w:val="clear" w:color="auto" w:fill="auto"/>
            <w:tcMar>
              <w:top w:w="100" w:type="dxa"/>
              <w:left w:w="100" w:type="dxa"/>
              <w:bottom w:w="100" w:type="dxa"/>
              <w:right w:w="100" w:type="dxa"/>
            </w:tcMar>
          </w:tcPr>
          <w:p w:rsidR="00E90573" w:rsidRDefault="00D17DEC">
            <w:pPr>
              <w:widowControl w:val="0"/>
              <w:pBdr>
                <w:top w:val="nil"/>
                <w:left w:val="nil"/>
                <w:bottom w:val="nil"/>
                <w:right w:val="nil"/>
                <w:between w:val="nil"/>
              </w:pBd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Decreto 2100 de 2017 </w:t>
            </w:r>
          </w:p>
        </w:tc>
        <w:tc>
          <w:tcPr>
            <w:tcW w:w="4425" w:type="dxa"/>
            <w:shd w:val="clear" w:color="auto" w:fill="auto"/>
            <w:tcMar>
              <w:top w:w="100" w:type="dxa"/>
              <w:left w:w="100" w:type="dxa"/>
              <w:bottom w:w="100" w:type="dxa"/>
              <w:right w:w="100" w:type="dxa"/>
            </w:tcMar>
          </w:tcPr>
          <w:p w:rsidR="00E90573" w:rsidRDefault="00D17DEC">
            <w:pPr>
              <w:widowControl w:val="0"/>
              <w:pBdr>
                <w:top w:val="nil"/>
                <w:left w:val="nil"/>
                <w:bottom w:val="nil"/>
                <w:right w:val="nil"/>
                <w:between w:val="nil"/>
              </w:pBd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Derecho a retribuciones por unidades funcionales. </w:t>
            </w:r>
          </w:p>
        </w:tc>
        <w:tc>
          <w:tcPr>
            <w:tcW w:w="3360" w:type="dxa"/>
            <w:shd w:val="clear" w:color="auto" w:fill="auto"/>
            <w:tcMar>
              <w:top w:w="100" w:type="dxa"/>
              <w:left w:w="100" w:type="dxa"/>
              <w:bottom w:w="100" w:type="dxa"/>
              <w:right w:w="100" w:type="dxa"/>
            </w:tcMar>
          </w:tcPr>
          <w:p w:rsidR="00E90573" w:rsidRDefault="00D17DEC">
            <w:pPr>
              <w:widowControl w:val="0"/>
              <w:pBdr>
                <w:top w:val="nil"/>
                <w:left w:val="nil"/>
                <w:bottom w:val="nil"/>
                <w:right w:val="nil"/>
                <w:between w:val="nil"/>
              </w:pBd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Por el cual se sustituye el artículo 2.2.2.1.2.2. Del Decreto 1082 de 2015, relacionado con el derecho a retribuciones en proyectos de Asociación Público Privada</w:t>
            </w:r>
          </w:p>
        </w:tc>
      </w:tr>
      <w:tr w:rsidR="00E90573">
        <w:tc>
          <w:tcPr>
            <w:tcW w:w="2295" w:type="dxa"/>
            <w:shd w:val="clear" w:color="auto" w:fill="auto"/>
            <w:tcMar>
              <w:top w:w="100" w:type="dxa"/>
              <w:left w:w="100" w:type="dxa"/>
              <w:bottom w:w="100" w:type="dxa"/>
              <w:right w:w="100" w:type="dxa"/>
            </w:tcMar>
          </w:tcPr>
          <w:p w:rsidR="00E90573" w:rsidRDefault="00D17DEC">
            <w:pPr>
              <w:widowControl w:val="0"/>
              <w:pBdr>
                <w:top w:val="nil"/>
                <w:left w:val="nil"/>
                <w:bottom w:val="nil"/>
                <w:right w:val="nil"/>
                <w:between w:val="nil"/>
              </w:pBd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Ley 1882 de 2018 </w:t>
            </w:r>
          </w:p>
        </w:tc>
        <w:tc>
          <w:tcPr>
            <w:tcW w:w="4425" w:type="dxa"/>
            <w:shd w:val="clear" w:color="auto" w:fill="auto"/>
            <w:tcMar>
              <w:top w:w="100" w:type="dxa"/>
              <w:left w:w="100" w:type="dxa"/>
              <w:bottom w:w="100" w:type="dxa"/>
              <w:right w:w="100" w:type="dxa"/>
            </w:tcMar>
          </w:tcPr>
          <w:p w:rsidR="00E90573" w:rsidRDefault="00D17DEC">
            <w:pPr>
              <w:widowControl w:val="0"/>
              <w:pBdr>
                <w:top w:val="nil"/>
                <w:left w:val="nil"/>
                <w:bottom w:val="nil"/>
                <w:right w:val="nil"/>
                <w:between w:val="nil"/>
              </w:pBd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Modifica Artículo 5º de la Ley 1508 de 2012, modificada por el artículo 37 de la Ley 1753 de 2015 Derechos sobre inmuebles. Modifica Artículo 32 de la Ley 1508 de 2012 terminación anticipada de contrato. </w:t>
            </w:r>
          </w:p>
        </w:tc>
        <w:tc>
          <w:tcPr>
            <w:tcW w:w="3360" w:type="dxa"/>
            <w:shd w:val="clear" w:color="auto" w:fill="auto"/>
            <w:tcMar>
              <w:top w:w="100" w:type="dxa"/>
              <w:left w:w="100" w:type="dxa"/>
              <w:bottom w:w="100" w:type="dxa"/>
              <w:right w:w="100" w:type="dxa"/>
            </w:tcMar>
          </w:tcPr>
          <w:p w:rsidR="00E90573" w:rsidRDefault="00D17DEC">
            <w:pPr>
              <w:widowControl w:val="0"/>
              <w:pBdr>
                <w:top w:val="nil"/>
                <w:left w:val="nil"/>
                <w:bottom w:val="nil"/>
                <w:right w:val="nil"/>
                <w:between w:val="nil"/>
              </w:pBd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Por el cual se adicionan, modifican y dictan disposiciones orientadas a fortalecer la contratación pública en Colombia, de la Ley de Infraestructura y se dictan otras disposiciones. </w:t>
            </w:r>
          </w:p>
        </w:tc>
      </w:tr>
      <w:tr w:rsidR="00E90573">
        <w:trPr>
          <w:trHeight w:val="3405"/>
        </w:trPr>
        <w:tc>
          <w:tcPr>
            <w:tcW w:w="2295" w:type="dxa"/>
            <w:shd w:val="clear" w:color="auto" w:fill="auto"/>
            <w:tcMar>
              <w:top w:w="100" w:type="dxa"/>
              <w:left w:w="100" w:type="dxa"/>
              <w:bottom w:w="100" w:type="dxa"/>
              <w:right w:w="100" w:type="dxa"/>
            </w:tcMar>
          </w:tcPr>
          <w:p w:rsidR="00E90573" w:rsidRDefault="00D17DEC">
            <w:pPr>
              <w:spacing w:before="280" w:after="280" w:line="240" w:lineRule="auto"/>
              <w:ind w:right="441"/>
              <w:jc w:val="both"/>
              <w:rPr>
                <w:rFonts w:ascii="Helvetica Neue" w:eastAsia="Helvetica Neue" w:hAnsi="Helvetica Neue" w:cs="Helvetica Neue"/>
                <w:sz w:val="24"/>
                <w:szCs w:val="24"/>
              </w:rPr>
            </w:pPr>
            <w:r>
              <w:rPr>
                <w:rFonts w:ascii="Helvetica Neue" w:eastAsia="Helvetica Neue" w:hAnsi="Helvetica Neue" w:cs="Helvetica Neue"/>
                <w:b/>
                <w:sz w:val="24"/>
                <w:szCs w:val="24"/>
              </w:rPr>
              <w:t>Decreto 1974 de 2019</w:t>
            </w:r>
          </w:p>
        </w:tc>
        <w:tc>
          <w:tcPr>
            <w:tcW w:w="4425" w:type="dxa"/>
            <w:shd w:val="clear" w:color="auto" w:fill="auto"/>
            <w:tcMar>
              <w:top w:w="100" w:type="dxa"/>
              <w:left w:w="100" w:type="dxa"/>
              <w:bottom w:w="100" w:type="dxa"/>
              <w:right w:w="100" w:type="dxa"/>
            </w:tcMar>
          </w:tcPr>
          <w:p w:rsidR="00E90573" w:rsidRDefault="00D17DEC">
            <w:pPr>
              <w:spacing w:before="280" w:after="280" w:line="240" w:lineRule="auto"/>
              <w:ind w:right="441"/>
              <w:jc w:val="both"/>
              <w:rPr>
                <w:rFonts w:ascii="Helvetica Neue" w:eastAsia="Helvetica Neue" w:hAnsi="Helvetica Neue" w:cs="Helvetica Neue"/>
                <w:sz w:val="24"/>
                <w:szCs w:val="24"/>
              </w:rPr>
            </w:pPr>
            <w:r>
              <w:rPr>
                <w:rFonts w:ascii="Arial" w:eastAsia="Arial" w:hAnsi="Arial" w:cs="Arial"/>
                <w:b/>
                <w:sz w:val="24"/>
                <w:szCs w:val="24"/>
              </w:rPr>
              <w:t>​​​​​​</w:t>
            </w:r>
            <w:r>
              <w:rPr>
                <w:rFonts w:ascii="Helvetica Neue" w:eastAsia="Helvetica Neue" w:hAnsi="Helvetica Neue" w:cs="Helvetica Neue"/>
                <w:b/>
                <w:sz w:val="24"/>
                <w:szCs w:val="24"/>
              </w:rPr>
              <w:t xml:space="preserve"> </w:t>
            </w:r>
            <w:r>
              <w:rPr>
                <w:rFonts w:ascii="Helvetica Neue" w:eastAsia="Helvetica Neue" w:hAnsi="Helvetica Neue" w:cs="Helvetica Neue"/>
                <w:sz w:val="24"/>
                <w:szCs w:val="24"/>
              </w:rPr>
              <w:t xml:space="preserve">Por el cual se adiciona a la Sección 12 al Capítulo 1 del Título 2 de la Parte 2 del Libro 2 del Decreto 1082 de 2015, Decreto Único Reglamentario del Sector de Planeación Nacional, con el fin de reglamentar las particularidades para la implementación de Asociaciones Público Privadas en materia de Tecnologías de la Información y las Comunicaciones  </w:t>
            </w:r>
          </w:p>
        </w:tc>
        <w:tc>
          <w:tcPr>
            <w:tcW w:w="3360" w:type="dxa"/>
            <w:shd w:val="clear" w:color="auto" w:fill="auto"/>
            <w:tcMar>
              <w:top w:w="100" w:type="dxa"/>
              <w:left w:w="100" w:type="dxa"/>
              <w:bottom w:w="100" w:type="dxa"/>
              <w:right w:w="100" w:type="dxa"/>
            </w:tcMar>
          </w:tcPr>
          <w:p w:rsidR="00E90573" w:rsidRDefault="00E90573">
            <w:pPr>
              <w:widowControl w:val="0"/>
              <w:pBdr>
                <w:top w:val="nil"/>
                <w:left w:val="nil"/>
                <w:bottom w:val="nil"/>
                <w:right w:val="nil"/>
                <w:between w:val="nil"/>
              </w:pBdr>
              <w:spacing w:after="0" w:line="240" w:lineRule="auto"/>
              <w:rPr>
                <w:rFonts w:ascii="Helvetica Neue" w:eastAsia="Helvetica Neue" w:hAnsi="Helvetica Neue" w:cs="Helvetica Neue"/>
                <w:sz w:val="24"/>
                <w:szCs w:val="24"/>
              </w:rPr>
            </w:pPr>
          </w:p>
        </w:tc>
      </w:tr>
    </w:tbl>
    <w:sdt>
      <w:sdtPr>
        <w:tag w:val="goog_rdk_0"/>
        <w:id w:val="-1692371722"/>
      </w:sdtPr>
      <w:sdtContent>
        <w:p w:rsidR="00E90573" w:rsidRDefault="00D17DEC">
          <w:pPr>
            <w:spacing w:after="0" w:line="240" w:lineRule="auto"/>
            <w:jc w:val="center"/>
            <w:rPr>
              <w:rFonts w:ascii="Helvetica Neue" w:eastAsia="Helvetica Neue" w:hAnsi="Helvetica Neue" w:cs="Helvetica Neue"/>
              <w:sz w:val="24"/>
              <w:szCs w:val="24"/>
            </w:rPr>
          </w:pPr>
          <w:r>
            <w:rPr>
              <w:rFonts w:ascii="Helvetica Neue" w:eastAsia="Helvetica Neue" w:hAnsi="Helvetica Neue" w:cs="Helvetica Neue"/>
              <w:sz w:val="24"/>
              <w:szCs w:val="24"/>
            </w:rPr>
            <w:t>Fuente. Contraloría de Bogotá D.C</w:t>
          </w:r>
          <w:r>
            <w:rPr>
              <w:rFonts w:ascii="Helvetica Neue" w:eastAsia="Helvetica Neue" w:hAnsi="Helvetica Neue" w:cs="Helvetica Neue"/>
              <w:sz w:val="24"/>
              <w:szCs w:val="24"/>
              <w:vertAlign w:val="superscript"/>
            </w:rPr>
            <w:footnoteReference w:id="28"/>
          </w:r>
          <w:r>
            <w:rPr>
              <w:rFonts w:ascii="Helvetica Neue" w:eastAsia="Helvetica Neue" w:hAnsi="Helvetica Neue" w:cs="Helvetica Neue"/>
              <w:sz w:val="24"/>
              <w:szCs w:val="24"/>
            </w:rPr>
            <w:t>. y DNP</w:t>
          </w:r>
        </w:p>
      </w:sdtContent>
    </w:sdt>
    <w:p w:rsidR="00E90573" w:rsidRDefault="00E90573">
      <w:pPr>
        <w:spacing w:after="0" w:line="240" w:lineRule="auto"/>
        <w:jc w:val="both"/>
        <w:rPr>
          <w:rFonts w:ascii="Helvetica Neue" w:eastAsia="Helvetica Neue" w:hAnsi="Helvetica Neue" w:cs="Helvetica Neue"/>
          <w:b/>
          <w:sz w:val="24"/>
          <w:szCs w:val="24"/>
          <w:highlight w:val="white"/>
          <w:u w:val="single"/>
        </w:rPr>
      </w:pPr>
    </w:p>
    <w:p w:rsidR="00E90573" w:rsidRDefault="00E90573">
      <w:pPr>
        <w:spacing w:after="0" w:line="240" w:lineRule="auto"/>
        <w:jc w:val="both"/>
        <w:rPr>
          <w:rFonts w:ascii="Helvetica Neue" w:eastAsia="Helvetica Neue" w:hAnsi="Helvetica Neue" w:cs="Helvetica Neue"/>
          <w:b/>
          <w:sz w:val="24"/>
          <w:szCs w:val="24"/>
          <w:highlight w:val="white"/>
          <w:u w:val="single"/>
        </w:rPr>
      </w:pPr>
    </w:p>
    <w:p w:rsidR="00E90573" w:rsidRDefault="00D17DEC">
      <w:pPr>
        <w:pStyle w:val="Ttulo"/>
        <w:spacing w:after="0" w:line="240" w:lineRule="auto"/>
        <w:jc w:val="both"/>
        <w:rPr>
          <w:rFonts w:ascii="Helvetica Neue" w:eastAsia="Helvetica Neue" w:hAnsi="Helvetica Neue" w:cs="Helvetica Neue"/>
          <w:sz w:val="24"/>
          <w:szCs w:val="24"/>
          <w:highlight w:val="white"/>
          <w:u w:val="single"/>
        </w:rPr>
      </w:pPr>
      <w:bookmarkStart w:id="6" w:name="_heading=h.x925g2eawhj3" w:colFirst="0" w:colLast="0"/>
      <w:bookmarkEnd w:id="6"/>
      <w:r>
        <w:rPr>
          <w:rFonts w:ascii="Helvetica Neue" w:eastAsia="Helvetica Neue" w:hAnsi="Helvetica Neue" w:cs="Helvetica Neue"/>
          <w:sz w:val="24"/>
          <w:szCs w:val="24"/>
          <w:u w:val="single"/>
        </w:rPr>
        <w:t>8. MARCO JURISPRUDENCIAL</w:t>
      </w:r>
      <w:r>
        <w:rPr>
          <w:rFonts w:ascii="Helvetica Neue" w:eastAsia="Helvetica Neue" w:hAnsi="Helvetica Neue" w:cs="Helvetica Neue"/>
          <w:sz w:val="24"/>
          <w:szCs w:val="24"/>
          <w:highlight w:val="white"/>
          <w:u w:val="single"/>
        </w:rPr>
        <w:t xml:space="preserve"> </w:t>
      </w:r>
    </w:p>
    <w:p w:rsidR="00E90573" w:rsidRDefault="00E90573">
      <w:pPr>
        <w:spacing w:after="0" w:line="240" w:lineRule="auto"/>
        <w:jc w:val="both"/>
        <w:rPr>
          <w:rFonts w:ascii="Helvetica Neue" w:eastAsia="Helvetica Neue" w:hAnsi="Helvetica Neue" w:cs="Helvetica Neue"/>
          <w:b/>
          <w:sz w:val="24"/>
          <w:szCs w:val="24"/>
          <w:highlight w:val="white"/>
          <w:u w:val="single"/>
        </w:rPr>
      </w:pPr>
    </w:p>
    <w:p w:rsidR="00E90573" w:rsidRDefault="00D17DEC">
      <w:pPr>
        <w:spacing w:after="0" w:line="240" w:lineRule="auto"/>
        <w:jc w:val="both"/>
        <w:rPr>
          <w:rFonts w:ascii="Helvetica Neue" w:eastAsia="Helvetica Neue" w:hAnsi="Helvetica Neue" w:cs="Helvetica Neue"/>
          <w:b/>
          <w:sz w:val="24"/>
          <w:szCs w:val="24"/>
          <w:highlight w:val="white"/>
          <w:u w:val="single"/>
        </w:rPr>
      </w:pPr>
      <w:r>
        <w:rPr>
          <w:rFonts w:ascii="Helvetica Neue" w:eastAsia="Helvetica Neue" w:hAnsi="Helvetica Neue" w:cs="Helvetica Neue"/>
          <w:b/>
          <w:sz w:val="24"/>
          <w:szCs w:val="24"/>
          <w:highlight w:val="white"/>
          <w:u w:val="single"/>
        </w:rPr>
        <w:lastRenderedPageBreak/>
        <w:t xml:space="preserve">Jurisprudencia Corte Constitucional </w:t>
      </w:r>
    </w:p>
    <w:p w:rsidR="00E90573" w:rsidRDefault="00E90573">
      <w:pPr>
        <w:spacing w:after="0" w:line="240" w:lineRule="auto"/>
        <w:rPr>
          <w:rFonts w:ascii="Times New Roman" w:eastAsia="Times New Roman" w:hAnsi="Times New Roman" w:cs="Times New Roman"/>
          <w:sz w:val="24"/>
          <w:szCs w:val="24"/>
        </w:rPr>
      </w:pPr>
    </w:p>
    <w:tbl>
      <w:tblPr>
        <w:tblStyle w:val="a3"/>
        <w:tblW w:w="10060" w:type="dxa"/>
        <w:tblInd w:w="0" w:type="dxa"/>
        <w:tblLayout w:type="fixed"/>
        <w:tblLook w:val="0400" w:firstRow="0" w:lastRow="0" w:firstColumn="0" w:lastColumn="0" w:noHBand="0" w:noVBand="1"/>
      </w:tblPr>
      <w:tblGrid>
        <w:gridCol w:w="3569"/>
        <w:gridCol w:w="6491"/>
      </w:tblGrid>
      <w:tr w:rsidR="00E90573">
        <w:tc>
          <w:tcPr>
            <w:tcW w:w="35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0573" w:rsidRDefault="00D17DEC">
            <w:pPr>
              <w:spacing w:after="0" w:line="240" w:lineRule="auto"/>
              <w:rPr>
                <w:rFonts w:ascii="Arial" w:eastAsia="Arial" w:hAnsi="Arial" w:cs="Arial"/>
                <w:b/>
                <w:color w:val="000000"/>
                <w:sz w:val="24"/>
                <w:szCs w:val="24"/>
              </w:rPr>
            </w:pPr>
            <w:r>
              <w:rPr>
                <w:rFonts w:ascii="Arial" w:eastAsia="Arial" w:hAnsi="Arial" w:cs="Arial"/>
                <w:b/>
                <w:color w:val="000000"/>
                <w:sz w:val="24"/>
                <w:szCs w:val="24"/>
              </w:rPr>
              <w:t>Sentencia C595/2014: Demanda de Inconstitucionalidad contra el artículo 20 (parcial)</w:t>
            </w:r>
          </w:p>
          <w:p w:rsidR="00E90573" w:rsidRDefault="00E90573">
            <w:pPr>
              <w:spacing w:after="0" w:line="240" w:lineRule="auto"/>
              <w:rPr>
                <w:rFonts w:ascii="Times New Roman" w:eastAsia="Times New Roman" w:hAnsi="Times New Roman" w:cs="Times New Roman"/>
                <w:sz w:val="24"/>
                <w:szCs w:val="24"/>
              </w:rPr>
            </w:pPr>
          </w:p>
          <w:p w:rsidR="00E90573" w:rsidRDefault="00D17DE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90573" w:rsidRDefault="00D17DEC">
            <w:pPr>
              <w:spacing w:after="0" w:line="240" w:lineRule="auto"/>
              <w:rPr>
                <w:rFonts w:ascii="Times New Roman" w:eastAsia="Times New Roman" w:hAnsi="Times New Roman" w:cs="Times New Roman"/>
                <w:sz w:val="24"/>
                <w:szCs w:val="24"/>
              </w:rPr>
            </w:pPr>
            <w:r>
              <w:rPr>
                <w:rFonts w:ascii="Arial" w:eastAsia="Arial" w:hAnsi="Arial" w:cs="Arial"/>
                <w:b/>
                <w:color w:val="000000"/>
                <w:sz w:val="24"/>
                <w:szCs w:val="24"/>
              </w:rPr>
              <w:t>M.P Jorge Pretelt</w:t>
            </w:r>
          </w:p>
        </w:tc>
        <w:tc>
          <w:tcPr>
            <w:tcW w:w="64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0573" w:rsidRDefault="00D17DEC">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24"/>
                <w:szCs w:val="24"/>
              </w:rPr>
              <w:t xml:space="preserve">Considera el demandante que la norma acusada, al conferir al originador del proyecto la posibilidad de presentar una propuesta adicional para mejorar la que formuló inicialmente, vulnera el principio de jerarquía superior de la constitución, lo mismo que sus principios de igualdad y de la función administrativa, al igual que el derecho al debido proceso. Para la corte, el originador no se encuentra en la misma situación de los terceros que manifiestan su interés en ejecutar el proyecto, porque lleva a cabo trabajos y hace importantes inversiones en las etapas de prefactibilidad y factibilidad que no son </w:t>
            </w:r>
            <w:r>
              <w:rPr>
                <w:rFonts w:ascii="Arial" w:eastAsia="Arial" w:hAnsi="Arial" w:cs="Arial"/>
                <w:sz w:val="24"/>
                <w:szCs w:val="24"/>
              </w:rPr>
              <w:t>realizadas</w:t>
            </w:r>
            <w:r>
              <w:rPr>
                <w:rFonts w:ascii="Arial" w:eastAsia="Arial" w:hAnsi="Arial" w:cs="Arial"/>
                <w:color w:val="000000"/>
                <w:sz w:val="24"/>
                <w:szCs w:val="24"/>
              </w:rPr>
              <w:t xml:space="preserve"> por los demás. Es decir, que no son grupos comparables y que el trato diferenciado censurado no lesiona el principio de igualdad. </w:t>
            </w:r>
            <w:r>
              <w:rPr>
                <w:rFonts w:ascii="Arial" w:eastAsia="Arial" w:hAnsi="Arial" w:cs="Arial"/>
                <w:b/>
                <w:color w:val="000000"/>
                <w:sz w:val="24"/>
                <w:szCs w:val="24"/>
              </w:rPr>
              <w:t>Exequible.</w:t>
            </w:r>
          </w:p>
        </w:tc>
      </w:tr>
      <w:tr w:rsidR="00E90573">
        <w:tc>
          <w:tcPr>
            <w:tcW w:w="35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0573" w:rsidRDefault="00D17DEC">
            <w:pPr>
              <w:spacing w:after="0" w:line="240" w:lineRule="auto"/>
              <w:rPr>
                <w:rFonts w:ascii="Arial" w:eastAsia="Arial" w:hAnsi="Arial" w:cs="Arial"/>
                <w:b/>
                <w:color w:val="000000"/>
                <w:sz w:val="24"/>
                <w:szCs w:val="24"/>
              </w:rPr>
            </w:pPr>
            <w:r>
              <w:rPr>
                <w:rFonts w:ascii="Arial" w:eastAsia="Arial" w:hAnsi="Arial" w:cs="Arial"/>
                <w:b/>
                <w:color w:val="000000"/>
                <w:sz w:val="24"/>
                <w:szCs w:val="24"/>
              </w:rPr>
              <w:t>Sentencia C050/2015: Demanda de inconstitucionalidad contra el artículo 8.</w:t>
            </w:r>
          </w:p>
          <w:p w:rsidR="00E90573" w:rsidRDefault="00E90573">
            <w:pPr>
              <w:spacing w:after="0" w:line="240" w:lineRule="auto"/>
              <w:rPr>
                <w:rFonts w:ascii="Arial" w:eastAsia="Arial" w:hAnsi="Arial" w:cs="Arial"/>
                <w:b/>
                <w:color w:val="000000"/>
                <w:sz w:val="24"/>
                <w:szCs w:val="24"/>
              </w:rPr>
            </w:pPr>
          </w:p>
          <w:p w:rsidR="00E90573" w:rsidRDefault="00D17DEC">
            <w:pPr>
              <w:spacing w:after="0" w:line="240" w:lineRule="auto"/>
              <w:rPr>
                <w:rFonts w:ascii="Arial" w:eastAsia="Arial" w:hAnsi="Arial" w:cs="Arial"/>
                <w:b/>
                <w:color w:val="000000"/>
                <w:sz w:val="24"/>
                <w:szCs w:val="24"/>
              </w:rPr>
            </w:pPr>
            <w:r>
              <w:rPr>
                <w:rFonts w:ascii="Arial" w:eastAsia="Arial" w:hAnsi="Arial" w:cs="Arial"/>
                <w:b/>
                <w:color w:val="000000"/>
                <w:sz w:val="24"/>
                <w:szCs w:val="24"/>
              </w:rPr>
              <w:t>M.P. Luis Ernesto Vargas</w:t>
            </w:r>
          </w:p>
        </w:tc>
        <w:tc>
          <w:tcPr>
            <w:tcW w:w="64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0573" w:rsidRDefault="00D17DEC">
            <w:pPr>
              <w:spacing w:after="0" w:line="240" w:lineRule="auto"/>
              <w:jc w:val="both"/>
              <w:rPr>
                <w:rFonts w:ascii="Times New Roman" w:eastAsia="Times New Roman" w:hAnsi="Times New Roman" w:cs="Times New Roman"/>
                <w:b/>
                <w:sz w:val="24"/>
                <w:szCs w:val="24"/>
              </w:rPr>
            </w:pPr>
            <w:r>
              <w:rPr>
                <w:rFonts w:ascii="Arial" w:eastAsia="Arial" w:hAnsi="Arial" w:cs="Arial"/>
                <w:color w:val="000000"/>
                <w:sz w:val="24"/>
                <w:szCs w:val="24"/>
              </w:rPr>
              <w:t>Para el actor, la norma acusada, al establecer una exclusión del ámbito de aplicación de esta ley, en lo relativo a la participación de las sociedades de economía mixta y de las demás empresas allí referidas vulnera los principios de igualdad, libre competencia económica, régimen de los servicios públicos y la cláusula del Estado Social de Derecho. La sala encontró que los cargos formulados en este caso no cumplían los requisitos que la jurisprudencia ha establecido como necesarios para que pueda dictarse un fallo de mérito, entre ellos, la certeza y la suficiencia de las acusaciones planteadas. Para la corte, el asunto es una controversia interpretativa en relación con los alcances de la norma, lo que excede el propósito de la acción pública de inconstitucionalidad</w:t>
            </w:r>
            <w:r>
              <w:rPr>
                <w:rFonts w:ascii="Arial" w:eastAsia="Arial" w:hAnsi="Arial" w:cs="Arial"/>
                <w:b/>
                <w:color w:val="000000"/>
                <w:sz w:val="24"/>
                <w:szCs w:val="24"/>
              </w:rPr>
              <w:t>. La sala se declara inhibida para emitir pronunciamiento de fondo, por ineptitud sustantiva de la demanda.</w:t>
            </w:r>
          </w:p>
          <w:p w:rsidR="00E90573" w:rsidRDefault="00E90573">
            <w:pPr>
              <w:spacing w:after="0" w:line="240" w:lineRule="auto"/>
              <w:jc w:val="both"/>
              <w:rPr>
                <w:rFonts w:ascii="Arial" w:eastAsia="Arial" w:hAnsi="Arial" w:cs="Arial"/>
                <w:color w:val="000000"/>
                <w:sz w:val="24"/>
                <w:szCs w:val="24"/>
              </w:rPr>
            </w:pPr>
          </w:p>
        </w:tc>
      </w:tr>
      <w:tr w:rsidR="00E90573">
        <w:tc>
          <w:tcPr>
            <w:tcW w:w="35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0573" w:rsidRDefault="00D17DEC">
            <w:pPr>
              <w:spacing w:after="0" w:line="240" w:lineRule="auto"/>
              <w:rPr>
                <w:rFonts w:ascii="Arial" w:eastAsia="Arial" w:hAnsi="Arial" w:cs="Arial"/>
                <w:b/>
                <w:color w:val="000000"/>
                <w:sz w:val="24"/>
                <w:szCs w:val="24"/>
              </w:rPr>
            </w:pPr>
            <w:r>
              <w:rPr>
                <w:rFonts w:ascii="Arial" w:eastAsia="Arial" w:hAnsi="Arial" w:cs="Arial"/>
                <w:b/>
                <w:color w:val="000000"/>
                <w:sz w:val="24"/>
                <w:szCs w:val="24"/>
              </w:rPr>
              <w:t>Sentencia C623/2016: Demanda de inconstitucionalidad contra el artículo 28.</w:t>
            </w:r>
          </w:p>
          <w:p w:rsidR="00E90573" w:rsidRDefault="00E90573">
            <w:pPr>
              <w:spacing w:after="0" w:line="240" w:lineRule="auto"/>
              <w:rPr>
                <w:rFonts w:ascii="Arial" w:eastAsia="Arial" w:hAnsi="Arial" w:cs="Arial"/>
                <w:b/>
                <w:color w:val="000000"/>
                <w:sz w:val="24"/>
                <w:szCs w:val="24"/>
              </w:rPr>
            </w:pPr>
          </w:p>
          <w:p w:rsidR="00E90573" w:rsidRDefault="00D17DEC">
            <w:pPr>
              <w:spacing w:after="0" w:line="240" w:lineRule="auto"/>
              <w:rPr>
                <w:rFonts w:ascii="Arial" w:eastAsia="Arial" w:hAnsi="Arial" w:cs="Arial"/>
                <w:b/>
                <w:color w:val="000000"/>
                <w:sz w:val="24"/>
                <w:szCs w:val="24"/>
              </w:rPr>
            </w:pPr>
            <w:r>
              <w:rPr>
                <w:rFonts w:ascii="Arial" w:eastAsia="Arial" w:hAnsi="Arial" w:cs="Arial"/>
                <w:b/>
                <w:color w:val="000000"/>
                <w:sz w:val="24"/>
                <w:szCs w:val="24"/>
              </w:rPr>
              <w:t>M.P. Gabriel Eduardo Mendoza</w:t>
            </w:r>
          </w:p>
        </w:tc>
        <w:tc>
          <w:tcPr>
            <w:tcW w:w="64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0573" w:rsidRDefault="00D17DEC">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El demandante considera que el legislador desconoció el principio de unidad de materia, al incluir medidas relacionadas con el régimen presupuestal de las empresas sociales del estado que no han celebrado, participado o ejecutado contratos bajo esquemas de asociación público privada en una ley cuyo objetivo es, precisamente, establecer el régimen jurídico de las APPs. Al encontrar que el aparte acusado vulnera el principio de unidad de materia por no existir conexidad causal, temática, sistemática y teleológica con la ley 1508/02, </w:t>
            </w:r>
            <w:r>
              <w:rPr>
                <w:rFonts w:ascii="Arial" w:eastAsia="Arial" w:hAnsi="Arial" w:cs="Arial"/>
                <w:b/>
                <w:color w:val="000000"/>
                <w:sz w:val="24"/>
                <w:szCs w:val="24"/>
              </w:rPr>
              <w:t>la corte decide declararlo inexequible.</w:t>
            </w:r>
          </w:p>
        </w:tc>
      </w:tr>
    </w:tbl>
    <w:p w:rsidR="00E90573" w:rsidRDefault="00D17DEC">
      <w:pPr>
        <w:spacing w:after="0" w:line="240" w:lineRule="auto"/>
        <w:jc w:val="center"/>
        <w:rPr>
          <w:rFonts w:ascii="Helvetica Neue" w:eastAsia="Helvetica Neue" w:hAnsi="Helvetica Neue" w:cs="Helvetica Neue"/>
          <w:sz w:val="24"/>
          <w:szCs w:val="24"/>
          <w:highlight w:val="white"/>
        </w:rPr>
      </w:pPr>
      <w:r>
        <w:rPr>
          <w:rFonts w:ascii="Helvetica Neue" w:eastAsia="Helvetica Neue" w:hAnsi="Helvetica Neue" w:cs="Helvetica Neue"/>
          <w:sz w:val="24"/>
          <w:szCs w:val="24"/>
          <w:highlight w:val="white"/>
        </w:rPr>
        <w:t>Fuente. UTL Catalina Ortiz. Información. Congreso Visible</w:t>
      </w:r>
      <w:r>
        <w:rPr>
          <w:rFonts w:ascii="Helvetica Neue" w:eastAsia="Helvetica Neue" w:hAnsi="Helvetica Neue" w:cs="Helvetica Neue"/>
          <w:sz w:val="24"/>
          <w:szCs w:val="24"/>
          <w:highlight w:val="white"/>
          <w:vertAlign w:val="superscript"/>
        </w:rPr>
        <w:footnoteReference w:id="29"/>
      </w:r>
    </w:p>
    <w:p w:rsidR="00E90573" w:rsidRDefault="00E90573">
      <w:pPr>
        <w:spacing w:after="0" w:line="240" w:lineRule="auto"/>
        <w:jc w:val="both"/>
        <w:rPr>
          <w:rFonts w:ascii="Helvetica Neue" w:eastAsia="Helvetica Neue" w:hAnsi="Helvetica Neue" w:cs="Helvetica Neue"/>
          <w:b/>
          <w:sz w:val="24"/>
          <w:szCs w:val="24"/>
          <w:highlight w:val="white"/>
          <w:u w:val="single"/>
        </w:rPr>
      </w:pPr>
    </w:p>
    <w:p w:rsidR="00E90573" w:rsidRDefault="00E90573">
      <w:pPr>
        <w:spacing w:after="0" w:line="240" w:lineRule="auto"/>
        <w:jc w:val="both"/>
        <w:rPr>
          <w:rFonts w:ascii="Helvetica Neue" w:eastAsia="Helvetica Neue" w:hAnsi="Helvetica Neue" w:cs="Helvetica Neue"/>
          <w:b/>
          <w:sz w:val="24"/>
          <w:szCs w:val="24"/>
          <w:highlight w:val="white"/>
          <w:u w:val="single"/>
        </w:rPr>
      </w:pPr>
    </w:p>
    <w:p w:rsidR="00E90573" w:rsidRDefault="00D17DEC">
      <w:pPr>
        <w:pStyle w:val="Ttulo"/>
        <w:spacing w:after="0" w:line="240" w:lineRule="auto"/>
        <w:jc w:val="both"/>
        <w:rPr>
          <w:rFonts w:ascii="Helvetica Neue" w:eastAsia="Helvetica Neue" w:hAnsi="Helvetica Neue" w:cs="Helvetica Neue"/>
          <w:sz w:val="24"/>
          <w:szCs w:val="24"/>
          <w:highlight w:val="white"/>
          <w:u w:val="single"/>
        </w:rPr>
      </w:pPr>
      <w:bookmarkStart w:id="7" w:name="_heading=h.f9k4duscwpzl" w:colFirst="0" w:colLast="0"/>
      <w:bookmarkEnd w:id="7"/>
      <w:r>
        <w:rPr>
          <w:rFonts w:ascii="Helvetica Neue" w:eastAsia="Helvetica Neue" w:hAnsi="Helvetica Neue" w:cs="Helvetica Neue"/>
          <w:sz w:val="24"/>
          <w:szCs w:val="24"/>
          <w:u w:val="single"/>
        </w:rPr>
        <w:t xml:space="preserve">9. RESULTADOS DE LA FALTA DE COMPETENCIA EN LAS ASOCIACIONES </w:t>
      </w:r>
    </w:p>
    <w:p w:rsidR="00E90573" w:rsidRDefault="00E90573">
      <w:pPr>
        <w:spacing w:after="0" w:line="240" w:lineRule="auto"/>
        <w:jc w:val="both"/>
        <w:rPr>
          <w:rFonts w:ascii="Helvetica Neue" w:eastAsia="Helvetica Neue" w:hAnsi="Helvetica Neue" w:cs="Helvetica Neue"/>
          <w:b/>
          <w:sz w:val="24"/>
          <w:szCs w:val="24"/>
          <w:highlight w:val="white"/>
          <w:u w:val="single"/>
        </w:rPr>
      </w:pPr>
    </w:p>
    <w:p w:rsidR="00E90573" w:rsidRDefault="00D17DEC">
      <w:pPr>
        <w:spacing w:after="0" w:line="240" w:lineRule="auto"/>
        <w:jc w:val="both"/>
        <w:rPr>
          <w:rFonts w:ascii="Helvetica Neue" w:eastAsia="Helvetica Neue" w:hAnsi="Helvetica Neue" w:cs="Helvetica Neue"/>
          <w:b/>
          <w:sz w:val="24"/>
          <w:szCs w:val="24"/>
          <w:highlight w:val="white"/>
          <w:u w:val="single"/>
        </w:rPr>
      </w:pPr>
      <w:r>
        <w:rPr>
          <w:rFonts w:ascii="Helvetica Neue" w:eastAsia="Helvetica Neue" w:hAnsi="Helvetica Neue" w:cs="Helvetica Neue"/>
          <w:b/>
          <w:sz w:val="24"/>
          <w:szCs w:val="24"/>
          <w:highlight w:val="white"/>
          <w:u w:val="single"/>
        </w:rPr>
        <w:t xml:space="preserve">9.1. Ausencia de terceros interesados en los proyectos </w:t>
      </w:r>
    </w:p>
    <w:p w:rsidR="00E90573" w:rsidRDefault="00E90573">
      <w:pPr>
        <w:spacing w:after="0" w:line="240" w:lineRule="auto"/>
        <w:jc w:val="both"/>
        <w:rPr>
          <w:rFonts w:ascii="Helvetica Neue" w:eastAsia="Helvetica Neue" w:hAnsi="Helvetica Neue" w:cs="Helvetica Neue"/>
          <w:b/>
          <w:sz w:val="24"/>
          <w:szCs w:val="24"/>
          <w:highlight w:val="white"/>
          <w:u w:val="single"/>
        </w:rPr>
      </w:pPr>
    </w:p>
    <w:p w:rsidR="00E90573" w:rsidRDefault="00D17DEC">
      <w:pPr>
        <w:spacing w:after="0" w:line="240" w:lineRule="auto"/>
        <w:jc w:val="both"/>
        <w:rPr>
          <w:rFonts w:ascii="Helvetica Neue" w:eastAsia="Helvetica Neue" w:hAnsi="Helvetica Neue" w:cs="Helvetica Neue"/>
          <w:sz w:val="24"/>
          <w:szCs w:val="24"/>
          <w:highlight w:val="white"/>
        </w:rPr>
      </w:pPr>
      <w:r>
        <w:rPr>
          <w:rFonts w:ascii="Helvetica Neue" w:eastAsia="Helvetica Neue" w:hAnsi="Helvetica Neue" w:cs="Helvetica Neue"/>
          <w:sz w:val="24"/>
          <w:szCs w:val="24"/>
          <w:highlight w:val="white"/>
        </w:rPr>
        <w:lastRenderedPageBreak/>
        <w:t xml:space="preserve">Teniendo en cuenta que, de acuerdo al informe para el último trimestre de 2019 de la RUAPP, la ANI se destaca como la entidad con mayor contribución en el desarrollo de APPs, vigentes actualmente, con un total de 47 proyectos. Se elevaron solicitudes de información ante esta entidad para profundizar en los proyectos que está manejando la entidad. </w:t>
      </w:r>
    </w:p>
    <w:p w:rsidR="00E90573" w:rsidRDefault="00E90573">
      <w:pPr>
        <w:spacing w:after="0" w:line="240" w:lineRule="auto"/>
        <w:jc w:val="both"/>
        <w:rPr>
          <w:rFonts w:ascii="Helvetica Neue" w:eastAsia="Helvetica Neue" w:hAnsi="Helvetica Neue" w:cs="Helvetica Neue"/>
          <w:sz w:val="24"/>
          <w:szCs w:val="24"/>
          <w:highlight w:val="white"/>
        </w:rPr>
      </w:pPr>
    </w:p>
    <w:p w:rsidR="00E90573" w:rsidRDefault="00D17DEC">
      <w:pPr>
        <w:spacing w:after="0" w:line="240" w:lineRule="auto"/>
        <w:jc w:val="both"/>
        <w:rPr>
          <w:rFonts w:ascii="Helvetica Neue" w:eastAsia="Helvetica Neue" w:hAnsi="Helvetica Neue" w:cs="Helvetica Neue"/>
          <w:sz w:val="24"/>
          <w:szCs w:val="24"/>
          <w:highlight w:val="white"/>
        </w:rPr>
      </w:pPr>
      <w:r>
        <w:rPr>
          <w:rFonts w:ascii="Helvetica Neue" w:eastAsia="Helvetica Neue" w:hAnsi="Helvetica Neue" w:cs="Helvetica Neue"/>
          <w:sz w:val="24"/>
          <w:szCs w:val="24"/>
          <w:highlight w:val="white"/>
        </w:rPr>
        <w:t>En el análisis realizado con información suministrada por la ANI, a través de respuesta suministrada por la entidad el 9 de octubre de 2019 se pudo evidenciar la falta de competencia que surgen en las Asociaciones Público-Privadas de Iniciativa Privada (APP IP):</w:t>
      </w:r>
    </w:p>
    <w:p w:rsidR="00E90573" w:rsidRDefault="00E90573">
      <w:pPr>
        <w:spacing w:after="0" w:line="240" w:lineRule="auto"/>
        <w:jc w:val="both"/>
        <w:rPr>
          <w:rFonts w:ascii="Helvetica Neue" w:eastAsia="Helvetica Neue" w:hAnsi="Helvetica Neue" w:cs="Helvetica Neue"/>
          <w:b/>
          <w:sz w:val="24"/>
          <w:szCs w:val="24"/>
          <w:highlight w:val="white"/>
          <w:u w:val="single"/>
        </w:rPr>
      </w:pPr>
    </w:p>
    <w:p w:rsidR="00E90573" w:rsidRDefault="00D17DEC">
      <w:pPr>
        <w:spacing w:after="0" w:line="276" w:lineRule="auto"/>
        <w:jc w:val="both"/>
        <w:rPr>
          <w:rFonts w:ascii="Helvetica Neue" w:eastAsia="Helvetica Neue" w:hAnsi="Helvetica Neue" w:cs="Helvetica Neue"/>
          <w:sz w:val="24"/>
          <w:szCs w:val="24"/>
          <w:highlight w:val="white"/>
        </w:rPr>
      </w:pPr>
      <w:r>
        <w:rPr>
          <w:rFonts w:ascii="Helvetica Neue" w:eastAsia="Helvetica Neue" w:hAnsi="Helvetica Neue" w:cs="Helvetica Neue"/>
          <w:sz w:val="24"/>
          <w:szCs w:val="24"/>
          <w:highlight w:val="white"/>
        </w:rPr>
        <w:t xml:space="preserve">De 11 APPs IP, que desde 2013 a abril de 2019 han sido adjudicadas por la ANI (2 están en etapa de preconstrucción, 7 en construcción y 2 terminadas anticipadamente por problemas), sólo en 1 (18,2% del total de APPs IP adjudicadas por la ANI) se han presentado terceros interesados, que corresponden a la Vía Accesos Norte 1 y Vía Bogotá -Girardot, ambas en etapa de construcción (Figura 7). </w:t>
      </w:r>
    </w:p>
    <w:p w:rsidR="00E90573" w:rsidRDefault="00E90573">
      <w:pPr>
        <w:spacing w:after="0" w:line="276" w:lineRule="auto"/>
        <w:jc w:val="both"/>
        <w:rPr>
          <w:rFonts w:ascii="Helvetica Neue" w:eastAsia="Helvetica Neue" w:hAnsi="Helvetica Neue" w:cs="Helvetica Neue"/>
          <w:sz w:val="24"/>
          <w:szCs w:val="24"/>
          <w:highlight w:val="white"/>
        </w:rPr>
      </w:pPr>
    </w:p>
    <w:p w:rsidR="00E90573" w:rsidRDefault="00D17DEC">
      <w:pPr>
        <w:rPr>
          <w:rFonts w:ascii="Helvetica Neue" w:eastAsia="Helvetica Neue" w:hAnsi="Helvetica Neue" w:cs="Helvetica Neue"/>
          <w:sz w:val="24"/>
          <w:szCs w:val="24"/>
        </w:rPr>
      </w:pPr>
      <w:r>
        <w:rPr>
          <w:rFonts w:ascii="Helvetica Neue" w:eastAsia="Helvetica Neue" w:hAnsi="Helvetica Neue" w:cs="Helvetica Neue"/>
          <w:sz w:val="24"/>
          <w:szCs w:val="24"/>
        </w:rPr>
        <w:t>Figura 7. APPs de Iniciativa Privada adjudicadas en la ANI, con terceros interesados</w:t>
      </w:r>
    </w:p>
    <w:p w:rsidR="00E90573" w:rsidRDefault="00D17DEC">
      <w:pPr>
        <w:spacing w:after="0" w:line="276" w:lineRule="auto"/>
        <w:jc w:val="center"/>
        <w:rPr>
          <w:rFonts w:ascii="Helvetica Neue" w:eastAsia="Helvetica Neue" w:hAnsi="Helvetica Neue" w:cs="Helvetica Neue"/>
          <w:sz w:val="24"/>
          <w:szCs w:val="24"/>
          <w:highlight w:val="white"/>
        </w:rPr>
      </w:pPr>
      <w:r>
        <w:rPr>
          <w:rFonts w:ascii="Helvetica Neue" w:eastAsia="Helvetica Neue" w:hAnsi="Helvetica Neue" w:cs="Helvetica Neue"/>
          <w:noProof/>
          <w:highlight w:val="white"/>
          <w:lang w:val="es-CO"/>
        </w:rPr>
        <w:drawing>
          <wp:inline distT="114300" distB="114300" distL="114300" distR="114300">
            <wp:extent cx="3881438" cy="2391051"/>
            <wp:effectExtent l="0" t="0" r="0" b="0"/>
            <wp:docPr id="14" name="image1.png" descr="Gráfico"/>
            <wp:cNvGraphicFramePr/>
            <a:graphic xmlns:a="http://schemas.openxmlformats.org/drawingml/2006/main">
              <a:graphicData uri="http://schemas.openxmlformats.org/drawingml/2006/picture">
                <pic:pic xmlns:pic="http://schemas.openxmlformats.org/drawingml/2006/picture">
                  <pic:nvPicPr>
                    <pic:cNvPr id="0" name="image1.png" descr="Gráfico"/>
                    <pic:cNvPicPr preferRelativeResize="0"/>
                  </pic:nvPicPr>
                  <pic:blipFill>
                    <a:blip r:embed="rId15"/>
                    <a:srcRect/>
                    <a:stretch>
                      <a:fillRect/>
                    </a:stretch>
                  </pic:blipFill>
                  <pic:spPr>
                    <a:xfrm>
                      <a:off x="0" y="0"/>
                      <a:ext cx="3881438" cy="2391051"/>
                    </a:xfrm>
                    <a:prstGeom prst="rect">
                      <a:avLst/>
                    </a:prstGeom>
                    <a:ln/>
                  </pic:spPr>
                </pic:pic>
              </a:graphicData>
            </a:graphic>
          </wp:inline>
        </w:drawing>
      </w:r>
    </w:p>
    <w:p w:rsidR="00E90573" w:rsidRDefault="00D17DEC">
      <w:pPr>
        <w:spacing w:after="0" w:line="276" w:lineRule="auto"/>
        <w:jc w:val="center"/>
        <w:rPr>
          <w:rFonts w:ascii="Helvetica Neue" w:eastAsia="Helvetica Neue" w:hAnsi="Helvetica Neue" w:cs="Helvetica Neue"/>
          <w:highlight w:val="white"/>
        </w:rPr>
      </w:pPr>
      <w:r>
        <w:rPr>
          <w:rFonts w:ascii="Helvetica Neue" w:eastAsia="Helvetica Neue" w:hAnsi="Helvetica Neue" w:cs="Helvetica Neue"/>
          <w:highlight w:val="white"/>
        </w:rPr>
        <w:t>Fuente. UTL Catalina Ortiz</w:t>
      </w:r>
    </w:p>
    <w:p w:rsidR="00E90573" w:rsidRDefault="00E90573">
      <w:pPr>
        <w:spacing w:after="0" w:line="276" w:lineRule="auto"/>
        <w:jc w:val="center"/>
        <w:rPr>
          <w:rFonts w:ascii="Helvetica Neue" w:eastAsia="Helvetica Neue" w:hAnsi="Helvetica Neue" w:cs="Helvetica Neue"/>
          <w:sz w:val="24"/>
          <w:szCs w:val="24"/>
          <w:highlight w:val="white"/>
        </w:rPr>
      </w:pPr>
    </w:p>
    <w:p w:rsidR="00E90573" w:rsidRDefault="00D17DEC">
      <w:pPr>
        <w:spacing w:after="0" w:line="276" w:lineRule="auto"/>
        <w:jc w:val="both"/>
        <w:rPr>
          <w:rFonts w:ascii="Helvetica Neue" w:eastAsia="Helvetica Neue" w:hAnsi="Helvetica Neue" w:cs="Helvetica Neue"/>
          <w:sz w:val="24"/>
          <w:szCs w:val="24"/>
          <w:highlight w:val="white"/>
        </w:rPr>
      </w:pPr>
      <w:r>
        <w:rPr>
          <w:rFonts w:ascii="Helvetica Neue" w:eastAsia="Helvetica Neue" w:hAnsi="Helvetica Neue" w:cs="Helvetica Neue"/>
          <w:sz w:val="24"/>
          <w:szCs w:val="24"/>
          <w:highlight w:val="white"/>
        </w:rPr>
        <w:t xml:space="preserve">Solo en una de estas fue ganador el tercero interesado, que es la vía Bogotá-Girardot, pero este consorcio se encuentra investigado por la Superintendencia de Industria y Comercio (SIC), con cargos por colusión o cartelización empresarial y otras prácticas anticompetitivas que habrían ocurrido en el proceso de selección contractual adelantado por la ANI. No se puede dejar de lado que para la construcción del denominado Tercer Carril Bogotá – Girardot el presupuesto oficial es superior a $2.9 billones de pesos. </w:t>
      </w:r>
    </w:p>
    <w:p w:rsidR="00E90573" w:rsidRDefault="00E90573">
      <w:pPr>
        <w:spacing w:after="0" w:line="276" w:lineRule="auto"/>
        <w:jc w:val="both"/>
        <w:rPr>
          <w:rFonts w:ascii="Helvetica Neue" w:eastAsia="Helvetica Neue" w:hAnsi="Helvetica Neue" w:cs="Helvetica Neue"/>
          <w:sz w:val="24"/>
          <w:szCs w:val="24"/>
          <w:highlight w:val="white"/>
        </w:rPr>
      </w:pPr>
    </w:p>
    <w:p w:rsidR="00E90573" w:rsidRDefault="00D17DEC">
      <w:pPr>
        <w:spacing w:after="0" w:line="276" w:lineRule="auto"/>
        <w:jc w:val="both"/>
        <w:rPr>
          <w:rFonts w:ascii="Helvetica Neue" w:eastAsia="Helvetica Neue" w:hAnsi="Helvetica Neue" w:cs="Helvetica Neue"/>
          <w:sz w:val="24"/>
          <w:szCs w:val="24"/>
          <w:highlight w:val="white"/>
        </w:rPr>
      </w:pPr>
      <w:r>
        <w:rPr>
          <w:rFonts w:ascii="Helvetica Neue" w:eastAsia="Helvetica Neue" w:hAnsi="Helvetica Neue" w:cs="Helvetica Neue"/>
          <w:sz w:val="24"/>
          <w:szCs w:val="24"/>
          <w:highlight w:val="white"/>
        </w:rPr>
        <w:t>Frente a la investigación que adelanta la SIC, la entidad asegura que “las empresas de la Estructura Plural integrada por CONALVÍAS; INFRACON e ICEIN como ORIGINADOR no solo fueron derrotadas, sino que se vieron imposibilitadas jurídicamente para presentar una contraoferta, habida cuenta de la forma tan precisa y calculada como se estructuraron de forma conjunta y complementaria las ofertas que presentaron las empresas coludidas o cartelizadas”</w:t>
      </w:r>
      <w:r>
        <w:rPr>
          <w:rFonts w:ascii="Helvetica Neue" w:eastAsia="Helvetica Neue" w:hAnsi="Helvetica Neue" w:cs="Helvetica Neue"/>
          <w:sz w:val="24"/>
          <w:szCs w:val="24"/>
          <w:highlight w:val="white"/>
          <w:vertAlign w:val="superscript"/>
        </w:rPr>
        <w:footnoteReference w:id="30"/>
      </w:r>
      <w:r>
        <w:rPr>
          <w:rFonts w:ascii="Helvetica Neue" w:eastAsia="Helvetica Neue" w:hAnsi="Helvetica Neue" w:cs="Helvetica Neue"/>
          <w:sz w:val="24"/>
          <w:szCs w:val="24"/>
          <w:highlight w:val="white"/>
        </w:rPr>
        <w:t>.</w:t>
      </w:r>
    </w:p>
    <w:p w:rsidR="00E90573" w:rsidRDefault="00E90573">
      <w:pPr>
        <w:spacing w:after="0" w:line="276" w:lineRule="auto"/>
        <w:jc w:val="both"/>
        <w:rPr>
          <w:rFonts w:ascii="Helvetica Neue" w:eastAsia="Helvetica Neue" w:hAnsi="Helvetica Neue" w:cs="Helvetica Neue"/>
          <w:sz w:val="24"/>
          <w:szCs w:val="24"/>
          <w:highlight w:val="white"/>
        </w:rPr>
      </w:pPr>
    </w:p>
    <w:p w:rsidR="00E90573" w:rsidRDefault="00D17DEC">
      <w:pPr>
        <w:spacing w:after="0" w:line="276" w:lineRule="auto"/>
        <w:jc w:val="both"/>
        <w:rPr>
          <w:rFonts w:ascii="Helvetica Neue" w:eastAsia="Helvetica Neue" w:hAnsi="Helvetica Neue" w:cs="Helvetica Neue"/>
          <w:sz w:val="24"/>
          <w:szCs w:val="24"/>
          <w:highlight w:val="white"/>
        </w:rPr>
      </w:pPr>
      <w:r>
        <w:rPr>
          <w:rFonts w:ascii="Helvetica Neue" w:eastAsia="Helvetica Neue" w:hAnsi="Helvetica Neue" w:cs="Helvetica Neue"/>
          <w:sz w:val="24"/>
          <w:szCs w:val="24"/>
          <w:highlight w:val="white"/>
        </w:rPr>
        <w:t>Han surgido muchas críticas alrededor de la investigación que se adelanta en el único proyecto adjudicado por la ANI a un privado diferente al originador, pues contrario a alentar la competencia podría desincentivar aún más que terceros se presenten, por la excesiva protección al originador de los proyectos. Incluso en enero de 2020 la delegatura que llevaba la investigación al interior de la Superintendencia le recomendó al superintendente Andrés Barreto archivar toda la investigación en contra de la constructora antioqueña</w:t>
      </w:r>
      <w:r>
        <w:rPr>
          <w:rFonts w:ascii="Helvetica Neue" w:eastAsia="Helvetica Neue" w:hAnsi="Helvetica Neue" w:cs="Helvetica Neue"/>
          <w:sz w:val="24"/>
          <w:szCs w:val="24"/>
          <w:highlight w:val="white"/>
          <w:vertAlign w:val="superscript"/>
        </w:rPr>
        <w:footnoteReference w:id="31"/>
      </w:r>
      <w:r>
        <w:rPr>
          <w:rFonts w:ascii="Helvetica Neue" w:eastAsia="Helvetica Neue" w:hAnsi="Helvetica Neue" w:cs="Helvetica Neue"/>
          <w:sz w:val="24"/>
          <w:szCs w:val="24"/>
          <w:highlight w:val="white"/>
        </w:rPr>
        <w:t>.</w:t>
      </w:r>
    </w:p>
    <w:p w:rsidR="00E90573" w:rsidRDefault="00E90573">
      <w:pPr>
        <w:spacing w:after="0" w:line="276" w:lineRule="auto"/>
        <w:jc w:val="both"/>
        <w:rPr>
          <w:rFonts w:ascii="Helvetica Neue" w:eastAsia="Helvetica Neue" w:hAnsi="Helvetica Neue" w:cs="Helvetica Neue"/>
          <w:sz w:val="24"/>
          <w:szCs w:val="24"/>
          <w:highlight w:val="white"/>
        </w:rPr>
      </w:pPr>
    </w:p>
    <w:p w:rsidR="00E90573" w:rsidRDefault="00D17DEC">
      <w:pPr>
        <w:spacing w:after="0"/>
        <w:jc w:val="both"/>
        <w:rPr>
          <w:rFonts w:ascii="Helvetica Neue" w:eastAsia="Helvetica Neue" w:hAnsi="Helvetica Neue" w:cs="Helvetica Neue"/>
          <w:sz w:val="24"/>
          <w:szCs w:val="24"/>
          <w:highlight w:val="white"/>
        </w:rPr>
      </w:pPr>
      <w:r>
        <w:rPr>
          <w:rFonts w:ascii="Helvetica Neue" w:eastAsia="Helvetica Neue" w:hAnsi="Helvetica Neue" w:cs="Helvetica Neue"/>
          <w:sz w:val="24"/>
          <w:szCs w:val="24"/>
          <w:highlight w:val="white"/>
        </w:rPr>
        <w:t>La falta de competencia, derivada del marco normativo actual repercute en: dificultades para cerrar financieramente los proyectos de Iniciativa Privada, altos costos, soluciones con mínima innovación y en caso de ocurrencia de problemas, serias dificultades para encontrar otro interesado en continuar el proyecto, como ocurre con la vía Cesar-Guajira (corredor para el turismo y exportación de Carbón, liquidada por problemas con consultas previas) y la vía al Puerto, Trayecto Buga- Buenaventura (corredor de comercio hacia el Pacífico, liquidada por problemas del contrato).</w:t>
      </w:r>
    </w:p>
    <w:p w:rsidR="00E90573" w:rsidRDefault="00E90573">
      <w:pPr>
        <w:spacing w:after="0"/>
        <w:jc w:val="both"/>
        <w:rPr>
          <w:rFonts w:ascii="Helvetica Neue" w:eastAsia="Helvetica Neue" w:hAnsi="Helvetica Neue" w:cs="Helvetica Neue"/>
          <w:sz w:val="24"/>
          <w:szCs w:val="24"/>
          <w:highlight w:val="white"/>
        </w:rPr>
      </w:pPr>
    </w:p>
    <w:p w:rsidR="00E90573" w:rsidRDefault="00D17DEC">
      <w:pPr>
        <w:spacing w:before="240" w:after="240" w:line="240" w:lineRule="auto"/>
        <w:jc w:val="both"/>
        <w:rPr>
          <w:rFonts w:ascii="Helvetica Neue" w:eastAsia="Helvetica Neue" w:hAnsi="Helvetica Neue" w:cs="Helvetica Neue"/>
          <w:b/>
          <w:sz w:val="24"/>
          <w:szCs w:val="24"/>
          <w:highlight w:val="white"/>
        </w:rPr>
      </w:pPr>
      <w:r>
        <w:rPr>
          <w:rFonts w:ascii="Helvetica Neue" w:eastAsia="Helvetica Neue" w:hAnsi="Helvetica Neue" w:cs="Helvetica Neue"/>
          <w:b/>
          <w:sz w:val="24"/>
          <w:szCs w:val="24"/>
          <w:highlight w:val="white"/>
        </w:rPr>
        <w:t>9.1.1.</w:t>
      </w:r>
      <w:r>
        <w:rPr>
          <w:rFonts w:ascii="Arial" w:eastAsia="Arial" w:hAnsi="Arial" w:cs="Arial"/>
          <w:b/>
          <w:sz w:val="23"/>
          <w:szCs w:val="23"/>
          <w:highlight w:val="white"/>
        </w:rPr>
        <w:t xml:space="preserve"> </w:t>
      </w:r>
      <w:r>
        <w:rPr>
          <w:rFonts w:ascii="Helvetica Neue" w:eastAsia="Helvetica Neue" w:hAnsi="Helvetica Neue" w:cs="Helvetica Neue"/>
          <w:b/>
          <w:sz w:val="24"/>
          <w:szCs w:val="24"/>
          <w:highlight w:val="white"/>
        </w:rPr>
        <w:t xml:space="preserve">Beneficios dirigidos al Originador para promover IPs, sin sacrificar la competencia. </w:t>
      </w:r>
    </w:p>
    <w:p w:rsidR="00E90573" w:rsidRDefault="00D17DEC">
      <w:pPr>
        <w:spacing w:before="240" w:after="240" w:line="240" w:lineRule="auto"/>
        <w:jc w:val="both"/>
        <w:rPr>
          <w:rFonts w:ascii="Helvetica Neue" w:eastAsia="Helvetica Neue" w:hAnsi="Helvetica Neue" w:cs="Helvetica Neue"/>
          <w:sz w:val="24"/>
          <w:szCs w:val="24"/>
          <w:highlight w:val="white"/>
        </w:rPr>
      </w:pPr>
      <w:r>
        <w:rPr>
          <w:rFonts w:ascii="Helvetica Neue" w:eastAsia="Helvetica Neue" w:hAnsi="Helvetica Neue" w:cs="Helvetica Neue"/>
          <w:sz w:val="24"/>
          <w:szCs w:val="24"/>
          <w:highlight w:val="white"/>
        </w:rPr>
        <w:t>Para promover la originación de proyectos de APP de Iniciativa privada, en muchos países se han creado estrategias que consisten en ciertos beneficios dirigidos al originador, sin sacrificar la competencia. Por ejemplo Sudáfrica le da un acceso automático a la etapa de la oferta Mejor y Final, en Indonesia el gobierno o el postor ganador le paga una cuota de desarrollador por la estructuración del proceso, en Chile recibe un bono de oferta, y varios estados en la India utilizan el enfoque de desafío suizo</w:t>
      </w:r>
      <w:r>
        <w:rPr>
          <w:rFonts w:ascii="Helvetica Neue" w:eastAsia="Helvetica Neue" w:hAnsi="Helvetica Neue" w:cs="Helvetica Neue"/>
          <w:sz w:val="24"/>
          <w:szCs w:val="24"/>
          <w:highlight w:val="white"/>
          <w:vertAlign w:val="superscript"/>
        </w:rPr>
        <w:footnoteReference w:id="32"/>
      </w:r>
      <w:r>
        <w:rPr>
          <w:rFonts w:ascii="Helvetica Neue" w:eastAsia="Helvetica Neue" w:hAnsi="Helvetica Neue" w:cs="Helvetica Neue"/>
          <w:sz w:val="24"/>
          <w:szCs w:val="24"/>
          <w:highlight w:val="white"/>
        </w:rPr>
        <w:t xml:space="preserve"> y en Senegal da una compensación</w:t>
      </w:r>
      <w:r>
        <w:rPr>
          <w:rFonts w:ascii="Helvetica Neue" w:eastAsia="Helvetica Neue" w:hAnsi="Helvetica Neue" w:cs="Helvetica Neue"/>
          <w:sz w:val="24"/>
          <w:szCs w:val="24"/>
          <w:highlight w:val="white"/>
          <w:vertAlign w:val="superscript"/>
        </w:rPr>
        <w:footnoteReference w:id="33"/>
      </w:r>
      <w:r>
        <w:rPr>
          <w:rFonts w:ascii="Helvetica Neue" w:eastAsia="Helvetica Neue" w:hAnsi="Helvetica Neue" w:cs="Helvetica Neue"/>
          <w:sz w:val="24"/>
          <w:szCs w:val="24"/>
          <w:highlight w:val="white"/>
        </w:rPr>
        <w:t>.</w:t>
      </w:r>
    </w:p>
    <w:p w:rsidR="00E90573" w:rsidRDefault="00D17DEC">
      <w:pPr>
        <w:spacing w:before="240" w:after="240" w:line="240" w:lineRule="auto"/>
        <w:jc w:val="both"/>
        <w:rPr>
          <w:rFonts w:ascii="Helvetica Neue" w:eastAsia="Helvetica Neue" w:hAnsi="Helvetica Neue" w:cs="Helvetica Neue"/>
          <w:sz w:val="24"/>
          <w:szCs w:val="24"/>
          <w:highlight w:val="white"/>
          <w:u w:val="single"/>
        </w:rPr>
      </w:pPr>
      <w:r>
        <w:rPr>
          <w:rFonts w:ascii="Helvetica Neue" w:eastAsia="Helvetica Neue" w:hAnsi="Helvetica Neue" w:cs="Helvetica Neue"/>
          <w:b/>
          <w:sz w:val="24"/>
          <w:szCs w:val="24"/>
          <w:highlight w:val="white"/>
          <w:u w:val="single"/>
        </w:rPr>
        <w:t>9.2. Asimetría en la asignación de riesgos</w:t>
      </w:r>
    </w:p>
    <w:p w:rsidR="00E90573" w:rsidRDefault="00D17DEC">
      <w:pPr>
        <w:spacing w:before="240" w:after="240" w:line="240" w:lineRule="auto"/>
        <w:jc w:val="both"/>
        <w:rPr>
          <w:rFonts w:ascii="Helvetica Neue" w:eastAsia="Helvetica Neue" w:hAnsi="Helvetica Neue" w:cs="Helvetica Neue"/>
          <w:b/>
          <w:sz w:val="24"/>
          <w:szCs w:val="24"/>
          <w:highlight w:val="white"/>
          <w:u w:val="single"/>
          <w:vertAlign w:val="superscript"/>
        </w:rPr>
      </w:pPr>
      <w:r>
        <w:rPr>
          <w:rFonts w:ascii="Helvetica Neue" w:eastAsia="Helvetica Neue" w:hAnsi="Helvetica Neue" w:cs="Helvetica Neue"/>
          <w:b/>
          <w:sz w:val="24"/>
          <w:szCs w:val="24"/>
          <w:highlight w:val="white"/>
          <w:u w:val="single"/>
        </w:rPr>
        <w:t>9.2.1. Problemas en Asignación de Riesgos Regulatorios en APPs</w:t>
      </w:r>
      <w:r>
        <w:rPr>
          <w:rFonts w:ascii="Helvetica Neue" w:eastAsia="Helvetica Neue" w:hAnsi="Helvetica Neue" w:cs="Helvetica Neue"/>
          <w:b/>
          <w:sz w:val="24"/>
          <w:szCs w:val="24"/>
          <w:highlight w:val="white"/>
          <w:u w:val="single"/>
          <w:vertAlign w:val="superscript"/>
        </w:rPr>
        <w:footnoteReference w:id="34"/>
      </w:r>
    </w:p>
    <w:p w:rsidR="00E90573" w:rsidRDefault="00D17DEC">
      <w:pPr>
        <w:spacing w:after="0" w:line="276" w:lineRule="auto"/>
        <w:jc w:val="both"/>
        <w:rPr>
          <w:rFonts w:ascii="Helvetica Neue" w:eastAsia="Helvetica Neue" w:hAnsi="Helvetica Neue" w:cs="Helvetica Neue"/>
          <w:sz w:val="24"/>
          <w:szCs w:val="24"/>
          <w:highlight w:val="white"/>
        </w:rPr>
      </w:pPr>
      <w:r>
        <w:rPr>
          <w:rFonts w:ascii="Helvetica Neue" w:eastAsia="Helvetica Neue" w:hAnsi="Helvetica Neue" w:cs="Helvetica Neue"/>
          <w:sz w:val="24"/>
          <w:szCs w:val="24"/>
          <w:highlight w:val="white"/>
        </w:rPr>
        <w:t>En febrero de 2020, la Cámara Colombiana de Infraestructura (CCI) publicó un informe sobre el manejo de los Riesgos en las Asociaciones Público-Privadas de Iniciativa Privada en los proyectos Aeroportuarios. En este informe la CCI señala que si bien la Ley 1508 de 2012 (la cual crea el régimen de APPs), busca que los riesgos sean asignados de la mejor forma, esto no está ocurriendo en sectores como el Aeroportuario, ejemplo de ello es que el gobierno expidió el CONPES 3807 de 2014 en el cual se establece que riesgos como el regulatorio deben ser asignados al Privado.</w:t>
      </w:r>
    </w:p>
    <w:p w:rsidR="00E90573" w:rsidRDefault="00E90573">
      <w:pPr>
        <w:spacing w:after="0" w:line="276" w:lineRule="auto"/>
        <w:jc w:val="both"/>
        <w:rPr>
          <w:rFonts w:ascii="Helvetica Neue" w:eastAsia="Helvetica Neue" w:hAnsi="Helvetica Neue" w:cs="Helvetica Neue"/>
          <w:sz w:val="24"/>
          <w:szCs w:val="24"/>
          <w:highlight w:val="white"/>
        </w:rPr>
      </w:pPr>
    </w:p>
    <w:p w:rsidR="00E90573" w:rsidRDefault="00D17DEC">
      <w:pPr>
        <w:spacing w:after="0" w:line="276" w:lineRule="auto"/>
        <w:jc w:val="both"/>
        <w:rPr>
          <w:rFonts w:ascii="Helvetica Neue" w:eastAsia="Helvetica Neue" w:hAnsi="Helvetica Neue" w:cs="Helvetica Neue"/>
          <w:sz w:val="24"/>
          <w:szCs w:val="24"/>
          <w:highlight w:val="white"/>
        </w:rPr>
      </w:pPr>
      <w:r>
        <w:rPr>
          <w:rFonts w:ascii="Helvetica Neue" w:eastAsia="Helvetica Neue" w:hAnsi="Helvetica Neue" w:cs="Helvetica Neue"/>
          <w:sz w:val="24"/>
          <w:szCs w:val="24"/>
          <w:highlight w:val="white"/>
        </w:rPr>
        <w:t xml:space="preserve">El problema de asignar riesgos como el regulatorio a los privados es que resulta ineficiente por la simple razón de que no se encuentra dentro de la esfera de facultades </w:t>
      </w:r>
      <w:r>
        <w:rPr>
          <w:rFonts w:ascii="Helvetica Neue" w:eastAsia="Helvetica Neue" w:hAnsi="Helvetica Neue" w:cs="Helvetica Neue"/>
          <w:sz w:val="24"/>
          <w:szCs w:val="24"/>
          <w:highlight w:val="white"/>
        </w:rPr>
        <w:lastRenderedPageBreak/>
        <w:t>de un privado, por el contrario, el ámbito regulatorio pertenece sin lugar a duda a la esfera pública. Este riesgo no puede ser valorado ni cuantificado en el modelo financiero del concesionario lo que termina generando costos injustificados para cualquiera de las partes.</w:t>
      </w:r>
    </w:p>
    <w:p w:rsidR="00E90573" w:rsidRDefault="00E90573">
      <w:pPr>
        <w:spacing w:after="0" w:line="276" w:lineRule="auto"/>
        <w:jc w:val="both"/>
        <w:rPr>
          <w:rFonts w:ascii="Helvetica Neue" w:eastAsia="Helvetica Neue" w:hAnsi="Helvetica Neue" w:cs="Helvetica Neue"/>
          <w:sz w:val="24"/>
          <w:szCs w:val="24"/>
          <w:highlight w:val="white"/>
        </w:rPr>
      </w:pPr>
    </w:p>
    <w:p w:rsidR="00E90573" w:rsidRDefault="00D17DEC">
      <w:pPr>
        <w:spacing w:after="0" w:line="276" w:lineRule="auto"/>
        <w:jc w:val="both"/>
        <w:rPr>
          <w:rFonts w:ascii="Helvetica Neue" w:eastAsia="Helvetica Neue" w:hAnsi="Helvetica Neue" w:cs="Helvetica Neue"/>
          <w:sz w:val="24"/>
          <w:szCs w:val="24"/>
          <w:highlight w:val="white"/>
        </w:rPr>
      </w:pPr>
      <w:r>
        <w:rPr>
          <w:rFonts w:ascii="Helvetica Neue" w:eastAsia="Helvetica Neue" w:hAnsi="Helvetica Neue" w:cs="Helvetica Neue"/>
          <w:sz w:val="24"/>
          <w:szCs w:val="24"/>
          <w:highlight w:val="white"/>
        </w:rPr>
        <w:t>Cuando se habla de riesgos regulatorios se refieren a posibles cambios normativos o reglamentarios que afecten el equilibrio económico del contrato (Conpes 3807). Este informe menciona además un estudio de la CEPAL (2002), donde establece que asignar el riesgo regulatorio al privado desincentiva la financiación de proyectos.</w:t>
      </w:r>
    </w:p>
    <w:p w:rsidR="00E90573" w:rsidRDefault="00E90573">
      <w:pPr>
        <w:spacing w:after="0" w:line="276" w:lineRule="auto"/>
        <w:jc w:val="both"/>
        <w:rPr>
          <w:rFonts w:ascii="Helvetica Neue" w:eastAsia="Helvetica Neue" w:hAnsi="Helvetica Neue" w:cs="Helvetica Neue"/>
          <w:sz w:val="24"/>
          <w:szCs w:val="24"/>
          <w:highlight w:val="white"/>
        </w:rPr>
      </w:pPr>
    </w:p>
    <w:p w:rsidR="00E90573" w:rsidRDefault="00D17DEC">
      <w:pPr>
        <w:spacing w:after="0" w:line="276" w:lineRule="auto"/>
        <w:jc w:val="both"/>
        <w:rPr>
          <w:rFonts w:ascii="Helvetica Neue" w:eastAsia="Helvetica Neue" w:hAnsi="Helvetica Neue" w:cs="Helvetica Neue"/>
          <w:sz w:val="24"/>
          <w:szCs w:val="24"/>
          <w:highlight w:val="white"/>
        </w:rPr>
      </w:pPr>
      <w:r>
        <w:rPr>
          <w:rFonts w:ascii="Helvetica Neue" w:eastAsia="Helvetica Neue" w:hAnsi="Helvetica Neue" w:cs="Helvetica Neue"/>
          <w:sz w:val="24"/>
          <w:szCs w:val="24"/>
          <w:highlight w:val="white"/>
        </w:rPr>
        <w:t xml:space="preserve">Para el caso de proyectos aeroportuarios de iniciativa privada, la imposibilidad de cuantificar el riesgo regulatorio es uno de los escollos en la financiación de un proyecto aeroportuario, pues el concesionario no solo no tiene control sobre el riesgo, sino que tampoco tiene la posibilidad de valorar anticipadamente las consecuencias financieras por cambios normativos. La incertidumbre de este riesgo es de tal magnitud, que no existe forma de sustentar al financiador de un proyecto que la redistribución resultará suficiente para cubrir los efectos derivados de su materialización. </w:t>
      </w:r>
    </w:p>
    <w:p w:rsidR="00E90573" w:rsidRDefault="00E90573">
      <w:pPr>
        <w:spacing w:after="0" w:line="276" w:lineRule="auto"/>
        <w:jc w:val="both"/>
        <w:rPr>
          <w:rFonts w:ascii="Helvetica Neue" w:eastAsia="Helvetica Neue" w:hAnsi="Helvetica Neue" w:cs="Helvetica Neue"/>
          <w:sz w:val="24"/>
          <w:szCs w:val="24"/>
          <w:highlight w:val="white"/>
        </w:rPr>
      </w:pPr>
    </w:p>
    <w:p w:rsidR="00E90573" w:rsidRDefault="00D17DEC">
      <w:pPr>
        <w:spacing w:after="0" w:line="276" w:lineRule="auto"/>
        <w:jc w:val="both"/>
        <w:rPr>
          <w:rFonts w:ascii="Helvetica Neue" w:eastAsia="Helvetica Neue" w:hAnsi="Helvetica Neue" w:cs="Helvetica Neue"/>
          <w:sz w:val="24"/>
          <w:szCs w:val="24"/>
          <w:highlight w:val="white"/>
        </w:rPr>
      </w:pPr>
      <w:r>
        <w:rPr>
          <w:rFonts w:ascii="Helvetica Neue" w:eastAsia="Helvetica Neue" w:hAnsi="Helvetica Neue" w:cs="Helvetica Neue"/>
          <w:sz w:val="24"/>
          <w:szCs w:val="24"/>
          <w:highlight w:val="white"/>
        </w:rPr>
        <w:t xml:space="preserve">También se hace referencia al estudio de la OCDE: </w:t>
      </w:r>
      <w:r>
        <w:rPr>
          <w:rFonts w:ascii="Helvetica Neue" w:eastAsia="Helvetica Neue" w:hAnsi="Helvetica Neue" w:cs="Helvetica Neue"/>
          <w:b/>
          <w:sz w:val="24"/>
          <w:szCs w:val="24"/>
          <w:highlight w:val="white"/>
        </w:rPr>
        <w:t>“From Lessons tu Principles for the use of Public-Private partnerships”,</w:t>
      </w:r>
      <w:r>
        <w:rPr>
          <w:rFonts w:ascii="Helvetica Neue" w:eastAsia="Helvetica Neue" w:hAnsi="Helvetica Neue" w:cs="Helvetica Neue"/>
          <w:sz w:val="24"/>
          <w:szCs w:val="24"/>
          <w:highlight w:val="white"/>
        </w:rPr>
        <w:t xml:space="preserve"> en el cual se concluye que es deber del Estado asegurar la competencia e integridad de la obtención del Proyecto de APP. La competencia es un elemento esencial para el éxito de las APPs, esta debe estar presente tanto como para la elección de las ofertas como para cuando el contrato ha concluido y el proyecto ya es operacional. La competencia se asegura con una asignación de riesgos efectiva. Si no hay competencia esto resulta siendo un incentivo negativo para que el servicio que brinde el privado reduzca su eficiencia y por ende se reduzca o elimine el beneficio de utilizar una asociación público- privada.</w:t>
      </w:r>
    </w:p>
    <w:p w:rsidR="00E90573" w:rsidRDefault="00E90573">
      <w:pPr>
        <w:spacing w:after="0" w:line="276" w:lineRule="auto"/>
        <w:jc w:val="both"/>
        <w:rPr>
          <w:rFonts w:ascii="Helvetica Neue" w:eastAsia="Helvetica Neue" w:hAnsi="Helvetica Neue" w:cs="Helvetica Neue"/>
          <w:b/>
          <w:sz w:val="24"/>
          <w:szCs w:val="24"/>
          <w:highlight w:val="white"/>
        </w:rPr>
      </w:pPr>
    </w:p>
    <w:p w:rsidR="00E90573" w:rsidRDefault="00D17DEC">
      <w:pPr>
        <w:spacing w:after="0" w:line="276" w:lineRule="auto"/>
        <w:jc w:val="both"/>
        <w:rPr>
          <w:rFonts w:ascii="Helvetica Neue" w:eastAsia="Helvetica Neue" w:hAnsi="Helvetica Neue" w:cs="Helvetica Neue"/>
          <w:b/>
          <w:sz w:val="24"/>
          <w:szCs w:val="24"/>
          <w:highlight w:val="white"/>
          <w:u w:val="single"/>
        </w:rPr>
      </w:pPr>
      <w:r>
        <w:rPr>
          <w:rFonts w:ascii="Helvetica Neue" w:eastAsia="Helvetica Neue" w:hAnsi="Helvetica Neue" w:cs="Helvetica Neue"/>
          <w:b/>
          <w:sz w:val="24"/>
          <w:szCs w:val="24"/>
          <w:highlight w:val="white"/>
          <w:u w:val="single"/>
        </w:rPr>
        <w:t xml:space="preserve">9.2.2. Casos que evidencian el resultado de la asimetría en asignación de riesgos que inciden en la falta de competencia. </w:t>
      </w:r>
    </w:p>
    <w:p w:rsidR="00E90573" w:rsidRDefault="00E90573">
      <w:pPr>
        <w:spacing w:after="0" w:line="276" w:lineRule="auto"/>
        <w:jc w:val="both"/>
        <w:rPr>
          <w:rFonts w:ascii="Helvetica Neue" w:eastAsia="Helvetica Neue" w:hAnsi="Helvetica Neue" w:cs="Helvetica Neue"/>
          <w:b/>
          <w:sz w:val="24"/>
          <w:szCs w:val="24"/>
          <w:highlight w:val="white"/>
        </w:rPr>
      </w:pPr>
    </w:p>
    <w:p w:rsidR="00E90573" w:rsidRDefault="00D17DEC">
      <w:pPr>
        <w:spacing w:after="0"/>
        <w:jc w:val="both"/>
        <w:rPr>
          <w:rFonts w:ascii="Helvetica Neue" w:eastAsia="Helvetica Neue" w:hAnsi="Helvetica Neue" w:cs="Helvetica Neue"/>
          <w:sz w:val="24"/>
          <w:szCs w:val="24"/>
          <w:highlight w:val="white"/>
        </w:rPr>
      </w:pPr>
      <w:r>
        <w:rPr>
          <w:rFonts w:ascii="Helvetica Neue" w:eastAsia="Helvetica Neue" w:hAnsi="Helvetica Neue" w:cs="Helvetica Neue"/>
          <w:sz w:val="24"/>
          <w:szCs w:val="24"/>
          <w:highlight w:val="white"/>
        </w:rPr>
        <w:t xml:space="preserve">La liquidación del contrato de dos de los corredores más importantes del país (Cesar-Guajira y Vía al Puerto), no debe pasar desapercibida, pues los problemas actuales en su contratación demuestran que uno de los resultados de la falta de competencia en estos proyectos, </w:t>
      </w:r>
      <w:r>
        <w:rPr>
          <w:rFonts w:ascii="Helvetica Neue" w:eastAsia="Helvetica Neue" w:hAnsi="Helvetica Neue" w:cs="Helvetica Neue"/>
          <w:b/>
          <w:sz w:val="24"/>
          <w:szCs w:val="24"/>
          <w:highlight w:val="white"/>
        </w:rPr>
        <w:t>es la asimetría en la asignación de riesgos,</w:t>
      </w:r>
      <w:r>
        <w:rPr>
          <w:rFonts w:ascii="Helvetica Neue" w:eastAsia="Helvetica Neue" w:hAnsi="Helvetica Neue" w:cs="Helvetica Neue"/>
          <w:sz w:val="24"/>
          <w:szCs w:val="24"/>
          <w:highlight w:val="white"/>
        </w:rPr>
        <w:t xml:space="preserve"> notorio cuando se materializan estos y se hace necesario terminar el contrato o renegociar contratos que ya estaban en ejecución (como ocurrió con la Malla Vial del Meta)</w:t>
      </w:r>
    </w:p>
    <w:p w:rsidR="00E90573" w:rsidRDefault="00E90573">
      <w:pPr>
        <w:spacing w:after="0"/>
        <w:jc w:val="both"/>
        <w:rPr>
          <w:rFonts w:ascii="Helvetica Neue" w:eastAsia="Helvetica Neue" w:hAnsi="Helvetica Neue" w:cs="Helvetica Neue"/>
          <w:sz w:val="24"/>
          <w:szCs w:val="24"/>
          <w:highlight w:val="white"/>
        </w:rPr>
      </w:pPr>
    </w:p>
    <w:p w:rsidR="00E90573" w:rsidRDefault="00D17DEC">
      <w:pPr>
        <w:spacing w:after="0"/>
        <w:jc w:val="both"/>
        <w:rPr>
          <w:rFonts w:ascii="Helvetica Neue" w:eastAsia="Helvetica Neue" w:hAnsi="Helvetica Neue" w:cs="Helvetica Neue"/>
          <w:sz w:val="24"/>
          <w:szCs w:val="24"/>
          <w:highlight w:val="white"/>
        </w:rPr>
      </w:pPr>
      <w:r>
        <w:rPr>
          <w:rFonts w:ascii="Helvetica Neue" w:eastAsia="Helvetica Neue" w:hAnsi="Helvetica Neue" w:cs="Helvetica Neue"/>
          <w:sz w:val="24"/>
          <w:szCs w:val="24"/>
          <w:highlight w:val="white"/>
        </w:rPr>
        <w:t xml:space="preserve">Los costos de esta asimetría los termina asumiendo el Estado pues por un lado, ante casos como la Malla Vial del Meta, se obliga a través de un laudo arbitral a renegociar el contrato frente a riesgos financieros que fueron mal asignados desde el principio (lo que probablemente incidió en que no participaran terceros interesados) para evitar que esta obra tan importante para el país, termine liquidándose anticipadamente. </w:t>
      </w:r>
    </w:p>
    <w:p w:rsidR="00E90573" w:rsidRDefault="00E90573">
      <w:pPr>
        <w:spacing w:after="0"/>
        <w:jc w:val="both"/>
        <w:rPr>
          <w:rFonts w:ascii="Helvetica Neue" w:eastAsia="Helvetica Neue" w:hAnsi="Helvetica Neue" w:cs="Helvetica Neue"/>
          <w:sz w:val="24"/>
          <w:szCs w:val="24"/>
          <w:highlight w:val="white"/>
        </w:rPr>
      </w:pPr>
    </w:p>
    <w:p w:rsidR="00E90573" w:rsidRDefault="00D17DEC">
      <w:pPr>
        <w:spacing w:after="0"/>
        <w:jc w:val="both"/>
        <w:rPr>
          <w:rFonts w:ascii="Helvetica Neue" w:eastAsia="Helvetica Neue" w:hAnsi="Helvetica Neue" w:cs="Helvetica Neue"/>
          <w:sz w:val="24"/>
          <w:szCs w:val="24"/>
          <w:highlight w:val="white"/>
        </w:rPr>
      </w:pPr>
      <w:r>
        <w:rPr>
          <w:rFonts w:ascii="Helvetica Neue" w:eastAsia="Helvetica Neue" w:hAnsi="Helvetica Neue" w:cs="Helvetica Neue"/>
          <w:sz w:val="24"/>
          <w:szCs w:val="24"/>
          <w:highlight w:val="white"/>
        </w:rPr>
        <w:t xml:space="preserve">Por otro lado, en casos como la vía Cesar- Guajira, el Estado termina asumiendo los costos del mantenimiento de las obras realizadas para evitar que se deteriore la malla existente, pues el proyecto se liquidó estando en etapa de construcción, por imposibilidad de cobro del peaje (parte fundamental del contrato). Para finalizar, ante casos como el de la liquidación de la Vía al Puerto, el Estado asume el retraso en el </w:t>
      </w:r>
      <w:r>
        <w:rPr>
          <w:rFonts w:ascii="Helvetica Neue" w:eastAsia="Helvetica Neue" w:hAnsi="Helvetica Neue" w:cs="Helvetica Neue"/>
          <w:sz w:val="24"/>
          <w:szCs w:val="24"/>
          <w:highlight w:val="white"/>
        </w:rPr>
        <w:lastRenderedPageBreak/>
        <w:t xml:space="preserve">progreso de la competitividad del país, que paradójicamente es uno de los objetivos principales por los que se promueven las Asociaciones Público Privadas de Iniciativa Privada. </w:t>
      </w:r>
    </w:p>
    <w:p w:rsidR="00E90573" w:rsidRDefault="00E90573">
      <w:pPr>
        <w:spacing w:after="0"/>
        <w:jc w:val="both"/>
        <w:rPr>
          <w:rFonts w:ascii="Helvetica Neue" w:eastAsia="Helvetica Neue" w:hAnsi="Helvetica Neue" w:cs="Helvetica Neue"/>
          <w:sz w:val="24"/>
          <w:szCs w:val="24"/>
          <w:highlight w:val="white"/>
        </w:rPr>
      </w:pPr>
    </w:p>
    <w:p w:rsidR="00E90573" w:rsidRDefault="00E90573">
      <w:pPr>
        <w:spacing w:after="0"/>
        <w:jc w:val="both"/>
        <w:rPr>
          <w:rFonts w:ascii="Helvetica Neue" w:eastAsia="Helvetica Neue" w:hAnsi="Helvetica Neue" w:cs="Helvetica Neue"/>
          <w:sz w:val="24"/>
          <w:szCs w:val="24"/>
          <w:highlight w:val="white"/>
        </w:rPr>
      </w:pPr>
    </w:p>
    <w:p w:rsidR="00E90573" w:rsidRDefault="00D17DEC">
      <w:pPr>
        <w:numPr>
          <w:ilvl w:val="0"/>
          <w:numId w:val="15"/>
        </w:numPr>
        <w:spacing w:after="0"/>
        <w:jc w:val="both"/>
        <w:rPr>
          <w:rFonts w:ascii="Helvetica Neue" w:eastAsia="Helvetica Neue" w:hAnsi="Helvetica Neue" w:cs="Helvetica Neue"/>
          <w:b/>
          <w:sz w:val="24"/>
          <w:szCs w:val="24"/>
          <w:highlight w:val="white"/>
        </w:rPr>
      </w:pPr>
      <w:r>
        <w:rPr>
          <w:rFonts w:ascii="Helvetica Neue" w:eastAsia="Helvetica Neue" w:hAnsi="Helvetica Neue" w:cs="Helvetica Neue"/>
          <w:b/>
          <w:sz w:val="24"/>
          <w:szCs w:val="24"/>
          <w:highlight w:val="white"/>
        </w:rPr>
        <w:t>Vía al Puerto, Contrato No.003 de 2016, Corredor Buenaventura-Loboguerrero-Buga</w:t>
      </w:r>
      <w:r>
        <w:rPr>
          <w:rFonts w:ascii="Helvetica Neue" w:eastAsia="Helvetica Neue" w:hAnsi="Helvetica Neue" w:cs="Helvetica Neue"/>
          <w:b/>
          <w:sz w:val="24"/>
          <w:szCs w:val="24"/>
          <w:highlight w:val="white"/>
          <w:vertAlign w:val="superscript"/>
        </w:rPr>
        <w:footnoteReference w:id="35"/>
      </w:r>
      <w:r>
        <w:rPr>
          <w:rFonts w:ascii="Helvetica Neue" w:eastAsia="Helvetica Neue" w:hAnsi="Helvetica Neue" w:cs="Helvetica Neue"/>
          <w:b/>
          <w:sz w:val="24"/>
          <w:szCs w:val="24"/>
          <w:highlight w:val="white"/>
        </w:rPr>
        <w:t>.</w:t>
      </w:r>
    </w:p>
    <w:p w:rsidR="00E90573" w:rsidRDefault="00E90573">
      <w:pPr>
        <w:spacing w:after="0"/>
        <w:ind w:left="720"/>
        <w:jc w:val="both"/>
        <w:rPr>
          <w:rFonts w:ascii="Helvetica Neue" w:eastAsia="Helvetica Neue" w:hAnsi="Helvetica Neue" w:cs="Helvetica Neue"/>
          <w:b/>
          <w:sz w:val="24"/>
          <w:szCs w:val="24"/>
          <w:highlight w:val="white"/>
        </w:rPr>
      </w:pPr>
    </w:p>
    <w:p w:rsidR="00E90573" w:rsidRDefault="00D17DEC">
      <w:pPr>
        <w:spacing w:after="0"/>
        <w:jc w:val="both"/>
        <w:rPr>
          <w:rFonts w:ascii="Helvetica Neue" w:eastAsia="Helvetica Neue" w:hAnsi="Helvetica Neue" w:cs="Helvetica Neue"/>
          <w:sz w:val="24"/>
          <w:szCs w:val="24"/>
          <w:highlight w:val="white"/>
        </w:rPr>
      </w:pPr>
      <w:r>
        <w:rPr>
          <w:rFonts w:ascii="Helvetica Neue" w:eastAsia="Helvetica Neue" w:hAnsi="Helvetica Neue" w:cs="Helvetica Neue"/>
          <w:sz w:val="24"/>
          <w:szCs w:val="24"/>
          <w:highlight w:val="white"/>
        </w:rPr>
        <w:t>En el caso de la Vía al Puerto, esta vía fue contratada en 2016 a través de una APP IP sin recursos públicos, con un costo estimado de 1,18 billones de pesos</w:t>
      </w:r>
      <w:r>
        <w:rPr>
          <w:rFonts w:ascii="Helvetica Neue" w:eastAsia="Helvetica Neue" w:hAnsi="Helvetica Neue" w:cs="Helvetica Neue"/>
          <w:sz w:val="24"/>
          <w:szCs w:val="24"/>
          <w:highlight w:val="white"/>
          <w:vertAlign w:val="superscript"/>
        </w:rPr>
        <w:footnoteReference w:id="36"/>
      </w:r>
      <w:r>
        <w:rPr>
          <w:rFonts w:ascii="Helvetica Neue" w:eastAsia="Helvetica Neue" w:hAnsi="Helvetica Neue" w:cs="Helvetica Neue"/>
          <w:sz w:val="24"/>
          <w:szCs w:val="24"/>
          <w:highlight w:val="white"/>
        </w:rPr>
        <w:t>. En este proyecto se pactó como condición indispensable para que el privado pudiera ejecutar la obra, que el ESTADO  debía entregar la infraestructura correspondiente a la segunda calzada entre Mediacanoa-Loboguerrero. Pero esta vía (Mediacanoa-Loboguerrero) se encontraba pactada como una adición de otro contrato diferente (Contrato Adicional No. 13 al Contrato de Concesión 005 de 1999), con tan mala suerte que un Tribunal Arbitral declaró la nulidad de esta adición el 16 de diciembre de 2016, es decir el proyecto de la doble calzada Mediacanoa- Loboguerrero no era viable.</w:t>
      </w:r>
    </w:p>
    <w:p w:rsidR="00E90573" w:rsidRDefault="00E90573">
      <w:pPr>
        <w:spacing w:after="0" w:line="276" w:lineRule="auto"/>
        <w:jc w:val="both"/>
        <w:rPr>
          <w:rFonts w:ascii="Helvetica Neue" w:eastAsia="Helvetica Neue" w:hAnsi="Helvetica Neue" w:cs="Helvetica Neue"/>
          <w:sz w:val="24"/>
          <w:szCs w:val="24"/>
          <w:highlight w:val="white"/>
        </w:rPr>
      </w:pPr>
    </w:p>
    <w:p w:rsidR="00E90573" w:rsidRDefault="00D17DEC">
      <w:pPr>
        <w:spacing w:after="0" w:line="276" w:lineRule="auto"/>
        <w:jc w:val="both"/>
        <w:rPr>
          <w:rFonts w:ascii="Helvetica Neue" w:eastAsia="Helvetica Neue" w:hAnsi="Helvetica Neue" w:cs="Helvetica Neue"/>
          <w:sz w:val="24"/>
          <w:szCs w:val="24"/>
          <w:highlight w:val="white"/>
        </w:rPr>
      </w:pPr>
      <w:r>
        <w:rPr>
          <w:rFonts w:ascii="Helvetica Neue" w:eastAsia="Helvetica Neue" w:hAnsi="Helvetica Neue" w:cs="Helvetica Neue"/>
          <w:sz w:val="24"/>
          <w:szCs w:val="24"/>
          <w:highlight w:val="white"/>
        </w:rPr>
        <w:t>En un efecto dominó, la doble calzada Buga-Buenaventura se cayó y hasta el día de hoy los Colombianos seguimos esperando que el Estado resuelva qué va a pasar con esta vìa que conecta el corredor comercial desde el interior de Colombia hacia el Pacífico. Pero antes surgen muchas preguntas</w:t>
      </w:r>
      <w:r>
        <w:rPr>
          <w:rFonts w:ascii="Helvetica Neue" w:eastAsia="Helvetica Neue" w:hAnsi="Helvetica Neue" w:cs="Helvetica Neue"/>
          <w:b/>
          <w:sz w:val="24"/>
          <w:szCs w:val="24"/>
          <w:highlight w:val="white"/>
        </w:rPr>
        <w:t>. ¿Quién está asumiendo el costo en la competitividad del País originado por todos los retrasos de esta vía?¿Quién querrá asumir este proyecto, si solo se contaba con un interesado en participar, siendo este el mismo creador del proyecto que se cayó?</w:t>
      </w:r>
    </w:p>
    <w:p w:rsidR="00E90573" w:rsidRDefault="00E90573">
      <w:pPr>
        <w:spacing w:after="0"/>
        <w:jc w:val="both"/>
        <w:rPr>
          <w:rFonts w:ascii="Arial" w:eastAsia="Arial" w:hAnsi="Arial" w:cs="Arial"/>
          <w:sz w:val="24"/>
          <w:szCs w:val="24"/>
        </w:rPr>
      </w:pPr>
    </w:p>
    <w:p w:rsidR="00E90573" w:rsidRDefault="00E90573">
      <w:pPr>
        <w:spacing w:after="0"/>
        <w:jc w:val="both"/>
        <w:rPr>
          <w:rFonts w:ascii="Arial" w:eastAsia="Arial" w:hAnsi="Arial" w:cs="Arial"/>
          <w:sz w:val="24"/>
          <w:szCs w:val="24"/>
        </w:rPr>
      </w:pPr>
    </w:p>
    <w:p w:rsidR="00E90573" w:rsidRDefault="00D17DEC">
      <w:pPr>
        <w:numPr>
          <w:ilvl w:val="0"/>
          <w:numId w:val="9"/>
        </w:numPr>
        <w:spacing w:after="0"/>
        <w:jc w:val="both"/>
        <w:rPr>
          <w:rFonts w:ascii="Arial" w:eastAsia="Arial" w:hAnsi="Arial" w:cs="Arial"/>
          <w:sz w:val="24"/>
          <w:szCs w:val="24"/>
        </w:rPr>
      </w:pPr>
      <w:r>
        <w:rPr>
          <w:rFonts w:ascii="Helvetica Neue" w:eastAsia="Helvetica Neue" w:hAnsi="Helvetica Neue" w:cs="Helvetica Neue"/>
          <w:b/>
          <w:sz w:val="24"/>
          <w:szCs w:val="24"/>
          <w:highlight w:val="white"/>
        </w:rPr>
        <w:t>Vía Cesar- Guajira Contrato No.006 - 2015</w:t>
      </w:r>
    </w:p>
    <w:p w:rsidR="00E90573" w:rsidRDefault="00D17DEC">
      <w:pPr>
        <w:spacing w:after="0"/>
        <w:jc w:val="both"/>
        <w:rPr>
          <w:rFonts w:ascii="Helvetica Neue" w:eastAsia="Helvetica Neue" w:hAnsi="Helvetica Neue" w:cs="Helvetica Neue"/>
          <w:sz w:val="24"/>
          <w:szCs w:val="24"/>
          <w:highlight w:val="white"/>
        </w:rPr>
      </w:pPr>
      <w:r>
        <w:rPr>
          <w:rFonts w:ascii="Helvetica Neue" w:eastAsia="Helvetica Neue" w:hAnsi="Helvetica Neue" w:cs="Helvetica Neue"/>
          <w:sz w:val="24"/>
          <w:szCs w:val="24"/>
          <w:highlight w:val="white"/>
        </w:rPr>
        <w:t>Las vías comprendidas en este Proyecto tienen una longitud total estimada origen- destino de 350 kilómetros y en su recorrido atraviesa los departamentos del Cesar y La Guajira.</w:t>
      </w:r>
    </w:p>
    <w:p w:rsidR="00E90573" w:rsidRDefault="00D17DEC">
      <w:pPr>
        <w:spacing w:after="0" w:line="276" w:lineRule="auto"/>
        <w:jc w:val="both"/>
        <w:rPr>
          <w:rFonts w:ascii="Helvetica Neue" w:eastAsia="Helvetica Neue" w:hAnsi="Helvetica Neue" w:cs="Helvetica Neue"/>
          <w:sz w:val="24"/>
          <w:szCs w:val="24"/>
        </w:rPr>
      </w:pPr>
      <w:r>
        <w:rPr>
          <w:rFonts w:ascii="Helvetica Neue" w:eastAsia="Helvetica Neue" w:hAnsi="Helvetica Neue" w:cs="Helvetica Neue"/>
          <w:sz w:val="24"/>
          <w:szCs w:val="24"/>
        </w:rPr>
        <w:t>El proyecto quedó detenido por cuenta de un proceso de consultas previas, ordenado por la Corte Suprema de Justicia. A raíz de esto la empresa Construcciones El Cóndor le reportó a la Superfinanciera que, llegó a un acuerdo con la Agencia Nacional de Infraestructura (ANI) para liquidar el contrato de concesión entre estos dos departamentos, debido a que perdió buena parte del recaudo de peajes, lo que imposibilita continuar la construcción y mantenimiento.</w:t>
      </w:r>
    </w:p>
    <w:p w:rsidR="00E90573" w:rsidRDefault="00E90573">
      <w:pPr>
        <w:spacing w:after="0" w:line="276" w:lineRule="auto"/>
        <w:jc w:val="both"/>
        <w:rPr>
          <w:rFonts w:ascii="Helvetica Neue" w:eastAsia="Helvetica Neue" w:hAnsi="Helvetica Neue" w:cs="Helvetica Neue"/>
          <w:sz w:val="24"/>
          <w:szCs w:val="24"/>
        </w:rPr>
      </w:pPr>
    </w:p>
    <w:p w:rsidR="00E90573" w:rsidRDefault="00D17DEC">
      <w:pPr>
        <w:spacing w:after="0" w:line="276" w:lineRule="auto"/>
        <w:jc w:val="both"/>
        <w:rPr>
          <w:rFonts w:ascii="Helvetica Neue" w:eastAsia="Helvetica Neue" w:hAnsi="Helvetica Neue" w:cs="Helvetica Neue"/>
          <w:b/>
          <w:sz w:val="24"/>
          <w:szCs w:val="24"/>
        </w:rPr>
      </w:pPr>
      <w:r>
        <w:rPr>
          <w:rFonts w:ascii="Helvetica Neue" w:eastAsia="Helvetica Neue" w:hAnsi="Helvetica Neue" w:cs="Helvetica Neue"/>
          <w:sz w:val="24"/>
          <w:szCs w:val="24"/>
        </w:rPr>
        <w:t>El valor total del contrato era de $1,65 billones y esperaba terminarse el 23 de julio del 2019. En materia contractual, se estableció que si la concesión se veía obligada a no recaudar alguno de los tres peajes de la carretera por un lapso mayor a 90 días, se consolidaba una de las cláusulas contractuales para la liquidación mutua. En diferentes medios de comunicación, la ANI ha manifestado que ahora ve la posibilidad de volver a estructurar otra APP, pero que esta vez sería de</w:t>
      </w:r>
      <w:r>
        <w:rPr>
          <w:rFonts w:ascii="Helvetica Neue" w:eastAsia="Helvetica Neue" w:hAnsi="Helvetica Neue" w:cs="Helvetica Neue"/>
          <w:b/>
          <w:sz w:val="24"/>
          <w:szCs w:val="24"/>
        </w:rPr>
        <w:t xml:space="preserve"> iniciativa pública. ¿Cuántos años </w:t>
      </w:r>
      <w:r>
        <w:rPr>
          <w:rFonts w:ascii="Helvetica Neue" w:eastAsia="Helvetica Neue" w:hAnsi="Helvetica Neue" w:cs="Helvetica Neue"/>
          <w:b/>
          <w:sz w:val="24"/>
          <w:szCs w:val="24"/>
        </w:rPr>
        <w:lastRenderedPageBreak/>
        <w:t xml:space="preserve">más deberá esperar Colombia por tener esta vía de gran trascendencia para el comercio internacional de Carbón y el Turismo en el Caribe? </w:t>
      </w:r>
    </w:p>
    <w:p w:rsidR="00E90573" w:rsidRDefault="00E90573">
      <w:pPr>
        <w:spacing w:after="0" w:line="276" w:lineRule="auto"/>
        <w:jc w:val="both"/>
        <w:rPr>
          <w:rFonts w:ascii="Helvetica Neue" w:eastAsia="Helvetica Neue" w:hAnsi="Helvetica Neue" w:cs="Helvetica Neue"/>
          <w:b/>
          <w:sz w:val="24"/>
          <w:szCs w:val="24"/>
        </w:rPr>
      </w:pPr>
    </w:p>
    <w:p w:rsidR="00E90573" w:rsidRDefault="00D17DEC">
      <w:pPr>
        <w:numPr>
          <w:ilvl w:val="0"/>
          <w:numId w:val="9"/>
        </w:numPr>
        <w:spacing w:after="0"/>
        <w:jc w:val="both"/>
        <w:rPr>
          <w:rFonts w:ascii="Arial" w:eastAsia="Arial" w:hAnsi="Arial" w:cs="Arial"/>
          <w:sz w:val="24"/>
          <w:szCs w:val="24"/>
        </w:rPr>
      </w:pPr>
      <w:r>
        <w:rPr>
          <w:rFonts w:ascii="Helvetica Neue" w:eastAsia="Helvetica Neue" w:hAnsi="Helvetica Neue" w:cs="Helvetica Neue"/>
          <w:b/>
          <w:sz w:val="24"/>
          <w:szCs w:val="24"/>
          <w:highlight w:val="white"/>
        </w:rPr>
        <w:t xml:space="preserve">Malla Vial del Meta - Contrato de Concesión No. 004 del 5 de mayo de 2015 </w:t>
      </w:r>
    </w:p>
    <w:p w:rsidR="00E90573" w:rsidRDefault="00D17DEC">
      <w:pPr>
        <w:spacing w:after="0"/>
        <w:jc w:val="both"/>
        <w:rPr>
          <w:rFonts w:ascii="Helvetica Neue" w:eastAsia="Helvetica Neue" w:hAnsi="Helvetica Neue" w:cs="Helvetica Neue"/>
          <w:sz w:val="24"/>
          <w:szCs w:val="24"/>
          <w:highlight w:val="white"/>
        </w:rPr>
      </w:pPr>
      <w:r>
        <w:rPr>
          <w:rFonts w:ascii="Helvetica Neue" w:eastAsia="Helvetica Neue" w:hAnsi="Helvetica Neue" w:cs="Helvetica Neue"/>
          <w:sz w:val="24"/>
          <w:szCs w:val="24"/>
          <w:highlight w:val="white"/>
        </w:rPr>
        <w:t>El proyecto malla vial del Meta se encuentra paralizado debido a la diferencia entre las partes por los riesgos financieros que, en su momento, generó la disminución drástica del tráfico de vehículos, del cual un laudo arbitral del 28 de febrero de 2019</w:t>
      </w:r>
      <w:r>
        <w:rPr>
          <w:rFonts w:ascii="Helvetica Neue" w:eastAsia="Helvetica Neue" w:hAnsi="Helvetica Neue" w:cs="Helvetica Neue"/>
          <w:sz w:val="24"/>
          <w:szCs w:val="24"/>
          <w:highlight w:val="white"/>
          <w:vertAlign w:val="superscript"/>
        </w:rPr>
        <w:footnoteReference w:id="37"/>
      </w:r>
      <w:r>
        <w:rPr>
          <w:rFonts w:ascii="Helvetica Neue" w:eastAsia="Helvetica Neue" w:hAnsi="Helvetica Neue" w:cs="Helvetica Neue"/>
          <w:sz w:val="24"/>
          <w:szCs w:val="24"/>
          <w:highlight w:val="white"/>
        </w:rPr>
        <w:t xml:space="preserve"> responsabilizó al Gobierno y al concesionario y los convocó a reunirse para renegociar las obras que se deben ejecutar.</w:t>
      </w:r>
    </w:p>
    <w:p w:rsidR="00E90573" w:rsidRDefault="00E90573">
      <w:pPr>
        <w:spacing w:after="0"/>
        <w:jc w:val="both"/>
        <w:rPr>
          <w:rFonts w:ascii="Helvetica Neue" w:eastAsia="Helvetica Neue" w:hAnsi="Helvetica Neue" w:cs="Helvetica Neue"/>
          <w:sz w:val="24"/>
          <w:szCs w:val="24"/>
          <w:highlight w:val="white"/>
        </w:rPr>
      </w:pPr>
    </w:p>
    <w:p w:rsidR="00E90573" w:rsidRDefault="00D17DEC">
      <w:pPr>
        <w:spacing w:after="0"/>
        <w:jc w:val="both"/>
        <w:rPr>
          <w:rFonts w:ascii="Helvetica Neue" w:eastAsia="Helvetica Neue" w:hAnsi="Helvetica Neue" w:cs="Helvetica Neue"/>
          <w:sz w:val="24"/>
          <w:szCs w:val="24"/>
          <w:highlight w:val="white"/>
        </w:rPr>
      </w:pPr>
      <w:r>
        <w:rPr>
          <w:rFonts w:ascii="Helvetica Neue" w:eastAsia="Helvetica Neue" w:hAnsi="Helvetica Neue" w:cs="Helvetica Neue"/>
          <w:sz w:val="24"/>
          <w:szCs w:val="24"/>
          <w:highlight w:val="white"/>
        </w:rPr>
        <w:t>La disminución de paso de vehículos, especialmente pesados, que es el que más registra por la caída de los precios del petróleo entre 2014 y 2017, y el que más genera ingresos para este proyecto, ocasionó que la Tasa Interna de Retorno (TIR); es decir, la rentabilidad del proyecto, empezaría a mostrar índices negativos que provocaron que las entidades bancarias no financiaran la iniciativa</w:t>
      </w:r>
      <w:r>
        <w:rPr>
          <w:rFonts w:ascii="Helvetica Neue" w:eastAsia="Helvetica Neue" w:hAnsi="Helvetica Neue" w:cs="Helvetica Neue"/>
          <w:sz w:val="24"/>
          <w:szCs w:val="24"/>
          <w:highlight w:val="white"/>
          <w:vertAlign w:val="superscript"/>
        </w:rPr>
        <w:footnoteReference w:id="38"/>
      </w:r>
      <w:r>
        <w:rPr>
          <w:rFonts w:ascii="Helvetica Neue" w:eastAsia="Helvetica Neue" w:hAnsi="Helvetica Neue" w:cs="Helvetica Neue"/>
          <w:sz w:val="24"/>
          <w:szCs w:val="24"/>
          <w:highlight w:val="white"/>
        </w:rPr>
        <w:t>.</w:t>
      </w:r>
    </w:p>
    <w:p w:rsidR="00E90573" w:rsidRDefault="00E90573">
      <w:pPr>
        <w:spacing w:after="0"/>
        <w:jc w:val="both"/>
        <w:rPr>
          <w:rFonts w:ascii="Helvetica Neue" w:eastAsia="Helvetica Neue" w:hAnsi="Helvetica Neue" w:cs="Helvetica Neue"/>
          <w:sz w:val="24"/>
          <w:szCs w:val="24"/>
          <w:highlight w:val="white"/>
        </w:rPr>
      </w:pPr>
    </w:p>
    <w:p w:rsidR="00E90573" w:rsidRDefault="00D17DEC">
      <w:pPr>
        <w:spacing w:after="0"/>
        <w:jc w:val="both"/>
        <w:rPr>
          <w:rFonts w:ascii="Helvetica Neue" w:eastAsia="Helvetica Neue" w:hAnsi="Helvetica Neue" w:cs="Helvetica Neue"/>
          <w:sz w:val="24"/>
          <w:szCs w:val="24"/>
          <w:highlight w:val="white"/>
        </w:rPr>
      </w:pPr>
      <w:r>
        <w:rPr>
          <w:rFonts w:ascii="Helvetica Neue" w:eastAsia="Helvetica Neue" w:hAnsi="Helvetica Neue" w:cs="Helvetica Neue"/>
          <w:sz w:val="24"/>
          <w:szCs w:val="24"/>
          <w:highlight w:val="white"/>
        </w:rPr>
        <w:t xml:space="preserve">Sabiendo que las APPs son herramientas para la financiación de proyectos, la alternativa que consideró el tribunal más viable, era renegociar el contrato para obtener el cierre financiero del mismo e iniciar la etapa de construcción. Renegociar el contrato implica que los términos frente a los cuales se pactó el costo de la obra y las contraprestaciones que recibe el privado por su ejecución, podrían elevarse para retribuir la inversión realizada.  Este caso muestra de manera evidente, la asimetría en materia de riesgos que se está generando en APPs de Iniciativa Privada. </w:t>
      </w:r>
    </w:p>
    <w:p w:rsidR="00E90573" w:rsidRDefault="00E90573">
      <w:pPr>
        <w:spacing w:after="0"/>
        <w:jc w:val="both"/>
        <w:rPr>
          <w:rFonts w:ascii="Helvetica Neue" w:eastAsia="Helvetica Neue" w:hAnsi="Helvetica Neue" w:cs="Helvetica Neue"/>
          <w:b/>
          <w:sz w:val="24"/>
          <w:szCs w:val="24"/>
          <w:highlight w:val="white"/>
        </w:rPr>
      </w:pPr>
    </w:p>
    <w:p w:rsidR="00E90573" w:rsidRDefault="00E90573">
      <w:pPr>
        <w:spacing w:after="0" w:line="276" w:lineRule="auto"/>
        <w:jc w:val="both"/>
        <w:rPr>
          <w:rFonts w:ascii="Helvetica Neue" w:eastAsia="Helvetica Neue" w:hAnsi="Helvetica Neue" w:cs="Helvetica Neue"/>
          <w:b/>
          <w:sz w:val="24"/>
          <w:szCs w:val="24"/>
          <w:highlight w:val="white"/>
        </w:rPr>
      </w:pPr>
    </w:p>
    <w:p w:rsidR="00E90573" w:rsidRDefault="00D17DEC">
      <w:pPr>
        <w:spacing w:after="0" w:line="240" w:lineRule="auto"/>
        <w:ind w:left="425"/>
        <w:jc w:val="both"/>
        <w:rPr>
          <w:rFonts w:ascii="Helvetica Neue" w:eastAsia="Helvetica Neue" w:hAnsi="Helvetica Neue" w:cs="Helvetica Neue"/>
          <w:b/>
          <w:sz w:val="24"/>
          <w:szCs w:val="24"/>
          <w:u w:val="single"/>
        </w:rPr>
      </w:pPr>
      <w:r>
        <w:rPr>
          <w:rFonts w:ascii="Helvetica Neue" w:eastAsia="Helvetica Neue" w:hAnsi="Helvetica Neue" w:cs="Helvetica Neue"/>
          <w:b/>
          <w:sz w:val="24"/>
          <w:szCs w:val="24"/>
          <w:u w:val="single"/>
        </w:rPr>
        <w:t>9.2.3. Interpretación problemática del uso del fondo de contingencias en APPs de Iniciativa Privada sin desembolso de recursos públicos:</w:t>
      </w:r>
    </w:p>
    <w:p w:rsidR="00E90573" w:rsidRDefault="00E90573">
      <w:pPr>
        <w:spacing w:after="0" w:line="240" w:lineRule="auto"/>
        <w:ind w:left="425"/>
        <w:jc w:val="both"/>
        <w:rPr>
          <w:rFonts w:ascii="Helvetica Neue" w:eastAsia="Helvetica Neue" w:hAnsi="Helvetica Neue" w:cs="Helvetica Neue"/>
          <w:b/>
          <w:sz w:val="24"/>
          <w:szCs w:val="24"/>
          <w:u w:val="single"/>
        </w:rPr>
      </w:pPr>
    </w:p>
    <w:p w:rsidR="00E90573" w:rsidRDefault="00E90573">
      <w:pPr>
        <w:spacing w:after="0" w:line="240" w:lineRule="auto"/>
        <w:ind w:left="425"/>
        <w:jc w:val="both"/>
        <w:rPr>
          <w:rFonts w:ascii="Helvetica Neue" w:eastAsia="Helvetica Neue" w:hAnsi="Helvetica Neue" w:cs="Helvetica Neue"/>
          <w:b/>
          <w:sz w:val="24"/>
          <w:szCs w:val="24"/>
          <w:u w:val="single"/>
        </w:rPr>
      </w:pPr>
    </w:p>
    <w:p w:rsidR="00E90573" w:rsidRDefault="00D17DEC">
      <w:pPr>
        <w:spacing w:after="0" w:line="240" w:lineRule="auto"/>
        <w:jc w:val="both"/>
        <w:rPr>
          <w:rFonts w:ascii="Helvetica Neue" w:eastAsia="Helvetica Neue" w:hAnsi="Helvetica Neue" w:cs="Helvetica Neue"/>
          <w:b/>
          <w:sz w:val="24"/>
          <w:szCs w:val="24"/>
        </w:rPr>
      </w:pPr>
      <w:r>
        <w:rPr>
          <w:rFonts w:ascii="Helvetica Neue" w:eastAsia="Helvetica Neue" w:hAnsi="Helvetica Neue" w:cs="Helvetica Neue"/>
          <w:b/>
          <w:sz w:val="24"/>
          <w:szCs w:val="24"/>
        </w:rPr>
        <w:t>9.2.3.1. ¿Qué es el fondo de Contingencias?</w:t>
      </w:r>
    </w:p>
    <w:p w:rsidR="00E90573" w:rsidRDefault="00D17DEC">
      <w:pPr>
        <w:spacing w:after="0" w:line="240" w:lineRule="auto"/>
        <w:jc w:val="both"/>
        <w:rPr>
          <w:rFonts w:ascii="Helvetica Neue" w:eastAsia="Helvetica Neue" w:hAnsi="Helvetica Neue" w:cs="Helvetica Neue"/>
          <w:sz w:val="24"/>
          <w:szCs w:val="24"/>
        </w:rPr>
      </w:pPr>
      <w:r>
        <w:rPr>
          <w:rFonts w:ascii="Helvetica Neue" w:eastAsia="Helvetica Neue" w:hAnsi="Helvetica Neue" w:cs="Helvetica Neue"/>
          <w:sz w:val="24"/>
          <w:szCs w:val="24"/>
        </w:rPr>
        <w:t>El Fondo de Contingencias de las Entidades Estatales (FCEE), es una cuenta especial sin personería jurídica administrada por la Fiduprevisora, en la cual las Entidades Estatales deberán consignar sus aportes</w:t>
      </w:r>
      <w:r>
        <w:rPr>
          <w:rFonts w:ascii="Helvetica Neue" w:eastAsia="Helvetica Neue" w:hAnsi="Helvetica Neue" w:cs="Helvetica Neue"/>
          <w:sz w:val="24"/>
          <w:szCs w:val="24"/>
          <w:vertAlign w:val="superscript"/>
        </w:rPr>
        <w:footnoteReference w:id="39"/>
      </w:r>
      <w:r>
        <w:rPr>
          <w:rFonts w:ascii="Helvetica Neue" w:eastAsia="Helvetica Neue" w:hAnsi="Helvetica Neue" w:cs="Helvetica Neue"/>
          <w:sz w:val="24"/>
          <w:szCs w:val="24"/>
        </w:rPr>
        <w:t>.</w:t>
      </w:r>
    </w:p>
    <w:p w:rsidR="00E90573" w:rsidRDefault="00E90573">
      <w:pPr>
        <w:spacing w:after="0" w:line="240" w:lineRule="auto"/>
        <w:jc w:val="both"/>
        <w:rPr>
          <w:rFonts w:ascii="Helvetica Neue" w:eastAsia="Helvetica Neue" w:hAnsi="Helvetica Neue" w:cs="Helvetica Neue"/>
          <w:sz w:val="24"/>
          <w:szCs w:val="24"/>
        </w:rPr>
      </w:pPr>
    </w:p>
    <w:p w:rsidR="00E90573" w:rsidRDefault="00D17DEC">
      <w:pPr>
        <w:spacing w:after="0" w:line="240" w:lineRule="auto"/>
        <w:jc w:val="both"/>
        <w:rPr>
          <w:rFonts w:ascii="Helvetica Neue" w:eastAsia="Helvetica Neue" w:hAnsi="Helvetica Neue" w:cs="Helvetica Neue"/>
          <w:b/>
          <w:sz w:val="24"/>
          <w:szCs w:val="24"/>
        </w:rPr>
      </w:pPr>
      <w:r>
        <w:rPr>
          <w:rFonts w:ascii="Helvetica Neue" w:eastAsia="Helvetica Neue" w:hAnsi="Helvetica Neue" w:cs="Helvetica Neue"/>
          <w:b/>
          <w:sz w:val="24"/>
          <w:szCs w:val="24"/>
        </w:rPr>
        <w:t xml:space="preserve">9.2.3.2. ¿Qué es una contingencia por proyectos desarrollados por APPs? </w:t>
      </w:r>
    </w:p>
    <w:p w:rsidR="00E90573" w:rsidRDefault="00D17DEC">
      <w:pPr>
        <w:spacing w:after="0" w:line="240" w:lineRule="auto"/>
        <w:jc w:val="both"/>
        <w:rPr>
          <w:rFonts w:ascii="Helvetica Neue" w:eastAsia="Helvetica Neue" w:hAnsi="Helvetica Neue" w:cs="Helvetica Neue"/>
          <w:sz w:val="24"/>
          <w:szCs w:val="24"/>
        </w:rPr>
      </w:pPr>
      <w:r>
        <w:rPr>
          <w:rFonts w:ascii="Helvetica Neue" w:eastAsia="Helvetica Neue" w:hAnsi="Helvetica Neue" w:cs="Helvetica Neue"/>
          <w:sz w:val="24"/>
          <w:szCs w:val="24"/>
        </w:rPr>
        <w:t>Aquellas en virtud de las cuales la Entidad Estatal estipula contractualmente a favor de un contratista una obligación pecuniaria por la ocurrencia de un hecho futuro e incierto, en la cual se compensa al contratista por medio de prórrogas en la duración del contrato o el pago de una suma de dinero, determinada o determinable a partir de factores identificados</w:t>
      </w:r>
      <w:r>
        <w:rPr>
          <w:rFonts w:ascii="Helvetica Neue" w:eastAsia="Helvetica Neue" w:hAnsi="Helvetica Neue" w:cs="Helvetica Neue"/>
          <w:sz w:val="24"/>
          <w:szCs w:val="24"/>
          <w:vertAlign w:val="superscript"/>
        </w:rPr>
        <w:footnoteReference w:id="40"/>
      </w:r>
      <w:r>
        <w:rPr>
          <w:rFonts w:ascii="Helvetica Neue" w:eastAsia="Helvetica Neue" w:hAnsi="Helvetica Neue" w:cs="Helvetica Neue"/>
          <w:sz w:val="24"/>
          <w:szCs w:val="24"/>
        </w:rPr>
        <w:t>.</w:t>
      </w:r>
    </w:p>
    <w:p w:rsidR="00E90573" w:rsidRDefault="00D17DEC">
      <w:pPr>
        <w:spacing w:before="240" w:after="240" w:line="240" w:lineRule="auto"/>
        <w:jc w:val="both"/>
        <w:rPr>
          <w:rFonts w:ascii="Helvetica Neue" w:eastAsia="Helvetica Neue" w:hAnsi="Helvetica Neue" w:cs="Helvetica Neue"/>
          <w:sz w:val="24"/>
          <w:szCs w:val="24"/>
          <w:highlight w:val="white"/>
        </w:rPr>
      </w:pPr>
      <w:r>
        <w:rPr>
          <w:rFonts w:ascii="Helvetica Neue" w:eastAsia="Helvetica Neue" w:hAnsi="Helvetica Neue" w:cs="Helvetica Neue"/>
          <w:sz w:val="24"/>
          <w:szCs w:val="24"/>
          <w:highlight w:val="white"/>
        </w:rPr>
        <w:t xml:space="preserve">La mitigación de los riesgos asumidos obliga a las entidades estatales a realizar provisiones, mantener el equilibrio económico y prever siempre la ocurrencia cuando </w:t>
      </w:r>
      <w:r>
        <w:rPr>
          <w:rFonts w:ascii="Helvetica Neue" w:eastAsia="Helvetica Neue" w:hAnsi="Helvetica Neue" w:cs="Helvetica Neue"/>
          <w:sz w:val="24"/>
          <w:szCs w:val="24"/>
          <w:highlight w:val="white"/>
        </w:rPr>
        <w:lastRenderedPageBreak/>
        <w:t xml:space="preserve">la probabilidad sea evidente por reiteración en proyectos bajo el mismo objeto. La asignación, tipificación y estimación de los riesgos hacen parte de los documentos para la elaboración de los pliegos de condiciones y deberá discutirse entre los entes públicos y privados, con el fin de establecer la asignación de riesgos definitiva para el proyecto. </w:t>
      </w:r>
    </w:p>
    <w:p w:rsidR="00E90573" w:rsidRDefault="00D17DEC">
      <w:pPr>
        <w:spacing w:before="240" w:after="240" w:line="240" w:lineRule="auto"/>
        <w:jc w:val="both"/>
        <w:rPr>
          <w:rFonts w:ascii="Helvetica Neue" w:eastAsia="Helvetica Neue" w:hAnsi="Helvetica Neue" w:cs="Helvetica Neue"/>
          <w:sz w:val="24"/>
          <w:szCs w:val="24"/>
          <w:highlight w:val="white"/>
        </w:rPr>
      </w:pPr>
      <w:r>
        <w:rPr>
          <w:rFonts w:ascii="Helvetica Neue" w:eastAsia="Helvetica Neue" w:hAnsi="Helvetica Neue" w:cs="Helvetica Neue"/>
          <w:sz w:val="24"/>
          <w:szCs w:val="24"/>
          <w:highlight w:val="white"/>
        </w:rPr>
        <w:t xml:space="preserve">En los proyectos de cuarta generación, 4G: En primera instancia, los riesgos asumidos por la ANI serán cubiertos por el fondo de contingencias, cuyos aportes deben ser apropiados año a año dentro del presupuesto de servicio de deuda de la agencia. Como segundo mecanismo de mitigación, se creará una subcuenta dentro del patrimonio autónomo, que se fondeará con los excedentes de las demás subcuentas. Para llevar a cabo el proceso de valoración de las obligaciones contingentes, la ANI deberá acudir en primera instancia a datos históricos de proyectos similares. En el evento en que no se cuente con datos históricos o que los mismos [sic] no sean los adecuados, se podrá recurrir a otras alternativas para lograr el mismo objetivo, como pueden ser paneles de expertos, estudios o publicaciones relevantes, siempre que se cumpla con criterios mínimos de credibilidad de los resultados obtenidos (CONPES 3760, 2013: 60). </w:t>
      </w:r>
    </w:p>
    <w:p w:rsidR="00E90573" w:rsidRDefault="00E90573">
      <w:pPr>
        <w:spacing w:after="0" w:line="240" w:lineRule="auto"/>
        <w:jc w:val="both"/>
        <w:rPr>
          <w:rFonts w:ascii="Helvetica Neue" w:eastAsia="Helvetica Neue" w:hAnsi="Helvetica Neue" w:cs="Helvetica Neue"/>
          <w:sz w:val="24"/>
          <w:szCs w:val="24"/>
        </w:rPr>
      </w:pPr>
    </w:p>
    <w:p w:rsidR="00E90573" w:rsidRDefault="00D17DEC">
      <w:pPr>
        <w:spacing w:after="0" w:line="240" w:lineRule="auto"/>
        <w:jc w:val="both"/>
        <w:rPr>
          <w:rFonts w:ascii="Helvetica Neue" w:eastAsia="Helvetica Neue" w:hAnsi="Helvetica Neue" w:cs="Helvetica Neue"/>
          <w:sz w:val="24"/>
          <w:szCs w:val="24"/>
        </w:rPr>
      </w:pPr>
      <w:r>
        <w:rPr>
          <w:rFonts w:ascii="Helvetica Neue" w:eastAsia="Helvetica Neue" w:hAnsi="Helvetica Neue" w:cs="Helvetica Neue"/>
          <w:b/>
          <w:sz w:val="24"/>
          <w:szCs w:val="24"/>
        </w:rPr>
        <w:t xml:space="preserve">9.2.3.3. ¿Qué es el plan de aportes para el Fondo de Contingencias de las Entidades Estatales (FCEE)? </w:t>
      </w:r>
    </w:p>
    <w:p w:rsidR="00E90573" w:rsidRDefault="00D17DEC">
      <w:pPr>
        <w:spacing w:before="240" w:after="240" w:line="240" w:lineRule="auto"/>
        <w:jc w:val="both"/>
        <w:rPr>
          <w:rFonts w:ascii="Helvetica Neue" w:eastAsia="Helvetica Neue" w:hAnsi="Helvetica Neue" w:cs="Helvetica Neue"/>
          <w:sz w:val="24"/>
          <w:szCs w:val="24"/>
        </w:rPr>
      </w:pPr>
      <w:r>
        <w:rPr>
          <w:rFonts w:ascii="Helvetica Neue" w:eastAsia="Helvetica Neue" w:hAnsi="Helvetica Neue" w:cs="Helvetica Neue"/>
          <w:sz w:val="24"/>
          <w:szCs w:val="24"/>
        </w:rPr>
        <w:t>Es el valor presente de la contingencia, distribuido durante el periodo en el cual el riesgo se puede materializar. Mediante dicho plan se logra constituir el Cronograma de aportes que deberá realizar la Entidad, con el objetivo de contar con recursos suficientes en caso de materialización del riesgo</w:t>
      </w:r>
      <w:r>
        <w:rPr>
          <w:rFonts w:ascii="Helvetica Neue" w:eastAsia="Helvetica Neue" w:hAnsi="Helvetica Neue" w:cs="Helvetica Neue"/>
          <w:sz w:val="24"/>
          <w:szCs w:val="24"/>
          <w:vertAlign w:val="superscript"/>
        </w:rPr>
        <w:footnoteReference w:id="41"/>
      </w:r>
      <w:r>
        <w:rPr>
          <w:rFonts w:ascii="Helvetica Neue" w:eastAsia="Helvetica Neue" w:hAnsi="Helvetica Neue" w:cs="Helvetica Neue"/>
          <w:sz w:val="24"/>
          <w:szCs w:val="24"/>
        </w:rPr>
        <w:t>.</w:t>
      </w:r>
    </w:p>
    <w:p w:rsidR="00E90573" w:rsidRDefault="00D17DEC">
      <w:pPr>
        <w:spacing w:before="240" w:after="240" w:line="240" w:lineRule="auto"/>
        <w:jc w:val="both"/>
        <w:rPr>
          <w:rFonts w:ascii="Helvetica Neue" w:eastAsia="Helvetica Neue" w:hAnsi="Helvetica Neue" w:cs="Helvetica Neue"/>
          <w:b/>
          <w:sz w:val="24"/>
          <w:szCs w:val="24"/>
        </w:rPr>
      </w:pPr>
      <w:r>
        <w:rPr>
          <w:rFonts w:ascii="Helvetica Neue" w:eastAsia="Helvetica Neue" w:hAnsi="Helvetica Neue" w:cs="Helvetica Neue"/>
          <w:b/>
          <w:sz w:val="24"/>
          <w:szCs w:val="24"/>
        </w:rPr>
        <w:t>9.2.3.4. Interpretación que han dado algunas entidades al Uso del fondo de contingencias en Iniciativas Privadas  que no requieren desembolso de recursos públicos:</w:t>
      </w:r>
    </w:p>
    <w:p w:rsidR="00E90573" w:rsidRDefault="00D17DEC">
      <w:pPr>
        <w:spacing w:after="0" w:line="240" w:lineRule="auto"/>
        <w:jc w:val="both"/>
        <w:rPr>
          <w:rFonts w:ascii="Helvetica Neue" w:eastAsia="Helvetica Neue" w:hAnsi="Helvetica Neue" w:cs="Helvetica Neue"/>
          <w:b/>
          <w:sz w:val="24"/>
          <w:szCs w:val="24"/>
        </w:rPr>
      </w:pPr>
      <w:r>
        <w:rPr>
          <w:rFonts w:ascii="Helvetica Neue" w:eastAsia="Helvetica Neue" w:hAnsi="Helvetica Neue" w:cs="Helvetica Neue"/>
          <w:sz w:val="24"/>
          <w:szCs w:val="24"/>
        </w:rPr>
        <w:t>En el Programa de Capacitación a las Entidades Territoriales, de Asociaciones Públicas Privadas (APPs) Realizado por Minhacienda, DNP, Grupo Banco Mundial e International Consultants SL. Se encuentra de manera explícita que: " Sí dada la probabilidad y el impacto económico del riesgo, éste se ubica dentro del área más oscura, se procederá a hacer aportes al Fondo de Contingencias de las Entidades Estatales, creado por la Ley 448 de 1998, lo anterior en el caso que sea una APP con desembolso de recursos públicos</w:t>
      </w:r>
      <w:r>
        <w:rPr>
          <w:rFonts w:ascii="Helvetica Neue" w:eastAsia="Helvetica Neue" w:hAnsi="Helvetica Neue" w:cs="Helvetica Neue"/>
          <w:b/>
          <w:sz w:val="24"/>
          <w:szCs w:val="24"/>
        </w:rPr>
        <w:t>, en caso contrario deberá hacerse uso de los mecanismos de compensación de riesgos reglamentados por el Decreto 2043 de 2014)"</w:t>
      </w:r>
    </w:p>
    <w:p w:rsidR="00E90573" w:rsidRDefault="00E90573">
      <w:pPr>
        <w:spacing w:after="0" w:line="240" w:lineRule="auto"/>
        <w:jc w:val="both"/>
        <w:rPr>
          <w:rFonts w:ascii="Helvetica Neue" w:eastAsia="Helvetica Neue" w:hAnsi="Helvetica Neue" w:cs="Helvetica Neue"/>
          <w:b/>
          <w:sz w:val="24"/>
          <w:szCs w:val="24"/>
        </w:rPr>
      </w:pPr>
    </w:p>
    <w:p w:rsidR="00E90573" w:rsidRDefault="00D17DEC">
      <w:pPr>
        <w:spacing w:after="0" w:line="240" w:lineRule="auto"/>
        <w:jc w:val="both"/>
        <w:rPr>
          <w:rFonts w:ascii="Helvetica Neue" w:eastAsia="Helvetica Neue" w:hAnsi="Helvetica Neue" w:cs="Helvetica Neue"/>
          <w:sz w:val="24"/>
          <w:szCs w:val="24"/>
        </w:rPr>
      </w:pPr>
      <w:r>
        <w:rPr>
          <w:rFonts w:ascii="Helvetica Neue" w:eastAsia="Helvetica Neue" w:hAnsi="Helvetica Neue" w:cs="Helvetica Neue"/>
          <w:sz w:val="24"/>
          <w:szCs w:val="24"/>
        </w:rPr>
        <w:t>De acuerdo con lo reglamentado por el Decreto 2043 de 2014, en su artículo 5o, “En las iniciativas privadas que no requieran desembolsos de recursos públicos, los mecanismos de compensación por la materialización de los riesgos asignados a la entidad estatal serán aquellos que se definan en la estructuración del proyecto, entre otros, pero sin limitarse:</w:t>
      </w:r>
    </w:p>
    <w:p w:rsidR="00E90573" w:rsidRDefault="00D17DEC">
      <w:pPr>
        <w:numPr>
          <w:ilvl w:val="0"/>
          <w:numId w:val="5"/>
        </w:numPr>
        <w:pBdr>
          <w:top w:val="nil"/>
          <w:left w:val="nil"/>
          <w:bottom w:val="nil"/>
          <w:right w:val="nil"/>
          <w:between w:val="nil"/>
        </w:pBdr>
        <w:spacing w:after="0" w:line="240" w:lineRule="auto"/>
        <w:jc w:val="both"/>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La ampliación del plazo inicial de conformidad con la ley,</w:t>
      </w:r>
    </w:p>
    <w:p w:rsidR="00E90573" w:rsidRDefault="00D17DEC">
      <w:pPr>
        <w:numPr>
          <w:ilvl w:val="0"/>
          <w:numId w:val="5"/>
        </w:numPr>
        <w:pBdr>
          <w:top w:val="nil"/>
          <w:left w:val="nil"/>
          <w:bottom w:val="nil"/>
          <w:right w:val="nil"/>
          <w:between w:val="nil"/>
        </w:pBdr>
        <w:spacing w:after="0" w:line="240" w:lineRule="auto"/>
        <w:jc w:val="both"/>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 xml:space="preserve">La modificación del alcance del proyecto, </w:t>
      </w:r>
    </w:p>
    <w:p w:rsidR="00E90573" w:rsidRDefault="00D17DEC">
      <w:pPr>
        <w:numPr>
          <w:ilvl w:val="0"/>
          <w:numId w:val="5"/>
        </w:numPr>
        <w:pBdr>
          <w:top w:val="nil"/>
          <w:left w:val="nil"/>
          <w:bottom w:val="nil"/>
          <w:right w:val="nil"/>
          <w:between w:val="nil"/>
        </w:pBdr>
        <w:spacing w:after="0" w:line="240" w:lineRule="auto"/>
        <w:jc w:val="both"/>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 xml:space="preserve">El incremento de peajes y tarifas </w:t>
      </w:r>
    </w:p>
    <w:p w:rsidR="00E90573" w:rsidRDefault="00D17DEC">
      <w:pPr>
        <w:numPr>
          <w:ilvl w:val="0"/>
          <w:numId w:val="5"/>
        </w:numPr>
        <w:pBdr>
          <w:top w:val="nil"/>
          <w:left w:val="nil"/>
          <w:bottom w:val="nil"/>
          <w:right w:val="nil"/>
          <w:between w:val="nil"/>
        </w:pBdr>
        <w:spacing w:after="0" w:line="240" w:lineRule="auto"/>
        <w:jc w:val="both"/>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lastRenderedPageBreak/>
        <w:t>Subcuentas y excedentes del patrimonio autónomo”.</w:t>
      </w:r>
      <w:r>
        <w:rPr>
          <w:rFonts w:ascii="Helvetica Neue" w:eastAsia="Helvetica Neue" w:hAnsi="Helvetica Neue" w:cs="Helvetica Neue"/>
          <w:color w:val="000000"/>
          <w:sz w:val="24"/>
          <w:szCs w:val="24"/>
          <w:vertAlign w:val="superscript"/>
        </w:rPr>
        <w:footnoteReference w:id="42"/>
      </w:r>
    </w:p>
    <w:p w:rsidR="00E90573" w:rsidRDefault="00E90573">
      <w:pPr>
        <w:spacing w:after="0" w:line="240" w:lineRule="auto"/>
        <w:jc w:val="both"/>
        <w:rPr>
          <w:rFonts w:ascii="Helvetica Neue" w:eastAsia="Helvetica Neue" w:hAnsi="Helvetica Neue" w:cs="Helvetica Neue"/>
          <w:sz w:val="24"/>
          <w:szCs w:val="24"/>
        </w:rPr>
      </w:pPr>
    </w:p>
    <w:p w:rsidR="00E90573" w:rsidRDefault="00D17DEC">
      <w:pPr>
        <w:spacing w:after="0" w:line="240" w:lineRule="auto"/>
        <w:jc w:val="both"/>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Lo anterior puede generar de manera evidente confusión en las entidades públicas, ante APPs de Iniciativas privadas sin desembolso de recursos públicos. Pues de acuerdo a lo reglamentado por el Decreto 2043 de 2014, se definen cuatro mecanismos de compensación, pero claramente dice “entre otros, pero sin limitarse”, lo que deja un espacio para utilizar otro tipo de mecanismos que bien podría ser un Fondo de Contingencias. Pero ante ese vacío, y bajo la interpretación dada en documentos como el Programa de Capacitación a Entidades Públicas, donde básicamente se genera interpretación sobre este fondo, “sólo aplicado a APP con desembolso de recursos públicos”, se convierte en un incentivo para que haya una deficiente asignación de riesgos. </w:t>
      </w:r>
    </w:p>
    <w:p w:rsidR="00E90573" w:rsidRDefault="00E90573">
      <w:pPr>
        <w:spacing w:after="0" w:line="240" w:lineRule="auto"/>
        <w:jc w:val="both"/>
        <w:rPr>
          <w:rFonts w:ascii="Helvetica Neue" w:eastAsia="Helvetica Neue" w:hAnsi="Helvetica Neue" w:cs="Helvetica Neue"/>
          <w:sz w:val="24"/>
          <w:szCs w:val="24"/>
        </w:rPr>
      </w:pPr>
    </w:p>
    <w:p w:rsidR="00E90573" w:rsidRDefault="00D17DEC">
      <w:pPr>
        <w:spacing w:after="0" w:line="240" w:lineRule="auto"/>
        <w:jc w:val="both"/>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La deficiente asignación de riesgos en APPs de Iniciativa Privada sin desembolso de recursos públicos se promueve en la medida en que, la entidad pública contratante, prefiere asignar la mayor cantidad de riesgos al privado, para evitar tener que asumir responsabilidades por los mismos, pues entiende que no puede hacer uso del fondo de contingencias, para asumir el peso de encabezar un riesgo. Incluso a costa de que ese riesgo por su característica pueda ser mejor gestionado por la entidad pública que por el privado (como un riesgo regulatorio). </w:t>
      </w:r>
    </w:p>
    <w:p w:rsidR="00E90573" w:rsidRDefault="00E90573">
      <w:pPr>
        <w:spacing w:after="0" w:line="276" w:lineRule="auto"/>
        <w:jc w:val="both"/>
        <w:rPr>
          <w:rFonts w:ascii="Helvetica Neue" w:eastAsia="Helvetica Neue" w:hAnsi="Helvetica Neue" w:cs="Helvetica Neue"/>
          <w:b/>
          <w:sz w:val="24"/>
          <w:szCs w:val="24"/>
          <w:highlight w:val="white"/>
        </w:rPr>
      </w:pPr>
    </w:p>
    <w:p w:rsidR="00E90573" w:rsidRDefault="00E90573">
      <w:pPr>
        <w:spacing w:after="0" w:line="276" w:lineRule="auto"/>
        <w:jc w:val="both"/>
        <w:rPr>
          <w:rFonts w:ascii="Helvetica Neue" w:eastAsia="Helvetica Neue" w:hAnsi="Helvetica Neue" w:cs="Helvetica Neue"/>
          <w:b/>
          <w:sz w:val="24"/>
          <w:szCs w:val="24"/>
          <w:highlight w:val="white"/>
        </w:rPr>
      </w:pPr>
    </w:p>
    <w:p w:rsidR="00E90573" w:rsidRDefault="00D17DEC">
      <w:pPr>
        <w:pStyle w:val="Ttulo"/>
        <w:shd w:val="clear" w:color="auto" w:fill="FFFFFF"/>
        <w:spacing w:after="0" w:line="240" w:lineRule="auto"/>
        <w:jc w:val="both"/>
        <w:rPr>
          <w:rFonts w:ascii="Helvetica Neue" w:eastAsia="Helvetica Neue" w:hAnsi="Helvetica Neue" w:cs="Helvetica Neue"/>
          <w:sz w:val="24"/>
          <w:szCs w:val="24"/>
          <w:u w:val="single"/>
        </w:rPr>
      </w:pPr>
      <w:bookmarkStart w:id="8" w:name="_heading=h.ll2x5qs5wosa" w:colFirst="0" w:colLast="0"/>
      <w:bookmarkEnd w:id="8"/>
      <w:r>
        <w:rPr>
          <w:rFonts w:ascii="Helvetica Neue" w:eastAsia="Helvetica Neue" w:hAnsi="Helvetica Neue" w:cs="Helvetica Neue"/>
          <w:sz w:val="24"/>
          <w:szCs w:val="24"/>
          <w:u w:val="single"/>
        </w:rPr>
        <w:t>10.  PROPUESTA DE MODIFICACIÓN DE LA LEY 1508 DE 2012</w:t>
      </w:r>
    </w:p>
    <w:p w:rsidR="00E90573" w:rsidRDefault="00D17DEC">
      <w:pPr>
        <w:pStyle w:val="Ttulo"/>
        <w:shd w:val="clear" w:color="auto" w:fill="FFFFFF"/>
        <w:spacing w:after="0" w:line="240" w:lineRule="auto"/>
        <w:ind w:left="425"/>
        <w:jc w:val="both"/>
        <w:rPr>
          <w:rFonts w:ascii="Helvetica Neue" w:eastAsia="Helvetica Neue" w:hAnsi="Helvetica Neue" w:cs="Helvetica Neue"/>
          <w:sz w:val="24"/>
          <w:szCs w:val="24"/>
          <w:u w:val="single"/>
        </w:rPr>
      </w:pPr>
      <w:bookmarkStart w:id="9" w:name="_heading=h.e7ib6mxzjo9f" w:colFirst="0" w:colLast="0"/>
      <w:bookmarkEnd w:id="9"/>
      <w:r>
        <w:rPr>
          <w:rFonts w:ascii="Helvetica Neue" w:eastAsia="Helvetica Neue" w:hAnsi="Helvetica Neue" w:cs="Helvetica Neue"/>
          <w:sz w:val="24"/>
          <w:szCs w:val="24"/>
          <w:u w:val="single"/>
        </w:rPr>
        <w:t xml:space="preserve">10.1. Propuesta de Modificación del artículo 11o. de la ley 1508 de 2012- Frente al Comparador Público Privado. </w:t>
      </w:r>
    </w:p>
    <w:p w:rsidR="00E90573" w:rsidRDefault="00E90573">
      <w:pPr>
        <w:shd w:val="clear" w:color="auto" w:fill="FFFFFF"/>
        <w:spacing w:after="0" w:line="240" w:lineRule="auto"/>
        <w:jc w:val="both"/>
        <w:rPr>
          <w:rFonts w:ascii="Helvetica Neue" w:eastAsia="Helvetica Neue" w:hAnsi="Helvetica Neue" w:cs="Helvetica Neue"/>
          <w:b/>
          <w:sz w:val="24"/>
          <w:szCs w:val="24"/>
        </w:rPr>
      </w:pPr>
    </w:p>
    <w:p w:rsidR="00E90573" w:rsidRDefault="00D17DEC">
      <w:pPr>
        <w:spacing w:after="0"/>
        <w:jc w:val="both"/>
        <w:rPr>
          <w:rFonts w:ascii="Helvetica Neue" w:eastAsia="Helvetica Neue" w:hAnsi="Helvetica Neue" w:cs="Helvetica Neue"/>
          <w:sz w:val="24"/>
          <w:szCs w:val="24"/>
          <w:highlight w:val="white"/>
        </w:rPr>
      </w:pPr>
      <w:r>
        <w:rPr>
          <w:rFonts w:ascii="Helvetica Neue" w:eastAsia="Helvetica Neue" w:hAnsi="Helvetica Neue" w:cs="Helvetica Neue"/>
          <w:sz w:val="24"/>
          <w:szCs w:val="24"/>
        </w:rPr>
        <w:t xml:space="preserve">En </w:t>
      </w:r>
      <w:r>
        <w:rPr>
          <w:rFonts w:ascii="Helvetica Neue" w:eastAsia="Helvetica Neue" w:hAnsi="Helvetica Neue" w:cs="Helvetica Neue"/>
          <w:sz w:val="24"/>
          <w:szCs w:val="24"/>
          <w:highlight w:val="white"/>
        </w:rPr>
        <w:t xml:space="preserve">el numeral 11.3 del artículo 11 de la Ley 1508 de 2012 </w:t>
      </w:r>
      <w:r>
        <w:rPr>
          <w:rFonts w:ascii="Helvetica Neue" w:eastAsia="Helvetica Neue" w:hAnsi="Helvetica Neue" w:cs="Helvetica Neue"/>
          <w:sz w:val="24"/>
          <w:szCs w:val="24"/>
        </w:rPr>
        <w:t xml:space="preserve">se establece la </w:t>
      </w:r>
      <w:r>
        <w:rPr>
          <w:rFonts w:ascii="Helvetica Neue" w:eastAsia="Helvetica Neue" w:hAnsi="Helvetica Neue" w:cs="Helvetica Neue"/>
          <w:b/>
          <w:sz w:val="24"/>
          <w:szCs w:val="24"/>
        </w:rPr>
        <w:t>obligación de justificar el mecanismo de asociación público privada como modalidad para la ejecución del proyecto.</w:t>
      </w:r>
      <w:r>
        <w:rPr>
          <w:rFonts w:ascii="Helvetica Neue" w:eastAsia="Helvetica Neue" w:hAnsi="Helvetica Neue" w:cs="Helvetica Neue"/>
          <w:sz w:val="24"/>
          <w:szCs w:val="24"/>
        </w:rPr>
        <w:t xml:space="preserve"> Actualmente, de acuerdo a interpretaciones de diferentes entidades, es el privado el que debe realizar este comparativo en las Iniciativas Privadas. </w:t>
      </w:r>
    </w:p>
    <w:p w:rsidR="00E90573" w:rsidRDefault="00D17DEC">
      <w:pPr>
        <w:spacing w:after="0"/>
        <w:jc w:val="both"/>
        <w:rPr>
          <w:rFonts w:ascii="Helvetica Neue" w:eastAsia="Helvetica Neue" w:hAnsi="Helvetica Neue" w:cs="Helvetica Neue"/>
          <w:sz w:val="24"/>
          <w:szCs w:val="24"/>
          <w:highlight w:val="white"/>
        </w:rPr>
      </w:pPr>
      <w:r>
        <w:rPr>
          <w:rFonts w:ascii="Helvetica Neue" w:eastAsia="Helvetica Neue" w:hAnsi="Helvetica Neue" w:cs="Helvetica Neue"/>
          <w:sz w:val="24"/>
          <w:szCs w:val="24"/>
          <w:highlight w:val="white"/>
        </w:rPr>
        <w:t>Esto ha sido interpretado por las entidades gubernamentales bajo el entendido que el privado deberá realizar un comparador público- privado, que permita dar evidencia que la mejor opción para cierto proyecto, es una APP. Lo que a todas luces, suena insensato teniendo en cuenta que en una APP de iniciativa privada, es el privado el más interesado en que pueda surtirse el proyecto a través de la misma.</w:t>
      </w:r>
    </w:p>
    <w:p w:rsidR="00E90573" w:rsidRDefault="00D17DEC">
      <w:pPr>
        <w:spacing w:before="240" w:after="240" w:line="240" w:lineRule="auto"/>
        <w:jc w:val="both"/>
        <w:rPr>
          <w:rFonts w:ascii="Helvetica Neue" w:eastAsia="Helvetica Neue" w:hAnsi="Helvetica Neue" w:cs="Helvetica Neue"/>
          <w:b/>
          <w:sz w:val="24"/>
          <w:szCs w:val="24"/>
          <w:highlight w:val="white"/>
        </w:rPr>
      </w:pPr>
      <w:r>
        <w:rPr>
          <w:rFonts w:ascii="Helvetica Neue" w:eastAsia="Helvetica Neue" w:hAnsi="Helvetica Neue" w:cs="Helvetica Neue"/>
          <w:sz w:val="24"/>
          <w:szCs w:val="24"/>
          <w:highlight w:val="white"/>
        </w:rPr>
        <w:t xml:space="preserve">Lo anterior, desconfigura totalmente las recomendaciones que organizaciones como la OCDE han dado frente a asegurar un sistema de evaluación sólida en las APPs, dada su complejidad, </w:t>
      </w:r>
      <w:r>
        <w:rPr>
          <w:rFonts w:ascii="Helvetica Neue" w:eastAsia="Helvetica Neue" w:hAnsi="Helvetica Neue" w:cs="Helvetica Neue"/>
          <w:b/>
          <w:sz w:val="24"/>
          <w:szCs w:val="24"/>
          <w:highlight w:val="white"/>
        </w:rPr>
        <w:t>utilizando un comparador prudente del sector público y directrices transparentes y coherentes con respecto a los elementos no cuantificables en el juicio sobre la relación calidad-precio</w:t>
      </w:r>
      <w:r>
        <w:rPr>
          <w:rFonts w:ascii="Helvetica Neue" w:eastAsia="Helvetica Neue" w:hAnsi="Helvetica Neue" w:cs="Helvetica Neue"/>
          <w:b/>
          <w:sz w:val="24"/>
          <w:szCs w:val="24"/>
          <w:highlight w:val="white"/>
          <w:vertAlign w:val="superscript"/>
        </w:rPr>
        <w:footnoteReference w:id="43"/>
      </w:r>
      <w:r>
        <w:rPr>
          <w:rFonts w:ascii="Helvetica Neue" w:eastAsia="Helvetica Neue" w:hAnsi="Helvetica Neue" w:cs="Helvetica Neue"/>
          <w:b/>
          <w:sz w:val="24"/>
          <w:szCs w:val="24"/>
          <w:highlight w:val="white"/>
        </w:rPr>
        <w:t>.</w:t>
      </w:r>
    </w:p>
    <w:p w:rsidR="00E90573" w:rsidRDefault="00D17DEC">
      <w:pPr>
        <w:shd w:val="clear" w:color="auto" w:fill="FFFFFF"/>
        <w:spacing w:after="0" w:line="240" w:lineRule="auto"/>
        <w:jc w:val="both"/>
        <w:rPr>
          <w:rFonts w:ascii="Helvetica Neue" w:eastAsia="Helvetica Neue" w:hAnsi="Helvetica Neue" w:cs="Helvetica Neue"/>
          <w:b/>
          <w:sz w:val="24"/>
          <w:szCs w:val="24"/>
        </w:rPr>
      </w:pPr>
      <w:r>
        <w:rPr>
          <w:rFonts w:ascii="Helvetica Neue" w:eastAsia="Helvetica Neue" w:hAnsi="Helvetica Neue" w:cs="Helvetica Neue"/>
          <w:sz w:val="24"/>
          <w:szCs w:val="24"/>
        </w:rPr>
        <w:t>Además, no se puede olvidar que de acuerdo a la OCDE, el comparador tiene en cuenta los riesgos que son transferibles a una parte privada probable, y</w:t>
      </w:r>
      <w:r>
        <w:rPr>
          <w:rFonts w:ascii="Helvetica Neue" w:eastAsia="Helvetica Neue" w:hAnsi="Helvetica Neue" w:cs="Helvetica Neue"/>
          <w:b/>
          <w:sz w:val="24"/>
          <w:szCs w:val="24"/>
        </w:rPr>
        <w:t xml:space="preserve"> los riesgos </w:t>
      </w:r>
      <w:r>
        <w:rPr>
          <w:rFonts w:ascii="Helvetica Neue" w:eastAsia="Helvetica Neue" w:hAnsi="Helvetica Neue" w:cs="Helvetica Neue"/>
          <w:b/>
          <w:sz w:val="24"/>
          <w:szCs w:val="24"/>
        </w:rPr>
        <w:lastRenderedPageBreak/>
        <w:t>que el gobierno conservará, la relación calidad-precio incluye aspectos cualitativos y, por lo general, implica un elemento de juicio por parte del gobierno.</w:t>
      </w:r>
    </w:p>
    <w:p w:rsidR="00E90573" w:rsidRDefault="00E90573">
      <w:pPr>
        <w:shd w:val="clear" w:color="auto" w:fill="FFFFFF"/>
        <w:spacing w:after="0" w:line="240" w:lineRule="auto"/>
        <w:jc w:val="both"/>
        <w:rPr>
          <w:rFonts w:ascii="Helvetica Neue" w:eastAsia="Helvetica Neue" w:hAnsi="Helvetica Neue" w:cs="Helvetica Neue"/>
          <w:b/>
          <w:sz w:val="24"/>
          <w:szCs w:val="24"/>
        </w:rPr>
      </w:pPr>
    </w:p>
    <w:p w:rsidR="00E90573" w:rsidRDefault="00D17DEC">
      <w:pPr>
        <w:shd w:val="clear" w:color="auto" w:fill="FFFFFF"/>
        <w:spacing w:after="0" w:line="240" w:lineRule="auto"/>
        <w:jc w:val="both"/>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Por esto lo anterior, se propone modificar el artículo 11 de la ley en mención, de manera que se de total claridad frente a que la justificación que se debe realizar para demostrar que la modalidad más eficiente y necesaria para la ejecución de un proyecto es una APP; la debe hacer el DNP en caso de ser una entidad de orden nacional o para proyectos desarrollados por entidades territoriales, estará a cargo de la Financiera de Desarrollo Nacional o la entidad de planeación de la respectiva entidad territorial, según defina la entidad contratante. Lo cual garantiza que se utilizará un criterio imparcial  y que se cuantifiquen de manera coherente la relación calidad-precio. </w:t>
      </w:r>
    </w:p>
    <w:p w:rsidR="00E90573" w:rsidRDefault="00E90573">
      <w:pPr>
        <w:spacing w:after="120" w:line="276" w:lineRule="auto"/>
        <w:jc w:val="both"/>
        <w:rPr>
          <w:rFonts w:ascii="Helvetica Neue" w:eastAsia="Helvetica Neue" w:hAnsi="Helvetica Neue" w:cs="Helvetica Neue"/>
          <w:b/>
          <w:sz w:val="24"/>
          <w:szCs w:val="24"/>
        </w:rPr>
      </w:pPr>
    </w:p>
    <w:p w:rsidR="00E90573" w:rsidRDefault="00E90573">
      <w:pPr>
        <w:spacing w:after="120" w:line="276" w:lineRule="auto"/>
        <w:jc w:val="both"/>
        <w:rPr>
          <w:rFonts w:ascii="Helvetica Neue" w:eastAsia="Helvetica Neue" w:hAnsi="Helvetica Neue" w:cs="Helvetica Neue"/>
          <w:b/>
          <w:sz w:val="24"/>
          <w:szCs w:val="24"/>
        </w:rPr>
      </w:pPr>
    </w:p>
    <w:tbl>
      <w:tblPr>
        <w:tblStyle w:val="a4"/>
        <w:tblW w:w="920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04"/>
        <w:gridCol w:w="4604"/>
      </w:tblGrid>
      <w:tr w:rsidR="00E90573">
        <w:tc>
          <w:tcPr>
            <w:tcW w:w="4604" w:type="dxa"/>
            <w:shd w:val="clear" w:color="auto" w:fill="auto"/>
            <w:tcMar>
              <w:top w:w="100" w:type="dxa"/>
              <w:left w:w="100" w:type="dxa"/>
              <w:bottom w:w="100" w:type="dxa"/>
              <w:right w:w="100" w:type="dxa"/>
            </w:tcMar>
          </w:tcPr>
          <w:p w:rsidR="00E90573" w:rsidRDefault="00D17DEC">
            <w:pPr>
              <w:widowControl w:val="0"/>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Artículo Actual- Artículo 11o Ley 1508 de 2012</w:t>
            </w:r>
          </w:p>
        </w:tc>
        <w:tc>
          <w:tcPr>
            <w:tcW w:w="4604" w:type="dxa"/>
            <w:shd w:val="clear" w:color="auto" w:fill="auto"/>
            <w:tcMar>
              <w:top w:w="100" w:type="dxa"/>
              <w:left w:w="100" w:type="dxa"/>
              <w:bottom w:w="100" w:type="dxa"/>
              <w:right w:w="100" w:type="dxa"/>
            </w:tcMar>
          </w:tcPr>
          <w:p w:rsidR="00E90573" w:rsidRDefault="00D17DEC">
            <w:pPr>
              <w:widowControl w:val="0"/>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 xml:space="preserve">Modificación propuesta al artículo 11o Ley 1508 de 2012 </w:t>
            </w:r>
          </w:p>
        </w:tc>
      </w:tr>
      <w:tr w:rsidR="00E90573">
        <w:tc>
          <w:tcPr>
            <w:tcW w:w="4604" w:type="dxa"/>
            <w:shd w:val="clear" w:color="auto" w:fill="auto"/>
            <w:tcMar>
              <w:top w:w="100" w:type="dxa"/>
              <w:left w:w="100" w:type="dxa"/>
              <w:bottom w:w="100" w:type="dxa"/>
              <w:right w:w="100" w:type="dxa"/>
            </w:tcMar>
          </w:tcPr>
          <w:p w:rsidR="00E90573" w:rsidRDefault="00D17DEC">
            <w:pPr>
              <w:spacing w:before="240" w:after="240" w:line="240" w:lineRule="auto"/>
              <w:ind w:left="425"/>
              <w:jc w:val="both"/>
              <w:rPr>
                <w:rFonts w:ascii="Helvetica Neue" w:eastAsia="Helvetica Neue" w:hAnsi="Helvetica Neue" w:cs="Helvetica Neue"/>
                <w:highlight w:val="white"/>
              </w:rPr>
            </w:pPr>
            <w:r>
              <w:rPr>
                <w:rFonts w:ascii="Helvetica Neue" w:eastAsia="Helvetica Neue" w:hAnsi="Helvetica Neue" w:cs="Helvetica Neue"/>
                <w:highlight w:val="white"/>
              </w:rPr>
              <w:t>ARTÍCULO 11. REQUISITOS PARA ABRIR PROCESOS DE SELECCIÓN DE CONTRATISTAS PARA LA EJECUCIÓN DE PROYECTOS DE ASOCIACIÓN PÚBLICO PRIVADA, DE INICIATIVA PÚBLICA. En los proyectos de asociación público privada de iniciativa pública, la entidad que invita a participar en el proceso de selección, deberá contar antes de la iniciación del proceso de selección con:</w:t>
            </w:r>
          </w:p>
          <w:p w:rsidR="00E90573" w:rsidRDefault="00E90573">
            <w:pPr>
              <w:spacing w:before="240" w:after="240" w:line="240" w:lineRule="auto"/>
              <w:ind w:left="425"/>
              <w:jc w:val="both"/>
              <w:rPr>
                <w:rFonts w:ascii="Helvetica Neue" w:eastAsia="Helvetica Neue" w:hAnsi="Helvetica Neue" w:cs="Helvetica Neue"/>
                <w:highlight w:val="white"/>
              </w:rPr>
            </w:pPr>
          </w:p>
          <w:p w:rsidR="00E90573" w:rsidRDefault="00D17DEC">
            <w:pPr>
              <w:spacing w:before="240" w:after="240" w:line="240" w:lineRule="auto"/>
              <w:ind w:left="425"/>
              <w:jc w:val="both"/>
              <w:rPr>
                <w:rFonts w:ascii="Helvetica Neue" w:eastAsia="Helvetica Neue" w:hAnsi="Helvetica Neue" w:cs="Helvetica Neue"/>
                <w:highlight w:val="white"/>
              </w:rPr>
            </w:pPr>
            <w:r>
              <w:rPr>
                <w:rFonts w:ascii="Helvetica Neue" w:eastAsia="Helvetica Neue" w:hAnsi="Helvetica Neue" w:cs="Helvetica Neue"/>
                <w:highlight w:val="white"/>
              </w:rPr>
              <w:t>11.1 Los estudios vigentes de carácter técnico, socioeconómico, ambiental, predial, financiero y jurídico acordes con el proyecto, la descripción completa del proyecto incluyendo diseño, construcción, operación, mantenimiento, organización o explotación del mismo, el modelo financiero detallado y formulado que fundamente el valor del proyecto, descripción detallada de las fases y duración del proyecto y justificación del plazo del contrato. El modelo financiero estatal tendrá reserva legal.</w:t>
            </w:r>
          </w:p>
          <w:p w:rsidR="00E90573" w:rsidRDefault="00D17DEC">
            <w:pPr>
              <w:spacing w:before="240" w:after="240" w:line="240" w:lineRule="auto"/>
              <w:ind w:left="425"/>
              <w:jc w:val="both"/>
              <w:rPr>
                <w:rFonts w:ascii="Helvetica Neue" w:eastAsia="Helvetica Neue" w:hAnsi="Helvetica Neue" w:cs="Helvetica Neue"/>
                <w:highlight w:val="white"/>
              </w:rPr>
            </w:pPr>
            <w:r>
              <w:rPr>
                <w:rFonts w:ascii="Helvetica Neue" w:eastAsia="Helvetica Neue" w:hAnsi="Helvetica Neue" w:cs="Helvetica Neue"/>
                <w:highlight w:val="white"/>
              </w:rPr>
              <w:t>11.2 Evaluación costo beneficio del proyecto analizando su impacto social, económico y ambiental sobre la población directamente afectada, evaluando los beneficios socioeconómicos esperados.</w:t>
            </w:r>
          </w:p>
          <w:p w:rsidR="00E90573" w:rsidRDefault="00D17DEC">
            <w:pPr>
              <w:spacing w:before="240" w:after="240" w:line="240" w:lineRule="auto"/>
              <w:ind w:left="425"/>
              <w:jc w:val="both"/>
              <w:rPr>
                <w:rFonts w:ascii="Helvetica Neue" w:eastAsia="Helvetica Neue" w:hAnsi="Helvetica Neue" w:cs="Helvetica Neue"/>
                <w:highlight w:val="white"/>
              </w:rPr>
            </w:pPr>
            <w:r>
              <w:rPr>
                <w:rFonts w:ascii="Helvetica Neue" w:eastAsia="Helvetica Neue" w:hAnsi="Helvetica Neue" w:cs="Helvetica Neue"/>
                <w:highlight w:val="white"/>
              </w:rPr>
              <w:t xml:space="preserve">11.3 Justificación de utilizar el mecanismo de asociación público privada como una modalidad para la ejecución del proyecto, de conformidad </w:t>
            </w:r>
            <w:r>
              <w:rPr>
                <w:rFonts w:ascii="Helvetica Neue" w:eastAsia="Helvetica Neue" w:hAnsi="Helvetica Neue" w:cs="Helvetica Neue"/>
                <w:highlight w:val="white"/>
              </w:rPr>
              <w:lastRenderedPageBreak/>
              <w:t>con los parámetros definidos por el Departamento Nacional de Planeación. Los análisis señalados en este numeral deberán contar con concepto previo favorable del Departamento Nacional de Planeación o de la entidad de planeación de la respectiva entidad territorial. Para el anterior concepto, se deberá contar con la aprobación del Ministerio de Hacienda y Crédito Público respecto de las valoraciones de las obligaciones contingentes que realicen las Entidades Estatales, en desarrollo de los Esquemas de Asociación Público Privada, en los términos definidos en la Ley 448 de 1998.</w:t>
            </w:r>
          </w:p>
          <w:p w:rsidR="00E90573" w:rsidRDefault="00D17DEC">
            <w:pPr>
              <w:spacing w:before="240" w:after="240" w:line="240" w:lineRule="auto"/>
              <w:ind w:left="425"/>
              <w:jc w:val="both"/>
              <w:rPr>
                <w:rFonts w:ascii="Helvetica Neue" w:eastAsia="Helvetica Neue" w:hAnsi="Helvetica Neue" w:cs="Helvetica Neue"/>
                <w:highlight w:val="white"/>
              </w:rPr>
            </w:pPr>
            <w:r>
              <w:rPr>
                <w:rFonts w:ascii="Helvetica Neue" w:eastAsia="Helvetica Neue" w:hAnsi="Helvetica Neue" w:cs="Helvetica Neue"/>
                <w:highlight w:val="white"/>
              </w:rPr>
              <w:t>11.4 Análisis de amenaza y vulnerabilidad con el fin de garantizar la no generación o reproducción de condiciones de riesgo de desastre.</w:t>
            </w:r>
          </w:p>
          <w:p w:rsidR="00E90573" w:rsidRDefault="00D17DEC">
            <w:pPr>
              <w:spacing w:before="240" w:after="240" w:line="240" w:lineRule="auto"/>
              <w:ind w:left="425"/>
              <w:jc w:val="both"/>
              <w:rPr>
                <w:rFonts w:ascii="Helvetica Neue" w:eastAsia="Helvetica Neue" w:hAnsi="Helvetica Neue" w:cs="Helvetica Neue"/>
                <w:highlight w:val="white"/>
              </w:rPr>
            </w:pPr>
            <w:r>
              <w:rPr>
                <w:rFonts w:ascii="Helvetica Neue" w:eastAsia="Helvetica Neue" w:hAnsi="Helvetica Neue" w:cs="Helvetica Neue"/>
                <w:highlight w:val="white"/>
              </w:rPr>
              <w:t>11.5 La adecuada tipificación, estimación y asignación de los riesgos, posibles contingencias, la respectiva matriz de riesgos asociados al proyecto.</w:t>
            </w:r>
          </w:p>
        </w:tc>
        <w:tc>
          <w:tcPr>
            <w:tcW w:w="4604" w:type="dxa"/>
            <w:shd w:val="clear" w:color="auto" w:fill="auto"/>
            <w:tcMar>
              <w:top w:w="100" w:type="dxa"/>
              <w:left w:w="100" w:type="dxa"/>
              <w:bottom w:w="100" w:type="dxa"/>
              <w:right w:w="100" w:type="dxa"/>
            </w:tcMar>
          </w:tcPr>
          <w:p w:rsidR="00E90573" w:rsidRDefault="00D17DEC">
            <w:pPr>
              <w:spacing w:after="0" w:line="240" w:lineRule="auto"/>
              <w:jc w:val="both"/>
              <w:rPr>
                <w:rFonts w:ascii="Helvetica Neue" w:eastAsia="Helvetica Neue" w:hAnsi="Helvetica Neue" w:cs="Helvetica Neue"/>
              </w:rPr>
            </w:pPr>
            <w:r>
              <w:rPr>
                <w:rFonts w:ascii="Helvetica Neue" w:eastAsia="Helvetica Neue" w:hAnsi="Helvetica Neue" w:cs="Helvetica Neue"/>
              </w:rPr>
              <w:lastRenderedPageBreak/>
              <w:t>ARTÍCULO 11. REQUISITOS PARA ABRIR PROCESOS DE SELECCIÓN DE CONTRATISTAS PARA LA EJECUCIÓN DE PROYECTOS DE ASOCIACIÓN PÚBLICO PRIVADA, DE INICIATIVA PÚBLICA. En los proyectos de asociación público privada de iniciativa pública, la entidad que invita a participar en el proceso de selección, deberá contar antes de la iniciación del proceso de selección con:</w:t>
            </w:r>
          </w:p>
          <w:p w:rsidR="00E90573" w:rsidRDefault="00E90573">
            <w:pPr>
              <w:spacing w:after="0" w:line="240" w:lineRule="auto"/>
              <w:jc w:val="both"/>
              <w:rPr>
                <w:rFonts w:ascii="Helvetica Neue" w:eastAsia="Helvetica Neue" w:hAnsi="Helvetica Neue" w:cs="Helvetica Neue"/>
              </w:rPr>
            </w:pPr>
          </w:p>
          <w:p w:rsidR="00E90573" w:rsidRDefault="00D17DEC">
            <w:pPr>
              <w:spacing w:after="0" w:line="240" w:lineRule="auto"/>
              <w:jc w:val="both"/>
              <w:rPr>
                <w:rFonts w:ascii="Helvetica Neue" w:eastAsia="Helvetica Neue" w:hAnsi="Helvetica Neue" w:cs="Helvetica Neue"/>
              </w:rPr>
            </w:pPr>
            <w:r>
              <w:rPr>
                <w:rFonts w:ascii="Helvetica Neue" w:eastAsia="Helvetica Neue" w:hAnsi="Helvetica Neue" w:cs="Helvetica Neue"/>
              </w:rPr>
              <w:t>11.1 Los estudios vigentes de carácter técnico, socioeconómico, ambiental, predial, financiero y jurídico acordes con el proyecto, la descripción completa del proyecto incluyendo diseño, construcción, operación, mantenimiento, organización o explotación del mismo, el modelo financiero detallado y formulado que fundamente el valor del proyecto, descripción detallada de las fases y duración del proyecto y justificación del plazo del contrato. El modelo financiero estatal tendrá reserva legal.</w:t>
            </w:r>
          </w:p>
          <w:p w:rsidR="00E90573" w:rsidRDefault="00E90573">
            <w:pPr>
              <w:spacing w:after="0" w:line="240" w:lineRule="auto"/>
              <w:jc w:val="both"/>
              <w:rPr>
                <w:rFonts w:ascii="Helvetica Neue" w:eastAsia="Helvetica Neue" w:hAnsi="Helvetica Neue" w:cs="Helvetica Neue"/>
              </w:rPr>
            </w:pPr>
          </w:p>
          <w:p w:rsidR="00E90573" w:rsidRDefault="00D17DEC">
            <w:pPr>
              <w:spacing w:after="0" w:line="240" w:lineRule="auto"/>
              <w:jc w:val="both"/>
              <w:rPr>
                <w:rFonts w:ascii="Helvetica Neue" w:eastAsia="Helvetica Neue" w:hAnsi="Helvetica Neue" w:cs="Helvetica Neue"/>
              </w:rPr>
            </w:pPr>
            <w:r>
              <w:rPr>
                <w:rFonts w:ascii="Helvetica Neue" w:eastAsia="Helvetica Neue" w:hAnsi="Helvetica Neue" w:cs="Helvetica Neue"/>
              </w:rPr>
              <w:t>11.2 Evaluación costo beneficio del proyecto analizando su impacto social, económico y ambiental sobre la población directamente afectada, evaluando los beneficios socioeconómicos esperados.</w:t>
            </w:r>
          </w:p>
          <w:p w:rsidR="00E90573" w:rsidRDefault="00E90573">
            <w:pPr>
              <w:spacing w:after="0" w:line="240" w:lineRule="auto"/>
              <w:jc w:val="both"/>
              <w:rPr>
                <w:rFonts w:ascii="Helvetica Neue" w:eastAsia="Helvetica Neue" w:hAnsi="Helvetica Neue" w:cs="Helvetica Neue"/>
              </w:rPr>
            </w:pPr>
          </w:p>
          <w:p w:rsidR="00E90573" w:rsidRDefault="00D17DEC">
            <w:pPr>
              <w:spacing w:after="0" w:line="240" w:lineRule="auto"/>
              <w:jc w:val="both"/>
              <w:rPr>
                <w:rFonts w:ascii="Helvetica Neue" w:eastAsia="Helvetica Neue" w:hAnsi="Helvetica Neue" w:cs="Helvetica Neue"/>
              </w:rPr>
            </w:pPr>
            <w:r>
              <w:rPr>
                <w:rFonts w:ascii="Helvetica Neue" w:eastAsia="Helvetica Neue" w:hAnsi="Helvetica Neue" w:cs="Helvetica Neue"/>
              </w:rPr>
              <w:t xml:space="preserve">11.3 Justificación de utilizar el mecanismo de asociación público privada como una modalidad para la ejecución del proyecto, de conformidad con los parámetros definidos por el Departamento Nacional de Planeación. Los análisis señalados en este numeral </w:t>
            </w:r>
            <w:r>
              <w:rPr>
                <w:rFonts w:ascii="Helvetica Neue" w:eastAsia="Helvetica Neue" w:hAnsi="Helvetica Neue" w:cs="Helvetica Neue"/>
                <w:b/>
                <w:u w:val="single"/>
              </w:rPr>
              <w:t xml:space="preserve">serán realizados por el Departamento Nacional de Planeación, en caso que la entidad pública contratante sea de orden nacional, para proyectos desarrollados </w:t>
            </w:r>
            <w:r>
              <w:rPr>
                <w:rFonts w:ascii="Helvetica Neue" w:eastAsia="Helvetica Neue" w:hAnsi="Helvetica Neue" w:cs="Helvetica Neue"/>
                <w:b/>
                <w:u w:val="single"/>
              </w:rPr>
              <w:lastRenderedPageBreak/>
              <w:t>por entidades territoriales, estará a cargo de la Financiera de Desarrollo Nacional o la entidad de planeación de la respectiva entidad territorial, según defina la entidad contratante.</w:t>
            </w:r>
            <w:r>
              <w:rPr>
                <w:rFonts w:ascii="Helvetica Neue" w:eastAsia="Helvetica Neue" w:hAnsi="Helvetica Neue" w:cs="Helvetica Neue"/>
              </w:rPr>
              <w:t xml:space="preserve">  Para lo anterior, se deberá contar con la aprobación del Ministerio de Hacienda y Crédito Público respecto de las valoraciones de las obligaciones contingentes que realicen las Entidades Estatales, en desarrollo de los Esquemas de Asociación Público Privada, en los términos definidos en la Ley 448 de 1998.</w:t>
            </w:r>
          </w:p>
          <w:p w:rsidR="00E90573" w:rsidRDefault="00E90573">
            <w:pPr>
              <w:spacing w:after="0" w:line="240" w:lineRule="auto"/>
              <w:jc w:val="both"/>
              <w:rPr>
                <w:rFonts w:ascii="Helvetica Neue" w:eastAsia="Helvetica Neue" w:hAnsi="Helvetica Neue" w:cs="Helvetica Neue"/>
              </w:rPr>
            </w:pPr>
          </w:p>
          <w:p w:rsidR="00E90573" w:rsidRDefault="00D17DEC">
            <w:pPr>
              <w:spacing w:after="0" w:line="240" w:lineRule="auto"/>
              <w:jc w:val="both"/>
              <w:rPr>
                <w:rFonts w:ascii="Helvetica Neue" w:eastAsia="Helvetica Neue" w:hAnsi="Helvetica Neue" w:cs="Helvetica Neue"/>
              </w:rPr>
            </w:pPr>
            <w:r>
              <w:rPr>
                <w:rFonts w:ascii="Helvetica Neue" w:eastAsia="Helvetica Neue" w:hAnsi="Helvetica Neue" w:cs="Helvetica Neue"/>
              </w:rPr>
              <w:t>11.4 Análisis de amenaza y vulnerabilidad con el fin de garantizar la no generación o reproducción de condiciones de riesgo de desastre.</w:t>
            </w:r>
          </w:p>
          <w:p w:rsidR="00E90573" w:rsidRDefault="00E90573">
            <w:pPr>
              <w:spacing w:after="0" w:line="240" w:lineRule="auto"/>
              <w:jc w:val="both"/>
              <w:rPr>
                <w:rFonts w:ascii="Helvetica Neue" w:eastAsia="Helvetica Neue" w:hAnsi="Helvetica Neue" w:cs="Helvetica Neue"/>
              </w:rPr>
            </w:pPr>
          </w:p>
          <w:p w:rsidR="00E90573" w:rsidRDefault="00D17DEC">
            <w:pPr>
              <w:spacing w:after="0" w:line="240" w:lineRule="auto"/>
              <w:jc w:val="both"/>
              <w:rPr>
                <w:rFonts w:ascii="Helvetica Neue" w:eastAsia="Helvetica Neue" w:hAnsi="Helvetica Neue" w:cs="Helvetica Neue"/>
              </w:rPr>
            </w:pPr>
            <w:r>
              <w:rPr>
                <w:rFonts w:ascii="Helvetica Neue" w:eastAsia="Helvetica Neue" w:hAnsi="Helvetica Neue" w:cs="Helvetica Neue"/>
              </w:rPr>
              <w:t>11.5 La adecuada tipificación, estimación y asignación de los riesgos, posibles contingencias, la respectiva matriz de riesgos asociados al proyecto.</w:t>
            </w:r>
          </w:p>
          <w:p w:rsidR="00E90573" w:rsidRDefault="00E90573">
            <w:pPr>
              <w:spacing w:after="0" w:line="240" w:lineRule="auto"/>
              <w:jc w:val="both"/>
              <w:rPr>
                <w:rFonts w:ascii="Helvetica Neue" w:eastAsia="Helvetica Neue" w:hAnsi="Helvetica Neue" w:cs="Helvetica Neue"/>
              </w:rPr>
            </w:pPr>
          </w:p>
          <w:p w:rsidR="00E90573" w:rsidRDefault="00E90573">
            <w:pPr>
              <w:spacing w:before="240" w:after="240" w:line="240" w:lineRule="auto"/>
              <w:jc w:val="both"/>
              <w:rPr>
                <w:rFonts w:ascii="Helvetica Neue" w:eastAsia="Helvetica Neue" w:hAnsi="Helvetica Neue" w:cs="Helvetica Neue"/>
                <w:b/>
                <w:highlight w:val="white"/>
              </w:rPr>
            </w:pPr>
          </w:p>
        </w:tc>
      </w:tr>
    </w:tbl>
    <w:p w:rsidR="00E90573" w:rsidRDefault="00E90573">
      <w:pPr>
        <w:spacing w:after="120" w:line="276" w:lineRule="auto"/>
        <w:jc w:val="both"/>
        <w:rPr>
          <w:rFonts w:ascii="Helvetica Neue" w:eastAsia="Helvetica Neue" w:hAnsi="Helvetica Neue" w:cs="Helvetica Neue"/>
          <w:sz w:val="24"/>
          <w:szCs w:val="24"/>
          <w:u w:val="single"/>
        </w:rPr>
      </w:pPr>
    </w:p>
    <w:p w:rsidR="00E90573" w:rsidRDefault="00D17DEC">
      <w:pPr>
        <w:pStyle w:val="Ttulo"/>
        <w:spacing w:after="0" w:line="240" w:lineRule="auto"/>
        <w:ind w:left="360"/>
        <w:jc w:val="both"/>
        <w:rPr>
          <w:rFonts w:ascii="Helvetica Neue" w:eastAsia="Helvetica Neue" w:hAnsi="Helvetica Neue" w:cs="Helvetica Neue"/>
          <w:sz w:val="24"/>
          <w:szCs w:val="24"/>
          <w:u w:val="single"/>
        </w:rPr>
      </w:pPr>
      <w:bookmarkStart w:id="10" w:name="_heading=h.nv9631pm04el" w:colFirst="0" w:colLast="0"/>
      <w:bookmarkEnd w:id="10"/>
      <w:r>
        <w:rPr>
          <w:rFonts w:ascii="Helvetica Neue" w:eastAsia="Helvetica Neue" w:hAnsi="Helvetica Neue" w:cs="Helvetica Neue"/>
          <w:sz w:val="24"/>
          <w:szCs w:val="24"/>
          <w:u w:val="single"/>
        </w:rPr>
        <w:t xml:space="preserve">10.2. Propuesta de modificación del artículo 14. Para promover una eficiente asignación de riesgos en APPs de Iniciativa Privada sin recursos públicos. </w:t>
      </w:r>
    </w:p>
    <w:p w:rsidR="00E90573" w:rsidRDefault="00E90573">
      <w:pPr>
        <w:spacing w:after="0" w:line="240" w:lineRule="auto"/>
        <w:jc w:val="both"/>
        <w:rPr>
          <w:rFonts w:ascii="Helvetica Neue" w:eastAsia="Helvetica Neue" w:hAnsi="Helvetica Neue" w:cs="Helvetica Neue"/>
          <w:sz w:val="24"/>
          <w:szCs w:val="24"/>
        </w:rPr>
      </w:pPr>
      <w:bookmarkStart w:id="11" w:name="_heading=h.30j0zll" w:colFirst="0" w:colLast="0"/>
      <w:bookmarkEnd w:id="11"/>
    </w:p>
    <w:p w:rsidR="00E90573" w:rsidRDefault="00D17DEC">
      <w:pPr>
        <w:spacing w:after="0" w:line="240" w:lineRule="auto"/>
        <w:jc w:val="both"/>
        <w:rPr>
          <w:rFonts w:ascii="Helvetica Neue" w:eastAsia="Helvetica Neue" w:hAnsi="Helvetica Neue" w:cs="Helvetica Neue"/>
          <w:sz w:val="24"/>
          <w:szCs w:val="24"/>
        </w:rPr>
      </w:pPr>
      <w:bookmarkStart w:id="12" w:name="_heading=h.dzn9kg1as20h" w:colFirst="0" w:colLast="0"/>
      <w:bookmarkEnd w:id="12"/>
      <w:r>
        <w:rPr>
          <w:rFonts w:ascii="Helvetica Neue" w:eastAsia="Helvetica Neue" w:hAnsi="Helvetica Neue" w:cs="Helvetica Neue"/>
          <w:sz w:val="24"/>
          <w:szCs w:val="24"/>
        </w:rPr>
        <w:t xml:space="preserve">A raíz de la confusión que puede generar en las entidades públicas, ante APPs de Iniciativas privadas sin desembolso de recursos públicos, pues de acuerdo a lo reglamentado por el Decreto 2043 de 2014, se definen cuatro mecanismos de compensación, pero claramente dice “entre otros, pero sin limitarse”, lo que deja un espacio para utilizar otro tipo de mecanismos que bien podría ser un Fondo de Contingencias. Pero ante ese vacío, y bajo la interpretación dada en documentos como el Programa de Capacitación a Entidades Públicas, donde básicamente se genera interpretación sobre este fondo, “sólo aplicado a APP con desembolso de recursos públicos”, se convierte en un incentivo para que haya una deficiente asignación de riesgos. </w:t>
      </w:r>
    </w:p>
    <w:p w:rsidR="00E90573" w:rsidRDefault="00E90573">
      <w:pPr>
        <w:spacing w:after="0" w:line="240" w:lineRule="auto"/>
        <w:jc w:val="both"/>
        <w:rPr>
          <w:rFonts w:ascii="Helvetica Neue" w:eastAsia="Helvetica Neue" w:hAnsi="Helvetica Neue" w:cs="Helvetica Neue"/>
          <w:sz w:val="24"/>
          <w:szCs w:val="24"/>
        </w:rPr>
      </w:pPr>
    </w:p>
    <w:p w:rsidR="00E90573" w:rsidRDefault="00D17DEC">
      <w:pPr>
        <w:spacing w:after="0" w:line="240" w:lineRule="auto"/>
        <w:jc w:val="both"/>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La deficiente asignación de riesgos en APPs de Iniciativa Privada sin desembolso de recursos públicos se promueve en la medida en que, la entidad pública contratante, prefiere asignar la mayor cantidad de riesgos al privado, para evitar tener que asumir responsabilidades por los mismos, pues entiende que no puede hacer uso del fondo de contingencias, para asumir el peso de encabezar un riesgo. Incluso a costa de que ese riesgo por su característica pueda ser mejor gestionado por la entidad pública que por el privado (como un riesgo regulatorio). </w:t>
      </w:r>
    </w:p>
    <w:p w:rsidR="00E90573" w:rsidRDefault="00E90573">
      <w:pPr>
        <w:spacing w:after="0" w:line="240" w:lineRule="auto"/>
        <w:jc w:val="both"/>
        <w:rPr>
          <w:rFonts w:ascii="Helvetica Neue" w:eastAsia="Helvetica Neue" w:hAnsi="Helvetica Neue" w:cs="Helvetica Neue"/>
          <w:sz w:val="24"/>
          <w:szCs w:val="24"/>
        </w:rPr>
      </w:pPr>
    </w:p>
    <w:p w:rsidR="00E90573" w:rsidRDefault="00D17DEC">
      <w:pPr>
        <w:spacing w:after="0" w:line="240" w:lineRule="auto"/>
        <w:jc w:val="both"/>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Esto repercute, por un lado, en la dificultad de lograr viabilizar financieramente un proyecto de este tipo. Incluso en un análisis realizado por la Cámara Colombiana de Infraestructura, sobre el sector aeroportuario, se menciona que “para el caso de proyectos aeroportuarios de iniciativa privada, la imposibilidad de cuantificar el riesgo regulatorio es uno de los escollos en la financiación de un proyecto aeroportuario, pues </w:t>
      </w:r>
      <w:r>
        <w:rPr>
          <w:rFonts w:ascii="Helvetica Neue" w:eastAsia="Helvetica Neue" w:hAnsi="Helvetica Neue" w:cs="Helvetica Neue"/>
          <w:sz w:val="24"/>
          <w:szCs w:val="24"/>
        </w:rPr>
        <w:lastRenderedPageBreak/>
        <w:t>el concesionario no solo no tiene control sobre el riesgo, sino que tampoco tiene la posibilidad de valorar anticipadamente las consecuencias financieras por cambios normativos. La incertidumbre de este riesgo es de tal magnitud, que no existe forma de sustentar al financiador de un proyecto que la redistribución resultará suficiente para cubrir los efectos derivados de su materialización”</w:t>
      </w:r>
      <w:r>
        <w:rPr>
          <w:rFonts w:ascii="Helvetica Neue" w:eastAsia="Helvetica Neue" w:hAnsi="Helvetica Neue" w:cs="Helvetica Neue"/>
          <w:sz w:val="24"/>
          <w:szCs w:val="24"/>
          <w:vertAlign w:val="superscript"/>
        </w:rPr>
        <w:footnoteReference w:id="44"/>
      </w:r>
      <w:r>
        <w:rPr>
          <w:rFonts w:ascii="Helvetica Neue" w:eastAsia="Helvetica Neue" w:hAnsi="Helvetica Neue" w:cs="Helvetica Neue"/>
          <w:sz w:val="24"/>
          <w:szCs w:val="24"/>
        </w:rPr>
        <w:t xml:space="preserve">. </w:t>
      </w:r>
    </w:p>
    <w:p w:rsidR="00E90573" w:rsidRDefault="00E90573">
      <w:pPr>
        <w:spacing w:after="0" w:line="240" w:lineRule="auto"/>
        <w:jc w:val="both"/>
        <w:rPr>
          <w:rFonts w:ascii="Helvetica Neue" w:eastAsia="Helvetica Neue" w:hAnsi="Helvetica Neue" w:cs="Helvetica Neue"/>
          <w:sz w:val="24"/>
          <w:szCs w:val="24"/>
        </w:rPr>
      </w:pPr>
    </w:p>
    <w:p w:rsidR="00E90573" w:rsidRDefault="00D17DEC">
      <w:pPr>
        <w:spacing w:after="0" w:line="240" w:lineRule="auto"/>
        <w:jc w:val="both"/>
        <w:rPr>
          <w:rFonts w:ascii="Helvetica Neue" w:eastAsia="Helvetica Neue" w:hAnsi="Helvetica Neue" w:cs="Helvetica Neue"/>
          <w:sz w:val="24"/>
          <w:szCs w:val="24"/>
          <w:highlight w:val="white"/>
        </w:rPr>
      </w:pPr>
      <w:r>
        <w:rPr>
          <w:rFonts w:ascii="Helvetica Neue" w:eastAsia="Helvetica Neue" w:hAnsi="Helvetica Neue" w:cs="Helvetica Neue"/>
          <w:sz w:val="24"/>
          <w:szCs w:val="24"/>
        </w:rPr>
        <w:t>Por otro lado, esta confusión, encarece la competencia dando como resultado la imposibilidad de reducir costos de los proyectos, dificultades en la financiación y asimetría de los riesgos que quedan pactados, riesgos que al materializarse generan graves consecuencias para la competitividad del país</w:t>
      </w:r>
      <w:r>
        <w:rPr>
          <w:rFonts w:ascii="Helvetica Neue" w:eastAsia="Helvetica Neue" w:hAnsi="Helvetica Neue" w:cs="Helvetica Neue"/>
          <w:sz w:val="24"/>
          <w:szCs w:val="24"/>
          <w:vertAlign w:val="superscript"/>
        </w:rPr>
        <w:footnoteReference w:id="45"/>
      </w:r>
      <w:r>
        <w:rPr>
          <w:rFonts w:ascii="Helvetica Neue" w:eastAsia="Helvetica Neue" w:hAnsi="Helvetica Neue" w:cs="Helvetica Neue"/>
          <w:sz w:val="24"/>
          <w:szCs w:val="24"/>
        </w:rPr>
        <w:t xml:space="preserve">. </w:t>
      </w:r>
    </w:p>
    <w:p w:rsidR="00E90573" w:rsidRDefault="00E90573">
      <w:pPr>
        <w:spacing w:after="0" w:line="240" w:lineRule="auto"/>
        <w:jc w:val="both"/>
        <w:rPr>
          <w:rFonts w:ascii="Helvetica Neue" w:eastAsia="Helvetica Neue" w:hAnsi="Helvetica Neue" w:cs="Helvetica Neue"/>
          <w:sz w:val="24"/>
          <w:szCs w:val="24"/>
          <w:highlight w:val="white"/>
        </w:rPr>
      </w:pPr>
    </w:p>
    <w:p w:rsidR="00E90573" w:rsidRDefault="00D17DEC">
      <w:pPr>
        <w:spacing w:after="0" w:line="240" w:lineRule="auto"/>
        <w:jc w:val="both"/>
        <w:rPr>
          <w:rFonts w:ascii="Helvetica Neue" w:eastAsia="Helvetica Neue" w:hAnsi="Helvetica Neue" w:cs="Helvetica Neue"/>
          <w:sz w:val="24"/>
          <w:szCs w:val="24"/>
          <w:highlight w:val="white"/>
        </w:rPr>
      </w:pPr>
      <w:r>
        <w:rPr>
          <w:rFonts w:ascii="Helvetica Neue" w:eastAsia="Helvetica Neue" w:hAnsi="Helvetica Neue" w:cs="Helvetica Neue"/>
          <w:sz w:val="24"/>
          <w:szCs w:val="24"/>
          <w:highlight w:val="white"/>
        </w:rPr>
        <w:t xml:space="preserve">En general, incentivar la mala asignación de riesgos por dicha interpretación, olvida que las APPs en sí mismas son mecanismos de financiación, por lo que tanta incertidumbre en la definición de la magnitud y costo de un riesgo, ocasiona directamente mayores dificultades en la búsqueda de financiadores de los proyectos, lo que impide el avance de la APP en la medida en que no logra ser ni económica ni financieramente factibles los proyectos. </w:t>
      </w:r>
    </w:p>
    <w:p w:rsidR="00E90573" w:rsidRDefault="00E90573">
      <w:pPr>
        <w:spacing w:after="0" w:line="240" w:lineRule="auto"/>
        <w:jc w:val="both"/>
        <w:rPr>
          <w:rFonts w:ascii="Helvetica Neue" w:eastAsia="Helvetica Neue" w:hAnsi="Helvetica Neue" w:cs="Helvetica Neue"/>
          <w:sz w:val="24"/>
          <w:szCs w:val="24"/>
          <w:highlight w:val="white"/>
        </w:rPr>
      </w:pPr>
    </w:p>
    <w:p w:rsidR="00E90573" w:rsidRDefault="00D17DEC">
      <w:pPr>
        <w:spacing w:after="0" w:line="240" w:lineRule="auto"/>
        <w:jc w:val="both"/>
        <w:rPr>
          <w:rFonts w:ascii="Helvetica Neue" w:eastAsia="Helvetica Neue" w:hAnsi="Helvetica Neue" w:cs="Helvetica Neue"/>
          <w:sz w:val="24"/>
          <w:szCs w:val="24"/>
          <w:highlight w:val="white"/>
        </w:rPr>
      </w:pPr>
      <w:r>
        <w:rPr>
          <w:rFonts w:ascii="Helvetica Neue" w:eastAsia="Helvetica Neue" w:hAnsi="Helvetica Neue" w:cs="Helvetica Neue"/>
          <w:sz w:val="24"/>
          <w:szCs w:val="24"/>
          <w:highlight w:val="white"/>
        </w:rPr>
        <w:t>Teniendo en cuenta todo lo anterior, se propone realizar modificación</w:t>
      </w:r>
      <w:r>
        <w:rPr>
          <w:rFonts w:ascii="Helvetica Neue" w:eastAsia="Helvetica Neue" w:hAnsi="Helvetica Neue" w:cs="Helvetica Neue"/>
          <w:color w:val="00796B"/>
          <w:sz w:val="24"/>
          <w:szCs w:val="24"/>
          <w:highlight w:val="white"/>
        </w:rPr>
        <w:t xml:space="preserve"> </w:t>
      </w:r>
      <w:r>
        <w:rPr>
          <w:rFonts w:ascii="Helvetica Neue" w:eastAsia="Helvetica Neue" w:hAnsi="Helvetica Neue" w:cs="Helvetica Neue"/>
          <w:sz w:val="24"/>
          <w:szCs w:val="24"/>
          <w:highlight w:val="white"/>
        </w:rPr>
        <w:t>parcial al artículo 14.</w:t>
      </w:r>
    </w:p>
    <w:p w:rsidR="00E90573" w:rsidRDefault="00E90573">
      <w:pPr>
        <w:spacing w:after="0" w:line="240" w:lineRule="auto"/>
        <w:jc w:val="both"/>
        <w:rPr>
          <w:rFonts w:ascii="Helvetica Neue" w:eastAsia="Helvetica Neue" w:hAnsi="Helvetica Neue" w:cs="Helvetica Neue"/>
          <w:sz w:val="24"/>
          <w:szCs w:val="24"/>
          <w:highlight w:val="white"/>
        </w:rPr>
      </w:pPr>
    </w:p>
    <w:p w:rsidR="00E90573" w:rsidRDefault="00D17DEC">
      <w:pPr>
        <w:numPr>
          <w:ilvl w:val="1"/>
          <w:numId w:val="7"/>
        </w:numPr>
        <w:pBdr>
          <w:top w:val="nil"/>
          <w:left w:val="nil"/>
          <w:bottom w:val="nil"/>
          <w:right w:val="nil"/>
          <w:between w:val="nil"/>
        </w:pBdr>
        <w:spacing w:after="0" w:line="240" w:lineRule="auto"/>
        <w:jc w:val="both"/>
        <w:rPr>
          <w:rFonts w:ascii="Helvetica Neue" w:eastAsia="Helvetica Neue" w:hAnsi="Helvetica Neue" w:cs="Helvetica Neue"/>
          <w:b/>
          <w:color w:val="000000"/>
          <w:sz w:val="24"/>
          <w:szCs w:val="24"/>
        </w:rPr>
      </w:pPr>
      <w:r>
        <w:rPr>
          <w:rFonts w:ascii="Helvetica Neue" w:eastAsia="Helvetica Neue" w:hAnsi="Helvetica Neue" w:cs="Helvetica Neue"/>
          <w:b/>
          <w:color w:val="000000"/>
          <w:sz w:val="24"/>
          <w:szCs w:val="24"/>
        </w:rPr>
        <w:t>Modificación artículo 14.</w:t>
      </w:r>
    </w:p>
    <w:p w:rsidR="00E90573" w:rsidRDefault="00D17DEC">
      <w:pPr>
        <w:pBdr>
          <w:top w:val="nil"/>
          <w:left w:val="nil"/>
          <w:bottom w:val="nil"/>
          <w:right w:val="nil"/>
          <w:between w:val="nil"/>
        </w:pBdr>
        <w:spacing w:after="0" w:line="240" w:lineRule="auto"/>
        <w:jc w:val="both"/>
        <w:rPr>
          <w:rFonts w:ascii="Helvetica Neue" w:eastAsia="Helvetica Neue" w:hAnsi="Helvetica Neue" w:cs="Helvetica Neue"/>
          <w:color w:val="000000"/>
          <w:sz w:val="24"/>
          <w:szCs w:val="24"/>
        </w:rPr>
      </w:pPr>
      <w:r>
        <w:rPr>
          <w:rFonts w:ascii="Helvetica Neue" w:eastAsia="Helvetica Neue" w:hAnsi="Helvetica Neue" w:cs="Helvetica Neue"/>
          <w:sz w:val="24"/>
          <w:szCs w:val="24"/>
        </w:rPr>
        <w:t>Este artículo aborda, entre otros temas, el modelo financiero y análisis de riesgos, que deberá contener la propuesta de estructuración de proyectos presentada por el originador, en el caso de Asociaciones público privadas de Iniciativa Privada.</w:t>
      </w:r>
    </w:p>
    <w:p w:rsidR="00E90573" w:rsidRDefault="00E90573">
      <w:pPr>
        <w:spacing w:after="0" w:line="240" w:lineRule="auto"/>
        <w:jc w:val="both"/>
        <w:rPr>
          <w:rFonts w:ascii="Helvetica Neue" w:eastAsia="Helvetica Neue" w:hAnsi="Helvetica Neue" w:cs="Helvetica Neue"/>
          <w:b/>
          <w:sz w:val="24"/>
          <w:szCs w:val="24"/>
        </w:rPr>
      </w:pPr>
    </w:p>
    <w:p w:rsidR="00E90573" w:rsidRDefault="00D17DEC">
      <w:pPr>
        <w:spacing w:after="0" w:line="240" w:lineRule="auto"/>
        <w:jc w:val="both"/>
        <w:rPr>
          <w:rFonts w:ascii="Helvetica Neue" w:eastAsia="Helvetica Neue" w:hAnsi="Helvetica Neue" w:cs="Helvetica Neue"/>
          <w:sz w:val="24"/>
          <w:szCs w:val="24"/>
        </w:rPr>
      </w:pPr>
      <w:r>
        <w:rPr>
          <w:rFonts w:ascii="Helvetica Neue" w:eastAsia="Helvetica Neue" w:hAnsi="Helvetica Neue" w:cs="Helvetica Neue"/>
          <w:sz w:val="24"/>
          <w:szCs w:val="24"/>
          <w:highlight w:val="white"/>
        </w:rPr>
        <w:t xml:space="preserve">La modificación que se propone al inciso 7o del artículo, busca dejar claridad frente al uso del Fondo de Contingencias como mecanismo que se dispone para la correcta asignación de los riesgos en las APPs de Iniciativa Privada que no requieren desembolso de recursos públicos. Por lo que los recursos de este fondo no se entenderán como desembolso de recursos públicos, en la medida en que como se ha explicado ampliamente, no constituyen ningún tipo de retribución o derecho económico desembolso de recursos para el privado y que en virtud del Decreto 2043 de 2014, cabe espacios para otros mecanismos que permitan manejar los riesgos dentro de este tipo de APPs. </w:t>
      </w:r>
    </w:p>
    <w:p w:rsidR="00E90573" w:rsidRDefault="00E90573">
      <w:pPr>
        <w:spacing w:after="0" w:line="240" w:lineRule="auto"/>
        <w:jc w:val="both"/>
        <w:rPr>
          <w:rFonts w:ascii="Helvetica Neue" w:eastAsia="Helvetica Neue" w:hAnsi="Helvetica Neue" w:cs="Helvetica Neue"/>
          <w:b/>
          <w:sz w:val="24"/>
          <w:szCs w:val="24"/>
        </w:rPr>
      </w:pPr>
    </w:p>
    <w:p w:rsidR="00E90573" w:rsidRDefault="00E90573">
      <w:pPr>
        <w:spacing w:after="0" w:line="240" w:lineRule="auto"/>
        <w:jc w:val="both"/>
        <w:rPr>
          <w:rFonts w:ascii="Helvetica Neue" w:eastAsia="Helvetica Neue" w:hAnsi="Helvetica Neue" w:cs="Helvetica Neue"/>
          <w:sz w:val="24"/>
          <w:szCs w:val="24"/>
          <w:highlight w:val="white"/>
        </w:rPr>
      </w:pPr>
    </w:p>
    <w:tbl>
      <w:tblPr>
        <w:tblStyle w:val="a5"/>
        <w:tblW w:w="920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04"/>
        <w:gridCol w:w="4604"/>
      </w:tblGrid>
      <w:tr w:rsidR="00E90573">
        <w:tc>
          <w:tcPr>
            <w:tcW w:w="4604" w:type="dxa"/>
            <w:shd w:val="clear" w:color="auto" w:fill="auto"/>
            <w:tcMar>
              <w:top w:w="100" w:type="dxa"/>
              <w:left w:w="100" w:type="dxa"/>
              <w:bottom w:w="100" w:type="dxa"/>
              <w:right w:w="100" w:type="dxa"/>
            </w:tcMar>
          </w:tcPr>
          <w:p w:rsidR="00E90573" w:rsidRDefault="00D17DEC">
            <w:pPr>
              <w:widowControl w:val="0"/>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Artículo Actual- Artículo 14 Ley 1508 de 2012</w:t>
            </w:r>
          </w:p>
        </w:tc>
        <w:tc>
          <w:tcPr>
            <w:tcW w:w="4604" w:type="dxa"/>
            <w:shd w:val="clear" w:color="auto" w:fill="auto"/>
            <w:tcMar>
              <w:top w:w="100" w:type="dxa"/>
              <w:left w:w="100" w:type="dxa"/>
              <w:bottom w:w="100" w:type="dxa"/>
              <w:right w:w="100" w:type="dxa"/>
            </w:tcMar>
          </w:tcPr>
          <w:p w:rsidR="00E90573" w:rsidRDefault="00D17DEC">
            <w:pPr>
              <w:widowControl w:val="0"/>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 xml:space="preserve">Modificación propuesta al artículo 14 Ley 1508 de 2012 </w:t>
            </w:r>
          </w:p>
        </w:tc>
      </w:tr>
      <w:tr w:rsidR="00E90573">
        <w:tc>
          <w:tcPr>
            <w:tcW w:w="4604" w:type="dxa"/>
            <w:shd w:val="clear" w:color="auto" w:fill="auto"/>
            <w:tcMar>
              <w:top w:w="100" w:type="dxa"/>
              <w:left w:w="100" w:type="dxa"/>
              <w:bottom w:w="100" w:type="dxa"/>
              <w:right w:w="100" w:type="dxa"/>
            </w:tcMar>
          </w:tcPr>
          <w:p w:rsidR="00E90573" w:rsidRDefault="00D17DEC">
            <w:pPr>
              <w:spacing w:after="0" w:line="240" w:lineRule="auto"/>
              <w:jc w:val="both"/>
              <w:rPr>
                <w:rFonts w:ascii="Helvetica Neue" w:eastAsia="Helvetica Neue" w:hAnsi="Helvetica Neue" w:cs="Helvetica Neue"/>
                <w:i/>
              </w:rPr>
            </w:pPr>
            <w:r>
              <w:rPr>
                <w:rFonts w:ascii="Helvetica Neue" w:eastAsia="Helvetica Neue" w:hAnsi="Helvetica Neue" w:cs="Helvetica Neue"/>
                <w:b/>
                <w:i/>
              </w:rPr>
              <w:t xml:space="preserve">ARTÍCULO 14. </w:t>
            </w:r>
            <w:r>
              <w:rPr>
                <w:rFonts w:ascii="Helvetica Neue" w:eastAsia="Helvetica Neue" w:hAnsi="Helvetica Neue" w:cs="Helvetica Neue"/>
                <w:i/>
              </w:rPr>
              <w:t xml:space="preserve">ESTRUCTURACIÓN DE PROYECTOS POR AGENTES PRIVADOS. Los particulares podrán estructurar proyectos de infraestructura pública o para la prestación de sus servicios asociados, por su propia cuenta y riesgo, asumiendo la totalidad de los costos de la estructuración, y presentarlos de forma confidencial y bajo </w:t>
            </w:r>
            <w:r>
              <w:rPr>
                <w:rFonts w:ascii="Helvetica Neue" w:eastAsia="Helvetica Neue" w:hAnsi="Helvetica Neue" w:cs="Helvetica Neue"/>
                <w:i/>
              </w:rPr>
              <w:lastRenderedPageBreak/>
              <w:t>reserva a consideración de las entidades estatales competentes.</w:t>
            </w:r>
          </w:p>
          <w:p w:rsidR="00E90573" w:rsidRDefault="00E90573">
            <w:pPr>
              <w:spacing w:after="0" w:line="240" w:lineRule="auto"/>
              <w:jc w:val="both"/>
              <w:rPr>
                <w:rFonts w:ascii="Helvetica Neue" w:eastAsia="Helvetica Neue" w:hAnsi="Helvetica Neue" w:cs="Helvetica Neue"/>
                <w:i/>
              </w:rPr>
            </w:pPr>
          </w:p>
          <w:p w:rsidR="00E90573" w:rsidRDefault="00D17DEC">
            <w:pPr>
              <w:spacing w:after="0" w:line="240" w:lineRule="auto"/>
              <w:jc w:val="both"/>
              <w:rPr>
                <w:rFonts w:ascii="Helvetica Neue" w:eastAsia="Helvetica Neue" w:hAnsi="Helvetica Neue" w:cs="Helvetica Neue"/>
                <w:i/>
              </w:rPr>
            </w:pPr>
            <w:r>
              <w:rPr>
                <w:rFonts w:ascii="Helvetica Neue" w:eastAsia="Helvetica Neue" w:hAnsi="Helvetica Neue" w:cs="Helvetica Neue"/>
                <w:i/>
              </w:rPr>
              <w:t>El proceso de estructuración del proyecto por agentes privados estará dividido en dos (2) etapas, una de prefactibilidad y otra de factibilidad.</w:t>
            </w:r>
          </w:p>
          <w:p w:rsidR="00E90573" w:rsidRDefault="00E90573">
            <w:pPr>
              <w:spacing w:after="0" w:line="240" w:lineRule="auto"/>
              <w:jc w:val="both"/>
              <w:rPr>
                <w:rFonts w:ascii="Helvetica Neue" w:eastAsia="Helvetica Neue" w:hAnsi="Helvetica Neue" w:cs="Helvetica Neue"/>
                <w:i/>
              </w:rPr>
            </w:pPr>
          </w:p>
          <w:p w:rsidR="00E90573" w:rsidRDefault="00D17DEC">
            <w:pPr>
              <w:spacing w:after="0" w:line="240" w:lineRule="auto"/>
              <w:jc w:val="both"/>
              <w:rPr>
                <w:rFonts w:ascii="Helvetica Neue" w:eastAsia="Helvetica Neue" w:hAnsi="Helvetica Neue" w:cs="Helvetica Neue"/>
                <w:i/>
              </w:rPr>
            </w:pPr>
            <w:r>
              <w:rPr>
                <w:rFonts w:ascii="Helvetica Neue" w:eastAsia="Helvetica Neue" w:hAnsi="Helvetica Neue" w:cs="Helvetica Neue"/>
                <w:i/>
              </w:rPr>
              <w:t>En la etapa de prefactibilidad el originador de la propuesta deberá señalar claramente la descripción completa del proyecto incluyendo el diseño mínimo en etapa de prefactibilidad, construcción, operación, mantenimiento, organización y explotación del mismo, alcance del proyecto, estudios de demanda en etapa de prefactibilidad, especificaciones del proyecto, su costo estimado y la fuente de financiación.</w:t>
            </w:r>
          </w:p>
          <w:p w:rsidR="00E90573" w:rsidRDefault="00E90573">
            <w:pPr>
              <w:spacing w:after="0" w:line="240" w:lineRule="auto"/>
              <w:jc w:val="both"/>
              <w:rPr>
                <w:rFonts w:ascii="Helvetica Neue" w:eastAsia="Helvetica Neue" w:hAnsi="Helvetica Neue" w:cs="Helvetica Neue"/>
                <w:i/>
              </w:rPr>
            </w:pPr>
          </w:p>
          <w:p w:rsidR="00E90573" w:rsidRDefault="00D17DEC">
            <w:pPr>
              <w:spacing w:after="0" w:line="240" w:lineRule="auto"/>
              <w:jc w:val="both"/>
              <w:rPr>
                <w:rFonts w:ascii="Helvetica Neue" w:eastAsia="Helvetica Neue" w:hAnsi="Helvetica Neue" w:cs="Helvetica Neue"/>
                <w:i/>
              </w:rPr>
            </w:pPr>
            <w:r>
              <w:rPr>
                <w:rFonts w:ascii="Helvetica Neue" w:eastAsia="Helvetica Neue" w:hAnsi="Helvetica Neue" w:cs="Helvetica Neue"/>
                <w:i/>
              </w:rPr>
              <w:t>Para la etapa de factibilidad, la iniciativa para la realización del proyecto deberá comprender: el modelo financiero detallado y formulado que fundamente el valor del proyecto, descripción detallada de las fases y duración del proyecto, justificación del plazo del contrato, análisis de riesgos asociados al proyecto, estudios de impacto ambiental, económico y social, y estudios de factibilidad técnica, económica, ambiental, predial, financiera y jurídica del proyecto.</w:t>
            </w:r>
          </w:p>
          <w:p w:rsidR="00E90573" w:rsidRDefault="00E90573">
            <w:pPr>
              <w:spacing w:after="0" w:line="240" w:lineRule="auto"/>
              <w:jc w:val="both"/>
              <w:rPr>
                <w:rFonts w:ascii="Helvetica Neue" w:eastAsia="Helvetica Neue" w:hAnsi="Helvetica Neue" w:cs="Helvetica Neue"/>
                <w:i/>
              </w:rPr>
            </w:pPr>
          </w:p>
          <w:p w:rsidR="00E90573" w:rsidRDefault="00D17DEC">
            <w:pPr>
              <w:spacing w:after="0" w:line="240" w:lineRule="auto"/>
              <w:jc w:val="both"/>
              <w:rPr>
                <w:rFonts w:ascii="Helvetica Neue" w:eastAsia="Helvetica Neue" w:hAnsi="Helvetica Neue" w:cs="Helvetica Neue"/>
                <w:i/>
              </w:rPr>
            </w:pPr>
            <w:r>
              <w:rPr>
                <w:rFonts w:ascii="Helvetica Neue" w:eastAsia="Helvetica Neue" w:hAnsi="Helvetica Neue" w:cs="Helvetica Neue"/>
                <w:i/>
              </w:rPr>
              <w:t>En la etapa de factibilidad el originador del proyecto deberá anexar los documentos que acrediten su capacidad jurídica, financiera o de potencial financiación, de experiencia en inversión o de estructuración de proyectos o para desarrollar el proyecto, el valor de la estructuración del proyecto y una minuta del contrato a celebrar que incluya entre otros, la propuesta de distribución de riesgos.</w:t>
            </w:r>
          </w:p>
          <w:p w:rsidR="00E90573" w:rsidRDefault="00E90573">
            <w:pPr>
              <w:spacing w:after="0" w:line="240" w:lineRule="auto"/>
              <w:jc w:val="both"/>
              <w:rPr>
                <w:rFonts w:ascii="Helvetica Neue" w:eastAsia="Helvetica Neue" w:hAnsi="Helvetica Neue" w:cs="Helvetica Neue"/>
                <w:i/>
              </w:rPr>
            </w:pPr>
          </w:p>
          <w:p w:rsidR="00E90573" w:rsidRDefault="00D17DEC">
            <w:pPr>
              <w:spacing w:after="0" w:line="240" w:lineRule="auto"/>
              <w:jc w:val="both"/>
              <w:rPr>
                <w:rFonts w:ascii="Helvetica Neue" w:eastAsia="Helvetica Neue" w:hAnsi="Helvetica Neue" w:cs="Helvetica Neue"/>
                <w:i/>
              </w:rPr>
            </w:pPr>
            <w:r>
              <w:rPr>
                <w:rFonts w:ascii="Helvetica Neue" w:eastAsia="Helvetica Neue" w:hAnsi="Helvetica Neue" w:cs="Helvetica Neue"/>
                <w:i/>
              </w:rPr>
              <w:t>En esta etapa se deberá certificar que la información que entrega es veraz y es toda de la que dispone sobre el proyecto. Esta certificación deberá presentarse mediante una declaración juramentada.</w:t>
            </w:r>
          </w:p>
          <w:p w:rsidR="00E90573" w:rsidRDefault="00E90573">
            <w:pPr>
              <w:spacing w:after="0" w:line="240" w:lineRule="auto"/>
              <w:jc w:val="both"/>
              <w:rPr>
                <w:rFonts w:ascii="Helvetica Neue" w:eastAsia="Helvetica Neue" w:hAnsi="Helvetica Neue" w:cs="Helvetica Neue"/>
                <w:i/>
              </w:rPr>
            </w:pPr>
          </w:p>
          <w:p w:rsidR="00E90573" w:rsidRDefault="00D17DEC">
            <w:pPr>
              <w:spacing w:after="0" w:line="240" w:lineRule="auto"/>
              <w:jc w:val="both"/>
              <w:rPr>
                <w:rFonts w:ascii="Helvetica Neue" w:eastAsia="Helvetica Neue" w:hAnsi="Helvetica Neue" w:cs="Helvetica Neue"/>
                <w:i/>
              </w:rPr>
            </w:pPr>
            <w:r>
              <w:rPr>
                <w:rFonts w:ascii="Helvetica Neue" w:eastAsia="Helvetica Neue" w:hAnsi="Helvetica Neue" w:cs="Helvetica Neue"/>
                <w:i/>
              </w:rPr>
              <w:t xml:space="preserve">No podrán presentarse iniciativas en los casos en que correspondan a un proyecto que, al momento de su presentación modifiquen contratos o concesiones existentes o para los cuales se haya adelantado su estructuración por parte de cualquier entidad estatal. Tampoco se aceptarán aquellas iniciativas que demanden garantías del Estado o desembolsos de recursos del Presupuesto General de la Nación, las entidades territoriales o de otros </w:t>
            </w:r>
            <w:r>
              <w:rPr>
                <w:rFonts w:ascii="Helvetica Neue" w:eastAsia="Helvetica Neue" w:hAnsi="Helvetica Neue" w:cs="Helvetica Neue"/>
                <w:i/>
              </w:rPr>
              <w:lastRenderedPageBreak/>
              <w:t>fondos públicos, superiores a los establecidos en la presente ley.</w:t>
            </w:r>
          </w:p>
          <w:p w:rsidR="00E90573" w:rsidRDefault="00E90573">
            <w:pPr>
              <w:spacing w:after="0" w:line="240" w:lineRule="auto"/>
              <w:jc w:val="both"/>
              <w:rPr>
                <w:rFonts w:ascii="Helvetica Neue" w:eastAsia="Helvetica Neue" w:hAnsi="Helvetica Neue" w:cs="Helvetica Neue"/>
                <w:i/>
              </w:rPr>
            </w:pPr>
          </w:p>
          <w:p w:rsidR="00E90573" w:rsidRDefault="00D17DEC">
            <w:pPr>
              <w:spacing w:after="0" w:line="240" w:lineRule="auto"/>
              <w:jc w:val="both"/>
              <w:rPr>
                <w:rFonts w:ascii="Helvetica Neue" w:eastAsia="Helvetica Neue" w:hAnsi="Helvetica Neue" w:cs="Helvetica Neue"/>
                <w:i/>
              </w:rPr>
            </w:pPr>
            <w:r>
              <w:rPr>
                <w:rFonts w:ascii="Helvetica Neue" w:eastAsia="Helvetica Neue" w:hAnsi="Helvetica Neue" w:cs="Helvetica Neue"/>
                <w:i/>
              </w:rPr>
              <w:t>Cuando existan varios originadores para un mismo proyecto tendrá prioridad para su estudio el primero que radique una oferta ante la entidad estatal competente y que posteriormente sea declarada por esta como viable.</w:t>
            </w:r>
          </w:p>
          <w:p w:rsidR="00E90573" w:rsidRDefault="00E90573">
            <w:pPr>
              <w:spacing w:after="0" w:line="240" w:lineRule="auto"/>
              <w:ind w:left="425"/>
              <w:jc w:val="both"/>
              <w:rPr>
                <w:rFonts w:ascii="Helvetica Neue" w:eastAsia="Helvetica Neue" w:hAnsi="Helvetica Neue" w:cs="Helvetica Neue"/>
                <w:b/>
                <w:i/>
                <w:highlight w:val="yellow"/>
              </w:rPr>
            </w:pPr>
          </w:p>
          <w:p w:rsidR="00E90573" w:rsidRDefault="00E90573">
            <w:pPr>
              <w:spacing w:before="240" w:after="240" w:line="240" w:lineRule="auto"/>
              <w:ind w:left="425"/>
              <w:jc w:val="both"/>
              <w:rPr>
                <w:rFonts w:ascii="Helvetica Neue" w:eastAsia="Helvetica Neue" w:hAnsi="Helvetica Neue" w:cs="Helvetica Neue"/>
                <w:sz w:val="24"/>
                <w:szCs w:val="24"/>
                <w:highlight w:val="white"/>
              </w:rPr>
            </w:pPr>
          </w:p>
        </w:tc>
        <w:tc>
          <w:tcPr>
            <w:tcW w:w="4604" w:type="dxa"/>
            <w:shd w:val="clear" w:color="auto" w:fill="auto"/>
            <w:tcMar>
              <w:top w:w="100" w:type="dxa"/>
              <w:left w:w="100" w:type="dxa"/>
              <w:bottom w:w="100" w:type="dxa"/>
              <w:right w:w="100" w:type="dxa"/>
            </w:tcMar>
          </w:tcPr>
          <w:p w:rsidR="00E90573" w:rsidRDefault="00D17DEC">
            <w:pPr>
              <w:spacing w:after="0" w:line="240" w:lineRule="auto"/>
              <w:jc w:val="both"/>
              <w:rPr>
                <w:rFonts w:ascii="Helvetica Neue" w:eastAsia="Helvetica Neue" w:hAnsi="Helvetica Neue" w:cs="Helvetica Neue"/>
                <w:i/>
              </w:rPr>
            </w:pPr>
            <w:r>
              <w:rPr>
                <w:rFonts w:ascii="Helvetica Neue" w:eastAsia="Helvetica Neue" w:hAnsi="Helvetica Neue" w:cs="Helvetica Neue"/>
                <w:b/>
                <w:i/>
              </w:rPr>
              <w:lastRenderedPageBreak/>
              <w:t>ARTÍCULO 14</w:t>
            </w:r>
            <w:r>
              <w:rPr>
                <w:rFonts w:ascii="Helvetica Neue" w:eastAsia="Helvetica Neue" w:hAnsi="Helvetica Neue" w:cs="Helvetica Neue"/>
                <w:i/>
              </w:rPr>
              <w:t xml:space="preserve">. ESTRUCTURACIÓN DE PROYECTOS POR AGENTES PRIVADOS. Los particulares podrán estructurar proyectos de infraestructura pública o para la prestación de sus servicios asociados, por su propia cuenta y riesgo, asumiendo la totalidad de los costos de la estructuración, y presentarlos de forma confidencial y bajo </w:t>
            </w:r>
            <w:r>
              <w:rPr>
                <w:rFonts w:ascii="Helvetica Neue" w:eastAsia="Helvetica Neue" w:hAnsi="Helvetica Neue" w:cs="Helvetica Neue"/>
                <w:i/>
              </w:rPr>
              <w:lastRenderedPageBreak/>
              <w:t>reserva a consideración de las entidades estatales competentes.</w:t>
            </w:r>
          </w:p>
          <w:p w:rsidR="00E90573" w:rsidRDefault="00E90573">
            <w:pPr>
              <w:spacing w:after="0" w:line="240" w:lineRule="auto"/>
              <w:jc w:val="both"/>
              <w:rPr>
                <w:rFonts w:ascii="Helvetica Neue" w:eastAsia="Helvetica Neue" w:hAnsi="Helvetica Neue" w:cs="Helvetica Neue"/>
                <w:i/>
              </w:rPr>
            </w:pPr>
          </w:p>
          <w:p w:rsidR="00E90573" w:rsidRDefault="00D17DEC">
            <w:pPr>
              <w:spacing w:after="0" w:line="240" w:lineRule="auto"/>
              <w:jc w:val="both"/>
              <w:rPr>
                <w:rFonts w:ascii="Helvetica Neue" w:eastAsia="Helvetica Neue" w:hAnsi="Helvetica Neue" w:cs="Helvetica Neue"/>
                <w:i/>
              </w:rPr>
            </w:pPr>
            <w:r>
              <w:rPr>
                <w:rFonts w:ascii="Helvetica Neue" w:eastAsia="Helvetica Neue" w:hAnsi="Helvetica Neue" w:cs="Helvetica Neue"/>
                <w:i/>
              </w:rPr>
              <w:t>El proceso de estructuración del proyecto por agentes privados estará dividido en dos (2) etapas, una de prefactibilidad y otra de factibilidad.</w:t>
            </w:r>
          </w:p>
          <w:p w:rsidR="00E90573" w:rsidRDefault="00E90573">
            <w:pPr>
              <w:spacing w:after="0" w:line="240" w:lineRule="auto"/>
              <w:jc w:val="both"/>
              <w:rPr>
                <w:rFonts w:ascii="Helvetica Neue" w:eastAsia="Helvetica Neue" w:hAnsi="Helvetica Neue" w:cs="Helvetica Neue"/>
                <w:i/>
              </w:rPr>
            </w:pPr>
          </w:p>
          <w:p w:rsidR="00E90573" w:rsidRDefault="00D17DEC">
            <w:pPr>
              <w:spacing w:after="0" w:line="240" w:lineRule="auto"/>
              <w:jc w:val="both"/>
              <w:rPr>
                <w:rFonts w:ascii="Helvetica Neue" w:eastAsia="Helvetica Neue" w:hAnsi="Helvetica Neue" w:cs="Helvetica Neue"/>
                <w:i/>
              </w:rPr>
            </w:pPr>
            <w:r>
              <w:rPr>
                <w:rFonts w:ascii="Helvetica Neue" w:eastAsia="Helvetica Neue" w:hAnsi="Helvetica Neue" w:cs="Helvetica Neue"/>
                <w:i/>
              </w:rPr>
              <w:t>En la etapa de prefactibilidad el originador de la propuesta deberá señalar claramente la descripción completa del proyecto incluyendo el diseño mínimo en etapa de prefactibilidad, construcción, operación, mantenimiento, organización y explotación del mismo, alcance del proyecto, estudios de demanda en etapa de prefactibilidad, especificaciones del proyecto, su costo estimado y la fuente de financiación.</w:t>
            </w:r>
          </w:p>
          <w:p w:rsidR="00E90573" w:rsidRDefault="00E90573">
            <w:pPr>
              <w:spacing w:after="0" w:line="240" w:lineRule="auto"/>
              <w:jc w:val="both"/>
              <w:rPr>
                <w:rFonts w:ascii="Helvetica Neue" w:eastAsia="Helvetica Neue" w:hAnsi="Helvetica Neue" w:cs="Helvetica Neue"/>
                <w:i/>
              </w:rPr>
            </w:pPr>
          </w:p>
          <w:p w:rsidR="00E90573" w:rsidRDefault="00D17DEC">
            <w:pPr>
              <w:spacing w:after="0" w:line="240" w:lineRule="auto"/>
              <w:jc w:val="both"/>
              <w:rPr>
                <w:rFonts w:ascii="Helvetica Neue" w:eastAsia="Helvetica Neue" w:hAnsi="Helvetica Neue" w:cs="Helvetica Neue"/>
                <w:i/>
              </w:rPr>
            </w:pPr>
            <w:r>
              <w:rPr>
                <w:rFonts w:ascii="Helvetica Neue" w:eastAsia="Helvetica Neue" w:hAnsi="Helvetica Neue" w:cs="Helvetica Neue"/>
                <w:i/>
              </w:rPr>
              <w:t>Para la etapa de factibilidad, la iniciativa para la realización del proyecto deberá comprender: el modelo financiero detallado y formulado que fundamente el valor del proyecto, descripción detallada de las fases y duración del proyecto, justificación del plazo del contrato, análisis de riesgos asociados al proyecto, estudios de impacto ambiental, económico y social, y estudios de factibilidad técnica, económica, ambiental, predial, financiera y jurídica del proyecto.</w:t>
            </w:r>
          </w:p>
          <w:p w:rsidR="00E90573" w:rsidRDefault="00E90573">
            <w:pPr>
              <w:spacing w:after="0" w:line="240" w:lineRule="auto"/>
              <w:jc w:val="both"/>
              <w:rPr>
                <w:rFonts w:ascii="Helvetica Neue" w:eastAsia="Helvetica Neue" w:hAnsi="Helvetica Neue" w:cs="Helvetica Neue"/>
                <w:i/>
              </w:rPr>
            </w:pPr>
          </w:p>
          <w:p w:rsidR="00E90573" w:rsidRDefault="00D17DEC">
            <w:pPr>
              <w:spacing w:after="0" w:line="240" w:lineRule="auto"/>
              <w:jc w:val="both"/>
              <w:rPr>
                <w:rFonts w:ascii="Helvetica Neue" w:eastAsia="Helvetica Neue" w:hAnsi="Helvetica Neue" w:cs="Helvetica Neue"/>
                <w:i/>
              </w:rPr>
            </w:pPr>
            <w:r>
              <w:rPr>
                <w:rFonts w:ascii="Helvetica Neue" w:eastAsia="Helvetica Neue" w:hAnsi="Helvetica Neue" w:cs="Helvetica Neue"/>
                <w:i/>
              </w:rPr>
              <w:t>En la etapa de factibilidad el originador del proyecto deberá anexar los documentos que acrediten su capacidad jurídica, financiera o de potencial financiación, de experiencia en inversión o de estructuración de proyectos o para desarrollar el proyecto, el valor de la estructuración del proyecto y una minuta del contrato a celebrar que incluya entre otros, la propuesta de distribución de riesgos.</w:t>
            </w:r>
          </w:p>
          <w:p w:rsidR="00E90573" w:rsidRDefault="00E90573">
            <w:pPr>
              <w:spacing w:after="0" w:line="240" w:lineRule="auto"/>
              <w:jc w:val="both"/>
              <w:rPr>
                <w:rFonts w:ascii="Helvetica Neue" w:eastAsia="Helvetica Neue" w:hAnsi="Helvetica Neue" w:cs="Helvetica Neue"/>
                <w:i/>
              </w:rPr>
            </w:pPr>
          </w:p>
          <w:p w:rsidR="00E90573" w:rsidRDefault="00D17DEC">
            <w:pPr>
              <w:spacing w:after="0" w:line="240" w:lineRule="auto"/>
              <w:jc w:val="both"/>
              <w:rPr>
                <w:rFonts w:ascii="Helvetica Neue" w:eastAsia="Helvetica Neue" w:hAnsi="Helvetica Neue" w:cs="Helvetica Neue"/>
                <w:i/>
              </w:rPr>
            </w:pPr>
            <w:r>
              <w:rPr>
                <w:rFonts w:ascii="Helvetica Neue" w:eastAsia="Helvetica Neue" w:hAnsi="Helvetica Neue" w:cs="Helvetica Neue"/>
                <w:i/>
              </w:rPr>
              <w:t>En esta etapa se deberá certificar que la información que entrega es veraz y es toda de la que dispone sobre el proyecto. Esta certificación deberá presentarse mediante una declaración juramentada.</w:t>
            </w:r>
          </w:p>
          <w:p w:rsidR="00E90573" w:rsidRDefault="00E90573">
            <w:pPr>
              <w:spacing w:after="0" w:line="240" w:lineRule="auto"/>
              <w:jc w:val="both"/>
              <w:rPr>
                <w:rFonts w:ascii="Helvetica Neue" w:eastAsia="Helvetica Neue" w:hAnsi="Helvetica Neue" w:cs="Helvetica Neue"/>
                <w:i/>
              </w:rPr>
            </w:pPr>
          </w:p>
          <w:p w:rsidR="00E90573" w:rsidRDefault="00D17DEC">
            <w:pPr>
              <w:spacing w:after="0" w:line="240" w:lineRule="auto"/>
              <w:jc w:val="both"/>
              <w:rPr>
                <w:rFonts w:ascii="Helvetica Neue" w:eastAsia="Helvetica Neue" w:hAnsi="Helvetica Neue" w:cs="Helvetica Neue"/>
                <w:b/>
                <w:i/>
                <w:u w:val="single"/>
              </w:rPr>
            </w:pPr>
            <w:r>
              <w:rPr>
                <w:rFonts w:ascii="Helvetica Neue" w:eastAsia="Helvetica Neue" w:hAnsi="Helvetica Neue" w:cs="Helvetica Neue"/>
                <w:i/>
              </w:rPr>
              <w:t xml:space="preserve">No podrán presentarse iniciativas en los casos en que correspondan a un proyecto que, al momento de su presentación modifiquen contratos o concesiones existentes o para los cuales se haya adelantado su estructuración por parte de cualquier entidad estatal. Tampoco se aceptarán aquellas iniciativas que demanden garantías del Estado o desembolsos de recursos del Presupuesto General de la Nación, las entidades territoriales o de otros fondos públicos, superiores a los </w:t>
            </w:r>
            <w:r>
              <w:rPr>
                <w:rFonts w:ascii="Helvetica Neue" w:eastAsia="Helvetica Neue" w:hAnsi="Helvetica Neue" w:cs="Helvetica Neue"/>
                <w:i/>
              </w:rPr>
              <w:lastRenderedPageBreak/>
              <w:t xml:space="preserve">establecidos en la presente ley. </w:t>
            </w:r>
            <w:r>
              <w:rPr>
                <w:rFonts w:ascii="Helvetica Neue" w:eastAsia="Helvetica Neue" w:hAnsi="Helvetica Neue" w:cs="Helvetica Neue"/>
                <w:b/>
                <w:i/>
                <w:u w:val="single"/>
              </w:rPr>
              <w:t>Para los efectos previstos en esta ley, los recursos incorporados a un Plan de Aportes al Fondo de Contingencias en los términos de la Ley 448 de 1998, no son considerados desembolsos de recursos públicos.</w:t>
            </w:r>
          </w:p>
          <w:p w:rsidR="00E90573" w:rsidRDefault="00E90573">
            <w:pPr>
              <w:spacing w:after="0" w:line="240" w:lineRule="auto"/>
              <w:jc w:val="both"/>
              <w:rPr>
                <w:rFonts w:ascii="Helvetica Neue" w:eastAsia="Helvetica Neue" w:hAnsi="Helvetica Neue" w:cs="Helvetica Neue"/>
                <w:i/>
              </w:rPr>
            </w:pPr>
          </w:p>
          <w:p w:rsidR="00E90573" w:rsidRDefault="00D17DEC">
            <w:pPr>
              <w:spacing w:after="0" w:line="240" w:lineRule="auto"/>
              <w:jc w:val="both"/>
              <w:rPr>
                <w:rFonts w:ascii="Helvetica Neue" w:eastAsia="Helvetica Neue" w:hAnsi="Helvetica Neue" w:cs="Helvetica Neue"/>
                <w:b/>
                <w:sz w:val="24"/>
                <w:szCs w:val="24"/>
                <w:highlight w:val="white"/>
              </w:rPr>
            </w:pPr>
            <w:r>
              <w:rPr>
                <w:rFonts w:ascii="Helvetica Neue" w:eastAsia="Helvetica Neue" w:hAnsi="Helvetica Neue" w:cs="Helvetica Neue"/>
                <w:i/>
              </w:rPr>
              <w:t>Cuando existan varios originadores para un mismo proyecto tendrá prioridad para su estudio el primero que radique una oferta ante la entidad estatal competente y que posteriormente sea declarada por esta como viable.</w:t>
            </w:r>
          </w:p>
        </w:tc>
      </w:tr>
    </w:tbl>
    <w:p w:rsidR="00E90573" w:rsidRDefault="00E90573">
      <w:pPr>
        <w:spacing w:after="0" w:line="240" w:lineRule="auto"/>
        <w:jc w:val="both"/>
        <w:rPr>
          <w:rFonts w:ascii="Helvetica Neue" w:eastAsia="Helvetica Neue" w:hAnsi="Helvetica Neue" w:cs="Helvetica Neue"/>
          <w:sz w:val="24"/>
          <w:szCs w:val="24"/>
          <w:highlight w:val="white"/>
        </w:rPr>
      </w:pPr>
    </w:p>
    <w:p w:rsidR="00E90573" w:rsidRDefault="00D17DEC">
      <w:pPr>
        <w:pStyle w:val="Ttulo"/>
        <w:spacing w:after="0" w:line="240" w:lineRule="auto"/>
        <w:ind w:left="425"/>
        <w:jc w:val="both"/>
        <w:rPr>
          <w:rFonts w:ascii="Helvetica Neue" w:eastAsia="Helvetica Neue" w:hAnsi="Helvetica Neue" w:cs="Helvetica Neue"/>
          <w:sz w:val="24"/>
          <w:szCs w:val="24"/>
        </w:rPr>
      </w:pPr>
      <w:bookmarkStart w:id="13" w:name="_heading=h.5yz3mvd56e3u" w:colFirst="0" w:colLast="0"/>
      <w:bookmarkEnd w:id="13"/>
      <w:r>
        <w:rPr>
          <w:rFonts w:ascii="Helvetica Neue" w:eastAsia="Helvetica Neue" w:hAnsi="Helvetica Neue" w:cs="Helvetica Neue"/>
          <w:sz w:val="24"/>
          <w:szCs w:val="24"/>
        </w:rPr>
        <w:t xml:space="preserve">10.3. Propuesta de Modificación de los artículos 19 y 20 de la ley 1508 de 2012- Para promover la participación de terceros interesados en APPs de Iniciativa Privada. </w:t>
      </w:r>
    </w:p>
    <w:p w:rsidR="00E90573" w:rsidRDefault="00E90573">
      <w:pPr>
        <w:spacing w:after="0" w:line="240" w:lineRule="auto"/>
        <w:jc w:val="both"/>
        <w:rPr>
          <w:rFonts w:ascii="Helvetica Neue" w:eastAsia="Helvetica Neue" w:hAnsi="Helvetica Neue" w:cs="Helvetica Neue"/>
          <w:b/>
          <w:sz w:val="24"/>
          <w:szCs w:val="24"/>
        </w:rPr>
      </w:pPr>
    </w:p>
    <w:p w:rsidR="00E90573" w:rsidRDefault="00D17DEC">
      <w:pPr>
        <w:spacing w:after="0" w:line="240" w:lineRule="auto"/>
        <w:jc w:val="both"/>
        <w:rPr>
          <w:rFonts w:ascii="Helvetica Neue" w:eastAsia="Helvetica Neue" w:hAnsi="Helvetica Neue" w:cs="Helvetica Neue"/>
          <w:sz w:val="24"/>
          <w:szCs w:val="24"/>
          <w:highlight w:val="white"/>
        </w:rPr>
      </w:pPr>
      <w:r>
        <w:rPr>
          <w:rFonts w:ascii="Helvetica Neue" w:eastAsia="Helvetica Neue" w:hAnsi="Helvetica Neue" w:cs="Helvetica Neue"/>
          <w:sz w:val="24"/>
          <w:szCs w:val="24"/>
          <w:highlight w:val="white"/>
        </w:rPr>
        <w:t xml:space="preserve">Falta de participación de terceros interesados en APPs de Iniciativa Privada. </w:t>
      </w:r>
    </w:p>
    <w:p w:rsidR="00E90573" w:rsidRDefault="00D17DEC">
      <w:pPr>
        <w:spacing w:after="0" w:line="240" w:lineRule="auto"/>
        <w:jc w:val="both"/>
        <w:rPr>
          <w:rFonts w:ascii="Helvetica Neue" w:eastAsia="Helvetica Neue" w:hAnsi="Helvetica Neue" w:cs="Helvetica Neue"/>
          <w:sz w:val="24"/>
          <w:szCs w:val="24"/>
          <w:highlight w:val="white"/>
        </w:rPr>
      </w:pPr>
      <w:r>
        <w:rPr>
          <w:rFonts w:ascii="Helvetica Neue" w:eastAsia="Helvetica Neue" w:hAnsi="Helvetica Neue" w:cs="Helvetica Neue"/>
          <w:sz w:val="24"/>
          <w:szCs w:val="24"/>
          <w:highlight w:val="white"/>
        </w:rPr>
        <w:t>En el análisis realizado con información suministrada por la ANI, el 9 de octubre de 2019 se pudo evidenciar la falta de competencia que surgen en las Asociaciones Público Privadas de Iniciativa Privada (APP IP):</w:t>
      </w:r>
    </w:p>
    <w:p w:rsidR="00E90573" w:rsidRDefault="00D17DEC">
      <w:pPr>
        <w:spacing w:after="0" w:line="276" w:lineRule="auto"/>
        <w:jc w:val="both"/>
        <w:rPr>
          <w:rFonts w:ascii="Helvetica Neue" w:eastAsia="Helvetica Neue" w:hAnsi="Helvetica Neue" w:cs="Helvetica Neue"/>
          <w:sz w:val="24"/>
          <w:szCs w:val="24"/>
          <w:highlight w:val="white"/>
        </w:rPr>
      </w:pPr>
      <w:r>
        <w:rPr>
          <w:rFonts w:ascii="Helvetica Neue" w:eastAsia="Helvetica Neue" w:hAnsi="Helvetica Neue" w:cs="Helvetica Neue"/>
          <w:sz w:val="24"/>
          <w:szCs w:val="24"/>
          <w:highlight w:val="white"/>
        </w:rPr>
        <w:t xml:space="preserve">De 11 APPs IP, que desde 2013 a abril de 2019 han sido adjudicadas por la ANI (2 están en etapa de preconstrucción, 7 en construcción y 2 terminadas anticipadamente por problemas), sólo en 1 (18,2% del total de APPs IP adjudicadas por la ANI) se han presentado terceros interesados, que corresponden a la Vía Accesos Norte 1 y Vía Bogotá -Girardot, ambas en etapa de construcción. </w:t>
      </w:r>
    </w:p>
    <w:p w:rsidR="00E90573" w:rsidRDefault="00E90573">
      <w:pPr>
        <w:spacing w:after="0" w:line="240" w:lineRule="auto"/>
        <w:jc w:val="both"/>
        <w:rPr>
          <w:rFonts w:ascii="Helvetica Neue" w:eastAsia="Helvetica Neue" w:hAnsi="Helvetica Neue" w:cs="Helvetica Neue"/>
          <w:sz w:val="24"/>
          <w:szCs w:val="24"/>
        </w:rPr>
      </w:pPr>
    </w:p>
    <w:p w:rsidR="00E90573" w:rsidRDefault="00D17DEC">
      <w:pPr>
        <w:spacing w:after="0" w:line="240" w:lineRule="auto"/>
        <w:jc w:val="both"/>
        <w:rPr>
          <w:rFonts w:ascii="Helvetica Neue" w:eastAsia="Helvetica Neue" w:hAnsi="Helvetica Neue" w:cs="Helvetica Neue"/>
          <w:sz w:val="24"/>
          <w:szCs w:val="24"/>
          <w:highlight w:val="white"/>
        </w:rPr>
      </w:pPr>
      <w:r>
        <w:rPr>
          <w:rFonts w:ascii="Helvetica Neue" w:eastAsia="Helvetica Neue" w:hAnsi="Helvetica Neue" w:cs="Helvetica Neue"/>
          <w:sz w:val="24"/>
          <w:szCs w:val="24"/>
          <w:highlight w:val="white"/>
        </w:rPr>
        <w:t xml:space="preserve">Solo en una de estas fue ganador el tercero; pero en la única APP IP, en la que el tercero fue ganador, que es la vía Bogotá-Girardot, se encuentra investigada por la Superintendencia de Industria y Comercio (SIC), con cargos por colusión o cartelización empresarial y otras prácticas anticompetitivas que habrían ocurrido en el proceso de selección contractual adelantado por la ANI. No se puede dejar de lado que para la construcción del denominado Tercer Carril Bogotá – Girardot el presupuesto oficial es superior a $2.9 billones de pesos. </w:t>
      </w:r>
    </w:p>
    <w:p w:rsidR="00E90573" w:rsidRDefault="00E90573">
      <w:pPr>
        <w:spacing w:after="0" w:line="240" w:lineRule="auto"/>
        <w:jc w:val="both"/>
        <w:rPr>
          <w:rFonts w:ascii="Helvetica Neue" w:eastAsia="Helvetica Neue" w:hAnsi="Helvetica Neue" w:cs="Helvetica Neue"/>
          <w:sz w:val="24"/>
          <w:szCs w:val="24"/>
          <w:highlight w:val="white"/>
        </w:rPr>
      </w:pPr>
    </w:p>
    <w:p w:rsidR="00E90573" w:rsidRDefault="00D17DEC">
      <w:pPr>
        <w:spacing w:after="0" w:line="240" w:lineRule="auto"/>
        <w:jc w:val="both"/>
        <w:rPr>
          <w:rFonts w:ascii="Helvetica Neue" w:eastAsia="Helvetica Neue" w:hAnsi="Helvetica Neue" w:cs="Helvetica Neue"/>
          <w:sz w:val="24"/>
          <w:szCs w:val="24"/>
          <w:highlight w:val="white"/>
        </w:rPr>
      </w:pPr>
      <w:r>
        <w:rPr>
          <w:rFonts w:ascii="Helvetica Neue" w:eastAsia="Helvetica Neue" w:hAnsi="Helvetica Neue" w:cs="Helvetica Neue"/>
          <w:sz w:val="24"/>
          <w:szCs w:val="24"/>
          <w:highlight w:val="white"/>
        </w:rPr>
        <w:t>Esta evidente falta de competencia en las APPs de Iniciativa Privada, es generada entre otras razones, por el marco normativo actual, que permite generar condiciones que dan una excesiva favorabilidad al privado originador, desincentivando la participación, sobre todo en aquellas IPs que no requieren desembolso de recursos públicos, que prácticamente representan la mayor cantidad de IPs que se han presentado en Colombia. Por ello, se considera pertinente modificar los artículos 19 y 20, de manera que se abra oportunidades para participación de terceros.</w:t>
      </w:r>
    </w:p>
    <w:p w:rsidR="00E90573" w:rsidRDefault="00E90573">
      <w:pPr>
        <w:spacing w:after="0" w:line="240" w:lineRule="auto"/>
        <w:jc w:val="both"/>
        <w:rPr>
          <w:rFonts w:ascii="Helvetica Neue" w:eastAsia="Helvetica Neue" w:hAnsi="Helvetica Neue" w:cs="Helvetica Neue"/>
          <w:sz w:val="24"/>
          <w:szCs w:val="24"/>
          <w:highlight w:val="white"/>
        </w:rPr>
      </w:pPr>
    </w:p>
    <w:p w:rsidR="00E90573" w:rsidRDefault="00E90573">
      <w:pPr>
        <w:spacing w:after="0" w:line="240" w:lineRule="auto"/>
        <w:jc w:val="both"/>
        <w:rPr>
          <w:rFonts w:ascii="Helvetica Neue" w:eastAsia="Helvetica Neue" w:hAnsi="Helvetica Neue" w:cs="Helvetica Neue"/>
          <w:sz w:val="24"/>
          <w:szCs w:val="24"/>
          <w:highlight w:val="white"/>
        </w:rPr>
      </w:pPr>
    </w:p>
    <w:p w:rsidR="00E90573" w:rsidRDefault="00D17DEC">
      <w:pPr>
        <w:numPr>
          <w:ilvl w:val="4"/>
          <w:numId w:val="7"/>
        </w:numPr>
        <w:pBdr>
          <w:top w:val="nil"/>
          <w:left w:val="nil"/>
          <w:bottom w:val="nil"/>
          <w:right w:val="nil"/>
          <w:between w:val="nil"/>
        </w:pBdr>
        <w:spacing w:after="0" w:line="240" w:lineRule="auto"/>
        <w:ind w:left="1134"/>
        <w:jc w:val="both"/>
        <w:rPr>
          <w:rFonts w:ascii="Helvetica Neue" w:eastAsia="Helvetica Neue" w:hAnsi="Helvetica Neue" w:cs="Helvetica Neue"/>
          <w:b/>
          <w:color w:val="000000"/>
          <w:sz w:val="24"/>
          <w:szCs w:val="24"/>
          <w:highlight w:val="white"/>
        </w:rPr>
      </w:pPr>
      <w:r>
        <w:rPr>
          <w:rFonts w:ascii="Helvetica Neue" w:eastAsia="Helvetica Neue" w:hAnsi="Helvetica Neue" w:cs="Helvetica Neue"/>
          <w:b/>
          <w:color w:val="000000"/>
          <w:sz w:val="24"/>
          <w:szCs w:val="24"/>
          <w:highlight w:val="white"/>
        </w:rPr>
        <w:t xml:space="preserve">Modificación artículo 19, para ampliar el tiempo mínimo de publicación de los proyectos de APP de Iniciativa Privada que no requiere desembolso de recursos públicos. </w:t>
      </w:r>
    </w:p>
    <w:p w:rsidR="00E90573" w:rsidRDefault="00E90573">
      <w:pPr>
        <w:spacing w:after="0" w:line="240" w:lineRule="auto"/>
        <w:jc w:val="both"/>
        <w:rPr>
          <w:rFonts w:ascii="Helvetica Neue" w:eastAsia="Helvetica Neue" w:hAnsi="Helvetica Neue" w:cs="Helvetica Neue"/>
          <w:b/>
          <w:sz w:val="24"/>
          <w:szCs w:val="24"/>
          <w:highlight w:val="white"/>
        </w:rPr>
      </w:pPr>
    </w:p>
    <w:p w:rsidR="00E90573" w:rsidRDefault="00D17DEC">
      <w:pPr>
        <w:spacing w:after="0" w:line="240" w:lineRule="auto"/>
        <w:jc w:val="both"/>
        <w:rPr>
          <w:rFonts w:ascii="Helvetica Neue" w:eastAsia="Helvetica Neue" w:hAnsi="Helvetica Neue" w:cs="Helvetica Neue"/>
          <w:sz w:val="24"/>
          <w:szCs w:val="24"/>
          <w:highlight w:val="white"/>
        </w:rPr>
      </w:pPr>
      <w:r>
        <w:rPr>
          <w:rFonts w:ascii="Helvetica Neue" w:eastAsia="Helvetica Neue" w:hAnsi="Helvetica Neue" w:cs="Helvetica Neue"/>
          <w:sz w:val="24"/>
          <w:szCs w:val="24"/>
          <w:highlight w:val="white"/>
        </w:rPr>
        <w:t xml:space="preserve">Actualmente el artículo 19 de la ley 1508 de 2012 establece que si la APP de Iniciativa Privada sin recursos públicos, no resultan terceros interesados en el proyecto, se adjudica de manera directa. Además, que cuando se ha logrado el acuerdo entre la </w:t>
      </w:r>
      <w:r>
        <w:rPr>
          <w:rFonts w:ascii="Helvetica Neue" w:eastAsia="Helvetica Neue" w:hAnsi="Helvetica Neue" w:cs="Helvetica Neue"/>
          <w:sz w:val="24"/>
          <w:szCs w:val="24"/>
          <w:highlight w:val="white"/>
        </w:rPr>
        <w:lastRenderedPageBreak/>
        <w:t xml:space="preserve">entidad estatal competente y el originador del proyecto, manteniendo el originador la condición de no requerir desembolso de recursos públicos para la ejecución del proyecto, la entidad competente publicará el acuerdo, los estudios y la minuta del contrato y sus anexos por un término no inferior a un (1) mes ni superior a seis (6) meses, en los términos que establezca el reglamento, dependiendo de la complejidad del proyecto, en la página web del Sistema Electrónico para la Contratación Pública “SECOP””. </w:t>
      </w:r>
    </w:p>
    <w:p w:rsidR="00E90573" w:rsidRDefault="00E90573">
      <w:pPr>
        <w:spacing w:after="0" w:line="240" w:lineRule="auto"/>
        <w:jc w:val="both"/>
        <w:rPr>
          <w:rFonts w:ascii="Helvetica Neue" w:eastAsia="Helvetica Neue" w:hAnsi="Helvetica Neue" w:cs="Helvetica Neue"/>
          <w:sz w:val="24"/>
          <w:szCs w:val="24"/>
          <w:highlight w:val="white"/>
        </w:rPr>
      </w:pPr>
    </w:p>
    <w:p w:rsidR="00E90573" w:rsidRDefault="00D17DEC">
      <w:pPr>
        <w:spacing w:after="0" w:line="240" w:lineRule="auto"/>
        <w:jc w:val="both"/>
        <w:rPr>
          <w:rFonts w:ascii="Helvetica Neue" w:eastAsia="Helvetica Neue" w:hAnsi="Helvetica Neue" w:cs="Helvetica Neue"/>
          <w:sz w:val="24"/>
          <w:szCs w:val="24"/>
          <w:highlight w:val="white"/>
        </w:rPr>
      </w:pPr>
      <w:r>
        <w:rPr>
          <w:rFonts w:ascii="Helvetica Neue" w:eastAsia="Helvetica Neue" w:hAnsi="Helvetica Neue" w:cs="Helvetica Neue"/>
          <w:sz w:val="24"/>
          <w:szCs w:val="24"/>
          <w:highlight w:val="white"/>
        </w:rPr>
        <w:t xml:space="preserve">Tener como tiempo mínimo de publicación de un proyecto de APP de Iniciativa Privada sin recursos públicos, un mes, conociendo las implicaciones técnicas que requiere este tipo de proyectos, además que el originador conoce todos los aspectos del mismo, pero terceros posiblemente interesados no conocen nada previo y deben entrar a evaluar de manera profunda la propuesta, termina incentivando con mayor razón a que no haya competencia. </w:t>
      </w:r>
    </w:p>
    <w:p w:rsidR="00E90573" w:rsidRDefault="00E90573">
      <w:pPr>
        <w:spacing w:after="0" w:line="240" w:lineRule="auto"/>
        <w:jc w:val="both"/>
        <w:rPr>
          <w:rFonts w:ascii="Helvetica Neue" w:eastAsia="Helvetica Neue" w:hAnsi="Helvetica Neue" w:cs="Helvetica Neue"/>
          <w:sz w:val="24"/>
          <w:szCs w:val="24"/>
          <w:highlight w:val="white"/>
        </w:rPr>
      </w:pPr>
    </w:p>
    <w:p w:rsidR="00E90573" w:rsidRDefault="00D17DEC">
      <w:pPr>
        <w:spacing w:after="0" w:line="240" w:lineRule="auto"/>
        <w:jc w:val="both"/>
        <w:rPr>
          <w:rFonts w:ascii="Helvetica Neue" w:eastAsia="Helvetica Neue" w:hAnsi="Helvetica Neue" w:cs="Helvetica Neue"/>
          <w:sz w:val="24"/>
          <w:szCs w:val="24"/>
          <w:highlight w:val="white"/>
        </w:rPr>
      </w:pPr>
      <w:r>
        <w:rPr>
          <w:rFonts w:ascii="Helvetica Neue" w:eastAsia="Helvetica Neue" w:hAnsi="Helvetica Neue" w:cs="Helvetica Neue"/>
          <w:sz w:val="24"/>
          <w:szCs w:val="24"/>
          <w:highlight w:val="white"/>
        </w:rPr>
        <w:t xml:space="preserve">Por ello, se propone que el tiempo mínimo de publicación sea de 4 meses, teniendo en cuenta que el límite máximo establecido por la ley son 6 meses. </w:t>
      </w:r>
    </w:p>
    <w:p w:rsidR="00E90573" w:rsidRDefault="00E90573">
      <w:pPr>
        <w:spacing w:after="0" w:line="240" w:lineRule="auto"/>
        <w:jc w:val="both"/>
        <w:rPr>
          <w:rFonts w:ascii="Helvetica Neue" w:eastAsia="Helvetica Neue" w:hAnsi="Helvetica Neue" w:cs="Helvetica Neue"/>
          <w:sz w:val="24"/>
          <w:szCs w:val="24"/>
          <w:highlight w:val="white"/>
        </w:rPr>
      </w:pPr>
    </w:p>
    <w:p w:rsidR="00E90573" w:rsidRDefault="00E90573">
      <w:pPr>
        <w:spacing w:after="0" w:line="240" w:lineRule="auto"/>
        <w:jc w:val="both"/>
        <w:rPr>
          <w:rFonts w:ascii="Helvetica Neue" w:eastAsia="Helvetica Neue" w:hAnsi="Helvetica Neue" w:cs="Helvetica Neue"/>
          <w:sz w:val="24"/>
          <w:szCs w:val="24"/>
          <w:highlight w:val="white"/>
        </w:rPr>
      </w:pPr>
    </w:p>
    <w:tbl>
      <w:tblPr>
        <w:tblStyle w:val="a6"/>
        <w:tblW w:w="920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04"/>
        <w:gridCol w:w="4604"/>
      </w:tblGrid>
      <w:tr w:rsidR="00E90573">
        <w:tc>
          <w:tcPr>
            <w:tcW w:w="4604" w:type="dxa"/>
            <w:shd w:val="clear" w:color="auto" w:fill="auto"/>
            <w:tcMar>
              <w:top w:w="100" w:type="dxa"/>
              <w:left w:w="100" w:type="dxa"/>
              <w:bottom w:w="100" w:type="dxa"/>
              <w:right w:w="100" w:type="dxa"/>
            </w:tcMar>
          </w:tcPr>
          <w:p w:rsidR="00E90573" w:rsidRDefault="00D17DEC">
            <w:pPr>
              <w:widowControl w:val="0"/>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Artículo Actual- Artículo 19 Ley 1508 de 2012</w:t>
            </w:r>
          </w:p>
        </w:tc>
        <w:tc>
          <w:tcPr>
            <w:tcW w:w="4604" w:type="dxa"/>
            <w:shd w:val="clear" w:color="auto" w:fill="auto"/>
            <w:tcMar>
              <w:top w:w="100" w:type="dxa"/>
              <w:left w:w="100" w:type="dxa"/>
              <w:bottom w:w="100" w:type="dxa"/>
              <w:right w:w="100" w:type="dxa"/>
            </w:tcMar>
          </w:tcPr>
          <w:p w:rsidR="00E90573" w:rsidRDefault="00D17DEC">
            <w:pPr>
              <w:widowControl w:val="0"/>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 xml:space="preserve">Modificación propuesta al artículo 19 Ley 1508 de 2012 </w:t>
            </w:r>
          </w:p>
        </w:tc>
      </w:tr>
      <w:tr w:rsidR="00E90573">
        <w:tc>
          <w:tcPr>
            <w:tcW w:w="4604" w:type="dxa"/>
            <w:shd w:val="clear" w:color="auto" w:fill="auto"/>
            <w:tcMar>
              <w:top w:w="100" w:type="dxa"/>
              <w:left w:w="100" w:type="dxa"/>
              <w:bottom w:w="100" w:type="dxa"/>
              <w:right w:w="100" w:type="dxa"/>
            </w:tcMar>
          </w:tcPr>
          <w:p w:rsidR="00E90573" w:rsidRDefault="00D17DEC">
            <w:pPr>
              <w:spacing w:after="0" w:line="240" w:lineRule="auto"/>
              <w:jc w:val="both"/>
              <w:rPr>
                <w:rFonts w:ascii="Helvetica Neue" w:eastAsia="Helvetica Neue" w:hAnsi="Helvetica Neue" w:cs="Helvetica Neue"/>
                <w:i/>
              </w:rPr>
            </w:pPr>
            <w:r>
              <w:rPr>
                <w:rFonts w:ascii="Helvetica Neue" w:eastAsia="Helvetica Neue" w:hAnsi="Helvetica Neue" w:cs="Helvetica Neue"/>
                <w:i/>
              </w:rPr>
              <w:t>ARTÍCULO 19. INICIATIVAS PRIVADAS QUE NO REQUIEREN DESEMBOLSOS DE RECURSOS PÚBLICOS. Logrado el acuerdo entre la entidad estatal competente y el originador del proyecto, manteniendo el originador la condición de no requerir recursos del Presupuesto General de la Nación, de las entidades territoriales o de otros fondos públicos para la ejecución del proyecto, la entidad competente publicará el acuerdo, los estudios y la minuta del contrato y sus anexos por un término no inferior a un (1) mes ni superior a seis (6) meses, en los términos que establezca el reglamento, dependiendo de la complejidad del proyecto, en la página web del Sistema Electrónico para la Contratación Pública “SECOP”.</w:t>
            </w:r>
          </w:p>
          <w:p w:rsidR="00E90573" w:rsidRDefault="00E90573">
            <w:pPr>
              <w:spacing w:after="0" w:line="240" w:lineRule="auto"/>
              <w:jc w:val="both"/>
              <w:rPr>
                <w:rFonts w:ascii="Helvetica Neue" w:eastAsia="Helvetica Neue" w:hAnsi="Helvetica Neue" w:cs="Helvetica Neue"/>
                <w:i/>
              </w:rPr>
            </w:pPr>
          </w:p>
          <w:p w:rsidR="00E90573" w:rsidRDefault="00D17DEC">
            <w:pPr>
              <w:spacing w:after="0" w:line="240" w:lineRule="auto"/>
              <w:jc w:val="both"/>
              <w:rPr>
                <w:rFonts w:ascii="Helvetica Neue" w:eastAsia="Helvetica Neue" w:hAnsi="Helvetica Neue" w:cs="Helvetica Neue"/>
                <w:i/>
              </w:rPr>
            </w:pPr>
            <w:r>
              <w:rPr>
                <w:rFonts w:ascii="Helvetica Neue" w:eastAsia="Helvetica Neue" w:hAnsi="Helvetica Neue" w:cs="Helvetica Neue"/>
                <w:i/>
              </w:rPr>
              <w:t>En esta publicación la entidad estatal competente señalará las condiciones que deben cumplir eventuales interesados en participar en la ejecución del proyecto y anunciará su intención de adjudicar un contrato al proponente originador, en las condiciones acordadas, si no existieren otros interesados en la ejecución del proyecto.</w:t>
            </w:r>
          </w:p>
          <w:p w:rsidR="00E90573" w:rsidRDefault="00E90573">
            <w:pPr>
              <w:spacing w:after="0" w:line="240" w:lineRule="auto"/>
              <w:jc w:val="both"/>
              <w:rPr>
                <w:rFonts w:ascii="Helvetica Neue" w:eastAsia="Helvetica Neue" w:hAnsi="Helvetica Neue" w:cs="Helvetica Neue"/>
                <w:i/>
              </w:rPr>
            </w:pPr>
          </w:p>
          <w:p w:rsidR="00E90573" w:rsidRDefault="00D17DEC">
            <w:pPr>
              <w:spacing w:after="0" w:line="240" w:lineRule="auto"/>
              <w:jc w:val="both"/>
              <w:rPr>
                <w:rFonts w:ascii="Helvetica Neue" w:eastAsia="Helvetica Neue" w:hAnsi="Helvetica Neue" w:cs="Helvetica Neue"/>
                <w:sz w:val="24"/>
                <w:szCs w:val="24"/>
                <w:highlight w:val="white"/>
              </w:rPr>
            </w:pPr>
            <w:r>
              <w:rPr>
                <w:rFonts w:ascii="Helvetica Neue" w:eastAsia="Helvetica Neue" w:hAnsi="Helvetica Neue" w:cs="Helvetica Neue"/>
                <w:i/>
              </w:rPr>
              <w:t xml:space="preserve">Transcurrido el plazo de la publicación anteriormente referida, sin que ningún interesado distinto al originador del proyecto manifieste a la entidad estatal competente, su interés de ejecutarlo o cumpla las condiciones para participar en su ejecución, se podrá contratar con el originador, de manera directa en las condiciones pactadas. </w:t>
            </w:r>
          </w:p>
        </w:tc>
        <w:tc>
          <w:tcPr>
            <w:tcW w:w="4604" w:type="dxa"/>
            <w:shd w:val="clear" w:color="auto" w:fill="auto"/>
            <w:tcMar>
              <w:top w:w="100" w:type="dxa"/>
              <w:left w:w="100" w:type="dxa"/>
              <w:bottom w:w="100" w:type="dxa"/>
              <w:right w:w="100" w:type="dxa"/>
            </w:tcMar>
          </w:tcPr>
          <w:p w:rsidR="00E90573" w:rsidRDefault="00D17DEC">
            <w:pPr>
              <w:spacing w:after="0" w:line="240" w:lineRule="auto"/>
              <w:jc w:val="both"/>
              <w:rPr>
                <w:rFonts w:ascii="Helvetica Neue" w:eastAsia="Helvetica Neue" w:hAnsi="Helvetica Neue" w:cs="Helvetica Neue"/>
                <w:i/>
              </w:rPr>
            </w:pPr>
            <w:r>
              <w:rPr>
                <w:rFonts w:ascii="Helvetica Neue" w:eastAsia="Helvetica Neue" w:hAnsi="Helvetica Neue" w:cs="Helvetica Neue"/>
                <w:i/>
              </w:rPr>
              <w:t xml:space="preserve">ARTÍCULO 19. INICIATIVAS PRIVADAS QUE NO REQUIEREN DESEMBOLSOS DE RECURSOS PÚBLICOS. Logrado el acuerdo entre la entidad estatal competente y el originador del proyecto, manteniendo el originador la condición de no requerir recursos del Presupuesto General de la Nación, de las entidades territoriales o de otros fondos públicos para la ejecución del proyecto, la entidad competente publicará el acuerdo, los estudios y la minuta del contrato y sus anexos por un término no inferior a </w:t>
            </w:r>
            <w:r>
              <w:rPr>
                <w:rFonts w:ascii="Helvetica Neue" w:eastAsia="Helvetica Neue" w:hAnsi="Helvetica Neue" w:cs="Helvetica Neue"/>
                <w:i/>
                <w:u w:val="single"/>
              </w:rPr>
              <w:t xml:space="preserve">cuatro (4) meses </w:t>
            </w:r>
            <w:r>
              <w:rPr>
                <w:rFonts w:ascii="Helvetica Neue" w:eastAsia="Helvetica Neue" w:hAnsi="Helvetica Neue" w:cs="Helvetica Neue"/>
                <w:i/>
              </w:rPr>
              <w:t>ni superior a seis (6) meses, en los términos que establezca el reglamento, dependiendo de la complejidad del proyecto, en la página web del Sistema Electrónico para la Contratación Pública “SECOP”.</w:t>
            </w:r>
          </w:p>
          <w:p w:rsidR="00E90573" w:rsidRDefault="00E90573">
            <w:pPr>
              <w:spacing w:after="0" w:line="240" w:lineRule="auto"/>
              <w:jc w:val="both"/>
              <w:rPr>
                <w:rFonts w:ascii="Helvetica Neue" w:eastAsia="Helvetica Neue" w:hAnsi="Helvetica Neue" w:cs="Helvetica Neue"/>
                <w:i/>
              </w:rPr>
            </w:pPr>
          </w:p>
          <w:p w:rsidR="00E90573" w:rsidRDefault="00D17DEC">
            <w:pPr>
              <w:spacing w:after="0" w:line="240" w:lineRule="auto"/>
              <w:jc w:val="both"/>
              <w:rPr>
                <w:rFonts w:ascii="Helvetica Neue" w:eastAsia="Helvetica Neue" w:hAnsi="Helvetica Neue" w:cs="Helvetica Neue"/>
                <w:i/>
              </w:rPr>
            </w:pPr>
            <w:r>
              <w:rPr>
                <w:rFonts w:ascii="Helvetica Neue" w:eastAsia="Helvetica Neue" w:hAnsi="Helvetica Neue" w:cs="Helvetica Neue"/>
                <w:i/>
              </w:rPr>
              <w:t>En esta publicación la entidad estatal competente señalará las condiciones que deben cumplir eventuales interesados en participar en la ejecución del proyecto y anunciará su intención de adjudicar un contrato al proponente originador, en las condiciones acordadas, si no existieren otros interesados en la ejecución del proyecto.</w:t>
            </w:r>
          </w:p>
          <w:p w:rsidR="00E90573" w:rsidRDefault="00E90573">
            <w:pPr>
              <w:spacing w:after="0" w:line="240" w:lineRule="auto"/>
              <w:jc w:val="both"/>
              <w:rPr>
                <w:rFonts w:ascii="Helvetica Neue" w:eastAsia="Helvetica Neue" w:hAnsi="Helvetica Neue" w:cs="Helvetica Neue"/>
                <w:i/>
              </w:rPr>
            </w:pPr>
          </w:p>
          <w:p w:rsidR="00E90573" w:rsidRDefault="00D17DEC">
            <w:pPr>
              <w:spacing w:after="0" w:line="240" w:lineRule="auto"/>
              <w:jc w:val="both"/>
              <w:rPr>
                <w:rFonts w:ascii="Helvetica Neue" w:eastAsia="Helvetica Neue" w:hAnsi="Helvetica Neue" w:cs="Helvetica Neue"/>
                <w:i/>
              </w:rPr>
            </w:pPr>
            <w:r>
              <w:rPr>
                <w:rFonts w:ascii="Helvetica Neue" w:eastAsia="Helvetica Neue" w:hAnsi="Helvetica Neue" w:cs="Helvetica Neue"/>
                <w:i/>
              </w:rPr>
              <w:t>Transcurrido el plazo de la publicación anteriormente referida, sin que ningún interesado distinto al originador del proyecto manifieste a la entidad estatal competente, su interés de ejecutarlo o cumpla las condiciones para participar en su ejecución, se podrá contratar con el originador, de manera directa en las condiciones pactadas.</w:t>
            </w:r>
          </w:p>
          <w:p w:rsidR="00E90573" w:rsidRDefault="00E90573">
            <w:pPr>
              <w:widowControl w:val="0"/>
              <w:pBdr>
                <w:top w:val="nil"/>
                <w:left w:val="nil"/>
                <w:bottom w:val="nil"/>
                <w:right w:val="nil"/>
                <w:between w:val="nil"/>
              </w:pBdr>
              <w:spacing w:after="0" w:line="240" w:lineRule="auto"/>
              <w:rPr>
                <w:rFonts w:ascii="Helvetica Neue" w:eastAsia="Helvetica Neue" w:hAnsi="Helvetica Neue" w:cs="Helvetica Neue"/>
                <w:sz w:val="24"/>
                <w:szCs w:val="24"/>
                <w:highlight w:val="white"/>
              </w:rPr>
            </w:pPr>
          </w:p>
        </w:tc>
      </w:tr>
    </w:tbl>
    <w:p w:rsidR="00E90573" w:rsidRDefault="00E90573">
      <w:pPr>
        <w:spacing w:after="0" w:line="240" w:lineRule="auto"/>
        <w:jc w:val="both"/>
        <w:rPr>
          <w:rFonts w:ascii="Helvetica Neue" w:eastAsia="Helvetica Neue" w:hAnsi="Helvetica Neue" w:cs="Helvetica Neue"/>
          <w:sz w:val="24"/>
          <w:szCs w:val="24"/>
          <w:highlight w:val="white"/>
        </w:rPr>
      </w:pPr>
    </w:p>
    <w:p w:rsidR="00E90573" w:rsidRDefault="00E90573">
      <w:pPr>
        <w:spacing w:after="0" w:line="240" w:lineRule="auto"/>
        <w:jc w:val="both"/>
        <w:rPr>
          <w:rFonts w:ascii="Helvetica Neue" w:eastAsia="Helvetica Neue" w:hAnsi="Helvetica Neue" w:cs="Helvetica Neue"/>
          <w:sz w:val="24"/>
          <w:szCs w:val="24"/>
          <w:highlight w:val="white"/>
        </w:rPr>
      </w:pPr>
    </w:p>
    <w:p w:rsidR="00E90573" w:rsidRDefault="00D17DEC">
      <w:pPr>
        <w:numPr>
          <w:ilvl w:val="4"/>
          <w:numId w:val="7"/>
        </w:numPr>
        <w:pBdr>
          <w:top w:val="nil"/>
          <w:left w:val="nil"/>
          <w:bottom w:val="nil"/>
          <w:right w:val="nil"/>
          <w:between w:val="nil"/>
        </w:pBdr>
        <w:spacing w:after="0" w:line="240" w:lineRule="auto"/>
        <w:ind w:left="851"/>
        <w:jc w:val="both"/>
        <w:rPr>
          <w:rFonts w:ascii="Helvetica Neue" w:eastAsia="Helvetica Neue" w:hAnsi="Helvetica Neue" w:cs="Helvetica Neue"/>
          <w:b/>
          <w:color w:val="000000"/>
          <w:sz w:val="24"/>
          <w:szCs w:val="24"/>
          <w:highlight w:val="white"/>
        </w:rPr>
      </w:pPr>
      <w:r>
        <w:rPr>
          <w:rFonts w:ascii="Helvetica Neue" w:eastAsia="Helvetica Neue" w:hAnsi="Helvetica Neue" w:cs="Helvetica Neue"/>
          <w:b/>
          <w:color w:val="000000"/>
          <w:sz w:val="24"/>
          <w:szCs w:val="24"/>
          <w:highlight w:val="white"/>
        </w:rPr>
        <w:t xml:space="preserve">Modificación artículo 20, frente al derecho del originador de mejorar la oferta del proponente mejor calificado, en proyecto de APP de Iniciativa Privada que no requiere desembolso de recursos públicos. </w:t>
      </w:r>
    </w:p>
    <w:p w:rsidR="00E90573" w:rsidRDefault="00E90573">
      <w:pPr>
        <w:spacing w:after="0" w:line="240" w:lineRule="auto"/>
        <w:jc w:val="both"/>
        <w:rPr>
          <w:rFonts w:ascii="Helvetica Neue" w:eastAsia="Helvetica Neue" w:hAnsi="Helvetica Neue" w:cs="Helvetica Neue"/>
          <w:sz w:val="24"/>
          <w:szCs w:val="24"/>
          <w:highlight w:val="white"/>
        </w:rPr>
      </w:pPr>
    </w:p>
    <w:p w:rsidR="00E90573" w:rsidRDefault="00D17DEC">
      <w:pPr>
        <w:spacing w:after="0" w:line="240" w:lineRule="auto"/>
        <w:jc w:val="both"/>
        <w:rPr>
          <w:rFonts w:ascii="Helvetica Neue" w:eastAsia="Helvetica Neue" w:hAnsi="Helvetica Neue" w:cs="Helvetica Neue"/>
          <w:sz w:val="24"/>
          <w:szCs w:val="24"/>
          <w:highlight w:val="white"/>
        </w:rPr>
      </w:pPr>
      <w:r>
        <w:rPr>
          <w:rFonts w:ascii="Helvetica Neue" w:eastAsia="Helvetica Neue" w:hAnsi="Helvetica Neue" w:cs="Helvetica Neue"/>
          <w:sz w:val="24"/>
          <w:szCs w:val="24"/>
          <w:highlight w:val="white"/>
        </w:rPr>
        <w:t>De acuerdo con el artículo 20 de la ley 1508 de 2012, puede suceder que un tercero manifieste su interés en ejecutar el proyecto, en las condiciones pactadas entre la entidad estatal competente y el originador del proyecto, manteniendo la condición de no requerir desembolso de recursos públicos para la ejecución del proyecto. En dicho caso, se realizará el proceso de selección abreviada de menor cuantía con precalificación, para la selección del contratista entre el originador del proyecto y los oferentes. Si la oferta de alguno de los terceros oferentes es calificada como la mejor, el originador del proyecto podrá presentar una oferta que mejore la del tercero, en un plazo máximo de 10 días hábiles contados desde la publicación del informe de evaluación de la propuesta. Si el originador mejora la oferta se le adjudicará el contrato, una vez se cumplan los requisitos establecidos en la presente ley.</w:t>
      </w:r>
    </w:p>
    <w:p w:rsidR="00E90573" w:rsidRDefault="00E90573">
      <w:pPr>
        <w:spacing w:after="0" w:line="240" w:lineRule="auto"/>
        <w:jc w:val="both"/>
        <w:rPr>
          <w:rFonts w:ascii="Helvetica Neue" w:eastAsia="Helvetica Neue" w:hAnsi="Helvetica Neue" w:cs="Helvetica Neue"/>
          <w:sz w:val="24"/>
          <w:szCs w:val="24"/>
          <w:highlight w:val="white"/>
        </w:rPr>
      </w:pPr>
    </w:p>
    <w:p w:rsidR="00E90573" w:rsidRDefault="00D17DEC">
      <w:pPr>
        <w:spacing w:after="0" w:line="240" w:lineRule="auto"/>
        <w:jc w:val="both"/>
        <w:rPr>
          <w:rFonts w:ascii="Helvetica Neue" w:eastAsia="Helvetica Neue" w:hAnsi="Helvetica Neue" w:cs="Helvetica Neue"/>
          <w:sz w:val="24"/>
          <w:szCs w:val="24"/>
          <w:highlight w:val="white"/>
        </w:rPr>
      </w:pPr>
      <w:r>
        <w:rPr>
          <w:rFonts w:ascii="Helvetica Neue" w:eastAsia="Helvetica Neue" w:hAnsi="Helvetica Neue" w:cs="Helvetica Neue"/>
          <w:sz w:val="24"/>
          <w:szCs w:val="24"/>
          <w:highlight w:val="white"/>
        </w:rPr>
        <w:t>En el Decreto 1082 de 2015, se encuentra la reglamentación frente al derecho que tiene el originador para igualar la oferta de un proponente que sea la mejor calificada. De acuerdo con el artículo 2.2.2.1.5.12. del decreto 1082 de 2015, puede igualar al tercero que resulte mejor calificado siempre que haya tenido como mínimo un puntaje igual o superior al 80% del puntaje obtenido por la propuesta mejor calificada, en un plazo máximo de 10 días hábiles desde la publicación del informe definitivo de evaluación.</w:t>
      </w:r>
    </w:p>
    <w:p w:rsidR="00E90573" w:rsidRDefault="00E90573">
      <w:pPr>
        <w:shd w:val="clear" w:color="auto" w:fill="FFFFFF"/>
        <w:spacing w:after="0" w:line="240" w:lineRule="auto"/>
        <w:jc w:val="both"/>
        <w:rPr>
          <w:rFonts w:ascii="Helvetica Neue" w:eastAsia="Helvetica Neue" w:hAnsi="Helvetica Neue" w:cs="Helvetica Neue"/>
          <w:sz w:val="24"/>
          <w:szCs w:val="24"/>
          <w:highlight w:val="white"/>
        </w:rPr>
      </w:pPr>
    </w:p>
    <w:p w:rsidR="00E90573" w:rsidRDefault="00D17DEC">
      <w:pPr>
        <w:shd w:val="clear" w:color="auto" w:fill="FFFFFF"/>
        <w:spacing w:after="0" w:line="240" w:lineRule="auto"/>
        <w:jc w:val="both"/>
        <w:rPr>
          <w:rFonts w:ascii="Helvetica Neue" w:eastAsia="Helvetica Neue" w:hAnsi="Helvetica Neue" w:cs="Helvetica Neue"/>
          <w:sz w:val="24"/>
          <w:szCs w:val="24"/>
          <w:highlight w:val="white"/>
        </w:rPr>
      </w:pPr>
      <w:r>
        <w:rPr>
          <w:rFonts w:ascii="Helvetica Neue" w:eastAsia="Helvetica Neue" w:hAnsi="Helvetica Neue" w:cs="Helvetica Neue"/>
          <w:sz w:val="24"/>
          <w:szCs w:val="24"/>
          <w:highlight w:val="white"/>
        </w:rPr>
        <w:t>De manera que, tal como está actualmente la normatividad vigente, se permite igualar cuando la diferencia entre la mejor propuesta y la del originador sea del 20%. Lo cual genera suficientes desincentivos para que terceros interesados se presenten, al conocer que tienen una altísima probabilidad de salir derrotados por el originador del proyecto, incluso presentando propuestas que rentablemente puedan ser mucho mejores.</w:t>
      </w:r>
    </w:p>
    <w:p w:rsidR="00E90573" w:rsidRDefault="00E90573">
      <w:pPr>
        <w:spacing w:after="0" w:line="240" w:lineRule="auto"/>
        <w:jc w:val="both"/>
        <w:rPr>
          <w:rFonts w:ascii="Helvetica Neue" w:eastAsia="Helvetica Neue" w:hAnsi="Helvetica Neue" w:cs="Helvetica Neue"/>
          <w:sz w:val="24"/>
          <w:szCs w:val="24"/>
          <w:highlight w:val="white"/>
        </w:rPr>
      </w:pPr>
    </w:p>
    <w:p w:rsidR="00E90573" w:rsidRDefault="00D17DEC">
      <w:pPr>
        <w:spacing w:after="0" w:line="240" w:lineRule="auto"/>
        <w:jc w:val="both"/>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En razón de esto se propone modificar el artículo 20 de la ley 1508 de 2012 de manera que se establezcan limitaciones a la capacidad de mejorar la oferta por parte del originador. De manera que la propuesta del originador deba obtener como mínimo un porcentaje igual o superior al 97% del puntaje obtenido por la propuesta mejor calificada y no del 80% como está en la normatividad actual. Esto permite incentivar más competencia y que el originador se esfuerce en presentar propuestas más competitivas. </w:t>
      </w:r>
    </w:p>
    <w:p w:rsidR="00E90573" w:rsidRDefault="00E90573">
      <w:pPr>
        <w:spacing w:after="0" w:line="240" w:lineRule="auto"/>
        <w:jc w:val="both"/>
        <w:rPr>
          <w:rFonts w:ascii="Helvetica Neue" w:eastAsia="Helvetica Neue" w:hAnsi="Helvetica Neue" w:cs="Helvetica Neue"/>
          <w:sz w:val="24"/>
          <w:szCs w:val="24"/>
        </w:rPr>
      </w:pPr>
    </w:p>
    <w:p w:rsidR="00E90573" w:rsidRDefault="00E90573">
      <w:pPr>
        <w:spacing w:after="0" w:line="276" w:lineRule="auto"/>
        <w:jc w:val="both"/>
        <w:rPr>
          <w:rFonts w:ascii="Helvetica Neue" w:eastAsia="Helvetica Neue" w:hAnsi="Helvetica Neue" w:cs="Helvetica Neue"/>
          <w:b/>
          <w:sz w:val="24"/>
          <w:szCs w:val="24"/>
          <w:highlight w:val="white"/>
        </w:rPr>
      </w:pPr>
    </w:p>
    <w:tbl>
      <w:tblPr>
        <w:tblStyle w:val="a7"/>
        <w:tblW w:w="920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04"/>
        <w:gridCol w:w="4604"/>
      </w:tblGrid>
      <w:tr w:rsidR="00E90573">
        <w:tc>
          <w:tcPr>
            <w:tcW w:w="4604" w:type="dxa"/>
            <w:shd w:val="clear" w:color="auto" w:fill="auto"/>
            <w:tcMar>
              <w:top w:w="100" w:type="dxa"/>
              <w:left w:w="100" w:type="dxa"/>
              <w:bottom w:w="100" w:type="dxa"/>
              <w:right w:w="100" w:type="dxa"/>
            </w:tcMar>
          </w:tcPr>
          <w:p w:rsidR="00E90573" w:rsidRDefault="00D17DEC">
            <w:pPr>
              <w:widowControl w:val="0"/>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Artículo Actual- Artículo 20 Ley 1508 de 2012</w:t>
            </w:r>
          </w:p>
        </w:tc>
        <w:tc>
          <w:tcPr>
            <w:tcW w:w="4604" w:type="dxa"/>
            <w:shd w:val="clear" w:color="auto" w:fill="auto"/>
            <w:tcMar>
              <w:top w:w="100" w:type="dxa"/>
              <w:left w:w="100" w:type="dxa"/>
              <w:bottom w:w="100" w:type="dxa"/>
              <w:right w:w="100" w:type="dxa"/>
            </w:tcMar>
          </w:tcPr>
          <w:p w:rsidR="00E90573" w:rsidRDefault="00D17DEC">
            <w:pPr>
              <w:widowControl w:val="0"/>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 xml:space="preserve">Modificación propuesta al artículo 20 Ley 1508 de 2012 </w:t>
            </w:r>
          </w:p>
        </w:tc>
      </w:tr>
      <w:tr w:rsidR="00E90573">
        <w:tc>
          <w:tcPr>
            <w:tcW w:w="4604" w:type="dxa"/>
            <w:shd w:val="clear" w:color="auto" w:fill="auto"/>
            <w:tcMar>
              <w:top w:w="100" w:type="dxa"/>
              <w:left w:w="100" w:type="dxa"/>
              <w:bottom w:w="100" w:type="dxa"/>
              <w:right w:w="100" w:type="dxa"/>
            </w:tcMar>
          </w:tcPr>
          <w:p w:rsidR="00E90573" w:rsidRDefault="00D17DEC">
            <w:pPr>
              <w:spacing w:after="0" w:line="240" w:lineRule="auto"/>
              <w:jc w:val="both"/>
              <w:rPr>
                <w:rFonts w:ascii="Helvetica Neue" w:eastAsia="Helvetica Neue" w:hAnsi="Helvetica Neue" w:cs="Helvetica Neue"/>
              </w:rPr>
            </w:pPr>
            <w:r>
              <w:rPr>
                <w:rFonts w:ascii="Helvetica Neue" w:eastAsia="Helvetica Neue" w:hAnsi="Helvetica Neue" w:cs="Helvetica Neue"/>
              </w:rPr>
              <w:t xml:space="preserve">ARTÍCULO 20. TERCEROS INTERESADOS Y SELECCIÓN. Si un tercero manifiesta su interés en ejecutar el proyecto, en las condiciones pactadas entre la entidad estatal competente y el originador del proyecto, manteniendo la condición de no requerir recursos del Presupuesto General de la Nación, de las entidades territoriales o de otros fondos públicos para la ejecución del </w:t>
            </w:r>
            <w:r>
              <w:rPr>
                <w:rFonts w:ascii="Helvetica Neue" w:eastAsia="Helvetica Neue" w:hAnsi="Helvetica Neue" w:cs="Helvetica Neue"/>
              </w:rPr>
              <w:lastRenderedPageBreak/>
              <w:t>proyecto, deberá manifestarlo y garantizar la presentación de la iniciativa mediante una póliza de seguros, un aval bancario u otros medios autorizados por la ley, acreditando su capacidad jurídica, financiera o de potencial financiación, la experiencia en inversión o en estructuración de proyectos, para desarrollar el proyecto acordado.</w:t>
            </w:r>
          </w:p>
          <w:p w:rsidR="00E90573" w:rsidRDefault="00E90573">
            <w:pPr>
              <w:spacing w:after="0" w:line="240" w:lineRule="auto"/>
              <w:jc w:val="both"/>
              <w:rPr>
                <w:rFonts w:ascii="Helvetica Neue" w:eastAsia="Helvetica Neue" w:hAnsi="Helvetica Neue" w:cs="Helvetica Neue"/>
              </w:rPr>
            </w:pPr>
          </w:p>
          <w:p w:rsidR="00E90573" w:rsidRDefault="00D17DEC">
            <w:pPr>
              <w:spacing w:after="0" w:line="240" w:lineRule="auto"/>
              <w:jc w:val="both"/>
              <w:rPr>
                <w:rFonts w:ascii="Helvetica Neue" w:eastAsia="Helvetica Neue" w:hAnsi="Helvetica Neue" w:cs="Helvetica Neue"/>
              </w:rPr>
            </w:pPr>
            <w:r>
              <w:rPr>
                <w:rFonts w:ascii="Helvetica Neue" w:eastAsia="Helvetica Neue" w:hAnsi="Helvetica Neue" w:cs="Helvetica Neue"/>
              </w:rPr>
              <w:t>En ese caso, la entidad deberá abrir un proceso haciendo uso de la metodología establecida para los procesos de selección abreviada de menor cuantía con precalificación, para la selección del contratista entre el originador del proyecto y los oferentes que hayan anexado garantía para la presentación de sus ofertas y cumplan las condiciones para su ejecución.</w:t>
            </w:r>
          </w:p>
          <w:p w:rsidR="00E90573" w:rsidRDefault="00E90573">
            <w:pPr>
              <w:spacing w:after="0" w:line="240" w:lineRule="auto"/>
              <w:jc w:val="both"/>
              <w:rPr>
                <w:rFonts w:ascii="Helvetica Neue" w:eastAsia="Helvetica Neue" w:hAnsi="Helvetica Neue" w:cs="Helvetica Neue"/>
              </w:rPr>
            </w:pPr>
          </w:p>
          <w:p w:rsidR="00E90573" w:rsidRDefault="00D17DEC">
            <w:pPr>
              <w:spacing w:after="0" w:line="240" w:lineRule="auto"/>
              <w:jc w:val="both"/>
              <w:rPr>
                <w:rFonts w:ascii="Helvetica Neue" w:eastAsia="Helvetica Neue" w:hAnsi="Helvetica Neue" w:cs="Helvetica Neue"/>
              </w:rPr>
            </w:pPr>
            <w:r>
              <w:rPr>
                <w:rFonts w:ascii="Helvetica Neue" w:eastAsia="Helvetica Neue" w:hAnsi="Helvetica Neue" w:cs="Helvetica Neue"/>
              </w:rPr>
              <w:t>Si como resultado del proceso de selección el proponente originador del proyecto no presenta la mejor oferta, de acuerdo con los criterios de evaluación establecidos, este tendrá el derecho a presentar una oferta que mejore la del proponente mejor calificado, en un plazo máximo de (10) diez días hábiles contados desde la publicación del informe de evaluación de las propuestas. Si el originador mejora la oferta se le adjudicará el contrato, una vez se cumplan los requisitos establecidos en la presente ley.</w:t>
            </w:r>
          </w:p>
          <w:p w:rsidR="00E90573" w:rsidRDefault="00E90573">
            <w:pPr>
              <w:spacing w:after="0" w:line="240" w:lineRule="auto"/>
              <w:jc w:val="both"/>
              <w:rPr>
                <w:rFonts w:ascii="Helvetica Neue" w:eastAsia="Helvetica Neue" w:hAnsi="Helvetica Neue" w:cs="Helvetica Neue"/>
              </w:rPr>
            </w:pPr>
          </w:p>
          <w:p w:rsidR="00E90573" w:rsidRDefault="00D17DEC">
            <w:pPr>
              <w:spacing w:after="0" w:line="240" w:lineRule="auto"/>
              <w:jc w:val="both"/>
              <w:rPr>
                <w:rFonts w:ascii="Helvetica Neue" w:eastAsia="Helvetica Neue" w:hAnsi="Helvetica Neue" w:cs="Helvetica Neue"/>
                <w:b/>
                <w:sz w:val="24"/>
                <w:szCs w:val="24"/>
                <w:highlight w:val="white"/>
              </w:rPr>
            </w:pPr>
            <w:r>
              <w:rPr>
                <w:rFonts w:ascii="Helvetica Neue" w:eastAsia="Helvetica Neue" w:hAnsi="Helvetica Neue" w:cs="Helvetica Neue"/>
              </w:rPr>
              <w:t>Si el originador no resulta seleccionado para la ejecución del contrato, deberá recibir del adjudicatario el valor que la entidad estatal competente haya aceptado, como costo de los estudios realizados para la estructuración del proyecto.</w:t>
            </w:r>
          </w:p>
        </w:tc>
        <w:tc>
          <w:tcPr>
            <w:tcW w:w="4604" w:type="dxa"/>
            <w:shd w:val="clear" w:color="auto" w:fill="auto"/>
            <w:tcMar>
              <w:top w:w="100" w:type="dxa"/>
              <w:left w:w="100" w:type="dxa"/>
              <w:bottom w:w="100" w:type="dxa"/>
              <w:right w:w="100" w:type="dxa"/>
            </w:tcMar>
          </w:tcPr>
          <w:p w:rsidR="00E90573" w:rsidRDefault="00D17DEC">
            <w:pPr>
              <w:spacing w:after="0" w:line="240" w:lineRule="auto"/>
              <w:jc w:val="both"/>
              <w:rPr>
                <w:rFonts w:ascii="Helvetica Neue" w:eastAsia="Helvetica Neue" w:hAnsi="Helvetica Neue" w:cs="Helvetica Neue"/>
              </w:rPr>
            </w:pPr>
            <w:r>
              <w:rPr>
                <w:rFonts w:ascii="Helvetica Neue" w:eastAsia="Helvetica Neue" w:hAnsi="Helvetica Neue" w:cs="Helvetica Neue"/>
              </w:rPr>
              <w:lastRenderedPageBreak/>
              <w:t xml:space="preserve">ARTÍCULO 20. TERCEROS INTERESADOS Y SELECCIÓN. Si un tercero manifiesta su interés en ejecutar el proyecto, en las condiciones pactadas entre la entidad estatal competente y el originador del proyecto, manteniendo la condición de no requerir recursos del Presupuesto General de la Nación, de las entidades territoriales o de otros fondos públicos para la ejecución del </w:t>
            </w:r>
            <w:r>
              <w:rPr>
                <w:rFonts w:ascii="Helvetica Neue" w:eastAsia="Helvetica Neue" w:hAnsi="Helvetica Neue" w:cs="Helvetica Neue"/>
              </w:rPr>
              <w:lastRenderedPageBreak/>
              <w:t>proyecto, deberá manifestarlo y garantizar la presentación de la iniciativa mediante una póliza de seguros, un aval bancario u otros medios autorizados por la ley, acreditando su capacidad jurídica, financiera o de potencial financiación, la experiencia en inversión o en estructuración de proyectos, para desarrollar el proyecto acordado.</w:t>
            </w:r>
          </w:p>
          <w:p w:rsidR="00E90573" w:rsidRDefault="00E90573">
            <w:pPr>
              <w:spacing w:after="0" w:line="240" w:lineRule="auto"/>
              <w:jc w:val="both"/>
              <w:rPr>
                <w:rFonts w:ascii="Helvetica Neue" w:eastAsia="Helvetica Neue" w:hAnsi="Helvetica Neue" w:cs="Helvetica Neue"/>
              </w:rPr>
            </w:pPr>
          </w:p>
          <w:p w:rsidR="00E90573" w:rsidRDefault="00D17DEC">
            <w:pPr>
              <w:spacing w:after="0" w:line="240" w:lineRule="auto"/>
              <w:jc w:val="both"/>
              <w:rPr>
                <w:rFonts w:ascii="Helvetica Neue" w:eastAsia="Helvetica Neue" w:hAnsi="Helvetica Neue" w:cs="Helvetica Neue"/>
              </w:rPr>
            </w:pPr>
            <w:r>
              <w:rPr>
                <w:rFonts w:ascii="Helvetica Neue" w:eastAsia="Helvetica Neue" w:hAnsi="Helvetica Neue" w:cs="Helvetica Neue"/>
              </w:rPr>
              <w:t>En ese caso, la entidad deberá abrir un proceso haciendo uso de la metodología establecida para los procesos de selección abreviada de menor cuantía con precalificación, para la selección del contratista entre el originador del proyecto y los oferentes que hayan anexado garantía para la presentación de sus ofertas y cumplan las condiciones para su ejecución.</w:t>
            </w:r>
          </w:p>
          <w:p w:rsidR="00E90573" w:rsidRDefault="00E90573">
            <w:pPr>
              <w:spacing w:after="0" w:line="240" w:lineRule="auto"/>
              <w:jc w:val="both"/>
              <w:rPr>
                <w:rFonts w:ascii="Helvetica Neue" w:eastAsia="Helvetica Neue" w:hAnsi="Helvetica Neue" w:cs="Helvetica Neue"/>
              </w:rPr>
            </w:pPr>
          </w:p>
          <w:p w:rsidR="00E90573" w:rsidRDefault="00E90573">
            <w:pPr>
              <w:spacing w:after="0" w:line="240" w:lineRule="auto"/>
              <w:jc w:val="both"/>
              <w:rPr>
                <w:rFonts w:ascii="Helvetica Neue" w:eastAsia="Helvetica Neue" w:hAnsi="Helvetica Neue" w:cs="Helvetica Neue"/>
              </w:rPr>
            </w:pPr>
          </w:p>
          <w:p w:rsidR="00E90573" w:rsidRDefault="00D17DEC">
            <w:pPr>
              <w:spacing w:after="0" w:line="240" w:lineRule="auto"/>
              <w:jc w:val="both"/>
              <w:rPr>
                <w:rFonts w:ascii="Helvetica Neue" w:eastAsia="Helvetica Neue" w:hAnsi="Helvetica Neue" w:cs="Helvetica Neue"/>
                <w:b/>
                <w:u w:val="single"/>
              </w:rPr>
            </w:pPr>
            <w:r>
              <w:rPr>
                <w:rFonts w:ascii="Helvetica Neue" w:eastAsia="Helvetica Neue" w:hAnsi="Helvetica Neue" w:cs="Helvetica Neue"/>
                <w:b/>
                <w:u w:val="single"/>
              </w:rPr>
              <w:t xml:space="preserve">Si como resultado de la evaluación, la propuesta presentada por el originador dentro del proceso de selección abreviada de menor cuantía con precalificación no queda en primer orden de elegibilidad y siempre que ésta haya obtenido como mínimo un puntaje igual o superior al noventa y siete por ciento (97%) del puntaje obtenido por la propuesta mejor calificada, este tendrá la opción de mejorar su oferta en la oportunidad establecida en los pliegos de condiciones por un plazo máximo de diez (10) días hábiles contados desde la publicación del informe definitivo de evaluación de las propuestas. </w:t>
            </w:r>
            <w:r>
              <w:rPr>
                <w:rFonts w:ascii="Helvetica Neue" w:eastAsia="Helvetica Neue" w:hAnsi="Helvetica Neue" w:cs="Helvetica Neue"/>
              </w:rPr>
              <w:t xml:space="preserve"> Si el originador mejora la oferta se le adjudicará el contrato, una vez se cumplan los requisitos establecidos en la presente ley.</w:t>
            </w:r>
          </w:p>
          <w:p w:rsidR="00E90573" w:rsidRDefault="00E90573">
            <w:pPr>
              <w:spacing w:after="0" w:line="240" w:lineRule="auto"/>
              <w:jc w:val="both"/>
              <w:rPr>
                <w:rFonts w:ascii="Helvetica Neue" w:eastAsia="Helvetica Neue" w:hAnsi="Helvetica Neue" w:cs="Helvetica Neue"/>
                <w:b/>
                <w:u w:val="single"/>
              </w:rPr>
            </w:pPr>
          </w:p>
          <w:p w:rsidR="00E90573" w:rsidRDefault="00D17DEC">
            <w:pPr>
              <w:spacing w:after="0" w:line="240" w:lineRule="auto"/>
              <w:jc w:val="both"/>
              <w:rPr>
                <w:rFonts w:ascii="Helvetica Neue" w:eastAsia="Helvetica Neue" w:hAnsi="Helvetica Neue" w:cs="Helvetica Neue"/>
                <w:b/>
                <w:u w:val="single"/>
              </w:rPr>
            </w:pPr>
            <w:r>
              <w:rPr>
                <w:rFonts w:ascii="Helvetica Neue" w:eastAsia="Helvetica Neue" w:hAnsi="Helvetica Neue" w:cs="Helvetica Neue"/>
                <w:b/>
                <w:u w:val="single"/>
              </w:rPr>
              <w:t>En caso que el originador mejore su propuesta, la entidad la dará a conocer a los demás oferentes para que realicen las observaciones que consideren necesarias, exclusivamente relacionadas con la mejora de la propuesta por parte del Originador, si a ello hubiere lugar, en la oportunidad establecida en los pliegos de condiciones y por un término máximo de cinco (5) días hábiles.</w:t>
            </w:r>
          </w:p>
          <w:p w:rsidR="00E90573" w:rsidRDefault="00E90573">
            <w:pPr>
              <w:spacing w:after="0" w:line="240" w:lineRule="auto"/>
              <w:jc w:val="both"/>
              <w:rPr>
                <w:rFonts w:ascii="Helvetica Neue" w:eastAsia="Helvetica Neue" w:hAnsi="Helvetica Neue" w:cs="Helvetica Neue"/>
              </w:rPr>
            </w:pPr>
          </w:p>
          <w:p w:rsidR="00E90573" w:rsidRDefault="00E90573">
            <w:pPr>
              <w:pBdr>
                <w:top w:val="nil"/>
                <w:left w:val="nil"/>
                <w:bottom w:val="nil"/>
                <w:right w:val="nil"/>
                <w:between w:val="nil"/>
              </w:pBdr>
              <w:spacing w:after="0" w:line="240" w:lineRule="auto"/>
              <w:jc w:val="both"/>
              <w:rPr>
                <w:rFonts w:ascii="Helvetica Neue" w:eastAsia="Helvetica Neue" w:hAnsi="Helvetica Neue" w:cs="Helvetica Neue"/>
                <w:b/>
                <w:u w:val="single"/>
              </w:rPr>
            </w:pPr>
          </w:p>
          <w:p w:rsidR="00E90573" w:rsidRDefault="00D17DEC">
            <w:pPr>
              <w:pBdr>
                <w:top w:val="nil"/>
                <w:left w:val="nil"/>
                <w:bottom w:val="nil"/>
                <w:right w:val="nil"/>
                <w:between w:val="nil"/>
              </w:pBdr>
              <w:spacing w:after="0" w:line="240" w:lineRule="auto"/>
              <w:jc w:val="both"/>
              <w:rPr>
                <w:rFonts w:ascii="Helvetica Neue" w:eastAsia="Helvetica Neue" w:hAnsi="Helvetica Neue" w:cs="Helvetica Neue"/>
                <w:b/>
                <w:u w:val="single"/>
              </w:rPr>
            </w:pPr>
            <w:r>
              <w:rPr>
                <w:rFonts w:ascii="Helvetica Neue" w:eastAsia="Helvetica Neue" w:hAnsi="Helvetica Neue" w:cs="Helvetica Neue"/>
                <w:b/>
                <w:u w:val="single"/>
              </w:rPr>
              <w:t xml:space="preserve">Para efectos de lo previsto en el presente artículo, se entiende que el originador mejora la oferta del proponente mejor calificado, cuando la nueva oferta del originador obtenga un puntaje que supere el puntaje obtenido por la propuesta mejor calificada. En el caso en que no se </w:t>
            </w:r>
            <w:r>
              <w:rPr>
                <w:rFonts w:ascii="Helvetica Neue" w:eastAsia="Helvetica Neue" w:hAnsi="Helvetica Neue" w:cs="Helvetica Neue"/>
                <w:b/>
                <w:u w:val="single"/>
              </w:rPr>
              <w:lastRenderedPageBreak/>
              <w:t xml:space="preserve">presente ninguna oferta dentro del plazo establecido por la entidad para el efecto en el proceso de selección abreviada con precalificación, se dará aplicación a lo señalado en la presente ley para el evento en que ningún tercero presente manifestación de interés dentro del plazo previsto para el efecto.  </w:t>
            </w:r>
          </w:p>
          <w:p w:rsidR="00E90573" w:rsidRDefault="00E90573">
            <w:pPr>
              <w:pBdr>
                <w:top w:val="nil"/>
                <w:left w:val="nil"/>
                <w:bottom w:val="nil"/>
                <w:right w:val="nil"/>
                <w:between w:val="nil"/>
              </w:pBdr>
              <w:spacing w:after="0" w:line="240" w:lineRule="auto"/>
              <w:jc w:val="both"/>
              <w:rPr>
                <w:rFonts w:ascii="Helvetica Neue" w:eastAsia="Helvetica Neue" w:hAnsi="Helvetica Neue" w:cs="Helvetica Neue"/>
                <w:b/>
                <w:u w:val="single"/>
              </w:rPr>
            </w:pPr>
          </w:p>
          <w:p w:rsidR="00E90573" w:rsidRDefault="00D17DEC">
            <w:pPr>
              <w:pBdr>
                <w:top w:val="nil"/>
                <w:left w:val="nil"/>
                <w:bottom w:val="nil"/>
                <w:right w:val="nil"/>
                <w:between w:val="nil"/>
              </w:pBdr>
              <w:spacing w:after="0" w:line="240" w:lineRule="auto"/>
              <w:jc w:val="both"/>
              <w:rPr>
                <w:rFonts w:ascii="Helvetica Neue" w:eastAsia="Helvetica Neue" w:hAnsi="Helvetica Neue" w:cs="Helvetica Neue"/>
                <w:b/>
                <w:u w:val="single"/>
              </w:rPr>
            </w:pPr>
            <w:r>
              <w:rPr>
                <w:rFonts w:ascii="Helvetica Neue" w:eastAsia="Helvetica Neue" w:hAnsi="Helvetica Neue" w:cs="Helvetica Neue"/>
                <w:b/>
                <w:u w:val="single"/>
              </w:rPr>
              <w:t>Si el originador no hace uso de la opción de mejorar la oferta en los términos señalados en el presente numeral, o si dicha opción no está disponible por no haber obtenido como mínimo un puntaje igual o superior al noventa y siete por ciento (97%) del puntaje obtenido por la propuesta mejor calificada, la entidad estatal incluirá dentro del contrato que resulte del proceso de selección, la obligación de que el contratista adjudicatario reconozca al originador del proyecto el reembolso de los costos en que este haya incurrido por la realización de los estudios necesarios para la estructuración del proyecto de conformidad con lo dispuesto en la presente ley.</w:t>
            </w:r>
          </w:p>
        </w:tc>
      </w:tr>
    </w:tbl>
    <w:p w:rsidR="00E90573" w:rsidRDefault="00E90573">
      <w:pPr>
        <w:spacing w:after="0" w:line="276" w:lineRule="auto"/>
        <w:jc w:val="both"/>
        <w:rPr>
          <w:rFonts w:ascii="Helvetica Neue" w:eastAsia="Helvetica Neue" w:hAnsi="Helvetica Neue" w:cs="Helvetica Neue"/>
          <w:b/>
          <w:sz w:val="24"/>
          <w:szCs w:val="24"/>
          <w:highlight w:val="white"/>
        </w:rPr>
      </w:pPr>
    </w:p>
    <w:p w:rsidR="00E90573" w:rsidRDefault="00E90573">
      <w:pPr>
        <w:spacing w:after="0" w:line="276" w:lineRule="auto"/>
        <w:jc w:val="both"/>
        <w:rPr>
          <w:rFonts w:ascii="Helvetica Neue" w:eastAsia="Helvetica Neue" w:hAnsi="Helvetica Neue" w:cs="Helvetica Neue"/>
          <w:b/>
          <w:sz w:val="24"/>
          <w:szCs w:val="24"/>
          <w:highlight w:val="white"/>
        </w:rPr>
      </w:pPr>
    </w:p>
    <w:p w:rsidR="00E90573" w:rsidRDefault="00D17DEC">
      <w:pPr>
        <w:pStyle w:val="Ttulo"/>
        <w:spacing w:after="0" w:line="276" w:lineRule="auto"/>
        <w:jc w:val="both"/>
        <w:rPr>
          <w:rFonts w:ascii="Helvetica Neue" w:eastAsia="Helvetica Neue" w:hAnsi="Helvetica Neue" w:cs="Helvetica Neue"/>
          <w:sz w:val="24"/>
          <w:szCs w:val="24"/>
          <w:u w:val="single"/>
        </w:rPr>
      </w:pPr>
      <w:bookmarkStart w:id="14" w:name="_heading=h.e640vj9fzwnv" w:colFirst="0" w:colLast="0"/>
      <w:bookmarkEnd w:id="14"/>
      <w:r>
        <w:rPr>
          <w:rFonts w:ascii="Helvetica Neue" w:eastAsia="Helvetica Neue" w:hAnsi="Helvetica Neue" w:cs="Helvetica Neue"/>
          <w:sz w:val="24"/>
          <w:szCs w:val="24"/>
          <w:u w:val="single"/>
        </w:rPr>
        <w:t xml:space="preserve">10.4. Evaluación de Impacto Fiscal </w:t>
      </w:r>
    </w:p>
    <w:p w:rsidR="00E90573" w:rsidRDefault="00D17DEC">
      <w:pPr>
        <w:spacing w:after="0" w:line="276" w:lineRule="auto"/>
        <w:jc w:val="both"/>
        <w:rPr>
          <w:rFonts w:ascii="Helvetica Neue" w:eastAsia="Helvetica Neue" w:hAnsi="Helvetica Neue" w:cs="Helvetica Neue"/>
          <w:sz w:val="24"/>
          <w:szCs w:val="24"/>
          <w:highlight w:val="white"/>
        </w:rPr>
      </w:pPr>
      <w:r>
        <w:rPr>
          <w:rFonts w:ascii="Helvetica Neue" w:eastAsia="Helvetica Neue" w:hAnsi="Helvetica Neue" w:cs="Helvetica Neue"/>
          <w:sz w:val="24"/>
          <w:szCs w:val="24"/>
          <w:highlight w:val="white"/>
        </w:rPr>
        <w:t>El presente proyecto no tiene impacto fiscal, pues no compromete recursos públicos de las entidades estatales contratantes de las APPs, ni genera obligaciones que puedan llegar a comprometerlos.</w:t>
      </w:r>
    </w:p>
    <w:p w:rsidR="00E90573" w:rsidRDefault="00E90573">
      <w:pPr>
        <w:spacing w:after="0" w:line="276" w:lineRule="auto"/>
        <w:jc w:val="both"/>
        <w:rPr>
          <w:rFonts w:ascii="Helvetica Neue" w:eastAsia="Helvetica Neue" w:hAnsi="Helvetica Neue" w:cs="Helvetica Neue"/>
          <w:sz w:val="24"/>
          <w:szCs w:val="24"/>
          <w:highlight w:val="white"/>
        </w:rPr>
      </w:pPr>
    </w:p>
    <w:p w:rsidR="00E90573" w:rsidRDefault="00D17DEC">
      <w:pPr>
        <w:spacing w:after="0" w:line="276" w:lineRule="auto"/>
        <w:jc w:val="both"/>
        <w:rPr>
          <w:rFonts w:ascii="Helvetica Neue" w:eastAsia="Helvetica Neue" w:hAnsi="Helvetica Neue" w:cs="Helvetica Neue"/>
          <w:sz w:val="24"/>
          <w:szCs w:val="24"/>
          <w:highlight w:val="white"/>
        </w:rPr>
      </w:pPr>
      <w:r>
        <w:rPr>
          <w:rFonts w:ascii="Helvetica Neue" w:eastAsia="Helvetica Neue" w:hAnsi="Helvetica Neue" w:cs="Helvetica Neue"/>
          <w:sz w:val="24"/>
          <w:szCs w:val="24"/>
          <w:highlight w:val="white"/>
        </w:rPr>
        <w:t xml:space="preserve"> Frente a las modificaciones propuestas de cara al uso del fondo de contingencias, en ningún momento se crea una obligación, sino que se da claridad al marco normativo vigente, de manera que las entidades públicas tengan la posibilidad de hacer uso del fondo de contingencias para asumir los riesgos que por su naturaleza deban estar en cabeza suya. Teniendo en cuenta que los recursos de este fondo, si bien son públicos no se pueden considerar como desembolsos de recursos dirigidos al privado para la ejecución de la obra, pues estos solo se activan una vez se materializa el riesgo. </w:t>
      </w:r>
    </w:p>
    <w:p w:rsidR="00E90573" w:rsidRDefault="00E90573">
      <w:pPr>
        <w:spacing w:after="0" w:line="276" w:lineRule="auto"/>
        <w:jc w:val="both"/>
        <w:rPr>
          <w:rFonts w:ascii="Helvetica Neue" w:eastAsia="Helvetica Neue" w:hAnsi="Helvetica Neue" w:cs="Helvetica Neue"/>
          <w:b/>
          <w:sz w:val="24"/>
          <w:szCs w:val="24"/>
          <w:highlight w:val="white"/>
        </w:rPr>
      </w:pPr>
    </w:p>
    <w:p w:rsidR="00E90573" w:rsidRDefault="00E90573">
      <w:pPr>
        <w:spacing w:after="0" w:line="276" w:lineRule="auto"/>
        <w:jc w:val="both"/>
        <w:rPr>
          <w:rFonts w:ascii="Helvetica Neue" w:eastAsia="Helvetica Neue" w:hAnsi="Helvetica Neue" w:cs="Helvetica Neue"/>
          <w:b/>
          <w:sz w:val="24"/>
          <w:szCs w:val="24"/>
          <w:highlight w:val="white"/>
        </w:rPr>
      </w:pPr>
    </w:p>
    <w:p w:rsidR="00E90573" w:rsidRDefault="00E90573">
      <w:pPr>
        <w:spacing w:after="0" w:line="276" w:lineRule="auto"/>
        <w:jc w:val="both"/>
        <w:rPr>
          <w:rFonts w:ascii="Helvetica Neue" w:eastAsia="Helvetica Neue" w:hAnsi="Helvetica Neue" w:cs="Helvetica Neue"/>
          <w:b/>
          <w:sz w:val="24"/>
          <w:szCs w:val="24"/>
          <w:highlight w:val="white"/>
        </w:rPr>
      </w:pPr>
    </w:p>
    <w:p w:rsidR="00E90573" w:rsidRDefault="00D17DEC">
      <w:pPr>
        <w:pStyle w:val="Ttulo"/>
        <w:spacing w:before="240" w:after="240" w:line="240" w:lineRule="auto"/>
        <w:jc w:val="both"/>
        <w:rPr>
          <w:rFonts w:ascii="Helvetica Neue" w:eastAsia="Helvetica Neue" w:hAnsi="Helvetica Neue" w:cs="Helvetica Neue"/>
          <w:sz w:val="24"/>
          <w:szCs w:val="24"/>
          <w:u w:val="single"/>
        </w:rPr>
      </w:pPr>
      <w:bookmarkStart w:id="15" w:name="_heading=h.u4t14h3to33g" w:colFirst="0" w:colLast="0"/>
      <w:bookmarkEnd w:id="15"/>
      <w:r>
        <w:rPr>
          <w:rFonts w:ascii="Helvetica Neue" w:eastAsia="Helvetica Neue" w:hAnsi="Helvetica Neue" w:cs="Helvetica Neue"/>
          <w:sz w:val="24"/>
          <w:szCs w:val="24"/>
          <w:u w:val="single"/>
        </w:rPr>
        <w:t xml:space="preserve">11. OBSERVACIONES DE ORGANIZACIONES INTERNACIONALES SOBRE LAS ASOCIACIONES PÚBLICO PRIVADAS </w:t>
      </w:r>
    </w:p>
    <w:p w:rsidR="00E90573" w:rsidRDefault="00D17DEC">
      <w:pPr>
        <w:spacing w:after="120" w:line="276" w:lineRule="auto"/>
        <w:jc w:val="both"/>
        <w:rPr>
          <w:rFonts w:ascii="Helvetica Neue" w:eastAsia="Helvetica Neue" w:hAnsi="Helvetica Neue" w:cs="Helvetica Neue"/>
          <w:b/>
          <w:sz w:val="24"/>
          <w:szCs w:val="24"/>
          <w:highlight w:val="white"/>
        </w:rPr>
      </w:pPr>
      <w:r>
        <w:rPr>
          <w:rFonts w:ascii="Helvetica Neue" w:eastAsia="Helvetica Neue" w:hAnsi="Helvetica Neue" w:cs="Helvetica Neue"/>
          <w:sz w:val="24"/>
          <w:szCs w:val="24"/>
        </w:rPr>
        <w:t xml:space="preserve">Diferentes organismos internacionales tales como la OCDE (Organización para la Cooperación y Desarrollo económico, CEPAL (Comisión Económica para América Latina y el Caribe) han exhortado a los gobiernos a constituir un marco jurídico eficaz y coherente con las necesidades y particularidades propias de las asociaciones </w:t>
      </w:r>
      <w:r>
        <w:rPr>
          <w:rFonts w:ascii="Helvetica Neue" w:eastAsia="Helvetica Neue" w:hAnsi="Helvetica Neue" w:cs="Helvetica Neue"/>
          <w:sz w:val="24"/>
          <w:szCs w:val="24"/>
        </w:rPr>
        <w:lastRenderedPageBreak/>
        <w:t>público-privadas. Para la obtención de resultados óptimos, a través de las Asociaciones público-privadas, es indispensable que los gobiernos cuenten con medidas fuertes para asegurar la transparencia, competencia, eficacia y viabilidad de los proyectos y de todas las etapas</w:t>
      </w:r>
    </w:p>
    <w:p w:rsidR="00E90573" w:rsidRDefault="00E90573">
      <w:pPr>
        <w:spacing w:after="120" w:line="276" w:lineRule="auto"/>
        <w:jc w:val="both"/>
        <w:rPr>
          <w:rFonts w:ascii="Helvetica Neue" w:eastAsia="Helvetica Neue" w:hAnsi="Helvetica Neue" w:cs="Helvetica Neue"/>
          <w:b/>
          <w:sz w:val="24"/>
          <w:szCs w:val="24"/>
          <w:highlight w:val="white"/>
        </w:rPr>
      </w:pPr>
    </w:p>
    <w:p w:rsidR="00E90573" w:rsidRDefault="00D17DEC">
      <w:pPr>
        <w:spacing w:after="120" w:line="276" w:lineRule="auto"/>
        <w:ind w:left="425"/>
        <w:jc w:val="both"/>
        <w:rPr>
          <w:rFonts w:ascii="Helvetica Neue" w:eastAsia="Helvetica Neue" w:hAnsi="Helvetica Neue" w:cs="Helvetica Neue"/>
          <w:b/>
          <w:sz w:val="24"/>
          <w:szCs w:val="24"/>
          <w:highlight w:val="white"/>
          <w:u w:val="single"/>
        </w:rPr>
      </w:pPr>
      <w:r>
        <w:rPr>
          <w:rFonts w:ascii="Helvetica Neue" w:eastAsia="Helvetica Neue" w:hAnsi="Helvetica Neue" w:cs="Helvetica Neue"/>
          <w:b/>
          <w:sz w:val="24"/>
          <w:szCs w:val="24"/>
          <w:highlight w:val="white"/>
          <w:u w:val="single"/>
        </w:rPr>
        <w:t>11.1. De Lecciones a Principios para el uso de Asociaciones Público-Privadas - OCDE</w:t>
      </w:r>
    </w:p>
    <w:p w:rsidR="00E90573" w:rsidRDefault="00D17DEC">
      <w:pPr>
        <w:spacing w:after="120" w:line="276" w:lineRule="auto"/>
        <w:jc w:val="both"/>
        <w:rPr>
          <w:rFonts w:ascii="Helvetica Neue" w:eastAsia="Helvetica Neue" w:hAnsi="Helvetica Neue" w:cs="Helvetica Neue"/>
          <w:sz w:val="24"/>
          <w:szCs w:val="24"/>
        </w:rPr>
      </w:pPr>
      <w:r>
        <w:rPr>
          <w:rFonts w:ascii="Helvetica Neue" w:eastAsia="Helvetica Neue" w:hAnsi="Helvetica Neue" w:cs="Helvetica Neue"/>
          <w:sz w:val="24"/>
          <w:szCs w:val="24"/>
        </w:rPr>
        <w:t>Según la OCDE, las APPs se están convirtiendo en una herramienta cada vez más importante para la prestación de servicios públicos, tanto en lo que respecta a los activos de infraestructura (puentes, carreteras) como a activos más complejos (prisiones, servicios públicos), pero deben tenerse en cuenta entre otros temas que</w:t>
      </w:r>
      <w:r>
        <w:rPr>
          <w:rFonts w:ascii="Helvetica Neue" w:eastAsia="Helvetica Neue" w:hAnsi="Helvetica Neue" w:cs="Helvetica Neue"/>
          <w:sz w:val="24"/>
          <w:szCs w:val="24"/>
          <w:vertAlign w:val="superscript"/>
        </w:rPr>
        <w:footnoteReference w:id="46"/>
      </w:r>
      <w:r>
        <w:rPr>
          <w:rFonts w:ascii="Helvetica Neue" w:eastAsia="Helvetica Neue" w:hAnsi="Helvetica Neue" w:cs="Helvetica Neue"/>
          <w:sz w:val="24"/>
          <w:szCs w:val="24"/>
        </w:rPr>
        <w:t xml:space="preserve">: </w:t>
      </w:r>
    </w:p>
    <w:p w:rsidR="00E90573" w:rsidRDefault="00D17DEC">
      <w:pPr>
        <w:numPr>
          <w:ilvl w:val="0"/>
          <w:numId w:val="10"/>
        </w:numPr>
        <w:spacing w:after="0" w:line="276" w:lineRule="auto"/>
        <w:jc w:val="both"/>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El sector público debe ser un actor fiscal prudente. Corresponde al responsable de la toma de decisiones asegurarse de que la APP sea asequible, que represente una relación calidad-precio adecuada y que cualquier riesgo fiscal, tales como pasivos contingentes, son limitados. </w:t>
      </w:r>
    </w:p>
    <w:p w:rsidR="00E90573" w:rsidRDefault="00D17DEC">
      <w:pPr>
        <w:numPr>
          <w:ilvl w:val="0"/>
          <w:numId w:val="10"/>
        </w:numPr>
        <w:spacing w:after="0" w:line="276" w:lineRule="auto"/>
        <w:jc w:val="both"/>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Las demandas de inversión de determinados sectores como el transporte, la salud y la educación deben evaluarse prudentemente entre sí, de modo que los proyectos que se persiguen sean </w:t>
      </w:r>
      <w:r>
        <w:rPr>
          <w:rFonts w:ascii="Helvetica Neue" w:eastAsia="Helvetica Neue" w:hAnsi="Helvetica Neue" w:cs="Helvetica Neue"/>
          <w:b/>
          <w:sz w:val="24"/>
          <w:szCs w:val="24"/>
        </w:rPr>
        <w:t>aquellos que produzcan el mayor retorno de la inversión para la sociedad en su conjunto.</w:t>
      </w:r>
    </w:p>
    <w:p w:rsidR="00E90573" w:rsidRDefault="00D17DEC">
      <w:pPr>
        <w:numPr>
          <w:ilvl w:val="0"/>
          <w:numId w:val="10"/>
        </w:numPr>
        <w:spacing w:after="120" w:line="276" w:lineRule="auto"/>
        <w:jc w:val="both"/>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Por último, los responsables de la toma de decisiones deben equilibrar los riesgos asumidos por el sector privado y los que mantiene el sector público. </w:t>
      </w:r>
      <w:r>
        <w:rPr>
          <w:rFonts w:ascii="Helvetica Neue" w:eastAsia="Helvetica Neue" w:hAnsi="Helvetica Neue" w:cs="Helvetica Neue"/>
          <w:b/>
          <w:sz w:val="24"/>
          <w:szCs w:val="24"/>
        </w:rPr>
        <w:t>También requiere decidir cuál debe ser el precio adecuado de dicha transferencia.</w:t>
      </w:r>
      <w:r>
        <w:rPr>
          <w:rFonts w:ascii="Helvetica Neue" w:eastAsia="Helvetica Neue" w:hAnsi="Helvetica Neue" w:cs="Helvetica Neue"/>
          <w:sz w:val="24"/>
          <w:szCs w:val="24"/>
        </w:rPr>
        <w:t xml:space="preserve"> No existe necesariamente una solución adecuada a estas compensaciones; dependerá de las circunstancias concretas de cada proyecto.</w:t>
      </w:r>
    </w:p>
    <w:p w:rsidR="00E90573" w:rsidRDefault="00E90573">
      <w:pPr>
        <w:spacing w:after="120" w:line="276" w:lineRule="auto"/>
        <w:jc w:val="both"/>
        <w:rPr>
          <w:rFonts w:ascii="Helvetica Neue" w:eastAsia="Helvetica Neue" w:hAnsi="Helvetica Neue" w:cs="Helvetica Neue"/>
          <w:sz w:val="24"/>
          <w:szCs w:val="24"/>
        </w:rPr>
      </w:pPr>
    </w:p>
    <w:p w:rsidR="00E90573" w:rsidRDefault="00D17DEC">
      <w:pPr>
        <w:numPr>
          <w:ilvl w:val="2"/>
          <w:numId w:val="10"/>
        </w:numPr>
        <w:spacing w:after="120" w:line="276" w:lineRule="auto"/>
        <w:ind w:left="1275"/>
        <w:jc w:val="both"/>
        <w:rPr>
          <w:rFonts w:ascii="Helvetica Neue" w:eastAsia="Helvetica Neue" w:hAnsi="Helvetica Neue" w:cs="Helvetica Neue"/>
          <w:b/>
          <w:sz w:val="24"/>
          <w:szCs w:val="24"/>
        </w:rPr>
      </w:pPr>
      <w:r>
        <w:rPr>
          <w:rFonts w:ascii="Helvetica Neue" w:eastAsia="Helvetica Neue" w:hAnsi="Helvetica Neue" w:cs="Helvetica Neue"/>
          <w:b/>
          <w:sz w:val="24"/>
          <w:szCs w:val="24"/>
        </w:rPr>
        <w:t>Comparador Público - Privado</w:t>
      </w:r>
    </w:p>
    <w:p w:rsidR="00E90573" w:rsidRDefault="00D17DEC">
      <w:pPr>
        <w:spacing w:after="120" w:line="276" w:lineRule="auto"/>
        <w:jc w:val="both"/>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Por la complejidad de las APPs requieren un sistema sólido de evaluación de la relación calidad-precio utilizando un </w:t>
      </w:r>
      <w:r>
        <w:rPr>
          <w:rFonts w:ascii="Helvetica Neue" w:eastAsia="Helvetica Neue" w:hAnsi="Helvetica Neue" w:cs="Helvetica Neue"/>
          <w:b/>
          <w:sz w:val="24"/>
          <w:szCs w:val="24"/>
        </w:rPr>
        <w:t>comparador prudente del sector público</w:t>
      </w:r>
      <w:r>
        <w:rPr>
          <w:rFonts w:ascii="Helvetica Neue" w:eastAsia="Helvetica Neue" w:hAnsi="Helvetica Neue" w:cs="Helvetica Neue"/>
          <w:sz w:val="24"/>
          <w:szCs w:val="24"/>
        </w:rPr>
        <w:t xml:space="preserve"> y directrices transparentes y coherentes con respecto a los elementos no cuantificables en el juicio sobre la relación calidad-precio. También implica poder clasificar, medir y asignar el riesgo a la parte que mejor puede gestionarlo y requiere prácticas contables y presupuestarias sólidas.</w:t>
      </w:r>
    </w:p>
    <w:p w:rsidR="00E90573" w:rsidRDefault="00D17DEC">
      <w:pPr>
        <w:spacing w:after="120" w:line="276" w:lineRule="auto"/>
        <w:jc w:val="both"/>
        <w:rPr>
          <w:rFonts w:ascii="Helvetica Neue" w:eastAsia="Helvetica Neue" w:hAnsi="Helvetica Neue" w:cs="Helvetica Neue"/>
          <w:sz w:val="24"/>
          <w:szCs w:val="24"/>
        </w:rPr>
      </w:pPr>
      <w:r>
        <w:rPr>
          <w:rFonts w:ascii="Helvetica Neue" w:eastAsia="Helvetica Neue" w:hAnsi="Helvetica Neue" w:cs="Helvetica Neue"/>
          <w:sz w:val="24"/>
          <w:szCs w:val="24"/>
        </w:rPr>
        <w:t>Los gobiernos deben ser capaces de evaluar si un proyecto cuenta efectivamente con la relación calidad-precio. La relación calidad-precio es una medida o concepto relativo. El punto de partida para tal cálculo es el comparador del sector público.</w:t>
      </w:r>
    </w:p>
    <w:p w:rsidR="00E90573" w:rsidRDefault="00D17DEC">
      <w:pPr>
        <w:spacing w:after="120" w:line="276" w:lineRule="auto"/>
        <w:jc w:val="both"/>
        <w:rPr>
          <w:rFonts w:ascii="Helvetica Neue" w:eastAsia="Helvetica Neue" w:hAnsi="Helvetica Neue" w:cs="Helvetica Neue"/>
          <w:b/>
          <w:sz w:val="24"/>
          <w:szCs w:val="24"/>
        </w:rPr>
      </w:pPr>
      <w:r>
        <w:rPr>
          <w:rFonts w:ascii="Helvetica Neue" w:eastAsia="Helvetica Neue" w:hAnsi="Helvetica Neue" w:cs="Helvetica Neue"/>
          <w:sz w:val="24"/>
          <w:szCs w:val="24"/>
        </w:rPr>
        <w:t>Un comparador del sector público compara el costo actual neto de las ofertas para el proyecto de asociación público-privada con la forma más eficiente de ejecución, de acuerdo con un proyecto de referencia del sector público adquirido tradicionalmente. El comparador tiene en cuenta los riesgos que son transferibles a una parte privada probable, y</w:t>
      </w:r>
      <w:r>
        <w:rPr>
          <w:rFonts w:ascii="Helvetica Neue" w:eastAsia="Helvetica Neue" w:hAnsi="Helvetica Neue" w:cs="Helvetica Neue"/>
          <w:b/>
          <w:sz w:val="24"/>
          <w:szCs w:val="24"/>
        </w:rPr>
        <w:t xml:space="preserve"> los riesgos que el gobierno conservará, la relación calidad-precio incluye aspectos cualitativos y, por lo general, implica un elemento de juicio por parte del gobierno.</w:t>
      </w:r>
      <w:r>
        <w:rPr>
          <w:rFonts w:ascii="Helvetica Neue" w:eastAsia="Helvetica Neue" w:hAnsi="Helvetica Neue" w:cs="Helvetica Neue"/>
          <w:sz w:val="24"/>
          <w:szCs w:val="24"/>
        </w:rPr>
        <w:t xml:space="preserve"> Por lo tanto, el comparador del sector público sirve como un costo </w:t>
      </w:r>
      <w:r>
        <w:rPr>
          <w:rFonts w:ascii="Helvetica Neue" w:eastAsia="Helvetica Neue" w:hAnsi="Helvetica Neue" w:cs="Helvetica Neue"/>
          <w:sz w:val="24"/>
          <w:szCs w:val="24"/>
        </w:rPr>
        <w:lastRenderedPageBreak/>
        <w:t>hipotético ajustado por el riesgo de la ejecución pública de la especificación del Proyecto.</w:t>
      </w:r>
    </w:p>
    <w:p w:rsidR="00E90573" w:rsidRDefault="00D17DEC">
      <w:pPr>
        <w:numPr>
          <w:ilvl w:val="2"/>
          <w:numId w:val="10"/>
        </w:numPr>
        <w:pBdr>
          <w:top w:val="nil"/>
          <w:left w:val="nil"/>
          <w:bottom w:val="nil"/>
          <w:right w:val="nil"/>
          <w:between w:val="nil"/>
        </w:pBdr>
        <w:spacing w:after="120" w:line="276" w:lineRule="auto"/>
        <w:ind w:left="1276"/>
        <w:jc w:val="both"/>
        <w:rPr>
          <w:rFonts w:ascii="Helvetica Neue" w:eastAsia="Helvetica Neue" w:hAnsi="Helvetica Neue" w:cs="Helvetica Neue"/>
          <w:b/>
          <w:color w:val="000000"/>
          <w:sz w:val="24"/>
          <w:szCs w:val="24"/>
        </w:rPr>
      </w:pPr>
      <w:r>
        <w:rPr>
          <w:rFonts w:ascii="Helvetica Neue" w:eastAsia="Helvetica Neue" w:hAnsi="Helvetica Neue" w:cs="Helvetica Neue"/>
          <w:b/>
          <w:color w:val="000000"/>
          <w:sz w:val="24"/>
          <w:szCs w:val="24"/>
        </w:rPr>
        <w:t>Distribución de riesgos en las APPs</w:t>
      </w:r>
    </w:p>
    <w:p w:rsidR="00E90573" w:rsidRDefault="00D17DEC">
      <w:pPr>
        <w:spacing w:after="0" w:line="276" w:lineRule="auto"/>
        <w:jc w:val="both"/>
        <w:rPr>
          <w:rFonts w:ascii="Helvetica Neue" w:eastAsia="Helvetica Neue" w:hAnsi="Helvetica Neue" w:cs="Helvetica Neue"/>
          <w:sz w:val="24"/>
          <w:szCs w:val="24"/>
        </w:rPr>
      </w:pPr>
      <w:r>
        <w:rPr>
          <w:rFonts w:ascii="Helvetica Neue" w:eastAsia="Helvetica Neue" w:hAnsi="Helvetica Neue" w:cs="Helvetica Neue"/>
          <w:sz w:val="24"/>
          <w:szCs w:val="24"/>
        </w:rPr>
        <w:t>En principio, el riesgo debe estar en cabeza de la parte que se encuentre mejor capacitada para manejarlo. Es decir, la parte que pueda manejar el riesgo al menor costo posible. Esto puede ser la parte que pueda prevenir la ocurrencia del riesgo de la mejor forma o la parte que pueda manejar el riesgo una vez ocurra de la mejor parte. Los riesgos que pueden ser manejados son llamados endógenos, los que no pueden ser manejados puede ocurrir que una o más partes no tengan la facultad de manejarlos. Para las partes que no pueden manejar el riesgo, estos son llamados exógenos (por ejemplo, el riesgo político y tributario es exógeno para el privado y endógeno para el público, la fuerza mayor es exógena para todas las partes).</w:t>
      </w:r>
    </w:p>
    <w:p w:rsidR="00E90573" w:rsidRDefault="00E90573">
      <w:pPr>
        <w:spacing w:after="0" w:line="276" w:lineRule="auto"/>
        <w:jc w:val="both"/>
        <w:rPr>
          <w:rFonts w:ascii="Helvetica Neue" w:eastAsia="Helvetica Neue" w:hAnsi="Helvetica Neue" w:cs="Helvetica Neue"/>
          <w:sz w:val="24"/>
          <w:szCs w:val="24"/>
        </w:rPr>
      </w:pPr>
    </w:p>
    <w:p w:rsidR="00E90573" w:rsidRDefault="00D17DEC">
      <w:pPr>
        <w:spacing w:after="120" w:line="276" w:lineRule="auto"/>
        <w:jc w:val="both"/>
        <w:rPr>
          <w:rFonts w:ascii="Helvetica Neue" w:eastAsia="Helvetica Neue" w:hAnsi="Helvetica Neue" w:cs="Helvetica Neue"/>
          <w:sz w:val="24"/>
          <w:szCs w:val="24"/>
        </w:rPr>
      </w:pPr>
      <w:r>
        <w:rPr>
          <w:rFonts w:ascii="Helvetica Neue" w:eastAsia="Helvetica Neue" w:hAnsi="Helvetica Neue" w:cs="Helvetica Neue"/>
          <w:sz w:val="24"/>
          <w:szCs w:val="24"/>
        </w:rPr>
        <w:t>Después de la evaluación fundamental de los costos comparativos, un elemento clave en la decisión de utilizar las APP es la transferencia del riesgo del gobierno al socio privado. El riesgo es identificado, valorado y retenido por el sector público o transferido al socio privado a través de un mecanismo de pago apropiado y condiciones específicas del contrato. El riesgo debe asignarse donde se pueda gestionar mejor. Por "mejor" gestión se entiende la parte para la que menos costo tiene evitar que el riesgo se haga realidad, o la parte para la que menos costo tiene para hacer frente a las consecuencias del riesgo realizado.</w:t>
      </w:r>
    </w:p>
    <w:p w:rsidR="00E90573" w:rsidRDefault="00E90573">
      <w:pPr>
        <w:spacing w:after="0" w:line="276" w:lineRule="auto"/>
        <w:jc w:val="both"/>
        <w:rPr>
          <w:rFonts w:ascii="Helvetica Neue" w:eastAsia="Helvetica Neue" w:hAnsi="Helvetica Neue" w:cs="Helvetica Neue"/>
          <w:sz w:val="24"/>
          <w:szCs w:val="24"/>
        </w:rPr>
      </w:pPr>
    </w:p>
    <w:p w:rsidR="00E90573" w:rsidRDefault="00D17DEC">
      <w:pPr>
        <w:spacing w:after="120" w:line="276" w:lineRule="auto"/>
        <w:jc w:val="both"/>
        <w:rPr>
          <w:rFonts w:ascii="Helvetica Neue" w:eastAsia="Helvetica Neue" w:hAnsi="Helvetica Neue" w:cs="Helvetica Neue"/>
          <w:b/>
          <w:sz w:val="24"/>
          <w:szCs w:val="24"/>
        </w:rPr>
      </w:pPr>
      <w:r>
        <w:rPr>
          <w:rFonts w:ascii="Helvetica Neue" w:eastAsia="Helvetica Neue" w:hAnsi="Helvetica Neue" w:cs="Helvetica Neue"/>
          <w:sz w:val="24"/>
          <w:szCs w:val="24"/>
        </w:rPr>
        <w:t xml:space="preserve">Es necesario fortalecer la capacidad de redactar y negociar contratos de APP en el sector público. </w:t>
      </w:r>
      <w:r>
        <w:rPr>
          <w:rFonts w:ascii="Helvetica Neue" w:eastAsia="Helvetica Neue" w:hAnsi="Helvetica Neue" w:cs="Helvetica Neue"/>
          <w:b/>
          <w:sz w:val="24"/>
          <w:szCs w:val="24"/>
        </w:rPr>
        <w:t>Especialmente dada la naturaleza a largo plazo y los grandes costos de transacción asociados con las APP.</w:t>
      </w:r>
    </w:p>
    <w:p w:rsidR="00E90573" w:rsidRDefault="00E90573">
      <w:pPr>
        <w:spacing w:after="120" w:line="276" w:lineRule="auto"/>
        <w:jc w:val="both"/>
        <w:rPr>
          <w:rFonts w:ascii="Helvetica Neue" w:eastAsia="Helvetica Neue" w:hAnsi="Helvetica Neue" w:cs="Helvetica Neue"/>
          <w:b/>
          <w:sz w:val="24"/>
          <w:szCs w:val="24"/>
        </w:rPr>
      </w:pPr>
    </w:p>
    <w:p w:rsidR="00E90573" w:rsidRDefault="00D17DEC">
      <w:pPr>
        <w:numPr>
          <w:ilvl w:val="2"/>
          <w:numId w:val="10"/>
        </w:numPr>
        <w:pBdr>
          <w:top w:val="nil"/>
          <w:left w:val="nil"/>
          <w:bottom w:val="nil"/>
          <w:right w:val="nil"/>
          <w:between w:val="nil"/>
        </w:pBdr>
        <w:spacing w:after="120" w:line="276" w:lineRule="auto"/>
        <w:ind w:left="1276"/>
        <w:jc w:val="both"/>
        <w:rPr>
          <w:rFonts w:ascii="Helvetica Neue" w:eastAsia="Helvetica Neue" w:hAnsi="Helvetica Neue" w:cs="Helvetica Neue"/>
          <w:b/>
          <w:color w:val="000000"/>
          <w:sz w:val="24"/>
          <w:szCs w:val="24"/>
        </w:rPr>
      </w:pPr>
      <w:r>
        <w:rPr>
          <w:rFonts w:ascii="Helvetica Neue" w:eastAsia="Helvetica Neue" w:hAnsi="Helvetica Neue" w:cs="Helvetica Neue"/>
          <w:b/>
          <w:color w:val="000000"/>
          <w:sz w:val="24"/>
          <w:szCs w:val="24"/>
        </w:rPr>
        <w:t xml:space="preserve">APPs, consecuencias fiscales y el principio de unidad presupuestal </w:t>
      </w:r>
    </w:p>
    <w:p w:rsidR="00E90573" w:rsidRDefault="00D17DEC">
      <w:pPr>
        <w:spacing w:after="120" w:line="276" w:lineRule="auto"/>
        <w:jc w:val="both"/>
        <w:rPr>
          <w:rFonts w:ascii="Helvetica Neue" w:eastAsia="Helvetica Neue" w:hAnsi="Helvetica Neue" w:cs="Helvetica Neue"/>
          <w:b/>
          <w:sz w:val="24"/>
          <w:szCs w:val="24"/>
        </w:rPr>
      </w:pPr>
      <w:r>
        <w:rPr>
          <w:rFonts w:ascii="Helvetica Neue" w:eastAsia="Helvetica Neue" w:hAnsi="Helvetica Neue" w:cs="Helvetica Neue"/>
          <w:sz w:val="24"/>
          <w:szCs w:val="24"/>
        </w:rPr>
        <w:t xml:space="preserve">El uso de APP reduce la flexibilidad del gasto y, por lo tanto, la eficiencia potencialmente asignativa, ya que el gasto se bloquea durante varios años. Dado que los gastos de capital en los presupuestos nacionales a menudo se contabilizan como un gasto cuando el desembolso de inversión se produce realmente, la adopción de la ruta APP permite a un gobierno iniciar la misma cantidad de inversiones en un año mientras registra menos gastos para ese mismo año. Por otro lado, la obligación de pagar una tasa anual aumentará los gastos en el futuro, reduciendo el margen para nuevas inversiones en los próximos años. El gasto público también podría verse afectado si el gobierno proporciona garantías declaradas o implícitas al proyecto APP y, por lo tanto, incurre en pasivos contingentes. </w:t>
      </w:r>
    </w:p>
    <w:p w:rsidR="00E90573" w:rsidRDefault="00D17DEC">
      <w:pPr>
        <w:spacing w:after="120" w:line="276" w:lineRule="auto"/>
        <w:jc w:val="both"/>
        <w:rPr>
          <w:rFonts w:ascii="Helvetica Neue" w:eastAsia="Helvetica Neue" w:hAnsi="Helvetica Neue" w:cs="Helvetica Neue"/>
          <w:b/>
          <w:sz w:val="24"/>
          <w:szCs w:val="24"/>
        </w:rPr>
      </w:pPr>
      <w:r>
        <w:rPr>
          <w:rFonts w:ascii="Helvetica Neue" w:eastAsia="Helvetica Neue" w:hAnsi="Helvetica Neue" w:cs="Helvetica Neue"/>
          <w:b/>
          <w:sz w:val="24"/>
          <w:szCs w:val="24"/>
        </w:rPr>
        <w:t xml:space="preserve">El sistema de presupuesto y contabilidad del gobierno debe proporcionar un registro claro, transparente y verdadero de todas las actividades de APP de manera que se garantice que el tratamiento contable en sí no cree un incentivo para tomar la ruta APP. Los críticos encuentran que en algunos casos los sistemas permiten evitar normales controles del gasto y utilizar asociaciones público-privadas para eludir los límites máximos de gasto y las normas fiscales. </w:t>
      </w:r>
    </w:p>
    <w:p w:rsidR="00E90573" w:rsidRDefault="00D17DEC">
      <w:pPr>
        <w:spacing w:after="120" w:line="276" w:lineRule="auto"/>
        <w:jc w:val="both"/>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Las APP sólo deben llevarse a cabo si representan una relación calidad-precio y cuentan con disponibilidad presupuestal. Sin embargo, hay quienes argumentan que </w:t>
      </w:r>
      <w:r>
        <w:rPr>
          <w:rFonts w:ascii="Helvetica Neue" w:eastAsia="Helvetica Neue" w:hAnsi="Helvetica Neue" w:cs="Helvetica Neue"/>
          <w:sz w:val="24"/>
          <w:szCs w:val="24"/>
        </w:rPr>
        <w:lastRenderedPageBreak/>
        <w:t>las APP deben utilizarse para invertir en tiempos de contención fiscal. El argumento de restricción fiscal para las asociaciones público-privadas está impulsado por las presiones para que los gobiernos reduzcan el gasto público para cumplir con las metas fiscales políticas, legisladas y/o ordenadas por tratados.</w:t>
      </w:r>
    </w:p>
    <w:p w:rsidR="00E90573" w:rsidRDefault="00D17DEC">
      <w:pPr>
        <w:spacing w:after="120" w:line="276" w:lineRule="auto"/>
        <w:jc w:val="both"/>
        <w:rPr>
          <w:rFonts w:ascii="Helvetica Neue" w:eastAsia="Helvetica Neue" w:hAnsi="Helvetica Neue" w:cs="Helvetica Neue"/>
          <w:sz w:val="24"/>
          <w:szCs w:val="24"/>
        </w:rPr>
      </w:pPr>
      <w:r>
        <w:rPr>
          <w:rFonts w:ascii="Helvetica Neue" w:eastAsia="Helvetica Neue" w:hAnsi="Helvetica Neue" w:cs="Helvetica Neue"/>
          <w:sz w:val="24"/>
          <w:szCs w:val="24"/>
        </w:rPr>
        <w:t>Sin embargo, al responder a las restricciones fiscales, los gobiernos no deben eludir el VFM (Value for money) y la disponibilidad presupuestal. Las APP también pueden crear consecuencias fiscales futuras si violan</w:t>
      </w:r>
      <w:r>
        <w:rPr>
          <w:rFonts w:ascii="Helvetica Neue" w:eastAsia="Helvetica Neue" w:hAnsi="Helvetica Neue" w:cs="Helvetica Neue"/>
          <w:b/>
          <w:sz w:val="24"/>
          <w:szCs w:val="24"/>
        </w:rPr>
        <w:t xml:space="preserve"> el principio de unidad presupuestal, </w:t>
      </w:r>
      <w:r>
        <w:rPr>
          <w:rFonts w:ascii="Helvetica Neue" w:eastAsia="Helvetica Neue" w:hAnsi="Helvetica Neue" w:cs="Helvetica Neue"/>
          <w:sz w:val="24"/>
          <w:szCs w:val="24"/>
        </w:rPr>
        <w:t>es decir, que todos los ingresos y gastos deben incluirse en el presupuesto al mismo tiempo.</w:t>
      </w:r>
      <w:r>
        <w:rPr>
          <w:rFonts w:ascii="Helvetica Neue" w:eastAsia="Helvetica Neue" w:hAnsi="Helvetica Neue" w:cs="Helvetica Neue"/>
          <w:b/>
          <w:sz w:val="24"/>
          <w:szCs w:val="24"/>
        </w:rPr>
        <w:t xml:space="preserve"> Los proyectos potenciales deben compararse con otros proyectos competidores y no considerarse de forma aislada para evitar dar prioridad a la consideración y aprobación de ciertos proyectos.</w:t>
      </w:r>
      <w:r>
        <w:rPr>
          <w:rFonts w:ascii="Helvetica Neue" w:eastAsia="Helvetica Neue" w:hAnsi="Helvetica Neue" w:cs="Helvetica Neue"/>
          <w:sz w:val="24"/>
          <w:szCs w:val="24"/>
        </w:rPr>
        <w:t xml:space="preserve"> El argumento de preferir las APP a otros tipos de inversión como medida anticíclica también es difícil de sostener, ya que las APP a menudo tardarán más en ejecutarse que las formas tradicionales de inversión. </w:t>
      </w:r>
    </w:p>
    <w:p w:rsidR="00E90573" w:rsidRDefault="00E90573">
      <w:pPr>
        <w:spacing w:after="120" w:line="276" w:lineRule="auto"/>
        <w:jc w:val="both"/>
        <w:rPr>
          <w:rFonts w:ascii="Helvetica Neue" w:eastAsia="Helvetica Neue" w:hAnsi="Helvetica Neue" w:cs="Helvetica Neue"/>
          <w:sz w:val="24"/>
          <w:szCs w:val="24"/>
        </w:rPr>
      </w:pPr>
    </w:p>
    <w:p w:rsidR="00E90573" w:rsidRDefault="00D17DEC">
      <w:pPr>
        <w:numPr>
          <w:ilvl w:val="2"/>
          <w:numId w:val="10"/>
        </w:numPr>
        <w:pBdr>
          <w:top w:val="nil"/>
          <w:left w:val="nil"/>
          <w:bottom w:val="nil"/>
          <w:right w:val="nil"/>
          <w:between w:val="nil"/>
        </w:pBdr>
        <w:spacing w:after="120" w:line="276" w:lineRule="auto"/>
        <w:ind w:left="1134"/>
        <w:jc w:val="both"/>
        <w:rPr>
          <w:rFonts w:ascii="Helvetica Neue" w:eastAsia="Helvetica Neue" w:hAnsi="Helvetica Neue" w:cs="Helvetica Neue"/>
          <w:b/>
          <w:color w:val="000000"/>
          <w:sz w:val="24"/>
          <w:szCs w:val="24"/>
        </w:rPr>
      </w:pPr>
      <w:r>
        <w:rPr>
          <w:rFonts w:ascii="Helvetica Neue" w:eastAsia="Helvetica Neue" w:hAnsi="Helvetica Neue" w:cs="Helvetica Neue"/>
          <w:b/>
          <w:color w:val="000000"/>
          <w:sz w:val="24"/>
          <w:szCs w:val="24"/>
        </w:rPr>
        <w:t xml:space="preserve">Disponibilidad presupuestal o Asequibilidad en las APPs </w:t>
      </w:r>
    </w:p>
    <w:p w:rsidR="00E90573" w:rsidRDefault="00D17DEC">
      <w:pPr>
        <w:spacing w:after="120" w:line="276" w:lineRule="auto"/>
        <w:jc w:val="both"/>
        <w:rPr>
          <w:rFonts w:ascii="Helvetica Neue" w:eastAsia="Helvetica Neue" w:hAnsi="Helvetica Neue" w:cs="Helvetica Neue"/>
          <w:sz w:val="24"/>
          <w:szCs w:val="24"/>
        </w:rPr>
      </w:pPr>
      <w:r>
        <w:rPr>
          <w:rFonts w:ascii="Helvetica Neue" w:eastAsia="Helvetica Neue" w:hAnsi="Helvetica Neue" w:cs="Helvetica Neue"/>
          <w:sz w:val="24"/>
          <w:szCs w:val="24"/>
        </w:rPr>
        <w:t>En el contexto de una APP, la asequibilidad se relaciona con la capacidad de pagar por mantener el Proyecto, ya sea la capacidad de los usuarios para pagar por los servicios o la de la autoridad que ha identificado la necesidad de construir el activo. El análisis de asequibilidad es el análisis que permite verificar que los pagos contemplados en la estructura APP ya sea del socio público o de los usuarios, i) están justificados en vista de la capacidad de los usuarios para pagar por los servicios, ii) son compatibles con los recursos financieros a los que estos pagadores tienen acceso (ya sea existente o potencialmente disponible), iii) son una compensación justa en vista de los costos de inversión y operación requeridos para la implementación del servicio</w:t>
      </w:r>
      <w:r>
        <w:rPr>
          <w:rFonts w:ascii="Helvetica Neue" w:eastAsia="Helvetica Neue" w:hAnsi="Helvetica Neue" w:cs="Helvetica Neue"/>
          <w:sz w:val="24"/>
          <w:szCs w:val="24"/>
          <w:vertAlign w:val="superscript"/>
        </w:rPr>
        <w:footnoteReference w:id="47"/>
      </w:r>
      <w:r>
        <w:rPr>
          <w:rFonts w:ascii="Helvetica Neue" w:eastAsia="Helvetica Neue" w:hAnsi="Helvetica Neue" w:cs="Helvetica Neue"/>
          <w:sz w:val="24"/>
          <w:szCs w:val="24"/>
        </w:rPr>
        <w:t>.</w:t>
      </w:r>
    </w:p>
    <w:p w:rsidR="00E90573" w:rsidRDefault="00D17DEC">
      <w:pPr>
        <w:spacing w:after="120" w:line="276" w:lineRule="auto"/>
        <w:jc w:val="both"/>
        <w:rPr>
          <w:rFonts w:ascii="Helvetica Neue" w:eastAsia="Helvetica Neue" w:hAnsi="Helvetica Neue" w:cs="Helvetica Neue"/>
          <w:b/>
          <w:sz w:val="24"/>
          <w:szCs w:val="24"/>
        </w:rPr>
      </w:pPr>
      <w:r>
        <w:rPr>
          <w:rFonts w:ascii="Helvetica Neue" w:eastAsia="Helvetica Neue" w:hAnsi="Helvetica Neue" w:cs="Helvetica Neue"/>
          <w:sz w:val="24"/>
          <w:szCs w:val="24"/>
        </w:rPr>
        <w:t>Una asociación público-privada puede hacer que un proyecto sea asequible si mejora la relación calidad-precio en comparación con la realizada a través de la contratación pública tradicional, y sólo si el aumento de la VFM</w:t>
      </w:r>
      <w:r>
        <w:rPr>
          <w:rFonts w:ascii="Helvetica Neue" w:eastAsia="Helvetica Neue" w:hAnsi="Helvetica Neue" w:cs="Helvetica Neue"/>
          <w:sz w:val="24"/>
          <w:szCs w:val="24"/>
          <w:vertAlign w:val="superscript"/>
        </w:rPr>
        <w:footnoteReference w:id="48"/>
      </w:r>
      <w:r>
        <w:rPr>
          <w:rFonts w:ascii="Helvetica Neue" w:eastAsia="Helvetica Neue" w:hAnsi="Helvetica Neue" w:cs="Helvetica Neue"/>
          <w:sz w:val="24"/>
          <w:szCs w:val="24"/>
        </w:rPr>
        <w:t xml:space="preserve"> hace que un proyecto que no encaja en una restricción presupuestaria intertemporal del gobierno en contratación pública lo haga con una APP. </w:t>
      </w:r>
      <w:r>
        <w:rPr>
          <w:rFonts w:ascii="Helvetica Neue" w:eastAsia="Helvetica Neue" w:hAnsi="Helvetica Neue" w:cs="Helvetica Neue"/>
          <w:b/>
          <w:sz w:val="24"/>
          <w:szCs w:val="24"/>
        </w:rPr>
        <w:t>Algunos países se ven tentados a ignorar la cuestión de la asequibilidad debido al hecho de que las APP pueden estar fuera del presupuesto como se explica a continuación.</w:t>
      </w:r>
    </w:p>
    <w:p w:rsidR="00E90573" w:rsidRDefault="00E90573">
      <w:pPr>
        <w:spacing w:after="120" w:line="276" w:lineRule="auto"/>
        <w:jc w:val="both"/>
        <w:rPr>
          <w:rFonts w:ascii="Helvetica Neue" w:eastAsia="Helvetica Neue" w:hAnsi="Helvetica Neue" w:cs="Helvetica Neue"/>
          <w:b/>
          <w:sz w:val="24"/>
          <w:szCs w:val="24"/>
        </w:rPr>
      </w:pPr>
    </w:p>
    <w:p w:rsidR="00E90573" w:rsidRDefault="00D17DEC">
      <w:pPr>
        <w:numPr>
          <w:ilvl w:val="2"/>
          <w:numId w:val="10"/>
        </w:numPr>
        <w:pBdr>
          <w:top w:val="nil"/>
          <w:left w:val="nil"/>
          <w:bottom w:val="nil"/>
          <w:right w:val="nil"/>
          <w:between w:val="nil"/>
        </w:pBdr>
        <w:spacing w:after="120" w:line="276" w:lineRule="auto"/>
        <w:ind w:left="1134"/>
        <w:jc w:val="both"/>
        <w:rPr>
          <w:rFonts w:ascii="Helvetica Neue" w:eastAsia="Helvetica Neue" w:hAnsi="Helvetica Neue" w:cs="Helvetica Neue"/>
          <w:b/>
          <w:color w:val="000000"/>
          <w:sz w:val="24"/>
          <w:szCs w:val="24"/>
        </w:rPr>
      </w:pPr>
      <w:r>
        <w:rPr>
          <w:rFonts w:ascii="Helvetica Neue" w:eastAsia="Helvetica Neue" w:hAnsi="Helvetica Neue" w:cs="Helvetica Neue"/>
          <w:b/>
          <w:color w:val="000000"/>
          <w:sz w:val="24"/>
          <w:szCs w:val="24"/>
        </w:rPr>
        <w:t xml:space="preserve">La Competencia como parte integral de las APPs </w:t>
      </w:r>
    </w:p>
    <w:p w:rsidR="00E90573" w:rsidRDefault="00D17DEC">
      <w:pPr>
        <w:pBdr>
          <w:top w:val="nil"/>
          <w:left w:val="nil"/>
          <w:bottom w:val="nil"/>
          <w:right w:val="nil"/>
          <w:between w:val="nil"/>
        </w:pBdr>
        <w:spacing w:after="120" w:line="276" w:lineRule="auto"/>
        <w:jc w:val="both"/>
        <w:rPr>
          <w:rFonts w:ascii="Helvetica Neue" w:eastAsia="Helvetica Neue" w:hAnsi="Helvetica Neue" w:cs="Helvetica Neue"/>
          <w:sz w:val="24"/>
          <w:szCs w:val="24"/>
        </w:rPr>
      </w:pPr>
      <w:r>
        <w:rPr>
          <w:rFonts w:ascii="Helvetica Neue" w:eastAsia="Helvetica Neue" w:hAnsi="Helvetica Neue" w:cs="Helvetica Neue"/>
          <w:sz w:val="24"/>
          <w:szCs w:val="24"/>
        </w:rPr>
        <w:t>La competencia por el mercado y la competencia en el mercado son parte integral del éxito de las APP. Por lo tanto, un mercado competitivo es necesario cuando se licitan ofertas, pero también una vez que se ha celebrado el contrato y la APP está operativa. Esto es particularmente importante en los casos en que el privado que actúa en la APP se convierte posteriormente en un proveedor monopolístico en un área determinada.</w:t>
      </w:r>
    </w:p>
    <w:p w:rsidR="00E90573" w:rsidRDefault="00D17DEC">
      <w:pPr>
        <w:pBdr>
          <w:top w:val="nil"/>
          <w:left w:val="nil"/>
          <w:bottom w:val="nil"/>
          <w:right w:val="nil"/>
          <w:between w:val="nil"/>
        </w:pBdr>
        <w:spacing w:after="120" w:line="276" w:lineRule="auto"/>
        <w:jc w:val="both"/>
        <w:rPr>
          <w:rFonts w:ascii="Helvetica Neue" w:eastAsia="Helvetica Neue" w:hAnsi="Helvetica Neue" w:cs="Helvetica Neue"/>
          <w:sz w:val="24"/>
          <w:szCs w:val="24"/>
        </w:rPr>
      </w:pPr>
      <w:r>
        <w:rPr>
          <w:rFonts w:ascii="Helvetica Neue" w:eastAsia="Helvetica Neue" w:hAnsi="Helvetica Neue" w:cs="Helvetica Neue"/>
          <w:b/>
          <w:sz w:val="24"/>
          <w:szCs w:val="24"/>
        </w:rPr>
        <w:t>La competencia ayuda a garantizar la transferencia efectiva del riesgo,</w:t>
      </w:r>
      <w:r>
        <w:rPr>
          <w:rFonts w:ascii="Helvetica Neue" w:eastAsia="Helvetica Neue" w:hAnsi="Helvetica Neue" w:cs="Helvetica Neue"/>
          <w:sz w:val="24"/>
          <w:szCs w:val="24"/>
        </w:rPr>
        <w:t xml:space="preserve"> que el sector privado desarrolle soluciones óptimas y que se ofrezcan precios más agudos. </w:t>
      </w:r>
      <w:r>
        <w:rPr>
          <w:rFonts w:ascii="Helvetica Neue" w:eastAsia="Helvetica Neue" w:hAnsi="Helvetica Neue" w:cs="Helvetica Neue"/>
          <w:sz w:val="24"/>
          <w:szCs w:val="24"/>
        </w:rPr>
        <w:lastRenderedPageBreak/>
        <w:t>En su ausencia, el gobierno asume efectivamente el riesgo, independientemente de las condiciones establecidas en el contrato APP y sin mayor opción. Un único socio privado potencial, podría aprovechar su posición monopolística, reduciendo la eficiencia con la que presta el servicio y reduciendo o eliminando los verdaderos beneficios de las asociaciones público-privadas en relación con la contratación tradicional.</w:t>
      </w:r>
    </w:p>
    <w:p w:rsidR="00E90573" w:rsidRDefault="00D17DEC">
      <w:pPr>
        <w:pBdr>
          <w:top w:val="nil"/>
          <w:left w:val="nil"/>
          <w:bottom w:val="nil"/>
          <w:right w:val="nil"/>
          <w:between w:val="nil"/>
        </w:pBdr>
        <w:spacing w:after="120" w:line="276" w:lineRule="auto"/>
        <w:jc w:val="both"/>
        <w:rPr>
          <w:rFonts w:ascii="Helvetica Neue" w:eastAsia="Helvetica Neue" w:hAnsi="Helvetica Neue" w:cs="Helvetica Neue"/>
          <w:sz w:val="24"/>
          <w:szCs w:val="24"/>
        </w:rPr>
      </w:pPr>
      <w:r>
        <w:rPr>
          <w:rFonts w:ascii="Helvetica Neue" w:eastAsia="Helvetica Neue" w:hAnsi="Helvetica Neue" w:cs="Helvetica Neue"/>
          <w:sz w:val="24"/>
          <w:szCs w:val="24"/>
        </w:rPr>
        <w:t>En los mercados en los que la competencia está ausente después de la adjudicación del contrato, el mercado debe ser al menos impugnable – por lo tanto, el socio privado debe saber que siempre existe la posibilidad de que los socios privados alternativos entren en el mercado.</w:t>
      </w:r>
    </w:p>
    <w:p w:rsidR="00E90573" w:rsidRDefault="00E90573">
      <w:pPr>
        <w:spacing w:after="0" w:line="240" w:lineRule="auto"/>
        <w:jc w:val="both"/>
        <w:rPr>
          <w:rFonts w:ascii="Helvetica Neue" w:eastAsia="Helvetica Neue" w:hAnsi="Helvetica Neue" w:cs="Helvetica Neue"/>
          <w:b/>
          <w:sz w:val="24"/>
          <w:szCs w:val="24"/>
          <w:highlight w:val="white"/>
          <w:u w:val="single"/>
        </w:rPr>
      </w:pPr>
    </w:p>
    <w:p w:rsidR="00E90573" w:rsidRDefault="00E90573">
      <w:pPr>
        <w:spacing w:after="0" w:line="240" w:lineRule="auto"/>
        <w:jc w:val="both"/>
        <w:rPr>
          <w:rFonts w:ascii="Helvetica Neue" w:eastAsia="Helvetica Neue" w:hAnsi="Helvetica Neue" w:cs="Helvetica Neue"/>
          <w:b/>
          <w:sz w:val="24"/>
          <w:szCs w:val="24"/>
          <w:highlight w:val="white"/>
          <w:u w:val="single"/>
        </w:rPr>
      </w:pPr>
    </w:p>
    <w:p w:rsidR="00E90573" w:rsidRDefault="00D17DEC">
      <w:pPr>
        <w:spacing w:after="0" w:line="240" w:lineRule="auto"/>
        <w:ind w:left="283"/>
        <w:jc w:val="both"/>
        <w:rPr>
          <w:rFonts w:ascii="Helvetica Neue" w:eastAsia="Helvetica Neue" w:hAnsi="Helvetica Neue" w:cs="Helvetica Neue"/>
          <w:b/>
          <w:sz w:val="24"/>
          <w:szCs w:val="24"/>
          <w:highlight w:val="white"/>
          <w:u w:val="single"/>
        </w:rPr>
      </w:pPr>
      <w:r>
        <w:rPr>
          <w:rFonts w:ascii="Helvetica Neue" w:eastAsia="Helvetica Neue" w:hAnsi="Helvetica Neue" w:cs="Helvetica Neue"/>
          <w:b/>
          <w:sz w:val="24"/>
          <w:szCs w:val="24"/>
          <w:highlight w:val="white"/>
          <w:u w:val="single"/>
        </w:rPr>
        <w:t>11.2. Riesgos de Corrupción presentes en las APPs - BID</w:t>
      </w:r>
      <w:r>
        <w:rPr>
          <w:rFonts w:ascii="Helvetica Neue" w:eastAsia="Helvetica Neue" w:hAnsi="Helvetica Neue" w:cs="Helvetica Neue"/>
          <w:b/>
          <w:sz w:val="24"/>
          <w:szCs w:val="24"/>
          <w:highlight w:val="white"/>
          <w:u w:val="single"/>
          <w:vertAlign w:val="superscript"/>
        </w:rPr>
        <w:footnoteReference w:id="49"/>
      </w:r>
      <w:r>
        <w:rPr>
          <w:rFonts w:ascii="Helvetica Neue" w:eastAsia="Helvetica Neue" w:hAnsi="Helvetica Neue" w:cs="Helvetica Neue"/>
          <w:b/>
          <w:sz w:val="24"/>
          <w:szCs w:val="24"/>
          <w:highlight w:val="white"/>
          <w:u w:val="single"/>
        </w:rPr>
        <w:t xml:space="preserve"> </w:t>
      </w:r>
    </w:p>
    <w:p w:rsidR="00E90573" w:rsidRDefault="00E90573">
      <w:pPr>
        <w:spacing w:after="0" w:line="240" w:lineRule="auto"/>
        <w:jc w:val="both"/>
        <w:rPr>
          <w:rFonts w:ascii="Helvetica Neue" w:eastAsia="Helvetica Neue" w:hAnsi="Helvetica Neue" w:cs="Helvetica Neue"/>
          <w:b/>
          <w:sz w:val="24"/>
          <w:szCs w:val="24"/>
          <w:highlight w:val="white"/>
          <w:u w:val="single"/>
        </w:rPr>
      </w:pPr>
    </w:p>
    <w:p w:rsidR="00E90573" w:rsidRDefault="00D17DEC">
      <w:pPr>
        <w:spacing w:after="0" w:line="240" w:lineRule="auto"/>
        <w:jc w:val="both"/>
        <w:rPr>
          <w:rFonts w:ascii="Helvetica Neue" w:eastAsia="Helvetica Neue" w:hAnsi="Helvetica Neue" w:cs="Helvetica Neue"/>
          <w:sz w:val="24"/>
          <w:szCs w:val="24"/>
          <w:highlight w:val="white"/>
        </w:rPr>
      </w:pPr>
      <w:r>
        <w:rPr>
          <w:rFonts w:ascii="Helvetica Neue" w:eastAsia="Helvetica Neue" w:hAnsi="Helvetica Neue" w:cs="Helvetica Neue"/>
          <w:sz w:val="24"/>
          <w:szCs w:val="24"/>
          <w:highlight w:val="white"/>
        </w:rPr>
        <w:t xml:space="preserve">De acuerdo con el Informe Efectos de la corrupción en los contratos de Asociaciones Público-Privadas del Banco Interamericano de Desarrollo.  Los proyectos de APP presentan, al menos, cuatro momentos que demandan medidas específicas anticorrupción: </w:t>
      </w:r>
    </w:p>
    <w:p w:rsidR="00E90573" w:rsidRDefault="00E90573">
      <w:pPr>
        <w:spacing w:after="0" w:line="240" w:lineRule="auto"/>
        <w:jc w:val="both"/>
        <w:rPr>
          <w:rFonts w:ascii="Helvetica Neue" w:eastAsia="Helvetica Neue" w:hAnsi="Helvetica Neue" w:cs="Helvetica Neue"/>
          <w:sz w:val="24"/>
          <w:szCs w:val="24"/>
          <w:highlight w:val="white"/>
        </w:rPr>
      </w:pPr>
    </w:p>
    <w:p w:rsidR="00E90573" w:rsidRDefault="00D17DEC">
      <w:pPr>
        <w:numPr>
          <w:ilvl w:val="0"/>
          <w:numId w:val="6"/>
        </w:numPr>
        <w:spacing w:after="0" w:line="240" w:lineRule="auto"/>
        <w:ind w:hanging="360"/>
        <w:jc w:val="both"/>
        <w:rPr>
          <w:rFonts w:ascii="Helvetica Neue" w:eastAsia="Helvetica Neue" w:hAnsi="Helvetica Neue" w:cs="Helvetica Neue"/>
          <w:sz w:val="24"/>
          <w:szCs w:val="24"/>
          <w:highlight w:val="white"/>
        </w:rPr>
      </w:pPr>
      <w:r>
        <w:rPr>
          <w:rFonts w:ascii="Helvetica Neue" w:eastAsia="Helvetica Neue" w:hAnsi="Helvetica Neue" w:cs="Helvetica Neue"/>
          <w:b/>
          <w:sz w:val="24"/>
          <w:szCs w:val="24"/>
          <w:highlight w:val="white"/>
        </w:rPr>
        <w:t>La decisión de escoger una APP en lugar de alguno de los modelos tradicionales para la ejecución del proyecto:</w:t>
      </w:r>
      <w:r>
        <w:rPr>
          <w:rFonts w:ascii="Helvetica Neue" w:eastAsia="Helvetica Neue" w:hAnsi="Helvetica Neue" w:cs="Helvetica Neue"/>
          <w:sz w:val="24"/>
          <w:szCs w:val="24"/>
          <w:highlight w:val="white"/>
        </w:rPr>
        <w:t xml:space="preserve"> Así, en la fase de prelicitación se considera clave evitar actos de corrupción destinados a manipular la transferencia de riesgos o sobrevalorar las eficiencias que aporta el sector privado con la finalidad de promover un proyecto por APP que no deberían serlo. </w:t>
      </w:r>
    </w:p>
    <w:p w:rsidR="00E90573" w:rsidRDefault="00E90573">
      <w:pPr>
        <w:spacing w:after="0" w:line="240" w:lineRule="auto"/>
        <w:ind w:left="720"/>
        <w:jc w:val="both"/>
        <w:rPr>
          <w:rFonts w:ascii="Helvetica Neue" w:eastAsia="Helvetica Neue" w:hAnsi="Helvetica Neue" w:cs="Helvetica Neue"/>
          <w:sz w:val="24"/>
          <w:szCs w:val="24"/>
          <w:highlight w:val="white"/>
        </w:rPr>
      </w:pPr>
    </w:p>
    <w:p w:rsidR="00E90573" w:rsidRDefault="00D17DEC">
      <w:pPr>
        <w:spacing w:after="0" w:line="240" w:lineRule="auto"/>
        <w:jc w:val="both"/>
        <w:rPr>
          <w:rFonts w:ascii="Helvetica Neue" w:eastAsia="Helvetica Neue" w:hAnsi="Helvetica Neue" w:cs="Helvetica Neue"/>
          <w:sz w:val="24"/>
          <w:szCs w:val="24"/>
          <w:highlight w:val="white"/>
        </w:rPr>
      </w:pPr>
      <w:r>
        <w:rPr>
          <w:rFonts w:ascii="Helvetica Neue" w:eastAsia="Helvetica Neue" w:hAnsi="Helvetica Neue" w:cs="Helvetica Neue"/>
          <w:sz w:val="24"/>
          <w:szCs w:val="24"/>
          <w:highlight w:val="white"/>
        </w:rPr>
        <w:t xml:space="preserve">Esto lleva a que algunos autores desaconsejen la transferencia de riesgos y la unión de la construcción, la operación y el mantenimiento de la obra en contextos de elevada corrupción o debilidad institucional (Mortimort y Pouyet, 2008). </w:t>
      </w:r>
    </w:p>
    <w:p w:rsidR="00E90573" w:rsidRDefault="00E90573">
      <w:pPr>
        <w:spacing w:after="0" w:line="240" w:lineRule="auto"/>
        <w:jc w:val="both"/>
        <w:rPr>
          <w:rFonts w:ascii="Helvetica Neue" w:eastAsia="Helvetica Neue" w:hAnsi="Helvetica Neue" w:cs="Helvetica Neue"/>
          <w:sz w:val="24"/>
          <w:szCs w:val="24"/>
          <w:highlight w:val="white"/>
        </w:rPr>
      </w:pPr>
    </w:p>
    <w:p w:rsidR="00E90573" w:rsidRDefault="00D17DEC">
      <w:pPr>
        <w:numPr>
          <w:ilvl w:val="0"/>
          <w:numId w:val="6"/>
        </w:numPr>
        <w:spacing w:after="0" w:line="240" w:lineRule="auto"/>
        <w:ind w:hanging="360"/>
        <w:jc w:val="both"/>
        <w:rPr>
          <w:rFonts w:ascii="Helvetica Neue" w:eastAsia="Helvetica Neue" w:hAnsi="Helvetica Neue" w:cs="Helvetica Neue"/>
          <w:sz w:val="24"/>
          <w:szCs w:val="24"/>
          <w:highlight w:val="white"/>
        </w:rPr>
      </w:pPr>
      <w:r>
        <w:rPr>
          <w:rFonts w:ascii="Helvetica Neue" w:eastAsia="Helvetica Neue" w:hAnsi="Helvetica Neue" w:cs="Helvetica Neue"/>
          <w:b/>
          <w:sz w:val="24"/>
          <w:szCs w:val="24"/>
          <w:highlight w:val="white"/>
        </w:rPr>
        <w:t xml:space="preserve">La preparación, el desarrollo y la aprobación del proyecto: </w:t>
      </w:r>
      <w:r>
        <w:rPr>
          <w:rFonts w:ascii="Helvetica Neue" w:eastAsia="Helvetica Neue" w:hAnsi="Helvetica Neue" w:cs="Helvetica Neue"/>
          <w:sz w:val="24"/>
          <w:szCs w:val="24"/>
          <w:highlight w:val="white"/>
        </w:rPr>
        <w:t xml:space="preserve"> </w:t>
      </w:r>
      <w:r>
        <w:rPr>
          <w:rFonts w:ascii="Helvetica Neue" w:eastAsia="Helvetica Neue" w:hAnsi="Helvetica Neue" w:cs="Helvetica Neue"/>
          <w:b/>
          <w:sz w:val="24"/>
          <w:szCs w:val="24"/>
          <w:highlight w:val="white"/>
        </w:rPr>
        <w:t>Asimismo, se sugiere garantizar la aplicación de metodologías robustas de comparador público-privado y también incrementar la transparencia durante la fase de pre licitación (UNECE, 2017)</w:t>
      </w:r>
      <w:r>
        <w:rPr>
          <w:rFonts w:ascii="Helvetica Neue" w:eastAsia="Helvetica Neue" w:hAnsi="Helvetica Neue" w:cs="Helvetica Neue"/>
          <w:sz w:val="24"/>
          <w:szCs w:val="24"/>
          <w:highlight w:val="white"/>
        </w:rPr>
        <w:t xml:space="preserve">, incluyendo la etapa de preparación, desarrollo y aprobación del proyecto (Reynaers y Grimmelikhuijsen, 2015). </w:t>
      </w:r>
      <w:r>
        <w:rPr>
          <w:rFonts w:ascii="Helvetica Neue" w:eastAsia="Helvetica Neue" w:hAnsi="Helvetica Neue" w:cs="Helvetica Neue"/>
          <w:b/>
          <w:sz w:val="24"/>
          <w:szCs w:val="24"/>
          <w:highlight w:val="white"/>
        </w:rPr>
        <w:t xml:space="preserve"> </w:t>
      </w:r>
    </w:p>
    <w:p w:rsidR="00E90573" w:rsidRDefault="00D17DEC">
      <w:pPr>
        <w:spacing w:after="0" w:line="240" w:lineRule="auto"/>
        <w:ind w:left="720"/>
        <w:jc w:val="both"/>
        <w:rPr>
          <w:rFonts w:ascii="Helvetica Neue" w:eastAsia="Helvetica Neue" w:hAnsi="Helvetica Neue" w:cs="Helvetica Neue"/>
          <w:sz w:val="24"/>
          <w:szCs w:val="24"/>
          <w:highlight w:val="white"/>
        </w:rPr>
      </w:pPr>
      <w:r>
        <w:rPr>
          <w:rFonts w:ascii="Helvetica Neue" w:eastAsia="Helvetica Neue" w:hAnsi="Helvetica Neue" w:cs="Helvetica Neue"/>
          <w:sz w:val="24"/>
          <w:szCs w:val="24"/>
          <w:highlight w:val="white"/>
        </w:rPr>
        <w:t xml:space="preserve"> </w:t>
      </w:r>
    </w:p>
    <w:p w:rsidR="00E90573" w:rsidRDefault="00D17DEC">
      <w:pPr>
        <w:numPr>
          <w:ilvl w:val="0"/>
          <w:numId w:val="6"/>
        </w:numPr>
        <w:spacing w:after="0" w:line="240" w:lineRule="auto"/>
        <w:ind w:hanging="360"/>
        <w:jc w:val="both"/>
        <w:rPr>
          <w:rFonts w:ascii="Helvetica Neue" w:eastAsia="Helvetica Neue" w:hAnsi="Helvetica Neue" w:cs="Helvetica Neue"/>
          <w:sz w:val="24"/>
          <w:szCs w:val="24"/>
          <w:highlight w:val="white"/>
        </w:rPr>
      </w:pPr>
      <w:r>
        <w:rPr>
          <w:rFonts w:ascii="Helvetica Neue" w:eastAsia="Helvetica Neue" w:hAnsi="Helvetica Neue" w:cs="Helvetica Neue"/>
          <w:b/>
          <w:sz w:val="24"/>
          <w:szCs w:val="24"/>
          <w:highlight w:val="white"/>
        </w:rPr>
        <w:t xml:space="preserve"> El proceso de selección del contratista y la adjudicación del contrato de APP:    </w:t>
      </w:r>
      <w:r>
        <w:rPr>
          <w:rFonts w:ascii="Helvetica Neue" w:eastAsia="Helvetica Neue" w:hAnsi="Helvetica Neue" w:cs="Helvetica Neue"/>
          <w:sz w:val="24"/>
          <w:szCs w:val="24"/>
          <w:highlight w:val="white"/>
        </w:rPr>
        <w:t xml:space="preserve">Los procedimientos licitatorios competitivos, transparentes y con tiempos adecuados y razonables se han impuesto como el mecanismo más apropiado para reducir las oportunidades de corrupción durante el proceso de selección del contratista (Reynaers   y   Grimmelikhuijsen, 2015; Loxley, 2012; Iossa y Mortimort, 2011).  Ello ha llevado, por ejemplo, a que algunos organismos internacionales hayan emitido manuales de buenas prácticas para la contratación pública en proyectos de APP (Banco Mundial, 2018). </w:t>
      </w:r>
    </w:p>
    <w:p w:rsidR="00E90573" w:rsidRDefault="00D17DEC">
      <w:pPr>
        <w:numPr>
          <w:ilvl w:val="0"/>
          <w:numId w:val="6"/>
        </w:numPr>
        <w:spacing w:after="0" w:line="240" w:lineRule="auto"/>
        <w:ind w:hanging="360"/>
        <w:jc w:val="both"/>
        <w:rPr>
          <w:rFonts w:ascii="Helvetica Neue" w:eastAsia="Helvetica Neue" w:hAnsi="Helvetica Neue" w:cs="Helvetica Neue"/>
          <w:sz w:val="24"/>
          <w:szCs w:val="24"/>
          <w:highlight w:val="white"/>
        </w:rPr>
      </w:pPr>
      <w:r>
        <w:rPr>
          <w:rFonts w:ascii="Helvetica Neue" w:eastAsia="Helvetica Neue" w:hAnsi="Helvetica Neue" w:cs="Helvetica Neue"/>
          <w:b/>
          <w:sz w:val="24"/>
          <w:szCs w:val="24"/>
          <w:highlight w:val="white"/>
        </w:rPr>
        <w:t xml:space="preserve">La ejecución, gestión, supervisión y extinción de la relación contractual: </w:t>
      </w:r>
      <w:r>
        <w:rPr>
          <w:rFonts w:ascii="Helvetica Neue" w:eastAsia="Helvetica Neue" w:hAnsi="Helvetica Neue" w:cs="Helvetica Neue"/>
          <w:sz w:val="24"/>
          <w:szCs w:val="24"/>
          <w:highlight w:val="white"/>
        </w:rPr>
        <w:t xml:space="preserve">las oportunidades de corrupción en la fase post-licitación son incluso mayores que en las fases previas. A los dos años desde su firma, aproximadamente el 30% de los contratos se renegocia (Guasch, 2004), lo que genera nuevas oportunidades </w:t>
      </w:r>
      <w:r>
        <w:rPr>
          <w:rFonts w:ascii="Helvetica Neue" w:eastAsia="Helvetica Neue" w:hAnsi="Helvetica Neue" w:cs="Helvetica Neue"/>
          <w:sz w:val="24"/>
          <w:szCs w:val="24"/>
          <w:highlight w:val="white"/>
        </w:rPr>
        <w:lastRenderedPageBreak/>
        <w:t xml:space="preserve">para hechos de corrupción, esta vez bajo reglas generalmente menos claras, accesibles y transparentes.  </w:t>
      </w:r>
      <w:r>
        <w:rPr>
          <w:rFonts w:ascii="Helvetica Neue" w:eastAsia="Helvetica Neue" w:hAnsi="Helvetica Neue" w:cs="Helvetica Neue"/>
          <w:b/>
          <w:sz w:val="24"/>
          <w:szCs w:val="24"/>
          <w:highlight w:val="white"/>
        </w:rPr>
        <w:t>Asimismo, al efectuarse sin competencia, las renegociaciones tienden a generar soluciones poco ventajosas</w:t>
      </w:r>
      <w:r>
        <w:rPr>
          <w:rFonts w:ascii="Helvetica Neue" w:eastAsia="Helvetica Neue" w:hAnsi="Helvetica Neue" w:cs="Helvetica Neue"/>
          <w:sz w:val="24"/>
          <w:szCs w:val="24"/>
          <w:highlight w:val="white"/>
        </w:rPr>
        <w:t xml:space="preserve"> puesto que desaparece el mecanismo competitivo que genera una licitación transparente y abierta para la participación de múltiples oferentes (Demsetz, 1968)  </w:t>
      </w:r>
    </w:p>
    <w:p w:rsidR="00E90573" w:rsidRDefault="00E90573">
      <w:pPr>
        <w:spacing w:after="0" w:line="240" w:lineRule="auto"/>
        <w:ind w:left="566"/>
        <w:jc w:val="both"/>
        <w:rPr>
          <w:rFonts w:ascii="Helvetica Neue" w:eastAsia="Helvetica Neue" w:hAnsi="Helvetica Neue" w:cs="Helvetica Neue"/>
          <w:sz w:val="24"/>
          <w:szCs w:val="24"/>
          <w:highlight w:val="white"/>
        </w:rPr>
      </w:pPr>
    </w:p>
    <w:p w:rsidR="00E90573" w:rsidRDefault="00D17DEC">
      <w:pPr>
        <w:spacing w:after="0" w:line="240" w:lineRule="auto"/>
        <w:jc w:val="both"/>
        <w:rPr>
          <w:rFonts w:ascii="Helvetica Neue" w:eastAsia="Helvetica Neue" w:hAnsi="Helvetica Neue" w:cs="Helvetica Neue"/>
          <w:sz w:val="24"/>
          <w:szCs w:val="24"/>
          <w:highlight w:val="white"/>
        </w:rPr>
      </w:pPr>
      <w:r>
        <w:rPr>
          <w:rFonts w:ascii="Helvetica Neue" w:eastAsia="Helvetica Neue" w:hAnsi="Helvetica Neue" w:cs="Helvetica Neue"/>
          <w:b/>
          <w:sz w:val="24"/>
          <w:szCs w:val="24"/>
          <w:highlight w:val="white"/>
        </w:rPr>
        <w:t>Según Guasch, “</w:t>
      </w:r>
      <w:r>
        <w:rPr>
          <w:rFonts w:ascii="Helvetica Neue" w:eastAsia="Helvetica Neue" w:hAnsi="Helvetica Neue" w:cs="Helvetica Neue"/>
          <w:sz w:val="24"/>
          <w:szCs w:val="24"/>
          <w:highlight w:val="white"/>
        </w:rPr>
        <w:t>raramente un Gobierno ha denegado una petición de adenda, si la consecuencia era la cancelación del proyecto o la resolución del contrato. Solo un 3% de los proyectos APP en el mundo se han cancelado. Eso da lugar a una racionalidad inexorable por parte del operador privado, a confiar en que el Gobierno aceptará sus peticiones de adendas, sobre todo si se ha lubricado con coimas el sistema o a los funcionarios con poder de decisión” (Guasch, 2017).</w:t>
      </w:r>
    </w:p>
    <w:p w:rsidR="00E90573" w:rsidRDefault="00D17DEC">
      <w:pPr>
        <w:spacing w:after="0" w:line="240" w:lineRule="auto"/>
        <w:jc w:val="both"/>
        <w:rPr>
          <w:rFonts w:ascii="Helvetica Neue" w:eastAsia="Helvetica Neue" w:hAnsi="Helvetica Neue" w:cs="Helvetica Neue"/>
          <w:sz w:val="24"/>
          <w:szCs w:val="24"/>
          <w:highlight w:val="white"/>
        </w:rPr>
      </w:pPr>
      <w:r>
        <w:rPr>
          <w:rFonts w:ascii="Helvetica Neue" w:eastAsia="Helvetica Neue" w:hAnsi="Helvetica Neue" w:cs="Helvetica Neue"/>
          <w:sz w:val="24"/>
          <w:szCs w:val="24"/>
          <w:highlight w:val="white"/>
        </w:rPr>
        <w:t xml:space="preserve"> </w:t>
      </w:r>
    </w:p>
    <w:p w:rsidR="00E90573" w:rsidRDefault="00E90573">
      <w:pPr>
        <w:spacing w:after="0" w:line="240" w:lineRule="auto"/>
        <w:jc w:val="both"/>
        <w:rPr>
          <w:rFonts w:ascii="Helvetica Neue" w:eastAsia="Helvetica Neue" w:hAnsi="Helvetica Neue" w:cs="Helvetica Neue"/>
          <w:sz w:val="24"/>
          <w:szCs w:val="24"/>
          <w:highlight w:val="white"/>
        </w:rPr>
      </w:pPr>
    </w:p>
    <w:p w:rsidR="00E90573" w:rsidRDefault="00D17DEC">
      <w:pPr>
        <w:spacing w:after="0" w:line="240" w:lineRule="auto"/>
        <w:ind w:left="425"/>
        <w:jc w:val="both"/>
        <w:rPr>
          <w:rFonts w:ascii="Helvetica Neue" w:eastAsia="Helvetica Neue" w:hAnsi="Helvetica Neue" w:cs="Helvetica Neue"/>
          <w:b/>
          <w:sz w:val="24"/>
          <w:szCs w:val="24"/>
          <w:highlight w:val="white"/>
          <w:u w:val="single"/>
        </w:rPr>
      </w:pPr>
      <w:r>
        <w:rPr>
          <w:rFonts w:ascii="Helvetica Neue" w:eastAsia="Helvetica Neue" w:hAnsi="Helvetica Neue" w:cs="Helvetica Neue"/>
          <w:b/>
          <w:sz w:val="24"/>
          <w:szCs w:val="24"/>
          <w:highlight w:val="white"/>
          <w:u w:val="single"/>
        </w:rPr>
        <w:t>11.3. Fondos de Contingencia - Banco Mundial</w:t>
      </w:r>
      <w:r>
        <w:rPr>
          <w:rFonts w:ascii="Helvetica Neue" w:eastAsia="Helvetica Neue" w:hAnsi="Helvetica Neue" w:cs="Helvetica Neue"/>
          <w:b/>
          <w:sz w:val="24"/>
          <w:szCs w:val="24"/>
          <w:highlight w:val="white"/>
          <w:u w:val="single"/>
          <w:vertAlign w:val="superscript"/>
        </w:rPr>
        <w:footnoteReference w:id="50"/>
      </w:r>
      <w:r>
        <w:rPr>
          <w:rFonts w:ascii="Helvetica Neue" w:eastAsia="Helvetica Neue" w:hAnsi="Helvetica Neue" w:cs="Helvetica Neue"/>
          <w:b/>
          <w:sz w:val="24"/>
          <w:szCs w:val="24"/>
          <w:highlight w:val="white"/>
          <w:u w:val="single"/>
        </w:rPr>
        <w:t xml:space="preserve"> </w:t>
      </w:r>
    </w:p>
    <w:p w:rsidR="00E90573" w:rsidRDefault="00E90573">
      <w:pPr>
        <w:spacing w:after="0" w:line="240" w:lineRule="auto"/>
        <w:jc w:val="both"/>
        <w:rPr>
          <w:rFonts w:ascii="Helvetica Neue" w:eastAsia="Helvetica Neue" w:hAnsi="Helvetica Neue" w:cs="Helvetica Neue"/>
          <w:sz w:val="24"/>
          <w:szCs w:val="24"/>
          <w:highlight w:val="white"/>
        </w:rPr>
      </w:pPr>
    </w:p>
    <w:p w:rsidR="00E90573" w:rsidRDefault="00D17DEC">
      <w:pPr>
        <w:spacing w:after="0" w:line="240" w:lineRule="auto"/>
        <w:jc w:val="both"/>
        <w:rPr>
          <w:rFonts w:ascii="Helvetica Neue" w:eastAsia="Helvetica Neue" w:hAnsi="Helvetica Neue" w:cs="Helvetica Neue"/>
          <w:sz w:val="24"/>
          <w:szCs w:val="24"/>
          <w:highlight w:val="white"/>
        </w:rPr>
      </w:pPr>
      <w:r>
        <w:rPr>
          <w:rFonts w:ascii="Helvetica Neue" w:eastAsia="Helvetica Neue" w:hAnsi="Helvetica Neue" w:cs="Helvetica Neue"/>
          <w:sz w:val="24"/>
          <w:szCs w:val="24"/>
          <w:highlight w:val="white"/>
        </w:rPr>
        <w:t>Dependiendo de la asignación de los riesgos, los proyectos APP crean pasivos directos y contingentes para el sector público. Los pasivos contingentes surgen cuando los compromisos son desencadenados por un evento incierto como el número previsto de usuarios que no se están realizando, cierto nivel de ingresos no alcanzado, un evento de fuerza mayor sucediendo o en caso de incumplimiento del SPV (Vehículo de Propósito especial, utilizado por el Privado)</w:t>
      </w:r>
      <w:r>
        <w:rPr>
          <w:rFonts w:ascii="Helvetica Neue" w:eastAsia="Helvetica Neue" w:hAnsi="Helvetica Neue" w:cs="Helvetica Neue"/>
          <w:sz w:val="24"/>
          <w:szCs w:val="24"/>
          <w:highlight w:val="white"/>
          <w:vertAlign w:val="superscript"/>
        </w:rPr>
        <w:footnoteReference w:id="51"/>
      </w:r>
      <w:r>
        <w:rPr>
          <w:rFonts w:ascii="Helvetica Neue" w:eastAsia="Helvetica Neue" w:hAnsi="Helvetica Neue" w:cs="Helvetica Neue"/>
          <w:sz w:val="24"/>
          <w:szCs w:val="24"/>
          <w:highlight w:val="white"/>
        </w:rPr>
        <w:t xml:space="preserve">. Estos son los riesgos fiscales asumidos por el sector público. </w:t>
      </w:r>
    </w:p>
    <w:p w:rsidR="00E90573" w:rsidRDefault="00E90573">
      <w:pPr>
        <w:spacing w:after="0" w:line="240" w:lineRule="auto"/>
        <w:jc w:val="both"/>
        <w:rPr>
          <w:rFonts w:ascii="Helvetica Neue" w:eastAsia="Helvetica Neue" w:hAnsi="Helvetica Neue" w:cs="Helvetica Neue"/>
          <w:sz w:val="24"/>
          <w:szCs w:val="24"/>
          <w:highlight w:val="white"/>
        </w:rPr>
      </w:pPr>
    </w:p>
    <w:p w:rsidR="00E90573" w:rsidRDefault="00D17DEC">
      <w:pPr>
        <w:spacing w:after="0" w:line="240" w:lineRule="auto"/>
        <w:jc w:val="both"/>
        <w:rPr>
          <w:rFonts w:ascii="Helvetica Neue" w:eastAsia="Helvetica Neue" w:hAnsi="Helvetica Neue" w:cs="Helvetica Neue"/>
          <w:sz w:val="24"/>
          <w:szCs w:val="24"/>
          <w:highlight w:val="white"/>
        </w:rPr>
      </w:pPr>
      <w:r>
        <w:rPr>
          <w:rFonts w:ascii="Helvetica Neue" w:eastAsia="Helvetica Neue" w:hAnsi="Helvetica Neue" w:cs="Helvetica Neue"/>
          <w:sz w:val="24"/>
          <w:szCs w:val="24"/>
          <w:highlight w:val="white"/>
        </w:rPr>
        <w:t>Por definición siempre hay un componente público en una APP. La forma que adopte este componente dependerá del país y del proyecto y puede ir desde el apoyo financiero, hasta el apoyo indirecto o contingente, el apoyo en especie (como el suministro de tierras o equipos), mecanismos financieros más amplios que puedan apoyar el programa APP del país o alentar a los mercados financieros a prestar en proyectos.</w:t>
      </w:r>
      <w:r>
        <w:rPr>
          <w:rFonts w:ascii="Helvetica Neue" w:eastAsia="Helvetica Neue" w:hAnsi="Helvetica Neue" w:cs="Helvetica Neue"/>
          <w:sz w:val="24"/>
          <w:szCs w:val="24"/>
          <w:highlight w:val="white"/>
          <w:vertAlign w:val="superscript"/>
        </w:rPr>
        <w:footnoteReference w:id="52"/>
      </w:r>
    </w:p>
    <w:p w:rsidR="00E90573" w:rsidRDefault="00E90573">
      <w:pPr>
        <w:spacing w:after="0" w:line="240" w:lineRule="auto"/>
        <w:jc w:val="both"/>
        <w:rPr>
          <w:rFonts w:ascii="Helvetica Neue" w:eastAsia="Helvetica Neue" w:hAnsi="Helvetica Neue" w:cs="Helvetica Neue"/>
          <w:sz w:val="24"/>
          <w:szCs w:val="24"/>
          <w:highlight w:val="white"/>
        </w:rPr>
      </w:pPr>
    </w:p>
    <w:p w:rsidR="00E90573" w:rsidRDefault="00D17DEC">
      <w:pPr>
        <w:numPr>
          <w:ilvl w:val="0"/>
          <w:numId w:val="4"/>
        </w:numPr>
        <w:spacing w:after="0" w:line="240" w:lineRule="auto"/>
        <w:jc w:val="both"/>
        <w:rPr>
          <w:rFonts w:ascii="Helvetica Neue" w:eastAsia="Helvetica Neue" w:hAnsi="Helvetica Neue" w:cs="Helvetica Neue"/>
          <w:sz w:val="24"/>
          <w:szCs w:val="24"/>
          <w:highlight w:val="white"/>
        </w:rPr>
      </w:pPr>
      <w:r>
        <w:rPr>
          <w:rFonts w:ascii="Helvetica Neue" w:eastAsia="Helvetica Neue" w:hAnsi="Helvetica Neue" w:cs="Helvetica Neue"/>
          <w:b/>
          <w:sz w:val="24"/>
          <w:szCs w:val="24"/>
          <w:highlight w:val="white"/>
        </w:rPr>
        <w:t xml:space="preserve">Productos Financiados: </w:t>
      </w:r>
      <w:r>
        <w:rPr>
          <w:rFonts w:ascii="Helvetica Neue" w:eastAsia="Helvetica Neue" w:hAnsi="Helvetica Neue" w:cs="Helvetica Neue"/>
          <w:sz w:val="24"/>
          <w:szCs w:val="24"/>
          <w:highlight w:val="white"/>
        </w:rPr>
        <w:t>El gobierno puede decidir proporcionar apoyo directo al proyecto, por ejemplo, a través de subsidios/subvenciones, inversión de capital y/o deuda. Estos mecanismos son particularmente útiles cuando el proyecto no logra en su propio mérito la bancabilidad, la viabilidad financiera o está sujeto a riesgos específicos que los inversores o prestamistas privados no están bien situados para gestionar. En los países en desarrollo donde más se necesita financiación privada, estas limitaciones pueden requerir más apoyo gubernamental del que se requeriría en los países más desarrollados. El apoyo financiado implica que el gobierno comprometa apoyo financiero a un proyecto, tales como:</w:t>
      </w:r>
    </w:p>
    <w:p w:rsidR="00E90573" w:rsidRDefault="00E90573">
      <w:pPr>
        <w:spacing w:after="0" w:line="240" w:lineRule="auto"/>
        <w:jc w:val="both"/>
        <w:rPr>
          <w:rFonts w:ascii="Helvetica Neue" w:eastAsia="Helvetica Neue" w:hAnsi="Helvetica Neue" w:cs="Helvetica Neue"/>
          <w:sz w:val="24"/>
          <w:szCs w:val="24"/>
          <w:highlight w:val="white"/>
        </w:rPr>
      </w:pPr>
    </w:p>
    <w:p w:rsidR="00E90573" w:rsidRDefault="00D17DEC">
      <w:pPr>
        <w:numPr>
          <w:ilvl w:val="0"/>
          <w:numId w:val="8"/>
        </w:numPr>
        <w:spacing w:after="0" w:line="240" w:lineRule="auto"/>
        <w:jc w:val="both"/>
        <w:rPr>
          <w:rFonts w:ascii="Helvetica Neue" w:eastAsia="Helvetica Neue" w:hAnsi="Helvetica Neue" w:cs="Helvetica Neue"/>
          <w:sz w:val="24"/>
          <w:szCs w:val="24"/>
          <w:highlight w:val="white"/>
        </w:rPr>
      </w:pPr>
      <w:r>
        <w:rPr>
          <w:rFonts w:ascii="Helvetica Neue" w:eastAsia="Helvetica Neue" w:hAnsi="Helvetica Neue" w:cs="Helvetica Neue"/>
          <w:sz w:val="24"/>
          <w:szCs w:val="24"/>
          <w:highlight w:val="white"/>
        </w:rPr>
        <w:t>Apoyo directo – en efectivo o en especie (por ejemplo, para sufragar los costos de construcción, para adquirir tierras, para proporcionar activos, para compensar los costos de licitación o para apoyar el mantenimiento importante);</w:t>
      </w:r>
    </w:p>
    <w:p w:rsidR="00E90573" w:rsidRDefault="00D17DEC">
      <w:pPr>
        <w:numPr>
          <w:ilvl w:val="0"/>
          <w:numId w:val="8"/>
        </w:numPr>
        <w:spacing w:after="0" w:line="240" w:lineRule="auto"/>
        <w:jc w:val="both"/>
        <w:rPr>
          <w:rFonts w:ascii="Helvetica Neue" w:eastAsia="Helvetica Neue" w:hAnsi="Helvetica Neue" w:cs="Helvetica Neue"/>
          <w:sz w:val="24"/>
          <w:szCs w:val="24"/>
          <w:highlight w:val="white"/>
        </w:rPr>
      </w:pPr>
      <w:r>
        <w:rPr>
          <w:rFonts w:ascii="Helvetica Neue" w:eastAsia="Helvetica Neue" w:hAnsi="Helvetica Neue" w:cs="Helvetica Neue"/>
          <w:sz w:val="24"/>
          <w:szCs w:val="24"/>
          <w:highlight w:val="white"/>
        </w:rPr>
        <w:lastRenderedPageBreak/>
        <w:t>Renuncia a tasas, costes y otros pagos que de otro modo tendría que ser pagados por la empresa del proyecto a una entidad del sector público (por ejemplo, autorizar las vacaciones fiscales o una exención de responsabilidad fiscal);</w:t>
      </w:r>
    </w:p>
    <w:p w:rsidR="00E90573" w:rsidRDefault="00D17DEC">
      <w:pPr>
        <w:numPr>
          <w:ilvl w:val="0"/>
          <w:numId w:val="8"/>
        </w:numPr>
        <w:spacing w:after="0" w:line="240" w:lineRule="auto"/>
        <w:jc w:val="both"/>
        <w:rPr>
          <w:rFonts w:ascii="Helvetica Neue" w:eastAsia="Helvetica Neue" w:hAnsi="Helvetica Neue" w:cs="Helvetica Neue"/>
          <w:sz w:val="24"/>
          <w:szCs w:val="24"/>
          <w:highlight w:val="white"/>
        </w:rPr>
      </w:pPr>
      <w:r>
        <w:rPr>
          <w:rFonts w:ascii="Helvetica Neue" w:eastAsia="Helvetica Neue" w:hAnsi="Helvetica Neue" w:cs="Helvetica Neue"/>
          <w:sz w:val="24"/>
          <w:szCs w:val="24"/>
          <w:highlight w:val="white"/>
        </w:rPr>
        <w:t>Financiación del proyecto en forma de préstamos (incluida la deuda intermedia) o de inversión de capital (o en forma de financiación de la brecha de viabilidad); Y</w:t>
      </w:r>
    </w:p>
    <w:p w:rsidR="00E90573" w:rsidRDefault="00D17DEC">
      <w:pPr>
        <w:numPr>
          <w:ilvl w:val="0"/>
          <w:numId w:val="8"/>
        </w:numPr>
        <w:spacing w:after="0" w:line="240" w:lineRule="auto"/>
        <w:jc w:val="both"/>
        <w:rPr>
          <w:rFonts w:ascii="Helvetica Neue" w:eastAsia="Helvetica Neue" w:hAnsi="Helvetica Neue" w:cs="Helvetica Neue"/>
          <w:sz w:val="24"/>
          <w:szCs w:val="24"/>
          <w:highlight w:val="white"/>
        </w:rPr>
      </w:pPr>
      <w:r>
        <w:rPr>
          <w:rFonts w:ascii="Helvetica Neue" w:eastAsia="Helvetica Neue" w:hAnsi="Helvetica Neue" w:cs="Helvetica Neue"/>
          <w:sz w:val="24"/>
          <w:szCs w:val="24"/>
          <w:highlight w:val="white"/>
        </w:rPr>
        <w:t>La financiación de las tarifas en la sombra de las carreteras y la razón de las tarifas que deben pagar algunos o todos los consumidores (en particular, los menos capaces de pagar) dicen en los proyectos de agua y electricidad para reducir el riesgo de demanda que asume la empresa del proyecto.</w:t>
      </w:r>
    </w:p>
    <w:p w:rsidR="00E90573" w:rsidRDefault="00E90573">
      <w:pPr>
        <w:spacing w:after="0" w:line="240" w:lineRule="auto"/>
        <w:ind w:left="720"/>
        <w:jc w:val="both"/>
        <w:rPr>
          <w:rFonts w:ascii="Helvetica Neue" w:eastAsia="Helvetica Neue" w:hAnsi="Helvetica Neue" w:cs="Helvetica Neue"/>
          <w:sz w:val="24"/>
          <w:szCs w:val="24"/>
          <w:highlight w:val="white"/>
        </w:rPr>
      </w:pPr>
    </w:p>
    <w:p w:rsidR="00E90573" w:rsidRDefault="00D17DEC">
      <w:pPr>
        <w:spacing w:after="0" w:line="240" w:lineRule="auto"/>
        <w:jc w:val="both"/>
        <w:rPr>
          <w:rFonts w:ascii="Helvetica Neue" w:eastAsia="Helvetica Neue" w:hAnsi="Helvetica Neue" w:cs="Helvetica Neue"/>
          <w:sz w:val="24"/>
          <w:szCs w:val="24"/>
          <w:highlight w:val="white"/>
        </w:rPr>
      </w:pPr>
      <w:r>
        <w:rPr>
          <w:rFonts w:ascii="Helvetica Neue" w:eastAsia="Helvetica Neue" w:hAnsi="Helvetica Neue" w:cs="Helvetica Neue"/>
          <w:sz w:val="24"/>
          <w:szCs w:val="24"/>
          <w:highlight w:val="white"/>
        </w:rPr>
        <w:t>Pocos proyectos de APP son viables sin algún tipo de apoyo técnico o financiero del gobierno. La financiación eficiente de los proyectos de APP puede implicar el uso del apoyo gubernamental, para asegurar que el gobierno asuma riesgos que pueda gestionar mejor que los inversores privados y para complementar proyectos que sean económicamente pero no financieramente viables.</w:t>
      </w:r>
    </w:p>
    <w:p w:rsidR="00E90573" w:rsidRDefault="00E90573">
      <w:pPr>
        <w:spacing w:after="0" w:line="240" w:lineRule="auto"/>
        <w:ind w:left="720"/>
        <w:jc w:val="both"/>
        <w:rPr>
          <w:rFonts w:ascii="Helvetica Neue" w:eastAsia="Helvetica Neue" w:hAnsi="Helvetica Neue" w:cs="Helvetica Neue"/>
          <w:b/>
          <w:sz w:val="24"/>
          <w:szCs w:val="24"/>
          <w:highlight w:val="white"/>
        </w:rPr>
      </w:pPr>
    </w:p>
    <w:p w:rsidR="00E90573" w:rsidRDefault="00E90573">
      <w:pPr>
        <w:spacing w:after="0" w:line="240" w:lineRule="auto"/>
        <w:ind w:left="720"/>
        <w:jc w:val="both"/>
        <w:rPr>
          <w:rFonts w:ascii="Helvetica Neue" w:eastAsia="Helvetica Neue" w:hAnsi="Helvetica Neue" w:cs="Helvetica Neue"/>
          <w:b/>
          <w:sz w:val="24"/>
          <w:szCs w:val="24"/>
          <w:highlight w:val="white"/>
        </w:rPr>
      </w:pPr>
    </w:p>
    <w:p w:rsidR="00E90573" w:rsidRDefault="00D17DEC">
      <w:pPr>
        <w:numPr>
          <w:ilvl w:val="0"/>
          <w:numId w:val="4"/>
        </w:numPr>
        <w:spacing w:after="0" w:line="240" w:lineRule="auto"/>
        <w:jc w:val="both"/>
        <w:rPr>
          <w:rFonts w:ascii="Helvetica Neue" w:eastAsia="Helvetica Neue" w:hAnsi="Helvetica Neue" w:cs="Helvetica Neue"/>
          <w:sz w:val="24"/>
          <w:szCs w:val="24"/>
          <w:highlight w:val="white"/>
        </w:rPr>
      </w:pPr>
      <w:r>
        <w:rPr>
          <w:rFonts w:ascii="Helvetica Neue" w:eastAsia="Helvetica Neue" w:hAnsi="Helvetica Neue" w:cs="Helvetica Neue"/>
          <w:b/>
          <w:sz w:val="24"/>
          <w:szCs w:val="24"/>
          <w:highlight w:val="white"/>
        </w:rPr>
        <w:t xml:space="preserve">Productos Contingentes: </w:t>
      </w:r>
      <w:r>
        <w:rPr>
          <w:rFonts w:ascii="Helvetica Neue" w:eastAsia="Helvetica Neue" w:hAnsi="Helvetica Neue" w:cs="Helvetica Neue"/>
          <w:sz w:val="24"/>
          <w:szCs w:val="24"/>
          <w:highlight w:val="white"/>
        </w:rPr>
        <w:t xml:space="preserve">El gobierno puede optar por proporcionar mecanismos contingentes, es decir, cuando el gobierno no está proporcionando financiación, sino que está asumiendo ciertos pasivos contingentes, por ejemplo, proporcionando: </w:t>
      </w:r>
    </w:p>
    <w:p w:rsidR="00E90573" w:rsidRDefault="00D17DEC">
      <w:pPr>
        <w:numPr>
          <w:ilvl w:val="0"/>
          <w:numId w:val="16"/>
        </w:numPr>
        <w:spacing w:after="0" w:line="240" w:lineRule="auto"/>
        <w:jc w:val="both"/>
        <w:rPr>
          <w:rFonts w:ascii="Helvetica Neue" w:eastAsia="Helvetica Neue" w:hAnsi="Helvetica Neue" w:cs="Helvetica Neue"/>
          <w:sz w:val="24"/>
          <w:szCs w:val="24"/>
          <w:highlight w:val="white"/>
        </w:rPr>
      </w:pPr>
      <w:r>
        <w:rPr>
          <w:rFonts w:ascii="Helvetica Neue" w:eastAsia="Helvetica Neue" w:hAnsi="Helvetica Neue" w:cs="Helvetica Neue"/>
          <w:sz w:val="24"/>
          <w:szCs w:val="24"/>
          <w:highlight w:val="white"/>
        </w:rPr>
        <w:t>Garantías, incluidas las garantías de deuda, los tipos de cambio, la convertibilidad de la moneda local, las obligaciones del comprador de las adquisiciones, la recaudación arancelaria, el nivel de las tarifas permitidas, el nivel de demanda de servicios, la compensación por terminación, etc.;</w:t>
      </w:r>
    </w:p>
    <w:p w:rsidR="00E90573" w:rsidRDefault="00D17DEC">
      <w:pPr>
        <w:numPr>
          <w:ilvl w:val="0"/>
          <w:numId w:val="16"/>
        </w:numPr>
        <w:spacing w:after="0" w:line="240" w:lineRule="auto"/>
        <w:jc w:val="both"/>
        <w:rPr>
          <w:rFonts w:ascii="Helvetica Neue" w:eastAsia="Helvetica Neue" w:hAnsi="Helvetica Neue" w:cs="Helvetica Neue"/>
          <w:sz w:val="24"/>
          <w:szCs w:val="24"/>
          <w:highlight w:val="white"/>
        </w:rPr>
      </w:pPr>
      <w:r>
        <w:rPr>
          <w:rFonts w:ascii="Helvetica Neue" w:eastAsia="Helvetica Neue" w:hAnsi="Helvetica Neue" w:cs="Helvetica Neue"/>
          <w:sz w:val="24"/>
          <w:szCs w:val="24"/>
          <w:highlight w:val="white"/>
        </w:rPr>
        <w:t>Indemnizaciones, por ejemplo, contra el impago por parte de entidades estatales, por déficit de ingresos o sobrecostos;</w:t>
      </w:r>
    </w:p>
    <w:p w:rsidR="00E90573" w:rsidRDefault="00D17DEC">
      <w:pPr>
        <w:numPr>
          <w:ilvl w:val="0"/>
          <w:numId w:val="16"/>
        </w:numPr>
        <w:spacing w:after="0" w:line="240" w:lineRule="auto"/>
        <w:jc w:val="both"/>
        <w:rPr>
          <w:rFonts w:ascii="Helvetica Neue" w:eastAsia="Helvetica Neue" w:hAnsi="Helvetica Neue" w:cs="Helvetica Neue"/>
          <w:sz w:val="24"/>
          <w:szCs w:val="24"/>
          <w:highlight w:val="white"/>
        </w:rPr>
      </w:pPr>
      <w:r>
        <w:rPr>
          <w:rFonts w:ascii="Helvetica Neue" w:eastAsia="Helvetica Neue" w:hAnsi="Helvetica Neue" w:cs="Helvetica Neue"/>
          <w:sz w:val="24"/>
          <w:szCs w:val="24"/>
          <w:highlight w:val="white"/>
        </w:rPr>
        <w:t>Seguros;</w:t>
      </w:r>
    </w:p>
    <w:p w:rsidR="00E90573" w:rsidRDefault="00D17DEC">
      <w:pPr>
        <w:numPr>
          <w:ilvl w:val="0"/>
          <w:numId w:val="16"/>
        </w:numPr>
        <w:spacing w:after="0" w:line="240" w:lineRule="auto"/>
        <w:jc w:val="both"/>
        <w:rPr>
          <w:rFonts w:ascii="Helvetica Neue" w:eastAsia="Helvetica Neue" w:hAnsi="Helvetica Neue" w:cs="Helvetica Neue"/>
          <w:sz w:val="24"/>
          <w:szCs w:val="24"/>
          <w:highlight w:val="white"/>
        </w:rPr>
      </w:pPr>
      <w:r>
        <w:rPr>
          <w:rFonts w:ascii="Helvetica Neue" w:eastAsia="Helvetica Neue" w:hAnsi="Helvetica Neue" w:cs="Helvetica Neue"/>
          <w:sz w:val="24"/>
          <w:szCs w:val="24"/>
          <w:highlight w:val="white"/>
        </w:rPr>
        <w:t>La cobertura del riesgo del proyecto, por ejemplo, el clima adverso, los tipos de cambio de divisas, los tipos de interés o los precios de los productos básicos; O</w:t>
      </w:r>
    </w:p>
    <w:p w:rsidR="00E90573" w:rsidRDefault="00D17DEC">
      <w:pPr>
        <w:numPr>
          <w:ilvl w:val="0"/>
          <w:numId w:val="16"/>
        </w:numPr>
        <w:spacing w:after="0" w:line="240" w:lineRule="auto"/>
        <w:jc w:val="both"/>
        <w:rPr>
          <w:rFonts w:ascii="Helvetica Neue" w:eastAsia="Helvetica Neue" w:hAnsi="Helvetica Neue" w:cs="Helvetica Neue"/>
          <w:sz w:val="24"/>
          <w:szCs w:val="24"/>
          <w:highlight w:val="white"/>
        </w:rPr>
      </w:pPr>
      <w:r>
        <w:rPr>
          <w:rFonts w:ascii="Helvetica Neue" w:eastAsia="Helvetica Neue" w:hAnsi="Helvetica Neue" w:cs="Helvetica Neue"/>
          <w:sz w:val="24"/>
          <w:szCs w:val="24"/>
          <w:highlight w:val="white"/>
        </w:rPr>
        <w:t>Deuda contingente, como la financiación para la contratación (donde el proyecto sólo puede obtener deuda de tenor corto, el gobierno promete hacer que la deuda esté disponible a una determinada tasa de interés en una fecha determinada en el futuro) o apoyo a los ingresos (donde el gobierno promete prestar dinero a la empresa del proyecto para compensar las caídas de ingresos, suficiente para satisfacer las obligaciones de servicio de la deuda).</w:t>
      </w:r>
    </w:p>
    <w:p w:rsidR="00E90573" w:rsidRDefault="00E90573">
      <w:pPr>
        <w:spacing w:after="0" w:line="240" w:lineRule="auto"/>
        <w:ind w:left="720"/>
        <w:jc w:val="both"/>
        <w:rPr>
          <w:rFonts w:ascii="Helvetica Neue" w:eastAsia="Helvetica Neue" w:hAnsi="Helvetica Neue" w:cs="Helvetica Neue"/>
          <w:sz w:val="24"/>
          <w:szCs w:val="24"/>
          <w:highlight w:val="white"/>
        </w:rPr>
      </w:pPr>
    </w:p>
    <w:p w:rsidR="00E90573" w:rsidRDefault="00D17DEC">
      <w:pPr>
        <w:spacing w:after="0" w:line="240" w:lineRule="auto"/>
        <w:jc w:val="both"/>
        <w:rPr>
          <w:rFonts w:ascii="Helvetica Neue" w:eastAsia="Helvetica Neue" w:hAnsi="Helvetica Neue" w:cs="Helvetica Neue"/>
          <w:sz w:val="24"/>
          <w:szCs w:val="24"/>
          <w:highlight w:val="white"/>
        </w:rPr>
      </w:pPr>
      <w:r>
        <w:rPr>
          <w:rFonts w:ascii="Helvetica Neue" w:eastAsia="Helvetica Neue" w:hAnsi="Helvetica Neue" w:cs="Helvetica Neue"/>
          <w:sz w:val="24"/>
          <w:szCs w:val="24"/>
          <w:highlight w:val="white"/>
        </w:rPr>
        <w:t>A pesar de que los pasivos contingentes son una fuente significativa de riesgo fiscal, en algunos casos éstos sólo se incluyen en el presupuesto si la probabilidad de activación se incrementa hasta cierto límite:</w:t>
      </w:r>
    </w:p>
    <w:p w:rsidR="00E90573" w:rsidRDefault="00E90573">
      <w:pPr>
        <w:spacing w:after="0" w:line="240" w:lineRule="auto"/>
        <w:jc w:val="both"/>
        <w:rPr>
          <w:rFonts w:ascii="Helvetica Neue" w:eastAsia="Helvetica Neue" w:hAnsi="Helvetica Neue" w:cs="Helvetica Neue"/>
          <w:sz w:val="24"/>
          <w:szCs w:val="24"/>
          <w:highlight w:val="white"/>
        </w:rPr>
      </w:pPr>
    </w:p>
    <w:p w:rsidR="00E90573" w:rsidRDefault="00D17DEC">
      <w:pPr>
        <w:pStyle w:val="Ttulo"/>
        <w:spacing w:after="0" w:line="240" w:lineRule="auto"/>
        <w:jc w:val="both"/>
        <w:rPr>
          <w:rFonts w:ascii="Helvetica Neue" w:eastAsia="Helvetica Neue" w:hAnsi="Helvetica Neue" w:cs="Helvetica Neue"/>
          <w:sz w:val="24"/>
          <w:szCs w:val="24"/>
          <w:u w:val="single"/>
        </w:rPr>
      </w:pPr>
      <w:bookmarkStart w:id="16" w:name="_heading=h.l18re1m7i110" w:colFirst="0" w:colLast="0"/>
      <w:bookmarkEnd w:id="16"/>
      <w:r>
        <w:rPr>
          <w:rFonts w:ascii="Helvetica Neue" w:eastAsia="Helvetica Neue" w:hAnsi="Helvetica Neue" w:cs="Helvetica Neue"/>
          <w:sz w:val="24"/>
          <w:szCs w:val="24"/>
          <w:u w:val="single"/>
        </w:rPr>
        <w:t xml:space="preserve">11. EXPERIENCIAS INTERNACIONALES </w:t>
      </w:r>
    </w:p>
    <w:p w:rsidR="00E90573" w:rsidRDefault="00E90573">
      <w:pPr>
        <w:spacing w:after="0" w:line="240" w:lineRule="auto"/>
        <w:jc w:val="both"/>
        <w:rPr>
          <w:rFonts w:ascii="Helvetica Neue" w:eastAsia="Helvetica Neue" w:hAnsi="Helvetica Neue" w:cs="Helvetica Neue"/>
          <w:b/>
          <w:sz w:val="24"/>
          <w:szCs w:val="24"/>
          <w:highlight w:val="white"/>
          <w:u w:val="single"/>
        </w:rPr>
      </w:pPr>
    </w:p>
    <w:p w:rsidR="00E90573" w:rsidRDefault="00D17DEC">
      <w:pPr>
        <w:spacing w:after="0" w:line="240" w:lineRule="auto"/>
        <w:jc w:val="both"/>
        <w:rPr>
          <w:rFonts w:ascii="Helvetica Neue" w:eastAsia="Helvetica Neue" w:hAnsi="Helvetica Neue" w:cs="Helvetica Neue"/>
          <w:b/>
          <w:sz w:val="24"/>
          <w:szCs w:val="24"/>
          <w:highlight w:val="white"/>
          <w:u w:val="single"/>
        </w:rPr>
      </w:pPr>
      <w:r>
        <w:rPr>
          <w:rFonts w:ascii="Helvetica Neue" w:eastAsia="Helvetica Neue" w:hAnsi="Helvetica Neue" w:cs="Helvetica Neue"/>
          <w:b/>
          <w:sz w:val="24"/>
          <w:szCs w:val="24"/>
          <w:highlight w:val="white"/>
          <w:u w:val="single"/>
        </w:rPr>
        <w:t>11.1. Reino Unido sobrecostos y falta de competencia detectados en APPs</w:t>
      </w:r>
    </w:p>
    <w:p w:rsidR="00E90573" w:rsidRDefault="00D17DEC">
      <w:pPr>
        <w:spacing w:after="0" w:line="240" w:lineRule="auto"/>
        <w:jc w:val="both"/>
        <w:rPr>
          <w:rFonts w:ascii="Helvetica Neue" w:eastAsia="Helvetica Neue" w:hAnsi="Helvetica Neue" w:cs="Helvetica Neue"/>
          <w:sz w:val="24"/>
          <w:szCs w:val="24"/>
          <w:highlight w:val="white"/>
        </w:rPr>
      </w:pPr>
      <w:r>
        <w:rPr>
          <w:rFonts w:ascii="Helvetica Neue" w:eastAsia="Helvetica Neue" w:hAnsi="Helvetica Neue" w:cs="Helvetica Neue"/>
          <w:sz w:val="24"/>
          <w:szCs w:val="24"/>
          <w:highlight w:val="white"/>
        </w:rPr>
        <w:t xml:space="preserve">El Reino Unido define una asociación público-privada como "...acuerdos tipificados por el trabajo conjunto entre los sectores público y privado. En su sentido más amplio, pueden abarcar todo tipo de colaboración a través de la interfaz del sector público-privado, lo que implica un trabajo colaborativo y el intercambio de riesgos para ofrecer políticas, servicios e infraestructura". (HMT, Infrastructure Procurement: Delivering Long-Term Value, marzo de 2008). El tipo más común de APP en el Reino Unido es la </w:t>
      </w:r>
      <w:r>
        <w:rPr>
          <w:rFonts w:ascii="Helvetica Neue" w:eastAsia="Helvetica Neue" w:hAnsi="Helvetica Neue" w:cs="Helvetica Neue"/>
          <w:sz w:val="24"/>
          <w:szCs w:val="24"/>
          <w:highlight w:val="white"/>
        </w:rPr>
        <w:lastRenderedPageBreak/>
        <w:t>Iniciativa de Finanzas Privadas. Una Iniciativa de Financiación Privada es un acuerdo por el cual el sector público contrata para comprar servicios, generalmente derivados de una inversión en activos, del sector privado a largo plazo, a menudo entre 15 y 30 años. Esto incluye concesiones y franquicias, donde un socio del sector privado asume la responsabilidad de prestar un servicio público, incluyendo el mantenimiento, la mejora o la construcción de la infraestructura necesaria.</w:t>
      </w:r>
    </w:p>
    <w:p w:rsidR="00E90573" w:rsidRDefault="00E90573">
      <w:pPr>
        <w:spacing w:after="0" w:line="240" w:lineRule="auto"/>
        <w:jc w:val="both"/>
        <w:rPr>
          <w:rFonts w:ascii="Helvetica Neue" w:eastAsia="Helvetica Neue" w:hAnsi="Helvetica Neue" w:cs="Helvetica Neue"/>
          <w:sz w:val="24"/>
          <w:szCs w:val="24"/>
          <w:highlight w:val="white"/>
        </w:rPr>
      </w:pPr>
    </w:p>
    <w:p w:rsidR="00E90573" w:rsidRDefault="00D17DEC">
      <w:pPr>
        <w:spacing w:after="0" w:line="240" w:lineRule="auto"/>
        <w:jc w:val="both"/>
        <w:rPr>
          <w:rFonts w:ascii="Helvetica Neue" w:eastAsia="Helvetica Neue" w:hAnsi="Helvetica Neue" w:cs="Helvetica Neue"/>
          <w:sz w:val="24"/>
          <w:szCs w:val="24"/>
          <w:highlight w:val="white"/>
        </w:rPr>
      </w:pPr>
      <w:r>
        <w:rPr>
          <w:rFonts w:ascii="Helvetica Neue" w:eastAsia="Helvetica Neue" w:hAnsi="Helvetica Neue" w:cs="Helvetica Neue"/>
          <w:sz w:val="24"/>
          <w:szCs w:val="24"/>
          <w:highlight w:val="white"/>
        </w:rPr>
        <w:t>Según Deloitte Ireland (2009), “los proyectos de infraestructura constituyen el mayor sector por número de acuerdos a nivel internacional, seguido de la sanidad y la educación, mientras que el Reino Unido es, con mucho, el país líder en la ejecución de proyectos, seguido por el resto de Europa en segundo lugar”.</w:t>
      </w:r>
      <w:r>
        <w:rPr>
          <w:rFonts w:ascii="Helvetica Neue" w:eastAsia="Helvetica Neue" w:hAnsi="Helvetica Neue" w:cs="Helvetica Neue"/>
          <w:sz w:val="24"/>
          <w:szCs w:val="24"/>
          <w:highlight w:val="white"/>
          <w:vertAlign w:val="superscript"/>
        </w:rPr>
        <w:footnoteReference w:id="53"/>
      </w:r>
    </w:p>
    <w:p w:rsidR="00E90573" w:rsidRDefault="00E90573">
      <w:pPr>
        <w:spacing w:after="0" w:line="240" w:lineRule="auto"/>
        <w:jc w:val="both"/>
        <w:rPr>
          <w:rFonts w:ascii="Helvetica Neue" w:eastAsia="Helvetica Neue" w:hAnsi="Helvetica Neue" w:cs="Helvetica Neue"/>
          <w:sz w:val="24"/>
          <w:szCs w:val="24"/>
          <w:highlight w:val="white"/>
        </w:rPr>
      </w:pPr>
    </w:p>
    <w:p w:rsidR="00E90573" w:rsidRDefault="00D17DEC">
      <w:pPr>
        <w:spacing w:after="0" w:line="240" w:lineRule="auto"/>
        <w:jc w:val="both"/>
        <w:rPr>
          <w:rFonts w:ascii="Helvetica Neue" w:eastAsia="Helvetica Neue" w:hAnsi="Helvetica Neue" w:cs="Helvetica Neue"/>
          <w:b/>
          <w:sz w:val="24"/>
          <w:szCs w:val="24"/>
          <w:highlight w:val="white"/>
        </w:rPr>
      </w:pPr>
      <w:r>
        <w:rPr>
          <w:rFonts w:ascii="Helvetica Neue" w:eastAsia="Helvetica Neue" w:hAnsi="Helvetica Neue" w:cs="Helvetica Neue"/>
          <w:b/>
          <w:sz w:val="24"/>
          <w:szCs w:val="24"/>
          <w:highlight w:val="white"/>
        </w:rPr>
        <w:t>Críticas</w:t>
      </w:r>
    </w:p>
    <w:p w:rsidR="00E90573" w:rsidRDefault="00D17DEC">
      <w:pPr>
        <w:spacing w:after="0" w:line="240" w:lineRule="auto"/>
        <w:jc w:val="both"/>
        <w:rPr>
          <w:rFonts w:ascii="Helvetica Neue" w:eastAsia="Helvetica Neue" w:hAnsi="Helvetica Neue" w:cs="Helvetica Neue"/>
          <w:sz w:val="24"/>
          <w:szCs w:val="24"/>
          <w:highlight w:val="white"/>
        </w:rPr>
      </w:pPr>
      <w:r>
        <w:rPr>
          <w:rFonts w:ascii="Helvetica Neue" w:eastAsia="Helvetica Neue" w:hAnsi="Helvetica Neue" w:cs="Helvetica Neue"/>
          <w:sz w:val="24"/>
          <w:szCs w:val="24"/>
          <w:highlight w:val="white"/>
        </w:rPr>
        <w:t>Por otro lado, de acuerdo con la investigación publicada por Oxford Academic, “Public-Private Partnerships in Developing Countries: The Emerging Evidence-based Critique”, algunos proyectos se evitan porque parecen demasiado grandes y complejos, lo que conduce a costosas preparaciones de ofertas y a sobrecostos y costos resultantes de prolongadas negociaciones contractuales. Esto puede explicar las conclusiones de Zitron (2006), que demostró que, en promedio,</w:t>
      </w:r>
      <w:r>
        <w:rPr>
          <w:rFonts w:ascii="Helvetica Neue" w:eastAsia="Helvetica Neue" w:hAnsi="Helvetica Neue" w:cs="Helvetica Neue"/>
          <w:b/>
          <w:sz w:val="24"/>
          <w:szCs w:val="24"/>
          <w:highlight w:val="white"/>
        </w:rPr>
        <w:t xml:space="preserve"> sólo tres licitadores competían por cada contrato de APP (de iniciativa privada) en el Reino Unido, y que había menos de tres licitadores en una cuarta parte de los contratos. </w:t>
      </w:r>
      <w:r>
        <w:rPr>
          <w:rFonts w:ascii="Helvetica Neue" w:eastAsia="Helvetica Neue" w:hAnsi="Helvetica Neue" w:cs="Helvetica Neue"/>
          <w:sz w:val="24"/>
          <w:szCs w:val="24"/>
          <w:highlight w:val="white"/>
        </w:rPr>
        <w:t>Los gobiernos pueden compensar total o parcialmente a las empresas por sus costos de licitación, pero, por supuesto, esto aumenta el costo de la opción APP en relación con la opción tradicional de contratación pública</w:t>
      </w:r>
      <w:r>
        <w:rPr>
          <w:rFonts w:ascii="Helvetica Neue" w:eastAsia="Helvetica Neue" w:hAnsi="Helvetica Neue" w:cs="Helvetica Neue"/>
          <w:sz w:val="24"/>
          <w:szCs w:val="24"/>
          <w:highlight w:val="white"/>
          <w:vertAlign w:val="superscript"/>
        </w:rPr>
        <w:footnoteReference w:id="54"/>
      </w:r>
      <w:r>
        <w:rPr>
          <w:rFonts w:ascii="Helvetica Neue" w:eastAsia="Helvetica Neue" w:hAnsi="Helvetica Neue" w:cs="Helvetica Neue"/>
          <w:sz w:val="24"/>
          <w:szCs w:val="24"/>
          <w:highlight w:val="white"/>
        </w:rPr>
        <w:t>.</w:t>
      </w:r>
    </w:p>
    <w:p w:rsidR="00E90573" w:rsidRDefault="00E90573">
      <w:pPr>
        <w:spacing w:after="0" w:line="240" w:lineRule="auto"/>
        <w:jc w:val="both"/>
        <w:rPr>
          <w:rFonts w:ascii="Helvetica Neue" w:eastAsia="Helvetica Neue" w:hAnsi="Helvetica Neue" w:cs="Helvetica Neue"/>
          <w:sz w:val="24"/>
          <w:szCs w:val="24"/>
          <w:highlight w:val="white"/>
        </w:rPr>
      </w:pPr>
    </w:p>
    <w:p w:rsidR="00E90573" w:rsidRDefault="00D17DEC">
      <w:pPr>
        <w:spacing w:after="0" w:line="240" w:lineRule="auto"/>
        <w:jc w:val="both"/>
        <w:rPr>
          <w:rFonts w:ascii="Helvetica Neue" w:eastAsia="Helvetica Neue" w:hAnsi="Helvetica Neue" w:cs="Helvetica Neue"/>
          <w:b/>
          <w:sz w:val="24"/>
          <w:szCs w:val="24"/>
          <w:highlight w:val="white"/>
          <w:u w:val="single"/>
        </w:rPr>
      </w:pPr>
      <w:r>
        <w:rPr>
          <w:rFonts w:ascii="Helvetica Neue" w:eastAsia="Helvetica Neue" w:hAnsi="Helvetica Neue" w:cs="Helvetica Neue"/>
          <w:b/>
          <w:sz w:val="24"/>
          <w:szCs w:val="24"/>
          <w:highlight w:val="white"/>
          <w:u w:val="single"/>
        </w:rPr>
        <w:t>11.2. Bélgica costos altos de preparación de las APPs</w:t>
      </w:r>
    </w:p>
    <w:p w:rsidR="00E90573" w:rsidRDefault="00D17DEC">
      <w:pPr>
        <w:spacing w:after="0" w:line="240" w:lineRule="auto"/>
        <w:jc w:val="both"/>
        <w:rPr>
          <w:rFonts w:ascii="Helvetica Neue" w:eastAsia="Helvetica Neue" w:hAnsi="Helvetica Neue" w:cs="Helvetica Neue"/>
          <w:sz w:val="24"/>
          <w:szCs w:val="24"/>
          <w:highlight w:val="white"/>
        </w:rPr>
      </w:pPr>
      <w:r>
        <w:rPr>
          <w:rFonts w:ascii="Helvetica Neue" w:eastAsia="Helvetica Neue" w:hAnsi="Helvetica Neue" w:cs="Helvetica Neue"/>
          <w:sz w:val="24"/>
          <w:szCs w:val="24"/>
          <w:highlight w:val="white"/>
        </w:rPr>
        <w:t xml:space="preserve">Según Schepper, Haeqendonck y Dooms (2015), se ha suscitado un acuerdo generalizado entre los profesionales y académicos frente a los costos de preparación de APPs, concluyendo que resultan más altos que los costos de preparación asociados con la contratación pública tradicional. </w:t>
      </w:r>
      <w:r>
        <w:rPr>
          <w:rFonts w:ascii="Helvetica Neue" w:eastAsia="Helvetica Neue" w:hAnsi="Helvetica Neue" w:cs="Helvetica Neue"/>
          <w:b/>
          <w:sz w:val="24"/>
          <w:szCs w:val="24"/>
          <w:highlight w:val="white"/>
        </w:rPr>
        <w:t>En muchos casos, estos costos son tan altos que desalientan a los licitadores potenciales a competir por proyectos y, en algunos casos, socavan la lógica básica de rentabilidad de las APP</w:t>
      </w:r>
      <w:r>
        <w:rPr>
          <w:rFonts w:ascii="Helvetica Neue" w:eastAsia="Helvetica Neue" w:hAnsi="Helvetica Neue" w:cs="Helvetica Neue"/>
          <w:sz w:val="24"/>
          <w:szCs w:val="24"/>
          <w:highlight w:val="white"/>
        </w:rPr>
        <w:t xml:space="preserve"> y tienen un impacto negativo en la viabilidad económica y financiera de los proyectos. El estudio de Schepper de 172 proyectos de infraestructura pública en Bélgica encontró procesos de licitación mucho más largos y complejos asociados con las APP que con los proyectos adquiridos a través de métodos públicos tradicionales.</w:t>
      </w:r>
    </w:p>
    <w:p w:rsidR="00E90573" w:rsidRDefault="00E90573">
      <w:pPr>
        <w:spacing w:after="0" w:line="240" w:lineRule="auto"/>
        <w:jc w:val="both"/>
        <w:rPr>
          <w:rFonts w:ascii="Helvetica Neue" w:eastAsia="Helvetica Neue" w:hAnsi="Helvetica Neue" w:cs="Helvetica Neue"/>
          <w:b/>
          <w:sz w:val="24"/>
          <w:szCs w:val="24"/>
          <w:highlight w:val="white"/>
          <w:u w:val="single"/>
        </w:rPr>
      </w:pPr>
    </w:p>
    <w:p w:rsidR="00E90573" w:rsidRDefault="00E90573">
      <w:pPr>
        <w:spacing w:after="0" w:line="240" w:lineRule="auto"/>
        <w:jc w:val="both"/>
        <w:rPr>
          <w:rFonts w:ascii="Helvetica Neue" w:eastAsia="Helvetica Neue" w:hAnsi="Helvetica Neue" w:cs="Helvetica Neue"/>
          <w:sz w:val="24"/>
          <w:szCs w:val="24"/>
          <w:highlight w:val="white"/>
        </w:rPr>
      </w:pPr>
    </w:p>
    <w:p w:rsidR="00E90573" w:rsidRDefault="00D17DEC">
      <w:pPr>
        <w:spacing w:after="0" w:line="240" w:lineRule="auto"/>
        <w:jc w:val="both"/>
        <w:rPr>
          <w:rFonts w:ascii="Helvetica Neue" w:eastAsia="Helvetica Neue" w:hAnsi="Helvetica Neue" w:cs="Helvetica Neue"/>
          <w:b/>
          <w:sz w:val="24"/>
          <w:szCs w:val="24"/>
          <w:highlight w:val="white"/>
          <w:u w:val="single"/>
        </w:rPr>
      </w:pPr>
      <w:r>
        <w:rPr>
          <w:rFonts w:ascii="Helvetica Neue" w:eastAsia="Helvetica Neue" w:hAnsi="Helvetica Neue" w:cs="Helvetica Neue"/>
          <w:b/>
          <w:sz w:val="24"/>
          <w:szCs w:val="24"/>
          <w:highlight w:val="white"/>
          <w:u w:val="single"/>
        </w:rPr>
        <w:t>11.3. Ecuador y problemas de competencia en APPs</w:t>
      </w:r>
    </w:p>
    <w:p w:rsidR="00E90573" w:rsidRDefault="00E90573">
      <w:pPr>
        <w:spacing w:after="0" w:line="240" w:lineRule="auto"/>
        <w:jc w:val="both"/>
        <w:rPr>
          <w:rFonts w:ascii="Helvetica Neue" w:eastAsia="Helvetica Neue" w:hAnsi="Helvetica Neue" w:cs="Helvetica Neue"/>
          <w:b/>
          <w:sz w:val="24"/>
          <w:szCs w:val="24"/>
          <w:highlight w:val="white"/>
        </w:rPr>
      </w:pPr>
    </w:p>
    <w:p w:rsidR="00E90573" w:rsidRDefault="00D17DEC">
      <w:pPr>
        <w:spacing w:after="0" w:line="240" w:lineRule="auto"/>
        <w:jc w:val="both"/>
        <w:rPr>
          <w:rFonts w:ascii="Helvetica Neue" w:eastAsia="Helvetica Neue" w:hAnsi="Helvetica Neue" w:cs="Helvetica Neue"/>
          <w:sz w:val="24"/>
          <w:szCs w:val="24"/>
          <w:highlight w:val="white"/>
        </w:rPr>
      </w:pPr>
      <w:r>
        <w:rPr>
          <w:rFonts w:ascii="Helvetica Neue" w:eastAsia="Helvetica Neue" w:hAnsi="Helvetica Neue" w:cs="Helvetica Neue"/>
          <w:sz w:val="24"/>
          <w:szCs w:val="24"/>
          <w:highlight w:val="white"/>
        </w:rPr>
        <w:t xml:space="preserve">De acuerdo con la tesis, del Ingeniero Andrés Ramón, “Análisis del desarrollo del modelo de asociaciones público-privadas en Colombia: recomendaciones para su aplicación en proyectos de infraestructura productiva en Ecuador” En el contexto de América Latina, “Ecuador presenta la peor calificación (20/100) en esta área de acuerdo al Reporte Benchmarking PPP Procurement 2017. Esto da cuenta de que existe muy poca claridad, imparcialidad y transparencia en el proceso de contratación de APP, en contraste con las buenas prácticas reconocidas en este ámbito. Pese a que la Ley Orgánica de Incentivos APP en su artículo 12 para la selección del privado establece que las bases administrativas para el concurso público se regirán por los </w:t>
      </w:r>
      <w:r>
        <w:rPr>
          <w:rFonts w:ascii="Helvetica Neue" w:eastAsia="Helvetica Neue" w:hAnsi="Helvetica Neue" w:cs="Helvetica Neue"/>
          <w:sz w:val="24"/>
          <w:szCs w:val="24"/>
          <w:highlight w:val="white"/>
        </w:rPr>
        <w:lastRenderedPageBreak/>
        <w:t xml:space="preserve">principios de transparencia, igualdad, concurrencia y publicidad, esto no se cumple por las Entidades Contratantes”. </w:t>
      </w:r>
    </w:p>
    <w:p w:rsidR="00E90573" w:rsidRDefault="00E90573">
      <w:pPr>
        <w:spacing w:after="0" w:line="240" w:lineRule="auto"/>
        <w:jc w:val="both"/>
        <w:rPr>
          <w:rFonts w:ascii="Helvetica Neue" w:eastAsia="Helvetica Neue" w:hAnsi="Helvetica Neue" w:cs="Helvetica Neue"/>
          <w:sz w:val="24"/>
          <w:szCs w:val="24"/>
          <w:highlight w:val="white"/>
        </w:rPr>
      </w:pPr>
    </w:p>
    <w:p w:rsidR="00E90573" w:rsidRDefault="00D17DEC">
      <w:pPr>
        <w:spacing w:after="0" w:line="240" w:lineRule="auto"/>
        <w:jc w:val="both"/>
        <w:rPr>
          <w:rFonts w:ascii="Helvetica Neue" w:eastAsia="Helvetica Neue" w:hAnsi="Helvetica Neue" w:cs="Helvetica Neue"/>
          <w:sz w:val="24"/>
          <w:szCs w:val="24"/>
          <w:highlight w:val="white"/>
        </w:rPr>
      </w:pPr>
      <w:r>
        <w:rPr>
          <w:rFonts w:ascii="Helvetica Neue" w:eastAsia="Helvetica Neue" w:hAnsi="Helvetica Neue" w:cs="Helvetica Neue"/>
          <w:sz w:val="24"/>
          <w:szCs w:val="24"/>
          <w:highlight w:val="white"/>
        </w:rPr>
        <w:t>Es evidente en este país la falta de competencia, propiciado sobre todo por la inexistencia de un procedimiento normado que especifique cómo proceder cuando existe un único oferente. Por ejemplo, en esta tesis se revisaron los pliegos y la documentación del proceso de contratación del proyecto vial “Río Siete-Huaquillas” se pudo notar que se presentó un solo oferente al concurso. Por lo que en conformidad al cumplimiento de todos los requisitos establecidos y tras obtener el mayor puntaje se le adjudicó el contrato. Sin embargo, recibir una sola oferta puede ser problemático y merece su atención a través del Marco Regulatorio. Sea cual sea la causa, la competencia es crucial para obtener una buena relación calidad-precio, ya que muy aparte de todas las evaluaciones realizadas durante la preparación de la APP, el proyecto debe estar sujeto a una “prueba final de mercado”. De todos modos, para que el proceso de licitación sea válido se deberá asegurar que el único proponente cumpla plenamente con todos los requisitos y el valor ofertado sea razonable en comparación con el valor del mercado (Banco Mundial &amp; PPIAF, 2016).</w:t>
      </w:r>
    </w:p>
    <w:p w:rsidR="00E90573" w:rsidRDefault="00E90573">
      <w:pPr>
        <w:spacing w:after="0" w:line="240" w:lineRule="auto"/>
        <w:jc w:val="both"/>
        <w:rPr>
          <w:rFonts w:ascii="Helvetica Neue" w:eastAsia="Helvetica Neue" w:hAnsi="Helvetica Neue" w:cs="Helvetica Neue"/>
          <w:sz w:val="24"/>
          <w:szCs w:val="24"/>
          <w:highlight w:val="white"/>
        </w:rPr>
      </w:pPr>
    </w:p>
    <w:p w:rsidR="00E90573" w:rsidRDefault="00D17DEC">
      <w:pPr>
        <w:spacing w:after="0" w:line="240" w:lineRule="auto"/>
        <w:jc w:val="both"/>
        <w:rPr>
          <w:rFonts w:ascii="Helvetica Neue" w:eastAsia="Helvetica Neue" w:hAnsi="Helvetica Neue" w:cs="Helvetica Neue"/>
          <w:sz w:val="24"/>
          <w:szCs w:val="24"/>
          <w:highlight w:val="white"/>
        </w:rPr>
      </w:pPr>
      <w:r>
        <w:rPr>
          <w:rFonts w:ascii="Helvetica Neue" w:eastAsia="Helvetica Neue" w:hAnsi="Helvetica Neue" w:cs="Helvetica Neue"/>
          <w:sz w:val="24"/>
          <w:szCs w:val="24"/>
          <w:highlight w:val="white"/>
        </w:rPr>
        <w:t xml:space="preserve">Para el caso del proyecto en mención, todos los parámetros fijados por la Entidad contratante se cumplieron a cabalidad, pero se debe indicar que los valores ofertados están al límite de los rangos máximos establecidos, lo cual pudo haber resultado en mayores beneficios económicos para la Entidad contratante si hubiera existido otros competidores en el proceso licitatorio. </w:t>
      </w:r>
    </w:p>
    <w:p w:rsidR="00E90573" w:rsidRDefault="00E90573">
      <w:pPr>
        <w:spacing w:after="0" w:line="240" w:lineRule="auto"/>
        <w:jc w:val="both"/>
        <w:rPr>
          <w:rFonts w:ascii="Helvetica Neue" w:eastAsia="Helvetica Neue" w:hAnsi="Helvetica Neue" w:cs="Helvetica Neue"/>
          <w:sz w:val="24"/>
          <w:szCs w:val="24"/>
          <w:highlight w:val="white"/>
        </w:rPr>
      </w:pPr>
    </w:p>
    <w:p w:rsidR="00E90573" w:rsidRDefault="00D17DEC">
      <w:pPr>
        <w:spacing w:after="0" w:line="240" w:lineRule="auto"/>
        <w:jc w:val="both"/>
        <w:rPr>
          <w:rFonts w:ascii="Helvetica Neue" w:eastAsia="Helvetica Neue" w:hAnsi="Helvetica Neue" w:cs="Helvetica Neue"/>
          <w:b/>
          <w:sz w:val="24"/>
          <w:szCs w:val="24"/>
          <w:highlight w:val="white"/>
          <w:u w:val="single"/>
        </w:rPr>
      </w:pPr>
      <w:r>
        <w:rPr>
          <w:rFonts w:ascii="Helvetica Neue" w:eastAsia="Helvetica Neue" w:hAnsi="Helvetica Neue" w:cs="Helvetica Neue"/>
          <w:b/>
          <w:sz w:val="24"/>
          <w:szCs w:val="24"/>
          <w:highlight w:val="white"/>
          <w:u w:val="single"/>
        </w:rPr>
        <w:t>11.4. Filipinas - Fondo de contingencias</w:t>
      </w:r>
      <w:r>
        <w:rPr>
          <w:rFonts w:ascii="Helvetica Neue" w:eastAsia="Helvetica Neue" w:hAnsi="Helvetica Neue" w:cs="Helvetica Neue"/>
          <w:b/>
          <w:sz w:val="24"/>
          <w:szCs w:val="24"/>
          <w:highlight w:val="white"/>
          <w:u w:val="single"/>
          <w:vertAlign w:val="superscript"/>
        </w:rPr>
        <w:footnoteReference w:id="55"/>
      </w:r>
      <w:r>
        <w:rPr>
          <w:rFonts w:ascii="Helvetica Neue" w:eastAsia="Helvetica Neue" w:hAnsi="Helvetica Neue" w:cs="Helvetica Neue"/>
          <w:b/>
          <w:sz w:val="24"/>
          <w:szCs w:val="24"/>
          <w:highlight w:val="white"/>
          <w:u w:val="single"/>
        </w:rPr>
        <w:t xml:space="preserve"> </w:t>
      </w:r>
    </w:p>
    <w:p w:rsidR="00E90573" w:rsidRDefault="00E90573">
      <w:pPr>
        <w:spacing w:after="0" w:line="240" w:lineRule="auto"/>
        <w:jc w:val="both"/>
        <w:rPr>
          <w:rFonts w:ascii="Helvetica Neue" w:eastAsia="Helvetica Neue" w:hAnsi="Helvetica Neue" w:cs="Helvetica Neue"/>
          <w:b/>
          <w:sz w:val="24"/>
          <w:szCs w:val="24"/>
          <w:highlight w:val="white"/>
          <w:u w:val="single"/>
        </w:rPr>
      </w:pPr>
    </w:p>
    <w:p w:rsidR="00E90573" w:rsidRDefault="00D17DEC">
      <w:pPr>
        <w:spacing w:after="0" w:line="240" w:lineRule="auto"/>
        <w:jc w:val="both"/>
        <w:rPr>
          <w:rFonts w:ascii="Helvetica Neue" w:eastAsia="Helvetica Neue" w:hAnsi="Helvetica Neue" w:cs="Helvetica Neue"/>
          <w:sz w:val="24"/>
          <w:szCs w:val="24"/>
          <w:highlight w:val="white"/>
        </w:rPr>
      </w:pPr>
      <w:r>
        <w:rPr>
          <w:rFonts w:ascii="Helvetica Neue" w:eastAsia="Helvetica Neue" w:hAnsi="Helvetica Neue" w:cs="Helvetica Neue"/>
          <w:sz w:val="24"/>
          <w:szCs w:val="24"/>
          <w:highlight w:val="white"/>
        </w:rPr>
        <w:t>En Filipinas el Departamento de Finanzas propone la inclusión de una partida presupuestaria nacional que tendrá en cuenta los pasivos contingentes del gobierno en proyectos de asociación público-privada (APP), de acuerdo con lo comentado por la Tesorera Nacional Rosalia V. de León. La propuesta tiene contemplada una cantidad inicial de alrededor de 30 mil millones de P. Pero esto todavía está en discusión con el DBM (Departamento de Presupuesto y Gestión).</w:t>
      </w:r>
    </w:p>
    <w:p w:rsidR="00E90573" w:rsidRDefault="00E90573">
      <w:pPr>
        <w:spacing w:after="0" w:line="240" w:lineRule="auto"/>
        <w:jc w:val="both"/>
        <w:rPr>
          <w:rFonts w:ascii="Helvetica Neue" w:eastAsia="Helvetica Neue" w:hAnsi="Helvetica Neue" w:cs="Helvetica Neue"/>
          <w:sz w:val="24"/>
          <w:szCs w:val="24"/>
          <w:highlight w:val="white"/>
        </w:rPr>
      </w:pPr>
    </w:p>
    <w:p w:rsidR="00E90573" w:rsidRDefault="00D17DEC">
      <w:pPr>
        <w:spacing w:after="0" w:line="240" w:lineRule="auto"/>
        <w:jc w:val="both"/>
        <w:rPr>
          <w:rFonts w:ascii="Helvetica Neue" w:eastAsia="Helvetica Neue" w:hAnsi="Helvetica Neue" w:cs="Helvetica Neue"/>
          <w:sz w:val="24"/>
          <w:szCs w:val="24"/>
          <w:highlight w:val="white"/>
        </w:rPr>
      </w:pPr>
      <w:r>
        <w:rPr>
          <w:rFonts w:ascii="Helvetica Neue" w:eastAsia="Helvetica Neue" w:hAnsi="Helvetica Neue" w:cs="Helvetica Neue"/>
          <w:sz w:val="24"/>
          <w:szCs w:val="24"/>
          <w:highlight w:val="white"/>
        </w:rPr>
        <w:t>Según explica la funcionaria, la partida corresponde a un "fondo de espera" (parecido al fondo de contingencia manejado en Colombia), para los pasivos del gobierno que pudieran surgir de los acuerdos que se generan de los proyectos de APP. De acuerdo con la Tesorera Nacional, "Si los pasivos no se activan, entonces no gastaremos nada. Estamos dispuestos a ponerlo [en el presupuesto] porque estamos seguros de que nunca se activará".</w:t>
      </w:r>
    </w:p>
    <w:p w:rsidR="00E90573" w:rsidRDefault="00E90573">
      <w:pPr>
        <w:spacing w:after="0" w:line="240" w:lineRule="auto"/>
        <w:jc w:val="both"/>
        <w:rPr>
          <w:rFonts w:ascii="Helvetica Neue" w:eastAsia="Helvetica Neue" w:hAnsi="Helvetica Neue" w:cs="Helvetica Neue"/>
          <w:sz w:val="24"/>
          <w:szCs w:val="24"/>
          <w:highlight w:val="white"/>
        </w:rPr>
      </w:pPr>
    </w:p>
    <w:p w:rsidR="00E90573" w:rsidRDefault="00D17DEC">
      <w:pPr>
        <w:spacing w:after="0" w:line="240" w:lineRule="auto"/>
        <w:jc w:val="both"/>
        <w:rPr>
          <w:rFonts w:ascii="Helvetica Neue" w:eastAsia="Helvetica Neue" w:hAnsi="Helvetica Neue" w:cs="Helvetica Neue"/>
          <w:sz w:val="24"/>
          <w:szCs w:val="24"/>
          <w:highlight w:val="white"/>
        </w:rPr>
      </w:pPr>
      <w:r>
        <w:rPr>
          <w:rFonts w:ascii="Helvetica Neue" w:eastAsia="Helvetica Neue" w:hAnsi="Helvetica Neue" w:cs="Helvetica Neue"/>
          <w:sz w:val="24"/>
          <w:szCs w:val="24"/>
          <w:highlight w:val="white"/>
        </w:rPr>
        <w:t xml:space="preserve">El programa de APPs fue lanzado en 2010 en Filipinas, ha sido uno de los proyectos emblemáticos de la administración Aquino, pero ha suscitado muchas críticas debido a los retrasos en la implementación. </w:t>
      </w:r>
    </w:p>
    <w:p w:rsidR="00E90573" w:rsidRDefault="00E90573">
      <w:pPr>
        <w:spacing w:after="0" w:line="240" w:lineRule="auto"/>
        <w:jc w:val="both"/>
        <w:rPr>
          <w:rFonts w:ascii="Helvetica Neue" w:eastAsia="Helvetica Neue" w:hAnsi="Helvetica Neue" w:cs="Helvetica Neue"/>
          <w:sz w:val="24"/>
          <w:szCs w:val="24"/>
          <w:highlight w:val="white"/>
        </w:rPr>
      </w:pPr>
    </w:p>
    <w:p w:rsidR="00E90573" w:rsidRDefault="00D17DEC">
      <w:pPr>
        <w:spacing w:after="0" w:line="240" w:lineRule="auto"/>
        <w:jc w:val="both"/>
        <w:rPr>
          <w:rFonts w:ascii="Helvetica Neue" w:eastAsia="Helvetica Neue" w:hAnsi="Helvetica Neue" w:cs="Helvetica Neue"/>
          <w:sz w:val="24"/>
          <w:szCs w:val="24"/>
          <w:highlight w:val="white"/>
        </w:rPr>
      </w:pPr>
      <w:r>
        <w:rPr>
          <w:rFonts w:ascii="Helvetica Neue" w:eastAsia="Helvetica Neue" w:hAnsi="Helvetica Neue" w:cs="Helvetica Neue"/>
          <w:sz w:val="24"/>
          <w:szCs w:val="24"/>
          <w:highlight w:val="white"/>
        </w:rPr>
        <w:t>Hasta el momento sólo se han otorgado tres acuerdos de APPs: el enlace de la autopista Daang Hari-Luzon del Sur; el Proyecto de Infraestructura Escolar y la autopista del Aeropuerto Internacional Ninoy Aquino.</w:t>
      </w:r>
    </w:p>
    <w:p w:rsidR="00E90573" w:rsidRDefault="00E90573">
      <w:pPr>
        <w:spacing w:after="0" w:line="240" w:lineRule="auto"/>
        <w:jc w:val="both"/>
        <w:rPr>
          <w:rFonts w:ascii="Helvetica Neue" w:eastAsia="Helvetica Neue" w:hAnsi="Helvetica Neue" w:cs="Helvetica Neue"/>
          <w:b/>
          <w:sz w:val="24"/>
          <w:szCs w:val="24"/>
          <w:highlight w:val="white"/>
          <w:u w:val="single"/>
        </w:rPr>
      </w:pPr>
    </w:p>
    <w:p w:rsidR="00E90573" w:rsidRDefault="00D17DEC">
      <w:pPr>
        <w:spacing w:after="0" w:line="240" w:lineRule="auto"/>
        <w:jc w:val="both"/>
        <w:rPr>
          <w:rFonts w:ascii="Helvetica Neue" w:eastAsia="Helvetica Neue" w:hAnsi="Helvetica Neue" w:cs="Helvetica Neue"/>
          <w:b/>
          <w:sz w:val="24"/>
          <w:szCs w:val="24"/>
          <w:highlight w:val="white"/>
          <w:u w:val="single"/>
        </w:rPr>
      </w:pPr>
      <w:r>
        <w:rPr>
          <w:rFonts w:ascii="Helvetica Neue" w:eastAsia="Helvetica Neue" w:hAnsi="Helvetica Neue" w:cs="Helvetica Neue"/>
          <w:b/>
          <w:sz w:val="24"/>
          <w:szCs w:val="24"/>
          <w:highlight w:val="white"/>
          <w:u w:val="single"/>
        </w:rPr>
        <w:t>11.5. Camerún</w:t>
      </w:r>
    </w:p>
    <w:p w:rsidR="00E90573" w:rsidRDefault="00D17DEC">
      <w:pPr>
        <w:spacing w:before="240" w:after="240" w:line="240" w:lineRule="auto"/>
        <w:jc w:val="both"/>
        <w:rPr>
          <w:rFonts w:ascii="Helvetica Neue" w:eastAsia="Helvetica Neue" w:hAnsi="Helvetica Neue" w:cs="Helvetica Neue"/>
          <w:sz w:val="24"/>
          <w:szCs w:val="24"/>
          <w:highlight w:val="white"/>
        </w:rPr>
      </w:pPr>
      <w:r>
        <w:rPr>
          <w:rFonts w:ascii="Helvetica Neue" w:eastAsia="Helvetica Neue" w:hAnsi="Helvetica Neue" w:cs="Helvetica Neue"/>
          <w:sz w:val="24"/>
          <w:szCs w:val="24"/>
          <w:highlight w:val="white"/>
        </w:rPr>
        <w:lastRenderedPageBreak/>
        <w:t>De conformidad con el artículo 13 del Decreto  No.2008/0115/PM, de 24 de enero de 2008, por el que se precisan las cláusulas de ejecución de la Ley No 2006/012, de 29 de diciembre de 2006, por la que se fija el reglamento general de los Contratos de APP, las etapas de la contratación son las siguientes: Una licitación pública con manifestación de interés; una oferta restringida; la presentación; un diálogo de precalificación; la adjudicación; la notificación de resultados; la firma del contrato.</w:t>
      </w:r>
    </w:p>
    <w:p w:rsidR="00E90573" w:rsidRDefault="00D17DEC">
      <w:pPr>
        <w:spacing w:before="240" w:after="240" w:line="240" w:lineRule="auto"/>
        <w:jc w:val="both"/>
        <w:rPr>
          <w:rFonts w:ascii="Helvetica Neue" w:eastAsia="Helvetica Neue" w:hAnsi="Helvetica Neue" w:cs="Helvetica Neue"/>
          <w:sz w:val="24"/>
          <w:szCs w:val="24"/>
          <w:highlight w:val="white"/>
        </w:rPr>
      </w:pPr>
      <w:r>
        <w:rPr>
          <w:rFonts w:ascii="Helvetica Neue" w:eastAsia="Helvetica Neue" w:hAnsi="Helvetica Neue" w:cs="Helvetica Neue"/>
          <w:sz w:val="24"/>
          <w:szCs w:val="24"/>
          <w:highlight w:val="white"/>
        </w:rPr>
        <w:t>De acuerdo con el consultor jurídico, Cyrille Mbolo (2016)</w:t>
      </w:r>
      <w:r>
        <w:rPr>
          <w:rFonts w:ascii="Helvetica Neue" w:eastAsia="Helvetica Neue" w:hAnsi="Helvetica Neue" w:cs="Helvetica Neue"/>
          <w:sz w:val="24"/>
          <w:szCs w:val="24"/>
          <w:highlight w:val="white"/>
          <w:vertAlign w:val="superscript"/>
        </w:rPr>
        <w:footnoteReference w:id="56"/>
      </w:r>
      <w:r>
        <w:rPr>
          <w:rFonts w:ascii="Helvetica Neue" w:eastAsia="Helvetica Neue" w:hAnsi="Helvetica Neue" w:cs="Helvetica Neue"/>
          <w:sz w:val="24"/>
          <w:szCs w:val="24"/>
          <w:highlight w:val="white"/>
        </w:rPr>
        <w:t>, el enfoque que consiste en la precalificación de los licitadores parece el mejor ha sido destacado, pues que evita gastar tiempo y recursos examinando todas las propuestas, y permite concentrarse en las ofertas presentadas por los mejores oferentes que cumplen con el umbral financiero y técnico para entregar el proyecto.</w:t>
      </w:r>
      <w:r>
        <w:rPr>
          <w:rFonts w:ascii="Helvetica Neue" w:eastAsia="Helvetica Neue" w:hAnsi="Helvetica Neue" w:cs="Helvetica Neue"/>
          <w:sz w:val="24"/>
          <w:szCs w:val="24"/>
          <w:highlight w:val="white"/>
          <w:vertAlign w:val="superscript"/>
        </w:rPr>
        <w:footnoteReference w:id="57"/>
      </w:r>
    </w:p>
    <w:p w:rsidR="00E90573" w:rsidRDefault="00D17DEC">
      <w:pPr>
        <w:spacing w:before="240" w:after="240" w:line="240" w:lineRule="auto"/>
        <w:jc w:val="both"/>
        <w:rPr>
          <w:rFonts w:ascii="Helvetica Neue" w:eastAsia="Helvetica Neue" w:hAnsi="Helvetica Neue" w:cs="Helvetica Neue"/>
          <w:sz w:val="24"/>
          <w:szCs w:val="24"/>
          <w:highlight w:val="white"/>
        </w:rPr>
      </w:pPr>
      <w:r>
        <w:rPr>
          <w:rFonts w:ascii="Helvetica Neue" w:eastAsia="Helvetica Neue" w:hAnsi="Helvetica Neue" w:cs="Helvetica Neue"/>
          <w:sz w:val="24"/>
          <w:szCs w:val="24"/>
          <w:highlight w:val="white"/>
        </w:rPr>
        <w:t>En cuanto a la competencia, el objetivo de la fase de contratación es crear un espacio de competencia entre los licitadores, de modo que cada licitador pueda proponer la mejor oferta, en mejores condiciones. Este objetivo difícilmente podría alcanzarse, si un licitador pudiera tener la oportunidad de negociar los términos del contrato con la entidad pública directamente, porque "sin ninguna tensión competitiva entre los licitadores, el Licitante Preferido se convierte efectivamente en un proveedor monopolístico (incluso si teóricamente la Autoridad Pública pudiera volver a los otros licitadores, esto rara vez es viable en la práctica, sobre todo porque el equipo de licitación perdedora habrá sido redistribuido en otros lugares por sus empleadores)"</w:t>
      </w:r>
      <w:r>
        <w:rPr>
          <w:rFonts w:ascii="Helvetica Neue" w:eastAsia="Helvetica Neue" w:hAnsi="Helvetica Neue" w:cs="Helvetica Neue"/>
          <w:sz w:val="24"/>
          <w:szCs w:val="24"/>
          <w:highlight w:val="white"/>
          <w:vertAlign w:val="superscript"/>
        </w:rPr>
        <w:footnoteReference w:id="58"/>
      </w:r>
      <w:r>
        <w:rPr>
          <w:rFonts w:ascii="Helvetica Neue" w:eastAsia="Helvetica Neue" w:hAnsi="Helvetica Neue" w:cs="Helvetica Neue"/>
          <w:sz w:val="24"/>
          <w:szCs w:val="24"/>
          <w:highlight w:val="white"/>
        </w:rPr>
        <w:t>.</w:t>
      </w:r>
    </w:p>
    <w:p w:rsidR="00E90573" w:rsidRDefault="00D17DEC">
      <w:pPr>
        <w:spacing w:before="240" w:after="240" w:line="240" w:lineRule="auto"/>
        <w:jc w:val="both"/>
        <w:rPr>
          <w:rFonts w:ascii="Helvetica Neue" w:eastAsia="Helvetica Neue" w:hAnsi="Helvetica Neue" w:cs="Helvetica Neue"/>
          <w:sz w:val="24"/>
          <w:szCs w:val="24"/>
          <w:highlight w:val="white"/>
        </w:rPr>
      </w:pPr>
      <w:r>
        <w:rPr>
          <w:rFonts w:ascii="Helvetica Neue" w:eastAsia="Helvetica Neue" w:hAnsi="Helvetica Neue" w:cs="Helvetica Neue"/>
          <w:sz w:val="24"/>
          <w:szCs w:val="24"/>
          <w:highlight w:val="white"/>
        </w:rPr>
        <w:t>De acuerdo con Mbolo, la adopción de un diálogo competitivo terminado por una negociación posterior a la licitación entre la entidad pública y el licitador preferido socava la competencia, no garantiza la equidad y no es transparente.</w:t>
      </w:r>
    </w:p>
    <w:p w:rsidR="00E90573" w:rsidRDefault="00D17DEC">
      <w:pPr>
        <w:spacing w:before="240" w:after="240" w:line="240" w:lineRule="auto"/>
        <w:jc w:val="both"/>
        <w:rPr>
          <w:rFonts w:ascii="Helvetica Neue" w:eastAsia="Helvetica Neue" w:hAnsi="Helvetica Neue" w:cs="Helvetica Neue"/>
          <w:sz w:val="24"/>
          <w:szCs w:val="24"/>
          <w:highlight w:val="white"/>
        </w:rPr>
      </w:pPr>
      <w:r>
        <w:rPr>
          <w:rFonts w:ascii="Helvetica Neue" w:eastAsia="Helvetica Neue" w:hAnsi="Helvetica Neue" w:cs="Helvetica Neue"/>
          <w:sz w:val="24"/>
          <w:szCs w:val="24"/>
          <w:highlight w:val="white"/>
        </w:rPr>
        <w:t>Así que cada licitador hará todo lo que pueda para llegar a la etapa de negociación directa, proponiendo la oferta ideal que eliminará a sus competidores en la etapa de diálogo, luego en la etapa de la negociación directa con la entidad pública, será libre de revisar su oferta inicial, o dejar que sus prestamistas impongan sus términos a la entidad pública , o el socio privado podría aceptar el contrato propuesto por la entidad pública, con la intención de renegociarlo durante la fase operativa en su beneficio</w:t>
      </w:r>
      <w:r>
        <w:rPr>
          <w:rFonts w:ascii="Helvetica Neue" w:eastAsia="Helvetica Neue" w:hAnsi="Helvetica Neue" w:cs="Helvetica Neue"/>
          <w:sz w:val="24"/>
          <w:szCs w:val="24"/>
          <w:highlight w:val="white"/>
          <w:vertAlign w:val="superscript"/>
        </w:rPr>
        <w:footnoteReference w:id="59"/>
      </w:r>
      <w:r>
        <w:rPr>
          <w:rFonts w:ascii="Helvetica Neue" w:eastAsia="Helvetica Neue" w:hAnsi="Helvetica Neue" w:cs="Helvetica Neue"/>
          <w:sz w:val="24"/>
          <w:szCs w:val="24"/>
          <w:highlight w:val="white"/>
        </w:rPr>
        <w:t>.</w:t>
      </w:r>
    </w:p>
    <w:p w:rsidR="00E90573" w:rsidRDefault="00D17DEC">
      <w:pPr>
        <w:spacing w:before="240" w:after="240" w:line="240" w:lineRule="auto"/>
        <w:jc w:val="both"/>
        <w:rPr>
          <w:rFonts w:ascii="Helvetica Neue" w:eastAsia="Helvetica Neue" w:hAnsi="Helvetica Neue" w:cs="Helvetica Neue"/>
          <w:sz w:val="24"/>
          <w:szCs w:val="24"/>
          <w:highlight w:val="white"/>
        </w:rPr>
      </w:pPr>
      <w:r>
        <w:rPr>
          <w:rFonts w:ascii="Helvetica Neue" w:eastAsia="Helvetica Neue" w:hAnsi="Helvetica Neue" w:cs="Helvetica Neue"/>
          <w:sz w:val="24"/>
          <w:szCs w:val="24"/>
          <w:highlight w:val="white"/>
        </w:rPr>
        <w:t>En relación con la equidad, todos los licitadores deben recibir el mismo trato y luego tener los mismos deberes y derechos, en particular en países como Camerún, donde la APP se encuentra en sus primeras etapas de funcionamiento. No es normal tratar al licitador considerado como “preferido”, de manera diferente a los demás, porque todos son licitadores hasta la adjudicación del proyecto. Esto no es sólo una preocupación moral, sino también práctica, ya que podría plantear comportamientos oportunistas como se ha visto antes.</w:t>
      </w:r>
    </w:p>
    <w:p w:rsidR="00E90573" w:rsidRDefault="00D17DEC">
      <w:pPr>
        <w:spacing w:before="240" w:after="240" w:line="240" w:lineRule="auto"/>
        <w:jc w:val="both"/>
        <w:rPr>
          <w:rFonts w:ascii="Helvetica Neue" w:eastAsia="Helvetica Neue" w:hAnsi="Helvetica Neue" w:cs="Helvetica Neue"/>
          <w:sz w:val="24"/>
          <w:szCs w:val="24"/>
          <w:highlight w:val="white"/>
        </w:rPr>
      </w:pPr>
      <w:r>
        <w:rPr>
          <w:rFonts w:ascii="Helvetica Neue" w:eastAsia="Helvetica Neue" w:hAnsi="Helvetica Neue" w:cs="Helvetica Neue"/>
          <w:sz w:val="24"/>
          <w:szCs w:val="24"/>
          <w:highlight w:val="white"/>
        </w:rPr>
        <w:t>En cuanto a las propuestas no solicitadas, lo que en Colombia se conoce como APPs de Iniciativa Privada, la ley de APP Camerunesa establece en el artículo 5 del Decreto de 2008 que el operador privado de que se trate puede beneficiarse de una ventaja en el marco de la licitación pública, frente a la competencia para la selección de un socio. Esta afirmación es buena, ya que fomenta propuestas no solicitadas, pero podría mejorarse si fuera más clara.</w:t>
      </w:r>
    </w:p>
    <w:p w:rsidR="00E90573" w:rsidRDefault="00D17DEC">
      <w:pPr>
        <w:spacing w:before="240" w:after="240" w:line="240" w:lineRule="auto"/>
        <w:jc w:val="both"/>
        <w:rPr>
          <w:rFonts w:ascii="Helvetica Neue" w:eastAsia="Helvetica Neue" w:hAnsi="Helvetica Neue" w:cs="Helvetica Neue"/>
          <w:sz w:val="24"/>
          <w:szCs w:val="24"/>
          <w:highlight w:val="white"/>
        </w:rPr>
      </w:pPr>
      <w:r>
        <w:rPr>
          <w:rFonts w:ascii="Helvetica Neue" w:eastAsia="Helvetica Neue" w:hAnsi="Helvetica Neue" w:cs="Helvetica Neue"/>
          <w:sz w:val="24"/>
          <w:szCs w:val="24"/>
          <w:highlight w:val="white"/>
        </w:rPr>
        <w:lastRenderedPageBreak/>
        <w:t xml:space="preserve">Ahora bien, esta ventaja no queda clara, porque el operador privado que propone el proyecto no está seguro de si se beneficiará y también ignora la naturaleza de esa ventaja.  En  Camerún se debe indicar claramente si el operador privado que inicia un proyecto de APP se beneficiará de una ventaja, y cuál es la naturaleza de esta ventaja, para estimular realmente las propuestas no solicitadas. </w:t>
      </w:r>
    </w:p>
    <w:p w:rsidR="00E90573" w:rsidRDefault="00E90573">
      <w:pPr>
        <w:spacing w:after="0" w:line="240" w:lineRule="auto"/>
        <w:jc w:val="both"/>
        <w:rPr>
          <w:rFonts w:ascii="Helvetica Neue" w:eastAsia="Helvetica Neue" w:hAnsi="Helvetica Neue" w:cs="Helvetica Neue"/>
          <w:b/>
          <w:sz w:val="24"/>
          <w:szCs w:val="24"/>
          <w:highlight w:val="white"/>
          <w:u w:val="single"/>
        </w:rPr>
      </w:pPr>
    </w:p>
    <w:p w:rsidR="00E90573" w:rsidRDefault="00D17DEC">
      <w:pPr>
        <w:spacing w:after="0" w:line="240" w:lineRule="auto"/>
        <w:jc w:val="both"/>
        <w:rPr>
          <w:rFonts w:ascii="Helvetica Neue" w:eastAsia="Helvetica Neue" w:hAnsi="Helvetica Neue" w:cs="Helvetica Neue"/>
          <w:b/>
          <w:sz w:val="24"/>
          <w:szCs w:val="24"/>
          <w:highlight w:val="white"/>
          <w:u w:val="single"/>
        </w:rPr>
      </w:pPr>
      <w:r>
        <w:rPr>
          <w:rFonts w:ascii="Helvetica Neue" w:eastAsia="Helvetica Neue" w:hAnsi="Helvetica Neue" w:cs="Helvetica Neue"/>
          <w:b/>
          <w:sz w:val="24"/>
          <w:szCs w:val="24"/>
          <w:highlight w:val="white"/>
          <w:u w:val="single"/>
        </w:rPr>
        <w:t xml:space="preserve">11.5. Críticas sobre APPs en Países en desarrollo </w:t>
      </w:r>
    </w:p>
    <w:p w:rsidR="00E90573" w:rsidRDefault="00E90573">
      <w:pPr>
        <w:spacing w:after="0" w:line="240" w:lineRule="auto"/>
        <w:jc w:val="both"/>
        <w:rPr>
          <w:rFonts w:ascii="Helvetica Neue" w:eastAsia="Helvetica Neue" w:hAnsi="Helvetica Neue" w:cs="Helvetica Neue"/>
          <w:b/>
          <w:sz w:val="24"/>
          <w:szCs w:val="24"/>
          <w:highlight w:val="white"/>
          <w:u w:val="single"/>
        </w:rPr>
      </w:pPr>
    </w:p>
    <w:p w:rsidR="00E90573" w:rsidRDefault="00D17DEC">
      <w:pPr>
        <w:spacing w:after="0" w:line="240" w:lineRule="auto"/>
        <w:jc w:val="both"/>
        <w:rPr>
          <w:rFonts w:ascii="Helvetica Neue" w:eastAsia="Helvetica Neue" w:hAnsi="Helvetica Neue" w:cs="Helvetica Neue"/>
          <w:sz w:val="24"/>
          <w:szCs w:val="24"/>
          <w:highlight w:val="white"/>
        </w:rPr>
      </w:pPr>
      <w:r>
        <w:rPr>
          <w:rFonts w:ascii="Helvetica Neue" w:eastAsia="Helvetica Neue" w:hAnsi="Helvetica Neue" w:cs="Helvetica Neue"/>
          <w:sz w:val="24"/>
          <w:szCs w:val="24"/>
          <w:highlight w:val="white"/>
        </w:rPr>
        <w:t>Engel, Fischer y Galetovic (2014) argumentaron que la estructura de gobernanza bajo la cual operan la mayoría de las APP es "generalmente defectuosa". Esto se debe en gran medida a que las APP comparten muchos de los mismos defectos que las obras públicas estándar, incluidos el diseño indebido, la mala contratación y las frecuentes renegociaciones que Engel y sus coautores concluyen son a menudo intentos oportunistas de contratistas privados para aumentar los beneficios. Un estudio reciente del Servicio de Asesoramiento sobre Infraestructura Público-Privada (PPIAF) del Banco Mundial</w:t>
      </w:r>
      <w:r>
        <w:rPr>
          <w:rFonts w:ascii="Helvetica Neue" w:eastAsia="Helvetica Neue" w:hAnsi="Helvetica Neue" w:cs="Helvetica Neue"/>
          <w:b/>
          <w:sz w:val="24"/>
          <w:szCs w:val="24"/>
          <w:highlight w:val="white"/>
        </w:rPr>
        <w:t xml:space="preserve"> encontró que, en aras de llevar a cabo los proyectos, muchos países en desarrollo utilizan una competencia limitada y una negociación directa para adquirir patrocinadores y operadores privados (PPIAF 2014</w:t>
      </w:r>
      <w:r>
        <w:rPr>
          <w:rFonts w:ascii="Helvetica Neue" w:eastAsia="Helvetica Neue" w:hAnsi="Helvetica Neue" w:cs="Helvetica Neue"/>
          <w:b/>
          <w:sz w:val="24"/>
          <w:szCs w:val="24"/>
          <w:highlight w:val="white"/>
          <w:vertAlign w:val="superscript"/>
        </w:rPr>
        <w:footnoteReference w:id="60"/>
      </w:r>
      <w:r>
        <w:rPr>
          <w:rFonts w:ascii="Helvetica Neue" w:eastAsia="Helvetica Neue" w:hAnsi="Helvetica Neue" w:cs="Helvetica Neue"/>
          <w:b/>
          <w:sz w:val="24"/>
          <w:szCs w:val="24"/>
          <w:highlight w:val="white"/>
        </w:rPr>
        <w:t>).</w:t>
      </w:r>
      <w:r>
        <w:rPr>
          <w:rFonts w:ascii="Helvetica Neue" w:eastAsia="Helvetica Neue" w:hAnsi="Helvetica Neue" w:cs="Helvetica Neue"/>
          <w:sz w:val="24"/>
          <w:szCs w:val="24"/>
          <w:highlight w:val="white"/>
        </w:rPr>
        <w:t xml:space="preserve"> Pero el PPIAF también encontró que los proyectos adquiridos de esta manera tienden a ser más caros y están sujetos a más problemas en la implementación</w:t>
      </w:r>
      <w:r>
        <w:rPr>
          <w:rFonts w:ascii="Helvetica Neue" w:eastAsia="Helvetica Neue" w:hAnsi="Helvetica Neue" w:cs="Helvetica Neue"/>
          <w:sz w:val="24"/>
          <w:szCs w:val="24"/>
          <w:highlight w:val="white"/>
          <w:vertAlign w:val="superscript"/>
        </w:rPr>
        <w:footnoteReference w:id="61"/>
      </w:r>
      <w:r>
        <w:rPr>
          <w:rFonts w:ascii="Helvetica Neue" w:eastAsia="Helvetica Neue" w:hAnsi="Helvetica Neue" w:cs="Helvetica Neue"/>
          <w:sz w:val="24"/>
          <w:szCs w:val="24"/>
          <w:highlight w:val="white"/>
        </w:rPr>
        <w:t>.</w:t>
      </w:r>
    </w:p>
    <w:p w:rsidR="00E90573" w:rsidRDefault="00E90573">
      <w:pPr>
        <w:spacing w:after="0" w:line="240" w:lineRule="auto"/>
        <w:jc w:val="both"/>
        <w:rPr>
          <w:rFonts w:ascii="Helvetica Neue" w:eastAsia="Helvetica Neue" w:hAnsi="Helvetica Neue" w:cs="Helvetica Neue"/>
          <w:sz w:val="24"/>
          <w:szCs w:val="24"/>
          <w:highlight w:val="white"/>
        </w:rPr>
      </w:pPr>
    </w:p>
    <w:p w:rsidR="00E90573" w:rsidRDefault="00E90573">
      <w:pPr>
        <w:spacing w:after="0" w:line="240" w:lineRule="auto"/>
        <w:jc w:val="both"/>
        <w:rPr>
          <w:rFonts w:ascii="Helvetica Neue" w:eastAsia="Helvetica Neue" w:hAnsi="Helvetica Neue" w:cs="Helvetica Neue"/>
          <w:sz w:val="24"/>
          <w:szCs w:val="24"/>
        </w:rPr>
      </w:pPr>
    </w:p>
    <w:p w:rsidR="00E90573" w:rsidRDefault="00D17DEC">
      <w:pPr>
        <w:pStyle w:val="Ttulo"/>
        <w:spacing w:after="0" w:line="240" w:lineRule="auto"/>
        <w:jc w:val="both"/>
        <w:rPr>
          <w:rFonts w:ascii="Helvetica Neue" w:eastAsia="Helvetica Neue" w:hAnsi="Helvetica Neue" w:cs="Helvetica Neue"/>
          <w:sz w:val="24"/>
          <w:szCs w:val="24"/>
          <w:u w:val="single"/>
        </w:rPr>
      </w:pPr>
      <w:bookmarkStart w:id="17" w:name="_heading=h.v71etmvn174h" w:colFirst="0" w:colLast="0"/>
      <w:bookmarkEnd w:id="17"/>
      <w:r>
        <w:rPr>
          <w:rFonts w:ascii="Helvetica Neue" w:eastAsia="Helvetica Neue" w:hAnsi="Helvetica Neue" w:cs="Helvetica Neue"/>
          <w:sz w:val="24"/>
          <w:szCs w:val="24"/>
          <w:u w:val="single"/>
        </w:rPr>
        <w:t>12. CONCLUSIONES</w:t>
      </w:r>
    </w:p>
    <w:p w:rsidR="00E90573" w:rsidRDefault="00E90573">
      <w:pPr>
        <w:spacing w:after="0" w:line="240" w:lineRule="auto"/>
        <w:rPr>
          <w:rFonts w:ascii="Helvetica Neue" w:eastAsia="Helvetica Neue" w:hAnsi="Helvetica Neue" w:cs="Helvetica Neue"/>
          <w:color w:val="000000"/>
          <w:sz w:val="24"/>
          <w:szCs w:val="24"/>
          <w:highlight w:val="white"/>
        </w:rPr>
      </w:pPr>
    </w:p>
    <w:p w:rsidR="00E90573" w:rsidRDefault="00D17DEC">
      <w:pPr>
        <w:pBdr>
          <w:top w:val="nil"/>
          <w:left w:val="nil"/>
          <w:bottom w:val="nil"/>
          <w:right w:val="nil"/>
          <w:between w:val="nil"/>
        </w:pBdr>
        <w:spacing w:after="0" w:line="240" w:lineRule="auto"/>
        <w:jc w:val="both"/>
        <w:rPr>
          <w:rFonts w:ascii="Helvetica Neue" w:eastAsia="Helvetica Neue" w:hAnsi="Helvetica Neue" w:cs="Helvetica Neue"/>
          <w:sz w:val="24"/>
          <w:szCs w:val="24"/>
        </w:rPr>
      </w:pPr>
      <w:r>
        <w:rPr>
          <w:rFonts w:ascii="Helvetica Neue" w:eastAsia="Helvetica Neue" w:hAnsi="Helvetica Neue" w:cs="Helvetica Neue"/>
          <w:sz w:val="24"/>
          <w:szCs w:val="24"/>
        </w:rPr>
        <w:t>Las Asociaciones Público-Privadas (APPs) son un mecanismo de contratación que permite vincular capital privado para la construcción de infraestructura pública y sus servicios asociados (Ley 1508 de 2012). Las APPs vinculan capital privado para la realización de obras que de otro modo no tendrían lugar. A diferencia de las concesiones donde el Estado estructura el proyecto y pone los recursos.</w:t>
      </w:r>
    </w:p>
    <w:p w:rsidR="00E90573" w:rsidRDefault="00E90573">
      <w:pPr>
        <w:pBdr>
          <w:top w:val="nil"/>
          <w:left w:val="nil"/>
          <w:bottom w:val="nil"/>
          <w:right w:val="nil"/>
          <w:between w:val="nil"/>
        </w:pBdr>
        <w:spacing w:after="0" w:line="240" w:lineRule="auto"/>
        <w:jc w:val="both"/>
        <w:rPr>
          <w:rFonts w:ascii="Helvetica Neue" w:eastAsia="Helvetica Neue" w:hAnsi="Helvetica Neue" w:cs="Helvetica Neue"/>
          <w:sz w:val="24"/>
          <w:szCs w:val="24"/>
        </w:rPr>
      </w:pPr>
    </w:p>
    <w:p w:rsidR="00E90573" w:rsidRDefault="00D17DEC">
      <w:pPr>
        <w:pBdr>
          <w:top w:val="nil"/>
          <w:left w:val="nil"/>
          <w:bottom w:val="nil"/>
          <w:right w:val="nil"/>
          <w:between w:val="nil"/>
        </w:pBdr>
        <w:spacing w:after="0" w:line="240" w:lineRule="auto"/>
        <w:jc w:val="both"/>
        <w:rPr>
          <w:rFonts w:ascii="Helvetica Neue" w:eastAsia="Helvetica Neue" w:hAnsi="Helvetica Neue" w:cs="Helvetica Neue"/>
          <w:sz w:val="24"/>
          <w:szCs w:val="24"/>
        </w:rPr>
      </w:pPr>
      <w:r>
        <w:rPr>
          <w:rFonts w:ascii="Helvetica Neue" w:eastAsia="Helvetica Neue" w:hAnsi="Helvetica Neue" w:cs="Helvetica Neue"/>
          <w:sz w:val="24"/>
          <w:szCs w:val="24"/>
        </w:rPr>
        <w:t>En las APPs de Iniciativa Pública, el diseño del proyecto lo hace la entidad pública y se puede ejecutar entre el público y el privado o ser ejecutado solo por el privado.  La financiación del proyecto puede ser: mediante recursos públicos, de la explotación económica de la APP o una combinación de las dos.</w:t>
      </w:r>
    </w:p>
    <w:p w:rsidR="00E90573" w:rsidRDefault="00E90573">
      <w:pPr>
        <w:pBdr>
          <w:top w:val="nil"/>
          <w:left w:val="nil"/>
          <w:bottom w:val="nil"/>
          <w:right w:val="nil"/>
          <w:between w:val="nil"/>
        </w:pBdr>
        <w:spacing w:after="0" w:line="240" w:lineRule="auto"/>
        <w:jc w:val="both"/>
        <w:rPr>
          <w:rFonts w:ascii="Helvetica Neue" w:eastAsia="Helvetica Neue" w:hAnsi="Helvetica Neue" w:cs="Helvetica Neue"/>
          <w:sz w:val="24"/>
          <w:szCs w:val="24"/>
        </w:rPr>
      </w:pPr>
    </w:p>
    <w:p w:rsidR="00E90573" w:rsidRDefault="00D17DEC">
      <w:pPr>
        <w:pBdr>
          <w:top w:val="nil"/>
          <w:left w:val="nil"/>
          <w:bottom w:val="nil"/>
          <w:right w:val="nil"/>
          <w:between w:val="nil"/>
        </w:pBdr>
        <w:spacing w:after="0" w:line="240" w:lineRule="auto"/>
        <w:jc w:val="both"/>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Las APPs de Iniciativa Privada son aquellas en las que el particular presenta la propuesta completa del proyecto. El privado tiene la responsabilidad de realizar, por su propia cuenta, los estudios necesarios, con el riesgo que la entidad estatal defina si es de interés para el país o la región. Si la entidad estatal decide que el proyecto no es de interés nacional no tiene que pagar los estudios realizados por el privado.  </w:t>
      </w:r>
    </w:p>
    <w:p w:rsidR="00E90573" w:rsidRDefault="00E90573">
      <w:pPr>
        <w:pBdr>
          <w:top w:val="nil"/>
          <w:left w:val="nil"/>
          <w:bottom w:val="nil"/>
          <w:right w:val="nil"/>
          <w:between w:val="nil"/>
        </w:pBdr>
        <w:spacing w:after="0" w:line="240" w:lineRule="auto"/>
        <w:jc w:val="both"/>
        <w:rPr>
          <w:rFonts w:ascii="Helvetica Neue" w:eastAsia="Helvetica Neue" w:hAnsi="Helvetica Neue" w:cs="Helvetica Neue"/>
          <w:sz w:val="24"/>
          <w:szCs w:val="24"/>
        </w:rPr>
      </w:pPr>
    </w:p>
    <w:p w:rsidR="00E90573" w:rsidRDefault="00D17DEC">
      <w:pPr>
        <w:pBdr>
          <w:top w:val="nil"/>
          <w:left w:val="nil"/>
          <w:bottom w:val="nil"/>
          <w:right w:val="nil"/>
          <w:between w:val="nil"/>
        </w:pBdr>
        <w:spacing w:after="0" w:line="240" w:lineRule="auto"/>
        <w:jc w:val="both"/>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El problema de las IP es que la ley 1508 de 2012, parte de la premisa de que existirá competencia, pero esto se dificulta cuando: La ley permite que todo lo estructure el privado y las entidades estatales realizan un mínimo de estudios rigurosos sobre las propuestas. </w:t>
      </w:r>
    </w:p>
    <w:p w:rsidR="00E90573" w:rsidRDefault="00D17DEC">
      <w:pPr>
        <w:pBdr>
          <w:top w:val="nil"/>
          <w:left w:val="nil"/>
          <w:bottom w:val="nil"/>
          <w:right w:val="nil"/>
          <w:between w:val="nil"/>
        </w:pBdr>
        <w:spacing w:after="0" w:line="240" w:lineRule="auto"/>
        <w:jc w:val="both"/>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La publicación del proyecto para recibir oferta de terceros se puede hacer por solo un mes, cuando el privado que lo diseñó conoce absolutamente todo el proyecto e Incluso </w:t>
      </w:r>
      <w:r>
        <w:rPr>
          <w:rFonts w:ascii="Helvetica Neue" w:eastAsia="Helvetica Neue" w:hAnsi="Helvetica Neue" w:cs="Helvetica Neue"/>
          <w:sz w:val="24"/>
          <w:szCs w:val="24"/>
        </w:rPr>
        <w:lastRenderedPageBreak/>
        <w:t>cuando un tercero presenta su oferta; tiene la posibilidad de perder si la diferencia entre las propuestas del que creó el proyecto y el competidor es de menos del 20%. (Decreto 1082 de 2015, Numeral 3, artículo 2.2.2.1.5.12)</w:t>
      </w:r>
    </w:p>
    <w:p w:rsidR="00E90573" w:rsidRDefault="00E90573">
      <w:pPr>
        <w:pBdr>
          <w:top w:val="nil"/>
          <w:left w:val="nil"/>
          <w:bottom w:val="nil"/>
          <w:right w:val="nil"/>
          <w:between w:val="nil"/>
        </w:pBdr>
        <w:spacing w:after="0" w:line="240" w:lineRule="auto"/>
        <w:jc w:val="both"/>
        <w:rPr>
          <w:rFonts w:ascii="Helvetica Neue" w:eastAsia="Helvetica Neue" w:hAnsi="Helvetica Neue" w:cs="Helvetica Neue"/>
          <w:sz w:val="24"/>
          <w:szCs w:val="24"/>
        </w:rPr>
      </w:pPr>
    </w:p>
    <w:p w:rsidR="00E90573" w:rsidRDefault="00E90573">
      <w:pPr>
        <w:shd w:val="clear" w:color="auto" w:fill="FFFFFF"/>
        <w:spacing w:after="0" w:line="240" w:lineRule="auto"/>
        <w:jc w:val="both"/>
        <w:rPr>
          <w:rFonts w:ascii="Helvetica Neue" w:eastAsia="Helvetica Neue" w:hAnsi="Helvetica Neue" w:cs="Helvetica Neue"/>
          <w:sz w:val="24"/>
          <w:szCs w:val="24"/>
          <w:highlight w:val="white"/>
        </w:rPr>
      </w:pPr>
    </w:p>
    <w:p w:rsidR="00E90573" w:rsidRDefault="00D17DEC">
      <w:pPr>
        <w:shd w:val="clear" w:color="auto" w:fill="FFFFFF"/>
        <w:spacing w:after="0" w:line="240" w:lineRule="auto"/>
        <w:jc w:val="both"/>
        <w:rPr>
          <w:rFonts w:ascii="Helvetica Neue" w:eastAsia="Helvetica Neue" w:hAnsi="Helvetica Neue" w:cs="Helvetica Neue"/>
          <w:sz w:val="24"/>
          <w:szCs w:val="24"/>
          <w:highlight w:val="white"/>
        </w:rPr>
      </w:pPr>
      <w:r>
        <w:rPr>
          <w:rFonts w:ascii="Helvetica Neue" w:eastAsia="Helvetica Neue" w:hAnsi="Helvetica Neue" w:cs="Helvetica Neue"/>
          <w:sz w:val="24"/>
          <w:szCs w:val="24"/>
        </w:rPr>
        <w:t xml:space="preserve">La falta de competencia en las Asociaciones Público - Privadas de Iniciativa Privada, se ha convertido en un mal incentivo para la elección eficiente de proyectos de importancia estratégica para el país, además genera </w:t>
      </w:r>
      <w:r>
        <w:rPr>
          <w:rFonts w:ascii="Helvetica Neue" w:eastAsia="Helvetica Neue" w:hAnsi="Helvetica Neue" w:cs="Helvetica Neue"/>
          <w:sz w:val="24"/>
          <w:szCs w:val="24"/>
          <w:highlight w:val="white"/>
        </w:rPr>
        <w:t xml:space="preserve">poco impulso para propuestas de calidad y menos estímulos para innovar en las mismas. Adicional a esto, se produce una asimetría en  la asignación de riesgos en las APPs generando proyectos donde el privado originador se ha comprometido en asumir riesgos que, por su naturaleza no deberían estar en cabeza suya y que al materializarse paralizan los proyectos por largos años. </w:t>
      </w:r>
    </w:p>
    <w:p w:rsidR="00E90573" w:rsidRDefault="00E90573">
      <w:pPr>
        <w:shd w:val="clear" w:color="auto" w:fill="FFFFFF"/>
        <w:spacing w:after="0" w:line="240" w:lineRule="auto"/>
        <w:jc w:val="both"/>
        <w:rPr>
          <w:rFonts w:ascii="Helvetica Neue" w:eastAsia="Helvetica Neue" w:hAnsi="Helvetica Neue" w:cs="Helvetica Neue"/>
          <w:sz w:val="24"/>
          <w:szCs w:val="24"/>
          <w:highlight w:val="white"/>
        </w:rPr>
      </w:pPr>
    </w:p>
    <w:p w:rsidR="00E90573" w:rsidRDefault="00D17DEC">
      <w:pPr>
        <w:shd w:val="clear" w:color="auto" w:fill="FFFFFF"/>
        <w:spacing w:after="0" w:line="240" w:lineRule="auto"/>
        <w:jc w:val="both"/>
        <w:rPr>
          <w:rFonts w:ascii="Helvetica Neue" w:eastAsia="Helvetica Neue" w:hAnsi="Helvetica Neue" w:cs="Helvetica Neue"/>
          <w:sz w:val="24"/>
          <w:szCs w:val="24"/>
          <w:highlight w:val="white"/>
        </w:rPr>
      </w:pPr>
      <w:r>
        <w:rPr>
          <w:rFonts w:ascii="Helvetica Neue" w:eastAsia="Helvetica Neue" w:hAnsi="Helvetica Neue" w:cs="Helvetica Neue"/>
          <w:sz w:val="24"/>
          <w:szCs w:val="24"/>
          <w:highlight w:val="white"/>
        </w:rPr>
        <w:t xml:space="preserve">Finalmente, el Comparador Público Privado, que se supone permite dar evidencia que la mejor opción para cierto proyecto es una APP, se realiza por el privado originador, el más interesado en que el proyecto se defina por este mecanismo. </w:t>
      </w:r>
    </w:p>
    <w:p w:rsidR="00E90573" w:rsidRDefault="00E90573">
      <w:pPr>
        <w:shd w:val="clear" w:color="auto" w:fill="FFFFFF"/>
        <w:spacing w:after="0" w:line="240" w:lineRule="auto"/>
        <w:jc w:val="both"/>
        <w:rPr>
          <w:rFonts w:ascii="Helvetica Neue" w:eastAsia="Helvetica Neue" w:hAnsi="Helvetica Neue" w:cs="Helvetica Neue"/>
          <w:sz w:val="24"/>
          <w:szCs w:val="24"/>
          <w:highlight w:val="white"/>
        </w:rPr>
      </w:pPr>
    </w:p>
    <w:p w:rsidR="00E90573" w:rsidRDefault="00E90573">
      <w:pPr>
        <w:pBdr>
          <w:top w:val="nil"/>
          <w:left w:val="nil"/>
          <w:bottom w:val="nil"/>
          <w:right w:val="nil"/>
          <w:between w:val="nil"/>
        </w:pBdr>
        <w:spacing w:after="0" w:line="240" w:lineRule="auto"/>
        <w:jc w:val="both"/>
        <w:rPr>
          <w:rFonts w:ascii="Helvetica Neue" w:eastAsia="Helvetica Neue" w:hAnsi="Helvetica Neue" w:cs="Helvetica Neue"/>
          <w:sz w:val="24"/>
          <w:szCs w:val="24"/>
        </w:rPr>
      </w:pPr>
    </w:p>
    <w:p w:rsidR="00E90573" w:rsidRDefault="00D17DEC">
      <w:pPr>
        <w:pBdr>
          <w:top w:val="nil"/>
          <w:left w:val="nil"/>
          <w:bottom w:val="nil"/>
          <w:right w:val="nil"/>
          <w:between w:val="nil"/>
        </w:pBdr>
        <w:spacing w:after="0" w:line="240" w:lineRule="auto"/>
        <w:jc w:val="both"/>
        <w:rPr>
          <w:rFonts w:ascii="Helvetica Neue" w:eastAsia="Helvetica Neue" w:hAnsi="Helvetica Neue" w:cs="Helvetica Neue"/>
          <w:sz w:val="24"/>
          <w:szCs w:val="24"/>
        </w:rPr>
      </w:pPr>
      <w:r>
        <w:rPr>
          <w:rFonts w:ascii="Helvetica Neue" w:eastAsia="Helvetica Neue" w:hAnsi="Helvetica Neue" w:cs="Helvetica Neue"/>
          <w:b/>
          <w:sz w:val="24"/>
          <w:szCs w:val="24"/>
        </w:rPr>
        <w:t xml:space="preserve">En tiempos en que Colombia enfrenta la pandemia del COVID-19, no se puede permitir que una de las principales actividades (construcción de infraestructura de transporte), promovidas por el Gobierno Nacional para la reactivación económica del país, se desarrolle sin competencia. </w:t>
      </w:r>
      <w:r>
        <w:rPr>
          <w:rFonts w:ascii="Helvetica Neue" w:eastAsia="Helvetica Neue" w:hAnsi="Helvetica Neue" w:cs="Helvetica Neue"/>
          <w:sz w:val="24"/>
          <w:szCs w:val="24"/>
        </w:rPr>
        <w:t xml:space="preserve">Bajo este contexto el presente proyecto de ley plantea modificación parcial a los artículos 11, 14, 19 y 20 de la Ley 1502 de 2012, con la finalidad de mejorar los lineamientos establecidos para las Asociaciones Público-Privadas de Iniciativa Privada. </w:t>
      </w:r>
    </w:p>
    <w:p w:rsidR="00E90573" w:rsidRDefault="00E90573">
      <w:pPr>
        <w:spacing w:after="0" w:line="240" w:lineRule="auto"/>
        <w:jc w:val="both"/>
        <w:rPr>
          <w:rFonts w:ascii="Helvetica Neue" w:eastAsia="Helvetica Neue" w:hAnsi="Helvetica Neue" w:cs="Helvetica Neue"/>
          <w:color w:val="000000"/>
          <w:sz w:val="24"/>
          <w:szCs w:val="24"/>
        </w:rPr>
      </w:pPr>
    </w:p>
    <w:p w:rsidR="00E90573" w:rsidRDefault="00D17DEC">
      <w:pPr>
        <w:spacing w:after="0" w:line="240" w:lineRule="auto"/>
        <w:jc w:val="both"/>
        <w:rPr>
          <w:rFonts w:ascii="Times New Roman" w:eastAsia="Times New Roman" w:hAnsi="Times New Roman" w:cs="Times New Roman"/>
          <w:sz w:val="24"/>
          <w:szCs w:val="24"/>
        </w:rPr>
      </w:pPr>
      <w:r>
        <w:rPr>
          <w:rFonts w:ascii="Helvetica Neue" w:eastAsia="Helvetica Neue" w:hAnsi="Helvetica Neue" w:cs="Helvetica Neue"/>
          <w:color w:val="000000"/>
          <w:sz w:val="24"/>
          <w:szCs w:val="24"/>
        </w:rPr>
        <w:t xml:space="preserve">Cabe precisar, que el presente proyecto </w:t>
      </w:r>
      <w:r>
        <w:rPr>
          <w:rFonts w:ascii="Helvetica Neue" w:eastAsia="Helvetica Neue" w:hAnsi="Helvetica Neue" w:cs="Helvetica Neue"/>
          <w:sz w:val="24"/>
          <w:szCs w:val="24"/>
        </w:rPr>
        <w:t>No</w:t>
      </w:r>
      <w:r>
        <w:rPr>
          <w:rFonts w:ascii="Helvetica Neue" w:eastAsia="Helvetica Neue" w:hAnsi="Helvetica Neue" w:cs="Helvetica Neue"/>
          <w:color w:val="000000"/>
          <w:sz w:val="24"/>
          <w:szCs w:val="24"/>
        </w:rPr>
        <w:t xml:space="preserve"> tiene impacto fiscal, en la medida en que no se comprometen recursos públicos de las Entidades Estatales contratantes de las Asociaciones Público-Privadas. Además, en ningún caso esto pone en riesgo las condiciones de los contratos de concesión que se encuentren vigentes o en curso. </w:t>
      </w:r>
    </w:p>
    <w:p w:rsidR="00E90573" w:rsidRDefault="00E90573">
      <w:pPr>
        <w:spacing w:after="0" w:line="240" w:lineRule="auto"/>
        <w:jc w:val="both"/>
        <w:rPr>
          <w:rFonts w:ascii="Helvetica Neue" w:eastAsia="Helvetica Neue" w:hAnsi="Helvetica Neue" w:cs="Helvetica Neue"/>
          <w:sz w:val="24"/>
          <w:szCs w:val="24"/>
        </w:rPr>
      </w:pPr>
    </w:p>
    <w:p w:rsidR="00E90573" w:rsidRDefault="00D17DEC">
      <w:pPr>
        <w:spacing w:after="0" w:line="240" w:lineRule="auto"/>
        <w:jc w:val="both"/>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En razón a lo anteriormente expuesto, ponemos a consideración del Congreso de la República el presente Proyecto de Ley, esperando contar con su aprobación. </w:t>
      </w:r>
    </w:p>
    <w:p w:rsidR="00E90573" w:rsidRDefault="00E90573">
      <w:pPr>
        <w:spacing w:after="0" w:line="240" w:lineRule="auto"/>
        <w:jc w:val="both"/>
        <w:rPr>
          <w:rFonts w:ascii="Helvetica Neue" w:eastAsia="Helvetica Neue" w:hAnsi="Helvetica Neue" w:cs="Helvetica Neue"/>
          <w:sz w:val="24"/>
          <w:szCs w:val="24"/>
        </w:rPr>
      </w:pPr>
    </w:p>
    <w:p w:rsidR="00E90573" w:rsidRDefault="00E90573">
      <w:pPr>
        <w:spacing w:after="0" w:line="240" w:lineRule="auto"/>
        <w:jc w:val="both"/>
        <w:rPr>
          <w:rFonts w:ascii="Helvetica Neue" w:eastAsia="Helvetica Neue" w:hAnsi="Helvetica Neue" w:cs="Helvetica Neue"/>
          <w:sz w:val="24"/>
          <w:szCs w:val="24"/>
        </w:rPr>
      </w:pPr>
    </w:p>
    <w:p w:rsidR="00E90573" w:rsidRDefault="00D17DEC">
      <w:pPr>
        <w:spacing w:after="0" w:line="240" w:lineRule="auto"/>
        <w:jc w:val="both"/>
        <w:rPr>
          <w:rFonts w:ascii="Helvetica Neue" w:eastAsia="Helvetica Neue" w:hAnsi="Helvetica Neue" w:cs="Helvetica Neue"/>
          <w:sz w:val="24"/>
          <w:szCs w:val="24"/>
        </w:rPr>
      </w:pPr>
      <w:r>
        <w:rPr>
          <w:rFonts w:ascii="Helvetica Neue" w:eastAsia="Helvetica Neue" w:hAnsi="Helvetica Neue" w:cs="Helvetica Neue"/>
          <w:sz w:val="24"/>
          <w:szCs w:val="24"/>
        </w:rPr>
        <w:t>De la Honorable Congresista,</w:t>
      </w:r>
    </w:p>
    <w:p w:rsidR="00E90573" w:rsidRDefault="00E90573">
      <w:pPr>
        <w:spacing w:after="0" w:line="240" w:lineRule="auto"/>
        <w:jc w:val="both"/>
        <w:rPr>
          <w:rFonts w:ascii="Helvetica Neue" w:eastAsia="Helvetica Neue" w:hAnsi="Helvetica Neue" w:cs="Helvetica Neue"/>
          <w:sz w:val="24"/>
          <w:szCs w:val="24"/>
        </w:rPr>
      </w:pPr>
    </w:p>
    <w:p w:rsidR="00E90573" w:rsidRDefault="00E90573">
      <w:pPr>
        <w:spacing w:after="0" w:line="240" w:lineRule="auto"/>
        <w:jc w:val="both"/>
        <w:rPr>
          <w:rFonts w:ascii="Helvetica Neue" w:eastAsia="Helvetica Neue" w:hAnsi="Helvetica Neue" w:cs="Helvetica Neue"/>
          <w:sz w:val="24"/>
          <w:szCs w:val="24"/>
        </w:rPr>
      </w:pPr>
    </w:p>
    <w:p w:rsidR="00D17DEC" w:rsidRDefault="00D17DEC">
      <w:pPr>
        <w:spacing w:after="0" w:line="240" w:lineRule="auto"/>
        <w:jc w:val="both"/>
        <w:rPr>
          <w:rFonts w:ascii="Helvetica Neue" w:eastAsia="Helvetica Neue" w:hAnsi="Helvetica Neue" w:cs="Helvetica Neue"/>
          <w:sz w:val="24"/>
          <w:szCs w:val="24"/>
        </w:rPr>
        <w:sectPr w:rsidR="00D17DEC">
          <w:headerReference w:type="default" r:id="rId16"/>
          <w:footerReference w:type="default" r:id="rId17"/>
          <w:pgSz w:w="12240" w:h="20160"/>
          <w:pgMar w:top="1440" w:right="1332" w:bottom="1440" w:left="1700" w:header="340" w:footer="680" w:gutter="0"/>
          <w:pgNumType w:start="1"/>
          <w:cols w:space="720"/>
        </w:sectPr>
      </w:pPr>
    </w:p>
    <w:p w:rsidR="00E90573" w:rsidRDefault="00E90573">
      <w:pPr>
        <w:spacing w:after="0" w:line="240" w:lineRule="auto"/>
        <w:jc w:val="both"/>
        <w:rPr>
          <w:rFonts w:ascii="Helvetica Neue" w:eastAsia="Helvetica Neue" w:hAnsi="Helvetica Neue" w:cs="Helvetica Neue"/>
          <w:sz w:val="24"/>
          <w:szCs w:val="24"/>
        </w:rPr>
      </w:pPr>
    </w:p>
    <w:p w:rsidR="00E90573" w:rsidRDefault="00E90573">
      <w:pPr>
        <w:spacing w:after="0" w:line="240" w:lineRule="auto"/>
        <w:jc w:val="both"/>
        <w:rPr>
          <w:rFonts w:ascii="Helvetica Neue" w:eastAsia="Helvetica Neue" w:hAnsi="Helvetica Neue" w:cs="Helvetica Neue"/>
          <w:sz w:val="24"/>
          <w:szCs w:val="24"/>
        </w:rPr>
      </w:pPr>
    </w:p>
    <w:p w:rsidR="00E90573" w:rsidRDefault="00E90573">
      <w:pPr>
        <w:spacing w:after="0" w:line="240" w:lineRule="auto"/>
        <w:jc w:val="both"/>
        <w:rPr>
          <w:rFonts w:ascii="Helvetica Neue" w:eastAsia="Helvetica Neue" w:hAnsi="Helvetica Neue" w:cs="Helvetica Neue"/>
          <w:sz w:val="24"/>
          <w:szCs w:val="24"/>
        </w:rPr>
      </w:pPr>
    </w:p>
    <w:p w:rsidR="00D17DEC" w:rsidRDefault="00D17DEC">
      <w:pPr>
        <w:spacing w:after="0" w:line="240" w:lineRule="auto"/>
        <w:jc w:val="both"/>
        <w:rPr>
          <w:rFonts w:ascii="Helvetica Neue" w:eastAsia="Helvetica Neue" w:hAnsi="Helvetica Neue" w:cs="Helvetica Neue"/>
          <w:sz w:val="24"/>
          <w:szCs w:val="24"/>
        </w:rPr>
      </w:pPr>
    </w:p>
    <w:p w:rsidR="00D17DEC" w:rsidRDefault="00D17DEC">
      <w:pPr>
        <w:spacing w:after="0" w:line="240" w:lineRule="auto"/>
        <w:jc w:val="both"/>
        <w:rPr>
          <w:rFonts w:ascii="Helvetica Neue" w:eastAsia="Helvetica Neue" w:hAnsi="Helvetica Neue" w:cs="Helvetica Neue"/>
          <w:sz w:val="24"/>
          <w:szCs w:val="24"/>
        </w:rPr>
      </w:pPr>
    </w:p>
    <w:p w:rsidR="00E90573" w:rsidRDefault="00D17DEC">
      <w:pPr>
        <w:spacing w:after="0" w:line="240" w:lineRule="auto"/>
        <w:jc w:val="both"/>
        <w:rPr>
          <w:rFonts w:ascii="Helvetica Neue" w:eastAsia="Helvetica Neue" w:hAnsi="Helvetica Neue" w:cs="Helvetica Neue"/>
          <w:b/>
          <w:sz w:val="24"/>
          <w:szCs w:val="24"/>
          <w:u w:val="single"/>
        </w:rPr>
      </w:pPr>
      <w:r>
        <w:rPr>
          <w:rFonts w:ascii="Helvetica Neue" w:eastAsia="Helvetica Neue" w:hAnsi="Helvetica Neue" w:cs="Helvetica Neue"/>
          <w:b/>
          <w:sz w:val="24"/>
          <w:szCs w:val="24"/>
          <w:u w:val="single"/>
        </w:rPr>
        <w:t>_______________________________</w:t>
      </w:r>
    </w:p>
    <w:p w:rsidR="00E90573" w:rsidRDefault="00D17DEC">
      <w:pPr>
        <w:spacing w:after="0" w:line="240" w:lineRule="auto"/>
        <w:rPr>
          <w:rFonts w:ascii="Helvetica Neue" w:eastAsia="Helvetica Neue" w:hAnsi="Helvetica Neue" w:cs="Helvetica Neue"/>
          <w:sz w:val="24"/>
          <w:szCs w:val="24"/>
        </w:rPr>
      </w:pPr>
      <w:r>
        <w:rPr>
          <w:rFonts w:ascii="Helvetica Neue" w:eastAsia="Helvetica Neue" w:hAnsi="Helvetica Neue" w:cs="Helvetica Neue"/>
          <w:b/>
          <w:sz w:val="24"/>
          <w:szCs w:val="24"/>
        </w:rPr>
        <w:t>CATALINA ORTIZ LALINDE</w:t>
      </w:r>
    </w:p>
    <w:p w:rsidR="00E90573" w:rsidRDefault="00D17DEC">
      <w:pP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Representante a la Cámara por el Valle del Cauca</w:t>
      </w:r>
    </w:p>
    <w:p w:rsidR="00E90573" w:rsidRDefault="00D17DEC">
      <w:pPr>
        <w:spacing w:after="0" w:line="240" w:lineRule="auto"/>
        <w:rPr>
          <w:rFonts w:ascii="Helvetica Neue" w:eastAsia="Helvetica Neue" w:hAnsi="Helvetica Neue" w:cs="Helvetica Neue"/>
          <w:sz w:val="24"/>
          <w:szCs w:val="24"/>
        </w:rPr>
      </w:pPr>
      <w:bookmarkStart w:id="18" w:name="_heading=h.gjdgxs" w:colFirst="0" w:colLast="0"/>
      <w:bookmarkEnd w:id="18"/>
      <w:r>
        <w:rPr>
          <w:rFonts w:ascii="Helvetica Neue" w:eastAsia="Helvetica Neue" w:hAnsi="Helvetica Neue" w:cs="Helvetica Neue"/>
          <w:sz w:val="24"/>
          <w:szCs w:val="24"/>
        </w:rPr>
        <w:t>Partido Alianza Verde</w:t>
      </w:r>
    </w:p>
    <w:p w:rsidR="00E90573" w:rsidRDefault="00E90573">
      <w:pPr>
        <w:spacing w:after="0" w:line="240" w:lineRule="auto"/>
        <w:jc w:val="both"/>
        <w:rPr>
          <w:rFonts w:ascii="Helvetica Neue" w:eastAsia="Helvetica Neue" w:hAnsi="Helvetica Neue" w:cs="Helvetica Neue"/>
          <w:sz w:val="24"/>
          <w:szCs w:val="24"/>
        </w:rPr>
      </w:pPr>
    </w:p>
    <w:p w:rsidR="00E90573" w:rsidRDefault="00E90573">
      <w:pPr>
        <w:spacing w:after="0" w:line="240" w:lineRule="auto"/>
        <w:jc w:val="both"/>
        <w:rPr>
          <w:rFonts w:ascii="Helvetica Neue" w:eastAsia="Helvetica Neue" w:hAnsi="Helvetica Neue" w:cs="Helvetica Neue"/>
          <w:sz w:val="24"/>
          <w:szCs w:val="24"/>
        </w:rPr>
      </w:pPr>
    </w:p>
    <w:p w:rsidR="00E90573" w:rsidRDefault="00E90573">
      <w:pPr>
        <w:spacing w:after="0" w:line="240" w:lineRule="auto"/>
        <w:rPr>
          <w:rFonts w:ascii="Helvetica Neue" w:eastAsia="Helvetica Neue" w:hAnsi="Helvetica Neue" w:cs="Helvetica Neue"/>
          <w:b/>
          <w:noProof/>
          <w:sz w:val="24"/>
          <w:szCs w:val="24"/>
          <w:lang w:val="es-CO"/>
        </w:rPr>
      </w:pPr>
    </w:p>
    <w:p w:rsidR="009A27FD" w:rsidRDefault="009A27FD">
      <w:pPr>
        <w:spacing w:after="0" w:line="240" w:lineRule="auto"/>
        <w:rPr>
          <w:rFonts w:ascii="Helvetica Neue" w:eastAsia="Helvetica Neue" w:hAnsi="Helvetica Neue" w:cs="Helvetica Neue"/>
          <w:b/>
          <w:noProof/>
          <w:sz w:val="24"/>
          <w:szCs w:val="24"/>
          <w:lang w:val="es-CO"/>
        </w:rPr>
      </w:pPr>
    </w:p>
    <w:p w:rsidR="009A27FD" w:rsidRDefault="009A27FD">
      <w:pPr>
        <w:spacing w:after="0" w:line="240" w:lineRule="auto"/>
        <w:rPr>
          <w:rFonts w:ascii="Helvetica Neue" w:eastAsia="Helvetica Neue" w:hAnsi="Helvetica Neue" w:cs="Helvetica Neue"/>
          <w:b/>
          <w:noProof/>
          <w:sz w:val="24"/>
          <w:szCs w:val="24"/>
          <w:lang w:val="es-CO"/>
        </w:rPr>
      </w:pPr>
    </w:p>
    <w:p w:rsidR="009A27FD" w:rsidRDefault="009A27FD">
      <w:pPr>
        <w:spacing w:after="0" w:line="240" w:lineRule="auto"/>
        <w:rPr>
          <w:rFonts w:ascii="Helvetica Neue" w:eastAsia="Helvetica Neue" w:hAnsi="Helvetica Neue" w:cs="Helvetica Neue"/>
          <w:b/>
          <w:noProof/>
          <w:sz w:val="24"/>
          <w:szCs w:val="24"/>
          <w:lang w:val="es-CO"/>
        </w:rPr>
      </w:pPr>
    </w:p>
    <w:p w:rsidR="009A27FD" w:rsidRDefault="009A27FD">
      <w:pPr>
        <w:spacing w:after="0" w:line="240" w:lineRule="auto"/>
        <w:rPr>
          <w:rFonts w:ascii="Helvetica Neue" w:eastAsia="Helvetica Neue" w:hAnsi="Helvetica Neue" w:cs="Helvetica Neue"/>
          <w:b/>
          <w:noProof/>
          <w:sz w:val="24"/>
          <w:szCs w:val="24"/>
          <w:lang w:val="es-CO"/>
        </w:rPr>
      </w:pPr>
    </w:p>
    <w:p w:rsidR="009A27FD" w:rsidRDefault="009A27FD">
      <w:pPr>
        <w:spacing w:after="0" w:line="240" w:lineRule="auto"/>
        <w:rPr>
          <w:rFonts w:ascii="Helvetica Neue" w:eastAsia="Helvetica Neue" w:hAnsi="Helvetica Neue" w:cs="Helvetica Neue"/>
          <w:b/>
          <w:noProof/>
          <w:sz w:val="24"/>
          <w:szCs w:val="24"/>
          <w:lang w:val="es-CO"/>
        </w:rPr>
      </w:pPr>
    </w:p>
    <w:p w:rsidR="009A27FD" w:rsidRDefault="009A27FD">
      <w:pPr>
        <w:spacing w:after="0" w:line="240" w:lineRule="auto"/>
        <w:rPr>
          <w:rFonts w:ascii="Helvetica Neue" w:eastAsia="Helvetica Neue" w:hAnsi="Helvetica Neue" w:cs="Helvetica Neue"/>
          <w:b/>
          <w:noProof/>
          <w:sz w:val="24"/>
          <w:szCs w:val="24"/>
          <w:lang w:val="es-CO"/>
        </w:rPr>
      </w:pPr>
    </w:p>
    <w:p w:rsidR="009A27FD" w:rsidRDefault="009A27FD">
      <w:pPr>
        <w:spacing w:after="0" w:line="240" w:lineRule="auto"/>
        <w:rPr>
          <w:rFonts w:ascii="Helvetica Neue" w:eastAsia="Helvetica Neue" w:hAnsi="Helvetica Neue" w:cs="Helvetica Neue"/>
          <w:b/>
          <w:noProof/>
          <w:sz w:val="24"/>
          <w:szCs w:val="24"/>
          <w:lang w:val="es-CO"/>
        </w:rPr>
      </w:pPr>
    </w:p>
    <w:p w:rsidR="009A27FD" w:rsidRDefault="009A27FD">
      <w:pPr>
        <w:spacing w:after="0" w:line="240" w:lineRule="auto"/>
        <w:rPr>
          <w:rFonts w:ascii="Helvetica Neue" w:eastAsia="Helvetica Neue" w:hAnsi="Helvetica Neue" w:cs="Helvetica Neue"/>
          <w:b/>
          <w:sz w:val="24"/>
          <w:szCs w:val="24"/>
        </w:rPr>
      </w:pPr>
      <w:bookmarkStart w:id="19" w:name="_GoBack"/>
      <w:bookmarkEnd w:id="19"/>
    </w:p>
    <w:p w:rsidR="00E90573" w:rsidRDefault="00D17DEC">
      <w:pPr>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___________________________________</w:t>
      </w:r>
    </w:p>
    <w:p w:rsidR="00E90573" w:rsidRDefault="00D17DEC">
      <w:pPr>
        <w:spacing w:after="0" w:line="240" w:lineRule="auto"/>
        <w:rPr>
          <w:rFonts w:ascii="Helvetica Neue" w:eastAsia="Helvetica Neue" w:hAnsi="Helvetica Neue" w:cs="Helvetica Neue"/>
          <w:sz w:val="24"/>
          <w:szCs w:val="24"/>
        </w:rPr>
      </w:pPr>
      <w:r>
        <w:rPr>
          <w:rFonts w:ascii="Helvetica Neue" w:eastAsia="Helvetica Neue" w:hAnsi="Helvetica Neue" w:cs="Helvetica Neue"/>
          <w:b/>
          <w:sz w:val="24"/>
          <w:szCs w:val="24"/>
        </w:rPr>
        <w:t>ALVARO HENRY MONEDERO RIVERA</w:t>
      </w:r>
    </w:p>
    <w:p w:rsidR="00E90573" w:rsidRDefault="00D17DEC">
      <w:pP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Representante a la Cámara por el Valle del Cauca</w:t>
      </w:r>
    </w:p>
    <w:p w:rsidR="00E90573" w:rsidRDefault="00D17DEC">
      <w:pP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Partido Liberal</w:t>
      </w:r>
    </w:p>
    <w:p w:rsidR="00E90573" w:rsidRDefault="00E90573">
      <w:pPr>
        <w:spacing w:after="0" w:line="240" w:lineRule="auto"/>
        <w:jc w:val="both"/>
        <w:rPr>
          <w:rFonts w:ascii="Helvetica Neue" w:eastAsia="Helvetica Neue" w:hAnsi="Helvetica Neue" w:cs="Helvetica Neue"/>
          <w:color w:val="000000"/>
          <w:sz w:val="24"/>
          <w:szCs w:val="24"/>
          <w:highlight w:val="white"/>
        </w:rPr>
      </w:pPr>
    </w:p>
    <w:sectPr w:rsidR="00E90573" w:rsidSect="00D17DEC">
      <w:type w:val="continuous"/>
      <w:pgSz w:w="12240" w:h="20160"/>
      <w:pgMar w:top="1440" w:right="1332" w:bottom="1440" w:left="1700" w:header="340" w:footer="680" w:gutter="0"/>
      <w:pgNumType w:start="1"/>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281F" w:rsidRDefault="0047281F">
      <w:pPr>
        <w:spacing w:after="0" w:line="240" w:lineRule="auto"/>
      </w:pPr>
      <w:r>
        <w:separator/>
      </w:r>
    </w:p>
  </w:endnote>
  <w:endnote w:type="continuationSeparator" w:id="0">
    <w:p w:rsidR="0047281F" w:rsidRDefault="00472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DEC" w:rsidRDefault="00D17DEC">
    <w:pPr>
      <w:pBdr>
        <w:top w:val="nil"/>
        <w:left w:val="nil"/>
        <w:bottom w:val="nil"/>
        <w:right w:val="nil"/>
        <w:between w:val="nil"/>
      </w:pBdr>
      <w:tabs>
        <w:tab w:val="center" w:pos="4419"/>
        <w:tab w:val="right" w:pos="8838"/>
      </w:tabs>
      <w:spacing w:after="0" w:line="240" w:lineRule="auto"/>
      <w:rPr>
        <w:color w:val="000000"/>
      </w:rPr>
    </w:pPr>
  </w:p>
  <w:p w:rsidR="00D17DEC" w:rsidRDefault="00D17DEC">
    <w:pPr>
      <w:pBdr>
        <w:top w:val="nil"/>
        <w:left w:val="nil"/>
        <w:bottom w:val="nil"/>
        <w:right w:val="nil"/>
        <w:between w:val="nil"/>
      </w:pBdr>
      <w:tabs>
        <w:tab w:val="center" w:pos="4419"/>
        <w:tab w:val="right" w:pos="8838"/>
      </w:tabs>
      <w:spacing w:after="0" w:line="240" w:lineRule="auto"/>
      <w:rPr>
        <w:color w:val="000000"/>
      </w:rPr>
    </w:pPr>
    <w:r>
      <w:rPr>
        <w:color w:val="000000"/>
      </w:rPr>
      <w:t xml:space="preserve">Página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9A27FD">
      <w:rPr>
        <w:b/>
        <w:noProof/>
        <w:color w:val="000000"/>
        <w:sz w:val="24"/>
        <w:szCs w:val="24"/>
      </w:rPr>
      <w:t>49</w:t>
    </w:r>
    <w:r>
      <w:rPr>
        <w:b/>
        <w:color w:val="000000"/>
        <w:sz w:val="24"/>
        <w:szCs w:val="24"/>
      </w:rPr>
      <w:fldChar w:fldCharType="end"/>
    </w:r>
    <w:r>
      <w:rPr>
        <w:color w:val="000000"/>
      </w:rPr>
      <w:t xml:space="preserve"> de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9A27FD">
      <w:rPr>
        <w:b/>
        <w:noProof/>
        <w:color w:val="000000"/>
        <w:sz w:val="24"/>
        <w:szCs w:val="24"/>
      </w:rPr>
      <w:t>49</w:t>
    </w:r>
    <w:r>
      <w:rPr>
        <w:b/>
        <w:color w:val="000000"/>
        <w:sz w:val="24"/>
        <w:szCs w:val="24"/>
      </w:rPr>
      <w:fldChar w:fldCharType="end"/>
    </w:r>
  </w:p>
  <w:p w:rsidR="00D17DEC" w:rsidRDefault="00D17DEC">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281F" w:rsidRDefault="0047281F">
      <w:pPr>
        <w:spacing w:after="0" w:line="240" w:lineRule="auto"/>
      </w:pPr>
      <w:r>
        <w:separator/>
      </w:r>
    </w:p>
  </w:footnote>
  <w:footnote w:type="continuationSeparator" w:id="0">
    <w:p w:rsidR="0047281F" w:rsidRDefault="0047281F">
      <w:pPr>
        <w:spacing w:after="0" w:line="240" w:lineRule="auto"/>
      </w:pPr>
      <w:r>
        <w:continuationSeparator/>
      </w:r>
    </w:p>
  </w:footnote>
  <w:footnote w:id="1">
    <w:p w:rsidR="00D17DEC" w:rsidRDefault="00D17DEC">
      <w:pPr>
        <w:spacing w:after="0" w:line="240" w:lineRule="auto"/>
        <w:rPr>
          <w:sz w:val="20"/>
          <w:szCs w:val="20"/>
        </w:rPr>
      </w:pPr>
      <w:r>
        <w:rPr>
          <w:vertAlign w:val="superscript"/>
        </w:rPr>
        <w:footnoteRef/>
      </w:r>
      <w:r w:rsidRPr="00D17DEC">
        <w:rPr>
          <w:sz w:val="20"/>
          <w:szCs w:val="20"/>
          <w:lang w:val="en-US"/>
        </w:rPr>
        <w:t xml:space="preserve"> Schwab,K., (2019). The Global Competitiveness Report 2019.World Economic Forum.  </w:t>
      </w:r>
      <w:r>
        <w:rPr>
          <w:sz w:val="20"/>
          <w:szCs w:val="20"/>
        </w:rPr>
        <w:t>Disponible en: http://www3.weforum.org/docs/WEF_TheGlobalCompetitivenessReport2019.pdf</w:t>
      </w:r>
    </w:p>
  </w:footnote>
  <w:footnote w:id="2">
    <w:p w:rsidR="00D17DEC" w:rsidRDefault="00D17DEC">
      <w:pPr>
        <w:spacing w:after="0" w:line="240" w:lineRule="auto"/>
        <w:rPr>
          <w:sz w:val="20"/>
          <w:szCs w:val="20"/>
        </w:rPr>
      </w:pPr>
      <w:r>
        <w:rPr>
          <w:vertAlign w:val="superscript"/>
        </w:rPr>
        <w:footnoteRef/>
      </w:r>
      <w:r>
        <w:rPr>
          <w:sz w:val="20"/>
          <w:szCs w:val="20"/>
        </w:rPr>
        <w:t xml:space="preserve"> Yepes,T., Ramírez, J.M., Villar,L.(2013). INFRAESTRUCTURA DE TRANSPORTE EN COLOMBIA. Fedesarrollo. p1.</w:t>
      </w:r>
    </w:p>
  </w:footnote>
  <w:footnote w:id="3">
    <w:p w:rsidR="00D17DEC" w:rsidRDefault="00D17DEC">
      <w:pPr>
        <w:spacing w:after="0" w:line="240" w:lineRule="auto"/>
        <w:rPr>
          <w:sz w:val="20"/>
          <w:szCs w:val="20"/>
        </w:rPr>
      </w:pPr>
      <w:r>
        <w:rPr>
          <w:vertAlign w:val="superscript"/>
        </w:rPr>
        <w:footnoteRef/>
      </w:r>
      <w:r>
        <w:rPr>
          <w:sz w:val="20"/>
          <w:szCs w:val="20"/>
        </w:rPr>
        <w:t xml:space="preserve"> El art 5, Ley 1508 de 2012, establece que “Presentada la iniciativa del proyecto en etapa de prefactibilidad, la entidad estatal competente dispondrá de un plazo máximo de tres (3) meses para verificar si la propuesta, al momento de ser analizada, es de interés de la entidad competente”</w:t>
      </w:r>
    </w:p>
  </w:footnote>
  <w:footnote w:id="4">
    <w:p w:rsidR="00D17DEC" w:rsidRDefault="00D17DEC">
      <w:pPr>
        <w:spacing w:after="0" w:line="240" w:lineRule="auto"/>
        <w:rPr>
          <w:sz w:val="20"/>
          <w:szCs w:val="20"/>
        </w:rPr>
      </w:pPr>
      <w:r>
        <w:rPr>
          <w:vertAlign w:val="superscript"/>
        </w:rPr>
        <w:footnoteRef/>
      </w:r>
      <w:r>
        <w:rPr>
          <w:sz w:val="20"/>
          <w:szCs w:val="20"/>
        </w:rPr>
        <w:t xml:space="preserve"> Departamento Nacional de Planeación. (2019).Informe trimestre cuatro de 2019 del Registro Único de Asociaciones Público Privadas (RUAPP).  Boletín No.24.</w:t>
      </w:r>
    </w:p>
  </w:footnote>
  <w:footnote w:id="5">
    <w:p w:rsidR="00D17DEC" w:rsidRDefault="00D17DEC">
      <w:pPr>
        <w:spacing w:after="0" w:line="240" w:lineRule="auto"/>
        <w:rPr>
          <w:sz w:val="20"/>
          <w:szCs w:val="20"/>
        </w:rPr>
      </w:pPr>
      <w:r>
        <w:rPr>
          <w:vertAlign w:val="superscript"/>
        </w:rPr>
        <w:footnoteRef/>
      </w:r>
      <w:r>
        <w:rPr>
          <w:sz w:val="20"/>
          <w:szCs w:val="20"/>
        </w:rPr>
        <w:t xml:space="preserve"> Respuesta a Derecho de Petición presentado por la UTL de la Representante Catalina Ortiz, 23 de octubre de 2020.</w:t>
      </w:r>
    </w:p>
  </w:footnote>
  <w:footnote w:id="6">
    <w:p w:rsidR="00D17DEC" w:rsidRDefault="00D17DEC">
      <w:pPr>
        <w:spacing w:after="0" w:line="240" w:lineRule="auto"/>
        <w:rPr>
          <w:sz w:val="20"/>
          <w:szCs w:val="20"/>
        </w:rPr>
      </w:pPr>
      <w:r>
        <w:rPr>
          <w:vertAlign w:val="superscript"/>
        </w:rPr>
        <w:footnoteRef/>
      </w:r>
      <w:r>
        <w:rPr>
          <w:sz w:val="20"/>
          <w:szCs w:val="20"/>
        </w:rPr>
        <w:t xml:space="preserve"> Por participación de entidades, se destaca la mayor contribución por parte de la Agencia Nacional de Infraestructura con un total de 47 proyectos, seguida por la Alcaldía de Bogotá con 37 iniciativas.</w:t>
      </w:r>
    </w:p>
  </w:footnote>
  <w:footnote w:id="7">
    <w:p w:rsidR="00D17DEC" w:rsidRDefault="00D17DEC">
      <w:pPr>
        <w:spacing w:after="0" w:line="240" w:lineRule="auto"/>
        <w:rPr>
          <w:sz w:val="20"/>
          <w:szCs w:val="20"/>
        </w:rPr>
      </w:pPr>
      <w:r>
        <w:rPr>
          <w:vertAlign w:val="superscript"/>
        </w:rPr>
        <w:footnoteRef/>
      </w:r>
      <w:r>
        <w:rPr>
          <w:sz w:val="20"/>
          <w:szCs w:val="20"/>
        </w:rPr>
        <w:t xml:space="preserve"> </w:t>
      </w:r>
      <w:r>
        <w:rPr>
          <w:sz w:val="18"/>
          <w:szCs w:val="18"/>
        </w:rPr>
        <w:t xml:space="preserve">Cholles, O. (2019). “Cuando el Riesgo suena…”. Cámara Colombiana de Infraestructura. Revista Infraestructura &amp; Desarrollo, 93, p10-11.  </w:t>
      </w:r>
    </w:p>
  </w:footnote>
  <w:footnote w:id="8">
    <w:p w:rsidR="00D17DEC" w:rsidRDefault="00D17DEC">
      <w:pPr>
        <w:spacing w:after="0" w:line="240" w:lineRule="auto"/>
        <w:rPr>
          <w:sz w:val="20"/>
          <w:szCs w:val="20"/>
        </w:rPr>
      </w:pPr>
      <w:r>
        <w:rPr>
          <w:vertAlign w:val="superscript"/>
        </w:rPr>
        <w:footnoteRef/>
      </w:r>
      <w:r>
        <w:rPr>
          <w:sz w:val="20"/>
          <w:szCs w:val="20"/>
        </w:rPr>
        <w:t xml:space="preserve"> TRIBUNAL DE ARBITRAJE DE CONCESIÓN VIAL DE LOS LLANOS S.A.S. VS AGENCIA NACIONAL DE INFRAESTRUCTURA – ANI (28 de febrero de 2019). CORTE DE ARBITRAJE CÁMARA DE COMERCIO DE BOGOTÁ Disponible en: https://bibliotecadigital.ccb.org.co/bitstream/handle/11520/23496/5012%20CONCESI%C3%93N%20VIAL%20DE%20LOS%20LLANOS%20S.A.S.%20VS.%20AGENCIA%20NACIONAL%20DE%20INSFRAESTRUCTURA%20-%20ANI%2028%2002%202019.pdf?sequence=1&amp;isAllowed=y</w:t>
      </w:r>
    </w:p>
  </w:footnote>
  <w:footnote w:id="9">
    <w:p w:rsidR="00D17DEC" w:rsidRDefault="00D17DEC">
      <w:pPr>
        <w:spacing w:after="0" w:line="240" w:lineRule="auto"/>
        <w:rPr>
          <w:sz w:val="20"/>
          <w:szCs w:val="20"/>
        </w:rPr>
      </w:pPr>
      <w:r>
        <w:rPr>
          <w:vertAlign w:val="superscript"/>
        </w:rPr>
        <w:footnoteRef/>
      </w:r>
      <w:r>
        <w:rPr>
          <w:sz w:val="20"/>
          <w:szCs w:val="20"/>
        </w:rPr>
        <w:t xml:space="preserve"> </w:t>
      </w:r>
      <w:r>
        <w:rPr>
          <w:sz w:val="18"/>
          <w:szCs w:val="18"/>
        </w:rPr>
        <w:t xml:space="preserve">APP IP sin recursos públicos, Proyecto Vía al Puerto, Contrato No.003 de 2016, Corredor Buenaventura-Loboguerrero-Buga. A cargo del Concesionario Vía Pacífico SAS, conformado por Grupo Solarte (67%), Constructora Conconcreto S.A (33%). Contrato terminado anticipadamente en Etapa de Preconstrucción, Liquidada. </w:t>
      </w:r>
    </w:p>
  </w:footnote>
  <w:footnote w:id="10">
    <w:p w:rsidR="00D17DEC" w:rsidRDefault="00D17DEC">
      <w:pPr>
        <w:spacing w:after="0" w:line="240" w:lineRule="auto"/>
        <w:rPr>
          <w:sz w:val="20"/>
          <w:szCs w:val="20"/>
        </w:rPr>
      </w:pPr>
      <w:r>
        <w:rPr>
          <w:vertAlign w:val="superscript"/>
        </w:rPr>
        <w:footnoteRef/>
      </w:r>
      <w:r>
        <w:rPr>
          <w:sz w:val="20"/>
          <w:szCs w:val="20"/>
        </w:rPr>
        <w:t xml:space="preserve"> Presidente de la República de Colombia (mayo 26 de 2015) Decreto por medio del cual se expide el Decreto único Reglamentario del sector administrativo de Planeación Nacional. (Decreto 1082 de 2015). DO: 49523</w:t>
      </w:r>
    </w:p>
  </w:footnote>
  <w:footnote w:id="11">
    <w:p w:rsidR="00D17DEC" w:rsidRDefault="00D17DEC">
      <w:pPr>
        <w:spacing w:after="0" w:line="240" w:lineRule="auto"/>
        <w:jc w:val="both"/>
        <w:rPr>
          <w:sz w:val="18"/>
          <w:szCs w:val="18"/>
        </w:rPr>
      </w:pPr>
      <w:r>
        <w:rPr>
          <w:vertAlign w:val="superscript"/>
        </w:rPr>
        <w:footnoteRef/>
      </w:r>
      <w:r>
        <w:rPr>
          <w:sz w:val="20"/>
          <w:szCs w:val="20"/>
        </w:rPr>
        <w:t xml:space="preserve"> De acuerdo con lo reglamentado por el Decreto 2043 de 2014, en su artículo 5o, “En las iniciativas privadas que no requieran desembolsos de recursos públicos, los mecanismos de compensación por la materialización de los riesgos asignados a la entidad estatal serán aquellos que se definan en la estructuración del proyecto, entre otros, pero sin limitarse: La ampliación del plazo inicial de conformidad con la ley, La modificación del alcance del proyecto, El incremento de peajes y tarifas. La norma claramente dice “entre otros, pero sin limitarse”, lo que deja un espacio para utilizar otro tipo de mecanismos que bien podría ser un Fondo de Contingencias.</w:t>
      </w:r>
    </w:p>
    <w:p w:rsidR="00D17DEC" w:rsidRDefault="00D17DEC">
      <w:pPr>
        <w:spacing w:after="0" w:line="240" w:lineRule="auto"/>
        <w:rPr>
          <w:sz w:val="20"/>
          <w:szCs w:val="20"/>
        </w:rPr>
      </w:pPr>
    </w:p>
  </w:footnote>
  <w:footnote w:id="12">
    <w:p w:rsidR="00D17DEC" w:rsidRPr="00D17DEC" w:rsidRDefault="00D17DEC">
      <w:pPr>
        <w:spacing w:after="0" w:line="240" w:lineRule="auto"/>
        <w:rPr>
          <w:sz w:val="20"/>
          <w:szCs w:val="20"/>
          <w:lang w:val="en-US"/>
        </w:rPr>
      </w:pPr>
      <w:r>
        <w:rPr>
          <w:vertAlign w:val="superscript"/>
        </w:rPr>
        <w:footnoteRef/>
      </w:r>
      <w:r w:rsidRPr="00D17DEC">
        <w:rPr>
          <w:sz w:val="20"/>
          <w:szCs w:val="20"/>
          <w:lang w:val="en-US"/>
        </w:rPr>
        <w:t xml:space="preserve"> Philippa Roe and Craig Allistair. Reforming the private finance initiative. Center for Policy Studies, 2004.</w:t>
      </w:r>
    </w:p>
  </w:footnote>
  <w:footnote w:id="13">
    <w:p w:rsidR="00D17DEC" w:rsidRPr="00D17DEC" w:rsidRDefault="00D17DEC">
      <w:pPr>
        <w:spacing w:after="0" w:line="240" w:lineRule="auto"/>
        <w:rPr>
          <w:sz w:val="20"/>
          <w:szCs w:val="20"/>
          <w:lang w:val="en-US"/>
        </w:rPr>
      </w:pPr>
      <w:r>
        <w:rPr>
          <w:vertAlign w:val="superscript"/>
        </w:rPr>
        <w:footnoteRef/>
      </w:r>
      <w:r w:rsidRPr="00D17DEC">
        <w:rPr>
          <w:sz w:val="20"/>
          <w:szCs w:val="20"/>
          <w:lang w:val="en-US"/>
        </w:rPr>
        <w:t xml:space="preserve"> Will Kenton. Private finance initiative. Investopedia, 2019. </w:t>
      </w:r>
    </w:p>
  </w:footnote>
  <w:footnote w:id="14">
    <w:p w:rsidR="00D17DEC" w:rsidRDefault="00D17DEC">
      <w:pPr>
        <w:spacing w:after="0" w:line="240" w:lineRule="auto"/>
        <w:rPr>
          <w:sz w:val="20"/>
          <w:szCs w:val="20"/>
        </w:rPr>
      </w:pPr>
      <w:r>
        <w:rPr>
          <w:vertAlign w:val="superscript"/>
        </w:rPr>
        <w:footnoteRef/>
      </w:r>
      <w:r>
        <w:rPr>
          <w:sz w:val="20"/>
          <w:szCs w:val="20"/>
        </w:rPr>
        <w:t xml:space="preserve">Procuraduría general de la Nación. (2015). Todo lo que necesitas saber sobre las Asociaciones Público Privadas de Iniciativa Privada Disponible en: </w:t>
      </w:r>
      <w:hyperlink r:id="rId1">
        <w:r>
          <w:rPr>
            <w:sz w:val="20"/>
            <w:szCs w:val="20"/>
          </w:rPr>
          <w:t>https://www.procuraduria.gov.co/portal/media/file/AsociacionesPublicasPrivadas.pdf</w:t>
        </w:r>
      </w:hyperlink>
    </w:p>
  </w:footnote>
  <w:footnote w:id="15">
    <w:p w:rsidR="00D17DEC" w:rsidRDefault="00D17DEC">
      <w:pPr>
        <w:spacing w:after="0" w:line="240" w:lineRule="auto"/>
        <w:rPr>
          <w:sz w:val="20"/>
          <w:szCs w:val="20"/>
        </w:rPr>
      </w:pPr>
      <w:r>
        <w:rPr>
          <w:vertAlign w:val="superscript"/>
        </w:rPr>
        <w:footnoteRef/>
      </w:r>
      <w:r>
        <w:rPr>
          <w:sz w:val="20"/>
          <w:szCs w:val="20"/>
        </w:rPr>
        <w:t>Departamento Nacional de Planeación.(2013). Abecé Asociaciones Público Privadas. Disponible en: https://colaboracion.dnp.gov.co/CDT/Prensa/Publicaciones/1%20ABC%20APP.pdf</w:t>
      </w:r>
    </w:p>
  </w:footnote>
  <w:footnote w:id="16">
    <w:p w:rsidR="00D17DEC" w:rsidRDefault="00D17DEC">
      <w:pPr>
        <w:spacing w:after="0" w:line="240" w:lineRule="auto"/>
        <w:rPr>
          <w:sz w:val="20"/>
          <w:szCs w:val="20"/>
        </w:rPr>
      </w:pPr>
      <w:r>
        <w:rPr>
          <w:vertAlign w:val="superscript"/>
        </w:rPr>
        <w:footnoteRef/>
      </w:r>
      <w:r>
        <w:rPr>
          <w:sz w:val="20"/>
          <w:szCs w:val="20"/>
        </w:rPr>
        <w:t xml:space="preserve"> Ibidem</w:t>
      </w:r>
    </w:p>
  </w:footnote>
  <w:footnote w:id="17">
    <w:p w:rsidR="00D17DEC" w:rsidRDefault="00D17DEC">
      <w:pPr>
        <w:spacing w:after="0" w:line="240" w:lineRule="auto"/>
        <w:rPr>
          <w:sz w:val="20"/>
          <w:szCs w:val="20"/>
        </w:rPr>
      </w:pPr>
      <w:r>
        <w:rPr>
          <w:vertAlign w:val="superscript"/>
        </w:rPr>
        <w:footnoteRef/>
      </w:r>
      <w:r>
        <w:rPr>
          <w:sz w:val="20"/>
          <w:szCs w:val="20"/>
        </w:rPr>
        <w:t>Investor Relation Colombia. Disponible en: http://www.irc.gov.co/webcenter/ShowProperty?nodeId=%2FConexionContent%2FWCC_CLUSTER-078904%2F%2FidcPrimaryFile&amp;revision=latestreleased</w:t>
      </w:r>
    </w:p>
  </w:footnote>
  <w:footnote w:id="18">
    <w:p w:rsidR="00D17DEC" w:rsidRDefault="00D17DEC">
      <w:pPr>
        <w:spacing w:after="0" w:line="240" w:lineRule="auto"/>
        <w:rPr>
          <w:sz w:val="20"/>
          <w:szCs w:val="20"/>
        </w:rPr>
      </w:pPr>
      <w:r>
        <w:rPr>
          <w:vertAlign w:val="superscript"/>
        </w:rPr>
        <w:footnoteRef/>
      </w:r>
      <w:r>
        <w:rPr>
          <w:sz w:val="20"/>
          <w:szCs w:val="20"/>
        </w:rPr>
        <w:t xml:space="preserve"> Ibidem</w:t>
      </w:r>
    </w:p>
  </w:footnote>
  <w:footnote w:id="19">
    <w:p w:rsidR="00D17DEC" w:rsidRDefault="00D17DEC">
      <w:pPr>
        <w:spacing w:after="0" w:line="240" w:lineRule="auto"/>
        <w:rPr>
          <w:sz w:val="20"/>
          <w:szCs w:val="20"/>
        </w:rPr>
      </w:pPr>
      <w:r>
        <w:rPr>
          <w:vertAlign w:val="superscript"/>
        </w:rPr>
        <w:footnoteRef/>
      </w:r>
      <w:r>
        <w:rPr>
          <w:sz w:val="20"/>
          <w:szCs w:val="20"/>
        </w:rPr>
        <w:t xml:space="preserve"> Ibidem</w:t>
      </w:r>
    </w:p>
  </w:footnote>
  <w:footnote w:id="20">
    <w:p w:rsidR="00D17DEC" w:rsidRDefault="00D17DEC">
      <w:pPr>
        <w:spacing w:after="0" w:line="240" w:lineRule="auto"/>
        <w:rPr>
          <w:sz w:val="20"/>
          <w:szCs w:val="20"/>
        </w:rPr>
      </w:pPr>
      <w:r>
        <w:rPr>
          <w:vertAlign w:val="superscript"/>
        </w:rPr>
        <w:footnoteRef/>
      </w:r>
      <w:r>
        <w:rPr>
          <w:sz w:val="20"/>
          <w:szCs w:val="20"/>
        </w:rPr>
        <w:t xml:space="preserve"> Departamento Nacional de Planeación (2019). Bases PND 2018-2022. Disponible en: colaboracion.dnp.gov.co/CDT/Prensa/BasesPND2018-2022n.pdf</w:t>
      </w:r>
    </w:p>
  </w:footnote>
  <w:footnote w:id="21">
    <w:p w:rsidR="00D17DEC" w:rsidRDefault="00D17DEC">
      <w:pPr>
        <w:spacing w:after="0" w:line="240" w:lineRule="auto"/>
        <w:rPr>
          <w:sz w:val="20"/>
          <w:szCs w:val="20"/>
        </w:rPr>
      </w:pPr>
      <w:r>
        <w:rPr>
          <w:vertAlign w:val="superscript"/>
        </w:rPr>
        <w:footnoteRef/>
      </w:r>
      <w:r>
        <w:rPr>
          <w:sz w:val="20"/>
          <w:szCs w:val="20"/>
        </w:rPr>
        <w:t xml:space="preserve"> Bases del Plan Nacional de desarrollo 2018-2022</w:t>
      </w:r>
    </w:p>
  </w:footnote>
  <w:footnote w:id="22">
    <w:p w:rsidR="00D17DEC" w:rsidRDefault="00D17DEC">
      <w:pPr>
        <w:spacing w:after="0" w:line="240" w:lineRule="auto"/>
        <w:rPr>
          <w:sz w:val="20"/>
          <w:szCs w:val="20"/>
        </w:rPr>
      </w:pPr>
      <w:r>
        <w:rPr>
          <w:vertAlign w:val="superscript"/>
        </w:rPr>
        <w:footnoteRef/>
      </w:r>
      <w:r>
        <w:rPr>
          <w:sz w:val="20"/>
          <w:szCs w:val="20"/>
        </w:rPr>
        <w:t xml:space="preserve"> Observación presentada por el Consejo Nacional de Planeación (CNP) sobre la necesidad de fortalecer los instrumentos de APP para la transformación digital.</w:t>
      </w:r>
    </w:p>
  </w:footnote>
  <w:footnote w:id="23">
    <w:p w:rsidR="00D17DEC" w:rsidRDefault="00D17DEC">
      <w:pPr>
        <w:spacing w:after="0" w:line="240" w:lineRule="auto"/>
        <w:rPr>
          <w:sz w:val="20"/>
          <w:szCs w:val="20"/>
        </w:rPr>
      </w:pPr>
      <w:r>
        <w:rPr>
          <w:vertAlign w:val="superscript"/>
        </w:rPr>
        <w:footnoteRef/>
      </w:r>
      <w:r>
        <w:rPr>
          <w:sz w:val="20"/>
          <w:szCs w:val="20"/>
        </w:rPr>
        <w:t xml:space="preserve"> Departamento Nacional de Planeación. (2019).Informe trimestre cuatro de 2019 del Registro Único de Asociaciones Público Privadas (RUAPP).  Boletín No.24. Disponible en: https://colaboracion.dnp.gov.co/CDT/Participacin%20privada%20en%20proyectos%20de%20infraestructu/Informe%204T%202019.pdf</w:t>
      </w:r>
    </w:p>
  </w:footnote>
  <w:footnote w:id="24">
    <w:p w:rsidR="00D17DEC" w:rsidRDefault="00D17DEC">
      <w:pPr>
        <w:spacing w:after="0" w:line="240" w:lineRule="auto"/>
        <w:rPr>
          <w:sz w:val="20"/>
          <w:szCs w:val="20"/>
        </w:rPr>
      </w:pPr>
      <w:r>
        <w:rPr>
          <w:vertAlign w:val="superscript"/>
        </w:rPr>
        <w:footnoteRef/>
      </w:r>
      <w:r>
        <w:rPr>
          <w:sz w:val="20"/>
          <w:szCs w:val="20"/>
        </w:rPr>
        <w:t>Ibidem</w:t>
      </w:r>
    </w:p>
  </w:footnote>
  <w:footnote w:id="25">
    <w:p w:rsidR="00D17DEC" w:rsidRDefault="00D17DEC">
      <w:pPr>
        <w:spacing w:after="0" w:line="240" w:lineRule="auto"/>
        <w:rPr>
          <w:sz w:val="20"/>
          <w:szCs w:val="20"/>
        </w:rPr>
      </w:pPr>
      <w:r>
        <w:rPr>
          <w:vertAlign w:val="superscript"/>
        </w:rPr>
        <w:footnoteRef/>
      </w:r>
      <w:r>
        <w:rPr>
          <w:sz w:val="20"/>
          <w:szCs w:val="20"/>
        </w:rPr>
        <w:t xml:space="preserve"> Todas las cifras del RUAPP presentadas en este informe están actualizadas al 31 de diciembre de 2019.</w:t>
      </w:r>
    </w:p>
  </w:footnote>
  <w:footnote w:id="26">
    <w:p w:rsidR="00D17DEC" w:rsidRDefault="00D17DEC">
      <w:pPr>
        <w:spacing w:after="0" w:line="240" w:lineRule="auto"/>
        <w:rPr>
          <w:sz w:val="20"/>
          <w:szCs w:val="20"/>
        </w:rPr>
      </w:pPr>
      <w:r>
        <w:rPr>
          <w:vertAlign w:val="superscript"/>
        </w:rPr>
        <w:footnoteRef/>
      </w:r>
      <w:r>
        <w:rPr>
          <w:sz w:val="20"/>
          <w:szCs w:val="20"/>
        </w:rPr>
        <w:t xml:space="preserve">  En la etapa de prefactibilidad se toman en cuenta los estados de prefactibilidad en estudio y de prefactibilidad, así como en espera de ingreso a evaluación.</w:t>
      </w:r>
    </w:p>
  </w:footnote>
  <w:footnote w:id="27">
    <w:p w:rsidR="00D17DEC" w:rsidRDefault="00D17DEC">
      <w:pPr>
        <w:spacing w:after="0" w:line="240" w:lineRule="auto"/>
        <w:rPr>
          <w:sz w:val="20"/>
          <w:szCs w:val="20"/>
        </w:rPr>
      </w:pPr>
      <w:r>
        <w:rPr>
          <w:vertAlign w:val="superscript"/>
        </w:rPr>
        <w:footnoteRef/>
      </w:r>
      <w:r>
        <w:rPr>
          <w:sz w:val="20"/>
          <w:szCs w:val="20"/>
        </w:rPr>
        <w:t xml:space="preserve">  Agencia Nacional de Infraestructura. (2019). Presentación Iniciativas Privadas. </w:t>
      </w:r>
    </w:p>
  </w:footnote>
  <w:footnote w:id="28">
    <w:p w:rsidR="00D17DEC" w:rsidRDefault="00D17DEC">
      <w:pPr>
        <w:spacing w:after="0" w:line="240" w:lineRule="auto"/>
        <w:rPr>
          <w:sz w:val="20"/>
          <w:szCs w:val="20"/>
        </w:rPr>
      </w:pPr>
      <w:r>
        <w:rPr>
          <w:vertAlign w:val="superscript"/>
        </w:rPr>
        <w:footnoteRef/>
      </w:r>
      <w:r>
        <w:rPr>
          <w:sz w:val="20"/>
          <w:szCs w:val="20"/>
        </w:rPr>
        <w:t>Contraloría de Bogotá D.C. (2018).ASOCIACIONES PÚBLICO PRIVADAS APPs EN BOGOTÁ EN LOS SECTORES SOCIALES. Disponible en: http://www.contraloriabogota.gov.co/sites/default/files/Contenido/Informes/Estructurales/Planeaci%C3%B3n/2018%20Informe%20de%20Asociaciones%20P%C3%BAblico%20Privadas%20en%20Bogot%C3%A1.pdf</w:t>
      </w:r>
    </w:p>
  </w:footnote>
  <w:footnote w:id="29">
    <w:p w:rsidR="00D17DEC" w:rsidRDefault="00D17DEC">
      <w:pPr>
        <w:pBdr>
          <w:top w:val="nil"/>
          <w:left w:val="nil"/>
          <w:bottom w:val="nil"/>
          <w:right w:val="nil"/>
          <w:between w:val="nil"/>
        </w:pBdr>
        <w:spacing w:after="0" w:line="240" w:lineRule="auto"/>
        <w:rPr>
          <w:color w:val="000000"/>
          <w:sz w:val="20"/>
          <w:szCs w:val="20"/>
        </w:rPr>
      </w:pPr>
      <w:r>
        <w:rPr>
          <w:vertAlign w:val="superscript"/>
        </w:rPr>
        <w:footnoteRef/>
      </w:r>
      <w:r>
        <w:rPr>
          <w:sz w:val="20"/>
          <w:szCs w:val="20"/>
        </w:rPr>
        <w:t>Congreso Visible.org. “Por la cual se establece el régimen jurídico de las asociaciones público privadas, se dictan normas orgánicas de presupuesto y se dictan otras disposiciones. [Asociaciones público privadas]”. Disponieble en: https://congresovisible.uniandes.edu.co/proyectos-de-ley/por-la-cual-se-establece/6506/#click</w:t>
      </w:r>
    </w:p>
  </w:footnote>
  <w:footnote w:id="30">
    <w:p w:rsidR="00D17DEC" w:rsidRDefault="00D17DEC">
      <w:pPr>
        <w:spacing w:after="0" w:line="240" w:lineRule="auto"/>
        <w:rPr>
          <w:sz w:val="20"/>
          <w:szCs w:val="20"/>
        </w:rPr>
      </w:pPr>
      <w:r>
        <w:rPr>
          <w:vertAlign w:val="superscript"/>
        </w:rPr>
        <w:footnoteRef/>
      </w:r>
      <w:r>
        <w:rPr>
          <w:sz w:val="20"/>
          <w:szCs w:val="20"/>
        </w:rPr>
        <w:t xml:space="preserve"> Superindustria formula Pliego de Cargos por colusión o cartelización empresarial en el proceso de selección para la APP del Tercer Carril Bogotá – Girardot. (14 de agosto de 2018). SIC. Disponible en: sic.gov.co/noticias/superindustria-formula-pliego-de-cargos-por-colusion-o-cartelizacion-empresarial-en-el-proceso-de-seleccion-para-la-app-del-tercer-carril-bogota-girardot</w:t>
      </w:r>
    </w:p>
  </w:footnote>
  <w:footnote w:id="31">
    <w:p w:rsidR="00D17DEC" w:rsidRDefault="00D17DEC">
      <w:pPr>
        <w:spacing w:after="0" w:line="240" w:lineRule="auto"/>
        <w:rPr>
          <w:sz w:val="20"/>
          <w:szCs w:val="20"/>
        </w:rPr>
      </w:pPr>
      <w:r>
        <w:rPr>
          <w:vertAlign w:val="superscript"/>
        </w:rPr>
        <w:footnoteRef/>
      </w:r>
      <w:r>
        <w:rPr>
          <w:sz w:val="20"/>
          <w:szCs w:val="20"/>
        </w:rPr>
        <w:t xml:space="preserve">Recomiendan a la SIC archivar investigación contra Conconcreto por caso tercer carril Bogotá-Girardot. (enero 8 de 2020). Valora Analitik. Disponible en: </w:t>
      </w:r>
      <w:hyperlink r:id="rId2">
        <w:r>
          <w:rPr>
            <w:sz w:val="20"/>
            <w:szCs w:val="20"/>
          </w:rPr>
          <w:t>https://www.valoraanalitik.com/2020/01/08/recomiendan-a-la-sic-archivar-investigacion-contra-conconcreto-por-caso-tercer-carril-bogota-girardot/</w:t>
        </w:r>
      </w:hyperlink>
    </w:p>
  </w:footnote>
  <w:footnote w:id="32">
    <w:p w:rsidR="00D17DEC" w:rsidRPr="00D17DEC" w:rsidRDefault="00D17DEC">
      <w:pPr>
        <w:spacing w:after="0" w:line="240" w:lineRule="auto"/>
        <w:rPr>
          <w:sz w:val="20"/>
          <w:szCs w:val="20"/>
          <w:lang w:val="en-US"/>
        </w:rPr>
      </w:pPr>
      <w:r>
        <w:rPr>
          <w:vertAlign w:val="superscript"/>
        </w:rPr>
        <w:footnoteRef/>
      </w:r>
      <w:r w:rsidRPr="00D17DEC">
        <w:rPr>
          <w:sz w:val="20"/>
          <w:szCs w:val="20"/>
          <w:lang w:val="en-US"/>
        </w:rPr>
        <w:t xml:space="preserve"> PPP Reference guide, 2014, p198</w:t>
      </w:r>
    </w:p>
  </w:footnote>
  <w:footnote w:id="33">
    <w:p w:rsidR="00D17DEC" w:rsidRPr="00D17DEC" w:rsidRDefault="00D17DEC">
      <w:pPr>
        <w:spacing w:after="0" w:line="240" w:lineRule="auto"/>
        <w:rPr>
          <w:sz w:val="20"/>
          <w:szCs w:val="20"/>
          <w:lang w:val="en-US"/>
        </w:rPr>
      </w:pPr>
      <w:r>
        <w:rPr>
          <w:vertAlign w:val="superscript"/>
        </w:rPr>
        <w:footnoteRef/>
      </w:r>
      <w:r w:rsidRPr="00D17DEC">
        <w:rPr>
          <w:sz w:val="20"/>
          <w:szCs w:val="20"/>
          <w:lang w:val="en-US"/>
        </w:rPr>
        <w:t xml:space="preserve"> PPP law of 1st March 2004 (section 18)</w:t>
      </w:r>
    </w:p>
  </w:footnote>
  <w:footnote w:id="34">
    <w:p w:rsidR="00D17DEC" w:rsidRDefault="00D17DEC">
      <w:pPr>
        <w:spacing w:after="0" w:line="240" w:lineRule="auto"/>
        <w:rPr>
          <w:sz w:val="20"/>
          <w:szCs w:val="20"/>
        </w:rPr>
      </w:pPr>
      <w:r>
        <w:rPr>
          <w:vertAlign w:val="superscript"/>
        </w:rPr>
        <w:footnoteRef/>
      </w:r>
      <w:r>
        <w:rPr>
          <w:sz w:val="20"/>
          <w:szCs w:val="20"/>
        </w:rPr>
        <w:t xml:space="preserve">  </w:t>
      </w:r>
      <w:r>
        <w:rPr>
          <w:sz w:val="18"/>
          <w:szCs w:val="18"/>
        </w:rPr>
        <w:t>Cholles, O. (2019). “Cuando el Riesgo suena…”. Cámara Colombiana de Infraestructura. Revista Infraestructura &amp; Desarrollo, 93, p 10-11.  Disponible en: https://issuu.com/camaracci/docs/infraestructura_desarrollo-edicion93/12?rdst_srcid=2038327</w:t>
      </w:r>
    </w:p>
  </w:footnote>
  <w:footnote w:id="35">
    <w:p w:rsidR="00D17DEC" w:rsidRDefault="00D17DEC">
      <w:pPr>
        <w:spacing w:after="0" w:line="240" w:lineRule="auto"/>
        <w:rPr>
          <w:sz w:val="20"/>
          <w:szCs w:val="20"/>
        </w:rPr>
      </w:pPr>
      <w:r>
        <w:rPr>
          <w:vertAlign w:val="superscript"/>
        </w:rPr>
        <w:footnoteRef/>
      </w:r>
      <w:r>
        <w:rPr>
          <w:sz w:val="20"/>
          <w:szCs w:val="20"/>
        </w:rPr>
        <w:t xml:space="preserve">  APP IP sin recursos públicos, Proyecto Vía al Puerto, Contrato No.003 de 2016, Corredor Buenaventura-Loboguerrero-Buga. A cargo del Concesionario Vía Pacífico SAS, conformado por Grupo Solarte (67%), Constructora Conconcreto S.A (33%). Contrato terminado anticipadamente en Etapa de Preconstrucción, Liquidada.</w:t>
      </w:r>
    </w:p>
  </w:footnote>
  <w:footnote w:id="36">
    <w:p w:rsidR="00D17DEC" w:rsidRDefault="00D17DEC">
      <w:pPr>
        <w:spacing w:after="0" w:line="240" w:lineRule="auto"/>
        <w:rPr>
          <w:rFonts w:ascii="Arial" w:eastAsia="Arial" w:hAnsi="Arial" w:cs="Arial"/>
          <w:sz w:val="20"/>
          <w:szCs w:val="20"/>
        </w:rPr>
      </w:pPr>
      <w:r>
        <w:rPr>
          <w:vertAlign w:val="superscript"/>
        </w:rPr>
        <w:footnoteRef/>
      </w:r>
      <w:r>
        <w:rPr>
          <w:rFonts w:ascii="Arial" w:eastAsia="Arial" w:hAnsi="Arial" w:cs="Arial"/>
          <w:sz w:val="20"/>
          <w:szCs w:val="20"/>
        </w:rPr>
        <w:t xml:space="preserve"> Contrato No.003 de 19 de agosto de 2016</w:t>
      </w:r>
    </w:p>
  </w:footnote>
  <w:footnote w:id="37">
    <w:p w:rsidR="00D17DEC" w:rsidRDefault="00D17DEC">
      <w:pPr>
        <w:spacing w:after="0" w:line="240" w:lineRule="auto"/>
        <w:rPr>
          <w:sz w:val="20"/>
          <w:szCs w:val="20"/>
        </w:rPr>
      </w:pPr>
      <w:r>
        <w:rPr>
          <w:vertAlign w:val="superscript"/>
        </w:rPr>
        <w:footnoteRef/>
      </w:r>
      <w:r>
        <w:rPr>
          <w:sz w:val="20"/>
          <w:szCs w:val="20"/>
        </w:rPr>
        <w:t xml:space="preserve"> https://bibliotecadigital.ccb.org.co/bitstream/handle/11520/23496/5012%20CONCESI%C3%93N%20VIAL%20DE%20LOS%20LLANOS%20S.A.S.%20VS.%20AGENCIA%20NACIONAL%20DE%20INSFRAESTRUCTURA%20-%20ANI%2028%2002%202019.pdf?sequence=1&amp;isAllowed=y</w:t>
      </w:r>
    </w:p>
  </w:footnote>
  <w:footnote w:id="38">
    <w:p w:rsidR="00D17DEC" w:rsidRDefault="00D17DEC">
      <w:pPr>
        <w:spacing w:after="0" w:line="240" w:lineRule="auto"/>
        <w:rPr>
          <w:sz w:val="20"/>
          <w:szCs w:val="20"/>
        </w:rPr>
      </w:pPr>
      <w:r>
        <w:rPr>
          <w:vertAlign w:val="superscript"/>
        </w:rPr>
        <w:footnoteRef/>
      </w:r>
      <w:r>
        <w:rPr>
          <w:sz w:val="18"/>
          <w:szCs w:val="18"/>
        </w:rPr>
        <w:t xml:space="preserve">Periódico el Tiempo (18 de noviembre de 2019) Disponible en: </w:t>
      </w:r>
      <w:hyperlink r:id="rId3">
        <w:r>
          <w:rPr>
            <w:sz w:val="18"/>
            <w:szCs w:val="18"/>
          </w:rPr>
          <w:t>https://www.eltiempo.com/colombia/otras-ciudades/obras-de-la-malla-vial-del-meta-suspendidas-por-desacuerdos-434654</w:t>
        </w:r>
      </w:hyperlink>
    </w:p>
  </w:footnote>
  <w:footnote w:id="39">
    <w:p w:rsidR="00D17DEC" w:rsidRDefault="00D17DEC">
      <w:pPr>
        <w:spacing w:after="0" w:line="240" w:lineRule="auto"/>
        <w:rPr>
          <w:sz w:val="20"/>
          <w:szCs w:val="20"/>
        </w:rPr>
      </w:pPr>
      <w:r>
        <w:rPr>
          <w:vertAlign w:val="superscript"/>
        </w:rPr>
        <w:footnoteRef/>
      </w:r>
      <w:r>
        <w:rPr>
          <w:sz w:val="20"/>
          <w:szCs w:val="20"/>
        </w:rPr>
        <w:t>Realizado por Minhacienda, DNP, Grupo Banco Mundial.Programa de Capacitación a las Entidades Territoriales, de Asociaciones Públicas Privadas (APPs).  Consultado el 14 de Julio de 2020. Disponible en: http://www.irc.gov.co/webcenter/ShowProperty?nodeId=%2FConexionContent%2FWCC_CLUSTER-078904%2F%2FidcPrimaryFile&amp;revision=latestreleased</w:t>
      </w:r>
    </w:p>
  </w:footnote>
  <w:footnote w:id="40">
    <w:p w:rsidR="00D17DEC" w:rsidRDefault="00D17DEC">
      <w:pPr>
        <w:spacing w:after="0" w:line="240" w:lineRule="auto"/>
        <w:rPr>
          <w:sz w:val="20"/>
          <w:szCs w:val="20"/>
        </w:rPr>
      </w:pPr>
      <w:r>
        <w:rPr>
          <w:vertAlign w:val="superscript"/>
        </w:rPr>
        <w:footnoteRef/>
      </w:r>
      <w:r>
        <w:rPr>
          <w:sz w:val="20"/>
          <w:szCs w:val="20"/>
        </w:rPr>
        <w:t xml:space="preserve"> Ibidem</w:t>
      </w:r>
    </w:p>
  </w:footnote>
  <w:footnote w:id="41">
    <w:p w:rsidR="00D17DEC" w:rsidRDefault="00D17DEC">
      <w:pPr>
        <w:spacing w:after="0" w:line="240" w:lineRule="auto"/>
        <w:rPr>
          <w:sz w:val="20"/>
          <w:szCs w:val="20"/>
        </w:rPr>
      </w:pPr>
      <w:r>
        <w:rPr>
          <w:vertAlign w:val="superscript"/>
        </w:rPr>
        <w:footnoteRef/>
      </w:r>
      <w:r>
        <w:rPr>
          <w:sz w:val="20"/>
          <w:szCs w:val="20"/>
        </w:rPr>
        <w:t>Realizado por Minhacienda, DNP, Grupo Banco Mundial.Programa de Capacitación a las Entidades Territoriales, de Asociaciones Públicas Privadas (APPs).  Consultado el 14 de Julio de 2020. Disponible en: http://www.irc.gov.co/webcenter/ShowProperty?nodeId=%2FConexionContent%2FWCC_CLUSTER-078904%2F%2FidcPrimaryFile&amp;revision=latestreleased</w:t>
      </w:r>
    </w:p>
  </w:footnote>
  <w:footnote w:id="42">
    <w:p w:rsidR="00D17DEC" w:rsidRPr="00D17DEC" w:rsidRDefault="00D17DEC">
      <w:pPr>
        <w:pBdr>
          <w:top w:val="nil"/>
          <w:left w:val="nil"/>
          <w:bottom w:val="nil"/>
          <w:right w:val="nil"/>
          <w:between w:val="nil"/>
        </w:pBdr>
        <w:spacing w:after="0" w:line="240" w:lineRule="auto"/>
        <w:rPr>
          <w:color w:val="000000"/>
          <w:sz w:val="20"/>
          <w:szCs w:val="20"/>
          <w:lang w:val="en-US"/>
        </w:rPr>
      </w:pPr>
      <w:r>
        <w:rPr>
          <w:vertAlign w:val="superscript"/>
        </w:rPr>
        <w:footnoteRef/>
      </w:r>
      <w:r>
        <w:rPr>
          <w:sz w:val="20"/>
          <w:szCs w:val="20"/>
        </w:rPr>
        <w:t xml:space="preserve"> Presidente de la República de Colombia (Octubre 15 de 2014) Decreto por el cual se modifica el Decreto 1467 de 2012, reglamentario de la Ley 1508 de 2012. </w:t>
      </w:r>
      <w:r w:rsidRPr="00D17DEC">
        <w:rPr>
          <w:sz w:val="20"/>
          <w:szCs w:val="20"/>
          <w:lang w:val="en-US"/>
        </w:rPr>
        <w:t>(Decreto 2043 de 2014). DO: 49305</w:t>
      </w:r>
      <w:r w:rsidRPr="00D17DEC">
        <w:rPr>
          <w:color w:val="000000"/>
          <w:sz w:val="20"/>
          <w:szCs w:val="20"/>
          <w:lang w:val="en-US"/>
        </w:rPr>
        <w:t xml:space="preserve"> </w:t>
      </w:r>
    </w:p>
    <w:p w:rsidR="00D17DEC" w:rsidRPr="00D17DEC" w:rsidRDefault="00D17DEC">
      <w:pPr>
        <w:pBdr>
          <w:top w:val="nil"/>
          <w:left w:val="nil"/>
          <w:bottom w:val="nil"/>
          <w:right w:val="nil"/>
          <w:between w:val="nil"/>
        </w:pBdr>
        <w:spacing w:after="0" w:line="240" w:lineRule="auto"/>
        <w:rPr>
          <w:color w:val="000000"/>
          <w:sz w:val="20"/>
          <w:szCs w:val="20"/>
          <w:lang w:val="en-US"/>
        </w:rPr>
      </w:pPr>
    </w:p>
  </w:footnote>
  <w:footnote w:id="43">
    <w:p w:rsidR="00D17DEC" w:rsidRPr="00D17DEC" w:rsidRDefault="00D17DEC">
      <w:pPr>
        <w:spacing w:after="0" w:line="240" w:lineRule="auto"/>
        <w:rPr>
          <w:sz w:val="20"/>
          <w:szCs w:val="20"/>
          <w:lang w:val="en-US"/>
        </w:rPr>
      </w:pPr>
      <w:r>
        <w:rPr>
          <w:vertAlign w:val="superscript"/>
        </w:rPr>
        <w:footnoteRef/>
      </w:r>
      <w:r w:rsidRPr="00D17DEC">
        <w:rPr>
          <w:sz w:val="20"/>
          <w:szCs w:val="20"/>
          <w:lang w:val="en-US"/>
        </w:rPr>
        <w:t xml:space="preserve"> OCDE.(2011). From Lessons to Principles for the use of Public-Private Partnerships. 32nd Annual meeting of</w:t>
      </w:r>
    </w:p>
    <w:p w:rsidR="00D17DEC" w:rsidRPr="00D17DEC" w:rsidRDefault="00D17DEC">
      <w:pPr>
        <w:spacing w:after="0" w:line="240" w:lineRule="auto"/>
        <w:rPr>
          <w:sz w:val="20"/>
          <w:szCs w:val="20"/>
          <w:lang w:val="en-US"/>
        </w:rPr>
      </w:pPr>
      <w:r w:rsidRPr="00D17DEC">
        <w:rPr>
          <w:sz w:val="20"/>
          <w:szCs w:val="20"/>
          <w:lang w:val="en-US"/>
        </w:rPr>
        <w:t>Working Party of Senior Budget Officials. Disponible en: oecd.org/gov/budgeting/48144872.pdf</w:t>
      </w:r>
    </w:p>
    <w:p w:rsidR="00D17DEC" w:rsidRPr="00D17DEC" w:rsidRDefault="00D17DEC">
      <w:pPr>
        <w:spacing w:after="0" w:line="240" w:lineRule="auto"/>
        <w:rPr>
          <w:sz w:val="20"/>
          <w:szCs w:val="20"/>
          <w:lang w:val="en-US"/>
        </w:rPr>
      </w:pPr>
    </w:p>
  </w:footnote>
  <w:footnote w:id="44">
    <w:p w:rsidR="00D17DEC" w:rsidRDefault="00D17DEC">
      <w:pPr>
        <w:spacing w:after="0" w:line="240" w:lineRule="auto"/>
        <w:rPr>
          <w:sz w:val="20"/>
          <w:szCs w:val="20"/>
        </w:rPr>
      </w:pPr>
      <w:r>
        <w:rPr>
          <w:vertAlign w:val="superscript"/>
        </w:rPr>
        <w:footnoteRef/>
      </w:r>
      <w:r>
        <w:rPr>
          <w:sz w:val="20"/>
          <w:szCs w:val="20"/>
        </w:rPr>
        <w:t xml:space="preserve"> Cholles, O. (2019). “Cuando el Riesgo suena…”. Cámara Colombiana de Infraestructura. Revista Infraestructura &amp; Desarrollo, 93, p10-11. </w:t>
      </w:r>
    </w:p>
  </w:footnote>
  <w:footnote w:id="45">
    <w:p w:rsidR="00D17DEC" w:rsidRDefault="00D17DEC">
      <w:pPr>
        <w:spacing w:after="0" w:line="240" w:lineRule="auto"/>
        <w:jc w:val="both"/>
        <w:rPr>
          <w:sz w:val="18"/>
          <w:szCs w:val="18"/>
        </w:rPr>
      </w:pPr>
      <w:r>
        <w:rPr>
          <w:vertAlign w:val="superscript"/>
        </w:rPr>
        <w:footnoteRef/>
      </w:r>
      <w:r>
        <w:t xml:space="preserve"> </w:t>
      </w:r>
      <w:r>
        <w:rPr>
          <w:sz w:val="18"/>
          <w:szCs w:val="18"/>
        </w:rPr>
        <w:t>De acuerdo con lo reglamentado por el Decreto 2043 de 2014, en su artículo 5o, “En las iniciativas privadas que no requieran desembolsos de recursos públicos, los mecanismos de compensación por la materialización de los riesgos asignados a la entidad estatal serán aquellos que se definan en la estructuración del proyecto, entre otros, pero sin limitarse: La ampliación del plazo inicial de conformidad con la ley, La modificación del alcance del proyecto, El incremento de peajes y tarifas. La norma claramente dice “entre otros, pero sin limitarse”, lo que deja un espacio para utilizar otro tipo de mecanismos que bien podría ser un Fondo de Contingencias.</w:t>
      </w:r>
    </w:p>
  </w:footnote>
  <w:footnote w:id="46">
    <w:p w:rsidR="00D17DEC" w:rsidRPr="00D17DEC" w:rsidRDefault="00D17DEC">
      <w:pPr>
        <w:spacing w:after="0" w:line="240" w:lineRule="auto"/>
        <w:rPr>
          <w:sz w:val="20"/>
          <w:szCs w:val="20"/>
          <w:lang w:val="en-US"/>
        </w:rPr>
      </w:pPr>
      <w:r>
        <w:rPr>
          <w:vertAlign w:val="superscript"/>
        </w:rPr>
        <w:footnoteRef/>
      </w:r>
      <w:r w:rsidRPr="00D17DEC">
        <w:rPr>
          <w:sz w:val="20"/>
          <w:szCs w:val="20"/>
          <w:lang w:val="en-US"/>
        </w:rPr>
        <w:t xml:space="preserve"> OCDE.(2011). From Lessons to Principles for the use of Public-Private Partnerships. 32nd Annual meeting of</w:t>
      </w:r>
    </w:p>
    <w:p w:rsidR="00D17DEC" w:rsidRPr="00D17DEC" w:rsidRDefault="00D17DEC">
      <w:pPr>
        <w:spacing w:after="0" w:line="240" w:lineRule="auto"/>
        <w:rPr>
          <w:sz w:val="20"/>
          <w:szCs w:val="20"/>
          <w:lang w:val="en-US"/>
        </w:rPr>
      </w:pPr>
      <w:r w:rsidRPr="00D17DEC">
        <w:rPr>
          <w:sz w:val="20"/>
          <w:szCs w:val="20"/>
          <w:lang w:val="en-US"/>
        </w:rPr>
        <w:t>Working Party of Senior Budget Officials. Disponible en: oecd.org/gov/budgeting/48144872.pdf</w:t>
      </w:r>
    </w:p>
  </w:footnote>
  <w:footnote w:id="47">
    <w:p w:rsidR="00D17DEC" w:rsidRDefault="00D17DEC">
      <w:pPr>
        <w:spacing w:after="0" w:line="240" w:lineRule="auto"/>
        <w:rPr>
          <w:sz w:val="20"/>
          <w:szCs w:val="20"/>
        </w:rPr>
      </w:pPr>
      <w:r>
        <w:rPr>
          <w:vertAlign w:val="superscript"/>
        </w:rPr>
        <w:footnoteRef/>
      </w:r>
      <w:r w:rsidRPr="00D17DEC">
        <w:rPr>
          <w:sz w:val="20"/>
          <w:szCs w:val="20"/>
          <w:lang w:val="en-US"/>
        </w:rPr>
        <w:t xml:space="preserve">  European Commission (2017). FREQUENTLY ASKED QUESTIONS CEF Transport Blendin Call. </w:t>
      </w:r>
      <w:r>
        <w:rPr>
          <w:sz w:val="20"/>
          <w:szCs w:val="20"/>
        </w:rPr>
        <w:t xml:space="preserve">Disponible en: </w:t>
      </w:r>
      <w:hyperlink r:id="rId4">
        <w:r>
          <w:rPr>
            <w:sz w:val="20"/>
            <w:szCs w:val="20"/>
          </w:rPr>
          <w:t>https://ec.europa.eu/inea/sites/inea/files/faqs_blending_batch_1_20170505.pdf</w:t>
        </w:r>
      </w:hyperlink>
    </w:p>
  </w:footnote>
  <w:footnote w:id="48">
    <w:p w:rsidR="00D17DEC" w:rsidRPr="00D17DEC" w:rsidRDefault="00D17DEC">
      <w:pPr>
        <w:spacing w:after="0" w:line="240" w:lineRule="auto"/>
        <w:rPr>
          <w:sz w:val="20"/>
          <w:szCs w:val="20"/>
          <w:lang w:val="en-US"/>
        </w:rPr>
      </w:pPr>
      <w:r>
        <w:rPr>
          <w:vertAlign w:val="superscript"/>
        </w:rPr>
        <w:footnoteRef/>
      </w:r>
      <w:r w:rsidRPr="00D17DEC">
        <w:rPr>
          <w:sz w:val="20"/>
          <w:szCs w:val="20"/>
          <w:lang w:val="en-US"/>
        </w:rPr>
        <w:t xml:space="preserve"> Value-for-money</w:t>
      </w:r>
    </w:p>
  </w:footnote>
  <w:footnote w:id="49">
    <w:p w:rsidR="00D17DEC" w:rsidRDefault="00D17DEC">
      <w:pPr>
        <w:spacing w:after="0" w:line="240" w:lineRule="auto"/>
        <w:rPr>
          <w:sz w:val="20"/>
          <w:szCs w:val="20"/>
        </w:rPr>
      </w:pPr>
      <w:r>
        <w:rPr>
          <w:vertAlign w:val="superscript"/>
        </w:rPr>
        <w:footnoteRef/>
      </w:r>
      <w:r w:rsidRPr="00D17DEC">
        <w:rPr>
          <w:sz w:val="20"/>
          <w:szCs w:val="20"/>
          <w:lang w:val="en-US"/>
        </w:rPr>
        <w:t xml:space="preserve">Michel, R., Parts, J &amp; Losada, R,. </w:t>
      </w:r>
      <w:r>
        <w:rPr>
          <w:sz w:val="20"/>
          <w:szCs w:val="20"/>
        </w:rPr>
        <w:t>(2018).  ASOCIACIONES PÚBLICO-PRIVADAS Y CORRUPCIÓN: EL “ANTES” Y EL “DESPUÉS” DEL ILÍCITO. Banco Interamericano de Desarrollo. Disponible en: Documento para discusión No. IDB-DP-625. p5-7. Disponible en:</w:t>
      </w:r>
    </w:p>
    <w:p w:rsidR="00D17DEC" w:rsidRDefault="00D17DEC">
      <w:pPr>
        <w:spacing w:after="0" w:line="240" w:lineRule="auto"/>
        <w:rPr>
          <w:sz w:val="20"/>
          <w:szCs w:val="20"/>
        </w:rPr>
      </w:pPr>
      <w:hyperlink r:id="rId5">
        <w:r>
          <w:rPr>
            <w:sz w:val="20"/>
            <w:szCs w:val="20"/>
          </w:rPr>
          <w:t>https://publications.iadb.org/publications/spanish/document/Efectos-de-la-corrupci%C3%B3n-en-los-contratos-de-asociaciones-p%C3%BAblico-privadas-Consecuencias-de-un-enfoque-de-tolerancia-cero.pdf</w:t>
        </w:r>
      </w:hyperlink>
    </w:p>
  </w:footnote>
  <w:footnote w:id="50">
    <w:p w:rsidR="00D17DEC" w:rsidRDefault="00D17DEC">
      <w:pPr>
        <w:spacing w:after="0" w:line="240" w:lineRule="auto"/>
        <w:rPr>
          <w:sz w:val="20"/>
          <w:szCs w:val="20"/>
        </w:rPr>
      </w:pPr>
      <w:r>
        <w:rPr>
          <w:vertAlign w:val="superscript"/>
        </w:rPr>
        <w:footnoteRef/>
      </w:r>
      <w:r w:rsidRPr="00D17DEC">
        <w:rPr>
          <w:sz w:val="20"/>
          <w:szCs w:val="20"/>
          <w:lang w:val="en-US"/>
        </w:rPr>
        <w:t xml:space="preserve"> Aslan, C &amp; Duarte,D. (2014). How do countries measure, manage, and monitor fiscal risks generated by Public-Private Partnerships? Chile, Peru, South Africa, Turkey. World Bank Group. Policy Research Working Paper, wps7041. </w:t>
      </w:r>
      <w:r>
        <w:rPr>
          <w:sz w:val="20"/>
          <w:szCs w:val="20"/>
        </w:rPr>
        <w:t xml:space="preserve">Disponible en: </w:t>
      </w:r>
      <w:hyperlink r:id="rId6">
        <w:r>
          <w:rPr>
            <w:sz w:val="20"/>
            <w:szCs w:val="20"/>
          </w:rPr>
          <w:t>http://pubdocs.worldbank.org/en/540491510086164484/PDM-Publication-ContingentLiabilities-HowDoCountriesMeasureManageAndMonitorFiscalRisksGeneratedByPubl.pdf</w:t>
        </w:r>
      </w:hyperlink>
    </w:p>
  </w:footnote>
  <w:footnote w:id="51">
    <w:p w:rsidR="00D17DEC" w:rsidRDefault="00D17DEC">
      <w:pPr>
        <w:spacing w:after="0" w:line="240" w:lineRule="auto"/>
        <w:jc w:val="both"/>
        <w:rPr>
          <w:sz w:val="20"/>
          <w:szCs w:val="20"/>
        </w:rPr>
      </w:pPr>
      <w:r>
        <w:rPr>
          <w:vertAlign w:val="superscript"/>
        </w:rPr>
        <w:footnoteRef/>
      </w:r>
      <w:r>
        <w:rPr>
          <w:sz w:val="20"/>
          <w:szCs w:val="20"/>
        </w:rPr>
        <w:t xml:space="preserve"> La parte privada está representada por un vehículo de propósito especial (SPV) que suele ser total o parcialmente responsable de desarrollar, construir, mantener y operar el activo durante un período contratado. El SPV busca el financiamiento, firma el contrato con el gobierno y con subcontratistas para construir la instalación y luego la mantiene.</w:t>
      </w:r>
    </w:p>
  </w:footnote>
  <w:footnote w:id="52">
    <w:p w:rsidR="00D17DEC" w:rsidRDefault="00D17DEC">
      <w:pPr>
        <w:spacing w:after="0" w:line="240" w:lineRule="auto"/>
        <w:rPr>
          <w:sz w:val="20"/>
          <w:szCs w:val="20"/>
        </w:rPr>
      </w:pPr>
      <w:r>
        <w:rPr>
          <w:vertAlign w:val="superscript"/>
        </w:rPr>
        <w:footnoteRef/>
      </w:r>
      <w:r w:rsidRPr="00D17DEC">
        <w:rPr>
          <w:sz w:val="20"/>
          <w:szCs w:val="20"/>
          <w:lang w:val="en-US"/>
        </w:rPr>
        <w:t xml:space="preserve">World Bank Group. (17 de marzo de 2019). Government Support in Financing PPPs.  </w:t>
      </w:r>
      <w:r>
        <w:rPr>
          <w:sz w:val="20"/>
          <w:szCs w:val="20"/>
        </w:rPr>
        <w:t xml:space="preserve">Disponible en: </w:t>
      </w:r>
      <w:hyperlink r:id="rId7">
        <w:r>
          <w:rPr>
            <w:sz w:val="20"/>
            <w:szCs w:val="20"/>
          </w:rPr>
          <w:t>https://ppp.worldbank.org/public-private-partnership/financing/government-support-subsidies</w:t>
        </w:r>
      </w:hyperlink>
      <w:r>
        <w:rPr>
          <w:sz w:val="20"/>
          <w:szCs w:val="20"/>
        </w:rPr>
        <w:t>ón</w:t>
      </w:r>
    </w:p>
  </w:footnote>
  <w:footnote w:id="53">
    <w:p w:rsidR="00D17DEC" w:rsidRPr="00D17DEC" w:rsidRDefault="00D17DEC">
      <w:pPr>
        <w:spacing w:after="0" w:line="240" w:lineRule="auto"/>
        <w:rPr>
          <w:sz w:val="20"/>
          <w:szCs w:val="20"/>
          <w:lang w:val="en-US"/>
        </w:rPr>
      </w:pPr>
      <w:r>
        <w:rPr>
          <w:vertAlign w:val="superscript"/>
        </w:rPr>
        <w:footnoteRef/>
      </w:r>
      <w:r w:rsidRPr="00D17DEC">
        <w:rPr>
          <w:sz w:val="20"/>
          <w:szCs w:val="20"/>
          <w:lang w:val="en-US"/>
        </w:rPr>
        <w:t>OCDE.(2011). From Lessons to Principles for the use of Public-Private Partnerships. 32nd Annual meeting of</w:t>
      </w:r>
    </w:p>
    <w:p w:rsidR="00D17DEC" w:rsidRPr="00D17DEC" w:rsidRDefault="00D17DEC">
      <w:pPr>
        <w:spacing w:after="0" w:line="240" w:lineRule="auto"/>
        <w:rPr>
          <w:sz w:val="20"/>
          <w:szCs w:val="20"/>
          <w:lang w:val="en-US"/>
        </w:rPr>
      </w:pPr>
      <w:r w:rsidRPr="00D17DEC">
        <w:rPr>
          <w:sz w:val="20"/>
          <w:szCs w:val="20"/>
          <w:lang w:val="en-US"/>
        </w:rPr>
        <w:t>Working Party of Senior Budget Officials. Disponible en: oecd.org/gov/budgeting/48144872.pdf</w:t>
      </w:r>
    </w:p>
  </w:footnote>
  <w:footnote w:id="54">
    <w:p w:rsidR="00D17DEC" w:rsidRPr="00D17DEC" w:rsidRDefault="00D17DEC">
      <w:pPr>
        <w:spacing w:after="0" w:line="240" w:lineRule="auto"/>
        <w:rPr>
          <w:sz w:val="20"/>
          <w:szCs w:val="20"/>
          <w:lang w:val="en-US"/>
        </w:rPr>
      </w:pPr>
      <w:r>
        <w:rPr>
          <w:vertAlign w:val="superscript"/>
        </w:rPr>
        <w:footnoteRef/>
      </w:r>
      <w:r w:rsidRPr="00D17DEC">
        <w:rPr>
          <w:sz w:val="20"/>
          <w:szCs w:val="20"/>
          <w:lang w:val="en-US"/>
        </w:rPr>
        <w:t xml:space="preserve"> Leigland J. (2018). Oxford Academic, The World Bank Research Observer, Volume 33, Issue 1, Pages 103–134. Disponible en: </w:t>
      </w:r>
      <w:hyperlink r:id="rId8">
        <w:r w:rsidRPr="00D17DEC">
          <w:rPr>
            <w:sz w:val="20"/>
            <w:szCs w:val="20"/>
            <w:lang w:val="en-US"/>
          </w:rPr>
          <w:t>https://academic.oup.com/wbro/article/33/1/103/4951689</w:t>
        </w:r>
      </w:hyperlink>
    </w:p>
  </w:footnote>
  <w:footnote w:id="55">
    <w:p w:rsidR="00D17DEC" w:rsidRDefault="00D17DEC">
      <w:pPr>
        <w:spacing w:after="0" w:line="240" w:lineRule="auto"/>
        <w:rPr>
          <w:sz w:val="20"/>
          <w:szCs w:val="20"/>
        </w:rPr>
      </w:pPr>
      <w:r>
        <w:rPr>
          <w:vertAlign w:val="superscript"/>
        </w:rPr>
        <w:footnoteRef/>
      </w:r>
      <w:r w:rsidRPr="00D17DEC">
        <w:rPr>
          <w:sz w:val="20"/>
          <w:szCs w:val="20"/>
          <w:lang w:val="en-US"/>
        </w:rPr>
        <w:t xml:space="preserve">REPUBLIC OF THE PHILIPPINES PUBLIC-PRIVATE PARTNERSHIP CENTER.(mayo 12 de 2013) PPP contingency fund to be part of budget? </w:t>
      </w:r>
      <w:r>
        <w:rPr>
          <w:sz w:val="20"/>
          <w:szCs w:val="20"/>
        </w:rPr>
        <w:t xml:space="preserve">Disponible en: </w:t>
      </w:r>
      <w:hyperlink r:id="rId9">
        <w:r>
          <w:rPr>
            <w:sz w:val="20"/>
            <w:szCs w:val="20"/>
          </w:rPr>
          <w:t>https://ppp.gov.ph/in_the_news/ppp-contingency-fund-to-be-part-of-budget/</w:t>
        </w:r>
      </w:hyperlink>
    </w:p>
  </w:footnote>
  <w:footnote w:id="56">
    <w:p w:rsidR="00D17DEC" w:rsidRDefault="00D17DEC">
      <w:pPr>
        <w:spacing w:after="0" w:line="240" w:lineRule="auto"/>
        <w:rPr>
          <w:sz w:val="20"/>
          <w:szCs w:val="20"/>
        </w:rPr>
      </w:pPr>
      <w:r>
        <w:rPr>
          <w:vertAlign w:val="superscript"/>
        </w:rPr>
        <w:footnoteRef/>
      </w:r>
      <w:r w:rsidRPr="00D17DEC">
        <w:rPr>
          <w:sz w:val="20"/>
          <w:szCs w:val="20"/>
          <w:lang w:val="en-US"/>
        </w:rPr>
        <w:t xml:space="preserve">Cyrille Mbolo. (2016). Legal impediments to private participation in Public-Private Partnership in Cameroon. </w:t>
      </w:r>
      <w:r>
        <w:rPr>
          <w:sz w:val="20"/>
          <w:szCs w:val="20"/>
        </w:rPr>
        <w:t>Tribune Justice. Disponible en: https://www.tribunejustice.com/legal-impediments-to-private-participation-in-public-private-partnership-in-cameroon-by-cyrille-mbolo-legal-consultant/</w:t>
      </w:r>
    </w:p>
  </w:footnote>
  <w:footnote w:id="57">
    <w:p w:rsidR="00D17DEC" w:rsidRPr="00D17DEC" w:rsidRDefault="00D17DEC">
      <w:pPr>
        <w:spacing w:after="0" w:line="240" w:lineRule="auto"/>
        <w:rPr>
          <w:sz w:val="20"/>
          <w:szCs w:val="20"/>
          <w:lang w:val="en-US"/>
        </w:rPr>
      </w:pPr>
      <w:r>
        <w:rPr>
          <w:vertAlign w:val="superscript"/>
        </w:rPr>
        <w:footnoteRef/>
      </w:r>
      <w:r w:rsidRPr="00D17DEC">
        <w:rPr>
          <w:sz w:val="20"/>
          <w:szCs w:val="20"/>
          <w:lang w:val="en-US"/>
        </w:rPr>
        <w:t>Ibidem</w:t>
      </w:r>
    </w:p>
  </w:footnote>
  <w:footnote w:id="58">
    <w:p w:rsidR="00D17DEC" w:rsidRPr="00D17DEC" w:rsidRDefault="00D17DEC">
      <w:pPr>
        <w:spacing w:after="0" w:line="240" w:lineRule="auto"/>
        <w:rPr>
          <w:sz w:val="20"/>
          <w:szCs w:val="20"/>
          <w:lang w:val="en-US"/>
        </w:rPr>
      </w:pPr>
      <w:r>
        <w:rPr>
          <w:vertAlign w:val="superscript"/>
        </w:rPr>
        <w:footnoteRef/>
      </w:r>
      <w:r w:rsidRPr="00D17DEC">
        <w:rPr>
          <w:sz w:val="20"/>
          <w:szCs w:val="20"/>
          <w:lang w:val="en-US"/>
        </w:rPr>
        <w:t xml:space="preserve"> Ibidem</w:t>
      </w:r>
    </w:p>
  </w:footnote>
  <w:footnote w:id="59">
    <w:p w:rsidR="00D17DEC" w:rsidRPr="00D17DEC" w:rsidRDefault="00D17DEC">
      <w:pPr>
        <w:spacing w:after="0" w:line="240" w:lineRule="auto"/>
        <w:rPr>
          <w:sz w:val="20"/>
          <w:szCs w:val="20"/>
          <w:lang w:val="en-US"/>
        </w:rPr>
      </w:pPr>
      <w:r>
        <w:rPr>
          <w:vertAlign w:val="superscript"/>
        </w:rPr>
        <w:footnoteRef/>
      </w:r>
      <w:r w:rsidRPr="00D17DEC">
        <w:rPr>
          <w:sz w:val="20"/>
          <w:szCs w:val="20"/>
          <w:lang w:val="en-US"/>
        </w:rPr>
        <w:t xml:space="preserve"> Guasch, José Luis (2004) Granting and Renegotiating Infrastructure Concessions: Doing it Right, World Bank, Washington, D.C</w:t>
      </w:r>
    </w:p>
  </w:footnote>
  <w:footnote w:id="60">
    <w:p w:rsidR="00D17DEC" w:rsidRPr="00D17DEC" w:rsidRDefault="00D17DEC">
      <w:pPr>
        <w:spacing w:after="0" w:line="240" w:lineRule="auto"/>
        <w:rPr>
          <w:sz w:val="20"/>
          <w:szCs w:val="20"/>
          <w:lang w:val="en-US"/>
        </w:rPr>
      </w:pPr>
      <w:r>
        <w:rPr>
          <w:vertAlign w:val="superscript"/>
        </w:rPr>
        <w:footnoteRef/>
      </w:r>
      <w:r w:rsidRPr="00D17DEC">
        <w:rPr>
          <w:sz w:val="20"/>
          <w:szCs w:val="20"/>
          <w:lang w:val="en-US"/>
        </w:rPr>
        <w:t xml:space="preserve"> Public-Private Infrastructure Advisory Facility. 2014. Unsolicited Proposals – An Exception to Public Initiation of Infrastructure PPPs: An Analysis of Global Trends and Lessons Learned. Washington, DC: World Bank. Available at: www.ppiaf.org.</w:t>
      </w:r>
    </w:p>
  </w:footnote>
  <w:footnote w:id="61">
    <w:p w:rsidR="00D17DEC" w:rsidRDefault="00D17DEC">
      <w:pPr>
        <w:spacing w:after="0" w:line="240" w:lineRule="auto"/>
        <w:rPr>
          <w:sz w:val="20"/>
          <w:szCs w:val="20"/>
        </w:rPr>
      </w:pPr>
      <w:r>
        <w:rPr>
          <w:vertAlign w:val="superscript"/>
        </w:rPr>
        <w:footnoteRef/>
      </w:r>
      <w:r w:rsidRPr="00D17DEC">
        <w:rPr>
          <w:sz w:val="20"/>
          <w:szCs w:val="20"/>
          <w:lang w:val="en-US"/>
        </w:rPr>
        <w:t xml:space="preserve"> Leigland J. (2018). Oxford Academic, The World Bank Research Observer, Volume 33, Issue 1, Pages 103–134. </w:t>
      </w:r>
      <w:r>
        <w:rPr>
          <w:sz w:val="20"/>
          <w:szCs w:val="20"/>
        </w:rPr>
        <w:t xml:space="preserve">Disponible en: </w:t>
      </w:r>
      <w:hyperlink r:id="rId10">
        <w:r>
          <w:rPr>
            <w:sz w:val="20"/>
            <w:szCs w:val="20"/>
          </w:rPr>
          <w:t>https://academic.oup.com/wbro/article/33/1/103/4951689</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DEC" w:rsidRDefault="00D17DEC">
    <w:pPr>
      <w:pBdr>
        <w:top w:val="nil"/>
        <w:left w:val="nil"/>
        <w:bottom w:val="nil"/>
        <w:right w:val="nil"/>
        <w:between w:val="nil"/>
      </w:pBdr>
      <w:tabs>
        <w:tab w:val="center" w:pos="4419"/>
        <w:tab w:val="right" w:pos="8838"/>
      </w:tabs>
      <w:spacing w:after="0" w:line="240" w:lineRule="auto"/>
      <w:rPr>
        <w:color w:val="000000"/>
      </w:rPr>
    </w:pPr>
    <w:r>
      <w:rPr>
        <w:noProof/>
        <w:lang w:val="es-CO"/>
      </w:rPr>
      <w:drawing>
        <wp:anchor distT="0" distB="0" distL="114300" distR="114300" simplePos="0" relativeHeight="251658240" behindDoc="0" locked="0" layoutInCell="1" hidden="0" allowOverlap="1">
          <wp:simplePos x="0" y="0"/>
          <wp:positionH relativeFrom="page">
            <wp:posOffset>885825</wp:posOffset>
          </wp:positionH>
          <wp:positionV relativeFrom="page">
            <wp:posOffset>206375</wp:posOffset>
          </wp:positionV>
          <wp:extent cx="2191385" cy="714375"/>
          <wp:effectExtent l="0" t="0" r="0" b="0"/>
          <wp:wrapSquare wrapText="bothSides" distT="0" distB="0" distL="114300" distR="114300"/>
          <wp:docPr id="17" name="image3.png" descr="Home"/>
          <wp:cNvGraphicFramePr/>
          <a:graphic xmlns:a="http://schemas.openxmlformats.org/drawingml/2006/main">
            <a:graphicData uri="http://schemas.openxmlformats.org/drawingml/2006/picture">
              <pic:pic xmlns:pic="http://schemas.openxmlformats.org/drawingml/2006/picture">
                <pic:nvPicPr>
                  <pic:cNvPr id="0" name="image3.png" descr="Home"/>
                  <pic:cNvPicPr preferRelativeResize="0"/>
                </pic:nvPicPr>
                <pic:blipFill>
                  <a:blip r:embed="rId1"/>
                  <a:srcRect/>
                  <a:stretch>
                    <a:fillRect/>
                  </a:stretch>
                </pic:blipFill>
                <pic:spPr>
                  <a:xfrm>
                    <a:off x="0" y="0"/>
                    <a:ext cx="2191385" cy="714375"/>
                  </a:xfrm>
                  <a:prstGeom prst="rect">
                    <a:avLst/>
                  </a:prstGeom>
                  <a:ln/>
                </pic:spPr>
              </pic:pic>
            </a:graphicData>
          </a:graphic>
        </wp:anchor>
      </w:drawing>
    </w:r>
    <w:r>
      <w:rPr>
        <w:noProof/>
        <w:lang w:val="es-CO"/>
      </w:rPr>
      <w:drawing>
        <wp:anchor distT="114300" distB="114300" distL="114300" distR="114300" simplePos="0" relativeHeight="251659264" behindDoc="0" locked="0" layoutInCell="1" hidden="0" allowOverlap="1">
          <wp:simplePos x="0" y="0"/>
          <wp:positionH relativeFrom="column">
            <wp:posOffset>4019550</wp:posOffset>
          </wp:positionH>
          <wp:positionV relativeFrom="paragraph">
            <wp:posOffset>1</wp:posOffset>
          </wp:positionV>
          <wp:extent cx="2376488" cy="709262"/>
          <wp:effectExtent l="0" t="0" r="0" b="0"/>
          <wp:wrapSquare wrapText="bothSides" distT="114300" distB="114300" distL="114300" distR="114300"/>
          <wp:docPr id="2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
                  <a:srcRect l="15780" t="30407" r="16112" b="31034"/>
                  <a:stretch>
                    <a:fillRect/>
                  </a:stretch>
                </pic:blipFill>
                <pic:spPr>
                  <a:xfrm>
                    <a:off x="0" y="0"/>
                    <a:ext cx="2376488" cy="709262"/>
                  </a:xfrm>
                  <a:prstGeom prst="rect">
                    <a:avLst/>
                  </a:prstGeom>
                  <a:ln/>
                </pic:spPr>
              </pic:pic>
            </a:graphicData>
          </a:graphic>
        </wp:anchor>
      </w:drawing>
    </w:r>
  </w:p>
  <w:p w:rsidR="00D17DEC" w:rsidRDefault="00D17DEC">
    <w:pPr>
      <w:spacing w:after="0" w:line="276" w:lineRule="auto"/>
      <w:jc w:val="right"/>
      <w:rPr>
        <w:color w:val="000000"/>
      </w:rPr>
    </w:pPr>
  </w:p>
  <w:p w:rsidR="00D17DEC" w:rsidRDefault="00D17DEC">
    <w:pPr>
      <w:pBdr>
        <w:top w:val="nil"/>
        <w:left w:val="nil"/>
        <w:bottom w:val="nil"/>
        <w:right w:val="nil"/>
        <w:between w:val="nil"/>
      </w:pBdr>
      <w:tabs>
        <w:tab w:val="center" w:pos="4419"/>
        <w:tab w:val="right" w:pos="8838"/>
      </w:tabs>
      <w:spacing w:after="0" w:line="240" w:lineRule="auto"/>
      <w:rPr>
        <w:color w:val="000000"/>
      </w:rPr>
    </w:pPr>
  </w:p>
  <w:p w:rsidR="00D17DEC" w:rsidRDefault="00D17DEC">
    <w:pPr>
      <w:pBdr>
        <w:top w:val="nil"/>
        <w:left w:val="nil"/>
        <w:bottom w:val="nil"/>
        <w:right w:val="nil"/>
        <w:between w:val="nil"/>
      </w:pBdr>
      <w:tabs>
        <w:tab w:val="center" w:pos="4419"/>
        <w:tab w:val="right" w:pos="8838"/>
      </w:tabs>
      <w:spacing w:after="0" w:line="240" w:lineRule="auto"/>
    </w:pPr>
  </w:p>
  <w:p w:rsidR="00D17DEC" w:rsidRDefault="00D17DEC">
    <w:pPr>
      <w:pBdr>
        <w:top w:val="nil"/>
        <w:left w:val="nil"/>
        <w:bottom w:val="nil"/>
        <w:right w:val="nil"/>
        <w:between w:val="nil"/>
      </w:pBdr>
      <w:tabs>
        <w:tab w:val="center" w:pos="4419"/>
        <w:tab w:val="right" w:pos="8838"/>
      </w:tabs>
      <w:spacing w:after="0" w:line="240" w:lineRule="auto"/>
    </w:pPr>
  </w:p>
  <w:p w:rsidR="00D17DEC" w:rsidRDefault="00D17DEC">
    <w:pPr>
      <w:pBdr>
        <w:top w:val="nil"/>
        <w:left w:val="nil"/>
        <w:bottom w:val="nil"/>
        <w:right w:val="nil"/>
        <w:between w:val="nil"/>
      </w:pBdr>
      <w:tabs>
        <w:tab w:val="center" w:pos="4419"/>
        <w:tab w:val="right" w:pos="8838"/>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B6A23"/>
    <w:multiLevelType w:val="multilevel"/>
    <w:tmpl w:val="FC8664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BB47564"/>
    <w:multiLevelType w:val="multilevel"/>
    <w:tmpl w:val="B43CFE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CFD3F82"/>
    <w:multiLevelType w:val="multilevel"/>
    <w:tmpl w:val="42565D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D271744"/>
    <w:multiLevelType w:val="multilevel"/>
    <w:tmpl w:val="78863772"/>
    <w:lvl w:ilvl="0">
      <w:start w:val="1"/>
      <w:numFmt w:val="decimal"/>
      <w:lvlText w:val="%1."/>
      <w:lvlJc w:val="left"/>
      <w:pPr>
        <w:ind w:left="720" w:hanging="360"/>
      </w:pPr>
    </w:lvl>
    <w:lvl w:ilvl="1">
      <w:start w:val="1"/>
      <w:numFmt w:val="decimal"/>
      <w:lvlText w:val="%1.%2."/>
      <w:lvlJc w:val="left"/>
      <w:pPr>
        <w:ind w:left="765" w:hanging="40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 w15:restartNumberingAfterBreak="0">
    <w:nsid w:val="23331213"/>
    <w:multiLevelType w:val="multilevel"/>
    <w:tmpl w:val="174632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A720442"/>
    <w:multiLevelType w:val="multilevel"/>
    <w:tmpl w:val="EF9CEF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CF73072"/>
    <w:multiLevelType w:val="multilevel"/>
    <w:tmpl w:val="9A483D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A0801BF"/>
    <w:multiLevelType w:val="multilevel"/>
    <w:tmpl w:val="3E443264"/>
    <w:lvl w:ilvl="0">
      <w:start w:val="1"/>
      <w:numFmt w:val="lowerLetter"/>
      <w:lvlText w:val="%1."/>
      <w:lvlJc w:val="left"/>
      <w:pPr>
        <w:ind w:left="566" w:hanging="359"/>
      </w:pPr>
      <w:rPr>
        <w:rFonts w:ascii="Arial" w:eastAsia="Arial" w:hAnsi="Arial" w:cs="Arial"/>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15:restartNumberingAfterBreak="0">
    <w:nsid w:val="49423948"/>
    <w:multiLevelType w:val="multilevel"/>
    <w:tmpl w:val="90C0AEEE"/>
    <w:lvl w:ilvl="0">
      <w:start w:val="1"/>
      <w:numFmt w:val="bullet"/>
      <w:lvlText w:val="-"/>
      <w:lvlJc w:val="left"/>
      <w:pPr>
        <w:ind w:left="720" w:hanging="360"/>
      </w:pPr>
      <w:rPr>
        <w:rFonts w:ascii="Arial" w:eastAsia="Arial" w:hAnsi="Arial" w:cs="Arial"/>
        <w:b/>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31A4835"/>
    <w:multiLevelType w:val="multilevel"/>
    <w:tmpl w:val="BA7CC968"/>
    <w:lvl w:ilvl="0">
      <w:start w:val="1"/>
      <w:numFmt w:val="lowerLetter"/>
      <w:lvlText w:val="%1."/>
      <w:lvlJc w:val="left"/>
      <w:pPr>
        <w:ind w:left="360" w:hanging="360"/>
      </w:pPr>
      <w:rPr>
        <w:u w:val="none"/>
      </w:rPr>
    </w:lvl>
    <w:lvl w:ilvl="1">
      <w:start w:val="1"/>
      <w:numFmt w:val="lowerRoman"/>
      <w:lvlText w:val="%2."/>
      <w:lvlJc w:val="right"/>
      <w:pPr>
        <w:ind w:left="1080" w:hanging="360"/>
      </w:pPr>
      <w:rPr>
        <w:b/>
        <w:u w:val="none"/>
      </w:rPr>
    </w:lvl>
    <w:lvl w:ilvl="2">
      <w:start w:val="1"/>
      <w:numFmt w:val="decimal"/>
      <w:lvlText w:val="%3."/>
      <w:lvlJc w:val="left"/>
      <w:pPr>
        <w:ind w:left="1800" w:hanging="360"/>
      </w:pPr>
      <w:rPr>
        <w:u w:val="none"/>
      </w:rPr>
    </w:lvl>
    <w:lvl w:ilvl="3">
      <w:start w:val="1"/>
      <w:numFmt w:val="lowerLetter"/>
      <w:lvlText w:val="%4."/>
      <w:lvlJc w:val="left"/>
      <w:pPr>
        <w:ind w:left="2520" w:hanging="360"/>
      </w:pPr>
      <w:rPr>
        <w:u w:val="none"/>
      </w:rPr>
    </w:lvl>
    <w:lvl w:ilvl="4">
      <w:start w:val="1"/>
      <w:numFmt w:val="lowerRoman"/>
      <w:lvlText w:val="%5."/>
      <w:lvlJc w:val="right"/>
      <w:pPr>
        <w:ind w:left="3240" w:hanging="360"/>
      </w:pPr>
      <w:rPr>
        <w:u w:val="none"/>
      </w:rPr>
    </w:lvl>
    <w:lvl w:ilvl="5">
      <w:start w:val="1"/>
      <w:numFmt w:val="decimal"/>
      <w:lvlText w:val="%6."/>
      <w:lvlJc w:val="left"/>
      <w:pPr>
        <w:ind w:left="3960" w:hanging="360"/>
      </w:pPr>
      <w:rPr>
        <w:u w:val="none"/>
      </w:rPr>
    </w:lvl>
    <w:lvl w:ilvl="6">
      <w:start w:val="1"/>
      <w:numFmt w:val="lowerLetter"/>
      <w:lvlText w:val="%7."/>
      <w:lvlJc w:val="left"/>
      <w:pPr>
        <w:ind w:left="4680" w:hanging="360"/>
      </w:pPr>
      <w:rPr>
        <w:u w:val="none"/>
      </w:rPr>
    </w:lvl>
    <w:lvl w:ilvl="7">
      <w:start w:val="1"/>
      <w:numFmt w:val="lowerRoman"/>
      <w:lvlText w:val="%8."/>
      <w:lvlJc w:val="right"/>
      <w:pPr>
        <w:ind w:left="5400" w:hanging="360"/>
      </w:pPr>
      <w:rPr>
        <w:u w:val="none"/>
      </w:rPr>
    </w:lvl>
    <w:lvl w:ilvl="8">
      <w:start w:val="1"/>
      <w:numFmt w:val="decimal"/>
      <w:lvlText w:val="%9."/>
      <w:lvlJc w:val="left"/>
      <w:pPr>
        <w:ind w:left="6120" w:hanging="360"/>
      </w:pPr>
      <w:rPr>
        <w:u w:val="none"/>
      </w:rPr>
    </w:lvl>
  </w:abstractNum>
  <w:abstractNum w:abstractNumId="10" w15:restartNumberingAfterBreak="0">
    <w:nsid w:val="5A6C242B"/>
    <w:multiLevelType w:val="multilevel"/>
    <w:tmpl w:val="837A4C1E"/>
    <w:lvl w:ilvl="0">
      <w:start w:val="1"/>
      <w:numFmt w:val="lowerRoman"/>
      <w:lvlText w:val="(%1)"/>
      <w:lvlJc w:val="left"/>
      <w:pPr>
        <w:ind w:left="780" w:hanging="72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11" w15:restartNumberingAfterBreak="0">
    <w:nsid w:val="62AF26F8"/>
    <w:multiLevelType w:val="multilevel"/>
    <w:tmpl w:val="89643A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2DE2399"/>
    <w:multiLevelType w:val="multilevel"/>
    <w:tmpl w:val="A04067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CA010AC"/>
    <w:multiLevelType w:val="multilevel"/>
    <w:tmpl w:val="9B80E694"/>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7169111F"/>
    <w:multiLevelType w:val="multilevel"/>
    <w:tmpl w:val="20885D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C116D9D"/>
    <w:multiLevelType w:val="multilevel"/>
    <w:tmpl w:val="CCE040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15"/>
  </w:num>
  <w:num w:numId="3">
    <w:abstractNumId w:val="2"/>
  </w:num>
  <w:num w:numId="4">
    <w:abstractNumId w:val="5"/>
  </w:num>
  <w:num w:numId="5">
    <w:abstractNumId w:val="10"/>
  </w:num>
  <w:num w:numId="6">
    <w:abstractNumId w:val="7"/>
  </w:num>
  <w:num w:numId="7">
    <w:abstractNumId w:val="9"/>
  </w:num>
  <w:num w:numId="8">
    <w:abstractNumId w:val="0"/>
  </w:num>
  <w:num w:numId="9">
    <w:abstractNumId w:val="14"/>
  </w:num>
  <w:num w:numId="10">
    <w:abstractNumId w:val="13"/>
  </w:num>
  <w:num w:numId="11">
    <w:abstractNumId w:val="4"/>
  </w:num>
  <w:num w:numId="12">
    <w:abstractNumId w:val="11"/>
  </w:num>
  <w:num w:numId="13">
    <w:abstractNumId w:val="12"/>
  </w:num>
  <w:num w:numId="14">
    <w:abstractNumId w:val="3"/>
  </w:num>
  <w:num w:numId="15">
    <w:abstractNumId w:val="6"/>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573"/>
    <w:rsid w:val="0047281F"/>
    <w:rsid w:val="009A27FD"/>
    <w:rsid w:val="00D17DEC"/>
    <w:rsid w:val="00E06891"/>
    <w:rsid w:val="00E9057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8DD40"/>
  <w15:docId w15:val="{AD6D0354-2960-4FD3-8B2B-9CCA9109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_tradnl"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0DE"/>
  </w:style>
  <w:style w:type="paragraph" w:styleId="Ttulo1">
    <w:name w:val="heading 1"/>
    <w:basedOn w:val="Normal"/>
    <w:next w:val="Normal"/>
    <w:link w:val="Ttulo1Car"/>
    <w:uiPriority w:val="9"/>
    <w:qFormat/>
    <w:rsid w:val="005D171D"/>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eastAsia="es-ES_tradnl"/>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Prrafodelista">
    <w:name w:val="List Paragraph"/>
    <w:basedOn w:val="Normal"/>
    <w:uiPriority w:val="34"/>
    <w:qFormat/>
    <w:rsid w:val="00970E28"/>
    <w:pPr>
      <w:ind w:left="720"/>
      <w:contextualSpacing/>
    </w:pPr>
  </w:style>
  <w:style w:type="paragraph" w:styleId="NormalWeb">
    <w:name w:val="Normal (Web)"/>
    <w:basedOn w:val="Normal"/>
    <w:uiPriority w:val="99"/>
    <w:semiHidden/>
    <w:unhideWhenUsed/>
    <w:rsid w:val="00120BA2"/>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Fuentedeprrafopredeter"/>
    <w:rsid w:val="00120BA2"/>
  </w:style>
  <w:style w:type="paragraph" w:styleId="Encabezado">
    <w:name w:val="header"/>
    <w:basedOn w:val="Normal"/>
    <w:link w:val="EncabezadoCar"/>
    <w:uiPriority w:val="99"/>
    <w:unhideWhenUsed/>
    <w:rsid w:val="00E2384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23841"/>
  </w:style>
  <w:style w:type="paragraph" w:styleId="Piedepgina">
    <w:name w:val="footer"/>
    <w:basedOn w:val="Normal"/>
    <w:link w:val="PiedepginaCar"/>
    <w:uiPriority w:val="99"/>
    <w:unhideWhenUsed/>
    <w:rsid w:val="00E2384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23841"/>
  </w:style>
  <w:style w:type="paragraph" w:styleId="Textodeglobo">
    <w:name w:val="Balloon Text"/>
    <w:basedOn w:val="Normal"/>
    <w:link w:val="TextodegloboCar"/>
    <w:uiPriority w:val="99"/>
    <w:semiHidden/>
    <w:unhideWhenUsed/>
    <w:rsid w:val="00E2384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23841"/>
    <w:rPr>
      <w:rFonts w:ascii="Segoe UI" w:hAnsi="Segoe UI" w:cs="Segoe UI"/>
      <w:sz w:val="18"/>
      <w:szCs w:val="18"/>
    </w:rPr>
  </w:style>
  <w:style w:type="paragraph" w:styleId="Textonotapie">
    <w:name w:val="footnote text"/>
    <w:basedOn w:val="Normal"/>
    <w:link w:val="TextonotapieCar"/>
    <w:uiPriority w:val="99"/>
    <w:semiHidden/>
    <w:unhideWhenUsed/>
    <w:rsid w:val="0082083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20834"/>
    <w:rPr>
      <w:sz w:val="20"/>
      <w:szCs w:val="20"/>
    </w:rPr>
  </w:style>
  <w:style w:type="character" w:styleId="Refdenotaalpie">
    <w:name w:val="footnote reference"/>
    <w:basedOn w:val="Fuentedeprrafopredeter"/>
    <w:uiPriority w:val="99"/>
    <w:semiHidden/>
    <w:unhideWhenUsed/>
    <w:rsid w:val="00820834"/>
    <w:rPr>
      <w:vertAlign w:val="superscript"/>
    </w:rPr>
  </w:style>
  <w:style w:type="character" w:styleId="Hipervnculo">
    <w:name w:val="Hyperlink"/>
    <w:basedOn w:val="Fuentedeprrafopredeter"/>
    <w:uiPriority w:val="99"/>
    <w:semiHidden/>
    <w:unhideWhenUsed/>
    <w:rsid w:val="00820834"/>
    <w:rPr>
      <w:color w:val="0000FF"/>
      <w:u w:val="single"/>
    </w:rPr>
  </w:style>
  <w:style w:type="paragraph" w:customStyle="1" w:styleId="margender0punto5">
    <w:name w:val="margen_der_0punto5"/>
    <w:basedOn w:val="Normal"/>
    <w:rsid w:val="00E021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etra14pt">
    <w:name w:val="letra14pt"/>
    <w:basedOn w:val="Fuentedeprrafopredeter"/>
    <w:rsid w:val="00E021AB"/>
  </w:style>
  <w:style w:type="character" w:customStyle="1" w:styleId="Ttulo1Car">
    <w:name w:val="Título 1 Car"/>
    <w:basedOn w:val="Fuentedeprrafopredeter"/>
    <w:link w:val="Ttulo1"/>
    <w:uiPriority w:val="9"/>
    <w:rsid w:val="005D171D"/>
    <w:rPr>
      <w:rFonts w:asciiTheme="majorHAnsi" w:eastAsiaTheme="majorEastAsia" w:hAnsiTheme="majorHAnsi" w:cstheme="majorBidi"/>
      <w:b/>
      <w:bCs/>
      <w:color w:val="2E74B5" w:themeColor="accent1" w:themeShade="BF"/>
      <w:sz w:val="28"/>
      <w:szCs w:val="28"/>
      <w:lang w:eastAsia="es-ES_tradnl"/>
    </w:rPr>
  </w:style>
  <w:style w:type="paragraph" w:styleId="Bibliografa">
    <w:name w:val="Bibliography"/>
    <w:basedOn w:val="Normal"/>
    <w:next w:val="Normal"/>
    <w:uiPriority w:val="37"/>
    <w:unhideWhenUsed/>
    <w:rsid w:val="005D171D"/>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100" w:type="dxa"/>
        <w:left w:w="100" w:type="dxa"/>
        <w:bottom w:w="100" w:type="dxa"/>
        <w:right w:w="100" w:type="dxa"/>
      </w:tblCellMar>
    </w:tblPr>
  </w:style>
  <w:style w:type="character" w:customStyle="1" w:styleId="TtuloCar">
    <w:name w:val="Título Car"/>
    <w:basedOn w:val="Fuentedeprrafopredeter"/>
    <w:link w:val="Ttulo"/>
    <w:uiPriority w:val="10"/>
    <w:rsid w:val="007248A7"/>
    <w:rPr>
      <w:b/>
      <w:sz w:val="72"/>
      <w:szCs w:val="72"/>
    </w:rPr>
  </w:style>
  <w:style w:type="table" w:customStyle="1" w:styleId="a0">
    <w:basedOn w:val="TableNormal0"/>
    <w:tblPr>
      <w:tblStyleRowBandSize w:val="1"/>
      <w:tblStyleColBandSize w:val="1"/>
      <w:tblCellMar>
        <w:top w:w="100" w:type="dxa"/>
        <w:left w:w="100" w:type="dxa"/>
        <w:bottom w:w="100" w:type="dxa"/>
        <w:right w:w="100" w:type="dxa"/>
      </w:tblCellMar>
    </w:tblPr>
  </w:style>
  <w:style w:type="table" w:customStyle="1" w:styleId="a1">
    <w:basedOn w:val="TableNormal0"/>
    <w:tblPr>
      <w:tblStyleRowBandSize w:val="1"/>
      <w:tblStyleColBandSize w:val="1"/>
      <w:tblCellMar>
        <w:top w:w="100" w:type="dxa"/>
        <w:left w:w="100" w:type="dxa"/>
        <w:bottom w:w="100" w:type="dxa"/>
        <w:right w:w="100" w:type="dxa"/>
      </w:tblCellMar>
    </w:tblPr>
  </w:style>
  <w:style w:type="table" w:customStyle="1" w:styleId="a2">
    <w:basedOn w:val="TableNormal0"/>
    <w:tblPr>
      <w:tblStyleRowBandSize w:val="1"/>
      <w:tblStyleColBandSize w:val="1"/>
      <w:tblCellMar>
        <w:left w:w="115" w:type="dxa"/>
        <w:right w:w="115" w:type="dxa"/>
      </w:tblCellMar>
    </w:tblPr>
  </w:style>
  <w:style w:type="table" w:customStyle="1" w:styleId="a3">
    <w:basedOn w:val="TableNormal0"/>
    <w:tblPr>
      <w:tblStyleRowBandSize w:val="1"/>
      <w:tblStyleColBandSize w:val="1"/>
      <w:tblCellMar>
        <w:top w:w="15" w:type="dxa"/>
        <w:left w:w="15" w:type="dxa"/>
        <w:bottom w:w="15" w:type="dxa"/>
        <w:right w:w="15" w:type="dxa"/>
      </w:tblCellMar>
    </w:tblPr>
  </w:style>
  <w:style w:type="table" w:customStyle="1" w:styleId="a4">
    <w:basedOn w:val="TableNormal0"/>
    <w:tblPr>
      <w:tblStyleRowBandSize w:val="1"/>
      <w:tblStyleColBandSize w:val="1"/>
      <w:tblCellMar>
        <w:top w:w="100" w:type="dxa"/>
        <w:left w:w="100" w:type="dxa"/>
        <w:bottom w:w="100" w:type="dxa"/>
        <w:right w:w="100" w:type="dxa"/>
      </w:tblCellMar>
    </w:tblPr>
  </w:style>
  <w:style w:type="table" w:customStyle="1" w:styleId="a5">
    <w:basedOn w:val="TableNormal0"/>
    <w:tblPr>
      <w:tblStyleRowBandSize w:val="1"/>
      <w:tblStyleColBandSize w:val="1"/>
      <w:tblCellMar>
        <w:top w:w="100" w:type="dxa"/>
        <w:left w:w="100" w:type="dxa"/>
        <w:bottom w:w="100" w:type="dxa"/>
        <w:right w:w="100" w:type="dxa"/>
      </w:tblCellMar>
    </w:tblPr>
  </w:style>
  <w:style w:type="table" w:customStyle="1" w:styleId="a6">
    <w:basedOn w:val="TableNormal0"/>
    <w:tblPr>
      <w:tblStyleRowBandSize w:val="1"/>
      <w:tblStyleColBandSize w:val="1"/>
      <w:tblCellMar>
        <w:top w:w="100" w:type="dxa"/>
        <w:left w:w="100" w:type="dxa"/>
        <w:bottom w:w="100" w:type="dxa"/>
        <w:right w:w="100" w:type="dxa"/>
      </w:tblCellMar>
    </w:tblPr>
  </w:style>
  <w:style w:type="table" w:customStyle="1" w:styleId="a7">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notes.xml.rels><?xml version="1.0" encoding="UTF-8" standalone="yes"?>
<Relationships xmlns="http://schemas.openxmlformats.org/package/2006/relationships"><Relationship Id="rId8" Type="http://schemas.openxmlformats.org/officeDocument/2006/relationships/hyperlink" Target="https://academic.oup.com/wbro/article/33/1/103/4951689" TargetMode="External"/><Relationship Id="rId3" Type="http://schemas.openxmlformats.org/officeDocument/2006/relationships/hyperlink" Target="https://www.eltiempo.com/colombia/otras-ciudades/obras-de-la-malla-vial-del-meta-suspendidas-por-desacuerdos-434654" TargetMode="External"/><Relationship Id="rId7" Type="http://schemas.openxmlformats.org/officeDocument/2006/relationships/hyperlink" Target="https://ppp.worldbank.org/public-private-partnership/financing/government-support-subsidies" TargetMode="External"/><Relationship Id="rId2" Type="http://schemas.openxmlformats.org/officeDocument/2006/relationships/hyperlink" Target="https://www.valoraanalitik.com/2020/01/08/recomiendan-a-la-sic-archivar-investigacion-contra-conconcreto-por-caso-tercer-carril-bogota-girardot/" TargetMode="External"/><Relationship Id="rId1" Type="http://schemas.openxmlformats.org/officeDocument/2006/relationships/hyperlink" Target="https://www.procuraduria.gov.co/portal/media/file/AsociacionesPublicasPrivadas.pdf" TargetMode="External"/><Relationship Id="rId6" Type="http://schemas.openxmlformats.org/officeDocument/2006/relationships/hyperlink" Target="http://pubdocs.worldbank.org/en/540491510086164484/PDM-Publication-ContingentLiabilities-HowDoCountriesMeasureManageAndMonitorFiscalRisksGeneratedByPubl.pdf" TargetMode="External"/><Relationship Id="rId5" Type="http://schemas.openxmlformats.org/officeDocument/2006/relationships/hyperlink" Target="https://publications.iadb.org/publications/spanish/document/Efectos-de-la-corrupci%C3%B3n-en-los-contratos-de-asociaciones-p%C3%BAblico-privadas-Consecuencias-de-un-enfoque-de-tolerancia-cero.pdf" TargetMode="External"/><Relationship Id="rId10" Type="http://schemas.openxmlformats.org/officeDocument/2006/relationships/hyperlink" Target="https://academic.oup.com/wbro/article/33/1/103/4951689" TargetMode="External"/><Relationship Id="rId4" Type="http://schemas.openxmlformats.org/officeDocument/2006/relationships/hyperlink" Target="https://ec.europa.eu/inea/sites/inea/files/faqs_blending_batch_1_20170505.pdf" TargetMode="External"/><Relationship Id="rId9" Type="http://schemas.openxmlformats.org/officeDocument/2006/relationships/hyperlink" Target="https://ppp.gov.ph/in_the_news/ppp-contingency-fund-to-be-part-of-budge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wzIdM3W4S1/CLhwprMsMcgm8Lw==">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20565</Words>
  <Characters>113112</Characters>
  <Application>Microsoft Office Word</Application>
  <DocSecurity>0</DocSecurity>
  <Lines>942</Lines>
  <Paragraphs>266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133411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German Navas</dc:creator>
  <cp:lastModifiedBy>Annie Otálora.</cp:lastModifiedBy>
  <cp:revision>3</cp:revision>
  <cp:lastPrinted>2020-07-30T19:57:00Z</cp:lastPrinted>
  <dcterms:created xsi:type="dcterms:W3CDTF">2020-07-30T19:59:00Z</dcterms:created>
  <dcterms:modified xsi:type="dcterms:W3CDTF">2020-07-30T20:00:00Z</dcterms:modified>
</cp:coreProperties>
</file>