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02F7C" w14:textId="77777777" w:rsidR="00FC7E65" w:rsidRDefault="00FC7E65">
      <w:pPr>
        <w:spacing w:before="240" w:after="240" w:line="240" w:lineRule="auto"/>
        <w:jc w:val="center"/>
        <w:rPr>
          <w:rFonts w:ascii="Bookman Old Style" w:eastAsia="Bookman Old Style" w:hAnsi="Bookman Old Style" w:cs="Bookman Old Style"/>
          <w:b/>
          <w:color w:val="000000"/>
          <w:highlight w:val="white"/>
        </w:rPr>
      </w:pPr>
      <w:bookmarkStart w:id="0" w:name="_GoBack"/>
      <w:bookmarkEnd w:id="0"/>
    </w:p>
    <w:p w14:paraId="13A81124" w14:textId="77777777" w:rsidR="00FC7E65" w:rsidRDefault="00FC7E65">
      <w:pPr>
        <w:spacing w:before="240" w:after="240" w:line="240" w:lineRule="auto"/>
        <w:jc w:val="center"/>
        <w:rPr>
          <w:rFonts w:ascii="Bookman Old Style" w:eastAsia="Bookman Old Style" w:hAnsi="Bookman Old Style" w:cs="Bookman Old Style"/>
          <w:b/>
          <w:color w:val="000000"/>
          <w:highlight w:val="white"/>
        </w:rPr>
      </w:pPr>
    </w:p>
    <w:p w14:paraId="00000001" w14:textId="618A59E8" w:rsidR="00F0788F" w:rsidRDefault="00B32145">
      <w:pPr>
        <w:spacing w:before="240" w:after="240" w:line="240" w:lineRule="auto"/>
        <w:jc w:val="center"/>
        <w:rPr>
          <w:rFonts w:ascii="Bookman Old Style" w:eastAsia="Bookman Old Style" w:hAnsi="Bookman Old Style" w:cs="Bookman Old Style"/>
        </w:rPr>
      </w:pPr>
      <w:r>
        <w:rPr>
          <w:rFonts w:ascii="Bookman Old Style" w:eastAsia="Bookman Old Style" w:hAnsi="Bookman Old Style" w:cs="Bookman Old Style"/>
          <w:b/>
          <w:color w:val="000000"/>
          <w:highlight w:val="white"/>
        </w:rPr>
        <w:t>PROYECTO DE LEY No ____ DE 2020 CÁMARA</w:t>
      </w:r>
    </w:p>
    <w:p w14:paraId="00000002" w14:textId="77777777" w:rsidR="00F0788F" w:rsidRDefault="00B32145">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Por la cual se reconocen y establecen parámetros para el ejercicio de la actividad de los traductores e intérpretes oficiales y se dictan otras disposiciones.</w:t>
      </w:r>
    </w:p>
    <w:p w14:paraId="00000003" w14:textId="77777777" w:rsidR="00F0788F" w:rsidRDefault="00B32145">
      <w:pPr>
        <w:spacing w:before="240" w:after="240" w:line="240" w:lineRule="auto"/>
        <w:jc w:val="center"/>
        <w:rPr>
          <w:rFonts w:ascii="Bookman Old Style" w:eastAsia="Bookman Old Style" w:hAnsi="Bookman Old Style" w:cs="Bookman Old Style"/>
          <w:color w:val="000000"/>
          <w:highlight w:val="white"/>
        </w:rPr>
      </w:pPr>
      <w:r>
        <w:rPr>
          <w:rFonts w:ascii="Bookman Old Style" w:eastAsia="Bookman Old Style" w:hAnsi="Bookman Old Style" w:cs="Bookman Old Style"/>
          <w:color w:val="000000"/>
          <w:highlight w:val="white"/>
        </w:rPr>
        <w:t>El Congreso de la República de Colombia</w:t>
      </w:r>
    </w:p>
    <w:p w14:paraId="00000004" w14:textId="77777777" w:rsidR="00F0788F" w:rsidRDefault="00B32145">
      <w:pPr>
        <w:spacing w:before="240" w:after="240" w:line="240" w:lineRule="auto"/>
        <w:jc w:val="center"/>
        <w:rPr>
          <w:rFonts w:ascii="Bookman Old Style" w:eastAsia="Bookman Old Style" w:hAnsi="Bookman Old Style" w:cs="Bookman Old Style"/>
        </w:rPr>
      </w:pPr>
      <w:r>
        <w:rPr>
          <w:rFonts w:ascii="Bookman Old Style" w:eastAsia="Bookman Old Style" w:hAnsi="Bookman Old Style" w:cs="Bookman Old Style"/>
          <w:color w:val="000000"/>
          <w:highlight w:val="white"/>
        </w:rPr>
        <w:t>Decreta</w:t>
      </w:r>
    </w:p>
    <w:p w14:paraId="00000005" w14:textId="77777777" w:rsidR="00F0788F" w:rsidRDefault="00B32145">
      <w:pPr>
        <w:spacing w:after="0" w:line="240" w:lineRule="auto"/>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t>Artículo 1°. Objeto</w:t>
      </w:r>
      <w:r>
        <w:rPr>
          <w:rFonts w:ascii="Bookman Old Style" w:eastAsia="Bookman Old Style" w:hAnsi="Bookman Old Style" w:cs="Bookman Old Style"/>
          <w:color w:val="000000"/>
        </w:rPr>
        <w:t>. La presente ley tiene por objeto reconocer y establecer parámetros para el ejercicio de la actividad de los traductores e intérpretes oficiales, delimitar sus responsabilidades y competencias, exaltar su importancia en los trámites y documentos que se realizan en idioma diferente al castellano y otorgar seguridad jurídica a los usuarios a través de la unificación normativa de la actividad de los traductores e intérpretes oficiales.</w:t>
      </w:r>
    </w:p>
    <w:p w14:paraId="00000006" w14:textId="77777777" w:rsidR="00F0788F" w:rsidRDefault="00F0788F">
      <w:pPr>
        <w:spacing w:after="0" w:line="240" w:lineRule="auto"/>
        <w:jc w:val="both"/>
        <w:rPr>
          <w:rFonts w:ascii="Bookman Old Style" w:eastAsia="Bookman Old Style" w:hAnsi="Bookman Old Style" w:cs="Bookman Old Style"/>
          <w:color w:val="000000"/>
        </w:rPr>
      </w:pPr>
    </w:p>
    <w:p w14:paraId="00000007" w14:textId="77777777" w:rsidR="00F0788F" w:rsidRDefault="00B32145">
      <w:pPr>
        <w:spacing w:after="0" w:line="240" w:lineRule="auto"/>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t>Artículo 2°. Ámbito de aplicación.</w:t>
      </w:r>
      <w:r>
        <w:rPr>
          <w:rFonts w:ascii="Bookman Old Style" w:eastAsia="Bookman Old Style" w:hAnsi="Bookman Old Style" w:cs="Bookman Old Style"/>
          <w:color w:val="000000"/>
        </w:rPr>
        <w:t xml:space="preserve"> A partir de la entrada en vigencia de esta ley, quienes actúen como traductores e intérpretes oficiales se regirán por esta ley y aquellas normas que la desarrollen o la complementen, buscando así la organización, unificación normativa de la actividad y la seguridad jurídica a los traductores e intérpretes oficiales y usuarios del servicio de traducción e interpretación oficial.</w:t>
      </w:r>
    </w:p>
    <w:p w14:paraId="00000008" w14:textId="77777777" w:rsidR="00F0788F" w:rsidRDefault="00F0788F">
      <w:pPr>
        <w:spacing w:after="0" w:line="240" w:lineRule="auto"/>
        <w:jc w:val="both"/>
        <w:rPr>
          <w:rFonts w:ascii="Bookman Old Style" w:eastAsia="Bookman Old Style" w:hAnsi="Bookman Old Style" w:cs="Bookman Old Style"/>
          <w:color w:val="000000"/>
        </w:rPr>
      </w:pPr>
    </w:p>
    <w:p w14:paraId="00000009" w14:textId="77777777" w:rsidR="00F0788F" w:rsidRDefault="00B32145">
      <w:pPr>
        <w:spacing w:after="0" w:line="240" w:lineRule="auto"/>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t xml:space="preserve">Artículo 3°. Definiciones. </w:t>
      </w:r>
      <w:r>
        <w:rPr>
          <w:rFonts w:ascii="Bookman Old Style" w:eastAsia="Bookman Old Style" w:hAnsi="Bookman Old Style" w:cs="Bookman Old Style"/>
          <w:color w:val="000000"/>
        </w:rPr>
        <w:t>Para efectos de la presente ley se entenderán como:</w:t>
      </w:r>
    </w:p>
    <w:p w14:paraId="0000000A" w14:textId="77777777" w:rsidR="00F0788F" w:rsidRDefault="00F0788F">
      <w:pPr>
        <w:spacing w:after="0" w:line="240" w:lineRule="auto"/>
        <w:jc w:val="both"/>
        <w:rPr>
          <w:rFonts w:ascii="Bookman Old Style" w:eastAsia="Bookman Old Style" w:hAnsi="Bookman Old Style" w:cs="Bookman Old Style"/>
          <w:color w:val="000000"/>
        </w:rPr>
      </w:pPr>
    </w:p>
    <w:p w14:paraId="0000000B" w14:textId="77777777" w:rsidR="00F0788F" w:rsidRDefault="00B32145">
      <w:pPr>
        <w:numPr>
          <w:ilvl w:val="0"/>
          <w:numId w:val="7"/>
        </w:numPr>
        <w:spacing w:after="0" w:line="240" w:lineRule="auto"/>
        <w:ind w:left="425" w:hanging="283"/>
        <w:jc w:val="both"/>
        <w:rPr>
          <w:rFonts w:ascii="Bookman Old Style" w:eastAsia="Bookman Old Style" w:hAnsi="Bookman Old Style" w:cs="Bookman Old Style"/>
        </w:rPr>
      </w:pPr>
      <w:r>
        <w:rPr>
          <w:rFonts w:ascii="Bookman Old Style" w:eastAsia="Bookman Old Style" w:hAnsi="Bookman Old Style" w:cs="Bookman Old Style"/>
          <w:b/>
        </w:rPr>
        <w:t xml:space="preserve">Apostilla: </w:t>
      </w:r>
      <w:r>
        <w:rPr>
          <w:rFonts w:ascii="Bookman Old Style" w:eastAsia="Bookman Old Style" w:hAnsi="Bookman Old Style" w:cs="Bookman Old Style"/>
        </w:rPr>
        <w:t>certificado único internacional implementado por la Convención de la Haya del 5 de octubre de 1961, que se adjunta a un documento público, por parte de los países firmantes de dicha Convención para certificar la autenticidad de la firma de una persona y la calidad bajo la cual ha actuado el signatario del documento y el sello o timbre que lo acompaña. Por lo tanto, este certificado internacional no será considerado como un documento aparte del original para cualquier trámite, puesto que forma parte integral del documento.</w:t>
      </w:r>
    </w:p>
    <w:p w14:paraId="0000000C" w14:textId="77777777" w:rsidR="00F0788F" w:rsidRDefault="00F0788F">
      <w:pPr>
        <w:spacing w:after="0" w:line="240" w:lineRule="auto"/>
        <w:ind w:left="720"/>
        <w:jc w:val="both"/>
        <w:rPr>
          <w:rFonts w:ascii="Bookman Old Style" w:eastAsia="Bookman Old Style" w:hAnsi="Bookman Old Style" w:cs="Bookman Old Style"/>
        </w:rPr>
      </w:pPr>
    </w:p>
    <w:p w14:paraId="0000000D" w14:textId="77777777" w:rsidR="00F0788F" w:rsidRDefault="00B32145">
      <w:pPr>
        <w:numPr>
          <w:ilvl w:val="0"/>
          <w:numId w:val="7"/>
        </w:numPr>
        <w:spacing w:after="0" w:line="240" w:lineRule="auto"/>
        <w:ind w:left="425" w:hanging="283"/>
        <w:jc w:val="both"/>
        <w:rPr>
          <w:rFonts w:ascii="Bookman Old Style" w:eastAsia="Bookman Old Style" w:hAnsi="Bookman Old Style" w:cs="Bookman Old Style"/>
        </w:rPr>
      </w:pPr>
      <w:r>
        <w:rPr>
          <w:rFonts w:ascii="Bookman Old Style" w:eastAsia="Bookman Old Style" w:hAnsi="Bookman Old Style" w:cs="Bookman Old Style"/>
          <w:b/>
          <w:color w:val="000000"/>
        </w:rPr>
        <w:t>Auxiliar de la Justicia:</w:t>
      </w:r>
      <w:r>
        <w:rPr>
          <w:rFonts w:ascii="Bookman Old Style" w:eastAsia="Bookman Old Style" w:hAnsi="Bookman Old Style" w:cs="Bookman Old Style"/>
          <w:color w:val="000000"/>
        </w:rPr>
        <w:t xml:space="preserve"> serán los peritos, secuestres, partidores, liquidadores, síndicos, intérpretes y traductores oficiales, cuya designación se hará por el magistrado sustanciador o por el juez de conocimiento.</w:t>
      </w:r>
    </w:p>
    <w:p w14:paraId="0000000E" w14:textId="77777777" w:rsidR="00F0788F" w:rsidRDefault="00F0788F">
      <w:pPr>
        <w:spacing w:after="0" w:line="240" w:lineRule="auto"/>
        <w:ind w:left="720"/>
        <w:jc w:val="both"/>
        <w:rPr>
          <w:rFonts w:ascii="Bookman Old Style" w:eastAsia="Bookman Old Style" w:hAnsi="Bookman Old Style" w:cs="Bookman Old Style"/>
        </w:rPr>
      </w:pPr>
    </w:p>
    <w:p w14:paraId="0000000F" w14:textId="77777777" w:rsidR="00F0788F" w:rsidRDefault="00B32145">
      <w:pPr>
        <w:numPr>
          <w:ilvl w:val="0"/>
          <w:numId w:val="7"/>
        </w:numPr>
        <w:spacing w:after="0" w:line="240" w:lineRule="auto"/>
        <w:ind w:left="425" w:hanging="283"/>
        <w:jc w:val="both"/>
        <w:rPr>
          <w:rFonts w:ascii="Bookman Old Style" w:eastAsia="Bookman Old Style" w:hAnsi="Bookman Old Style" w:cs="Bookman Old Style"/>
        </w:rPr>
      </w:pPr>
      <w:r>
        <w:rPr>
          <w:rFonts w:ascii="Bookman Old Style" w:eastAsia="Bookman Old Style" w:hAnsi="Bookman Old Style" w:cs="Bookman Old Style"/>
          <w:b/>
        </w:rPr>
        <w:t>Idioma oficial:</w:t>
      </w:r>
      <w:r>
        <w:rPr>
          <w:rFonts w:ascii="Bookman Old Style" w:eastAsia="Bookman Old Style" w:hAnsi="Bookman Old Style" w:cs="Bookman Old Style"/>
        </w:rPr>
        <w:t xml:space="preserve"> Lengua que emplea un Estado para la publicación de sus instrumentos legales. El idioma oficial de la República de Colombia es el castellano, aunque se reconoce que las lenguas y dialectos de los grupos étnicos son también oficiales en sus territorios.</w:t>
      </w:r>
    </w:p>
    <w:p w14:paraId="00000010" w14:textId="77777777" w:rsidR="00F0788F" w:rsidRDefault="00F0788F">
      <w:pPr>
        <w:spacing w:after="0" w:line="240" w:lineRule="auto"/>
        <w:ind w:left="720"/>
        <w:jc w:val="both"/>
        <w:rPr>
          <w:rFonts w:ascii="Bookman Old Style" w:eastAsia="Bookman Old Style" w:hAnsi="Bookman Old Style" w:cs="Bookman Old Style"/>
        </w:rPr>
      </w:pPr>
    </w:p>
    <w:p w14:paraId="00000011" w14:textId="31A6561D" w:rsidR="00F0788F" w:rsidRDefault="00B32145">
      <w:pPr>
        <w:numPr>
          <w:ilvl w:val="0"/>
          <w:numId w:val="7"/>
        </w:numPr>
        <w:spacing w:after="0" w:line="240" w:lineRule="auto"/>
        <w:ind w:left="425" w:hanging="283"/>
        <w:jc w:val="both"/>
        <w:rPr>
          <w:rFonts w:ascii="Bookman Old Style" w:eastAsia="Bookman Old Style" w:hAnsi="Bookman Old Style" w:cs="Bookman Old Style"/>
        </w:rPr>
      </w:pPr>
      <w:r>
        <w:rPr>
          <w:rFonts w:ascii="Bookman Old Style" w:eastAsia="Bookman Old Style" w:hAnsi="Bookman Old Style" w:cs="Bookman Old Style"/>
          <w:b/>
        </w:rPr>
        <w:t>Interpretación:</w:t>
      </w:r>
      <w:r>
        <w:rPr>
          <w:rFonts w:ascii="Bookman Old Style" w:eastAsia="Bookman Old Style" w:hAnsi="Bookman Old Style" w:cs="Bookman Old Style"/>
        </w:rPr>
        <w:t xml:space="preserve"> Es expresar verbalmente en un idioma lo que se expresó en otro idioma. </w:t>
      </w:r>
    </w:p>
    <w:p w14:paraId="70766933" w14:textId="77777777" w:rsidR="00FC7E65" w:rsidRDefault="00FC7E65" w:rsidP="00FC7E65">
      <w:pPr>
        <w:pStyle w:val="Prrafodelista"/>
        <w:rPr>
          <w:rFonts w:ascii="Bookman Old Style" w:eastAsia="Bookman Old Style" w:hAnsi="Bookman Old Style" w:cs="Bookman Old Style"/>
        </w:rPr>
      </w:pPr>
    </w:p>
    <w:p w14:paraId="55426DAD" w14:textId="09AEC430" w:rsidR="00FC7E65" w:rsidRDefault="00FC7E65" w:rsidP="00FC7E65">
      <w:pPr>
        <w:spacing w:after="0" w:line="240" w:lineRule="auto"/>
        <w:ind w:left="425"/>
        <w:jc w:val="both"/>
        <w:rPr>
          <w:rFonts w:ascii="Bookman Old Style" w:eastAsia="Bookman Old Style" w:hAnsi="Bookman Old Style" w:cs="Bookman Old Style"/>
        </w:rPr>
      </w:pPr>
    </w:p>
    <w:p w14:paraId="10A92641" w14:textId="77777777" w:rsidR="00FC7E65" w:rsidRDefault="00FC7E65" w:rsidP="00FC7E65">
      <w:pPr>
        <w:spacing w:after="0" w:line="240" w:lineRule="auto"/>
        <w:ind w:left="425"/>
        <w:jc w:val="both"/>
        <w:rPr>
          <w:rFonts w:ascii="Bookman Old Style" w:eastAsia="Bookman Old Style" w:hAnsi="Bookman Old Style" w:cs="Bookman Old Style"/>
        </w:rPr>
      </w:pPr>
    </w:p>
    <w:p w14:paraId="00000012" w14:textId="77777777" w:rsidR="00F0788F" w:rsidRDefault="00F0788F">
      <w:pPr>
        <w:spacing w:after="0" w:line="240" w:lineRule="auto"/>
        <w:ind w:left="720"/>
        <w:jc w:val="both"/>
        <w:rPr>
          <w:rFonts w:ascii="Bookman Old Style" w:eastAsia="Bookman Old Style" w:hAnsi="Bookman Old Style" w:cs="Bookman Old Style"/>
        </w:rPr>
      </w:pPr>
    </w:p>
    <w:p w14:paraId="00000013" w14:textId="77777777" w:rsidR="00F0788F" w:rsidRDefault="00B32145">
      <w:pPr>
        <w:numPr>
          <w:ilvl w:val="0"/>
          <w:numId w:val="7"/>
        </w:numPr>
        <w:spacing w:after="0" w:line="240" w:lineRule="auto"/>
        <w:ind w:left="425" w:hanging="283"/>
        <w:jc w:val="both"/>
        <w:rPr>
          <w:rFonts w:ascii="Bookman Old Style" w:eastAsia="Bookman Old Style" w:hAnsi="Bookman Old Style" w:cs="Bookman Old Style"/>
        </w:rPr>
      </w:pPr>
      <w:r>
        <w:rPr>
          <w:rFonts w:ascii="Bookman Old Style" w:eastAsia="Bookman Old Style" w:hAnsi="Bookman Old Style" w:cs="Bookman Old Style"/>
          <w:b/>
        </w:rPr>
        <w:t>Intérprete</w:t>
      </w:r>
      <w:r>
        <w:rPr>
          <w:rFonts w:ascii="Bookman Old Style" w:eastAsia="Bookman Old Style" w:hAnsi="Bookman Old Style" w:cs="Bookman Old Style"/>
          <w:b/>
          <w:color w:val="000000"/>
        </w:rPr>
        <w:t xml:space="preserve"> oficial:</w:t>
      </w:r>
      <w:r>
        <w:rPr>
          <w:rFonts w:ascii="Bookman Old Style" w:eastAsia="Bookman Old Style" w:hAnsi="Bookman Old Style" w:cs="Bookman Old Style"/>
          <w:color w:val="000000"/>
        </w:rPr>
        <w:t xml:space="preserve"> Persona avalada por el Estado para realizar una interpretación oficial ante las autoridades nacionales, comprometido(a) bajo la gravedad de juramento de que lo expresado, a viva voz, es fiel a lo escuchado. También puede servir como auxiliar de la justicia y como medio para complementar y permitir la seguridad jurídica — en lo que atañe a la comunicación — de quien interviene ante las autoridades colombianas en un idioma distinto al oficial de Colombia.</w:t>
      </w:r>
    </w:p>
    <w:p w14:paraId="00000014" w14:textId="77777777" w:rsidR="00F0788F" w:rsidRDefault="00F0788F">
      <w:pPr>
        <w:spacing w:after="0" w:line="240" w:lineRule="auto"/>
        <w:ind w:left="720"/>
        <w:jc w:val="both"/>
        <w:rPr>
          <w:rFonts w:ascii="Bookman Old Style" w:eastAsia="Bookman Old Style" w:hAnsi="Bookman Old Style" w:cs="Bookman Old Style"/>
        </w:rPr>
      </w:pPr>
    </w:p>
    <w:p w14:paraId="00000015" w14:textId="77777777" w:rsidR="00F0788F" w:rsidRDefault="00B32145">
      <w:pPr>
        <w:numPr>
          <w:ilvl w:val="0"/>
          <w:numId w:val="7"/>
        </w:numPr>
        <w:spacing w:after="0" w:line="240" w:lineRule="auto"/>
        <w:ind w:left="425" w:hanging="283"/>
        <w:jc w:val="both"/>
        <w:rPr>
          <w:rFonts w:ascii="Bookman Old Style" w:eastAsia="Bookman Old Style" w:hAnsi="Bookman Old Style" w:cs="Bookman Old Style"/>
        </w:rPr>
      </w:pPr>
      <w:r>
        <w:rPr>
          <w:rFonts w:ascii="Bookman Old Style" w:eastAsia="Bookman Old Style" w:hAnsi="Bookman Old Style" w:cs="Bookman Old Style"/>
          <w:b/>
        </w:rPr>
        <w:t>Interpretación consecutiva:</w:t>
      </w:r>
      <w:r>
        <w:rPr>
          <w:rFonts w:ascii="Bookman Old Style" w:eastAsia="Bookman Old Style" w:hAnsi="Bookman Old Style" w:cs="Bookman Old Style"/>
        </w:rPr>
        <w:t xml:space="preserve"> Es en donde el interlocutor expresa una idea y se detiene para que el intérprete la exprese en castellano (español) y viceversa.</w:t>
      </w:r>
    </w:p>
    <w:p w14:paraId="00000016" w14:textId="77777777" w:rsidR="00F0788F" w:rsidRDefault="00F0788F">
      <w:pPr>
        <w:spacing w:after="0" w:line="240" w:lineRule="auto"/>
        <w:ind w:left="720"/>
        <w:jc w:val="both"/>
        <w:rPr>
          <w:rFonts w:ascii="Bookman Old Style" w:eastAsia="Bookman Old Style" w:hAnsi="Bookman Old Style" w:cs="Bookman Old Style"/>
        </w:rPr>
      </w:pPr>
    </w:p>
    <w:p w14:paraId="00000017" w14:textId="77777777" w:rsidR="00F0788F" w:rsidRDefault="00B32145">
      <w:pPr>
        <w:numPr>
          <w:ilvl w:val="0"/>
          <w:numId w:val="7"/>
        </w:numPr>
        <w:spacing w:after="0" w:line="240" w:lineRule="auto"/>
        <w:ind w:left="425" w:hanging="283"/>
        <w:jc w:val="both"/>
        <w:rPr>
          <w:rFonts w:ascii="Bookman Old Style" w:eastAsia="Bookman Old Style" w:hAnsi="Bookman Old Style" w:cs="Bookman Old Style"/>
        </w:rPr>
      </w:pPr>
      <w:r>
        <w:rPr>
          <w:rFonts w:ascii="Bookman Old Style" w:eastAsia="Bookman Old Style" w:hAnsi="Bookman Old Style" w:cs="Bookman Old Style"/>
          <w:b/>
        </w:rPr>
        <w:t xml:space="preserve">Interpretación oficial: </w:t>
      </w:r>
      <w:r>
        <w:rPr>
          <w:rFonts w:ascii="Bookman Old Style" w:eastAsia="Bookman Old Style" w:hAnsi="Bookman Old Style" w:cs="Bookman Old Style"/>
        </w:rPr>
        <w:t>interpretación realizada bajo la gravedad de juramento, en contextos judiciales o administrativos reconocidos por el Estado, en la cual un intérprete, facultado para ello, expresa verbalmente en castellano lo escuchado en otro idioma y viceversa ante las autoridades y partes involucradas.</w:t>
      </w:r>
    </w:p>
    <w:p w14:paraId="00000018" w14:textId="77777777" w:rsidR="00F0788F" w:rsidRDefault="00F0788F">
      <w:pPr>
        <w:spacing w:after="0" w:line="240" w:lineRule="auto"/>
        <w:ind w:left="720"/>
        <w:jc w:val="both"/>
        <w:rPr>
          <w:rFonts w:ascii="Bookman Old Style" w:eastAsia="Bookman Old Style" w:hAnsi="Bookman Old Style" w:cs="Bookman Old Style"/>
          <w:b/>
        </w:rPr>
      </w:pPr>
    </w:p>
    <w:p w14:paraId="00000019" w14:textId="77777777" w:rsidR="00F0788F" w:rsidRDefault="00B32145">
      <w:pPr>
        <w:numPr>
          <w:ilvl w:val="0"/>
          <w:numId w:val="7"/>
        </w:numPr>
        <w:spacing w:after="0" w:line="240" w:lineRule="auto"/>
        <w:ind w:left="425" w:hanging="283"/>
        <w:jc w:val="both"/>
        <w:rPr>
          <w:rFonts w:ascii="Bookman Old Style" w:eastAsia="Bookman Old Style" w:hAnsi="Bookman Old Style" w:cs="Bookman Old Style"/>
        </w:rPr>
      </w:pPr>
      <w:r>
        <w:rPr>
          <w:rFonts w:ascii="Bookman Old Style" w:eastAsia="Bookman Old Style" w:hAnsi="Bookman Old Style" w:cs="Bookman Old Style"/>
          <w:b/>
        </w:rPr>
        <w:t>Interpretación simultánea:</w:t>
      </w:r>
      <w:r>
        <w:rPr>
          <w:rFonts w:ascii="Bookman Old Style" w:eastAsia="Bookman Old Style" w:hAnsi="Bookman Old Style" w:cs="Bookman Old Style"/>
        </w:rPr>
        <w:t xml:space="preserve"> Es donde el intérprete expresa en castellano las ideas del interlocutor en otro idioma y viceversa, en tiempo real, mientras este último habla.  </w:t>
      </w:r>
    </w:p>
    <w:p w14:paraId="0000001A" w14:textId="77777777" w:rsidR="00F0788F" w:rsidRDefault="00F0788F">
      <w:pPr>
        <w:spacing w:after="0" w:line="240" w:lineRule="auto"/>
        <w:ind w:left="720"/>
        <w:jc w:val="both"/>
        <w:rPr>
          <w:rFonts w:ascii="Bookman Old Style" w:eastAsia="Bookman Old Style" w:hAnsi="Bookman Old Style" w:cs="Bookman Old Style"/>
        </w:rPr>
      </w:pPr>
    </w:p>
    <w:p w14:paraId="0000001B" w14:textId="77777777" w:rsidR="00F0788F" w:rsidRDefault="00B32145">
      <w:pPr>
        <w:numPr>
          <w:ilvl w:val="0"/>
          <w:numId w:val="7"/>
        </w:numPr>
        <w:spacing w:after="0" w:line="240" w:lineRule="auto"/>
        <w:ind w:left="425" w:hanging="283"/>
        <w:jc w:val="both"/>
        <w:rPr>
          <w:rFonts w:ascii="Bookman Old Style" w:eastAsia="Bookman Old Style" w:hAnsi="Bookman Old Style" w:cs="Bookman Old Style"/>
        </w:rPr>
      </w:pPr>
      <w:r>
        <w:rPr>
          <w:rFonts w:ascii="Bookman Old Style" w:eastAsia="Bookman Old Style" w:hAnsi="Bookman Old Style" w:cs="Bookman Old Style"/>
          <w:b/>
          <w:color w:val="000000"/>
        </w:rPr>
        <w:t>Interpretación susurrada</w:t>
      </w:r>
      <w:r>
        <w:rPr>
          <w:rFonts w:ascii="Bookman Old Style" w:eastAsia="Bookman Old Style" w:hAnsi="Bookman Old Style" w:cs="Bookman Old Style"/>
          <w:color w:val="000000"/>
        </w:rPr>
        <w:t>: Es el tipo de interpretación en la que un intérprete oficial utiliza la técnica de susurro que consiste en permanecer cerca del usuario de la interpretación para expresar en otro idioma las ideas del interlocutor.</w:t>
      </w:r>
    </w:p>
    <w:p w14:paraId="0000001C" w14:textId="77777777" w:rsidR="00F0788F" w:rsidRDefault="00F0788F">
      <w:pPr>
        <w:spacing w:after="0" w:line="240" w:lineRule="auto"/>
        <w:ind w:left="720"/>
        <w:jc w:val="both"/>
        <w:rPr>
          <w:rFonts w:ascii="Bookman Old Style" w:eastAsia="Bookman Old Style" w:hAnsi="Bookman Old Style" w:cs="Bookman Old Style"/>
        </w:rPr>
      </w:pPr>
    </w:p>
    <w:p w14:paraId="0000001D" w14:textId="77777777" w:rsidR="00F0788F" w:rsidRDefault="00B32145">
      <w:pPr>
        <w:numPr>
          <w:ilvl w:val="0"/>
          <w:numId w:val="7"/>
        </w:numPr>
        <w:spacing w:after="0" w:line="240" w:lineRule="auto"/>
        <w:ind w:left="425" w:hanging="283"/>
        <w:jc w:val="both"/>
        <w:rPr>
          <w:rFonts w:ascii="Bookman Old Style" w:eastAsia="Bookman Old Style" w:hAnsi="Bookman Old Style" w:cs="Bookman Old Style"/>
        </w:rPr>
      </w:pPr>
      <w:r>
        <w:rPr>
          <w:rFonts w:ascii="Bookman Old Style" w:eastAsia="Bookman Old Style" w:hAnsi="Bookman Old Style" w:cs="Bookman Old Style"/>
          <w:b/>
        </w:rPr>
        <w:t xml:space="preserve">Legalización: </w:t>
      </w:r>
      <w:r>
        <w:rPr>
          <w:rFonts w:ascii="Bookman Old Style" w:eastAsia="Bookman Old Style" w:hAnsi="Bookman Old Style" w:cs="Bookman Old Style"/>
        </w:rPr>
        <w:t xml:space="preserve">Se refiere al trámite mediante el cual los agentes diplomáticos, consulares, autoridades judiciales, administrativas o gubernamentales del país donde el documento ha de ser presentado, certifican la autenticidad de la firma, la calidad en la que actúa el firmante y cuando proceda del sello o timbre del documento. </w:t>
      </w:r>
    </w:p>
    <w:p w14:paraId="0000001E" w14:textId="77777777" w:rsidR="00F0788F" w:rsidRDefault="00F0788F">
      <w:pPr>
        <w:spacing w:after="0" w:line="240" w:lineRule="auto"/>
        <w:ind w:left="720"/>
        <w:jc w:val="both"/>
        <w:rPr>
          <w:rFonts w:ascii="Bookman Old Style" w:eastAsia="Bookman Old Style" w:hAnsi="Bookman Old Style" w:cs="Bookman Old Style"/>
        </w:rPr>
      </w:pPr>
    </w:p>
    <w:p w14:paraId="0000001F" w14:textId="77777777" w:rsidR="00F0788F" w:rsidRDefault="00B32145">
      <w:pPr>
        <w:numPr>
          <w:ilvl w:val="0"/>
          <w:numId w:val="7"/>
        </w:numPr>
        <w:spacing w:after="0" w:line="240" w:lineRule="auto"/>
        <w:ind w:left="425" w:hanging="283"/>
        <w:jc w:val="both"/>
        <w:rPr>
          <w:rFonts w:ascii="Bookman Old Style" w:eastAsia="Bookman Old Style" w:hAnsi="Bookman Old Style" w:cs="Bookman Old Style"/>
        </w:rPr>
      </w:pPr>
      <w:r>
        <w:rPr>
          <w:rFonts w:ascii="Bookman Old Style" w:eastAsia="Bookman Old Style" w:hAnsi="Bookman Old Style" w:cs="Bookman Old Style"/>
          <w:b/>
        </w:rPr>
        <w:t>Productos:</w:t>
      </w:r>
      <w:r>
        <w:rPr>
          <w:rFonts w:ascii="Bookman Old Style" w:eastAsia="Bookman Old Style" w:hAnsi="Bookman Old Style" w:cs="Bookman Old Style"/>
        </w:rPr>
        <w:t xml:space="preserve"> el resultado de los servicios verbales y escritos que prestan los traductores e intérpretes.</w:t>
      </w:r>
    </w:p>
    <w:p w14:paraId="00000020" w14:textId="77777777" w:rsidR="00F0788F" w:rsidRDefault="00F0788F">
      <w:pPr>
        <w:spacing w:after="0" w:line="240" w:lineRule="auto"/>
        <w:ind w:left="720"/>
        <w:jc w:val="both"/>
        <w:rPr>
          <w:rFonts w:ascii="Bookman Old Style" w:eastAsia="Bookman Old Style" w:hAnsi="Bookman Old Style" w:cs="Bookman Old Style"/>
        </w:rPr>
      </w:pPr>
    </w:p>
    <w:p w14:paraId="00000021" w14:textId="77777777" w:rsidR="00F0788F" w:rsidRDefault="00B32145">
      <w:pPr>
        <w:numPr>
          <w:ilvl w:val="0"/>
          <w:numId w:val="7"/>
        </w:numPr>
        <w:spacing w:after="0" w:line="240" w:lineRule="auto"/>
        <w:ind w:left="425" w:hanging="283"/>
        <w:jc w:val="both"/>
        <w:rPr>
          <w:rFonts w:ascii="Bookman Old Style" w:eastAsia="Bookman Old Style" w:hAnsi="Bookman Old Style" w:cs="Bookman Old Style"/>
        </w:rPr>
      </w:pPr>
      <w:r>
        <w:rPr>
          <w:rFonts w:ascii="Bookman Old Style" w:eastAsia="Bookman Old Style" w:hAnsi="Bookman Old Style" w:cs="Bookman Old Style"/>
          <w:b/>
        </w:rPr>
        <w:t>Tipos de interpretaciones:</w:t>
      </w:r>
      <w:r>
        <w:rPr>
          <w:rFonts w:ascii="Bookman Old Style" w:eastAsia="Bookman Old Style" w:hAnsi="Bookman Old Style" w:cs="Bookman Old Style"/>
        </w:rPr>
        <w:t xml:space="preserve"> hay interpretación consecutiva y simultánea, en versiones oficiales y simples.</w:t>
      </w:r>
    </w:p>
    <w:p w14:paraId="00000022" w14:textId="77777777" w:rsidR="00F0788F" w:rsidRDefault="00F0788F">
      <w:pPr>
        <w:spacing w:after="0" w:line="240" w:lineRule="auto"/>
        <w:ind w:left="720"/>
        <w:jc w:val="both"/>
        <w:rPr>
          <w:rFonts w:ascii="Bookman Old Style" w:eastAsia="Bookman Old Style" w:hAnsi="Bookman Old Style" w:cs="Bookman Old Style"/>
        </w:rPr>
      </w:pPr>
    </w:p>
    <w:p w14:paraId="00000023" w14:textId="77777777" w:rsidR="00F0788F" w:rsidRDefault="00B32145">
      <w:pPr>
        <w:numPr>
          <w:ilvl w:val="0"/>
          <w:numId w:val="7"/>
        </w:numPr>
        <w:spacing w:after="0" w:line="240" w:lineRule="auto"/>
        <w:ind w:left="425" w:hanging="283"/>
        <w:jc w:val="both"/>
        <w:rPr>
          <w:rFonts w:ascii="Bookman Old Style" w:eastAsia="Bookman Old Style" w:hAnsi="Bookman Old Style" w:cs="Bookman Old Style"/>
        </w:rPr>
      </w:pPr>
      <w:r>
        <w:rPr>
          <w:rFonts w:ascii="Bookman Old Style" w:eastAsia="Bookman Old Style" w:hAnsi="Bookman Old Style" w:cs="Bookman Old Style"/>
          <w:b/>
        </w:rPr>
        <w:t>Tipos de traducciones:</w:t>
      </w:r>
      <w:r>
        <w:rPr>
          <w:rFonts w:ascii="Bookman Old Style" w:eastAsia="Bookman Old Style" w:hAnsi="Bookman Old Style" w:cs="Bookman Old Style"/>
        </w:rPr>
        <w:t xml:space="preserve"> hay traducciones oficiales y simples.</w:t>
      </w:r>
    </w:p>
    <w:p w14:paraId="00000024" w14:textId="77777777" w:rsidR="00F0788F" w:rsidRDefault="00F0788F">
      <w:pPr>
        <w:spacing w:after="0" w:line="240" w:lineRule="auto"/>
        <w:ind w:left="720"/>
        <w:jc w:val="both"/>
        <w:rPr>
          <w:rFonts w:ascii="Bookman Old Style" w:eastAsia="Bookman Old Style" w:hAnsi="Bookman Old Style" w:cs="Bookman Old Style"/>
          <w:b/>
        </w:rPr>
      </w:pPr>
    </w:p>
    <w:p w14:paraId="00000025" w14:textId="77777777" w:rsidR="00F0788F" w:rsidRDefault="00B32145">
      <w:pPr>
        <w:numPr>
          <w:ilvl w:val="0"/>
          <w:numId w:val="7"/>
        </w:numPr>
        <w:spacing w:after="0" w:line="240" w:lineRule="auto"/>
        <w:ind w:left="425" w:hanging="283"/>
        <w:jc w:val="both"/>
        <w:rPr>
          <w:rFonts w:ascii="Bookman Old Style" w:eastAsia="Bookman Old Style" w:hAnsi="Bookman Old Style" w:cs="Bookman Old Style"/>
        </w:rPr>
      </w:pPr>
      <w:r>
        <w:rPr>
          <w:rFonts w:ascii="Bookman Old Style" w:eastAsia="Bookman Old Style" w:hAnsi="Bookman Old Style" w:cs="Bookman Old Style"/>
          <w:b/>
        </w:rPr>
        <w:t>Traducción:</w:t>
      </w:r>
      <w:r>
        <w:rPr>
          <w:rFonts w:ascii="Bookman Old Style" w:eastAsia="Bookman Old Style" w:hAnsi="Bookman Old Style" w:cs="Bookman Old Style"/>
        </w:rPr>
        <w:t xml:space="preserve"> es redactar un documento cuya redacción original se hizo en otro idioma y conservando el mismo significado. Cuando sea sobre papel, aun cuando sea a puño y letra, se denominará ‘copia impresa’ y cuando sea en medio electrónico, se denominará ‘copia electrónica’. </w:t>
      </w:r>
    </w:p>
    <w:p w14:paraId="00000026" w14:textId="77777777" w:rsidR="00F0788F" w:rsidRDefault="00F0788F">
      <w:pPr>
        <w:spacing w:after="0" w:line="240" w:lineRule="auto"/>
        <w:ind w:left="720"/>
        <w:jc w:val="both"/>
        <w:rPr>
          <w:rFonts w:ascii="Bookman Old Style" w:eastAsia="Bookman Old Style" w:hAnsi="Bookman Old Style" w:cs="Bookman Old Style"/>
        </w:rPr>
      </w:pPr>
    </w:p>
    <w:p w14:paraId="00000027" w14:textId="442D43A9" w:rsidR="00F0788F" w:rsidRDefault="00B32145">
      <w:pPr>
        <w:numPr>
          <w:ilvl w:val="0"/>
          <w:numId w:val="7"/>
        </w:numPr>
        <w:spacing w:after="0" w:line="240" w:lineRule="auto"/>
        <w:ind w:left="425" w:hanging="283"/>
        <w:jc w:val="both"/>
        <w:rPr>
          <w:rFonts w:ascii="Bookman Old Style" w:eastAsia="Bookman Old Style" w:hAnsi="Bookman Old Style" w:cs="Bookman Old Style"/>
        </w:rPr>
      </w:pPr>
      <w:r>
        <w:rPr>
          <w:rFonts w:ascii="Bookman Old Style" w:eastAsia="Bookman Old Style" w:hAnsi="Bookman Old Style" w:cs="Bookman Old Style"/>
          <w:b/>
        </w:rPr>
        <w:t>Traducción simple:</w:t>
      </w:r>
      <w:r>
        <w:rPr>
          <w:rFonts w:ascii="Bookman Old Style" w:eastAsia="Bookman Old Style" w:hAnsi="Bookman Old Style" w:cs="Bookman Old Style"/>
        </w:rPr>
        <w:t xml:space="preserve"> toda aquella que no es oficial.</w:t>
      </w:r>
    </w:p>
    <w:p w14:paraId="10DF4C44" w14:textId="77777777" w:rsidR="00FC7E65" w:rsidRDefault="00FC7E65" w:rsidP="00FC7E65">
      <w:pPr>
        <w:pStyle w:val="Prrafodelista"/>
        <w:rPr>
          <w:rFonts w:ascii="Bookman Old Style" w:eastAsia="Bookman Old Style" w:hAnsi="Bookman Old Style" w:cs="Bookman Old Style"/>
        </w:rPr>
      </w:pPr>
    </w:p>
    <w:p w14:paraId="17897F24" w14:textId="617D8B6B" w:rsidR="00FC7E65" w:rsidRDefault="00FC7E65" w:rsidP="00FC7E65">
      <w:pPr>
        <w:spacing w:after="0" w:line="240" w:lineRule="auto"/>
        <w:ind w:left="425"/>
        <w:jc w:val="both"/>
        <w:rPr>
          <w:rFonts w:ascii="Bookman Old Style" w:eastAsia="Bookman Old Style" w:hAnsi="Bookman Old Style" w:cs="Bookman Old Style"/>
        </w:rPr>
      </w:pPr>
    </w:p>
    <w:p w14:paraId="285A62FC" w14:textId="2E943298" w:rsidR="00FC7E65" w:rsidRDefault="00FC7E65" w:rsidP="00FC7E65">
      <w:pPr>
        <w:spacing w:after="0" w:line="240" w:lineRule="auto"/>
        <w:ind w:left="425"/>
        <w:jc w:val="both"/>
        <w:rPr>
          <w:rFonts w:ascii="Bookman Old Style" w:eastAsia="Bookman Old Style" w:hAnsi="Bookman Old Style" w:cs="Bookman Old Style"/>
        </w:rPr>
      </w:pPr>
    </w:p>
    <w:p w14:paraId="0665AAEB" w14:textId="77777777" w:rsidR="00FC7E65" w:rsidRDefault="00FC7E65" w:rsidP="00FC7E65">
      <w:pPr>
        <w:spacing w:after="0" w:line="240" w:lineRule="auto"/>
        <w:ind w:left="425"/>
        <w:jc w:val="both"/>
        <w:rPr>
          <w:rFonts w:ascii="Bookman Old Style" w:eastAsia="Bookman Old Style" w:hAnsi="Bookman Old Style" w:cs="Bookman Old Style"/>
        </w:rPr>
      </w:pPr>
    </w:p>
    <w:p w14:paraId="00000028" w14:textId="77777777" w:rsidR="00F0788F" w:rsidRDefault="00B32145">
      <w:pPr>
        <w:numPr>
          <w:ilvl w:val="0"/>
          <w:numId w:val="7"/>
        </w:numPr>
        <w:spacing w:after="0" w:line="240" w:lineRule="auto"/>
        <w:ind w:left="425" w:hanging="283"/>
        <w:jc w:val="both"/>
        <w:rPr>
          <w:rFonts w:ascii="Bookman Old Style" w:eastAsia="Bookman Old Style" w:hAnsi="Bookman Old Style" w:cs="Bookman Old Style"/>
        </w:rPr>
      </w:pPr>
      <w:r>
        <w:rPr>
          <w:rFonts w:ascii="Bookman Old Style" w:eastAsia="Bookman Old Style" w:hAnsi="Bookman Old Style" w:cs="Bookman Old Style"/>
          <w:b/>
        </w:rPr>
        <w:t xml:space="preserve">Traducción oficial: </w:t>
      </w:r>
      <w:r>
        <w:rPr>
          <w:rFonts w:ascii="Bookman Old Style" w:eastAsia="Bookman Old Style" w:hAnsi="Bookman Old Style" w:cs="Bookman Old Style"/>
        </w:rPr>
        <w:t>se refiere a la traducción de un texto o documento redactado en castellano (español) a otra lengua, o viceversa, que debe ser realizada por un traductor oficial para que surta efectos legales dentro de procesos judiciales y administrativos reconocidos por el Estado.</w:t>
      </w:r>
    </w:p>
    <w:p w14:paraId="00000029" w14:textId="77777777" w:rsidR="00F0788F" w:rsidRDefault="00F0788F">
      <w:pPr>
        <w:spacing w:after="0" w:line="240" w:lineRule="auto"/>
        <w:ind w:left="720"/>
        <w:jc w:val="both"/>
        <w:rPr>
          <w:rFonts w:ascii="Bookman Old Style" w:eastAsia="Bookman Old Style" w:hAnsi="Bookman Old Style" w:cs="Bookman Old Style"/>
        </w:rPr>
      </w:pPr>
    </w:p>
    <w:p w14:paraId="0000002A" w14:textId="77777777" w:rsidR="00F0788F" w:rsidRDefault="00B32145">
      <w:pPr>
        <w:numPr>
          <w:ilvl w:val="0"/>
          <w:numId w:val="7"/>
        </w:numPr>
        <w:spacing w:after="0" w:line="240" w:lineRule="auto"/>
        <w:ind w:left="425" w:hanging="283"/>
        <w:jc w:val="both"/>
        <w:rPr>
          <w:rFonts w:ascii="Bookman Old Style" w:eastAsia="Bookman Old Style" w:hAnsi="Bookman Old Style" w:cs="Bookman Old Style"/>
        </w:rPr>
      </w:pPr>
      <w:r>
        <w:rPr>
          <w:rFonts w:ascii="Bookman Old Style" w:eastAsia="Bookman Old Style" w:hAnsi="Bookman Old Style" w:cs="Bookman Old Style"/>
          <w:b/>
          <w:color w:val="000000"/>
        </w:rPr>
        <w:t>Traductor oficial:</w:t>
      </w:r>
      <w:r>
        <w:rPr>
          <w:rFonts w:ascii="Bookman Old Style" w:eastAsia="Bookman Old Style" w:hAnsi="Bookman Old Style" w:cs="Bookman Old Style"/>
          <w:color w:val="000000"/>
        </w:rPr>
        <w:t xml:space="preserve"> Persona avalada por el Estado y acreditado por medio de resolución, licencia o certificado de idoneidad para redactar un documento en castellano cuya redacción original fue en otro idioma y viceversa ante las autoridades nacionales, comprometido(a) bajo la gravedad de juramento de que el contenido es fiel al original. También puede ser auxiliar de la justicia y como medio para complementar y permitir la seguridad jurídica — en lo que atañe a la comunicación — de quien interviene ante las autoridades colombianas en un idioma distinto al oficial de Colombia. </w:t>
      </w:r>
    </w:p>
    <w:p w14:paraId="0000002B" w14:textId="77777777" w:rsidR="00F0788F" w:rsidRDefault="00F0788F">
      <w:pPr>
        <w:spacing w:after="0" w:line="240" w:lineRule="auto"/>
        <w:ind w:left="720"/>
        <w:jc w:val="both"/>
        <w:rPr>
          <w:rFonts w:ascii="Bookman Old Style" w:eastAsia="Bookman Old Style" w:hAnsi="Bookman Old Style" w:cs="Bookman Old Style"/>
        </w:rPr>
      </w:pPr>
    </w:p>
    <w:p w14:paraId="0000002C" w14:textId="77777777" w:rsidR="00F0788F" w:rsidRDefault="00B32145">
      <w:pPr>
        <w:numPr>
          <w:ilvl w:val="0"/>
          <w:numId w:val="7"/>
        </w:numPr>
        <w:spacing w:after="0" w:line="240" w:lineRule="auto"/>
        <w:ind w:left="425" w:hanging="283"/>
        <w:jc w:val="both"/>
        <w:rPr>
          <w:rFonts w:ascii="Bookman Old Style" w:eastAsia="Bookman Old Style" w:hAnsi="Bookman Old Style" w:cs="Bookman Old Style"/>
        </w:rPr>
      </w:pPr>
      <w:r>
        <w:rPr>
          <w:rFonts w:ascii="Bookman Old Style" w:eastAsia="Bookman Old Style" w:hAnsi="Bookman Old Style" w:cs="Bookman Old Style"/>
          <w:b/>
        </w:rPr>
        <w:t>Usuario:</w:t>
      </w:r>
      <w:r>
        <w:rPr>
          <w:rFonts w:ascii="Bookman Old Style" w:eastAsia="Bookman Old Style" w:hAnsi="Bookman Old Style" w:cs="Bookman Old Style"/>
        </w:rPr>
        <w:t xml:space="preserve"> cualquier persona natural o jurídica que requiera un servicio de traducción o interpretación para propósitos oficiales, comerciales, científicos, educativos y culturales.</w:t>
      </w:r>
    </w:p>
    <w:p w14:paraId="0000002D" w14:textId="77777777" w:rsidR="00F0788F" w:rsidRDefault="00F0788F">
      <w:pPr>
        <w:spacing w:after="0" w:line="240" w:lineRule="auto"/>
        <w:jc w:val="both"/>
        <w:rPr>
          <w:rFonts w:ascii="Bookman Old Style" w:eastAsia="Bookman Old Style" w:hAnsi="Bookman Old Style" w:cs="Bookman Old Style"/>
        </w:rPr>
      </w:pPr>
    </w:p>
    <w:p w14:paraId="0000002E" w14:textId="77777777" w:rsidR="00F0788F" w:rsidRDefault="00B32145">
      <w:pPr>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b/>
        </w:rPr>
        <w:t xml:space="preserve">Artículo 4°. </w:t>
      </w:r>
      <w:r>
        <w:rPr>
          <w:rFonts w:ascii="Bookman Old Style" w:eastAsia="Bookman Old Style" w:hAnsi="Bookman Old Style" w:cs="Bookman Old Style"/>
          <w:b/>
          <w:i/>
        </w:rPr>
        <w:t xml:space="preserve">Base de datos de traductores e intérpretes oficiales. </w:t>
      </w:r>
      <w:r>
        <w:rPr>
          <w:rFonts w:ascii="Bookman Old Style" w:eastAsia="Bookman Old Style" w:hAnsi="Bookman Old Style" w:cs="Bookman Old Style"/>
        </w:rPr>
        <w:t>Créese, para beneficio y a disposición del Usuario la base de datos de traductores e intérpretes oficiales, la cual estará a cargo y bajo la responsabilidad del Ministerio de Relaciones Exteriores o la entidad que haga sus veces.</w:t>
      </w:r>
    </w:p>
    <w:p w14:paraId="0000002F" w14:textId="77777777" w:rsidR="00F0788F" w:rsidRDefault="00F0788F">
      <w:pPr>
        <w:spacing w:after="0" w:line="240" w:lineRule="auto"/>
        <w:jc w:val="both"/>
        <w:rPr>
          <w:rFonts w:ascii="Bookman Old Style" w:eastAsia="Bookman Old Style" w:hAnsi="Bookman Old Style" w:cs="Bookman Old Style"/>
        </w:rPr>
      </w:pPr>
    </w:p>
    <w:p w14:paraId="00000030" w14:textId="77777777" w:rsidR="00F0788F" w:rsidRDefault="00B32145">
      <w:pPr>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 1º.</w:t>
      </w:r>
      <w:r>
        <w:rPr>
          <w:rFonts w:ascii="Bookman Old Style" w:eastAsia="Bookman Old Style" w:hAnsi="Bookman Old Style" w:cs="Bookman Old Style"/>
        </w:rPr>
        <w:t xml:space="preserve"> El Ministerio de Relaciones Exteriores en el término de seis (6) meses reglamentará lo concerniente a la base de datos de traductores e intérpretes oficiales.</w:t>
      </w:r>
    </w:p>
    <w:p w14:paraId="00000031" w14:textId="77777777" w:rsidR="00F0788F" w:rsidRDefault="00F0788F">
      <w:pPr>
        <w:spacing w:after="0" w:line="240" w:lineRule="auto"/>
        <w:jc w:val="both"/>
        <w:rPr>
          <w:rFonts w:ascii="Bookman Old Style" w:eastAsia="Bookman Old Style" w:hAnsi="Bookman Old Style" w:cs="Bookman Old Style"/>
        </w:rPr>
      </w:pPr>
    </w:p>
    <w:p w14:paraId="00000032" w14:textId="77777777" w:rsidR="00F0788F" w:rsidRDefault="00B32145">
      <w:pPr>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 2º.</w:t>
      </w:r>
      <w:r>
        <w:rPr>
          <w:rFonts w:ascii="Bookman Old Style" w:eastAsia="Bookman Old Style" w:hAnsi="Bookman Old Style" w:cs="Bookman Old Style"/>
        </w:rPr>
        <w:t xml:space="preserve"> La base de datos será un archivo en donde se consignarán los datos básicos como: nombres y apellidos, documento de identidad, dirección de domicilio y residencia, el número de contacto, correo electrónico, idioma, tipo y número de documento que avala el ejercicio del oficio de traductor e intérprete oficial en el territorio nacional y la firma.</w:t>
      </w:r>
    </w:p>
    <w:p w14:paraId="00000033" w14:textId="77777777" w:rsidR="00F0788F" w:rsidRDefault="00F0788F">
      <w:pPr>
        <w:spacing w:after="0" w:line="240" w:lineRule="auto"/>
        <w:jc w:val="both"/>
        <w:rPr>
          <w:rFonts w:ascii="Bookman Old Style" w:eastAsia="Bookman Old Style" w:hAnsi="Bookman Old Style" w:cs="Bookman Old Style"/>
        </w:rPr>
      </w:pPr>
    </w:p>
    <w:p w14:paraId="00000034" w14:textId="77777777" w:rsidR="00F0788F" w:rsidRDefault="00B32145">
      <w:pPr>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b/>
        </w:rPr>
        <w:t xml:space="preserve">Parágrafo 3º. </w:t>
      </w:r>
      <w:r>
        <w:rPr>
          <w:rFonts w:ascii="Bookman Old Style" w:eastAsia="Bookman Old Style" w:hAnsi="Bookman Old Style" w:cs="Bookman Old Style"/>
        </w:rPr>
        <w:t>Será responsabilidad de los traductores e intérpretes oficiales inscribirse en la base de datos de la que trata el presente artículo, para lo cual será necesario acreditar la idoneidad mediante alguno de los documentos de los que trata el artículo 5º y realizar el registro de la firma y el sello con la que avalará los productos que presente el traductor e intérprete.</w:t>
      </w:r>
    </w:p>
    <w:p w14:paraId="00000035" w14:textId="77777777" w:rsidR="00F0788F" w:rsidRDefault="00F0788F">
      <w:pPr>
        <w:spacing w:after="0" w:line="240" w:lineRule="auto"/>
        <w:jc w:val="both"/>
        <w:rPr>
          <w:rFonts w:ascii="Bookman Old Style" w:eastAsia="Bookman Old Style" w:hAnsi="Bookman Old Style" w:cs="Bookman Old Style"/>
        </w:rPr>
      </w:pPr>
    </w:p>
    <w:p w14:paraId="00000036" w14:textId="77777777" w:rsidR="00F0788F" w:rsidRDefault="00B32145">
      <w:pPr>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b/>
        </w:rPr>
        <w:t xml:space="preserve">Parágrafo 4º. </w:t>
      </w:r>
      <w:r>
        <w:rPr>
          <w:rFonts w:ascii="Bookman Old Style" w:eastAsia="Bookman Old Style" w:hAnsi="Bookman Old Style" w:cs="Bookman Old Style"/>
        </w:rPr>
        <w:t xml:space="preserve">El Ministerio de Relaciones Exteriores, será responsable de compilar, mantener, actualizar y publicar en un sitio electrónico centralizado de fácil acceso al usuario la lista de traductores e intérpretes oficiales. </w:t>
      </w:r>
    </w:p>
    <w:p w14:paraId="00000037" w14:textId="77777777" w:rsidR="00F0788F" w:rsidRDefault="00F0788F">
      <w:pPr>
        <w:spacing w:after="0" w:line="240" w:lineRule="auto"/>
        <w:jc w:val="both"/>
        <w:rPr>
          <w:rFonts w:ascii="Bookman Old Style" w:eastAsia="Bookman Old Style" w:hAnsi="Bookman Old Style" w:cs="Bookman Old Style"/>
        </w:rPr>
      </w:pPr>
    </w:p>
    <w:p w14:paraId="00000038" w14:textId="77777777" w:rsidR="00F0788F" w:rsidRDefault="00B32145">
      <w:pPr>
        <w:spacing w:line="240" w:lineRule="auto"/>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t xml:space="preserve">Parágrafo 5º. </w:t>
      </w:r>
      <w:r>
        <w:rPr>
          <w:rFonts w:ascii="Bookman Old Style" w:eastAsia="Bookman Old Style" w:hAnsi="Bookman Old Style" w:cs="Bookman Old Style"/>
          <w:color w:val="000000"/>
        </w:rPr>
        <w:t>El Ministerio de Relaciones Exteriores podrá reglamentar el proceso para la implementación de un sistema electrónico de implementación y autenticación de firmas digitales en las traducciones oficiales.</w:t>
      </w:r>
    </w:p>
    <w:p w14:paraId="01DC9B90" w14:textId="77777777" w:rsidR="00FC7E65" w:rsidRDefault="00FC7E65">
      <w:pPr>
        <w:spacing w:line="240" w:lineRule="auto"/>
        <w:jc w:val="both"/>
        <w:rPr>
          <w:rFonts w:ascii="Bookman Old Style" w:eastAsia="Bookman Old Style" w:hAnsi="Bookman Old Style" w:cs="Bookman Old Style"/>
          <w:b/>
          <w:color w:val="000000"/>
        </w:rPr>
      </w:pPr>
    </w:p>
    <w:p w14:paraId="03F935A7" w14:textId="77777777" w:rsidR="00FC7E65" w:rsidRDefault="00FC7E65">
      <w:pPr>
        <w:spacing w:line="240" w:lineRule="auto"/>
        <w:jc w:val="both"/>
        <w:rPr>
          <w:rFonts w:ascii="Bookman Old Style" w:eastAsia="Bookman Old Style" w:hAnsi="Bookman Old Style" w:cs="Bookman Old Style"/>
          <w:b/>
          <w:color w:val="000000"/>
        </w:rPr>
      </w:pPr>
    </w:p>
    <w:p w14:paraId="00000039" w14:textId="074883E9" w:rsidR="00F0788F" w:rsidRDefault="00B32145">
      <w:pPr>
        <w:spacing w:line="240" w:lineRule="auto"/>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t>Parágrafo 6°.</w:t>
      </w:r>
      <w:r>
        <w:rPr>
          <w:rFonts w:ascii="Bookman Old Style" w:eastAsia="Bookman Old Style" w:hAnsi="Bookman Old Style" w:cs="Bookman Old Style"/>
          <w:color w:val="000000"/>
        </w:rPr>
        <w:t xml:space="preserve"> La información que sea consignada en la base de datos y su tratamiento deberá sujetarse a lo establecido en el artículo 15 de la Constitución Política, la Ley Estatutaria 1581 de 2012, así como a las demás normas vigentes sobre protección de datos personales y las disposiciones que las modifiquen, sustituyan o complementen.</w:t>
      </w:r>
    </w:p>
    <w:p w14:paraId="0000003A" w14:textId="77777777" w:rsidR="00F0788F" w:rsidRDefault="00B32145">
      <w:pPr>
        <w:spacing w:after="0" w:line="240" w:lineRule="auto"/>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t xml:space="preserve">Artículo 5°. </w:t>
      </w:r>
      <w:r>
        <w:rPr>
          <w:rFonts w:ascii="Bookman Old Style" w:eastAsia="Bookman Old Style" w:hAnsi="Bookman Old Style" w:cs="Bookman Old Style"/>
          <w:b/>
          <w:i/>
          <w:color w:val="000000"/>
        </w:rPr>
        <w:t>Requisitos</w:t>
      </w:r>
      <w:r>
        <w:rPr>
          <w:rFonts w:ascii="Bookman Old Style" w:eastAsia="Bookman Old Style" w:hAnsi="Bookman Old Style" w:cs="Bookman Old Style"/>
          <w:b/>
          <w:color w:val="000000"/>
        </w:rPr>
        <w:t xml:space="preserve">. </w:t>
      </w:r>
      <w:r>
        <w:rPr>
          <w:rFonts w:ascii="Bookman Old Style" w:eastAsia="Bookman Old Style" w:hAnsi="Bookman Old Style" w:cs="Bookman Old Style"/>
          <w:color w:val="000000"/>
        </w:rPr>
        <w:t>Para ejercer en el territorio nacional la actividad de traductores e intérpretes oficiales de que trata la presente ley, es necesario estar inscrito en la base de datos de traductores e intérpretes oficiales</w:t>
      </w:r>
      <w:r>
        <w:rPr>
          <w:rFonts w:ascii="Bookman Old Style" w:eastAsia="Bookman Old Style" w:hAnsi="Bookman Old Style" w:cs="Bookman Old Style"/>
          <w:color w:val="FF0000"/>
        </w:rPr>
        <w:t xml:space="preserve"> </w:t>
      </w:r>
      <w:r>
        <w:rPr>
          <w:rFonts w:ascii="Bookman Old Style" w:eastAsia="Bookman Old Style" w:hAnsi="Bookman Old Style" w:cs="Bookman Old Style"/>
          <w:color w:val="000000"/>
        </w:rPr>
        <w:t>y acreditar la tenencia de alguno de los siguientes documentos:</w:t>
      </w:r>
    </w:p>
    <w:p w14:paraId="0000003B" w14:textId="77777777" w:rsidR="00F0788F" w:rsidRDefault="00F0788F">
      <w:pPr>
        <w:spacing w:after="0" w:line="240" w:lineRule="auto"/>
        <w:jc w:val="both"/>
        <w:rPr>
          <w:rFonts w:ascii="Bookman Old Style" w:eastAsia="Bookman Old Style" w:hAnsi="Bookman Old Style" w:cs="Bookman Old Style"/>
          <w:color w:val="000000"/>
        </w:rPr>
      </w:pPr>
    </w:p>
    <w:p w14:paraId="0000003C" w14:textId="77777777" w:rsidR="00F0788F" w:rsidRDefault="00B32145">
      <w:pPr>
        <w:numPr>
          <w:ilvl w:val="0"/>
          <w:numId w:val="8"/>
        </w:numPr>
        <w:spacing w:after="0" w:line="24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Licencia o Resolución emitida por el Ministerio de Justicia en virtud de lo establecido en el Decreto 2257 de 1951 para ejercer como traductores e intérpretes oficiales antes del año 2005.</w:t>
      </w:r>
    </w:p>
    <w:p w14:paraId="0000003D" w14:textId="77777777" w:rsidR="00F0788F" w:rsidRDefault="00F0788F">
      <w:pPr>
        <w:spacing w:after="0" w:line="240" w:lineRule="auto"/>
        <w:ind w:left="720"/>
        <w:jc w:val="both"/>
        <w:rPr>
          <w:rFonts w:ascii="Bookman Old Style" w:eastAsia="Bookman Old Style" w:hAnsi="Bookman Old Style" w:cs="Bookman Old Style"/>
        </w:rPr>
      </w:pPr>
    </w:p>
    <w:p w14:paraId="0000003E" w14:textId="77777777" w:rsidR="00F0788F" w:rsidRDefault="00B32145">
      <w:pPr>
        <w:numPr>
          <w:ilvl w:val="0"/>
          <w:numId w:val="8"/>
        </w:numPr>
        <w:spacing w:after="0" w:line="24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Certificado de Idoneidad expedido por una de las universidades que hayan practicado el examen para el ejercicio de la actividad de traductor e intérprete oficial, en donde conste su aprobación e idoneidad para la práctica de este oficio. Lo anterior, en virtud del artículo 33 de la ley 962 de 2005.</w:t>
      </w:r>
    </w:p>
    <w:p w14:paraId="0000003F" w14:textId="77777777" w:rsidR="00F0788F" w:rsidRDefault="00F0788F">
      <w:pPr>
        <w:spacing w:after="0" w:line="240" w:lineRule="auto"/>
        <w:ind w:left="720"/>
        <w:jc w:val="both"/>
        <w:rPr>
          <w:rFonts w:ascii="Bookman Old Style" w:eastAsia="Bookman Old Style" w:hAnsi="Bookman Old Style" w:cs="Bookman Old Style"/>
        </w:rPr>
      </w:pPr>
    </w:p>
    <w:p w14:paraId="00000040" w14:textId="77777777" w:rsidR="00F0788F" w:rsidRDefault="00B32145">
      <w:pPr>
        <w:numPr>
          <w:ilvl w:val="0"/>
          <w:numId w:val="8"/>
        </w:numPr>
        <w:spacing w:after="0" w:line="24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Documento expedido por la universidad que elabore los exámenes de suficiencia e idoneidad para la práctica de la actividad de traductor e </w:t>
      </w:r>
      <w:r>
        <w:rPr>
          <w:rFonts w:ascii="Bookman Old Style" w:eastAsia="Bookman Old Style" w:hAnsi="Bookman Old Style" w:cs="Bookman Old Style"/>
        </w:rPr>
        <w:t>intérprete</w:t>
      </w:r>
      <w:r>
        <w:rPr>
          <w:rFonts w:ascii="Bookman Old Style" w:eastAsia="Bookman Old Style" w:hAnsi="Bookman Old Style" w:cs="Bookman Old Style"/>
          <w:color w:val="000000"/>
        </w:rPr>
        <w:t xml:space="preserve"> oficial. Examen que hace mención el artículo 6º de la presente ley.</w:t>
      </w:r>
    </w:p>
    <w:p w14:paraId="00000041" w14:textId="77777777" w:rsidR="00F0788F" w:rsidRDefault="00F0788F">
      <w:pPr>
        <w:spacing w:after="0" w:line="240" w:lineRule="auto"/>
        <w:ind w:left="720"/>
        <w:jc w:val="both"/>
        <w:rPr>
          <w:rFonts w:ascii="Bookman Old Style" w:eastAsia="Bookman Old Style" w:hAnsi="Bookman Old Style" w:cs="Bookman Old Style"/>
        </w:rPr>
      </w:pPr>
    </w:p>
    <w:p w14:paraId="00000042" w14:textId="77777777" w:rsidR="00F0788F" w:rsidRDefault="00B32145">
      <w:pPr>
        <w:spacing w:line="240" w:lineRule="auto"/>
        <w:jc w:val="both"/>
        <w:rPr>
          <w:rFonts w:ascii="Bookman Old Style" w:eastAsia="Bookman Old Style" w:hAnsi="Bookman Old Style" w:cs="Bookman Old Style"/>
        </w:rPr>
      </w:pPr>
      <w:bookmarkStart w:id="1" w:name="_f7u3ibz2nzsc" w:colFirst="0" w:colLast="0"/>
      <w:bookmarkEnd w:id="1"/>
      <w:r>
        <w:rPr>
          <w:rFonts w:ascii="Bookman Old Style" w:eastAsia="Bookman Old Style" w:hAnsi="Bookman Old Style" w:cs="Bookman Old Style"/>
          <w:b/>
          <w:color w:val="000000"/>
        </w:rPr>
        <w:t>Artículo 6º</w:t>
      </w:r>
      <w:r>
        <w:rPr>
          <w:rFonts w:ascii="Bookman Old Style" w:eastAsia="Bookman Old Style" w:hAnsi="Bookman Old Style" w:cs="Bookman Old Style"/>
          <w:b/>
        </w:rPr>
        <w:t xml:space="preserve">. Examen para el ejercicio de la actividad de traductor e intérprete oficial. </w:t>
      </w:r>
      <w:r>
        <w:rPr>
          <w:rFonts w:ascii="Bookman Old Style" w:eastAsia="Bookman Old Style" w:hAnsi="Bookman Old Style" w:cs="Bookman Old Style"/>
        </w:rPr>
        <w:t xml:space="preserve">Los interesados en desempeñarse como traductores e intérpretes oficiales deberán presentar y aprobar el examen que realizarán para dicho fin las entidades autorizadas como universidades públicas y privadas que cuenten con facultad de idiomas debidamente acreditadas y reconocidas por el Ministerio de Educación Nacional o la entidad que haga sus veces. </w:t>
      </w:r>
    </w:p>
    <w:p w14:paraId="00000043" w14:textId="77777777" w:rsidR="00F0788F" w:rsidRDefault="00B32145">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 1º</w:t>
      </w:r>
      <w:r>
        <w:rPr>
          <w:rFonts w:ascii="Bookman Old Style" w:eastAsia="Bookman Old Style" w:hAnsi="Bookman Old Style" w:cs="Bookman Old Style"/>
        </w:rPr>
        <w:t>. El Ministerio de Educación Nacional dará el lineamiento para la práctica del examen que hace mención en el presente artículo en un término de seis (6) meses, no obstante, hasta que esto ocurra el examen se realizará con las características y el procedimiento a través del cual se venía realizando de conformidad con lo establecido en el artículo 33 de la ley 962 de 2005.</w:t>
      </w:r>
    </w:p>
    <w:p w14:paraId="00000044" w14:textId="77777777" w:rsidR="00F0788F" w:rsidRDefault="00B32145">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 2º</w:t>
      </w:r>
      <w:r>
        <w:rPr>
          <w:rFonts w:ascii="Bookman Old Style" w:eastAsia="Bookman Old Style" w:hAnsi="Bookman Old Style" w:cs="Bookman Old Style"/>
        </w:rPr>
        <w:t xml:space="preserve">. Los documentos de idoneidad para ejercer el oficio de traductores e intérpretes oficiales, expedidos por las universidades o el Ministerio de Justicia con anterioridad a la entrada en vigencia de la presente ley continuarán vigentes. </w:t>
      </w:r>
    </w:p>
    <w:p w14:paraId="353726C3" w14:textId="12DE49E6" w:rsidR="00FC7E65" w:rsidRDefault="00B32145">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7°.</w:t>
      </w:r>
      <w:r>
        <w:rPr>
          <w:rFonts w:ascii="Bookman Old Style" w:eastAsia="Bookman Old Style" w:hAnsi="Bookman Old Style" w:cs="Bookman Old Style"/>
        </w:rPr>
        <w:t xml:space="preserve"> Los traductores e intérpretes oficiales incluirán en cada traducción un encabezado y un cierre o declaración equivalente en el que conste el nombre del traductor oficial, el número de resolución, certificado o documento mediante el cual fue acreditado, el idioma para el cual fue facultado, el juramento de que la redacción</w:t>
      </w:r>
      <w:r w:rsidR="00FC7E65">
        <w:rPr>
          <w:rFonts w:ascii="Bookman Old Style" w:eastAsia="Bookman Old Style" w:hAnsi="Bookman Old Style" w:cs="Bookman Old Style"/>
        </w:rPr>
        <w:t xml:space="preserve">  </w:t>
      </w:r>
      <w:r>
        <w:rPr>
          <w:rFonts w:ascii="Bookman Old Style" w:eastAsia="Bookman Old Style" w:hAnsi="Bookman Old Style" w:cs="Bookman Old Style"/>
        </w:rPr>
        <w:t xml:space="preserve"> realizada</w:t>
      </w:r>
      <w:r w:rsidR="00FC7E65">
        <w:rPr>
          <w:rFonts w:ascii="Bookman Old Style" w:eastAsia="Bookman Old Style" w:hAnsi="Bookman Old Style" w:cs="Bookman Old Style"/>
        </w:rPr>
        <w:t xml:space="preserve">  </w:t>
      </w:r>
      <w:r>
        <w:rPr>
          <w:rFonts w:ascii="Bookman Old Style" w:eastAsia="Bookman Old Style" w:hAnsi="Bookman Old Style" w:cs="Bookman Old Style"/>
        </w:rPr>
        <w:t xml:space="preserve"> al </w:t>
      </w:r>
      <w:r w:rsidR="00FC7E65">
        <w:rPr>
          <w:rFonts w:ascii="Bookman Old Style" w:eastAsia="Bookman Old Style" w:hAnsi="Bookman Old Style" w:cs="Bookman Old Style"/>
        </w:rPr>
        <w:t xml:space="preserve">  </w:t>
      </w:r>
      <w:r>
        <w:rPr>
          <w:rFonts w:ascii="Bookman Old Style" w:eastAsia="Bookman Old Style" w:hAnsi="Bookman Old Style" w:cs="Bookman Old Style"/>
        </w:rPr>
        <w:t>castellano</w:t>
      </w:r>
      <w:r w:rsidR="00FC7E65">
        <w:rPr>
          <w:rFonts w:ascii="Bookman Old Style" w:eastAsia="Bookman Old Style" w:hAnsi="Bookman Old Style" w:cs="Bookman Old Style"/>
        </w:rPr>
        <w:t xml:space="preserve">  </w:t>
      </w:r>
      <w:r>
        <w:rPr>
          <w:rFonts w:ascii="Bookman Old Style" w:eastAsia="Bookman Old Style" w:hAnsi="Bookman Old Style" w:cs="Bookman Old Style"/>
        </w:rPr>
        <w:t xml:space="preserve"> o </w:t>
      </w:r>
      <w:r w:rsidR="00FC7E65">
        <w:rPr>
          <w:rFonts w:ascii="Bookman Old Style" w:eastAsia="Bookman Old Style" w:hAnsi="Bookman Old Style" w:cs="Bookman Old Style"/>
        </w:rPr>
        <w:t xml:space="preserve"> </w:t>
      </w:r>
      <w:r>
        <w:rPr>
          <w:rFonts w:ascii="Bookman Old Style" w:eastAsia="Bookman Old Style" w:hAnsi="Bookman Old Style" w:cs="Bookman Old Style"/>
        </w:rPr>
        <w:t xml:space="preserve">a otro idioma es fiel a la original o que lo </w:t>
      </w:r>
    </w:p>
    <w:p w14:paraId="1108ADD3" w14:textId="77777777" w:rsidR="00FC7E65" w:rsidRDefault="00FC7E65">
      <w:pPr>
        <w:spacing w:line="240" w:lineRule="auto"/>
        <w:jc w:val="both"/>
        <w:rPr>
          <w:rFonts w:ascii="Bookman Old Style" w:eastAsia="Bookman Old Style" w:hAnsi="Bookman Old Style" w:cs="Bookman Old Style"/>
        </w:rPr>
      </w:pPr>
    </w:p>
    <w:p w14:paraId="6C5CEA81" w14:textId="77777777" w:rsidR="00FC7E65" w:rsidRDefault="00FC7E65">
      <w:pPr>
        <w:spacing w:line="240" w:lineRule="auto"/>
        <w:jc w:val="both"/>
        <w:rPr>
          <w:rFonts w:ascii="Bookman Old Style" w:eastAsia="Bookman Old Style" w:hAnsi="Bookman Old Style" w:cs="Bookman Old Style"/>
        </w:rPr>
      </w:pPr>
    </w:p>
    <w:p w14:paraId="0127223F" w14:textId="77777777" w:rsidR="00FC7E65" w:rsidRDefault="00FC7E65">
      <w:pPr>
        <w:spacing w:line="240" w:lineRule="auto"/>
        <w:jc w:val="both"/>
        <w:rPr>
          <w:rFonts w:ascii="Bookman Old Style" w:eastAsia="Bookman Old Style" w:hAnsi="Bookman Old Style" w:cs="Bookman Old Style"/>
        </w:rPr>
      </w:pPr>
    </w:p>
    <w:p w14:paraId="00000045" w14:textId="439D35D6" w:rsidR="00F0788F" w:rsidRDefault="00B32145">
      <w:pPr>
        <w:spacing w:line="24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expresado a viva voz, es fiel a lo escuchado, la fecha en la que se realiza la traducción, la firma y sello inscrito ante el Ministerio de Relaciones Exteriores. </w:t>
      </w:r>
    </w:p>
    <w:p w14:paraId="00000046" w14:textId="77777777" w:rsidR="00F0788F" w:rsidRDefault="00B32145">
      <w:pPr>
        <w:spacing w:line="24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Lo anterior sin perjuicio de la objeción de conciencia que podrá alegar el traductor e intérprete oficial en el ejercicio de su oficio.</w:t>
      </w:r>
    </w:p>
    <w:p w14:paraId="00000047" w14:textId="77777777" w:rsidR="00F0788F" w:rsidRDefault="00B32145">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color w:val="000000"/>
        </w:rPr>
        <w:t>El fin del presente artículo es dar la seguridad jurídica a cualquier persona que intervenga en Colombia en cualquier combinación de idiomas desde y hacia el castellano (español) a otro idioma, ya sea en lo administrativo o en lo judicial.</w:t>
      </w:r>
    </w:p>
    <w:p w14:paraId="00000048" w14:textId="77777777" w:rsidR="00F0788F" w:rsidRDefault="00B32145">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8°.</w:t>
      </w:r>
      <w:r>
        <w:rPr>
          <w:rFonts w:ascii="Bookman Old Style" w:eastAsia="Bookman Old Style" w:hAnsi="Bookman Old Style" w:cs="Bookman Old Style"/>
        </w:rPr>
        <w:t xml:space="preserve"> El Ministerio de Relaciones Exteriores reconocerá y verificará de la base datos de traductores e intérpretes oficiales de la que trata el artículo 4°, la firma y el sello de los traductores oficiales inscritos para la legalización o apostilla de las traducciones de todos los documentos presentados a dicha entidad y que tengan como destino final, un usuario nacional o internacional.</w:t>
      </w:r>
    </w:p>
    <w:p w14:paraId="00000049" w14:textId="77777777" w:rsidR="00F0788F" w:rsidRDefault="00B32145">
      <w:pPr>
        <w:spacing w:after="0" w:line="240" w:lineRule="auto"/>
        <w:jc w:val="both"/>
        <w:rPr>
          <w:rFonts w:ascii="Bookman Old Style" w:eastAsia="Bookman Old Style" w:hAnsi="Bookman Old Style" w:cs="Bookman Old Style"/>
          <w:b/>
          <w:i/>
          <w:color w:val="000000"/>
        </w:rPr>
      </w:pPr>
      <w:bookmarkStart w:id="2" w:name="_30j0zll" w:colFirst="0" w:colLast="0"/>
      <w:bookmarkEnd w:id="2"/>
      <w:r>
        <w:rPr>
          <w:rFonts w:ascii="Bookman Old Style" w:eastAsia="Bookman Old Style" w:hAnsi="Bookman Old Style" w:cs="Bookman Old Style"/>
          <w:b/>
          <w:color w:val="000000"/>
        </w:rPr>
        <w:t xml:space="preserve">Artículo 9°. </w:t>
      </w:r>
      <w:r>
        <w:rPr>
          <w:rFonts w:ascii="Bookman Old Style" w:eastAsia="Bookman Old Style" w:hAnsi="Bookman Old Style" w:cs="Bookman Old Style"/>
          <w:b/>
          <w:i/>
          <w:color w:val="000000"/>
        </w:rPr>
        <w:t xml:space="preserve">Postulados éticos y deberes generales del traductor e intérprete oficial inscrito en la base de datos del Ministerio de Relaciones Exteriores. </w:t>
      </w:r>
    </w:p>
    <w:p w14:paraId="0000004A" w14:textId="77777777" w:rsidR="00F0788F" w:rsidRDefault="00F0788F">
      <w:pPr>
        <w:spacing w:after="0" w:line="240" w:lineRule="auto"/>
        <w:jc w:val="both"/>
        <w:rPr>
          <w:rFonts w:ascii="Bookman Old Style" w:eastAsia="Bookman Old Style" w:hAnsi="Bookman Old Style" w:cs="Bookman Old Style"/>
          <w:b/>
          <w:i/>
          <w:color w:val="000000"/>
        </w:rPr>
      </w:pPr>
    </w:p>
    <w:p w14:paraId="0000004B" w14:textId="77777777" w:rsidR="00F0788F" w:rsidRDefault="00B32145">
      <w:pPr>
        <w:spacing w:after="0" w:line="24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El ejercicio de la actividad de traductor e intérprete oficial debe ser guiado por </w:t>
      </w:r>
      <w:r>
        <w:rPr>
          <w:rFonts w:ascii="Bookman Old Style" w:eastAsia="Bookman Old Style" w:hAnsi="Bookman Old Style" w:cs="Bookman Old Style"/>
          <w:color w:val="231F20"/>
        </w:rPr>
        <w:t>criterios, conceptos y fines elevados</w:t>
      </w:r>
      <w:r>
        <w:rPr>
          <w:rFonts w:ascii="Bookman Old Style" w:eastAsia="Bookman Old Style" w:hAnsi="Bookman Old Style" w:cs="Bookman Old Style"/>
          <w:color w:val="000000"/>
        </w:rPr>
        <w:t xml:space="preserve"> que propendan a enaltecerlo. </w:t>
      </w:r>
    </w:p>
    <w:p w14:paraId="0000004C" w14:textId="77777777" w:rsidR="00F0788F" w:rsidRDefault="00F0788F">
      <w:pPr>
        <w:spacing w:after="0" w:line="240" w:lineRule="auto"/>
        <w:jc w:val="both"/>
        <w:rPr>
          <w:rFonts w:ascii="Bookman Old Style" w:eastAsia="Bookman Old Style" w:hAnsi="Bookman Old Style" w:cs="Bookman Old Style"/>
          <w:color w:val="000000"/>
        </w:rPr>
      </w:pPr>
    </w:p>
    <w:p w14:paraId="0000004D" w14:textId="77777777" w:rsidR="00F0788F" w:rsidRDefault="00B32145">
      <w:pPr>
        <w:spacing w:after="0" w:line="24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Son deberes generales del traductor e </w:t>
      </w:r>
      <w:r>
        <w:rPr>
          <w:rFonts w:ascii="Bookman Old Style" w:eastAsia="Bookman Old Style" w:hAnsi="Bookman Old Style" w:cs="Bookman Old Style"/>
        </w:rPr>
        <w:t>intérprete</w:t>
      </w:r>
      <w:r>
        <w:rPr>
          <w:rFonts w:ascii="Bookman Old Style" w:eastAsia="Bookman Old Style" w:hAnsi="Bookman Old Style" w:cs="Bookman Old Style"/>
          <w:color w:val="000000"/>
        </w:rPr>
        <w:t xml:space="preserve"> inscrito en la base de datos del Ministerio de Relaciones Exteriores los siguientes:</w:t>
      </w:r>
    </w:p>
    <w:p w14:paraId="0000004E" w14:textId="77777777" w:rsidR="00F0788F" w:rsidRDefault="00F0788F">
      <w:pPr>
        <w:spacing w:after="0" w:line="240" w:lineRule="auto"/>
        <w:jc w:val="both"/>
        <w:rPr>
          <w:rFonts w:ascii="Bookman Old Style" w:eastAsia="Bookman Old Style" w:hAnsi="Bookman Old Style" w:cs="Bookman Old Style"/>
          <w:color w:val="000000"/>
        </w:rPr>
      </w:pPr>
    </w:p>
    <w:p w14:paraId="0000004F" w14:textId="77777777" w:rsidR="00F0788F" w:rsidRDefault="00B32145">
      <w:pPr>
        <w:numPr>
          <w:ilvl w:val="0"/>
          <w:numId w:val="6"/>
        </w:numPr>
        <w:spacing w:after="0" w:line="240" w:lineRule="auto"/>
        <w:ind w:left="566"/>
        <w:jc w:val="both"/>
        <w:rPr>
          <w:rFonts w:ascii="Bookman Old Style" w:eastAsia="Bookman Old Style" w:hAnsi="Bookman Old Style" w:cs="Bookman Old Style"/>
        </w:rPr>
      </w:pPr>
      <w:r>
        <w:rPr>
          <w:rFonts w:ascii="Bookman Old Style" w:eastAsia="Bookman Old Style" w:hAnsi="Bookman Old Style" w:cs="Bookman Old Style"/>
          <w:color w:val="000000"/>
        </w:rPr>
        <w:t xml:space="preserve">Respetar y hacer respetar todas las disposiciones legales y reglamentarias que </w:t>
      </w:r>
      <w:r>
        <w:rPr>
          <w:rFonts w:ascii="Bookman Old Style" w:eastAsia="Bookman Old Style" w:hAnsi="Bookman Old Style" w:cs="Bookman Old Style"/>
        </w:rPr>
        <w:t>incidan</w:t>
      </w:r>
      <w:r>
        <w:rPr>
          <w:rFonts w:ascii="Bookman Old Style" w:eastAsia="Bookman Old Style" w:hAnsi="Bookman Old Style" w:cs="Bookman Old Style"/>
          <w:color w:val="000000"/>
        </w:rPr>
        <w:t xml:space="preserve"> en actos de esta actividad.</w:t>
      </w:r>
    </w:p>
    <w:p w14:paraId="00000050" w14:textId="77777777" w:rsidR="00F0788F" w:rsidRDefault="00B32145">
      <w:pPr>
        <w:numPr>
          <w:ilvl w:val="0"/>
          <w:numId w:val="6"/>
        </w:numPr>
        <w:spacing w:after="0" w:line="240" w:lineRule="auto"/>
        <w:ind w:left="566"/>
        <w:jc w:val="both"/>
        <w:rPr>
          <w:rFonts w:ascii="Bookman Old Style" w:eastAsia="Bookman Old Style" w:hAnsi="Bookman Old Style" w:cs="Bookman Old Style"/>
        </w:rPr>
      </w:pPr>
      <w:r>
        <w:rPr>
          <w:rFonts w:ascii="Bookman Old Style" w:eastAsia="Bookman Old Style" w:hAnsi="Bookman Old Style" w:cs="Bookman Old Style"/>
          <w:color w:val="000000"/>
        </w:rPr>
        <w:t>Velar por el prestigio de esta actividad.</w:t>
      </w:r>
    </w:p>
    <w:p w14:paraId="00000051" w14:textId="77777777" w:rsidR="00F0788F" w:rsidRDefault="00B32145">
      <w:pPr>
        <w:numPr>
          <w:ilvl w:val="0"/>
          <w:numId w:val="6"/>
        </w:numPr>
        <w:spacing w:after="0" w:line="240" w:lineRule="auto"/>
        <w:ind w:left="566"/>
        <w:jc w:val="both"/>
        <w:rPr>
          <w:rFonts w:ascii="Bookman Old Style" w:eastAsia="Bookman Old Style" w:hAnsi="Bookman Old Style" w:cs="Bookman Old Style"/>
        </w:rPr>
      </w:pPr>
      <w:r>
        <w:rPr>
          <w:rFonts w:ascii="Bookman Old Style" w:eastAsia="Bookman Old Style" w:hAnsi="Bookman Old Style" w:cs="Bookman Old Style"/>
          <w:color w:val="000000"/>
        </w:rPr>
        <w:t>Obrar con la mayor prudencia y diligencia al emitir conceptos sobre las actuaciones de los demás traductores e intérpretes inscritos en la base de datos del Ministerio de Relaciones Exteriores.</w:t>
      </w:r>
    </w:p>
    <w:p w14:paraId="00000052" w14:textId="77777777" w:rsidR="00F0788F" w:rsidRDefault="00B32145">
      <w:pPr>
        <w:numPr>
          <w:ilvl w:val="0"/>
          <w:numId w:val="6"/>
        </w:numPr>
        <w:spacing w:after="0" w:line="240" w:lineRule="auto"/>
        <w:ind w:left="566"/>
        <w:jc w:val="both"/>
        <w:rPr>
          <w:rFonts w:ascii="Bookman Old Style" w:eastAsia="Bookman Old Style" w:hAnsi="Bookman Old Style" w:cs="Bookman Old Style"/>
        </w:rPr>
      </w:pPr>
      <w:r>
        <w:rPr>
          <w:rFonts w:ascii="Bookman Old Style" w:eastAsia="Bookman Old Style" w:hAnsi="Bookman Old Style" w:cs="Bookman Old Style"/>
          <w:color w:val="000000"/>
        </w:rPr>
        <w:t>Respetar y reconocer la propiedad intelectual y los derechos de autor de los demás traductores o intérpretes inscritos en la base de datos del Ministerio de Relaciones Exteriores sobre sus traducciones e interpretaciones.</w:t>
      </w:r>
    </w:p>
    <w:p w14:paraId="00000053" w14:textId="77777777" w:rsidR="00F0788F" w:rsidRDefault="00B32145">
      <w:pPr>
        <w:numPr>
          <w:ilvl w:val="0"/>
          <w:numId w:val="6"/>
        </w:numPr>
        <w:spacing w:after="0" w:line="240" w:lineRule="auto"/>
        <w:ind w:left="566"/>
        <w:jc w:val="both"/>
        <w:rPr>
          <w:rFonts w:ascii="Bookman Old Style" w:eastAsia="Bookman Old Style" w:hAnsi="Bookman Old Style" w:cs="Bookman Old Style"/>
        </w:rPr>
      </w:pPr>
      <w:r>
        <w:rPr>
          <w:rFonts w:ascii="Bookman Old Style" w:eastAsia="Bookman Old Style" w:hAnsi="Bookman Old Style" w:cs="Bookman Old Style"/>
          <w:color w:val="000000"/>
        </w:rPr>
        <w:t>Los demás deberes incluidos en la presente ley y los indicados en todas las normas legales y técnicas relacionadas con el ejercicio de la actividad de traductor e intérprete oficial.</w:t>
      </w:r>
    </w:p>
    <w:p w14:paraId="00000054" w14:textId="77777777" w:rsidR="00F0788F" w:rsidRDefault="00F0788F">
      <w:pPr>
        <w:spacing w:after="0" w:line="240" w:lineRule="auto"/>
        <w:jc w:val="both"/>
        <w:rPr>
          <w:rFonts w:ascii="Bookman Old Style" w:eastAsia="Bookman Old Style" w:hAnsi="Bookman Old Style" w:cs="Bookman Old Style"/>
          <w:color w:val="000000"/>
        </w:rPr>
      </w:pPr>
    </w:p>
    <w:p w14:paraId="00000055" w14:textId="77777777" w:rsidR="00F0788F" w:rsidRDefault="00B32145">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b/>
        </w:rPr>
        <w:t xml:space="preserve">Artículo 10º. Formación. </w:t>
      </w:r>
      <w:r>
        <w:rPr>
          <w:rFonts w:ascii="Bookman Old Style" w:eastAsia="Bookman Old Style" w:hAnsi="Bookman Old Style" w:cs="Bookman Old Style"/>
        </w:rPr>
        <w:t>El Ministerio de Educación Nacional fomentará los programas educativos y de formación en el ámbito de la traducción y la interpretación con miras a profesionalizar el ejercicio de la actividad.</w:t>
      </w:r>
    </w:p>
    <w:p w14:paraId="00000056" w14:textId="77777777" w:rsidR="00F0788F" w:rsidRDefault="00B32145">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11°.</w:t>
      </w:r>
      <w:r>
        <w:rPr>
          <w:rFonts w:ascii="Bookman Old Style" w:eastAsia="Bookman Old Style" w:hAnsi="Bookman Old Style" w:cs="Bookman Old Style"/>
        </w:rPr>
        <w:t xml:space="preserve"> </w:t>
      </w:r>
      <w:r>
        <w:rPr>
          <w:rFonts w:ascii="Bookman Old Style" w:eastAsia="Bookman Old Style" w:hAnsi="Bookman Old Style" w:cs="Bookman Old Style"/>
          <w:b/>
        </w:rPr>
        <w:t>Asociación.</w:t>
      </w:r>
      <w:r>
        <w:rPr>
          <w:rFonts w:ascii="Bookman Old Style" w:eastAsia="Bookman Old Style" w:hAnsi="Bookman Old Style" w:cs="Bookman Old Style"/>
        </w:rPr>
        <w:t xml:space="preserve"> Los intérpretes y traductores oficiales gozan del derecho a la libertad de asociación, para lo cual en el ejercicio de este derecho podrán crear cualquier tipo de entidad asociativa con el ánimo de promover, desarrollar, capacitar, reconocer, dignificar y conducir a la profesionalización de la actividad que ejercen. </w:t>
      </w:r>
    </w:p>
    <w:p w14:paraId="63B679F3" w14:textId="77777777" w:rsidR="00FC7E65" w:rsidRDefault="00FC7E65">
      <w:pPr>
        <w:spacing w:line="240" w:lineRule="auto"/>
        <w:jc w:val="both"/>
        <w:rPr>
          <w:rFonts w:ascii="Bookman Old Style" w:eastAsia="Bookman Old Style" w:hAnsi="Bookman Old Style" w:cs="Bookman Old Style"/>
          <w:b/>
        </w:rPr>
      </w:pPr>
    </w:p>
    <w:p w14:paraId="18635AA3" w14:textId="77777777" w:rsidR="00FC7E65" w:rsidRDefault="00FC7E65">
      <w:pPr>
        <w:spacing w:line="240" w:lineRule="auto"/>
        <w:jc w:val="both"/>
        <w:rPr>
          <w:rFonts w:ascii="Bookman Old Style" w:eastAsia="Bookman Old Style" w:hAnsi="Bookman Old Style" w:cs="Bookman Old Style"/>
          <w:b/>
        </w:rPr>
      </w:pPr>
    </w:p>
    <w:p w14:paraId="21B4CC82" w14:textId="77777777" w:rsidR="00FC7E65" w:rsidRDefault="00FC7E65">
      <w:pPr>
        <w:spacing w:line="240" w:lineRule="auto"/>
        <w:jc w:val="both"/>
        <w:rPr>
          <w:rFonts w:ascii="Bookman Old Style" w:eastAsia="Bookman Old Style" w:hAnsi="Bookman Old Style" w:cs="Bookman Old Style"/>
          <w:b/>
        </w:rPr>
      </w:pPr>
    </w:p>
    <w:p w14:paraId="00000057" w14:textId="3698DF21" w:rsidR="00F0788F" w:rsidRDefault="00B32145">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b/>
        </w:rPr>
        <w:t>Artículo 12°.</w:t>
      </w:r>
      <w:r>
        <w:rPr>
          <w:rFonts w:ascii="Bookman Old Style" w:eastAsia="Bookman Old Style" w:hAnsi="Bookman Old Style" w:cs="Bookman Old Style"/>
        </w:rPr>
        <w:t xml:space="preserve"> Las traducciones o interpretaciones simples podrán realizarse por traductores e intérpretes oficiales, cualquier persona o por sistemas inteligentes computarizados o por algún tipo de máquina. La responsabilidad derivada de emplear sistemas computarizados o máquinas recaerá en quien haya operado la máquina o el sistema.</w:t>
      </w:r>
    </w:p>
    <w:p w14:paraId="00000058" w14:textId="77777777" w:rsidR="00F0788F" w:rsidRDefault="00B32145">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 1.</w:t>
      </w:r>
      <w:r>
        <w:rPr>
          <w:rFonts w:ascii="Bookman Old Style" w:eastAsia="Bookman Old Style" w:hAnsi="Bookman Old Style" w:cs="Bookman Old Style"/>
        </w:rPr>
        <w:t xml:space="preserve"> Cuando una traducción se haya efectuado por estos medios, quien los haya operado, documentará que fue hecha por sistemas computarizados o máquinas, se lo comunicará al usuario y le dará su nombre y la fecha en la que operó el sistema o la máquina para producir la traducción o la interpretación.</w:t>
      </w:r>
    </w:p>
    <w:p w14:paraId="00000059" w14:textId="77777777" w:rsidR="00F0788F" w:rsidRDefault="00B32145">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Parágrafo 2.</w:t>
      </w:r>
      <w:r>
        <w:rPr>
          <w:rFonts w:ascii="Bookman Old Style" w:eastAsia="Bookman Old Style" w:hAnsi="Bookman Old Style" w:cs="Bookman Old Style"/>
        </w:rPr>
        <w:t xml:space="preserve"> Cuando el operador del sistema o de la máquina de traducción o interpretación desee trasladar la responsabilidad sobre el producto, podrá recurrir a un traductor e intérprete oficial quién dará seguridad jurídica, juramentando que lo escrito o expresado es fiel al original adjunto, poniendo su firma y sello y cumpliendo con los requisitos que exige la presente ley. Los cambios que realice el traductor o intérprete oficial prevalecerán sobre la versión de los sistemas computarizados o de las máquinas. </w:t>
      </w:r>
    </w:p>
    <w:p w14:paraId="0000005A" w14:textId="77777777" w:rsidR="00F0788F" w:rsidRDefault="00B32145">
      <w:pPr>
        <w:spacing w:line="240" w:lineRule="auto"/>
        <w:jc w:val="both"/>
        <w:rPr>
          <w:rFonts w:ascii="Bookman Old Style" w:eastAsia="Bookman Old Style" w:hAnsi="Bookman Old Style" w:cs="Bookman Old Style"/>
          <w:color w:val="000000"/>
          <w:highlight w:val="white"/>
        </w:rPr>
      </w:pPr>
      <w:r>
        <w:rPr>
          <w:rFonts w:ascii="Bookman Old Style" w:eastAsia="Bookman Old Style" w:hAnsi="Bookman Old Style" w:cs="Bookman Old Style"/>
          <w:b/>
          <w:color w:val="000000"/>
          <w:highlight w:val="white"/>
        </w:rPr>
        <w:t>Artículo 13°. Auxiliares de la justicia</w:t>
      </w:r>
      <w:r>
        <w:rPr>
          <w:rFonts w:ascii="Bookman Old Style" w:eastAsia="Bookman Old Style" w:hAnsi="Bookman Old Style" w:cs="Bookman Old Style"/>
          <w:color w:val="000000"/>
          <w:highlight w:val="white"/>
        </w:rPr>
        <w:t xml:space="preserve">. Los traductores e intérpretes oficiales debidamente acreditados y registrados de conformidad con esta ley podrán inscribirse como auxiliares de la justicia, para lo cual, el Consejo Superior de la Judicatura, sin perjuicio de los requisitos ya existentes para ello, deberá tener en cuenta lo aquí establecido para la actualización y la conformación de nuevas listas. </w:t>
      </w:r>
    </w:p>
    <w:p w14:paraId="0000005B" w14:textId="77777777" w:rsidR="00F0788F" w:rsidRDefault="00B32145">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b/>
          <w:color w:val="000000"/>
          <w:highlight w:val="white"/>
        </w:rPr>
        <w:t xml:space="preserve">Artículo 14°. </w:t>
      </w:r>
      <w:r>
        <w:rPr>
          <w:rFonts w:ascii="Bookman Old Style" w:eastAsia="Bookman Old Style" w:hAnsi="Bookman Old Style" w:cs="Bookman Old Style"/>
          <w:b/>
        </w:rPr>
        <w:t>Período transitorio.</w:t>
      </w:r>
      <w:r>
        <w:rPr>
          <w:rFonts w:ascii="Bookman Old Style" w:eastAsia="Bookman Old Style" w:hAnsi="Bookman Old Style" w:cs="Bookman Old Style"/>
        </w:rPr>
        <w:t xml:space="preserve"> Se establece un término de (1) año para la inscripción o registro de los traductores e intérpretes oficiales a la base de datos de la que hace mención el artículo 4°, contados a partir de la vigencia de la presente ley. Para estos efectos, podrán seguir ejerciendo la actividad de manera temporal en el plazo establecido, como hasta ahora lo han hecho, con alguno de los documentos señalados en el artículo 5°.</w:t>
      </w:r>
    </w:p>
    <w:p w14:paraId="0000005C" w14:textId="720689B3" w:rsidR="00F0788F" w:rsidRDefault="00B32145">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b/>
          <w:color w:val="000000"/>
          <w:highlight w:val="white"/>
        </w:rPr>
        <w:t>Artículo 15°. Vigencia y derogatorias</w:t>
      </w:r>
      <w:r>
        <w:rPr>
          <w:rFonts w:ascii="Bookman Old Style" w:eastAsia="Bookman Old Style" w:hAnsi="Bookman Old Style" w:cs="Bookman Old Style"/>
          <w:color w:val="000000"/>
          <w:highlight w:val="white"/>
        </w:rPr>
        <w:t>. Esta norma comienza a regir a partir de su promulgación y deroga aquellas que le sean contrarias de forma expresa o tácita.</w:t>
      </w:r>
    </w:p>
    <w:p w14:paraId="12F8793F" w14:textId="24619ABD" w:rsidR="00C43226" w:rsidRDefault="00C43226">
      <w:pPr>
        <w:spacing w:before="240" w:after="240" w:line="240" w:lineRule="auto"/>
        <w:jc w:val="both"/>
        <w:rPr>
          <w:rFonts w:ascii="Bookman Old Style" w:eastAsia="Bookman Old Style" w:hAnsi="Bookman Old Style" w:cs="Bookman Old Style"/>
        </w:rPr>
      </w:pPr>
    </w:p>
    <w:p w14:paraId="0000005D" w14:textId="339BDC91" w:rsidR="00F0788F" w:rsidRDefault="00B32145">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De las Congresistas</w:t>
      </w:r>
      <w:r w:rsidR="00C43226">
        <w:rPr>
          <w:rFonts w:ascii="Bookman Old Style" w:eastAsia="Bookman Old Style" w:hAnsi="Bookman Old Style" w:cs="Bookman Old Style"/>
        </w:rPr>
        <w:t>,</w:t>
      </w:r>
    </w:p>
    <w:p w14:paraId="591AED8E" w14:textId="3D50690F" w:rsidR="00C43226" w:rsidRDefault="00EE17CE" w:rsidP="00EE17CE">
      <w:pPr>
        <w:tabs>
          <w:tab w:val="left" w:pos="5610"/>
        </w:tabs>
        <w:spacing w:before="28" w:after="28"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ab/>
      </w:r>
    </w:p>
    <w:p w14:paraId="3609C548" w14:textId="0924424C" w:rsidR="00C43226" w:rsidRDefault="00C43226" w:rsidP="00C43226">
      <w:pPr>
        <w:tabs>
          <w:tab w:val="left" w:pos="4980"/>
        </w:tabs>
        <w:spacing w:before="28" w:after="28"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_______________________________</w:t>
      </w:r>
      <w:r>
        <w:rPr>
          <w:rFonts w:ascii="Bookman Old Style" w:eastAsia="Bookman Old Style" w:hAnsi="Bookman Old Style" w:cs="Bookman Old Style"/>
          <w:b/>
        </w:rPr>
        <w:tab/>
        <w:t>_________________________________</w:t>
      </w:r>
    </w:p>
    <w:p w14:paraId="00000062" w14:textId="7918588B" w:rsidR="00F0788F" w:rsidRDefault="00B32145">
      <w:pPr>
        <w:spacing w:before="28" w:after="28"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ÁNGELA PATRICIA SANCHEZ                      EMMA CLAUDIA CASTELLANOS</w:t>
      </w:r>
    </w:p>
    <w:p w14:paraId="00000063" w14:textId="77777777" w:rsidR="00F0788F" w:rsidRDefault="00B32145">
      <w:pPr>
        <w:spacing w:line="240" w:lineRule="auto"/>
        <w:rPr>
          <w:rFonts w:ascii="Bookman Old Style" w:eastAsia="Bookman Old Style" w:hAnsi="Bookman Old Style" w:cs="Bookman Old Style"/>
          <w:b/>
        </w:rPr>
      </w:pPr>
      <w:r>
        <w:rPr>
          <w:rFonts w:ascii="Bookman Old Style" w:eastAsia="Bookman Old Style" w:hAnsi="Bookman Old Style" w:cs="Bookman Old Style"/>
        </w:rPr>
        <w:t>Representante a la Cámara                             Senadora de la República</w:t>
      </w:r>
    </w:p>
    <w:p w14:paraId="00000064" w14:textId="77777777" w:rsidR="00F0788F" w:rsidRDefault="00F0788F">
      <w:pPr>
        <w:spacing w:line="240" w:lineRule="auto"/>
        <w:jc w:val="center"/>
        <w:rPr>
          <w:rFonts w:ascii="Bookman Old Style" w:eastAsia="Bookman Old Style" w:hAnsi="Bookman Old Style" w:cs="Bookman Old Style"/>
          <w:b/>
          <w:color w:val="000000"/>
          <w:sz w:val="24"/>
          <w:szCs w:val="24"/>
          <w:highlight w:val="white"/>
        </w:rPr>
      </w:pPr>
    </w:p>
    <w:p w14:paraId="00000065" w14:textId="74C5AAA2" w:rsidR="00F0788F" w:rsidRDefault="00F0788F">
      <w:pPr>
        <w:spacing w:line="240" w:lineRule="auto"/>
        <w:rPr>
          <w:rFonts w:ascii="Bookman Old Style" w:eastAsia="Bookman Old Style" w:hAnsi="Bookman Old Style" w:cs="Bookman Old Style"/>
          <w:b/>
          <w:sz w:val="24"/>
          <w:szCs w:val="24"/>
          <w:highlight w:val="white"/>
        </w:rPr>
      </w:pPr>
    </w:p>
    <w:p w14:paraId="5E2FFDE3" w14:textId="722BE32D" w:rsidR="00FC7E65" w:rsidRDefault="00FC7E65">
      <w:pPr>
        <w:spacing w:line="240" w:lineRule="auto"/>
        <w:rPr>
          <w:rFonts w:ascii="Bookman Old Style" w:eastAsia="Bookman Old Style" w:hAnsi="Bookman Old Style" w:cs="Bookman Old Style"/>
          <w:b/>
          <w:sz w:val="24"/>
          <w:szCs w:val="24"/>
          <w:highlight w:val="white"/>
        </w:rPr>
      </w:pPr>
    </w:p>
    <w:p w14:paraId="18B71CE7" w14:textId="43DC7E98" w:rsidR="00FC7E65" w:rsidRDefault="00FC7E65">
      <w:pPr>
        <w:spacing w:line="240" w:lineRule="auto"/>
        <w:rPr>
          <w:rFonts w:ascii="Bookman Old Style" w:eastAsia="Bookman Old Style" w:hAnsi="Bookman Old Style" w:cs="Bookman Old Style"/>
          <w:b/>
          <w:sz w:val="24"/>
          <w:szCs w:val="24"/>
          <w:highlight w:val="white"/>
        </w:rPr>
      </w:pPr>
    </w:p>
    <w:p w14:paraId="7CF15B4A" w14:textId="77777777" w:rsidR="00FC7E65" w:rsidRDefault="00FC7E65">
      <w:pPr>
        <w:spacing w:line="240" w:lineRule="auto"/>
        <w:rPr>
          <w:rFonts w:ascii="Bookman Old Style" w:eastAsia="Bookman Old Style" w:hAnsi="Bookman Old Style" w:cs="Bookman Old Style"/>
          <w:b/>
          <w:sz w:val="24"/>
          <w:szCs w:val="24"/>
          <w:highlight w:val="white"/>
        </w:rPr>
      </w:pPr>
    </w:p>
    <w:p w14:paraId="00000066" w14:textId="77777777" w:rsidR="00F0788F" w:rsidRDefault="00B32145">
      <w:pPr>
        <w:spacing w:line="240" w:lineRule="auto"/>
        <w:jc w:val="center"/>
        <w:rPr>
          <w:rFonts w:ascii="Bookman Old Style" w:eastAsia="Bookman Old Style" w:hAnsi="Bookman Old Style" w:cs="Bookman Old Style"/>
          <w:b/>
          <w:sz w:val="24"/>
          <w:szCs w:val="24"/>
        </w:rPr>
      </w:pPr>
      <w:r>
        <w:rPr>
          <w:rFonts w:ascii="Bookman Old Style" w:eastAsia="Bookman Old Style" w:hAnsi="Bookman Old Style" w:cs="Bookman Old Style"/>
          <w:b/>
          <w:color w:val="000000"/>
          <w:sz w:val="24"/>
          <w:szCs w:val="24"/>
          <w:highlight w:val="white"/>
        </w:rPr>
        <w:t xml:space="preserve">EXPOSICIÓN </w:t>
      </w:r>
      <w:r>
        <w:rPr>
          <w:rFonts w:ascii="Bookman Old Style" w:eastAsia="Bookman Old Style" w:hAnsi="Bookman Old Style" w:cs="Bookman Old Style"/>
          <w:b/>
          <w:sz w:val="24"/>
          <w:szCs w:val="24"/>
        </w:rPr>
        <w:t>DE MOTIVOS</w:t>
      </w:r>
    </w:p>
    <w:p w14:paraId="00000067" w14:textId="77777777" w:rsidR="00F0788F" w:rsidRDefault="00F0788F">
      <w:pPr>
        <w:spacing w:line="240" w:lineRule="auto"/>
        <w:jc w:val="center"/>
        <w:rPr>
          <w:rFonts w:ascii="Bookman Old Style" w:eastAsia="Bookman Old Style" w:hAnsi="Bookman Old Style" w:cs="Bookman Old Style"/>
          <w:b/>
        </w:rPr>
      </w:pPr>
    </w:p>
    <w:p w14:paraId="00000068" w14:textId="77777777" w:rsidR="00F0788F" w:rsidRDefault="00B32145">
      <w:pPr>
        <w:numPr>
          <w:ilvl w:val="0"/>
          <w:numId w:val="1"/>
        </w:numPr>
        <w:pBdr>
          <w:top w:val="nil"/>
          <w:left w:val="nil"/>
          <w:bottom w:val="nil"/>
          <w:right w:val="nil"/>
          <w:between w:val="nil"/>
        </w:pBdr>
        <w:spacing w:after="0"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OBJETO DEL PROYECTO DE LEY</w:t>
      </w:r>
    </w:p>
    <w:p w14:paraId="00000069" w14:textId="77777777" w:rsidR="00F0788F" w:rsidRDefault="00F0788F">
      <w:pPr>
        <w:spacing w:line="240" w:lineRule="auto"/>
        <w:jc w:val="both"/>
        <w:rPr>
          <w:rFonts w:ascii="Bookman Old Style" w:eastAsia="Bookman Old Style" w:hAnsi="Bookman Old Style" w:cs="Bookman Old Style"/>
        </w:rPr>
      </w:pPr>
      <w:bookmarkStart w:id="3" w:name="_1fob9te" w:colFirst="0" w:colLast="0"/>
      <w:bookmarkEnd w:id="3"/>
    </w:p>
    <w:p w14:paraId="0000006A" w14:textId="77777777" w:rsidR="00F0788F" w:rsidRDefault="00B32145">
      <w:pPr>
        <w:spacing w:line="240" w:lineRule="auto"/>
        <w:jc w:val="both"/>
        <w:rPr>
          <w:rFonts w:ascii="Bookman Old Style" w:eastAsia="Bookman Old Style" w:hAnsi="Bookman Old Style" w:cs="Bookman Old Style"/>
          <w:color w:val="000000"/>
        </w:rPr>
      </w:pPr>
      <w:bookmarkStart w:id="4" w:name="_kh4la19zom6z" w:colFirst="0" w:colLast="0"/>
      <w:bookmarkEnd w:id="4"/>
      <w:r>
        <w:rPr>
          <w:rFonts w:ascii="Bookman Old Style" w:eastAsia="Bookman Old Style" w:hAnsi="Bookman Old Style" w:cs="Bookman Old Style"/>
          <w:color w:val="000000"/>
        </w:rPr>
        <w:t>Esta iniciativa tiene por objeto reconocer y establecer parámetros para el ejercicio de la actividad de los traductores e intérpretes oficiales, delimitar sus responsabilidades y competencias, exaltar su importancia en los trámites y documentos que se realizan en idioma diferente al castellano y otorgar seguridad jurídica a los usuarios a través de la unificación normativa de la actividad de los traductores e intérpretes oficiales.</w:t>
      </w:r>
    </w:p>
    <w:p w14:paraId="0000006B" w14:textId="77777777" w:rsidR="00F0788F" w:rsidRDefault="00F0788F">
      <w:pPr>
        <w:spacing w:line="240" w:lineRule="auto"/>
        <w:jc w:val="both"/>
        <w:rPr>
          <w:rFonts w:ascii="Bookman Old Style" w:eastAsia="Bookman Old Style" w:hAnsi="Bookman Old Style" w:cs="Bookman Old Style"/>
          <w:color w:val="000000"/>
        </w:rPr>
      </w:pPr>
    </w:p>
    <w:p w14:paraId="0000006C" w14:textId="77777777" w:rsidR="00F0788F" w:rsidRDefault="00B32145">
      <w:pPr>
        <w:numPr>
          <w:ilvl w:val="0"/>
          <w:numId w:val="1"/>
        </w:numPr>
        <w:pBdr>
          <w:top w:val="nil"/>
          <w:left w:val="nil"/>
          <w:bottom w:val="nil"/>
          <w:right w:val="nil"/>
          <w:between w:val="nil"/>
        </w:pBdr>
        <w:spacing w:after="0"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MARCO O FUNDAMENTO JURÍDICO</w:t>
      </w:r>
    </w:p>
    <w:p w14:paraId="0000006D" w14:textId="77777777" w:rsidR="00F0788F" w:rsidRDefault="00F0788F">
      <w:pPr>
        <w:spacing w:line="240" w:lineRule="auto"/>
        <w:jc w:val="both"/>
        <w:rPr>
          <w:rFonts w:ascii="Bookman Old Style" w:eastAsia="Bookman Old Style" w:hAnsi="Bookman Old Style" w:cs="Bookman Old Style"/>
          <w:color w:val="000000"/>
          <w:sz w:val="24"/>
          <w:szCs w:val="24"/>
        </w:rPr>
      </w:pPr>
    </w:p>
    <w:p w14:paraId="0000006E" w14:textId="77777777" w:rsidR="00F0788F" w:rsidRDefault="00B32145">
      <w:pPr>
        <w:spacing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 continuación se relacionan algunos textos jurídicos en concordancia con el objeto de la iniciativa:</w:t>
      </w:r>
    </w:p>
    <w:p w14:paraId="0000006F" w14:textId="77777777" w:rsidR="00F0788F" w:rsidRDefault="00B32145">
      <w:pPr>
        <w:spacing w:line="240" w:lineRule="auto"/>
        <w:jc w:val="both"/>
        <w:rPr>
          <w:rFonts w:ascii="Bookman Old Style" w:eastAsia="Bookman Old Style" w:hAnsi="Bookman Old Style" w:cs="Bookman Old Style"/>
          <w:b/>
          <w:color w:val="000000"/>
          <w:sz w:val="24"/>
          <w:szCs w:val="24"/>
        </w:rPr>
      </w:pPr>
      <w:r>
        <w:rPr>
          <w:rFonts w:ascii="Bookman Old Style" w:eastAsia="Bookman Old Style" w:hAnsi="Bookman Old Style" w:cs="Bookman Old Style"/>
          <w:b/>
          <w:color w:val="000000"/>
          <w:sz w:val="24"/>
          <w:szCs w:val="24"/>
        </w:rPr>
        <w:t xml:space="preserve">Normas Internacionales </w:t>
      </w:r>
    </w:p>
    <w:p w14:paraId="00000070" w14:textId="77777777" w:rsidR="00F0788F" w:rsidRDefault="00B32145">
      <w:pPr>
        <w:numPr>
          <w:ilvl w:val="0"/>
          <w:numId w:val="3"/>
        </w:numPr>
        <w:pBdr>
          <w:top w:val="nil"/>
          <w:left w:val="nil"/>
          <w:bottom w:val="nil"/>
          <w:right w:val="nil"/>
          <w:between w:val="nil"/>
        </w:pBdr>
        <w:spacing w:after="0" w:line="240" w:lineRule="auto"/>
        <w:jc w:val="both"/>
        <w:rPr>
          <w:color w:val="000000"/>
          <w:sz w:val="24"/>
          <w:szCs w:val="24"/>
        </w:rPr>
      </w:pPr>
      <w:r>
        <w:rPr>
          <w:rFonts w:ascii="Bookman Old Style" w:eastAsia="Bookman Old Style" w:hAnsi="Bookman Old Style" w:cs="Bookman Old Style"/>
          <w:color w:val="000000"/>
          <w:sz w:val="24"/>
          <w:szCs w:val="24"/>
        </w:rPr>
        <w:t>Declaración Universal de Derechos Humanos, 10 de diciembre de 1948.</w:t>
      </w:r>
    </w:p>
    <w:p w14:paraId="00000071" w14:textId="77777777" w:rsidR="00F0788F" w:rsidRDefault="00B32145">
      <w:pPr>
        <w:numPr>
          <w:ilvl w:val="0"/>
          <w:numId w:val="3"/>
        </w:numPr>
        <w:pBdr>
          <w:top w:val="nil"/>
          <w:left w:val="nil"/>
          <w:bottom w:val="nil"/>
          <w:right w:val="nil"/>
          <w:between w:val="nil"/>
        </w:pBdr>
        <w:spacing w:after="0" w:line="240" w:lineRule="auto"/>
        <w:jc w:val="both"/>
        <w:rPr>
          <w:color w:val="000000"/>
          <w:sz w:val="24"/>
          <w:szCs w:val="24"/>
        </w:rPr>
      </w:pPr>
      <w:r>
        <w:rPr>
          <w:rFonts w:ascii="Bookman Old Style" w:eastAsia="Bookman Old Style" w:hAnsi="Bookman Old Style" w:cs="Bookman Old Style"/>
          <w:color w:val="000000"/>
          <w:sz w:val="24"/>
          <w:szCs w:val="24"/>
        </w:rPr>
        <w:t xml:space="preserve">Convenio de la OIT relativo a la Discriminación en Materia de Empleo y Ocupación, 1958 (N° 111). </w:t>
      </w:r>
    </w:p>
    <w:p w14:paraId="00000072" w14:textId="77777777" w:rsidR="00F0788F" w:rsidRDefault="00B32145">
      <w:pPr>
        <w:numPr>
          <w:ilvl w:val="0"/>
          <w:numId w:val="3"/>
        </w:numPr>
        <w:pBdr>
          <w:top w:val="nil"/>
          <w:left w:val="nil"/>
          <w:bottom w:val="nil"/>
          <w:right w:val="nil"/>
          <w:between w:val="nil"/>
        </w:pBdr>
        <w:spacing w:after="0" w:line="240" w:lineRule="auto"/>
        <w:jc w:val="both"/>
        <w:rPr>
          <w:color w:val="000000"/>
          <w:sz w:val="24"/>
          <w:szCs w:val="24"/>
        </w:rPr>
      </w:pPr>
      <w:r>
        <w:rPr>
          <w:rFonts w:ascii="Bookman Old Style" w:eastAsia="Bookman Old Style" w:hAnsi="Bookman Old Style" w:cs="Bookman Old Style"/>
          <w:color w:val="000000"/>
          <w:sz w:val="24"/>
          <w:szCs w:val="24"/>
        </w:rPr>
        <w:t xml:space="preserve">Convención de la UNESCO relativa a la Lucha contra las Discriminaciones en la Esfera de la Enseñanza, 14 de diciembre de 1960. </w:t>
      </w:r>
    </w:p>
    <w:p w14:paraId="00000073" w14:textId="77777777" w:rsidR="00F0788F" w:rsidRDefault="00B32145">
      <w:pPr>
        <w:numPr>
          <w:ilvl w:val="0"/>
          <w:numId w:val="3"/>
        </w:numPr>
        <w:pBdr>
          <w:top w:val="nil"/>
          <w:left w:val="nil"/>
          <w:bottom w:val="nil"/>
          <w:right w:val="nil"/>
          <w:between w:val="nil"/>
        </w:pBdr>
        <w:spacing w:after="0" w:line="240" w:lineRule="auto"/>
        <w:jc w:val="both"/>
        <w:rPr>
          <w:color w:val="000000"/>
          <w:sz w:val="24"/>
          <w:szCs w:val="24"/>
        </w:rPr>
      </w:pPr>
      <w:r>
        <w:rPr>
          <w:rFonts w:ascii="Bookman Old Style" w:eastAsia="Bookman Old Style" w:hAnsi="Bookman Old Style" w:cs="Bookman Old Style"/>
          <w:color w:val="000000"/>
          <w:sz w:val="24"/>
          <w:szCs w:val="24"/>
        </w:rPr>
        <w:t>Convenio de La Haya de 5 de octubre de 1961 Suprimiendo la Exigencia de Legalización de los Documentos Públicos Extranjeros.</w:t>
      </w:r>
    </w:p>
    <w:p w14:paraId="00000074" w14:textId="77777777" w:rsidR="00F0788F" w:rsidRDefault="00F0788F">
      <w:pPr>
        <w:spacing w:line="240" w:lineRule="auto"/>
        <w:jc w:val="both"/>
        <w:rPr>
          <w:rFonts w:ascii="Bookman Old Style" w:eastAsia="Bookman Old Style" w:hAnsi="Bookman Old Style" w:cs="Bookman Old Style"/>
          <w:color w:val="000000"/>
          <w:sz w:val="24"/>
          <w:szCs w:val="24"/>
        </w:rPr>
      </w:pPr>
    </w:p>
    <w:p w14:paraId="00000075" w14:textId="77777777" w:rsidR="00F0788F" w:rsidRDefault="00B32145">
      <w:pPr>
        <w:spacing w:line="240" w:lineRule="auto"/>
        <w:jc w:val="both"/>
        <w:rPr>
          <w:rFonts w:ascii="Bookman Old Style" w:eastAsia="Bookman Old Style" w:hAnsi="Bookman Old Style" w:cs="Bookman Old Style"/>
          <w:b/>
          <w:color w:val="000000"/>
          <w:sz w:val="24"/>
          <w:szCs w:val="24"/>
        </w:rPr>
      </w:pPr>
      <w:r>
        <w:rPr>
          <w:rFonts w:ascii="Bookman Old Style" w:eastAsia="Bookman Old Style" w:hAnsi="Bookman Old Style" w:cs="Bookman Old Style"/>
          <w:b/>
          <w:color w:val="000000"/>
          <w:sz w:val="24"/>
          <w:szCs w:val="24"/>
        </w:rPr>
        <w:t xml:space="preserve">Normas Nacionales </w:t>
      </w:r>
    </w:p>
    <w:p w14:paraId="00000076" w14:textId="77777777" w:rsidR="00F0788F" w:rsidRDefault="00B32145">
      <w:pPr>
        <w:numPr>
          <w:ilvl w:val="0"/>
          <w:numId w:val="5"/>
        </w:numPr>
        <w:pBdr>
          <w:top w:val="nil"/>
          <w:left w:val="nil"/>
          <w:bottom w:val="nil"/>
          <w:right w:val="nil"/>
          <w:between w:val="nil"/>
        </w:pBdr>
        <w:spacing w:after="0" w:line="240" w:lineRule="auto"/>
        <w:jc w:val="both"/>
        <w:rPr>
          <w:color w:val="000000"/>
          <w:sz w:val="24"/>
          <w:szCs w:val="24"/>
        </w:rPr>
      </w:pPr>
      <w:r>
        <w:rPr>
          <w:rFonts w:ascii="Bookman Old Style" w:eastAsia="Bookman Old Style" w:hAnsi="Bookman Old Style" w:cs="Bookman Old Style"/>
          <w:b/>
          <w:color w:val="000000"/>
          <w:sz w:val="24"/>
          <w:szCs w:val="24"/>
        </w:rPr>
        <w:t>Constitución Política</w:t>
      </w:r>
      <w:r>
        <w:rPr>
          <w:rFonts w:ascii="Bookman Old Style" w:eastAsia="Bookman Old Style" w:hAnsi="Bookman Old Style" w:cs="Bookman Old Style"/>
          <w:color w:val="000000"/>
          <w:sz w:val="24"/>
          <w:szCs w:val="24"/>
        </w:rPr>
        <w:t xml:space="preserve"> </w:t>
      </w:r>
    </w:p>
    <w:p w14:paraId="00000077" w14:textId="77777777" w:rsidR="00F0788F" w:rsidRDefault="00F0788F">
      <w:pPr>
        <w:pBdr>
          <w:top w:val="nil"/>
          <w:left w:val="nil"/>
          <w:bottom w:val="nil"/>
          <w:right w:val="nil"/>
          <w:between w:val="nil"/>
        </w:pBdr>
        <w:spacing w:after="0" w:line="240" w:lineRule="auto"/>
        <w:ind w:left="720"/>
        <w:jc w:val="both"/>
        <w:rPr>
          <w:rFonts w:ascii="Bookman Old Style" w:eastAsia="Bookman Old Style" w:hAnsi="Bookman Old Style" w:cs="Bookman Old Style"/>
          <w:color w:val="000000"/>
          <w:sz w:val="24"/>
          <w:szCs w:val="24"/>
        </w:rPr>
      </w:pPr>
    </w:p>
    <w:p w14:paraId="00000078" w14:textId="77777777" w:rsidR="00F0788F" w:rsidRDefault="00B32145">
      <w:pPr>
        <w:spacing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 xml:space="preserve">Artículo 16. </w:t>
      </w:r>
      <w:r>
        <w:rPr>
          <w:rFonts w:ascii="Bookman Old Style" w:eastAsia="Bookman Old Style" w:hAnsi="Bookman Old Style" w:cs="Bookman Old Style"/>
          <w:sz w:val="24"/>
          <w:szCs w:val="24"/>
        </w:rPr>
        <w:t>Todas las personas tienen derecho al libre desarrollo de su personalidad sin más limitaciones que las que imponen los derechos de los demás y el orden jurídico.</w:t>
      </w:r>
    </w:p>
    <w:p w14:paraId="00000079" w14:textId="77777777" w:rsidR="00F0788F" w:rsidRDefault="00B32145">
      <w:pP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 xml:space="preserve">Artículo 26. </w:t>
      </w:r>
      <w:r>
        <w:rPr>
          <w:rFonts w:ascii="Bookman Old Style" w:eastAsia="Bookman Old Style" w:hAnsi="Bookman Old Style" w:cs="Bookman Old Style"/>
          <w:sz w:val="24"/>
          <w:szCs w:val="24"/>
        </w:rPr>
        <w:t xml:space="preserve">Toda persona es libre de escoger profesión u oficio. La ley podrá exigir títulos de idoneidad. Las autoridades competentes inspeccionaran y vigilaran el ejercicio de las profesiones. Las ocupaciones, artes y oficios que no exijan formación académica son de libre ejercicio, salvo aquellas que impliquen un riesgo social. </w:t>
      </w:r>
    </w:p>
    <w:p w14:paraId="367699E5" w14:textId="77777777" w:rsidR="00FC7E65" w:rsidRDefault="00FC7E65">
      <w:pPr>
        <w:spacing w:line="240" w:lineRule="auto"/>
        <w:jc w:val="both"/>
        <w:rPr>
          <w:rFonts w:ascii="Bookman Old Style" w:eastAsia="Bookman Old Style" w:hAnsi="Bookman Old Style" w:cs="Bookman Old Style"/>
          <w:sz w:val="24"/>
          <w:szCs w:val="24"/>
        </w:rPr>
      </w:pPr>
    </w:p>
    <w:p w14:paraId="11AAE480" w14:textId="77777777" w:rsidR="00C43226" w:rsidRDefault="00C43226">
      <w:pPr>
        <w:spacing w:line="240" w:lineRule="auto"/>
        <w:jc w:val="both"/>
        <w:rPr>
          <w:rFonts w:ascii="Bookman Old Style" w:eastAsia="Bookman Old Style" w:hAnsi="Bookman Old Style" w:cs="Bookman Old Style"/>
          <w:sz w:val="24"/>
          <w:szCs w:val="24"/>
        </w:rPr>
      </w:pPr>
    </w:p>
    <w:p w14:paraId="0000007A" w14:textId="6E5A1A2B" w:rsidR="00F0788F" w:rsidRDefault="00B32145">
      <w:pP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Las profesiones legalmente reconocidas pueden organizarse en colegios. La estructura interna y el funcionamiento de estos deberán ser democráticos. La ley podrá asignarles funciones públicas y establecer los debidos controles.</w:t>
      </w:r>
    </w:p>
    <w:p w14:paraId="0000007B" w14:textId="77777777" w:rsidR="00F0788F" w:rsidRDefault="00B32145">
      <w:pPr>
        <w:spacing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 xml:space="preserve">Artículo 38. </w:t>
      </w:r>
      <w:r>
        <w:rPr>
          <w:rFonts w:ascii="Bookman Old Style" w:eastAsia="Bookman Old Style" w:hAnsi="Bookman Old Style" w:cs="Bookman Old Style"/>
          <w:sz w:val="24"/>
          <w:szCs w:val="24"/>
        </w:rPr>
        <w:t>Se garantiza el derecho de libre asociación para el desarrollo de las distintas actividades que las personas realizan en sociedad.</w:t>
      </w:r>
    </w:p>
    <w:p w14:paraId="0000007C" w14:textId="77777777" w:rsidR="00F0788F" w:rsidRDefault="00B32145">
      <w:pP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Artículo 53.</w:t>
      </w:r>
      <w:r>
        <w:rPr>
          <w:rFonts w:ascii="Bookman Old Style" w:eastAsia="Bookman Old Style" w:hAnsi="Bookman Old Style" w:cs="Bookman Old Style"/>
          <w:sz w:val="24"/>
          <w:szCs w:val="24"/>
        </w:rPr>
        <w:t xml:space="preserve"> El Congreso expedirá el estatuto del trabajo. La ley correspondiente tendrá en cuenta por lo menos los siguientes principios mínimos fundamentales: Igualdad de oportunidades para los trabajadores; remuneración mínima vital y móvil, proporcional a la cantidad y calidad de trabajo; estabilidad en el empleo; irrenunciabilidad a los beneficios mínimos establecidos en normas laborales; facultades para transigir y conciliar sobre derechos inciertos y discutibles; situación más favorable al trabajador en caso de duda en la aplicación e interpretación de las fuentes formales de derecho; primacía de la realidad sobre formalidades establecidas por los sujetos de las relaciones laborales; garantía a la seguridad social, la capacitación, el adiestramiento y el descanso necesario; protección especial a la mujer, a la maternidad y al trabajador menor de edad. El estado garantiza el derecho al pago oportuno y al reajuste periódico de las pensiones legales. Los convenios internacionales del trabajo debidamente ratificados, hacen parte de la legislación interna. La ley, los contratos, los acuerdos y convenios de trabajo, no pueden menoscabar la libertad, la dignidad humana ni los derechos de los trabajadores.</w:t>
      </w:r>
    </w:p>
    <w:p w14:paraId="0000007D" w14:textId="77777777" w:rsidR="00F0788F" w:rsidRDefault="00B32145">
      <w:pPr>
        <w:spacing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Artículo 54.</w:t>
      </w:r>
      <w:r>
        <w:rPr>
          <w:rFonts w:ascii="Bookman Old Style" w:eastAsia="Bookman Old Style" w:hAnsi="Bookman Old Style" w:cs="Bookman Old Style"/>
          <w:sz w:val="24"/>
          <w:szCs w:val="24"/>
        </w:rPr>
        <w:t xml:space="preserve"> Es obligación del Estado y de los empleadores ofrecer formación y habilitación profesional y técnica a quienes lo requieran. El Estado debe propiciar la ubicación laboral de las personas en edad de trabajar y garantizar a los minusválidos el derecho a un trabajo acorde con sus condiciones de salud.</w:t>
      </w:r>
    </w:p>
    <w:p w14:paraId="0000007E" w14:textId="77777777" w:rsidR="00F0788F" w:rsidRDefault="00B32145">
      <w:pPr>
        <w:numPr>
          <w:ilvl w:val="0"/>
          <w:numId w:val="2"/>
        </w:numPr>
        <w:pBdr>
          <w:top w:val="nil"/>
          <w:left w:val="nil"/>
          <w:bottom w:val="nil"/>
          <w:right w:val="nil"/>
          <w:between w:val="nil"/>
        </w:pBdr>
        <w:spacing w:after="0" w:line="240" w:lineRule="auto"/>
        <w:jc w:val="both"/>
        <w:rPr>
          <w:rFonts w:ascii="Bookman Old Style" w:eastAsia="Bookman Old Style" w:hAnsi="Bookman Old Style" w:cs="Bookman Old Style"/>
          <w:b/>
          <w:color w:val="000000"/>
          <w:sz w:val="24"/>
          <w:szCs w:val="24"/>
        </w:rPr>
      </w:pPr>
      <w:r>
        <w:rPr>
          <w:rFonts w:ascii="Bookman Old Style" w:eastAsia="Bookman Old Style" w:hAnsi="Bookman Old Style" w:cs="Bookman Old Style"/>
          <w:b/>
          <w:color w:val="000000"/>
          <w:sz w:val="24"/>
          <w:szCs w:val="24"/>
        </w:rPr>
        <w:t>Leyes</w:t>
      </w:r>
    </w:p>
    <w:p w14:paraId="0000007F" w14:textId="77777777" w:rsidR="00F0788F" w:rsidRDefault="00F0788F">
      <w:pPr>
        <w:pBdr>
          <w:top w:val="nil"/>
          <w:left w:val="nil"/>
          <w:bottom w:val="nil"/>
          <w:right w:val="nil"/>
          <w:between w:val="nil"/>
        </w:pBdr>
        <w:spacing w:after="0" w:line="240" w:lineRule="auto"/>
        <w:ind w:left="720"/>
        <w:jc w:val="both"/>
        <w:rPr>
          <w:rFonts w:ascii="Bookman Old Style" w:eastAsia="Bookman Old Style" w:hAnsi="Bookman Old Style" w:cs="Bookman Old Style"/>
          <w:color w:val="000000"/>
          <w:sz w:val="24"/>
          <w:szCs w:val="24"/>
        </w:rPr>
      </w:pPr>
    </w:p>
    <w:p w14:paraId="00000080" w14:textId="77777777" w:rsidR="00F0788F" w:rsidRDefault="00B32145">
      <w:pPr>
        <w:spacing w:line="240" w:lineRule="auto"/>
        <w:jc w:val="both"/>
        <w:rPr>
          <w:rFonts w:ascii="Bookman Old Style" w:eastAsia="Bookman Old Style" w:hAnsi="Bookman Old Style" w:cs="Bookman Old Style"/>
          <w:b/>
          <w:color w:val="000000"/>
          <w:sz w:val="24"/>
          <w:szCs w:val="24"/>
        </w:rPr>
      </w:pPr>
      <w:r>
        <w:rPr>
          <w:rFonts w:ascii="Bookman Old Style" w:eastAsia="Bookman Old Style" w:hAnsi="Bookman Old Style" w:cs="Bookman Old Style"/>
          <w:b/>
          <w:color w:val="000000"/>
          <w:sz w:val="24"/>
          <w:szCs w:val="24"/>
        </w:rPr>
        <w:t xml:space="preserve">Ley 455 de 1998 </w:t>
      </w:r>
      <w:r>
        <w:rPr>
          <w:rFonts w:ascii="Bookman Old Style" w:eastAsia="Bookman Old Style" w:hAnsi="Bookman Old Style" w:cs="Bookman Old Style"/>
          <w:color w:val="000000"/>
          <w:sz w:val="24"/>
          <w:szCs w:val="24"/>
        </w:rPr>
        <w:t>“Por medio de la cual se aprueba la “Convención sobre la abolición del requisito de legalización para documentos públicos extranjeros”, suscrita en La Haya el 5 de octubre de 1961.”</w:t>
      </w:r>
    </w:p>
    <w:p w14:paraId="00000081" w14:textId="77777777" w:rsidR="00F0788F" w:rsidRDefault="00B32145">
      <w:pPr>
        <w:spacing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Ley 962 de 2005</w:t>
      </w:r>
      <w:r>
        <w:rPr>
          <w:rFonts w:ascii="Bookman Old Style" w:eastAsia="Bookman Old Style" w:hAnsi="Bookman Old Style" w:cs="Bookman Old Style"/>
          <w:color w:val="000000"/>
          <w:sz w:val="24"/>
          <w:szCs w:val="24"/>
        </w:rPr>
        <w:t xml:space="preserve"> “Por la cual se dictan disposiciones sobre racionalización de trámites y procedimientos administrativos de los organismos y entidades del Estado y de los particulares que ejercen funciones públicas o prestan servicios públicos.”</w:t>
      </w:r>
    </w:p>
    <w:p w14:paraId="0CD727C7" w14:textId="77777777" w:rsidR="00FC7E65" w:rsidRDefault="00FC7E65">
      <w:pPr>
        <w:spacing w:line="240" w:lineRule="auto"/>
        <w:jc w:val="both"/>
        <w:rPr>
          <w:rFonts w:ascii="Bookman Old Style" w:eastAsia="Bookman Old Style" w:hAnsi="Bookman Old Style" w:cs="Bookman Old Style"/>
          <w:b/>
          <w:color w:val="000000"/>
          <w:sz w:val="24"/>
          <w:szCs w:val="24"/>
        </w:rPr>
      </w:pPr>
    </w:p>
    <w:p w14:paraId="51B6C8D9" w14:textId="77777777" w:rsidR="00FC7E65" w:rsidRDefault="00FC7E65">
      <w:pPr>
        <w:spacing w:line="240" w:lineRule="auto"/>
        <w:jc w:val="both"/>
        <w:rPr>
          <w:rFonts w:ascii="Bookman Old Style" w:eastAsia="Bookman Old Style" w:hAnsi="Bookman Old Style" w:cs="Bookman Old Style"/>
          <w:b/>
          <w:color w:val="000000"/>
          <w:sz w:val="24"/>
          <w:szCs w:val="24"/>
        </w:rPr>
      </w:pPr>
    </w:p>
    <w:p w14:paraId="0748371A" w14:textId="77777777" w:rsidR="00FC7E65" w:rsidRDefault="00FC7E65">
      <w:pPr>
        <w:spacing w:line="240" w:lineRule="auto"/>
        <w:jc w:val="both"/>
        <w:rPr>
          <w:rFonts w:ascii="Bookman Old Style" w:eastAsia="Bookman Old Style" w:hAnsi="Bookman Old Style" w:cs="Bookman Old Style"/>
          <w:b/>
          <w:color w:val="000000"/>
          <w:sz w:val="24"/>
          <w:szCs w:val="24"/>
        </w:rPr>
      </w:pPr>
    </w:p>
    <w:p w14:paraId="38820081" w14:textId="77777777" w:rsidR="00C43226" w:rsidRDefault="00C43226">
      <w:pPr>
        <w:spacing w:line="240" w:lineRule="auto"/>
        <w:jc w:val="both"/>
        <w:rPr>
          <w:rFonts w:ascii="Bookman Old Style" w:eastAsia="Bookman Old Style" w:hAnsi="Bookman Old Style" w:cs="Bookman Old Style"/>
          <w:b/>
          <w:color w:val="000000"/>
          <w:sz w:val="24"/>
          <w:szCs w:val="24"/>
        </w:rPr>
      </w:pPr>
    </w:p>
    <w:p w14:paraId="00000082" w14:textId="42E078AB" w:rsidR="00F0788F" w:rsidRDefault="00B32145">
      <w:pPr>
        <w:spacing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ARTÍCULO 33. EXAMEN PARA EL EJERCICIO DEL OFICIO DE TRADUCTOR E INTÉRPRETE OFICIAL.</w:t>
      </w:r>
      <w:r>
        <w:rPr>
          <w:rFonts w:ascii="Bookman Old Style" w:eastAsia="Bookman Old Style" w:hAnsi="Bookman Old Style" w:cs="Bookman Old Style"/>
          <w:color w:val="000000"/>
          <w:sz w:val="24"/>
          <w:szCs w:val="24"/>
        </w:rPr>
        <w:t xml:space="preserve"> Modifíquese el artículo 4° del</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color w:val="000000"/>
          <w:sz w:val="24"/>
          <w:szCs w:val="24"/>
        </w:rPr>
        <w:t>Decreto 382 de 1951, el cual quedará así:</w:t>
      </w:r>
    </w:p>
    <w:p w14:paraId="00000083" w14:textId="77777777" w:rsidR="00F0788F" w:rsidRDefault="00B32145">
      <w:pPr>
        <w:spacing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"Artículo 4o. Examen para el ejercicio del oficio de traductor e intérprete oficial. Toda persona que aspire a desempeñar el oficio de Traductor e Intérprete Oficial deberá aprobar los exámenes que sobre la materia dispongan las universidades públicas y privadas que cuenten con facultad de idiomas debidamente acreditadas y reconocida por el ICFES o la entidad que tenga a cargo tal reconocimiento.</w:t>
      </w:r>
    </w:p>
    <w:p w14:paraId="00000084" w14:textId="77777777" w:rsidR="00F0788F" w:rsidRDefault="00B32145">
      <w:pPr>
        <w:spacing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documento que expidan las Universidades en que conste la aprobación del examen correspondiente, esto es, la idoneidad para el ejercicio del oficio, constituye licencia para desempeñarse como traductor e intérprete oficial.</w:t>
      </w:r>
    </w:p>
    <w:p w14:paraId="00000085" w14:textId="77777777" w:rsidR="00F0788F" w:rsidRDefault="00B32145">
      <w:pPr>
        <w:spacing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PARÁGRAFO. Las licencias expedidas con anterioridad a la entrada en vigencia de la presente ley continuarán vigentes.</w:t>
      </w:r>
    </w:p>
    <w:p w14:paraId="00000086" w14:textId="77777777" w:rsidR="00F0788F" w:rsidRDefault="00B32145">
      <w:pPr>
        <w:spacing w:line="240" w:lineRule="auto"/>
        <w:jc w:val="both"/>
        <w:rPr>
          <w:rFonts w:ascii="Bookman Old Style" w:eastAsia="Bookman Old Style" w:hAnsi="Bookman Old Style" w:cs="Bookman Old Style"/>
          <w:b/>
          <w:color w:val="000000"/>
          <w:sz w:val="24"/>
          <w:szCs w:val="24"/>
        </w:rPr>
      </w:pPr>
      <w:r>
        <w:rPr>
          <w:rFonts w:ascii="Bookman Old Style" w:eastAsia="Bookman Old Style" w:hAnsi="Bookman Old Style" w:cs="Bookman Old Style"/>
          <w:color w:val="000000"/>
          <w:sz w:val="24"/>
          <w:szCs w:val="24"/>
        </w:rPr>
        <w:t>Quienes a la fecha de entrada en vigencia de la presente ley hayan aprobado el examen para acreditar la calidad de Traductor o Intérprete Oficial, y no hayan solicitado la licencia respectiva ante el Ministerio del Interior y de Justicia, se regirán por lo establecido en la presente ley."</w:t>
      </w:r>
    </w:p>
    <w:p w14:paraId="00000087" w14:textId="77777777" w:rsidR="00F0788F" w:rsidRDefault="00B32145">
      <w:pPr>
        <w:numPr>
          <w:ilvl w:val="0"/>
          <w:numId w:val="4"/>
        </w:numPr>
        <w:spacing w:after="0" w:line="240" w:lineRule="auto"/>
        <w:jc w:val="both"/>
        <w:rPr>
          <w:rFonts w:ascii="Bookman Old Style" w:eastAsia="Bookman Old Style" w:hAnsi="Bookman Old Style" w:cs="Bookman Old Style"/>
          <w:b/>
          <w:color w:val="000000"/>
          <w:sz w:val="24"/>
          <w:szCs w:val="24"/>
        </w:rPr>
      </w:pPr>
      <w:r>
        <w:rPr>
          <w:rFonts w:ascii="Bookman Old Style" w:eastAsia="Bookman Old Style" w:hAnsi="Bookman Old Style" w:cs="Bookman Old Style"/>
          <w:b/>
          <w:color w:val="000000"/>
          <w:sz w:val="24"/>
          <w:szCs w:val="24"/>
        </w:rPr>
        <w:t xml:space="preserve">Decretos </w:t>
      </w:r>
    </w:p>
    <w:p w14:paraId="00000088" w14:textId="77777777" w:rsidR="00F0788F" w:rsidRDefault="00F0788F">
      <w:pPr>
        <w:spacing w:after="0" w:line="240" w:lineRule="auto"/>
        <w:jc w:val="both"/>
        <w:rPr>
          <w:rFonts w:ascii="Bookman Old Style" w:eastAsia="Bookman Old Style" w:hAnsi="Bookman Old Style" w:cs="Bookman Old Style"/>
          <w:b/>
          <w:color w:val="000000"/>
          <w:sz w:val="24"/>
          <w:szCs w:val="24"/>
        </w:rPr>
      </w:pPr>
    </w:p>
    <w:p w14:paraId="00000089" w14:textId="77777777" w:rsidR="00F0788F" w:rsidRDefault="00B32145">
      <w:pPr>
        <w:spacing w:after="0"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Decreto 382 de 1951 “por el cual se crea el cargo de Intérpretes Oficiales.”</w:t>
      </w:r>
    </w:p>
    <w:p w14:paraId="0000008A" w14:textId="77777777" w:rsidR="00F0788F" w:rsidRDefault="00F0788F">
      <w:pPr>
        <w:spacing w:after="0" w:line="240" w:lineRule="auto"/>
        <w:jc w:val="both"/>
        <w:rPr>
          <w:rFonts w:ascii="Bookman Old Style" w:eastAsia="Bookman Old Style" w:hAnsi="Bookman Old Style" w:cs="Bookman Old Style"/>
          <w:color w:val="000000"/>
          <w:sz w:val="24"/>
          <w:szCs w:val="24"/>
        </w:rPr>
      </w:pPr>
    </w:p>
    <w:p w14:paraId="0000008B" w14:textId="77777777" w:rsidR="00F0788F" w:rsidRDefault="00B32145">
      <w:pPr>
        <w:spacing w:after="0"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Decreto 2257 de 1951 “por el cual se reglamenta el Decreto ley 382 del 19 de febrero de 1951, sobre intérpretes oficiales.</w:t>
      </w:r>
    </w:p>
    <w:p w14:paraId="0000008C" w14:textId="77777777" w:rsidR="00F0788F" w:rsidRDefault="00F0788F">
      <w:pPr>
        <w:pBdr>
          <w:top w:val="nil"/>
          <w:left w:val="nil"/>
          <w:bottom w:val="nil"/>
          <w:right w:val="nil"/>
          <w:between w:val="nil"/>
        </w:pBdr>
        <w:spacing w:after="0" w:line="240" w:lineRule="auto"/>
        <w:rPr>
          <w:rFonts w:ascii="Bookman Old Style" w:eastAsia="Bookman Old Style" w:hAnsi="Bookman Old Style" w:cs="Bookman Old Style"/>
          <w:b/>
          <w:color w:val="000000"/>
          <w:sz w:val="24"/>
          <w:szCs w:val="24"/>
        </w:rPr>
      </w:pPr>
    </w:p>
    <w:p w14:paraId="0000008D" w14:textId="77777777" w:rsidR="00F0788F" w:rsidRDefault="00B32145">
      <w:pPr>
        <w:numPr>
          <w:ilvl w:val="0"/>
          <w:numId w:val="2"/>
        </w:numPr>
        <w:pBdr>
          <w:top w:val="nil"/>
          <w:left w:val="nil"/>
          <w:bottom w:val="nil"/>
          <w:right w:val="nil"/>
          <w:between w:val="nil"/>
        </w:pBdr>
        <w:spacing w:after="0" w:line="240" w:lineRule="auto"/>
        <w:jc w:val="both"/>
        <w:rPr>
          <w:rFonts w:ascii="Bookman Old Style" w:eastAsia="Bookman Old Style" w:hAnsi="Bookman Old Style" w:cs="Bookman Old Style"/>
          <w:b/>
          <w:color w:val="000000"/>
          <w:sz w:val="24"/>
          <w:szCs w:val="24"/>
        </w:rPr>
      </w:pPr>
      <w:r>
        <w:rPr>
          <w:rFonts w:ascii="Bookman Old Style" w:eastAsia="Bookman Old Style" w:hAnsi="Bookman Old Style" w:cs="Bookman Old Style"/>
          <w:b/>
          <w:color w:val="000000"/>
          <w:sz w:val="24"/>
          <w:szCs w:val="24"/>
        </w:rPr>
        <w:t>Jurisprudencia</w:t>
      </w:r>
    </w:p>
    <w:p w14:paraId="0000008E" w14:textId="77777777" w:rsidR="00F0788F" w:rsidRDefault="00F0788F">
      <w:pPr>
        <w:spacing w:line="240" w:lineRule="auto"/>
        <w:jc w:val="both"/>
        <w:rPr>
          <w:rFonts w:ascii="Bookman Old Style" w:eastAsia="Bookman Old Style" w:hAnsi="Bookman Old Style" w:cs="Bookman Old Style"/>
          <w:color w:val="0000FF"/>
          <w:sz w:val="24"/>
          <w:szCs w:val="24"/>
          <w:u w:val="single"/>
        </w:rPr>
      </w:pPr>
    </w:p>
    <w:p w14:paraId="0000008F" w14:textId="77777777" w:rsidR="00F0788F" w:rsidRDefault="00B32145">
      <w:pPr>
        <w:spacing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Sentencia C-177 de 1993</w:t>
      </w:r>
    </w:p>
    <w:p w14:paraId="00000090" w14:textId="77777777" w:rsidR="00F0788F" w:rsidRDefault="00B32145">
      <w:pPr>
        <w:spacing w:line="240" w:lineRule="auto"/>
        <w:jc w:val="both"/>
        <w:rPr>
          <w:rFonts w:ascii="Bookman Old Style" w:eastAsia="Bookman Old Style" w:hAnsi="Bookman Old Style" w:cs="Bookman Old Style"/>
          <w:i/>
          <w:color w:val="000000"/>
          <w:sz w:val="24"/>
          <w:szCs w:val="24"/>
        </w:rPr>
      </w:pPr>
      <w:r>
        <w:rPr>
          <w:rFonts w:ascii="Bookman Old Style" w:eastAsia="Bookman Old Style" w:hAnsi="Bookman Old Style" w:cs="Bookman Old Style"/>
          <w:i/>
          <w:color w:val="000000"/>
          <w:sz w:val="24"/>
          <w:szCs w:val="24"/>
        </w:rPr>
        <w:t>“…[E]l derecho a ejercer profesión u oficio al tener el carácter de derecho fundamental se encuentra protegido por dos garantías especialmente importantes: la reserva de ley y la absoluta intangibilidad del contenido esencial.</w:t>
      </w:r>
    </w:p>
    <w:p w14:paraId="39224584" w14:textId="77777777" w:rsidR="00FC7E65" w:rsidRDefault="00B32145">
      <w:pPr>
        <w:spacing w:line="240" w:lineRule="auto"/>
        <w:jc w:val="both"/>
        <w:rPr>
          <w:rFonts w:ascii="Bookman Old Style" w:eastAsia="Bookman Old Style" w:hAnsi="Bookman Old Style" w:cs="Bookman Old Style"/>
          <w:i/>
          <w:color w:val="000000"/>
          <w:sz w:val="24"/>
          <w:szCs w:val="24"/>
        </w:rPr>
      </w:pPr>
      <w:r>
        <w:rPr>
          <w:rFonts w:ascii="Bookman Old Style" w:eastAsia="Bookman Old Style" w:hAnsi="Bookman Old Style" w:cs="Bookman Old Style"/>
          <w:i/>
          <w:color w:val="000000"/>
          <w:sz w:val="24"/>
          <w:szCs w:val="24"/>
        </w:rPr>
        <w:t xml:space="preserve">La primera significa que sólo el legislador está autorizado por la Carta política para reglamentar el ejercicio de este derecho. En consecuencia, la ley es el único instrumento legitimo para exigir a quienes pretendan ejercer determinadas actividades que requieran de capacitación técnica, académica o científica el título de idoneidad correspondiente así como el procedimiento y los requisitos básicos para obtenerlo. De la misma forma, sólo el legislador </w:t>
      </w:r>
    </w:p>
    <w:p w14:paraId="6FD39DCA" w14:textId="77777777" w:rsidR="00FC7E65" w:rsidRDefault="00FC7E65">
      <w:pPr>
        <w:spacing w:line="240" w:lineRule="auto"/>
        <w:jc w:val="both"/>
        <w:rPr>
          <w:rFonts w:ascii="Bookman Old Style" w:eastAsia="Bookman Old Style" w:hAnsi="Bookman Old Style" w:cs="Bookman Old Style"/>
          <w:i/>
          <w:color w:val="000000"/>
          <w:sz w:val="24"/>
          <w:szCs w:val="24"/>
        </w:rPr>
      </w:pPr>
    </w:p>
    <w:p w14:paraId="0EB5FE6F" w14:textId="77777777" w:rsidR="00FC7E65" w:rsidRDefault="00FC7E65">
      <w:pPr>
        <w:spacing w:line="240" w:lineRule="auto"/>
        <w:jc w:val="both"/>
        <w:rPr>
          <w:rFonts w:ascii="Bookman Old Style" w:eastAsia="Bookman Old Style" w:hAnsi="Bookman Old Style" w:cs="Bookman Old Style"/>
          <w:i/>
          <w:color w:val="000000"/>
          <w:sz w:val="24"/>
          <w:szCs w:val="24"/>
        </w:rPr>
      </w:pPr>
    </w:p>
    <w:p w14:paraId="00000092" w14:textId="3E3D1238" w:rsidR="00F0788F" w:rsidRPr="00FC7E65" w:rsidRDefault="00B32145">
      <w:pPr>
        <w:spacing w:line="240" w:lineRule="auto"/>
        <w:jc w:val="both"/>
        <w:rPr>
          <w:rFonts w:ascii="Bookman Old Style" w:eastAsia="Bookman Old Style" w:hAnsi="Bookman Old Style" w:cs="Bookman Old Style"/>
          <w:color w:val="0000FF"/>
          <w:sz w:val="24"/>
          <w:szCs w:val="24"/>
          <w:u w:val="single"/>
        </w:rPr>
      </w:pPr>
      <w:r>
        <w:rPr>
          <w:rFonts w:ascii="Bookman Old Style" w:eastAsia="Bookman Old Style" w:hAnsi="Bookman Old Style" w:cs="Bookman Old Style"/>
          <w:i/>
          <w:color w:val="000000"/>
          <w:sz w:val="24"/>
          <w:szCs w:val="24"/>
        </w:rPr>
        <w:t>puede crear las normas básicas sobre las cuales las autoridades competentes vigilen e inspeccionen el ejercicio de las actividades que exijan formación académica o que impliquen riesgo social.”</w:t>
      </w:r>
      <w:r>
        <w:rPr>
          <w:rFonts w:ascii="Bookman Old Style" w:eastAsia="Bookman Old Style" w:hAnsi="Bookman Old Style" w:cs="Bookman Old Style"/>
          <w:i/>
          <w:color w:val="000000"/>
          <w:sz w:val="24"/>
          <w:szCs w:val="24"/>
          <w:vertAlign w:val="superscript"/>
        </w:rPr>
        <w:footnoteReference w:id="1"/>
      </w:r>
    </w:p>
    <w:p w14:paraId="00000094" w14:textId="76EEB25A" w:rsidR="00F0788F" w:rsidRDefault="00B32145">
      <w:pPr>
        <w:spacing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Sentencia C-399 de 1999</w:t>
      </w:r>
    </w:p>
    <w:p w14:paraId="00000096" w14:textId="47F0BAFF" w:rsidR="00F0788F" w:rsidRPr="00FC7E65" w:rsidRDefault="00B32145">
      <w:pPr>
        <w:spacing w:line="240" w:lineRule="auto"/>
        <w:jc w:val="both"/>
        <w:rPr>
          <w:rFonts w:ascii="Bookman Old Style" w:eastAsia="Bookman Old Style" w:hAnsi="Bookman Old Style" w:cs="Bookman Old Style"/>
          <w:i/>
          <w:color w:val="000000"/>
          <w:sz w:val="24"/>
          <w:szCs w:val="24"/>
        </w:rPr>
      </w:pPr>
      <w:r>
        <w:rPr>
          <w:rFonts w:ascii="Bookman Old Style" w:eastAsia="Bookman Old Style" w:hAnsi="Bookman Old Style" w:cs="Bookman Old Style"/>
          <w:color w:val="000000"/>
          <w:sz w:val="24"/>
          <w:szCs w:val="24"/>
        </w:rPr>
        <w:t>“</w:t>
      </w:r>
      <w:r>
        <w:rPr>
          <w:rFonts w:ascii="Bookman Old Style" w:eastAsia="Bookman Old Style" w:hAnsi="Bookman Old Style" w:cs="Bookman Old Style"/>
          <w:i/>
          <w:color w:val="000000"/>
          <w:sz w:val="24"/>
          <w:szCs w:val="24"/>
        </w:rPr>
        <w:t>…[E]s el legislador, en virtud de su atribución constitucional, el único competente para establecer los títulos de idoneidad que deben acompañar en cada caso, - profesión u oficio, -  el ejercicio de las tareas que exijan formación académica y los límites entre uno y otro.”</w:t>
      </w:r>
      <w:r>
        <w:rPr>
          <w:rFonts w:ascii="Bookman Old Style" w:eastAsia="Bookman Old Style" w:hAnsi="Bookman Old Style" w:cs="Bookman Old Style"/>
          <w:i/>
          <w:color w:val="000000"/>
          <w:sz w:val="24"/>
          <w:szCs w:val="24"/>
          <w:vertAlign w:val="superscript"/>
        </w:rPr>
        <w:footnoteReference w:id="2"/>
      </w:r>
    </w:p>
    <w:p w14:paraId="00000097" w14:textId="77777777" w:rsidR="00F0788F" w:rsidRDefault="00B32145">
      <w:pPr>
        <w:spacing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Sentencia C-568 de 2010: </w:t>
      </w:r>
    </w:p>
    <w:p w14:paraId="00000099" w14:textId="79429B81" w:rsidR="00F0788F" w:rsidRDefault="00B32145">
      <w:pPr>
        <w:spacing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 </w:t>
      </w:r>
      <w:r>
        <w:rPr>
          <w:rFonts w:ascii="Bookman Old Style" w:eastAsia="Bookman Old Style" w:hAnsi="Bookman Old Style" w:cs="Bookman Old Style"/>
          <w:i/>
          <w:color w:val="000000"/>
          <w:sz w:val="24"/>
          <w:szCs w:val="24"/>
        </w:rPr>
        <w:t>[E]l ejercicio de una profesión u oficio se funda en el respeto a la libertad individual de escogencia de una actividad laboral y en la protección de los riesgos sociales que, por su posible incidencia, exigen del legislador una regulación que, para que sea legítima, deberá ser razonable y proporcionada, de manera que no signifique una restricción arbitraria e inequitativa al ejercicio de tales actividades individuales</w:t>
      </w:r>
      <w:r>
        <w:rPr>
          <w:rFonts w:ascii="Bookman Old Style" w:eastAsia="Bookman Old Style" w:hAnsi="Bookman Old Style" w:cs="Bookman Old Style"/>
          <w:color w:val="000000"/>
          <w:sz w:val="24"/>
          <w:szCs w:val="24"/>
        </w:rPr>
        <w:t>.”</w:t>
      </w:r>
      <w:r>
        <w:rPr>
          <w:rFonts w:ascii="Bookman Old Style" w:eastAsia="Bookman Old Style" w:hAnsi="Bookman Old Style" w:cs="Bookman Old Style"/>
          <w:color w:val="000000"/>
          <w:sz w:val="24"/>
          <w:szCs w:val="24"/>
          <w:vertAlign w:val="superscript"/>
        </w:rPr>
        <w:footnoteReference w:id="3"/>
      </w:r>
    </w:p>
    <w:p w14:paraId="0000009A" w14:textId="77777777" w:rsidR="00F0788F" w:rsidRDefault="00B32145">
      <w:pPr>
        <w:spacing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Sentencia C-074 de 2018:</w:t>
      </w:r>
    </w:p>
    <w:p w14:paraId="0000009B" w14:textId="77777777" w:rsidR="00F0788F" w:rsidRDefault="00B32145">
      <w:pPr>
        <w:spacing w:line="240" w:lineRule="auto"/>
        <w:jc w:val="both"/>
        <w:rPr>
          <w:rFonts w:ascii="Bookman Old Style" w:eastAsia="Bookman Old Style" w:hAnsi="Bookman Old Style" w:cs="Bookman Old Style"/>
          <w:i/>
          <w:color w:val="000000"/>
          <w:sz w:val="24"/>
          <w:szCs w:val="24"/>
        </w:rPr>
      </w:pPr>
      <w:r>
        <w:rPr>
          <w:rFonts w:ascii="Bookman Old Style" w:eastAsia="Bookman Old Style" w:hAnsi="Bookman Old Style" w:cs="Bookman Old Style"/>
          <w:color w:val="000000"/>
          <w:sz w:val="24"/>
          <w:szCs w:val="24"/>
        </w:rPr>
        <w:t>“</w:t>
      </w:r>
      <w:r>
        <w:rPr>
          <w:rFonts w:ascii="Bookman Old Style" w:eastAsia="Bookman Old Style" w:hAnsi="Bookman Old Style" w:cs="Bookman Old Style"/>
          <w:i/>
          <w:color w:val="000000"/>
          <w:sz w:val="24"/>
          <w:szCs w:val="24"/>
        </w:rPr>
        <w:t>La Corte ha reconocido que una de las garantías de la libertad de escoger profesión y oficio es la reserva de Ley, lo cual implica que “el Legislador es el órgano autorizado para reglamentar el ejercicio de este derecho” …”</w:t>
      </w:r>
      <w:r>
        <w:rPr>
          <w:rFonts w:ascii="Bookman Old Style" w:eastAsia="Bookman Old Style" w:hAnsi="Bookman Old Style" w:cs="Bookman Old Style"/>
          <w:i/>
          <w:color w:val="000000"/>
          <w:sz w:val="24"/>
          <w:szCs w:val="24"/>
          <w:vertAlign w:val="superscript"/>
        </w:rPr>
        <w:footnoteReference w:id="4"/>
      </w:r>
    </w:p>
    <w:p w14:paraId="0000009C" w14:textId="77777777" w:rsidR="00F0788F" w:rsidRDefault="00F0788F">
      <w:pPr>
        <w:spacing w:line="240" w:lineRule="auto"/>
        <w:jc w:val="both"/>
        <w:rPr>
          <w:rFonts w:ascii="Bookman Old Style" w:eastAsia="Bookman Old Style" w:hAnsi="Bookman Old Style" w:cs="Bookman Old Style"/>
          <w:sz w:val="24"/>
          <w:szCs w:val="24"/>
        </w:rPr>
      </w:pPr>
    </w:p>
    <w:p w14:paraId="0000009D" w14:textId="77777777" w:rsidR="00F0788F" w:rsidRDefault="00B32145">
      <w:pPr>
        <w:numPr>
          <w:ilvl w:val="0"/>
          <w:numId w:val="1"/>
        </w:numPr>
        <w:pBdr>
          <w:top w:val="nil"/>
          <w:left w:val="nil"/>
          <w:bottom w:val="nil"/>
          <w:right w:val="nil"/>
          <w:between w:val="nil"/>
        </w:pBdr>
        <w:spacing w:after="0"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JUSTIFICACIÓN</w:t>
      </w:r>
    </w:p>
    <w:p w14:paraId="0000009E" w14:textId="77777777" w:rsidR="00F0788F" w:rsidRDefault="00F0788F">
      <w:pPr>
        <w:spacing w:line="240" w:lineRule="auto"/>
        <w:jc w:val="both"/>
        <w:rPr>
          <w:rFonts w:ascii="Bookman Old Style" w:eastAsia="Bookman Old Style" w:hAnsi="Bookman Old Style" w:cs="Bookman Old Style"/>
          <w:color w:val="000000"/>
          <w:sz w:val="24"/>
          <w:szCs w:val="24"/>
        </w:rPr>
      </w:pPr>
    </w:p>
    <w:p w14:paraId="488BB8E8" w14:textId="77777777" w:rsidR="00FC7E65" w:rsidRDefault="00B32145">
      <w:pPr>
        <w:spacing w:line="240" w:lineRule="auto"/>
        <w:jc w:val="both"/>
        <w:rPr>
          <w:rFonts w:ascii="Bookman Old Style" w:eastAsia="Bookman Old Style" w:hAnsi="Bookman Old Style" w:cs="Bookman Old Style"/>
          <w:i/>
          <w:sz w:val="24"/>
          <w:szCs w:val="24"/>
        </w:rPr>
      </w:pPr>
      <w:r>
        <w:rPr>
          <w:rFonts w:ascii="Bookman Old Style" w:eastAsia="Bookman Old Style" w:hAnsi="Bookman Old Style" w:cs="Bookman Old Style"/>
          <w:sz w:val="24"/>
          <w:szCs w:val="24"/>
        </w:rPr>
        <w:t>En Colombia por primera vez fue reconocida la actividad de los intérpretes oficiales en 1951 por el Decreto 382, el cual estableció que serían aquellos que tenían como función principal “</w:t>
      </w:r>
      <w:r>
        <w:rPr>
          <w:rFonts w:ascii="Bookman Old Style" w:eastAsia="Bookman Old Style" w:hAnsi="Bookman Old Style" w:cs="Bookman Old Style"/>
          <w:i/>
          <w:sz w:val="24"/>
          <w:szCs w:val="24"/>
        </w:rPr>
        <w:t xml:space="preserve">traducir de cualquier idioma al castellano o viceversa, todos los documentos cuya traducción y autentificación sean </w:t>
      </w:r>
    </w:p>
    <w:p w14:paraId="713236DF" w14:textId="77777777" w:rsidR="00FC7E65" w:rsidRDefault="00FC7E65">
      <w:pPr>
        <w:spacing w:line="240" w:lineRule="auto"/>
        <w:jc w:val="both"/>
        <w:rPr>
          <w:rFonts w:ascii="Bookman Old Style" w:eastAsia="Bookman Old Style" w:hAnsi="Bookman Old Style" w:cs="Bookman Old Style"/>
          <w:i/>
          <w:sz w:val="24"/>
          <w:szCs w:val="24"/>
        </w:rPr>
      </w:pPr>
    </w:p>
    <w:p w14:paraId="18D10F51" w14:textId="77777777" w:rsidR="00FC7E65" w:rsidRDefault="00FC7E65">
      <w:pPr>
        <w:spacing w:line="240" w:lineRule="auto"/>
        <w:jc w:val="both"/>
        <w:rPr>
          <w:rFonts w:ascii="Bookman Old Style" w:eastAsia="Bookman Old Style" w:hAnsi="Bookman Old Style" w:cs="Bookman Old Style"/>
          <w:i/>
          <w:sz w:val="24"/>
          <w:szCs w:val="24"/>
        </w:rPr>
      </w:pPr>
    </w:p>
    <w:p w14:paraId="2A55FBE4" w14:textId="77777777" w:rsidR="00FC7E65" w:rsidRDefault="00FC7E65">
      <w:pPr>
        <w:spacing w:line="240" w:lineRule="auto"/>
        <w:jc w:val="both"/>
        <w:rPr>
          <w:rFonts w:ascii="Bookman Old Style" w:eastAsia="Bookman Old Style" w:hAnsi="Bookman Old Style" w:cs="Bookman Old Style"/>
          <w:i/>
          <w:sz w:val="24"/>
          <w:szCs w:val="24"/>
        </w:rPr>
      </w:pPr>
    </w:p>
    <w:p w14:paraId="0000009F" w14:textId="27455837" w:rsidR="00F0788F" w:rsidRDefault="00B32145">
      <w:pP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solicitadas por el público para que presten mérito oficial ante las autoridades y servir de intérpretes orales en los casos señalados por la ley.”</w:t>
      </w:r>
      <w:r>
        <w:rPr>
          <w:rFonts w:ascii="Bookman Old Style" w:eastAsia="Bookman Old Style" w:hAnsi="Bookman Old Style" w:cs="Bookman Old Style"/>
          <w:i/>
          <w:sz w:val="24"/>
          <w:szCs w:val="24"/>
          <w:vertAlign w:val="superscript"/>
        </w:rPr>
        <w:footnoteReference w:id="5"/>
      </w:r>
    </w:p>
    <w:p w14:paraId="000000A0" w14:textId="77777777" w:rsidR="00F0788F" w:rsidRDefault="00B32145">
      <w:pP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Norma que creaba el cargo de Intérpretes Oficiales y establecía algunos parámetros para su ejercicio como: requisitos, acreditación, responsabilidad frente a los deberes del cargo, tarifa de remuneración entre otros. Adicional a ello, fue reglamentada por el Decreto 2257 de 1951 el cual, determinó que para desempeñar el cargo se debía practicar un examen en el o los idiomas y con la aprobación expedirse un certificado con el cual se debía solicitar la licencia ante el Ministerio de Justicia para quedar habilitado como tal, luego debía inscribirse en la lista de traductores oficiales del Tribunal Superior del Distrito Judicial correspondiente al territorio donde fuese a actuar y prestar ante el Presidente del mismo juramento de cumplir bien y fielmente los deberes de su cargo. El listado debía estar público en la secretaria del Tribunal y en los Juzgados de Circuito.</w:t>
      </w:r>
    </w:p>
    <w:p w14:paraId="000000A1" w14:textId="77777777" w:rsidR="00F0788F" w:rsidRDefault="00B32145">
      <w:pP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Posterior a ello el Decreto 1122 de 1999 buscaba derogar con el artículo 157 los artículos que guardaban relación a la licencia expedida por el Ministerio de Justicia para el ejercicio, sin embargo, fue declarado inexequible, al igual que el Decreto 266 de 2000 que buscaba con el artículo 85 dejar sin efectos todos los artículos del decreto inicial a excepción de aquel que planteaba la definición antes citada, la vigencia y el artículo 4° que planteaba lo siguiente:</w:t>
      </w:r>
    </w:p>
    <w:p w14:paraId="000000A2" w14:textId="77777777" w:rsidR="00F0788F" w:rsidRDefault="00B32145">
      <w:pPr>
        <w:spacing w:line="240" w:lineRule="auto"/>
        <w:ind w:left="708"/>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“Podrán ser Intérpretes Oficiales las personas nacionales o extranjeras, domiciliadas en Colombia, mayores de 21 años, de reconocida buena conducta y antecedentes, calidades éstas que deberán ser acreditadas ante el Ministerio de Justicia, y cuya idoneidad en el dominio de los idiomas para los cuales se les expida la respectiva licencia deberá ser comprobada ante el Ministerio de Educación Nacional, mediante las pruebas desamen que por dicho Ministerio se establezcan al respecto.”</w:t>
      </w:r>
      <w:r>
        <w:rPr>
          <w:rFonts w:ascii="Bookman Old Style" w:eastAsia="Bookman Old Style" w:hAnsi="Bookman Old Style" w:cs="Bookman Old Style"/>
          <w:i/>
          <w:sz w:val="24"/>
          <w:szCs w:val="24"/>
          <w:vertAlign w:val="superscript"/>
        </w:rPr>
        <w:footnoteReference w:id="6"/>
      </w:r>
    </w:p>
    <w:p w14:paraId="000000A3" w14:textId="77777777" w:rsidR="00F0788F" w:rsidRDefault="00B32145">
      <w:pP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Quedando así un interrogante frente a la vigencia del Decreto 382 de 1951 y un vacío frente a las licencias para el ejercicio de los intérpretes oficiales, lo que vendría a resolver posteriormente la Ley 962 de 2005 cuando modificó lo concerniente al mencionado artículo así:</w:t>
      </w:r>
    </w:p>
    <w:p w14:paraId="000000A4" w14:textId="77777777" w:rsidR="00F0788F" w:rsidRDefault="00B32145">
      <w:pP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Artículo 33. Examen para el ejercicio del oficio de traductor e intérprete oficial. Modifíquese el artículo 4º del Decreto 382 de 1951, el cual quedará así:  </w:t>
      </w:r>
    </w:p>
    <w:p w14:paraId="6F98FBD6" w14:textId="77777777" w:rsidR="00FC7E65" w:rsidRDefault="00B32145">
      <w:pPr>
        <w:spacing w:line="240" w:lineRule="auto"/>
        <w:ind w:left="708"/>
        <w:jc w:val="both"/>
        <w:rPr>
          <w:rFonts w:ascii="Bookman Old Style" w:eastAsia="Bookman Old Style" w:hAnsi="Bookman Old Style" w:cs="Bookman Old Style"/>
          <w:b/>
          <w:i/>
          <w:sz w:val="24"/>
          <w:szCs w:val="24"/>
        </w:rPr>
      </w:pPr>
      <w:r>
        <w:rPr>
          <w:rFonts w:ascii="Bookman Old Style" w:eastAsia="Bookman Old Style" w:hAnsi="Bookman Old Style" w:cs="Bookman Old Style"/>
          <w:i/>
          <w:sz w:val="24"/>
          <w:szCs w:val="24"/>
        </w:rPr>
        <w:t xml:space="preserve">"Artículo 4º. Examen para el ejercicio del oficio de traductor e intérprete oficial. </w:t>
      </w:r>
      <w:r>
        <w:rPr>
          <w:rFonts w:ascii="Bookman Old Style" w:eastAsia="Bookman Old Style" w:hAnsi="Bookman Old Style" w:cs="Bookman Old Style"/>
          <w:b/>
          <w:i/>
          <w:sz w:val="24"/>
          <w:szCs w:val="24"/>
        </w:rPr>
        <w:t xml:space="preserve">Toda persona que aspire a desempeñar el oficio de </w:t>
      </w:r>
    </w:p>
    <w:p w14:paraId="0114EF25" w14:textId="77777777" w:rsidR="00FC7E65" w:rsidRDefault="00FC7E65">
      <w:pPr>
        <w:spacing w:line="240" w:lineRule="auto"/>
        <w:ind w:left="708"/>
        <w:jc w:val="both"/>
        <w:rPr>
          <w:rFonts w:ascii="Bookman Old Style" w:eastAsia="Bookman Old Style" w:hAnsi="Bookman Old Style" w:cs="Bookman Old Style"/>
          <w:b/>
          <w:i/>
          <w:sz w:val="24"/>
          <w:szCs w:val="24"/>
        </w:rPr>
      </w:pPr>
    </w:p>
    <w:p w14:paraId="442C5E73" w14:textId="77777777" w:rsidR="00FC7E65" w:rsidRDefault="00FC7E65">
      <w:pPr>
        <w:spacing w:line="240" w:lineRule="auto"/>
        <w:ind w:left="708"/>
        <w:jc w:val="both"/>
        <w:rPr>
          <w:rFonts w:ascii="Bookman Old Style" w:eastAsia="Bookman Old Style" w:hAnsi="Bookman Old Style" w:cs="Bookman Old Style"/>
          <w:b/>
          <w:i/>
          <w:sz w:val="24"/>
          <w:szCs w:val="24"/>
        </w:rPr>
      </w:pPr>
    </w:p>
    <w:p w14:paraId="000000A5" w14:textId="1B270D0D" w:rsidR="00F0788F" w:rsidRDefault="00B32145">
      <w:pPr>
        <w:spacing w:line="240" w:lineRule="auto"/>
        <w:ind w:left="708"/>
        <w:jc w:val="both"/>
        <w:rPr>
          <w:rFonts w:ascii="Bookman Old Style" w:eastAsia="Bookman Old Style" w:hAnsi="Bookman Old Style" w:cs="Bookman Old Style"/>
          <w:i/>
          <w:sz w:val="24"/>
          <w:szCs w:val="24"/>
        </w:rPr>
      </w:pPr>
      <w:r>
        <w:rPr>
          <w:rFonts w:ascii="Bookman Old Style" w:eastAsia="Bookman Old Style" w:hAnsi="Bookman Old Style" w:cs="Bookman Old Style"/>
          <w:b/>
          <w:i/>
          <w:sz w:val="24"/>
          <w:szCs w:val="24"/>
        </w:rPr>
        <w:t>Traductor e Intérprete Oficial deberá aprobar los exámenes que sobre la materia dispongan las universidades públicas y privadas</w:t>
      </w:r>
      <w:r>
        <w:rPr>
          <w:rFonts w:ascii="Bookman Old Style" w:eastAsia="Bookman Old Style" w:hAnsi="Bookman Old Style" w:cs="Bookman Old Style"/>
          <w:i/>
          <w:sz w:val="24"/>
          <w:szCs w:val="24"/>
        </w:rPr>
        <w:t xml:space="preserve"> que cuenten con facultad de idiomas debidamente acreditadas y reconocida por el ICFES o la entidad que tenga a cargo tal reconocimiento.  </w:t>
      </w:r>
    </w:p>
    <w:p w14:paraId="000000A6" w14:textId="77777777" w:rsidR="00F0788F" w:rsidRDefault="00B32145">
      <w:pPr>
        <w:spacing w:line="240" w:lineRule="auto"/>
        <w:ind w:left="708"/>
        <w:jc w:val="both"/>
        <w:rPr>
          <w:rFonts w:ascii="Bookman Old Style" w:eastAsia="Bookman Old Style" w:hAnsi="Bookman Old Style" w:cs="Bookman Old Style"/>
          <w:b/>
          <w:i/>
          <w:sz w:val="24"/>
          <w:szCs w:val="24"/>
        </w:rPr>
      </w:pPr>
      <w:bookmarkStart w:id="5" w:name="_3znysh7" w:colFirst="0" w:colLast="0"/>
      <w:bookmarkEnd w:id="5"/>
      <w:r>
        <w:rPr>
          <w:rFonts w:ascii="Bookman Old Style" w:eastAsia="Bookman Old Style" w:hAnsi="Bookman Old Style" w:cs="Bookman Old Style"/>
          <w:b/>
          <w:i/>
          <w:sz w:val="24"/>
          <w:szCs w:val="24"/>
        </w:rPr>
        <w:t xml:space="preserve">El documento que expidan las Universidades en que conste la aprobación del examen correspondiente, esto es, la idoneidad para el ejercicio del oficio, constituye licencia para desempeñarse como traductor e intérprete oficial.  </w:t>
      </w:r>
    </w:p>
    <w:p w14:paraId="000000A7" w14:textId="77777777" w:rsidR="00F0788F" w:rsidRDefault="00B32145">
      <w:pPr>
        <w:spacing w:line="240" w:lineRule="auto"/>
        <w:ind w:left="708"/>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Parágrafo. Las licencias expedidas con anterioridad a la entrada en vigencia de la presente ley continuarán vigentes.  </w:t>
      </w:r>
    </w:p>
    <w:p w14:paraId="000000A8" w14:textId="77777777" w:rsidR="00F0788F" w:rsidRDefault="00B32145">
      <w:pPr>
        <w:spacing w:line="240" w:lineRule="auto"/>
        <w:ind w:left="708"/>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Quienes a la fecha de entrada en vigencia de la presente ley hayan aprobado el examen para acreditar la calidad de Traductor o Intérprete Oficial, y no hayan solicitado la licencia respectiva ante el Ministerio del Interior y de Justicia, se regirán por lo establecido en la presente ley." </w:t>
      </w:r>
      <w:r>
        <w:rPr>
          <w:rFonts w:ascii="Bookman Old Style" w:eastAsia="Bookman Old Style" w:hAnsi="Bookman Old Style" w:cs="Bookman Old Style"/>
          <w:sz w:val="24"/>
          <w:szCs w:val="24"/>
        </w:rPr>
        <w:t>(Negrilla fuera de texto)</w:t>
      </w:r>
      <w:r>
        <w:rPr>
          <w:rFonts w:ascii="Bookman Old Style" w:eastAsia="Bookman Old Style" w:hAnsi="Bookman Old Style" w:cs="Bookman Old Style"/>
          <w:i/>
          <w:sz w:val="24"/>
          <w:szCs w:val="24"/>
        </w:rPr>
        <w:t xml:space="preserve"> </w:t>
      </w:r>
    </w:p>
    <w:p w14:paraId="000000A9" w14:textId="77777777" w:rsidR="00F0788F" w:rsidRDefault="00B32145">
      <w:pP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Es decir, hoy los traductores e intérpretes oficiales para el ejercicio de su actividad deben contar con una licencia expedida antes de entrar en vigencia la ley de 2005 o posterior ello, haber aprobado un examen que certifique la idoneidad para el desempeño como traductor e intérprete oficial.</w:t>
      </w:r>
    </w:p>
    <w:p w14:paraId="000000AA" w14:textId="77777777" w:rsidR="00F0788F" w:rsidRDefault="00B32145">
      <w:pP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Lo anterior, evidencia la falta de actualización en la normatividad y la poca seguridad jurídica que hoy tienen aquellos que ejercen diariamente como traductores e intérpretes oficiales y los usuarios que en Colombia o en cualquier país del mundo requieren y hacen uso de los servicios que ellos prestan. </w:t>
      </w:r>
    </w:p>
    <w:p w14:paraId="57FA0C1F" w14:textId="77777777" w:rsidR="00FC7E65" w:rsidRDefault="00B32145">
      <w:pP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Las Resoluciones 2201 de 1997, 4300 de 2012, 7144 de 2014 y 3269 de 2016 del Ministerio de Relaciones Exteriores en lo concerniente a los procedimientos para legalización de documentos producidos en Colombia que vayan a surtir efectos en el exterior, y documentos otorgados en el exterior que vayan a producir efectos en Colombia o posteriormente el procedimiento para apostillar y/o legalizar documentos; reconoció la importancia de los traductores e intérpretes oficiales en dichos trámites al apostillar los documentos traducidos por ellos sin necesidad de reconocimiento de firma ante un juez por ejemplo, contaba con un directorio para consulta de los ciudadanos e incluso podían registrar su firma manuscrita ante el Ministerio para que en cada uno de sus productos pudiesen firmar digitalmente, también, si era necesario traducir documentos luego de ser apostillados debían ser traducidos por un traductor oficial para que pudiese ser apostillada la firma del traductor. No </w:t>
      </w:r>
    </w:p>
    <w:p w14:paraId="2B97C491" w14:textId="77777777" w:rsidR="00FC7E65" w:rsidRDefault="00FC7E65">
      <w:pPr>
        <w:spacing w:line="240" w:lineRule="auto"/>
        <w:jc w:val="both"/>
        <w:rPr>
          <w:rFonts w:ascii="Bookman Old Style" w:eastAsia="Bookman Old Style" w:hAnsi="Bookman Old Style" w:cs="Bookman Old Style"/>
          <w:sz w:val="24"/>
          <w:szCs w:val="24"/>
        </w:rPr>
      </w:pPr>
    </w:p>
    <w:p w14:paraId="208E790B" w14:textId="77777777" w:rsidR="00C43226" w:rsidRDefault="00C43226">
      <w:pPr>
        <w:spacing w:line="240" w:lineRule="auto"/>
        <w:jc w:val="both"/>
        <w:rPr>
          <w:rFonts w:ascii="Bookman Old Style" w:eastAsia="Bookman Old Style" w:hAnsi="Bookman Old Style" w:cs="Bookman Old Style"/>
          <w:sz w:val="24"/>
          <w:szCs w:val="24"/>
        </w:rPr>
      </w:pPr>
    </w:p>
    <w:p w14:paraId="000000AB" w14:textId="52624F71" w:rsidR="00F0788F" w:rsidRDefault="00B32145">
      <w:pP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obstante a lo anterior, el ejercicio de esta actividad que desde 1951 contaba con procedimientos establecidos similares a través de los años, lo cual les había dado una confianza legítima y seguridad a ellos y a los usuarios de toda la actividad, cambió con la Resolución 10547 de 2018.</w:t>
      </w:r>
    </w:p>
    <w:p w14:paraId="000000AC" w14:textId="77777777" w:rsidR="00F0788F" w:rsidRDefault="00B32145">
      <w:pP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donde, es eliminado el directorio de consulta de traductores, se impone la obligación de reconocimiento o autenticación de la firma del traductor oficial ante Notario público para legalizar o apostillar los documentos (Sin que sea traducido el reconocimiento o autenticación), lo cual va en contra de la Ley 962 de 2005 (que busca la racionalización, estandarización y automatización de trámites), desvirtúa la manera en la que han trabajado por casi 70 años y pone en riesgo a los usuarios y traductores a ser víctimas de suplantaciones, falsificaciones, imprecisiones y errores en los documentos que serán legalizados o apostillados sin ninguna verificación de idoneidad de los mismos. Esto último, carente del principio de legalidad que deben garantizar todas las actuaciones administrativas en virtud de funciones como las de apostilla y legalización de documentos.  </w:t>
      </w:r>
    </w:p>
    <w:p w14:paraId="000000AD" w14:textId="77777777" w:rsidR="00F0788F" w:rsidRDefault="00B32145">
      <w:pPr>
        <w:spacing w:line="240" w:lineRule="auto"/>
        <w:jc w:val="both"/>
        <w:rPr>
          <w:rFonts w:ascii="Bookman Old Style" w:eastAsia="Bookman Old Style" w:hAnsi="Bookman Old Style" w:cs="Bookman Old Style"/>
          <w:sz w:val="24"/>
          <w:szCs w:val="24"/>
          <w:highlight w:val="yellow"/>
        </w:rPr>
      </w:pPr>
      <w:r>
        <w:rPr>
          <w:rFonts w:ascii="Bookman Old Style" w:eastAsia="Bookman Old Style" w:hAnsi="Bookman Old Style" w:cs="Bookman Old Style"/>
          <w:sz w:val="24"/>
          <w:szCs w:val="24"/>
        </w:rPr>
        <w:t>Por otra parte, es necesario precisar que los traductores e intérpretes oficiales han ayudado a través de los años al Ministerio de Relaciones Exteriores en el cumplimiento de sus funciones, especialmente en aquellas que tienen que ver con la apostilla y la legalización de documentos; han dado soluciones a las necesidades de la ciudadanía y han contribuido alcanzar los fines del Estado</w:t>
      </w:r>
      <w:r>
        <w:rPr>
          <w:rFonts w:ascii="Bookman Old Style" w:eastAsia="Bookman Old Style" w:hAnsi="Bookman Old Style" w:cs="Bookman Old Style"/>
          <w:sz w:val="24"/>
          <w:szCs w:val="24"/>
          <w:vertAlign w:val="superscript"/>
        </w:rPr>
        <w:footnoteReference w:id="7"/>
      </w:r>
      <w:r>
        <w:rPr>
          <w:rFonts w:ascii="Bookman Old Style" w:eastAsia="Bookman Old Style" w:hAnsi="Bookman Old Style" w:cs="Bookman Old Style"/>
          <w:sz w:val="24"/>
          <w:szCs w:val="24"/>
        </w:rPr>
        <w:t>. Además de acatar lo encomendado en las resoluciones de acreditación para el ejercicio de tan honrosa actividad.</w:t>
      </w:r>
    </w:p>
    <w:p w14:paraId="000000AE" w14:textId="77777777" w:rsidR="00F0788F" w:rsidRDefault="00B32145">
      <w:pP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Adicional a ello, las traducciones y las comunicaciones en idiomas extranjeros hoy tienen gran acogida y son de necesaria utilidad, resultan una herramienta para fomentar el comercio internacional de Colombia, la generación de empleos y el sustento de un importante número de familias que hoy dependen de la actividad de los traductores e intérpretes.</w:t>
      </w:r>
    </w:p>
    <w:p w14:paraId="000000AF" w14:textId="77777777" w:rsidR="00F0788F" w:rsidRDefault="00B32145">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b/>
        </w:rPr>
        <w:t xml:space="preserve"> </w:t>
      </w:r>
    </w:p>
    <w:p w14:paraId="000000B0" w14:textId="77777777" w:rsidR="00F0788F" w:rsidRDefault="00B32145">
      <w:pPr>
        <w:numPr>
          <w:ilvl w:val="0"/>
          <w:numId w:val="1"/>
        </w:numPr>
        <w:pBdr>
          <w:top w:val="nil"/>
          <w:left w:val="nil"/>
          <w:bottom w:val="nil"/>
          <w:right w:val="nil"/>
          <w:between w:val="nil"/>
        </w:pBdr>
        <w:spacing w:after="0"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b/>
          <w:sz w:val="24"/>
          <w:szCs w:val="24"/>
        </w:rPr>
        <w:t>ANÁLISIS</w:t>
      </w:r>
      <w:r>
        <w:rPr>
          <w:rFonts w:ascii="Bookman Old Style" w:eastAsia="Bookman Old Style" w:hAnsi="Bookman Old Style" w:cs="Bookman Old Style"/>
          <w:b/>
          <w:color w:val="000000"/>
          <w:sz w:val="24"/>
          <w:szCs w:val="24"/>
        </w:rPr>
        <w:t xml:space="preserve"> DE LA ACTIVIDAD DE LOS TRADUCTORES E </w:t>
      </w:r>
      <w:r>
        <w:rPr>
          <w:rFonts w:ascii="Bookman Old Style" w:eastAsia="Bookman Old Style" w:hAnsi="Bookman Old Style" w:cs="Bookman Old Style"/>
          <w:b/>
          <w:sz w:val="24"/>
          <w:szCs w:val="24"/>
        </w:rPr>
        <w:t>INTÉRPRETES</w:t>
      </w:r>
      <w:r>
        <w:rPr>
          <w:rFonts w:ascii="Bookman Old Style" w:eastAsia="Bookman Old Style" w:hAnsi="Bookman Old Style" w:cs="Bookman Old Style"/>
          <w:b/>
          <w:color w:val="000000"/>
          <w:sz w:val="24"/>
          <w:szCs w:val="24"/>
        </w:rPr>
        <w:t xml:space="preserve"> EN OTROS </w:t>
      </w:r>
      <w:r>
        <w:rPr>
          <w:rFonts w:ascii="Bookman Old Style" w:eastAsia="Bookman Old Style" w:hAnsi="Bookman Old Style" w:cs="Bookman Old Style"/>
          <w:b/>
          <w:sz w:val="24"/>
          <w:szCs w:val="24"/>
        </w:rPr>
        <w:t>PAÍSES</w:t>
      </w:r>
      <w:r>
        <w:rPr>
          <w:rFonts w:ascii="Bookman Old Style" w:eastAsia="Bookman Old Style" w:hAnsi="Bookman Old Style" w:cs="Bookman Old Style"/>
          <w:b/>
          <w:color w:val="000000"/>
          <w:sz w:val="24"/>
          <w:szCs w:val="24"/>
        </w:rPr>
        <w:t xml:space="preserve"> DEL MUNDO.</w:t>
      </w:r>
    </w:p>
    <w:p w14:paraId="000000B1" w14:textId="77777777" w:rsidR="00F0788F" w:rsidRDefault="00F0788F">
      <w:pPr>
        <w:spacing w:line="240" w:lineRule="auto"/>
        <w:jc w:val="center"/>
        <w:rPr>
          <w:rFonts w:ascii="Bookman Old Style" w:eastAsia="Bookman Old Style" w:hAnsi="Bookman Old Style" w:cs="Bookman Old Style"/>
          <w:b/>
          <w:sz w:val="24"/>
          <w:szCs w:val="24"/>
        </w:rPr>
      </w:pPr>
    </w:p>
    <w:p w14:paraId="258806F4" w14:textId="77777777" w:rsidR="00FC7E65" w:rsidRDefault="00FC7E65">
      <w:pPr>
        <w:spacing w:line="240" w:lineRule="auto"/>
        <w:rPr>
          <w:rFonts w:ascii="Bookman Old Style" w:eastAsia="Bookman Old Style" w:hAnsi="Bookman Old Style" w:cs="Bookman Old Style"/>
          <w:b/>
          <w:sz w:val="24"/>
          <w:szCs w:val="24"/>
        </w:rPr>
      </w:pPr>
    </w:p>
    <w:p w14:paraId="2EB6479E" w14:textId="77777777" w:rsidR="00FC7E65" w:rsidRDefault="00FC7E65">
      <w:pPr>
        <w:spacing w:line="240" w:lineRule="auto"/>
        <w:rPr>
          <w:rFonts w:ascii="Bookman Old Style" w:eastAsia="Bookman Old Style" w:hAnsi="Bookman Old Style" w:cs="Bookman Old Style"/>
          <w:b/>
          <w:sz w:val="24"/>
          <w:szCs w:val="24"/>
        </w:rPr>
      </w:pPr>
    </w:p>
    <w:p w14:paraId="464B50A9" w14:textId="77777777" w:rsidR="00C43226" w:rsidRDefault="00C43226">
      <w:pPr>
        <w:spacing w:line="240" w:lineRule="auto"/>
        <w:rPr>
          <w:rFonts w:ascii="Bookman Old Style" w:eastAsia="Bookman Old Style" w:hAnsi="Bookman Old Style" w:cs="Bookman Old Style"/>
          <w:b/>
          <w:sz w:val="24"/>
          <w:szCs w:val="24"/>
        </w:rPr>
      </w:pPr>
    </w:p>
    <w:p w14:paraId="000000B2" w14:textId="2D984993" w:rsidR="00F0788F" w:rsidRDefault="00B32145">
      <w:p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Alemania</w:t>
      </w:r>
      <w:r>
        <w:rPr>
          <w:rFonts w:ascii="Bookman Old Style" w:eastAsia="Bookman Old Style" w:hAnsi="Bookman Old Style" w:cs="Bookman Old Style"/>
          <w:b/>
          <w:sz w:val="24"/>
          <w:szCs w:val="24"/>
          <w:vertAlign w:val="superscript"/>
        </w:rPr>
        <w:footnoteReference w:id="8"/>
      </w:r>
    </w:p>
    <w:p w14:paraId="000000B3" w14:textId="77777777" w:rsidR="00F0788F" w:rsidRDefault="00B32145">
      <w:pPr>
        <w:spacing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sz w:val="24"/>
          <w:szCs w:val="24"/>
          <w:highlight w:val="white"/>
        </w:rPr>
        <w:t>Cada estado tiene sus leyes para apuntar traductores juramentados a través de sus altos tribunales regionales o distritales. Según el Acta del Sistema Judicial Alemán, § 189 Sec. 4, los traductores e intérpretes están obligados a mantener en secreto lo que traducen o interpretan y deben transferir el texto escrito o hablada de manera fiel y diligente.</w:t>
      </w:r>
    </w:p>
    <w:p w14:paraId="000000B4" w14:textId="77777777" w:rsidR="00F0788F" w:rsidRDefault="00B32145">
      <w:p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Argentina</w:t>
      </w:r>
      <w:r>
        <w:rPr>
          <w:rFonts w:ascii="Bookman Old Style" w:eastAsia="Bookman Old Style" w:hAnsi="Bookman Old Style" w:cs="Bookman Old Style"/>
          <w:b/>
          <w:sz w:val="24"/>
          <w:szCs w:val="24"/>
          <w:vertAlign w:val="superscript"/>
        </w:rPr>
        <w:footnoteReference w:id="9"/>
      </w:r>
    </w:p>
    <w:p w14:paraId="000000B5" w14:textId="77777777" w:rsidR="00F0788F" w:rsidRDefault="00B32145">
      <w:pPr>
        <w:spacing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Existe la figura de traductor público y su firma y sello deben ser legalizadas para cada documento. Para ser traductor público, debe ser mayor de edad, argentino nativo o naturalizado (con cinco años de ejercicio de la ciudadanía), poseer un título que lo habilite, estar libre de condenas penales, inscribirse en la matrícula profesional, declarar domicilio real y constituir domicilio legal en Capital Federal.</w:t>
      </w:r>
    </w:p>
    <w:p w14:paraId="000000B6" w14:textId="77777777" w:rsidR="00F0788F" w:rsidRDefault="00B32145">
      <w:pPr>
        <w:spacing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Es importante anotar que los traductores públicos en la República Argentina son llamados “fedatarios” - es decir que no dan fe del contenido de los documentos sino de haberlos traducido de manera fiel con respecto al documento original. Se considera que la traducción es una “verdad jurídica objetiva” salvo que se establezca lo contrario por medio de una sentencia.</w:t>
      </w:r>
    </w:p>
    <w:p w14:paraId="000000B7" w14:textId="77777777" w:rsidR="00F0788F" w:rsidRDefault="00B32145">
      <w:p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Austria</w:t>
      </w:r>
      <w:r>
        <w:rPr>
          <w:rFonts w:ascii="Bookman Old Style" w:eastAsia="Bookman Old Style" w:hAnsi="Bookman Old Style" w:cs="Bookman Old Style"/>
          <w:b/>
          <w:sz w:val="24"/>
          <w:szCs w:val="24"/>
          <w:vertAlign w:val="superscript"/>
        </w:rPr>
        <w:footnoteReference w:id="10"/>
      </w:r>
    </w:p>
    <w:p w14:paraId="000000B8" w14:textId="77777777" w:rsidR="00F0788F" w:rsidRDefault="00B32145">
      <w:pPr>
        <w:spacing w:line="240" w:lineRule="auto"/>
        <w:jc w:val="both"/>
        <w:rPr>
          <w:rFonts w:ascii="Bookman Old Style" w:eastAsia="Bookman Old Style" w:hAnsi="Bookman Old Style" w:cs="Bookman Old Style"/>
          <w:sz w:val="24"/>
          <w:szCs w:val="24"/>
          <w:highlight w:val="white"/>
        </w:rPr>
      </w:pPr>
      <w:bookmarkStart w:id="6" w:name="_2et92p0" w:colFirst="0" w:colLast="0"/>
      <w:bookmarkEnd w:id="6"/>
      <w:r>
        <w:rPr>
          <w:rFonts w:ascii="Bookman Old Style" w:eastAsia="Bookman Old Style" w:hAnsi="Bookman Old Style" w:cs="Bookman Old Style"/>
          <w:sz w:val="24"/>
          <w:szCs w:val="24"/>
          <w:highlight w:val="white"/>
        </w:rPr>
        <w:t xml:space="preserve">Los tribunales regionales tienen la potestad de designar traductores juramentados entre alemán y otro idioma (incluyendo lenguaje de señas), tras haber aprobado el examen y realizado el juramento en la corte. </w:t>
      </w:r>
    </w:p>
    <w:p w14:paraId="000000B9" w14:textId="77777777" w:rsidR="00F0788F" w:rsidRDefault="00B32145">
      <w:pPr>
        <w:spacing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Para inscribirse al examen deben demostrar dos años de experiencia (si se graduaron de eso en la universidad) o cinco años (si no). Las autoridades aceptan las traducciones o interpretaciones (particularmente en asuntos policiales) solamente si la persona cuenta con la firma y sello de traductor e intérprete juramentado.</w:t>
      </w:r>
    </w:p>
    <w:p w14:paraId="000000BA" w14:textId="1BD36F0C" w:rsidR="00F0788F" w:rsidRDefault="00B32145">
      <w:pPr>
        <w:spacing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Punto importante: si el traductor e intérprete juramentado no asiste regularmente a capacitaciones profesionales, su </w:t>
      </w:r>
      <w:r w:rsidR="00C43226">
        <w:rPr>
          <w:rFonts w:ascii="Bookman Old Style" w:eastAsia="Bookman Old Style" w:hAnsi="Bookman Old Style" w:cs="Bookman Old Style"/>
          <w:sz w:val="24"/>
          <w:szCs w:val="24"/>
          <w:highlight w:val="white"/>
        </w:rPr>
        <w:t>cargo caduco</w:t>
      </w:r>
      <w:r>
        <w:rPr>
          <w:rFonts w:ascii="Bookman Old Style" w:eastAsia="Bookman Old Style" w:hAnsi="Bookman Old Style" w:cs="Bookman Old Style"/>
          <w:sz w:val="24"/>
          <w:szCs w:val="24"/>
          <w:highlight w:val="white"/>
        </w:rPr>
        <w:t>.</w:t>
      </w:r>
    </w:p>
    <w:p w14:paraId="000000BB" w14:textId="77777777" w:rsidR="00F0788F" w:rsidRDefault="00B32145">
      <w:pPr>
        <w:spacing w:line="240" w:lineRule="auto"/>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Bélgica</w:t>
      </w:r>
      <w:r>
        <w:rPr>
          <w:rFonts w:ascii="Bookman Old Style" w:eastAsia="Bookman Old Style" w:hAnsi="Bookman Old Style" w:cs="Bookman Old Style"/>
          <w:b/>
          <w:sz w:val="24"/>
          <w:szCs w:val="24"/>
          <w:vertAlign w:val="superscript"/>
        </w:rPr>
        <w:footnoteReference w:id="11"/>
      </w:r>
    </w:p>
    <w:p w14:paraId="5CED9BEA" w14:textId="77777777" w:rsidR="00FC7E65" w:rsidRDefault="00B32145">
      <w:pPr>
        <w:spacing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En este momento, los traductores y los intérpretes juramentados se certifican en el tribunal de la jurisdicción en la que residen y solamente se </w:t>
      </w:r>
    </w:p>
    <w:p w14:paraId="21BBEF92" w14:textId="77777777" w:rsidR="00FC7E65" w:rsidRDefault="00FC7E65">
      <w:pPr>
        <w:spacing w:line="240" w:lineRule="auto"/>
        <w:jc w:val="both"/>
        <w:rPr>
          <w:rFonts w:ascii="Bookman Old Style" w:eastAsia="Bookman Old Style" w:hAnsi="Bookman Old Style" w:cs="Bookman Old Style"/>
          <w:sz w:val="24"/>
          <w:szCs w:val="24"/>
          <w:highlight w:val="white"/>
        </w:rPr>
      </w:pPr>
    </w:p>
    <w:p w14:paraId="2A2D90A3" w14:textId="77777777" w:rsidR="00FC7E65" w:rsidRDefault="00FC7E65">
      <w:pPr>
        <w:spacing w:line="240" w:lineRule="auto"/>
        <w:jc w:val="both"/>
        <w:rPr>
          <w:rFonts w:ascii="Bookman Old Style" w:eastAsia="Bookman Old Style" w:hAnsi="Bookman Old Style" w:cs="Bookman Old Style"/>
          <w:sz w:val="24"/>
          <w:szCs w:val="24"/>
          <w:highlight w:val="white"/>
        </w:rPr>
      </w:pPr>
    </w:p>
    <w:p w14:paraId="000000BC" w14:textId="41E285A3" w:rsidR="00F0788F" w:rsidRDefault="00B32145">
      <w:pPr>
        <w:spacing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les pide prueba de idoneidad, que usualmente es un diploma (pero la ley en este momento no dice explícitamente que tenga que serlo). </w:t>
      </w:r>
    </w:p>
    <w:p w14:paraId="000000BD" w14:textId="77777777" w:rsidR="00F0788F" w:rsidRDefault="00B32145">
      <w:pPr>
        <w:spacing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Se presentó un escándalo debido a eso (porque un inmigrante ilegal obtuvo ese certificado</w:t>
      </w:r>
      <w:r>
        <w:rPr>
          <w:rFonts w:ascii="Bookman Old Style" w:eastAsia="Bookman Old Style" w:hAnsi="Bookman Old Style" w:cs="Bookman Old Style"/>
          <w:sz w:val="24"/>
          <w:szCs w:val="24"/>
          <w:highlight w:val="white"/>
          <w:vertAlign w:val="superscript"/>
        </w:rPr>
        <w:footnoteReference w:id="12"/>
      </w:r>
      <w:r>
        <w:rPr>
          <w:rFonts w:ascii="Bookman Old Style" w:eastAsia="Bookman Old Style" w:hAnsi="Bookman Old Style" w:cs="Bookman Old Style"/>
          <w:sz w:val="24"/>
          <w:szCs w:val="24"/>
          <w:highlight w:val="white"/>
        </w:rPr>
        <w:t>) y están buscando cambiar la ley para que sea obligatorio asistir a una capacitación organizada por el Ministerio de Justicia y presentar un examen estandarizado. Lo otro que quieren cambiar es que las traducciones e interpretaciones deban ser de o al holandés, y no entre cualquier par de idiomas, pero hasta el momento eso está en proceso.</w:t>
      </w:r>
    </w:p>
    <w:p w14:paraId="000000BE" w14:textId="77777777" w:rsidR="00F0788F" w:rsidRDefault="00B32145">
      <w:pPr>
        <w:spacing w:line="240" w:lineRule="auto"/>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Brasil</w:t>
      </w:r>
      <w:r>
        <w:rPr>
          <w:rFonts w:ascii="Bookman Old Style" w:eastAsia="Bookman Old Style" w:hAnsi="Bookman Old Style" w:cs="Bookman Old Style"/>
          <w:b/>
          <w:sz w:val="24"/>
          <w:szCs w:val="24"/>
          <w:vertAlign w:val="superscript"/>
        </w:rPr>
        <w:footnoteReference w:id="13"/>
      </w:r>
    </w:p>
    <w:p w14:paraId="000000BF" w14:textId="77777777" w:rsidR="00F0788F" w:rsidRDefault="00B32145">
      <w:pPr>
        <w:spacing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Cada estado certifica a los traductores o intérpretes públicos juramentados tras aprobar el examen respectivo, por medio de la Registraduría de Comercio, la cual también fija los honorarios para dicho estado. Cuando hay algún par de idiomas para el cual no existan traductores públicos registrados, la Registraduría de Comercio puede apuntar extraoficialmente a uno, para un solo trabajo.</w:t>
      </w:r>
    </w:p>
    <w:p w14:paraId="000000C0" w14:textId="77777777" w:rsidR="00F0788F" w:rsidRDefault="00B32145">
      <w:pPr>
        <w:spacing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Si bien las traducciones son válidas en todo el país, deben estar notariadas cuando se utilicen en un estado distinto al de residencia del traductor. Los documentos extranjeros deben ser verificados en la embajada o consulado de Brasil en el país de origen </w:t>
      </w:r>
      <w:r>
        <w:rPr>
          <w:rFonts w:ascii="Bookman Old Style" w:eastAsia="Bookman Old Style" w:hAnsi="Bookman Old Style" w:cs="Bookman Old Style"/>
          <w:i/>
          <w:sz w:val="24"/>
          <w:szCs w:val="24"/>
          <w:highlight w:val="white"/>
        </w:rPr>
        <w:t>antes</w:t>
      </w:r>
      <w:r>
        <w:rPr>
          <w:rFonts w:ascii="Bookman Old Style" w:eastAsia="Bookman Old Style" w:hAnsi="Bookman Old Style" w:cs="Bookman Old Style"/>
          <w:sz w:val="24"/>
          <w:szCs w:val="24"/>
          <w:highlight w:val="white"/>
        </w:rPr>
        <w:t xml:space="preserve"> de ser traducidos.</w:t>
      </w:r>
    </w:p>
    <w:p w14:paraId="000000C1" w14:textId="77777777" w:rsidR="00F0788F" w:rsidRDefault="00B32145">
      <w:pPr>
        <w:spacing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Existe un reglamento para las traducciones juramentadas en cuanto al formato que debe ser empleado:</w:t>
      </w:r>
    </w:p>
    <w:p w14:paraId="000000C2" w14:textId="77777777" w:rsidR="00F0788F" w:rsidRDefault="00B32145">
      <w:pPr>
        <w:numPr>
          <w:ilvl w:val="0"/>
          <w:numId w:val="9"/>
        </w:numPr>
        <w:spacing w:after="0"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Párrafo de apertura con la identificación del traductor.</w:t>
      </w:r>
    </w:p>
    <w:p w14:paraId="000000C3" w14:textId="77777777" w:rsidR="00F0788F" w:rsidRDefault="00B32145">
      <w:pPr>
        <w:numPr>
          <w:ilvl w:val="0"/>
          <w:numId w:val="9"/>
        </w:numPr>
        <w:spacing w:after="0"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Número de la traducción, con su respectivo registro y sus páginas.</w:t>
      </w:r>
    </w:p>
    <w:p w14:paraId="000000C4" w14:textId="77777777" w:rsidR="00F0788F" w:rsidRDefault="00B32145">
      <w:pPr>
        <w:numPr>
          <w:ilvl w:val="0"/>
          <w:numId w:val="9"/>
        </w:numPr>
        <w:spacing w:after="0"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La traducción como tal, junto a elementos gráficos traducidos.</w:t>
      </w:r>
    </w:p>
    <w:p w14:paraId="000000C5" w14:textId="77777777" w:rsidR="00F0788F" w:rsidRDefault="00B32145">
      <w:pPr>
        <w:numPr>
          <w:ilvl w:val="0"/>
          <w:numId w:val="9"/>
        </w:numPr>
        <w:spacing w:after="0"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Párrafo de cierre declarando que el trabajo está completo y representa una traducción fiel del documento original.</w:t>
      </w:r>
    </w:p>
    <w:p w14:paraId="000000C6" w14:textId="77777777" w:rsidR="00F0788F" w:rsidRDefault="00B32145">
      <w:pPr>
        <w:numPr>
          <w:ilvl w:val="0"/>
          <w:numId w:val="9"/>
        </w:numPr>
        <w:spacing w:after="0"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Firma, nombre y sello del traductor, con sus credenciales y registro estatal.</w:t>
      </w:r>
    </w:p>
    <w:p w14:paraId="000000C7" w14:textId="77777777" w:rsidR="00F0788F" w:rsidRDefault="00F0788F">
      <w:pPr>
        <w:spacing w:line="240" w:lineRule="auto"/>
        <w:jc w:val="center"/>
        <w:rPr>
          <w:rFonts w:ascii="Bookman Old Style" w:eastAsia="Bookman Old Style" w:hAnsi="Bookman Old Style" w:cs="Bookman Old Style"/>
          <w:b/>
          <w:sz w:val="24"/>
          <w:szCs w:val="24"/>
        </w:rPr>
      </w:pPr>
    </w:p>
    <w:p w14:paraId="000000C8" w14:textId="77777777" w:rsidR="00F0788F" w:rsidRDefault="00B32145">
      <w:pPr>
        <w:spacing w:line="240" w:lineRule="auto"/>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Canadá</w:t>
      </w:r>
      <w:r>
        <w:rPr>
          <w:rFonts w:ascii="Bookman Old Style" w:eastAsia="Bookman Old Style" w:hAnsi="Bookman Old Style" w:cs="Bookman Old Style"/>
          <w:b/>
          <w:sz w:val="24"/>
          <w:szCs w:val="24"/>
          <w:vertAlign w:val="superscript"/>
        </w:rPr>
        <w:footnoteReference w:id="14"/>
      </w:r>
    </w:p>
    <w:p w14:paraId="000000C9" w14:textId="77777777" w:rsidR="00F0788F" w:rsidRDefault="00B32145">
      <w:pPr>
        <w:spacing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La figura es la de traductor certificado, título que se obtiene aprobando un examen y siendo miembro de una asociación provincial. Toda traducción certificada debe ir acompañada de una declaración, firma y sello por parte del traductor.</w:t>
      </w:r>
    </w:p>
    <w:p w14:paraId="301A52B1" w14:textId="77777777" w:rsidR="00FC7E65" w:rsidRDefault="00FC7E65">
      <w:pPr>
        <w:spacing w:line="240" w:lineRule="auto"/>
        <w:jc w:val="both"/>
        <w:rPr>
          <w:rFonts w:ascii="Bookman Old Style" w:eastAsia="Bookman Old Style" w:hAnsi="Bookman Old Style" w:cs="Bookman Old Style"/>
          <w:sz w:val="24"/>
          <w:szCs w:val="24"/>
          <w:highlight w:val="white"/>
        </w:rPr>
      </w:pPr>
    </w:p>
    <w:p w14:paraId="3047CA99" w14:textId="77777777" w:rsidR="00FC7E65" w:rsidRDefault="00FC7E65">
      <w:pPr>
        <w:spacing w:line="240" w:lineRule="auto"/>
        <w:jc w:val="both"/>
        <w:rPr>
          <w:rFonts w:ascii="Bookman Old Style" w:eastAsia="Bookman Old Style" w:hAnsi="Bookman Old Style" w:cs="Bookman Old Style"/>
          <w:sz w:val="24"/>
          <w:szCs w:val="24"/>
          <w:highlight w:val="white"/>
        </w:rPr>
      </w:pPr>
    </w:p>
    <w:p w14:paraId="000000CA" w14:textId="7CE31FCC" w:rsidR="00F0788F" w:rsidRDefault="00B32145">
      <w:pPr>
        <w:spacing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Existe también la alternativa de realizar una traducción y firmar una declaración jurada en presencia de un notario, para que esta sea válida.</w:t>
      </w:r>
    </w:p>
    <w:p w14:paraId="000000CB" w14:textId="77777777" w:rsidR="00F0788F" w:rsidRDefault="00B32145">
      <w:pPr>
        <w:spacing w:line="240" w:lineRule="auto"/>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España</w:t>
      </w:r>
      <w:r>
        <w:rPr>
          <w:rFonts w:ascii="Bookman Old Style" w:eastAsia="Bookman Old Style" w:hAnsi="Bookman Old Style" w:cs="Bookman Old Style"/>
          <w:b/>
          <w:sz w:val="24"/>
          <w:szCs w:val="24"/>
          <w:vertAlign w:val="superscript"/>
        </w:rPr>
        <w:footnoteReference w:id="15"/>
      </w:r>
    </w:p>
    <w:p w14:paraId="000000CC" w14:textId="77777777" w:rsidR="00F0788F" w:rsidRDefault="00B32145">
      <w:pPr>
        <w:spacing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rPr>
        <w:t xml:space="preserve">El título de traductor jurado lo otorga el </w:t>
      </w:r>
      <w:r>
        <w:rPr>
          <w:rFonts w:ascii="Bookman Old Style" w:eastAsia="Bookman Old Style" w:hAnsi="Bookman Old Style" w:cs="Bookman Old Style"/>
          <w:sz w:val="24"/>
          <w:szCs w:val="24"/>
          <w:highlight w:val="white"/>
        </w:rPr>
        <w:t>Ministerio de Asuntos Exteriores y Cooperación. El traductor jurado, además de contar con su firma y sello que son válidos y necesarios para garantizar la veracidad y exactitud, está autorizado para certificar traducciones realizadas por terceros.</w:t>
      </w:r>
    </w:p>
    <w:p w14:paraId="000000CD" w14:textId="77777777" w:rsidR="00F0788F" w:rsidRDefault="00B32145">
      <w:pPr>
        <w:spacing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El examen se realiza en Madrid una vez al año, consta de cuatro partes (textos periodísticos o literarios desde y hacia castellano sin diccionario, texto jurídico o económico hacia el castellano y con diccionario, y un examen oral en la otra lengua) y solo lo pueden presentar quienes tengan nacionalidad de algún territorio de la Unión Europea o el Espacio Económico Europeo, hayan cumplido mayoría de edad legal en España (18 años) y posea un título de graduado o licenciado universitario, ingeniero técnico, arquitecto técnico o equivalente.</w:t>
      </w:r>
    </w:p>
    <w:p w14:paraId="000000CE" w14:textId="77777777" w:rsidR="00F0788F" w:rsidRDefault="00B32145">
      <w:pPr>
        <w:spacing w:line="240" w:lineRule="auto"/>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Hungría</w:t>
      </w:r>
      <w:r>
        <w:rPr>
          <w:rFonts w:ascii="Bookman Old Style" w:eastAsia="Bookman Old Style" w:hAnsi="Bookman Old Style" w:cs="Bookman Old Style"/>
          <w:b/>
          <w:sz w:val="24"/>
          <w:szCs w:val="24"/>
          <w:vertAlign w:val="superscript"/>
        </w:rPr>
        <w:footnoteReference w:id="16"/>
      </w:r>
    </w:p>
    <w:p w14:paraId="000000CF" w14:textId="77777777" w:rsidR="00F0788F" w:rsidRDefault="00B32145">
      <w:pPr>
        <w:spacing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Existe el cargo de intérprete, que puede ser obtenido ya sea por algún programa universitario aprobado por el Ministerio de Justicia y Administración Pública, o por un examen.</w:t>
      </w:r>
    </w:p>
    <w:p w14:paraId="000000D0" w14:textId="77777777" w:rsidR="00F0788F" w:rsidRDefault="00B32145">
      <w:pPr>
        <w:spacing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Hay otros dos cargos que son traductor técnico e intérprete técnico (son distintos), y se dan en cuatro posibles áreas: ciencias sociales, ciencias naturales, tecnología y economía. Para obtener esa distinción, se debe contar previamente con un título profesional en alguna de esas disciplinas (por ejemplo, biólogo en el caso de ciencias naturales) y presentar un examen.</w:t>
      </w:r>
    </w:p>
    <w:p w14:paraId="000000D1" w14:textId="77777777" w:rsidR="00F0788F" w:rsidRDefault="00B32145">
      <w:pPr>
        <w:spacing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Si se cuenta ya con la idoneidad como traductor técnico, se puede aspirar al cargo adicional de corrector de estilo de traducciones técnicas; ocurre lo mismo en el caso del intérprete técnico, que puede expandir su jurisdicción a ser intérprete de conferencias.</w:t>
      </w:r>
    </w:p>
    <w:p w14:paraId="6411F252" w14:textId="77777777" w:rsidR="00FC7E65" w:rsidRDefault="00B32145">
      <w:pPr>
        <w:spacing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Todo eso lo regula la Oficina Nacional para la Traducción y la Atestación, la cual constituye el único organismo autorizado para certificar traducciones de y al húngaro, y para proporcionar intérpretes para los tribunales de Budapest. Para los tribunales por fuera de la capital, o para los casos en los </w:t>
      </w:r>
    </w:p>
    <w:p w14:paraId="0FF4573F" w14:textId="77777777" w:rsidR="00FC7E65" w:rsidRDefault="00FC7E65">
      <w:pPr>
        <w:spacing w:line="240" w:lineRule="auto"/>
        <w:jc w:val="both"/>
        <w:rPr>
          <w:rFonts w:ascii="Bookman Old Style" w:eastAsia="Bookman Old Style" w:hAnsi="Bookman Old Style" w:cs="Bookman Old Style"/>
          <w:sz w:val="24"/>
          <w:szCs w:val="24"/>
          <w:highlight w:val="white"/>
        </w:rPr>
      </w:pPr>
    </w:p>
    <w:p w14:paraId="122086F9" w14:textId="77777777" w:rsidR="00FC7E65" w:rsidRDefault="00FC7E65">
      <w:pPr>
        <w:spacing w:line="240" w:lineRule="auto"/>
        <w:jc w:val="both"/>
        <w:rPr>
          <w:rFonts w:ascii="Bookman Old Style" w:eastAsia="Bookman Old Style" w:hAnsi="Bookman Old Style" w:cs="Bookman Old Style"/>
          <w:sz w:val="24"/>
          <w:szCs w:val="24"/>
          <w:highlight w:val="white"/>
        </w:rPr>
      </w:pPr>
    </w:p>
    <w:p w14:paraId="000000D2" w14:textId="2BC3D073" w:rsidR="00F0788F" w:rsidRDefault="00B32145">
      <w:pPr>
        <w:spacing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que no se cuente con un intérprete debidamente calificado, se designa a una persona natural con buen comando del idioma requerido.</w:t>
      </w:r>
    </w:p>
    <w:p w14:paraId="000000D3" w14:textId="77777777" w:rsidR="00F0788F" w:rsidRDefault="00B32145">
      <w:pPr>
        <w:spacing w:line="240" w:lineRule="auto"/>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Indonesia</w:t>
      </w:r>
      <w:r>
        <w:rPr>
          <w:rFonts w:ascii="Bookman Old Style" w:eastAsia="Bookman Old Style" w:hAnsi="Bookman Old Style" w:cs="Bookman Old Style"/>
          <w:b/>
          <w:sz w:val="24"/>
          <w:szCs w:val="24"/>
          <w:vertAlign w:val="superscript"/>
        </w:rPr>
        <w:footnoteReference w:id="17"/>
      </w:r>
    </w:p>
    <w:p w14:paraId="000000D4" w14:textId="77777777" w:rsidR="00F0788F" w:rsidRDefault="00B32145">
      <w:pPr>
        <w:spacing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La Universidad de Indonesia, a través de la Escuela de Lingüística y Ciencias Culturales, organiza el examen requerido para certificarse como traductor juramentado, tras lo cual realizan la ceremonia respectiva en el tribunal de Yakarta, o de la gobernación de su región.</w:t>
      </w:r>
    </w:p>
    <w:p w14:paraId="000000D5" w14:textId="77777777" w:rsidR="00F0788F" w:rsidRDefault="00B32145">
      <w:pPr>
        <w:spacing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Existe también la Asociación de Traductores Indonesios, que expide certificados (válidos por cinco años) a quienes aprueban exámenes para certificarse como traductores o intérpretes competentes. Eso no implica que sus traducciones sean válidas desde el punto de vista legal, solamente les sirve para casos extraoficiales (por ejemplo, subtitular una película o traducir material publicitario, a riesgo de quien los contrate).</w:t>
      </w:r>
    </w:p>
    <w:p w14:paraId="000000D6" w14:textId="77777777" w:rsidR="00F0788F" w:rsidRDefault="00B32145">
      <w:pPr>
        <w:spacing w:line="240" w:lineRule="auto"/>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México</w:t>
      </w:r>
      <w:r>
        <w:rPr>
          <w:rFonts w:ascii="Bookman Old Style" w:eastAsia="Bookman Old Style" w:hAnsi="Bookman Old Style" w:cs="Bookman Old Style"/>
          <w:b/>
          <w:sz w:val="24"/>
          <w:szCs w:val="24"/>
          <w:vertAlign w:val="superscript"/>
        </w:rPr>
        <w:footnoteReference w:id="18"/>
      </w:r>
    </w:p>
    <w:p w14:paraId="000000D7" w14:textId="77777777" w:rsidR="00F0788F" w:rsidRDefault="00B32145">
      <w:pPr>
        <w:spacing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Hay certificados para cada uno de los 32 estados, y también para toda la federación. Cada cual se obtiene por medio de un examen oral y escrito y jurando ante la Corte Suprema de Justicia correspondiente al estado o al país. El cargo es perito traductor y solamente es válido en el estado en el que se certificó (salvo que se haya hecho a nivel de toda la federación), aunque cada cliente puede elegir si corre el riesgo de contratar a un traductor que se haya certificado en un estado distinto al que se reside.</w:t>
      </w:r>
    </w:p>
    <w:p w14:paraId="000000D8" w14:textId="77777777" w:rsidR="00F0788F" w:rsidRDefault="00B32145">
      <w:p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Noruega</w:t>
      </w:r>
      <w:r>
        <w:rPr>
          <w:rFonts w:ascii="Bookman Old Style" w:eastAsia="Bookman Old Style" w:hAnsi="Bookman Old Style" w:cs="Bookman Old Style"/>
          <w:b/>
          <w:sz w:val="24"/>
          <w:szCs w:val="24"/>
          <w:vertAlign w:val="superscript"/>
        </w:rPr>
        <w:footnoteReference w:id="19"/>
      </w:r>
    </w:p>
    <w:p w14:paraId="000000D9" w14:textId="77777777" w:rsidR="00F0788F" w:rsidRDefault="00B32145">
      <w:pPr>
        <w:spacing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Se presenta un examen realizado por la Asociación de Traductores Autorizados por el Gobierno (que existe desde 1913). Si se aprueba, las traducciones quedan autorizadas por la frase “Verdadera Traducción Certificada”, seguida de la firma del traductor.</w:t>
      </w:r>
    </w:p>
    <w:p w14:paraId="000000DA" w14:textId="77777777" w:rsidR="00F0788F" w:rsidRDefault="00B32145">
      <w:pPr>
        <w:spacing w:line="240" w:lineRule="auto"/>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Países Bajos</w:t>
      </w:r>
      <w:r>
        <w:rPr>
          <w:rFonts w:ascii="Bookman Old Style" w:eastAsia="Bookman Old Style" w:hAnsi="Bookman Old Style" w:cs="Bookman Old Style"/>
          <w:b/>
          <w:sz w:val="24"/>
          <w:szCs w:val="24"/>
          <w:vertAlign w:val="superscript"/>
        </w:rPr>
        <w:footnoteReference w:id="20"/>
      </w:r>
    </w:p>
    <w:p w14:paraId="000000DB" w14:textId="77777777" w:rsidR="00F0788F" w:rsidRDefault="00B32145">
      <w:pPr>
        <w:spacing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El Departamento para Intérpretes y Traductores Juramentados tiene dos niveles de acreditación, aunque solo el más alto de ellos tiene validez legal.</w:t>
      </w:r>
    </w:p>
    <w:p w14:paraId="525166FB" w14:textId="77777777" w:rsidR="00C43226" w:rsidRDefault="00C43226">
      <w:pPr>
        <w:spacing w:line="240" w:lineRule="auto"/>
        <w:rPr>
          <w:rFonts w:ascii="Bookman Old Style" w:eastAsia="Bookman Old Style" w:hAnsi="Bookman Old Style" w:cs="Bookman Old Style"/>
          <w:b/>
          <w:sz w:val="24"/>
          <w:szCs w:val="24"/>
          <w:highlight w:val="white"/>
        </w:rPr>
      </w:pPr>
    </w:p>
    <w:p w14:paraId="519122D4" w14:textId="77777777" w:rsidR="00C43226" w:rsidRDefault="00C43226">
      <w:pPr>
        <w:spacing w:line="240" w:lineRule="auto"/>
        <w:rPr>
          <w:rFonts w:ascii="Bookman Old Style" w:eastAsia="Bookman Old Style" w:hAnsi="Bookman Old Style" w:cs="Bookman Old Style"/>
          <w:b/>
          <w:sz w:val="24"/>
          <w:szCs w:val="24"/>
          <w:highlight w:val="white"/>
        </w:rPr>
      </w:pPr>
    </w:p>
    <w:p w14:paraId="2B3AA055" w14:textId="77777777" w:rsidR="00C43226" w:rsidRDefault="00C43226">
      <w:pPr>
        <w:spacing w:line="240" w:lineRule="auto"/>
        <w:rPr>
          <w:rFonts w:ascii="Bookman Old Style" w:eastAsia="Bookman Old Style" w:hAnsi="Bookman Old Style" w:cs="Bookman Old Style"/>
          <w:b/>
          <w:sz w:val="24"/>
          <w:szCs w:val="24"/>
          <w:highlight w:val="white"/>
        </w:rPr>
      </w:pPr>
    </w:p>
    <w:p w14:paraId="56D45A0D" w14:textId="77777777" w:rsidR="00C43226" w:rsidRDefault="00C43226">
      <w:pPr>
        <w:spacing w:line="240" w:lineRule="auto"/>
        <w:rPr>
          <w:rFonts w:ascii="Bookman Old Style" w:eastAsia="Bookman Old Style" w:hAnsi="Bookman Old Style" w:cs="Bookman Old Style"/>
          <w:b/>
          <w:sz w:val="24"/>
          <w:szCs w:val="24"/>
          <w:highlight w:val="white"/>
        </w:rPr>
      </w:pPr>
    </w:p>
    <w:p w14:paraId="000000DC" w14:textId="0325A916" w:rsidR="00F0788F" w:rsidRDefault="00B32145">
      <w:pPr>
        <w:spacing w:line="240" w:lineRule="auto"/>
        <w:rPr>
          <w:rFonts w:ascii="Bookman Old Style" w:eastAsia="Bookman Old Style" w:hAnsi="Bookman Old Style" w:cs="Bookman Old Style"/>
          <w:b/>
          <w:sz w:val="24"/>
          <w:szCs w:val="24"/>
          <w:highlight w:val="white"/>
        </w:rPr>
      </w:pPr>
      <w:r>
        <w:rPr>
          <w:rFonts w:ascii="Bookman Old Style" w:eastAsia="Bookman Old Style" w:hAnsi="Bookman Old Style" w:cs="Bookman Old Style"/>
          <w:b/>
          <w:sz w:val="24"/>
          <w:szCs w:val="24"/>
          <w:highlight w:val="white"/>
        </w:rPr>
        <w:t>Perú</w:t>
      </w:r>
      <w:r>
        <w:rPr>
          <w:rFonts w:ascii="Bookman Old Style" w:eastAsia="Bookman Old Style" w:hAnsi="Bookman Old Style" w:cs="Bookman Old Style"/>
          <w:b/>
          <w:sz w:val="24"/>
          <w:szCs w:val="24"/>
          <w:highlight w:val="white"/>
          <w:vertAlign w:val="superscript"/>
        </w:rPr>
        <w:footnoteReference w:id="21"/>
      </w:r>
    </w:p>
    <w:p w14:paraId="000000DD" w14:textId="5681C4C1" w:rsidR="00F0788F" w:rsidRDefault="00B32145">
      <w:pPr>
        <w:spacing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sz w:val="24"/>
          <w:szCs w:val="24"/>
          <w:highlight w:val="white"/>
        </w:rPr>
        <w:t>Existe la figura del Traductor Público Juramentado (TPJ), el cual está calificado para realizar traducciones directas (hacia el castellano) o inversas (desde el castellano). Cada TPJ puede certificarse en uno o más idiomas o en una o más direcciones. En este momento, hay solo nueve idiomas legalizados, así que para todos los demás (coreano, por ejemplo, o rumano) se va a la figura del Traductor Especial, el cual debe cumplir con los requisitos expuestos en los artículos 52-58 del reglamento de los TPJ.</w:t>
      </w:r>
    </w:p>
    <w:p w14:paraId="000000DE" w14:textId="77777777" w:rsidR="00F0788F" w:rsidRDefault="00B32145">
      <w:pPr>
        <w:spacing w:line="240" w:lineRule="auto"/>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Polonia</w:t>
      </w:r>
      <w:r>
        <w:rPr>
          <w:rFonts w:ascii="Bookman Old Style" w:eastAsia="Bookman Old Style" w:hAnsi="Bookman Old Style" w:cs="Bookman Old Style"/>
          <w:b/>
          <w:sz w:val="24"/>
          <w:szCs w:val="24"/>
          <w:vertAlign w:val="superscript"/>
        </w:rPr>
        <w:footnoteReference w:id="22"/>
      </w:r>
    </w:p>
    <w:p w14:paraId="000000DF" w14:textId="77777777" w:rsidR="00F0788F" w:rsidRDefault="00B32145">
      <w:pPr>
        <w:spacing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sz w:val="24"/>
          <w:szCs w:val="24"/>
          <w:highlight w:val="white"/>
        </w:rPr>
        <w:t>El Ministerio de Justicia regula el oficio. Quienes pasan el examen entran en la lista, se les da su sello y se reconocen como traductores juramentados. Para traducciones ordinarias (negocios, administración, correspondencia) es suficiente contar con un experto en el campo.</w:t>
      </w:r>
    </w:p>
    <w:p w14:paraId="000000E0" w14:textId="77777777" w:rsidR="00F0788F" w:rsidRDefault="00B32145">
      <w:pPr>
        <w:spacing w:line="240" w:lineRule="auto"/>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Reino Unido</w:t>
      </w:r>
      <w:r>
        <w:rPr>
          <w:rFonts w:ascii="Bookman Old Style" w:eastAsia="Bookman Old Style" w:hAnsi="Bookman Old Style" w:cs="Bookman Old Style"/>
          <w:b/>
          <w:sz w:val="24"/>
          <w:szCs w:val="24"/>
          <w:vertAlign w:val="superscript"/>
        </w:rPr>
        <w:footnoteReference w:id="23"/>
      </w:r>
    </w:p>
    <w:p w14:paraId="000000E1" w14:textId="77777777" w:rsidR="00F0788F" w:rsidRDefault="00B32145">
      <w:pP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Como territorio de ley común y no ley civil, existe la traducción oficial </w:t>
      </w:r>
      <w:r>
        <w:rPr>
          <w:rFonts w:ascii="Bookman Old Style" w:eastAsia="Bookman Old Style" w:hAnsi="Bookman Old Style" w:cs="Bookman Old Style"/>
          <w:i/>
          <w:sz w:val="24"/>
          <w:szCs w:val="24"/>
        </w:rPr>
        <w:t>certificada</w:t>
      </w:r>
      <w:r>
        <w:rPr>
          <w:rFonts w:ascii="Bookman Old Style" w:eastAsia="Bookman Old Style" w:hAnsi="Bookman Old Style" w:cs="Bookman Old Style"/>
          <w:sz w:val="24"/>
          <w:szCs w:val="24"/>
        </w:rPr>
        <w:t xml:space="preserve"> más no la traducción oficial </w:t>
      </w:r>
      <w:r>
        <w:rPr>
          <w:rFonts w:ascii="Bookman Old Style" w:eastAsia="Bookman Old Style" w:hAnsi="Bookman Old Style" w:cs="Bookman Old Style"/>
          <w:i/>
          <w:sz w:val="24"/>
          <w:szCs w:val="24"/>
        </w:rPr>
        <w:t>juramentada</w:t>
      </w:r>
      <w:r>
        <w:rPr>
          <w:rFonts w:ascii="Bookman Old Style" w:eastAsia="Bookman Old Style" w:hAnsi="Bookman Old Style" w:cs="Bookman Old Style"/>
          <w:sz w:val="24"/>
          <w:szCs w:val="24"/>
        </w:rPr>
        <w:t xml:space="preserve">. Sin embargo, eso parece estar privatizado según lo que pudo hallarse: una asociación puede reglamentarse internamente para expedir sus sellos y que sus miembros inscritos o quienes cursaron allá puedan utilizarlos, sellando e inicializando cada página y de esta manera oficializando la traducción. No es una cuestión gubernamental, sino que las embajadas o los receptores respectivos la aceptan o rechazan teniendo en cuenta el prestigio y el buen nombre de la organización respectiva. </w:t>
      </w:r>
      <w:r>
        <w:rPr>
          <w:rFonts w:ascii="Bookman Old Style" w:eastAsia="Bookman Old Style" w:hAnsi="Bookman Old Style" w:cs="Bookman Old Style"/>
          <w:i/>
          <w:sz w:val="24"/>
          <w:szCs w:val="24"/>
        </w:rPr>
        <w:t>ITI (Institute of Translation &amp; Interpreting)</w:t>
      </w:r>
      <w:r>
        <w:rPr>
          <w:rFonts w:ascii="Bookman Old Style" w:eastAsia="Bookman Old Style" w:hAnsi="Bookman Old Style" w:cs="Bookman Old Style"/>
          <w:sz w:val="24"/>
          <w:szCs w:val="24"/>
        </w:rPr>
        <w:t xml:space="preserve"> parece tener muy buena posición al respecto.</w:t>
      </w:r>
    </w:p>
    <w:p w14:paraId="000000E2" w14:textId="77777777" w:rsidR="00F0788F" w:rsidRDefault="00B32145">
      <w:pP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Ellos - </w:t>
      </w:r>
      <w:r>
        <w:rPr>
          <w:rFonts w:ascii="Bookman Old Style" w:eastAsia="Bookman Old Style" w:hAnsi="Bookman Old Style" w:cs="Bookman Old Style"/>
          <w:i/>
          <w:sz w:val="24"/>
          <w:szCs w:val="24"/>
        </w:rPr>
        <w:t xml:space="preserve">ITI </w:t>
      </w:r>
      <w:r>
        <w:rPr>
          <w:rFonts w:ascii="Bookman Old Style" w:eastAsia="Bookman Old Style" w:hAnsi="Bookman Old Style" w:cs="Bookman Old Style"/>
          <w:sz w:val="24"/>
          <w:szCs w:val="24"/>
        </w:rPr>
        <w:t xml:space="preserve">- aclaran que sus traducciones oficiales, de nuevo, son </w:t>
      </w:r>
      <w:r>
        <w:rPr>
          <w:rFonts w:ascii="Bookman Old Style" w:eastAsia="Bookman Old Style" w:hAnsi="Bookman Old Style" w:cs="Bookman Old Style"/>
          <w:i/>
          <w:sz w:val="24"/>
          <w:szCs w:val="24"/>
        </w:rPr>
        <w:t>certificadas</w:t>
      </w:r>
      <w:r>
        <w:rPr>
          <w:rFonts w:ascii="Bookman Old Style" w:eastAsia="Bookman Old Style" w:hAnsi="Bookman Old Style" w:cs="Bookman Old Style"/>
          <w:sz w:val="24"/>
          <w:szCs w:val="24"/>
        </w:rPr>
        <w:t xml:space="preserve"> pero no </w:t>
      </w:r>
      <w:r>
        <w:rPr>
          <w:rFonts w:ascii="Bookman Old Style" w:eastAsia="Bookman Old Style" w:hAnsi="Bookman Old Style" w:cs="Bookman Old Style"/>
          <w:i/>
          <w:sz w:val="24"/>
          <w:szCs w:val="24"/>
        </w:rPr>
        <w:t>juramentadas</w:t>
      </w:r>
      <w:r>
        <w:rPr>
          <w:rFonts w:ascii="Bookman Old Style" w:eastAsia="Bookman Old Style" w:hAnsi="Bookman Old Style" w:cs="Bookman Old Style"/>
          <w:sz w:val="24"/>
          <w:szCs w:val="24"/>
        </w:rPr>
        <w:t>, ya que eso allá no existe como tal. Sí pueden ser apostilladas o notariadas pero se aclara que la apostilla o la firma del notario (respectivamente) no confirman la autenticidad del contenido de la traducción.</w:t>
      </w:r>
    </w:p>
    <w:p w14:paraId="3E109F4B" w14:textId="77777777" w:rsidR="00C43226" w:rsidRDefault="00B32145">
      <w:pP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ITI</w:t>
      </w:r>
      <w:r>
        <w:rPr>
          <w:rFonts w:ascii="Bookman Old Style" w:eastAsia="Bookman Old Style" w:hAnsi="Bookman Old Style" w:cs="Bookman Old Style"/>
          <w:sz w:val="24"/>
          <w:szCs w:val="24"/>
        </w:rPr>
        <w:t xml:space="preserve">, fundado en 1986, es un posible modelo interesante para nuestra agremiación, en cuanto a que incluyen un código de conducta, una presentación en video, publicaciones, equipo ejecutivo, junta directiva, varios comités (admisiones, conducta profesional, desarrollo profesional, comunidad, evaluación profesional, apelaciones, coordinación de redes y </w:t>
      </w:r>
    </w:p>
    <w:p w14:paraId="2842A8D0" w14:textId="77777777" w:rsidR="00C43226" w:rsidRDefault="00C43226">
      <w:pPr>
        <w:spacing w:line="240" w:lineRule="auto"/>
        <w:jc w:val="both"/>
        <w:rPr>
          <w:rFonts w:ascii="Bookman Old Style" w:eastAsia="Bookman Old Style" w:hAnsi="Bookman Old Style" w:cs="Bookman Old Style"/>
          <w:sz w:val="24"/>
          <w:szCs w:val="24"/>
        </w:rPr>
      </w:pPr>
    </w:p>
    <w:p w14:paraId="292848C7" w14:textId="77777777" w:rsidR="00C43226" w:rsidRDefault="00C43226">
      <w:pPr>
        <w:spacing w:line="240" w:lineRule="auto"/>
        <w:jc w:val="both"/>
        <w:rPr>
          <w:rFonts w:ascii="Bookman Old Style" w:eastAsia="Bookman Old Style" w:hAnsi="Bookman Old Style" w:cs="Bookman Old Style"/>
          <w:sz w:val="24"/>
          <w:szCs w:val="24"/>
        </w:rPr>
      </w:pPr>
    </w:p>
    <w:p w14:paraId="000000E3" w14:textId="097CCB38" w:rsidR="00F0788F" w:rsidRDefault="00B32145">
      <w:pP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grupos regionales); incluyen un directorio, consejos a los clientes, información acerca de qué es una traducción oficial (y qué implica apostillar o notarizar), distintos tipos de membresías (con sus respectivos beneficios), desarrollo profesional, conferencias, etc.</w:t>
      </w:r>
    </w:p>
    <w:p w14:paraId="000000E4" w14:textId="77777777" w:rsidR="00F0788F" w:rsidRDefault="00B32145">
      <w:pPr>
        <w:spacing w:line="240" w:lineRule="auto"/>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Sudáfrica</w:t>
      </w:r>
      <w:r>
        <w:rPr>
          <w:rFonts w:ascii="Bookman Old Style" w:eastAsia="Bookman Old Style" w:hAnsi="Bookman Old Style" w:cs="Bookman Old Style"/>
          <w:b/>
          <w:sz w:val="24"/>
          <w:szCs w:val="24"/>
          <w:vertAlign w:val="superscript"/>
        </w:rPr>
        <w:footnoteReference w:id="24"/>
      </w:r>
    </w:p>
    <w:p w14:paraId="000000E5" w14:textId="77777777" w:rsidR="00F0788F" w:rsidRDefault="00B32145">
      <w:pPr>
        <w:spacing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El texto fuente debe ser el original o una copia jurada del original. El traductor debe estar autorizado por la Corte Suprema y no es menester que sea natural de ese país. </w:t>
      </w:r>
    </w:p>
    <w:p w14:paraId="000000E6" w14:textId="77777777" w:rsidR="00F0788F" w:rsidRDefault="00B32145">
      <w:pPr>
        <w:spacing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Para ser traducción juramentada deben cumplirse los siguientes criterios:</w:t>
      </w:r>
    </w:p>
    <w:p w14:paraId="000000E7" w14:textId="77777777" w:rsidR="00F0788F" w:rsidRDefault="00B32145">
      <w:pPr>
        <w:numPr>
          <w:ilvl w:val="0"/>
          <w:numId w:val="10"/>
        </w:numPr>
        <w:spacing w:after="0"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La traducción juramentada se realiza solamente sobre los documentos originales o copias certificadas de los mismos, no versiones enviadas por correo electrónico o fax.</w:t>
      </w:r>
    </w:p>
    <w:p w14:paraId="000000E8" w14:textId="77777777" w:rsidR="00F0788F" w:rsidRDefault="00B32145">
      <w:pPr>
        <w:numPr>
          <w:ilvl w:val="0"/>
          <w:numId w:val="10"/>
        </w:numPr>
        <w:spacing w:after="0"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La traducción juramentada se entrega en físico, no electrónicamente.</w:t>
      </w:r>
    </w:p>
    <w:p w14:paraId="000000E9" w14:textId="77777777" w:rsidR="00F0788F" w:rsidRDefault="00B32145">
      <w:pPr>
        <w:numPr>
          <w:ilvl w:val="0"/>
          <w:numId w:val="10"/>
        </w:numPr>
        <w:spacing w:after="0"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Cada una de las páginas debe estar sellada.</w:t>
      </w:r>
    </w:p>
    <w:p w14:paraId="000000EA" w14:textId="77777777" w:rsidR="00F0788F" w:rsidRDefault="00B32145">
      <w:pPr>
        <w:numPr>
          <w:ilvl w:val="0"/>
          <w:numId w:val="10"/>
        </w:numPr>
        <w:spacing w:after="0"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Cada una de las páginas debe incluir la certificación firmada y fechada confirmando que la traducción es fiel al documento original.</w:t>
      </w:r>
    </w:p>
    <w:p w14:paraId="000000EB" w14:textId="77777777" w:rsidR="00F0788F" w:rsidRDefault="00B32145">
      <w:pPr>
        <w:spacing w:line="240" w:lineRule="auto"/>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Suecia</w:t>
      </w:r>
      <w:r>
        <w:rPr>
          <w:rFonts w:ascii="Bookman Old Style" w:eastAsia="Bookman Old Style" w:hAnsi="Bookman Old Style" w:cs="Bookman Old Style"/>
          <w:sz w:val="24"/>
          <w:szCs w:val="24"/>
          <w:highlight w:val="white"/>
          <w:vertAlign w:val="superscript"/>
        </w:rPr>
        <w:footnoteReference w:id="25"/>
      </w:r>
    </w:p>
    <w:p w14:paraId="000000EC" w14:textId="77777777" w:rsidR="00F0788F" w:rsidRDefault="00B32145">
      <w:pPr>
        <w:spacing w:line="24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La Agencia para los Servicios Legales, Financieros y Administrativos se encarga de organizar el examen y certificar a quienes lo aprueban para que sus traducciones sean legales y coercitivas para todo propósito jurídico.</w:t>
      </w:r>
    </w:p>
    <w:p w14:paraId="000000ED" w14:textId="77777777" w:rsidR="00F0788F" w:rsidRDefault="00B32145">
      <w:pPr>
        <w:spacing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En conclusión, diferentes países cuentan con una amplia normatividad que protege y reconoce la actividad de los traductores e intérpretes oficiales para la sociedad y las relaciones que ésta tiene con la administración y con particulares en idiomas diferentes al oficial.</w:t>
      </w:r>
    </w:p>
    <w:p w14:paraId="000000EE" w14:textId="77777777" w:rsidR="00F0788F" w:rsidRDefault="00B32145">
      <w:pP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Por lo antes expuesto, es necesario que el legislativo en virtud de sus funciones constitucionales, otorgue a través de una ley seguridad jurídica a esta actividad, reconozca la importancia de sus labores y establezca los parámetros para que los traductores e intérpretes oficiales ejerzan con miras a profesionalizarse y reconocimiento.</w:t>
      </w:r>
    </w:p>
    <w:p w14:paraId="1E16FC95" w14:textId="77777777" w:rsidR="00C43226" w:rsidRDefault="00B32145">
      <w:pP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Porque de no establecerse los parámetros para el ejercicio de la actividad, la delimitación de sus responsabilidades y competencias y con la escasa normatividad vigente; se seguirán cometiendo irregularidades que contravienen el ordenamiento jurídico y con ello poner en riesgo la legalidad que deben tener todas las actuaciones; en el entendido que el ejercicio de esta actividad entre otras funciones, garantiza la idoneidad de los </w:t>
      </w:r>
    </w:p>
    <w:p w14:paraId="49130F8B" w14:textId="77777777" w:rsidR="00C43226" w:rsidRDefault="00C43226">
      <w:pPr>
        <w:spacing w:line="240" w:lineRule="auto"/>
        <w:jc w:val="both"/>
        <w:rPr>
          <w:rFonts w:ascii="Bookman Old Style" w:eastAsia="Bookman Old Style" w:hAnsi="Bookman Old Style" w:cs="Bookman Old Style"/>
          <w:sz w:val="24"/>
          <w:szCs w:val="24"/>
        </w:rPr>
      </w:pPr>
    </w:p>
    <w:p w14:paraId="1C640D30" w14:textId="77777777" w:rsidR="00C43226" w:rsidRDefault="00C43226">
      <w:pPr>
        <w:spacing w:line="240" w:lineRule="auto"/>
        <w:jc w:val="both"/>
        <w:rPr>
          <w:rFonts w:ascii="Bookman Old Style" w:eastAsia="Bookman Old Style" w:hAnsi="Bookman Old Style" w:cs="Bookman Old Style"/>
          <w:sz w:val="24"/>
          <w:szCs w:val="24"/>
        </w:rPr>
      </w:pPr>
    </w:p>
    <w:p w14:paraId="48207984" w14:textId="4331CB9B" w:rsidR="00FC7E65" w:rsidRDefault="00B32145">
      <w:pPr>
        <w:spacing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sz w:val="24"/>
          <w:szCs w:val="24"/>
        </w:rPr>
        <w:t>documentos a traducir y las actuaciones en donde se utilice la interpretación oficial.</w:t>
      </w:r>
      <w:r>
        <w:rPr>
          <w:rFonts w:ascii="Bookman Old Style" w:eastAsia="Bookman Old Style" w:hAnsi="Bookman Old Style" w:cs="Bookman Old Style"/>
          <w:color w:val="000000"/>
          <w:sz w:val="24"/>
          <w:szCs w:val="24"/>
        </w:rPr>
        <w:t xml:space="preserve"> </w:t>
      </w:r>
    </w:p>
    <w:p w14:paraId="685CE07C" w14:textId="77777777" w:rsidR="00C43226" w:rsidRDefault="00C43226">
      <w:pPr>
        <w:spacing w:line="240" w:lineRule="auto"/>
        <w:jc w:val="both"/>
        <w:rPr>
          <w:rFonts w:ascii="Bookman Old Style" w:eastAsia="Bookman Old Style" w:hAnsi="Bookman Old Style" w:cs="Bookman Old Style"/>
          <w:color w:val="000000"/>
          <w:sz w:val="24"/>
          <w:szCs w:val="24"/>
        </w:rPr>
      </w:pPr>
    </w:p>
    <w:p w14:paraId="000000F0" w14:textId="77777777" w:rsidR="00F0788F" w:rsidRDefault="00B32145">
      <w:pPr>
        <w:numPr>
          <w:ilvl w:val="0"/>
          <w:numId w:val="1"/>
        </w:numPr>
        <w:pBdr>
          <w:top w:val="nil"/>
          <w:left w:val="nil"/>
          <w:bottom w:val="nil"/>
          <w:right w:val="nil"/>
          <w:between w:val="nil"/>
        </w:pBdr>
        <w:spacing w:after="0"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 xml:space="preserve">CONTENIDO DEL PROYECTO DE LEY. </w:t>
      </w:r>
    </w:p>
    <w:p w14:paraId="000000F1" w14:textId="77777777" w:rsidR="00F0788F" w:rsidRDefault="00F0788F">
      <w:pPr>
        <w:spacing w:line="240" w:lineRule="auto"/>
        <w:jc w:val="both"/>
        <w:rPr>
          <w:rFonts w:ascii="Bookman Old Style" w:eastAsia="Bookman Old Style" w:hAnsi="Bookman Old Style" w:cs="Bookman Old Style"/>
          <w:b/>
          <w:color w:val="000000"/>
        </w:rPr>
      </w:pPr>
    </w:p>
    <w:p w14:paraId="000000F2" w14:textId="77777777" w:rsidR="00F0788F" w:rsidRDefault="00B32145">
      <w:pPr>
        <w:spacing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presente proyecto de Ley consta de 15 artículos incluida la vigencia y se encuentran distribuidos de la siguiente manera:</w:t>
      </w:r>
    </w:p>
    <w:p w14:paraId="000000F3" w14:textId="77777777" w:rsidR="00F0788F" w:rsidRDefault="00B32145">
      <w:pPr>
        <w:spacing w:line="240" w:lineRule="auto"/>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t>Artículo 1°.</w:t>
      </w:r>
      <w:r>
        <w:rPr>
          <w:rFonts w:ascii="Bookman Old Style" w:eastAsia="Bookman Old Style" w:hAnsi="Bookman Old Style" w:cs="Bookman Old Style"/>
          <w:color w:val="000000"/>
        </w:rPr>
        <w:t xml:space="preserve"> Señala el objeto de la ley.</w:t>
      </w:r>
    </w:p>
    <w:p w14:paraId="000000F4" w14:textId="77777777" w:rsidR="00F0788F" w:rsidRDefault="00B32145">
      <w:pPr>
        <w:spacing w:line="240" w:lineRule="auto"/>
        <w:jc w:val="both"/>
        <w:rPr>
          <w:rFonts w:ascii="Bookman Old Style" w:eastAsia="Bookman Old Style" w:hAnsi="Bookman Old Style" w:cs="Bookman Old Style"/>
          <w:color w:val="000000"/>
          <w:highlight w:val="white"/>
        </w:rPr>
      </w:pPr>
      <w:r>
        <w:rPr>
          <w:rFonts w:ascii="Bookman Old Style" w:eastAsia="Bookman Old Style" w:hAnsi="Bookman Old Style" w:cs="Bookman Old Style"/>
          <w:b/>
          <w:color w:val="000000"/>
        </w:rPr>
        <w:t>Artículo 2°.</w:t>
      </w:r>
      <w:r>
        <w:rPr>
          <w:rFonts w:ascii="Bookman Old Style" w:eastAsia="Bookman Old Style" w:hAnsi="Bookman Old Style" w:cs="Bookman Old Style"/>
          <w:color w:val="000000"/>
        </w:rPr>
        <w:t xml:space="preserve"> Ámbito de aplicación </w:t>
      </w:r>
    </w:p>
    <w:p w14:paraId="000000F5" w14:textId="77777777" w:rsidR="00F0788F" w:rsidRDefault="00B32145">
      <w:pPr>
        <w:spacing w:line="240" w:lineRule="auto"/>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t>Artículo 3°.</w:t>
      </w:r>
      <w:r>
        <w:rPr>
          <w:rFonts w:ascii="Bookman Old Style" w:eastAsia="Bookman Old Style" w:hAnsi="Bookman Old Style" w:cs="Bookman Old Style"/>
          <w:color w:val="000000"/>
        </w:rPr>
        <w:t xml:space="preserve"> Definiciones</w:t>
      </w:r>
    </w:p>
    <w:p w14:paraId="000000F6" w14:textId="77777777" w:rsidR="00F0788F" w:rsidRDefault="00B32145">
      <w:pPr>
        <w:spacing w:line="240" w:lineRule="auto"/>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t>Artículo 4°.</w:t>
      </w:r>
      <w:r>
        <w:rPr>
          <w:rFonts w:ascii="Bookman Old Style" w:eastAsia="Bookman Old Style" w:hAnsi="Bookman Old Style" w:cs="Bookman Old Style"/>
          <w:color w:val="000000"/>
        </w:rPr>
        <w:t xml:space="preserve"> Crea la </w:t>
      </w:r>
      <w:r>
        <w:rPr>
          <w:rFonts w:ascii="Bookman Old Style" w:eastAsia="Bookman Old Style" w:hAnsi="Bookman Old Style" w:cs="Bookman Old Style"/>
        </w:rPr>
        <w:t>base de datos de traductores e intérpretes oficiales.</w:t>
      </w:r>
    </w:p>
    <w:p w14:paraId="000000F7" w14:textId="77777777" w:rsidR="00F0788F" w:rsidRDefault="00B32145">
      <w:pPr>
        <w:spacing w:line="240" w:lineRule="auto"/>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t>Artículo 5°.</w:t>
      </w:r>
      <w:r>
        <w:rPr>
          <w:rFonts w:ascii="Bookman Old Style" w:eastAsia="Bookman Old Style" w:hAnsi="Bookman Old Style" w:cs="Bookman Old Style"/>
          <w:color w:val="000000"/>
        </w:rPr>
        <w:t xml:space="preserve"> Establece los requisitos para ejercer como traductor e </w:t>
      </w:r>
      <w:r>
        <w:rPr>
          <w:rFonts w:ascii="Bookman Old Style" w:eastAsia="Bookman Old Style" w:hAnsi="Bookman Old Style" w:cs="Bookman Old Style"/>
        </w:rPr>
        <w:t>intérprete</w:t>
      </w:r>
      <w:r>
        <w:rPr>
          <w:rFonts w:ascii="Bookman Old Style" w:eastAsia="Bookman Old Style" w:hAnsi="Bookman Old Style" w:cs="Bookman Old Style"/>
          <w:color w:val="000000"/>
        </w:rPr>
        <w:t xml:space="preserve"> oficial.</w:t>
      </w:r>
    </w:p>
    <w:p w14:paraId="000000F8" w14:textId="77777777" w:rsidR="00F0788F" w:rsidRDefault="00B32145">
      <w:pPr>
        <w:spacing w:line="240" w:lineRule="auto"/>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t>Artículo 6°.</w:t>
      </w:r>
      <w:r>
        <w:rPr>
          <w:rFonts w:ascii="Bookman Old Style" w:eastAsia="Bookman Old Style" w:hAnsi="Bookman Old Style" w:cs="Bookman Old Style"/>
          <w:color w:val="000000"/>
        </w:rPr>
        <w:t xml:space="preserve"> Examen para el ejercicio de la actividad.</w:t>
      </w:r>
    </w:p>
    <w:p w14:paraId="000000F9" w14:textId="77777777" w:rsidR="00F0788F" w:rsidRDefault="00B32145">
      <w:pPr>
        <w:spacing w:line="240" w:lineRule="auto"/>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t xml:space="preserve">Artículo 7°. </w:t>
      </w:r>
      <w:r>
        <w:rPr>
          <w:rFonts w:ascii="Bookman Old Style" w:eastAsia="Bookman Old Style" w:hAnsi="Bookman Old Style" w:cs="Bookman Old Style"/>
        </w:rPr>
        <w:t>Establece algunos parámetros de la traducción como encabezado o cierre con los datos de quien realiza la traducción con el fin de dar seguridad jurídica a los usuarios que intervienen en otro idioma.</w:t>
      </w:r>
    </w:p>
    <w:p w14:paraId="000000FA" w14:textId="77777777" w:rsidR="00F0788F" w:rsidRDefault="00B32145">
      <w:pPr>
        <w:spacing w:line="240" w:lineRule="auto"/>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t>Artículo 8°.</w:t>
      </w:r>
      <w:r>
        <w:rPr>
          <w:rFonts w:ascii="Bookman Old Style" w:eastAsia="Bookman Old Style" w:hAnsi="Bookman Old Style" w:cs="Bookman Old Style"/>
          <w:color w:val="000000"/>
        </w:rPr>
        <w:t xml:space="preserve">  Reconocimiento y verificación de la firma y sello de los traductores e intérpretes oficiales por parte del </w:t>
      </w:r>
      <w:r>
        <w:rPr>
          <w:rFonts w:ascii="Bookman Old Style" w:eastAsia="Bookman Old Style" w:hAnsi="Bookman Old Style" w:cs="Bookman Old Style"/>
        </w:rPr>
        <w:t>Ministerio de Relaciones Exteriores.</w:t>
      </w:r>
    </w:p>
    <w:p w14:paraId="000000FB" w14:textId="77777777" w:rsidR="00F0788F" w:rsidRDefault="00B32145">
      <w:pPr>
        <w:spacing w:line="240" w:lineRule="auto"/>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t>Artículo 9°.</w:t>
      </w:r>
      <w:r>
        <w:rPr>
          <w:rFonts w:ascii="Bookman Old Style" w:eastAsia="Bookman Old Style" w:hAnsi="Bookman Old Style" w:cs="Bookman Old Style"/>
          <w:color w:val="000000"/>
        </w:rPr>
        <w:t xml:space="preserve"> Postulados éticos y deberes generales del traductor e intérprete oficial inscrito en la base de datos del Ministerio de Relaciones Exteriores.</w:t>
      </w:r>
    </w:p>
    <w:p w14:paraId="000000FC" w14:textId="77777777" w:rsidR="00F0788F" w:rsidRDefault="00B32145">
      <w:pPr>
        <w:spacing w:line="240" w:lineRule="auto"/>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t>Artículo 10°.</w:t>
      </w:r>
      <w:r>
        <w:rPr>
          <w:rFonts w:ascii="Bookman Old Style" w:eastAsia="Bookman Old Style" w:hAnsi="Bookman Old Style" w:cs="Bookman Old Style"/>
          <w:color w:val="000000"/>
        </w:rPr>
        <w:t xml:space="preserve"> </w:t>
      </w:r>
      <w:r>
        <w:rPr>
          <w:rFonts w:ascii="Bookman Old Style" w:eastAsia="Bookman Old Style" w:hAnsi="Bookman Old Style" w:cs="Bookman Old Style"/>
        </w:rPr>
        <w:t>Oferta de programas de estudio y formación en el ámbito de la traducción y la interpretación con miras a profesionalizar el ejercicio de la actividad.</w:t>
      </w:r>
    </w:p>
    <w:p w14:paraId="000000FD" w14:textId="77777777" w:rsidR="00F0788F" w:rsidRDefault="00B32145">
      <w:pPr>
        <w:spacing w:line="240" w:lineRule="auto"/>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t>Artículo 11°.</w:t>
      </w:r>
      <w:r>
        <w:rPr>
          <w:rFonts w:ascii="Bookman Old Style" w:eastAsia="Bookman Old Style" w:hAnsi="Bookman Old Style" w:cs="Bookman Old Style"/>
          <w:color w:val="000000"/>
        </w:rPr>
        <w:t xml:space="preserve"> Libertad de asociación de los intérpretes y traductores oficiales. </w:t>
      </w:r>
    </w:p>
    <w:p w14:paraId="000000FE" w14:textId="77777777" w:rsidR="00F0788F" w:rsidRDefault="00B32145">
      <w:pPr>
        <w:spacing w:line="240" w:lineRule="auto"/>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t>Artículo 12°.</w:t>
      </w:r>
      <w:r>
        <w:rPr>
          <w:rFonts w:ascii="Bookman Old Style" w:eastAsia="Bookman Old Style" w:hAnsi="Bookman Old Style" w:cs="Bookman Old Style"/>
          <w:color w:val="000000"/>
        </w:rPr>
        <w:t xml:space="preserve"> </w:t>
      </w:r>
      <w:r>
        <w:rPr>
          <w:rFonts w:ascii="Bookman Old Style" w:eastAsia="Bookman Old Style" w:hAnsi="Bookman Old Style" w:cs="Bookman Old Style"/>
        </w:rPr>
        <w:t>Traducciones o interpretaciones simples.</w:t>
      </w:r>
    </w:p>
    <w:p w14:paraId="000000FF" w14:textId="77777777" w:rsidR="00F0788F" w:rsidRDefault="00B32145">
      <w:pPr>
        <w:spacing w:line="240" w:lineRule="auto"/>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t>Artículo 13°.</w:t>
      </w:r>
      <w:r>
        <w:rPr>
          <w:rFonts w:ascii="Bookman Old Style" w:eastAsia="Bookman Old Style" w:hAnsi="Bookman Old Style" w:cs="Bookman Old Style"/>
          <w:color w:val="000000"/>
        </w:rPr>
        <w:t xml:space="preserve"> Requisito de registro en la base de datos para inscripción en la lista de auxiliares de la justicia </w:t>
      </w:r>
    </w:p>
    <w:p w14:paraId="00000100" w14:textId="77777777" w:rsidR="00F0788F" w:rsidRDefault="00B32145">
      <w:pPr>
        <w:spacing w:line="240" w:lineRule="auto"/>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t xml:space="preserve">Artículo 14°. </w:t>
      </w:r>
      <w:r>
        <w:rPr>
          <w:rFonts w:ascii="Bookman Old Style" w:eastAsia="Bookman Old Style" w:hAnsi="Bookman Old Style" w:cs="Bookman Old Style"/>
        </w:rPr>
        <w:t>Término</w:t>
      </w:r>
      <w:r>
        <w:rPr>
          <w:rFonts w:ascii="Bookman Old Style" w:eastAsia="Bookman Old Style" w:hAnsi="Bookman Old Style" w:cs="Bookman Old Style"/>
          <w:color w:val="000000"/>
        </w:rPr>
        <w:t xml:space="preserve"> de transición para la inscripción en la base de datos de intérpretes y traductores oficiales.</w:t>
      </w:r>
    </w:p>
    <w:p w14:paraId="00000101" w14:textId="77777777" w:rsidR="00F0788F" w:rsidRDefault="00B32145">
      <w:pPr>
        <w:spacing w:line="240" w:lineRule="auto"/>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t>Artículo 15°.</w:t>
      </w:r>
      <w:r>
        <w:rPr>
          <w:rFonts w:ascii="Bookman Old Style" w:eastAsia="Bookman Old Style" w:hAnsi="Bookman Old Style" w:cs="Bookman Old Style"/>
          <w:color w:val="000000"/>
        </w:rPr>
        <w:t xml:space="preserve"> Vigencia y Derogatorias.</w:t>
      </w:r>
    </w:p>
    <w:p w14:paraId="00000102" w14:textId="20E2876F" w:rsidR="00F0788F" w:rsidRDefault="00F0788F">
      <w:pPr>
        <w:spacing w:line="240" w:lineRule="auto"/>
        <w:jc w:val="both"/>
        <w:rPr>
          <w:rFonts w:ascii="Bookman Old Style" w:eastAsia="Bookman Old Style" w:hAnsi="Bookman Old Style" w:cs="Bookman Old Style"/>
          <w:color w:val="000000"/>
        </w:rPr>
      </w:pPr>
    </w:p>
    <w:p w14:paraId="2D7275EE" w14:textId="1B2305AD" w:rsidR="00FC7E65" w:rsidRDefault="00FC7E65">
      <w:pPr>
        <w:spacing w:line="240" w:lineRule="auto"/>
        <w:jc w:val="both"/>
        <w:rPr>
          <w:rFonts w:ascii="Bookman Old Style" w:eastAsia="Bookman Old Style" w:hAnsi="Bookman Old Style" w:cs="Bookman Old Style"/>
          <w:color w:val="000000"/>
        </w:rPr>
      </w:pPr>
    </w:p>
    <w:p w14:paraId="299D8C00" w14:textId="1C10A0C9" w:rsidR="00FC7E65" w:rsidRDefault="00FC7E65">
      <w:pPr>
        <w:spacing w:line="240" w:lineRule="auto"/>
        <w:jc w:val="both"/>
        <w:rPr>
          <w:rFonts w:ascii="Bookman Old Style" w:eastAsia="Bookman Old Style" w:hAnsi="Bookman Old Style" w:cs="Bookman Old Style"/>
          <w:color w:val="000000"/>
        </w:rPr>
      </w:pPr>
    </w:p>
    <w:p w14:paraId="45B7A1A7" w14:textId="30C14B73" w:rsidR="00FC7E65" w:rsidRDefault="00FC7E65">
      <w:pPr>
        <w:spacing w:line="240" w:lineRule="auto"/>
        <w:jc w:val="both"/>
        <w:rPr>
          <w:rFonts w:ascii="Bookman Old Style" w:eastAsia="Bookman Old Style" w:hAnsi="Bookman Old Style" w:cs="Bookman Old Style"/>
          <w:color w:val="000000"/>
        </w:rPr>
      </w:pPr>
    </w:p>
    <w:p w14:paraId="02785512" w14:textId="77777777" w:rsidR="00FC7E65" w:rsidRDefault="00FC7E65">
      <w:pPr>
        <w:spacing w:line="240" w:lineRule="auto"/>
        <w:jc w:val="both"/>
        <w:rPr>
          <w:rFonts w:ascii="Bookman Old Style" w:eastAsia="Bookman Old Style" w:hAnsi="Bookman Old Style" w:cs="Bookman Old Style"/>
          <w:color w:val="000000"/>
        </w:rPr>
      </w:pPr>
    </w:p>
    <w:p w14:paraId="00000103" w14:textId="77777777" w:rsidR="00F0788F" w:rsidRDefault="00B32145">
      <w:pPr>
        <w:numPr>
          <w:ilvl w:val="0"/>
          <w:numId w:val="1"/>
        </w:numPr>
        <w:pBdr>
          <w:top w:val="nil"/>
          <w:left w:val="nil"/>
          <w:bottom w:val="nil"/>
          <w:right w:val="nil"/>
          <w:between w:val="nil"/>
        </w:pBdr>
        <w:spacing w:after="0"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 xml:space="preserve">PROPOSICIÓN.  </w:t>
      </w:r>
    </w:p>
    <w:p w14:paraId="00000104" w14:textId="77777777" w:rsidR="00F0788F" w:rsidRDefault="00F0788F">
      <w:pPr>
        <w:spacing w:line="240" w:lineRule="auto"/>
        <w:jc w:val="both"/>
        <w:rPr>
          <w:rFonts w:ascii="Bookman Old Style" w:eastAsia="Bookman Old Style" w:hAnsi="Bookman Old Style" w:cs="Bookman Old Style"/>
          <w:b/>
          <w:color w:val="000000"/>
        </w:rPr>
      </w:pPr>
    </w:p>
    <w:p w14:paraId="00000105" w14:textId="77777777" w:rsidR="00F0788F" w:rsidRDefault="00B32145">
      <w:pPr>
        <w:spacing w:line="24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En Concordancia con los anteriores argumentos, la necesidad y conveniencia de la iniciativa, pongo a consideración del Honorable Congreso de la República el presente proyecto de ley con el fin de que inicie su trámite legal.</w:t>
      </w:r>
    </w:p>
    <w:p w14:paraId="00000106" w14:textId="4F7A138F" w:rsidR="00F0788F" w:rsidRDefault="00F0788F">
      <w:pPr>
        <w:spacing w:before="240" w:after="240" w:line="240" w:lineRule="auto"/>
        <w:jc w:val="both"/>
        <w:rPr>
          <w:rFonts w:ascii="Bookman Old Style" w:eastAsia="Bookman Old Style" w:hAnsi="Bookman Old Style" w:cs="Bookman Old Style"/>
          <w:b/>
        </w:rPr>
      </w:pPr>
    </w:p>
    <w:p w14:paraId="00000109" w14:textId="2F96C671" w:rsidR="00F0788F" w:rsidRDefault="00B32145">
      <w:pPr>
        <w:spacing w:before="240" w:after="240" w:line="240" w:lineRule="auto"/>
        <w:jc w:val="both"/>
        <w:rPr>
          <w:rFonts w:ascii="Bookman Old Style" w:eastAsia="Bookman Old Style" w:hAnsi="Bookman Old Style" w:cs="Bookman Old Style"/>
        </w:rPr>
      </w:pPr>
      <w:r>
        <w:rPr>
          <w:rFonts w:ascii="Bookman Old Style" w:eastAsia="Bookman Old Style" w:hAnsi="Bookman Old Style" w:cs="Bookman Old Style"/>
        </w:rPr>
        <w:t>De las Congresistas</w:t>
      </w:r>
      <w:r w:rsidR="00FC7E65">
        <w:rPr>
          <w:rFonts w:ascii="Bookman Old Style" w:eastAsia="Bookman Old Style" w:hAnsi="Bookman Old Style" w:cs="Bookman Old Style"/>
        </w:rPr>
        <w:t>,</w:t>
      </w:r>
    </w:p>
    <w:p w14:paraId="0000010A" w14:textId="0E502DE5" w:rsidR="00F0788F" w:rsidRDefault="00F0788F">
      <w:pPr>
        <w:spacing w:before="240" w:after="240" w:line="240" w:lineRule="auto"/>
        <w:jc w:val="both"/>
        <w:rPr>
          <w:rFonts w:ascii="Bookman Old Style" w:eastAsia="Bookman Old Style" w:hAnsi="Bookman Old Style" w:cs="Bookman Old Style"/>
        </w:rPr>
      </w:pPr>
    </w:p>
    <w:p w14:paraId="0000010B" w14:textId="3C234CC4" w:rsidR="00F0788F" w:rsidRDefault="00C43226" w:rsidP="00C43226">
      <w:pPr>
        <w:tabs>
          <w:tab w:val="left" w:pos="4965"/>
        </w:tabs>
        <w:spacing w:after="0" w:line="240" w:lineRule="auto"/>
        <w:rPr>
          <w:rFonts w:ascii="Bookman Old Style" w:eastAsia="Bookman Old Style" w:hAnsi="Bookman Old Style" w:cs="Bookman Old Style"/>
          <w:b/>
        </w:rPr>
      </w:pPr>
      <w:r>
        <w:rPr>
          <w:rFonts w:ascii="Bookman Old Style" w:eastAsia="Bookman Old Style" w:hAnsi="Bookman Old Style" w:cs="Bookman Old Style"/>
          <w:b/>
        </w:rPr>
        <w:t>______________________________</w:t>
      </w:r>
      <w:r>
        <w:rPr>
          <w:rFonts w:ascii="Bookman Old Style" w:eastAsia="Bookman Old Style" w:hAnsi="Bookman Old Style" w:cs="Bookman Old Style"/>
          <w:b/>
        </w:rPr>
        <w:tab/>
        <w:t>_________________________________</w:t>
      </w:r>
    </w:p>
    <w:p w14:paraId="0000010C" w14:textId="77777777" w:rsidR="00F0788F" w:rsidRDefault="00B32145">
      <w:pPr>
        <w:spacing w:before="28" w:after="28"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ÁNGELA PATRICIA SANCHEZ                      EMMA CLAUDIA CASTELLANOS</w:t>
      </w:r>
    </w:p>
    <w:p w14:paraId="0000010D" w14:textId="77777777" w:rsidR="00F0788F" w:rsidRDefault="00B32145">
      <w:pPr>
        <w:spacing w:line="240" w:lineRule="auto"/>
        <w:rPr>
          <w:rFonts w:ascii="Bookman Old Style" w:eastAsia="Bookman Old Style" w:hAnsi="Bookman Old Style" w:cs="Bookman Old Style"/>
          <w:b/>
        </w:rPr>
      </w:pPr>
      <w:r>
        <w:rPr>
          <w:rFonts w:ascii="Bookman Old Style" w:eastAsia="Bookman Old Style" w:hAnsi="Bookman Old Style" w:cs="Bookman Old Style"/>
        </w:rPr>
        <w:t>Representante a la Cámara                             Senadora de la República</w:t>
      </w:r>
    </w:p>
    <w:p w14:paraId="0000010E" w14:textId="77777777" w:rsidR="00F0788F" w:rsidRDefault="00F0788F">
      <w:pPr>
        <w:spacing w:line="240" w:lineRule="auto"/>
        <w:rPr>
          <w:rFonts w:ascii="Bookman Old Style" w:eastAsia="Bookman Old Style" w:hAnsi="Bookman Old Style" w:cs="Bookman Old Style"/>
          <w:b/>
        </w:rPr>
      </w:pPr>
    </w:p>
    <w:sectPr w:rsidR="00F0788F">
      <w:headerReference w:type="default" r:id="rId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6CFC86" w14:textId="77777777" w:rsidR="00702607" w:rsidRDefault="00702607">
      <w:pPr>
        <w:spacing w:after="0" w:line="240" w:lineRule="auto"/>
      </w:pPr>
      <w:r>
        <w:separator/>
      </w:r>
    </w:p>
  </w:endnote>
  <w:endnote w:type="continuationSeparator" w:id="0">
    <w:p w14:paraId="64FA5B9D" w14:textId="77777777" w:rsidR="00702607" w:rsidRDefault="00702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E75A29" w14:textId="77777777" w:rsidR="00702607" w:rsidRDefault="00702607">
      <w:pPr>
        <w:spacing w:after="0" w:line="240" w:lineRule="auto"/>
      </w:pPr>
      <w:r>
        <w:separator/>
      </w:r>
    </w:p>
  </w:footnote>
  <w:footnote w:type="continuationSeparator" w:id="0">
    <w:p w14:paraId="63630CF3" w14:textId="77777777" w:rsidR="00702607" w:rsidRDefault="00702607">
      <w:pPr>
        <w:spacing w:after="0" w:line="240" w:lineRule="auto"/>
      </w:pPr>
      <w:r>
        <w:continuationSeparator/>
      </w:r>
    </w:p>
  </w:footnote>
  <w:footnote w:id="1">
    <w:p w14:paraId="0000010F" w14:textId="77777777" w:rsidR="00F0788F" w:rsidRDefault="00B32145">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Corte Constitucional, sentencia C-177 del 6 de mayo de 1993. MP. Hernando Herrera Vergara. Disponible en </w:t>
      </w:r>
      <w:hyperlink r:id="rId1" w:anchor=":~:text=C%2D177%2D93%20Corte%20Constitucional%20de%20Colombia&amp;text=El%20derecho%20a%20ejercer%20profesi%C3%B3n,absoluta%20intangibilidad%20del%20contenido%20esencial.">
        <w:r>
          <w:rPr>
            <w:color w:val="0000FF"/>
            <w:sz w:val="16"/>
            <w:szCs w:val="16"/>
            <w:u w:val="single"/>
          </w:rPr>
          <w:t>https://www.corteconstitucional.gov.co/relatoria/1993/C-177-93.htm#:~:text=C%2D177%2D93%20Corte%20Constitucional%20de%20Colombia&amp;text=El%20derecho%20a%20ejercer%20profesi%C3%B3n,absoluta%20intangibilidad%20del%20contenido%20esencial.</w:t>
        </w:r>
      </w:hyperlink>
    </w:p>
  </w:footnote>
  <w:footnote w:id="2">
    <w:p w14:paraId="00000110" w14:textId="77777777" w:rsidR="00F0788F" w:rsidRDefault="00B32145">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Corte Constitucional, sentencia C-399 del 2 de junio de 1999. MP. Alejandro Martínez Caballero. Disponible en https://www.corteconstitucional.gov.co/relatoria/1999/C-399-99.htm</w:t>
      </w:r>
    </w:p>
  </w:footnote>
  <w:footnote w:id="3">
    <w:p w14:paraId="00000111" w14:textId="77777777" w:rsidR="00F0788F" w:rsidRDefault="00B32145">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Corte Constitucional, sentencia C-568 del 14 de julio de 2010. MP Nilson Pinilla Pinilla. Disponible en https://www.corteconstitucional.gov.co/RELATORIA/2010/C-568-10.htm</w:t>
      </w:r>
    </w:p>
  </w:footnote>
  <w:footnote w:id="4">
    <w:p w14:paraId="00000112" w14:textId="77777777" w:rsidR="00F0788F" w:rsidRDefault="00B32145">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Corte Constitucional, sentencia C-074 del 18 de julio de 2018. MP Carlos Bernal Pulido. Disponible en https://www.corteconstitucional.gov.co/relatoria/2018/C-074-18.htm</w:t>
      </w:r>
    </w:p>
  </w:footnote>
  <w:footnote w:id="5">
    <w:p w14:paraId="00000113" w14:textId="77777777" w:rsidR="00F0788F" w:rsidRDefault="00B3214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16"/>
          <w:szCs w:val="16"/>
        </w:rPr>
        <w:t xml:space="preserve"> Ver Decreto completo en línea http://www.suin-juriscol.gov.co/viewDocument.asp?id=1086126</w:t>
      </w:r>
    </w:p>
  </w:footnote>
  <w:footnote w:id="6">
    <w:p w14:paraId="00000114" w14:textId="77777777" w:rsidR="00F0788F" w:rsidRDefault="00B32145">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Ibid. </w:t>
      </w:r>
    </w:p>
  </w:footnote>
  <w:footnote w:id="7">
    <w:p w14:paraId="00000115" w14:textId="77777777" w:rsidR="00F0788F" w:rsidRDefault="00B32145">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20"/>
          <w:szCs w:val="20"/>
        </w:rPr>
        <w:t xml:space="preserve"> </w:t>
      </w:r>
      <w:r>
        <w:rPr>
          <w:color w:val="000000"/>
          <w:sz w:val="16"/>
          <w:szCs w:val="16"/>
        </w:rPr>
        <w:t>Constitución Política, 1991. Artículo 2o. 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14:paraId="00000116" w14:textId="77777777" w:rsidR="00F0788F" w:rsidRDefault="00F0788F">
      <w:pPr>
        <w:pBdr>
          <w:top w:val="nil"/>
          <w:left w:val="nil"/>
          <w:bottom w:val="nil"/>
          <w:right w:val="nil"/>
          <w:between w:val="nil"/>
        </w:pBdr>
        <w:spacing w:after="0" w:line="240" w:lineRule="auto"/>
        <w:rPr>
          <w:color w:val="000000"/>
          <w:sz w:val="16"/>
          <w:szCs w:val="16"/>
        </w:rPr>
      </w:pPr>
    </w:p>
    <w:p w14:paraId="00000117" w14:textId="77777777" w:rsidR="00F0788F" w:rsidRDefault="00B32145">
      <w:pPr>
        <w:pBdr>
          <w:top w:val="nil"/>
          <w:left w:val="nil"/>
          <w:bottom w:val="nil"/>
          <w:right w:val="nil"/>
          <w:between w:val="nil"/>
        </w:pBdr>
        <w:spacing w:after="0" w:line="240" w:lineRule="auto"/>
        <w:rPr>
          <w:color w:val="000000"/>
          <w:sz w:val="20"/>
          <w:szCs w:val="20"/>
        </w:rPr>
      </w:pPr>
      <w:r>
        <w:rPr>
          <w:color w:val="000000"/>
          <w:sz w:val="16"/>
          <w:szCs w:val="16"/>
        </w:rPr>
        <w:t xml:space="preserve">Las autoridades de la República están instituidas para proteger a todas las personas residentes en Colombia, en su vida, honra, bienes, creencias, y demás derechos y libertades, y para asegurar el cumplimiento de los deberes sociales del Estado y de los particulares. </w:t>
      </w:r>
    </w:p>
  </w:footnote>
  <w:footnote w:id="8">
    <w:p w14:paraId="00000118" w14:textId="77777777" w:rsidR="00F0788F" w:rsidRDefault="00B32145">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https://bdue.de/en/our-profession/sworn-interpreters-and-translators/</w:t>
      </w:r>
    </w:p>
  </w:footnote>
  <w:footnote w:id="9">
    <w:p w14:paraId="00000119" w14:textId="77777777" w:rsidR="00F0788F" w:rsidRDefault="00B32145">
      <w:pPr>
        <w:pBdr>
          <w:top w:val="nil"/>
          <w:left w:val="nil"/>
          <w:bottom w:val="nil"/>
          <w:right w:val="nil"/>
          <w:between w:val="nil"/>
        </w:pBdr>
        <w:spacing w:after="0" w:line="240" w:lineRule="auto"/>
        <w:rPr>
          <w:color w:val="1155CC"/>
          <w:sz w:val="20"/>
          <w:szCs w:val="20"/>
        </w:rPr>
      </w:pPr>
      <w:r>
        <w:rPr>
          <w:vertAlign w:val="superscript"/>
        </w:rPr>
        <w:footnoteRef/>
      </w:r>
      <w:r>
        <w:rPr>
          <w:color w:val="000000"/>
          <w:sz w:val="16"/>
          <w:szCs w:val="16"/>
        </w:rPr>
        <w:t xml:space="preserve"> Ley 20.305: </w:t>
      </w:r>
      <w:hyperlink r:id="rId2">
        <w:r>
          <w:rPr>
            <w:color w:val="1155CC"/>
            <w:sz w:val="16"/>
            <w:szCs w:val="16"/>
            <w:u w:val="single"/>
          </w:rPr>
          <w:t>http://servicios.infoleg.gob.ar/infolegInternet/anexos/190000-194999/194196/norma.htm</w:t>
        </w:r>
      </w:hyperlink>
      <w:r>
        <w:rPr>
          <w:color w:val="1155CC"/>
          <w:sz w:val="20"/>
          <w:szCs w:val="20"/>
        </w:rPr>
        <w:t xml:space="preserve"> </w:t>
      </w:r>
    </w:p>
  </w:footnote>
  <w:footnote w:id="10">
    <w:p w14:paraId="0000011A" w14:textId="77777777" w:rsidR="00F0788F" w:rsidRDefault="00B32145">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w:t>
      </w:r>
      <w:hyperlink r:id="rId3">
        <w:r>
          <w:rPr>
            <w:color w:val="1155CC"/>
            <w:sz w:val="16"/>
            <w:szCs w:val="16"/>
            <w:u w:val="single"/>
          </w:rPr>
          <w:t>https://www.gerichts-sv.at/sdg.html</w:t>
        </w:r>
      </w:hyperlink>
    </w:p>
  </w:footnote>
  <w:footnote w:id="11">
    <w:p w14:paraId="0000011B" w14:textId="77777777" w:rsidR="00F0788F" w:rsidRDefault="00B32145">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w:t>
      </w:r>
      <w:hyperlink r:id="rId4" w:anchor="sworn-translation">
        <w:r>
          <w:rPr>
            <w:color w:val="1155CC"/>
            <w:sz w:val="16"/>
            <w:szCs w:val="16"/>
            <w:u w:val="single"/>
          </w:rPr>
          <w:t>https://belgian-sworn-translator.be/sworn-translations-in-belgium.html#sworn-translation</w:t>
        </w:r>
      </w:hyperlink>
    </w:p>
  </w:footnote>
  <w:footnote w:id="12">
    <w:p w14:paraId="0000011C" w14:textId="77777777" w:rsidR="00F0788F" w:rsidRDefault="00B32145">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w:t>
      </w:r>
      <w:hyperlink r:id="rId5">
        <w:r>
          <w:rPr>
            <w:color w:val="1155CC"/>
            <w:sz w:val="16"/>
            <w:szCs w:val="16"/>
            <w:u w:val="single"/>
          </w:rPr>
          <w:t>https://howlingpixel.com/i-en/Certified_translation</w:t>
        </w:r>
      </w:hyperlink>
    </w:p>
  </w:footnote>
  <w:footnote w:id="13">
    <w:p w14:paraId="0000011D" w14:textId="77777777" w:rsidR="00F0788F" w:rsidRDefault="00B32145">
      <w:pPr>
        <w:pBdr>
          <w:top w:val="nil"/>
          <w:left w:val="nil"/>
          <w:bottom w:val="nil"/>
          <w:right w:val="nil"/>
          <w:between w:val="nil"/>
        </w:pBdr>
        <w:spacing w:after="0" w:line="240" w:lineRule="auto"/>
        <w:rPr>
          <w:color w:val="000000"/>
          <w:sz w:val="24"/>
          <w:szCs w:val="24"/>
        </w:rPr>
      </w:pPr>
      <w:r>
        <w:rPr>
          <w:vertAlign w:val="superscript"/>
        </w:rPr>
        <w:footnoteRef/>
      </w:r>
      <w:r>
        <w:rPr>
          <w:color w:val="000000"/>
          <w:sz w:val="16"/>
          <w:szCs w:val="16"/>
        </w:rPr>
        <w:t xml:space="preserve"> https://thetranslationcompany.com/services/languages/portuguese/sworn-translations-brazil.htm</w:t>
      </w:r>
    </w:p>
  </w:footnote>
  <w:footnote w:id="14">
    <w:p w14:paraId="0000011E" w14:textId="77777777" w:rsidR="00F0788F" w:rsidRDefault="00B32145">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https://www.idocscanada.ca/2017/11/find-canadian-certified-translator/</w:t>
      </w:r>
    </w:p>
  </w:footnote>
  <w:footnote w:id="15">
    <w:p w14:paraId="0000011F" w14:textId="77777777" w:rsidR="00F0788F" w:rsidRDefault="00B32145">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https://www.calamoycran.com/blog/requisitos-traductor-jurado </w:t>
      </w:r>
    </w:p>
    <w:p w14:paraId="00000120" w14:textId="77777777" w:rsidR="00F0788F" w:rsidRDefault="00B32145">
      <w:pPr>
        <w:pBdr>
          <w:top w:val="nil"/>
          <w:left w:val="nil"/>
          <w:bottom w:val="nil"/>
          <w:right w:val="nil"/>
          <w:between w:val="nil"/>
        </w:pBdr>
        <w:spacing w:after="0" w:line="240" w:lineRule="auto"/>
        <w:rPr>
          <w:color w:val="000000"/>
          <w:sz w:val="20"/>
          <w:szCs w:val="20"/>
        </w:rPr>
      </w:pPr>
      <w:r>
        <w:rPr>
          <w:color w:val="000000"/>
          <w:sz w:val="16"/>
          <w:szCs w:val="16"/>
        </w:rPr>
        <w:t>http://www.exteriores.gob.es/Portal/es/ServiciosAlCiudadano/OportunidadesProfesionalesFormacion/OportunidadesProfesionales/traduccioneinterpretacion/Paginas/Examen.aspx</w:t>
      </w:r>
    </w:p>
  </w:footnote>
  <w:footnote w:id="16">
    <w:p w14:paraId="00000121" w14:textId="77777777" w:rsidR="00F0788F" w:rsidRDefault="00B32145">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w:t>
      </w:r>
      <w:hyperlink r:id="rId6">
        <w:r>
          <w:rPr>
            <w:color w:val="1155CC"/>
            <w:sz w:val="16"/>
            <w:szCs w:val="16"/>
            <w:u w:val="single"/>
          </w:rPr>
          <w:t>http://www.offi.hu/en/company/about-us</w:t>
        </w:r>
      </w:hyperlink>
    </w:p>
  </w:footnote>
  <w:footnote w:id="17">
    <w:p w14:paraId="00000122" w14:textId="77777777" w:rsidR="00F0788F" w:rsidRDefault="00B32145">
      <w:pPr>
        <w:pBdr>
          <w:top w:val="nil"/>
          <w:left w:val="nil"/>
          <w:bottom w:val="nil"/>
          <w:right w:val="nil"/>
          <w:between w:val="nil"/>
        </w:pBdr>
        <w:spacing w:after="0" w:line="240" w:lineRule="auto"/>
        <w:rPr>
          <w:color w:val="000000"/>
          <w:sz w:val="24"/>
          <w:szCs w:val="24"/>
        </w:rPr>
      </w:pPr>
      <w:r>
        <w:rPr>
          <w:vertAlign w:val="superscript"/>
        </w:rPr>
        <w:footnoteRef/>
      </w:r>
      <w:r>
        <w:rPr>
          <w:color w:val="000000"/>
          <w:sz w:val="16"/>
          <w:szCs w:val="16"/>
        </w:rPr>
        <w:t xml:space="preserve"> http://www.hpi.or.id/sertifikasi</w:t>
      </w:r>
    </w:p>
  </w:footnote>
  <w:footnote w:id="18">
    <w:p w14:paraId="00000123" w14:textId="77777777" w:rsidR="00F0788F" w:rsidRDefault="00B32145">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w:t>
      </w:r>
      <w:hyperlink r:id="rId7">
        <w:r>
          <w:rPr>
            <w:color w:val="1155CC"/>
            <w:sz w:val="16"/>
            <w:szCs w:val="16"/>
            <w:u w:val="single"/>
          </w:rPr>
          <w:t>https://web.archive.org/web/20070622093444/http://www.tsjdf.gob.mx/iej/peritos.html</w:t>
        </w:r>
      </w:hyperlink>
    </w:p>
  </w:footnote>
  <w:footnote w:id="19">
    <w:p w14:paraId="00000124" w14:textId="77777777" w:rsidR="00F0788F" w:rsidRDefault="00B32145">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w:t>
      </w:r>
      <w:hyperlink r:id="rId8">
        <w:r>
          <w:rPr>
            <w:color w:val="1155CC"/>
            <w:sz w:val="16"/>
            <w:szCs w:val="16"/>
            <w:u w:val="single"/>
          </w:rPr>
          <w:t>https://web.archive.org/web/20100115221618/http://www.statsaut-translator.no/website.aspx?objectid=1&amp;displayid=1205</w:t>
        </w:r>
      </w:hyperlink>
    </w:p>
  </w:footnote>
  <w:footnote w:id="20">
    <w:p w14:paraId="00000125" w14:textId="77777777" w:rsidR="00F0788F" w:rsidRDefault="00B32145">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w:t>
      </w:r>
      <w:hyperlink r:id="rId9">
        <w:r>
          <w:rPr>
            <w:color w:val="1155CC"/>
            <w:sz w:val="16"/>
            <w:szCs w:val="16"/>
            <w:u w:val="single"/>
          </w:rPr>
          <w:t>https://web.archive.org/web/20150215134200/http://www.bureaubtv.nl/en/</w:t>
        </w:r>
      </w:hyperlink>
    </w:p>
  </w:footnote>
  <w:footnote w:id="21">
    <w:p w14:paraId="00000126" w14:textId="77777777" w:rsidR="00F0788F" w:rsidRDefault="00B32145">
      <w:pPr>
        <w:pBdr>
          <w:top w:val="nil"/>
          <w:left w:val="nil"/>
          <w:bottom w:val="nil"/>
          <w:right w:val="nil"/>
          <w:between w:val="nil"/>
        </w:pBdr>
        <w:spacing w:after="0" w:line="240" w:lineRule="auto"/>
        <w:rPr>
          <w:color w:val="1155CC"/>
          <w:sz w:val="16"/>
          <w:szCs w:val="16"/>
          <w:highlight w:val="white"/>
        </w:rPr>
      </w:pPr>
      <w:r>
        <w:rPr>
          <w:vertAlign w:val="superscript"/>
        </w:rPr>
        <w:footnoteRef/>
      </w:r>
      <w:r>
        <w:rPr>
          <w:color w:val="000000"/>
          <w:sz w:val="16"/>
          <w:szCs w:val="16"/>
        </w:rPr>
        <w:t xml:space="preserve"> </w:t>
      </w:r>
      <w:hyperlink r:id="rId10">
        <w:r>
          <w:rPr>
            <w:color w:val="1155CC"/>
            <w:sz w:val="16"/>
            <w:szCs w:val="16"/>
            <w:highlight w:val="white"/>
            <w:u w:val="single"/>
          </w:rPr>
          <w:t>http://www.consulado.pe/paginas/traductores.aspx</w:t>
        </w:r>
      </w:hyperlink>
      <w:r>
        <w:rPr>
          <w:color w:val="1155CC"/>
          <w:sz w:val="16"/>
          <w:szCs w:val="16"/>
          <w:highlight w:val="white"/>
        </w:rPr>
        <w:t xml:space="preserve"> </w:t>
      </w:r>
    </w:p>
  </w:footnote>
  <w:footnote w:id="22">
    <w:p w14:paraId="00000127" w14:textId="77777777" w:rsidR="00F0788F" w:rsidRDefault="00B32145">
      <w:pPr>
        <w:pBdr>
          <w:top w:val="nil"/>
          <w:left w:val="nil"/>
          <w:bottom w:val="nil"/>
          <w:right w:val="nil"/>
          <w:between w:val="nil"/>
        </w:pBdr>
        <w:spacing w:after="0" w:line="240" w:lineRule="auto"/>
        <w:rPr>
          <w:color w:val="000000"/>
          <w:sz w:val="24"/>
          <w:szCs w:val="24"/>
        </w:rPr>
      </w:pPr>
      <w:r>
        <w:rPr>
          <w:vertAlign w:val="superscript"/>
        </w:rPr>
        <w:footnoteRef/>
      </w:r>
      <w:r>
        <w:rPr>
          <w:color w:val="000000"/>
          <w:sz w:val="16"/>
          <w:szCs w:val="16"/>
        </w:rPr>
        <w:t xml:space="preserve"> </w:t>
      </w:r>
      <w:hyperlink r:id="rId11">
        <w:r>
          <w:rPr>
            <w:color w:val="1155CC"/>
            <w:sz w:val="16"/>
            <w:szCs w:val="16"/>
            <w:u w:val="single"/>
          </w:rPr>
          <w:t>https://www.gov.pl/web/sprawiedliwosc</w:t>
        </w:r>
      </w:hyperlink>
    </w:p>
  </w:footnote>
  <w:footnote w:id="23">
    <w:p w14:paraId="00000128" w14:textId="77777777" w:rsidR="00F0788F" w:rsidRDefault="00B32145">
      <w:pPr>
        <w:rPr>
          <w:color w:val="1155CC"/>
          <w:sz w:val="20"/>
          <w:szCs w:val="20"/>
        </w:rPr>
      </w:pPr>
      <w:r>
        <w:rPr>
          <w:vertAlign w:val="superscript"/>
        </w:rPr>
        <w:footnoteRef/>
      </w:r>
      <w:r>
        <w:t xml:space="preserve"> </w:t>
      </w:r>
      <w:hyperlink r:id="rId12">
        <w:r>
          <w:rPr>
            <w:color w:val="1155CC"/>
            <w:sz w:val="20"/>
            <w:szCs w:val="20"/>
            <w:u w:val="single"/>
          </w:rPr>
          <w:t>https://www.iti.org.uk/language-services/official-translations</w:t>
        </w:r>
      </w:hyperlink>
      <w:r>
        <w:rPr>
          <w:color w:val="1155CC"/>
          <w:sz w:val="20"/>
          <w:szCs w:val="20"/>
        </w:rPr>
        <w:t xml:space="preserve"> </w:t>
      </w:r>
    </w:p>
  </w:footnote>
  <w:footnote w:id="24">
    <w:p w14:paraId="00000129" w14:textId="77777777" w:rsidR="00F0788F" w:rsidRDefault="00B32145">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w:t>
      </w:r>
      <w:hyperlink r:id="rId13">
        <w:r>
          <w:rPr>
            <w:color w:val="1155CC"/>
            <w:sz w:val="16"/>
            <w:szCs w:val="16"/>
            <w:u w:val="single"/>
          </w:rPr>
          <w:t>https://www.translators.org.za/sworn-translation/</w:t>
        </w:r>
      </w:hyperlink>
    </w:p>
  </w:footnote>
  <w:footnote w:id="25">
    <w:p w14:paraId="0000012A" w14:textId="77777777" w:rsidR="00F0788F" w:rsidRDefault="00B32145">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w:t>
      </w:r>
      <w:hyperlink r:id="rId14">
        <w:r>
          <w:rPr>
            <w:color w:val="0000FF"/>
            <w:sz w:val="16"/>
            <w:szCs w:val="16"/>
            <w:u w:val="single"/>
          </w:rPr>
          <w:t>https://web.archive.org/web/20140703053352/http://www.kammarkollegiet.se/kammarkollegiet</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00421" w14:textId="0A425EDF" w:rsidR="00FC7E65" w:rsidRDefault="00702607">
    <w:pPr>
      <w:pStyle w:val="Encabezado"/>
    </w:pPr>
    <w:r>
      <w:rPr>
        <w:noProof/>
      </w:rPr>
      <w:pict w14:anchorId="45A388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010267" o:spid="_x0000_s2049" type="#_x0000_t75" alt="Hoja membrete - CONGRESO" style="position:absolute;margin-left:-85.05pt;margin-top:-70.1pt;width:612pt;height:11in;z-index:-251658752;mso-wrap-edited:f;mso-width-percent:0;mso-height-percent:0;mso-position-horizontal-relative:margin;mso-position-vertical-relative:margin;mso-width-percent:0;mso-height-percent:0" o:allowincell="f">
          <v:imagedata r:id="rId1" o:title="Hoja membrete - CONGRES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17668"/>
    <w:multiLevelType w:val="multilevel"/>
    <w:tmpl w:val="9BBCE9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9610A7"/>
    <w:multiLevelType w:val="multilevel"/>
    <w:tmpl w:val="14B6E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CF185A"/>
    <w:multiLevelType w:val="multilevel"/>
    <w:tmpl w:val="E00A6348"/>
    <w:lvl w:ilvl="0">
      <w:start w:val="1"/>
      <w:numFmt w:val="bullet"/>
      <w:lvlText w:val="-"/>
      <w:lvlJc w:val="left"/>
      <w:pPr>
        <w:ind w:left="720" w:hanging="360"/>
      </w:pPr>
      <w:rPr>
        <w:rFonts w:ascii="Bookman Old Style" w:eastAsia="Bookman Old Style" w:hAnsi="Bookman Old Style" w:cs="Bookman Old Style"/>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FA2D39"/>
    <w:multiLevelType w:val="multilevel"/>
    <w:tmpl w:val="4E0C84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E437C35"/>
    <w:multiLevelType w:val="multilevel"/>
    <w:tmpl w:val="80047EB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30F85867"/>
    <w:multiLevelType w:val="multilevel"/>
    <w:tmpl w:val="491C2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1E11F1C"/>
    <w:multiLevelType w:val="multilevel"/>
    <w:tmpl w:val="494437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0B52381"/>
    <w:multiLevelType w:val="multilevel"/>
    <w:tmpl w:val="704EED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8662DE"/>
    <w:multiLevelType w:val="multilevel"/>
    <w:tmpl w:val="6F046F7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FC452C8"/>
    <w:multiLevelType w:val="multilevel"/>
    <w:tmpl w:val="2E085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7"/>
  </w:num>
  <w:num w:numId="3">
    <w:abstractNumId w:val="1"/>
  </w:num>
  <w:num w:numId="4">
    <w:abstractNumId w:val="5"/>
  </w:num>
  <w:num w:numId="5">
    <w:abstractNumId w:val="2"/>
  </w:num>
  <w:num w:numId="6">
    <w:abstractNumId w:val="4"/>
  </w:num>
  <w:num w:numId="7">
    <w:abstractNumId w:val="0"/>
  </w:num>
  <w:num w:numId="8">
    <w:abstractNumId w:val="6"/>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88F"/>
    <w:rsid w:val="00641FB9"/>
    <w:rsid w:val="00702607"/>
    <w:rsid w:val="00782CE7"/>
    <w:rsid w:val="007D4E31"/>
    <w:rsid w:val="007E7C00"/>
    <w:rsid w:val="00944AD1"/>
    <w:rsid w:val="00A657B6"/>
    <w:rsid w:val="00A9355B"/>
    <w:rsid w:val="00B32145"/>
    <w:rsid w:val="00C43226"/>
    <w:rsid w:val="00EE17CE"/>
    <w:rsid w:val="00F0788F"/>
    <w:rsid w:val="00FC7E6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15DB207"/>
  <w15:docId w15:val="{EFC3208C-DC05-45C1-A806-F9AE2776D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FC7E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C7E65"/>
  </w:style>
  <w:style w:type="paragraph" w:styleId="Piedepgina">
    <w:name w:val="footer"/>
    <w:basedOn w:val="Normal"/>
    <w:link w:val="PiedepginaCar"/>
    <w:uiPriority w:val="99"/>
    <w:unhideWhenUsed/>
    <w:rsid w:val="00FC7E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7E65"/>
  </w:style>
  <w:style w:type="paragraph" w:styleId="Prrafodelista">
    <w:name w:val="List Paragraph"/>
    <w:basedOn w:val="Normal"/>
    <w:uiPriority w:val="34"/>
    <w:qFormat/>
    <w:rsid w:val="00FC7E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eb.archive.org/web/20100115221618/http://www.statsaut-translator.no/website.aspx?objectid=1&amp;displayid=1205" TargetMode="External"/><Relationship Id="rId13" Type="http://schemas.openxmlformats.org/officeDocument/2006/relationships/hyperlink" Target="https://www.translators.org.za/sworn-translation/" TargetMode="External"/><Relationship Id="rId3" Type="http://schemas.openxmlformats.org/officeDocument/2006/relationships/hyperlink" Target="https://www.gerichts-sv.at/sdg.html" TargetMode="External"/><Relationship Id="rId7" Type="http://schemas.openxmlformats.org/officeDocument/2006/relationships/hyperlink" Target="https://web.archive.org/web/20070622093444/http://www.tsjdf.gob.mx/iej/peritos.html" TargetMode="External"/><Relationship Id="rId12" Type="http://schemas.openxmlformats.org/officeDocument/2006/relationships/hyperlink" Target="https://www.iti.org.uk/language-services/official-translations" TargetMode="External"/><Relationship Id="rId2" Type="http://schemas.openxmlformats.org/officeDocument/2006/relationships/hyperlink" Target="http://servicios.infoleg.gob.ar/infolegInternet/anexos/190000-194999/194196/norma.htm" TargetMode="External"/><Relationship Id="rId1" Type="http://schemas.openxmlformats.org/officeDocument/2006/relationships/hyperlink" Target="https://www.corteconstitucional.gov.co/relatoria/1993/C-177-93.htm" TargetMode="External"/><Relationship Id="rId6" Type="http://schemas.openxmlformats.org/officeDocument/2006/relationships/hyperlink" Target="http://www.offi.hu/en/company/about-us" TargetMode="External"/><Relationship Id="rId11" Type="http://schemas.openxmlformats.org/officeDocument/2006/relationships/hyperlink" Target="https://www.gov.pl/web/sprawiedliwosc" TargetMode="External"/><Relationship Id="rId5" Type="http://schemas.openxmlformats.org/officeDocument/2006/relationships/hyperlink" Target="https://howlingpixel.com/i-en/Certified_translation" TargetMode="External"/><Relationship Id="rId10" Type="http://schemas.openxmlformats.org/officeDocument/2006/relationships/hyperlink" Target="http://www.consulado.pe/paginas/traductores.aspx" TargetMode="External"/><Relationship Id="rId4" Type="http://schemas.openxmlformats.org/officeDocument/2006/relationships/hyperlink" Target="https://belgian-sworn-translator.be/sworn-translations-in-belgium.html" TargetMode="External"/><Relationship Id="rId9" Type="http://schemas.openxmlformats.org/officeDocument/2006/relationships/hyperlink" Target="https://web.archive.org/web/20150215134200/http://www.bureaubtv.nl/en/" TargetMode="External"/><Relationship Id="rId14" Type="http://schemas.openxmlformats.org/officeDocument/2006/relationships/hyperlink" Target="https://web.archive.org/web/20140703053352/http://www.kammarkollegiet.se/kammarkollegi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6855</Words>
  <Characters>37705</Characters>
  <Application>Microsoft Office Word</Application>
  <DocSecurity>0</DocSecurity>
  <Lines>314</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Gerrard Rodriguez</dc:creator>
  <cp:lastModifiedBy>hasbleidy suarez</cp:lastModifiedBy>
  <cp:revision>2</cp:revision>
  <cp:lastPrinted>2020-08-05T03:31:00Z</cp:lastPrinted>
  <dcterms:created xsi:type="dcterms:W3CDTF">2020-08-07T22:00:00Z</dcterms:created>
  <dcterms:modified xsi:type="dcterms:W3CDTF">2020-08-07T22:00:00Z</dcterms:modified>
</cp:coreProperties>
</file>