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AB4" w:rsidRPr="00B57971" w:rsidRDefault="00965AB4" w:rsidP="00251CBC">
      <w:pPr>
        <w:spacing w:line="360" w:lineRule="auto"/>
        <w:jc w:val="center"/>
        <w:rPr>
          <w:rFonts w:ascii="Arial" w:eastAsia="Arial" w:hAnsi="Arial" w:cs="Arial"/>
          <w:b/>
          <w:sz w:val="24"/>
          <w:szCs w:val="24"/>
        </w:rPr>
      </w:pPr>
      <w:bookmarkStart w:id="0" w:name="_GoBack"/>
      <w:bookmarkEnd w:id="0"/>
    </w:p>
    <w:p w:rsidR="00251CBC" w:rsidRPr="00B57971" w:rsidRDefault="00251CBC" w:rsidP="00251CBC">
      <w:pPr>
        <w:spacing w:line="360" w:lineRule="auto"/>
        <w:jc w:val="center"/>
        <w:rPr>
          <w:rFonts w:ascii="Arial" w:eastAsia="Arial" w:hAnsi="Arial" w:cs="Arial"/>
          <w:b/>
          <w:sz w:val="24"/>
          <w:szCs w:val="24"/>
        </w:rPr>
      </w:pPr>
      <w:r w:rsidRPr="00B57971">
        <w:rPr>
          <w:rFonts w:ascii="Arial" w:eastAsia="Arial" w:hAnsi="Arial" w:cs="Arial"/>
          <w:b/>
          <w:sz w:val="24"/>
          <w:szCs w:val="24"/>
        </w:rPr>
        <w:t>PROYECTO DE LEY N °___ DE 2020 CÁMARA</w:t>
      </w:r>
    </w:p>
    <w:p w:rsidR="004C7FAA" w:rsidRPr="00B57971" w:rsidRDefault="00251CBC">
      <w:pPr>
        <w:spacing w:line="360" w:lineRule="auto"/>
        <w:jc w:val="center"/>
        <w:rPr>
          <w:rFonts w:ascii="Arial" w:eastAsia="Arial" w:hAnsi="Arial" w:cs="Arial"/>
          <w:i/>
          <w:sz w:val="24"/>
          <w:szCs w:val="24"/>
        </w:rPr>
      </w:pPr>
      <w:r w:rsidRPr="00B57971">
        <w:rPr>
          <w:rFonts w:ascii="Arial" w:eastAsia="Arial" w:hAnsi="Arial" w:cs="Arial"/>
          <w:i/>
          <w:sz w:val="24"/>
          <w:szCs w:val="24"/>
        </w:rPr>
        <w:t>“P</w:t>
      </w:r>
      <w:r w:rsidR="0050012C" w:rsidRPr="00B57971">
        <w:rPr>
          <w:rFonts w:ascii="Arial" w:eastAsia="Arial" w:hAnsi="Arial" w:cs="Arial"/>
          <w:i/>
          <w:sz w:val="24"/>
          <w:szCs w:val="24"/>
        </w:rPr>
        <w:t>or medio de</w:t>
      </w:r>
      <w:r w:rsidRPr="00B57971">
        <w:rPr>
          <w:rFonts w:ascii="Arial" w:eastAsia="Arial" w:hAnsi="Arial" w:cs="Arial"/>
          <w:i/>
          <w:sz w:val="24"/>
          <w:szCs w:val="24"/>
        </w:rPr>
        <w:t xml:space="preserve"> </w:t>
      </w:r>
      <w:r w:rsidR="0050012C" w:rsidRPr="00B57971">
        <w:rPr>
          <w:rFonts w:ascii="Arial" w:eastAsia="Arial" w:hAnsi="Arial" w:cs="Arial"/>
          <w:i/>
          <w:sz w:val="24"/>
          <w:szCs w:val="24"/>
        </w:rPr>
        <w:t>l</w:t>
      </w:r>
      <w:r w:rsidRPr="00B57971">
        <w:rPr>
          <w:rFonts w:ascii="Arial" w:eastAsia="Arial" w:hAnsi="Arial" w:cs="Arial"/>
          <w:i/>
          <w:sz w:val="24"/>
          <w:szCs w:val="24"/>
        </w:rPr>
        <w:t>a</w:t>
      </w:r>
      <w:r w:rsidR="0050012C" w:rsidRPr="00B57971">
        <w:rPr>
          <w:rFonts w:ascii="Arial" w:eastAsia="Arial" w:hAnsi="Arial" w:cs="Arial"/>
          <w:i/>
          <w:sz w:val="24"/>
          <w:szCs w:val="24"/>
        </w:rPr>
        <w:t xml:space="preserve"> cual se prohíbe</w:t>
      </w:r>
      <w:r w:rsidR="00E22E34" w:rsidRPr="00B57971">
        <w:rPr>
          <w:rFonts w:ascii="Arial" w:eastAsia="Arial" w:hAnsi="Arial" w:cs="Arial"/>
          <w:i/>
          <w:sz w:val="24"/>
          <w:szCs w:val="24"/>
        </w:rPr>
        <w:t xml:space="preserve"> a las instituciones educativas públicas y privadas </w:t>
      </w:r>
      <w:r w:rsidR="0050012C" w:rsidRPr="00B57971">
        <w:rPr>
          <w:rFonts w:ascii="Arial" w:eastAsia="Arial" w:hAnsi="Arial" w:cs="Arial"/>
          <w:i/>
          <w:sz w:val="24"/>
          <w:szCs w:val="24"/>
        </w:rPr>
        <w:t xml:space="preserve">impedir el acceso a las instalaciones a </w:t>
      </w:r>
      <w:r w:rsidR="001838FE" w:rsidRPr="00B57971">
        <w:rPr>
          <w:rFonts w:ascii="Arial" w:eastAsia="Arial" w:hAnsi="Arial" w:cs="Arial"/>
          <w:i/>
          <w:sz w:val="24"/>
          <w:szCs w:val="24"/>
        </w:rPr>
        <w:t>estudiantes</w:t>
      </w:r>
      <w:r w:rsidR="0050012C" w:rsidRPr="00B57971">
        <w:rPr>
          <w:rFonts w:ascii="Arial" w:eastAsia="Arial" w:hAnsi="Arial" w:cs="Arial"/>
          <w:i/>
          <w:sz w:val="24"/>
          <w:szCs w:val="24"/>
        </w:rPr>
        <w:t xml:space="preserve"> bajo su cuidado.</w:t>
      </w:r>
      <w:r w:rsidRPr="00B57971">
        <w:rPr>
          <w:rFonts w:ascii="Arial" w:eastAsia="Arial" w:hAnsi="Arial" w:cs="Arial"/>
          <w:i/>
          <w:sz w:val="24"/>
          <w:szCs w:val="24"/>
        </w:rPr>
        <w:t>”</w:t>
      </w:r>
    </w:p>
    <w:p w:rsidR="00251CBC" w:rsidRPr="00B57971" w:rsidRDefault="00251CBC" w:rsidP="00251CBC">
      <w:pPr>
        <w:spacing w:line="240" w:lineRule="auto"/>
        <w:jc w:val="center"/>
        <w:rPr>
          <w:rFonts w:ascii="Arial" w:eastAsia="Arial" w:hAnsi="Arial" w:cs="Arial"/>
          <w:b/>
          <w:sz w:val="24"/>
          <w:szCs w:val="24"/>
        </w:rPr>
      </w:pPr>
      <w:r w:rsidRPr="00B57971">
        <w:rPr>
          <w:rFonts w:ascii="Arial" w:eastAsia="Arial" w:hAnsi="Arial" w:cs="Arial"/>
          <w:b/>
          <w:sz w:val="24"/>
          <w:szCs w:val="24"/>
        </w:rPr>
        <w:t>EL CONGRESO DE COLOMBIA</w:t>
      </w:r>
    </w:p>
    <w:p w:rsidR="004C7FAA" w:rsidRPr="00B57971" w:rsidRDefault="00251CBC" w:rsidP="00251CBC">
      <w:pPr>
        <w:spacing w:line="240" w:lineRule="auto"/>
        <w:jc w:val="center"/>
        <w:rPr>
          <w:rFonts w:ascii="Arial" w:eastAsia="Arial" w:hAnsi="Arial" w:cs="Arial"/>
          <w:b/>
          <w:sz w:val="24"/>
          <w:szCs w:val="24"/>
        </w:rPr>
      </w:pPr>
      <w:r w:rsidRPr="00B57971">
        <w:rPr>
          <w:rFonts w:ascii="Arial" w:eastAsia="Arial" w:hAnsi="Arial" w:cs="Arial"/>
          <w:b/>
          <w:sz w:val="24"/>
          <w:szCs w:val="24"/>
        </w:rPr>
        <w:t>DECRETA:</w:t>
      </w:r>
    </w:p>
    <w:p w:rsidR="004C7FAA" w:rsidRPr="00B57971" w:rsidRDefault="00251CBC" w:rsidP="00251CBC">
      <w:pPr>
        <w:spacing w:line="360" w:lineRule="auto"/>
        <w:jc w:val="both"/>
        <w:rPr>
          <w:rFonts w:ascii="Arial" w:eastAsia="Arial" w:hAnsi="Arial" w:cs="Arial"/>
          <w:sz w:val="24"/>
          <w:szCs w:val="24"/>
        </w:rPr>
      </w:pPr>
      <w:r w:rsidRPr="00B57971">
        <w:rPr>
          <w:rFonts w:ascii="Arial" w:eastAsia="Arial" w:hAnsi="Arial" w:cs="Arial"/>
          <w:b/>
          <w:sz w:val="24"/>
          <w:szCs w:val="24"/>
        </w:rPr>
        <w:t>Artículo</w:t>
      </w:r>
      <w:r w:rsidR="0050012C" w:rsidRPr="00B57971">
        <w:rPr>
          <w:rFonts w:ascii="Arial" w:eastAsia="Arial" w:hAnsi="Arial" w:cs="Arial"/>
          <w:b/>
          <w:sz w:val="24"/>
          <w:szCs w:val="24"/>
        </w:rPr>
        <w:t xml:space="preserve"> 1</w:t>
      </w:r>
      <w:r w:rsidRPr="00B57971">
        <w:rPr>
          <w:rFonts w:ascii="Arial" w:eastAsia="Arial" w:hAnsi="Arial" w:cs="Arial"/>
          <w:b/>
          <w:sz w:val="24"/>
          <w:szCs w:val="24"/>
        </w:rPr>
        <w:t>°.</w:t>
      </w:r>
      <w:r w:rsidR="0050012C" w:rsidRPr="00B57971">
        <w:rPr>
          <w:rFonts w:ascii="Arial" w:eastAsia="Arial" w:hAnsi="Arial" w:cs="Arial"/>
          <w:b/>
          <w:sz w:val="24"/>
          <w:szCs w:val="24"/>
        </w:rPr>
        <w:t xml:space="preserve"> Objeto:</w:t>
      </w:r>
      <w:r w:rsidRPr="00B57971">
        <w:rPr>
          <w:rFonts w:ascii="Arial" w:eastAsia="Arial" w:hAnsi="Arial" w:cs="Arial"/>
          <w:sz w:val="24"/>
          <w:szCs w:val="24"/>
        </w:rPr>
        <w:t xml:space="preserve"> I</w:t>
      </w:r>
      <w:r w:rsidR="0050012C" w:rsidRPr="00B57971">
        <w:rPr>
          <w:rFonts w:ascii="Arial" w:eastAsia="Arial" w:hAnsi="Arial" w:cs="Arial"/>
          <w:sz w:val="24"/>
          <w:szCs w:val="24"/>
        </w:rPr>
        <w:t>mpedir que las instituciones educativas</w:t>
      </w:r>
      <w:r w:rsidR="00E22E34" w:rsidRPr="00B57971">
        <w:rPr>
          <w:rFonts w:ascii="Arial" w:eastAsia="Arial" w:hAnsi="Arial" w:cs="Arial"/>
          <w:sz w:val="24"/>
          <w:szCs w:val="24"/>
        </w:rPr>
        <w:t xml:space="preserve"> públicas y privadas</w:t>
      </w:r>
      <w:r w:rsidR="0050012C" w:rsidRPr="00B57971">
        <w:rPr>
          <w:rFonts w:ascii="Arial" w:eastAsia="Arial" w:hAnsi="Arial" w:cs="Arial"/>
          <w:sz w:val="24"/>
          <w:szCs w:val="24"/>
        </w:rPr>
        <w:t xml:space="preserve"> generen condiciones de riesgo para sus estudiantes.</w:t>
      </w:r>
    </w:p>
    <w:p w:rsidR="00E22E34" w:rsidRPr="00B57971" w:rsidRDefault="00E22E34" w:rsidP="00E22E34">
      <w:pPr>
        <w:spacing w:line="360" w:lineRule="auto"/>
        <w:jc w:val="both"/>
        <w:rPr>
          <w:rFonts w:ascii="Arial" w:eastAsia="Arial" w:hAnsi="Arial" w:cs="Arial"/>
          <w:sz w:val="24"/>
          <w:szCs w:val="24"/>
        </w:rPr>
      </w:pPr>
      <w:r w:rsidRPr="00B57971">
        <w:rPr>
          <w:rFonts w:ascii="Arial" w:eastAsia="Arial" w:hAnsi="Arial" w:cs="Arial"/>
          <w:b/>
          <w:sz w:val="24"/>
          <w:szCs w:val="24"/>
        </w:rPr>
        <w:t xml:space="preserve">Artículo 2°. </w:t>
      </w:r>
      <w:r w:rsidRPr="00B57971">
        <w:rPr>
          <w:rFonts w:ascii="Arial" w:eastAsia="Arial" w:hAnsi="Arial" w:cs="Arial"/>
          <w:sz w:val="24"/>
          <w:szCs w:val="24"/>
        </w:rPr>
        <w:t>Se prohíbe a todas las instituciones educativas del país impedir el ingreso a las instalaciones del plantel educativo durante el horario de funcionamiento ordinario</w:t>
      </w:r>
      <w:r w:rsidR="00501EE8" w:rsidRPr="00B57971">
        <w:rPr>
          <w:rFonts w:ascii="Arial" w:eastAsia="Arial" w:hAnsi="Arial" w:cs="Arial"/>
          <w:sz w:val="24"/>
          <w:szCs w:val="24"/>
        </w:rPr>
        <w:t xml:space="preserve">  a los  estudiantes que tengan a su</w:t>
      </w:r>
      <w:r w:rsidR="00DA7CAE" w:rsidRPr="00B57971">
        <w:rPr>
          <w:rFonts w:ascii="Arial" w:eastAsia="Arial" w:hAnsi="Arial" w:cs="Arial"/>
          <w:sz w:val="24"/>
          <w:szCs w:val="24"/>
        </w:rPr>
        <w:t xml:space="preserve"> cargo</w:t>
      </w:r>
      <w:r w:rsidRPr="00B57971">
        <w:rPr>
          <w:rFonts w:ascii="Arial" w:eastAsia="Arial" w:hAnsi="Arial" w:cs="Arial"/>
          <w:sz w:val="24"/>
          <w:szCs w:val="24"/>
        </w:rPr>
        <w:t>, sin que medien motivos de seguridad o de fuerza mayor.</w:t>
      </w:r>
    </w:p>
    <w:p w:rsidR="00E22E34" w:rsidRPr="00B57971" w:rsidRDefault="00E22E34" w:rsidP="00251CBC">
      <w:pPr>
        <w:spacing w:line="360" w:lineRule="auto"/>
        <w:jc w:val="both"/>
        <w:rPr>
          <w:rFonts w:ascii="Arial" w:eastAsia="Arial" w:hAnsi="Arial" w:cs="Arial"/>
          <w:sz w:val="24"/>
          <w:szCs w:val="24"/>
        </w:rPr>
      </w:pPr>
      <w:r w:rsidRPr="00B57971">
        <w:rPr>
          <w:rFonts w:ascii="Arial" w:eastAsia="Arial" w:hAnsi="Arial" w:cs="Arial"/>
          <w:sz w:val="24"/>
          <w:szCs w:val="24"/>
        </w:rPr>
        <w:t xml:space="preserve">En caso de infracciones al manual de convivencia, reglamento interno o razones que ameriten que el alumno sea separado de los cursos, este deberá esperar en un lugar seguro al interior de las instalaciones del plantel educativo mientras se hacen presentes sus responsables. </w:t>
      </w:r>
    </w:p>
    <w:p w:rsidR="004C7FAA" w:rsidRPr="00B57971" w:rsidRDefault="00251CBC" w:rsidP="00251CBC">
      <w:pPr>
        <w:spacing w:line="360" w:lineRule="auto"/>
        <w:jc w:val="both"/>
        <w:rPr>
          <w:rFonts w:ascii="Arial" w:eastAsia="Arial" w:hAnsi="Arial" w:cs="Arial"/>
          <w:sz w:val="24"/>
          <w:szCs w:val="24"/>
        </w:rPr>
      </w:pPr>
      <w:r w:rsidRPr="00B57971">
        <w:rPr>
          <w:rFonts w:ascii="Arial" w:eastAsia="Arial" w:hAnsi="Arial" w:cs="Arial"/>
          <w:b/>
          <w:sz w:val="24"/>
          <w:szCs w:val="24"/>
        </w:rPr>
        <w:t>Artículo</w:t>
      </w:r>
      <w:r w:rsidR="00E22E34" w:rsidRPr="00B57971">
        <w:rPr>
          <w:rFonts w:ascii="Arial" w:eastAsia="Arial" w:hAnsi="Arial" w:cs="Arial"/>
          <w:b/>
          <w:sz w:val="24"/>
          <w:szCs w:val="24"/>
        </w:rPr>
        <w:t xml:space="preserve"> 3</w:t>
      </w:r>
      <w:r w:rsidRPr="00B57971">
        <w:rPr>
          <w:rFonts w:ascii="Arial" w:eastAsia="Arial" w:hAnsi="Arial" w:cs="Arial"/>
          <w:b/>
          <w:sz w:val="24"/>
          <w:szCs w:val="24"/>
        </w:rPr>
        <w:t>°.</w:t>
      </w:r>
      <w:r w:rsidR="0050012C" w:rsidRPr="00B57971">
        <w:rPr>
          <w:rFonts w:ascii="Arial" w:eastAsia="Arial" w:hAnsi="Arial" w:cs="Arial"/>
          <w:sz w:val="24"/>
          <w:szCs w:val="24"/>
        </w:rPr>
        <w:t xml:space="preserve"> </w:t>
      </w:r>
      <w:r w:rsidRPr="00B57971">
        <w:rPr>
          <w:rFonts w:ascii="Arial" w:eastAsia="Arial" w:hAnsi="Arial" w:cs="Arial"/>
          <w:sz w:val="24"/>
          <w:szCs w:val="24"/>
        </w:rPr>
        <w:t>El artículo 201 de la L</w:t>
      </w:r>
      <w:r w:rsidR="0050012C" w:rsidRPr="00B57971">
        <w:rPr>
          <w:rFonts w:ascii="Arial" w:eastAsia="Arial" w:hAnsi="Arial" w:cs="Arial"/>
          <w:sz w:val="24"/>
          <w:szCs w:val="24"/>
        </w:rPr>
        <w:t>ey 115</w:t>
      </w:r>
      <w:r w:rsidRPr="00B57971">
        <w:rPr>
          <w:rFonts w:ascii="Arial" w:eastAsia="Arial" w:hAnsi="Arial" w:cs="Arial"/>
          <w:sz w:val="24"/>
          <w:szCs w:val="24"/>
        </w:rPr>
        <w:t xml:space="preserve"> de 1994 quedará</w:t>
      </w:r>
      <w:r w:rsidR="0050012C" w:rsidRPr="00B57971">
        <w:rPr>
          <w:rFonts w:ascii="Arial" w:eastAsia="Arial" w:hAnsi="Arial" w:cs="Arial"/>
          <w:sz w:val="24"/>
          <w:szCs w:val="24"/>
        </w:rPr>
        <w:t xml:space="preserve"> así: </w:t>
      </w:r>
    </w:p>
    <w:p w:rsidR="004C7FAA" w:rsidRPr="00B57971" w:rsidRDefault="0050012C" w:rsidP="00251CBC">
      <w:pPr>
        <w:spacing w:line="360" w:lineRule="auto"/>
        <w:jc w:val="both"/>
        <w:rPr>
          <w:rFonts w:ascii="Arial" w:eastAsia="Arial" w:hAnsi="Arial" w:cs="Arial"/>
          <w:sz w:val="24"/>
          <w:szCs w:val="24"/>
        </w:rPr>
      </w:pPr>
      <w:r w:rsidRPr="00B57971">
        <w:rPr>
          <w:rFonts w:ascii="Arial" w:eastAsia="Arial" w:hAnsi="Arial" w:cs="Arial"/>
          <w:b/>
          <w:bCs/>
          <w:sz w:val="24"/>
          <w:szCs w:val="24"/>
        </w:rPr>
        <w:t>ARTÍCULO 201. MATRÍCULA DE ALUMNOS EN LOS ESTABLECIMIENTOS EDUCATIVOS PRIVADOS.</w:t>
      </w:r>
      <w:r w:rsidRPr="00B57971">
        <w:rPr>
          <w:rFonts w:ascii="Arial" w:eastAsia="Arial" w:hAnsi="Arial" w:cs="Arial"/>
          <w:sz w:val="24"/>
          <w:szCs w:val="24"/>
        </w:rPr>
        <w:t xml:space="preserve"> De acuerdo con lo dispuesto en el artículo 95 de la presente Ley, los establecimientos educativos privados podrán renovar la matrícula de los alumnos o educandos para cada período académico, mediante contrato que se regirá por las reglas del derecho privado.</w:t>
      </w:r>
    </w:p>
    <w:p w:rsidR="004C7FAA" w:rsidRPr="00B57971" w:rsidRDefault="0050012C" w:rsidP="00251CBC">
      <w:pPr>
        <w:spacing w:line="360" w:lineRule="auto"/>
        <w:jc w:val="both"/>
        <w:rPr>
          <w:rFonts w:ascii="Arial" w:eastAsia="Arial" w:hAnsi="Arial" w:cs="Arial"/>
          <w:sz w:val="24"/>
          <w:szCs w:val="24"/>
        </w:rPr>
      </w:pPr>
      <w:r w:rsidRPr="00B57971">
        <w:rPr>
          <w:rFonts w:ascii="Arial" w:eastAsia="Arial" w:hAnsi="Arial" w:cs="Arial"/>
          <w:sz w:val="24"/>
          <w:szCs w:val="24"/>
        </w:rPr>
        <w:t>El contrato deberá establecer, entre otros, los derechos y obligaciones de las partes, las causales de terminación y las condiciones para su renovación.</w:t>
      </w:r>
    </w:p>
    <w:p w:rsidR="004C7FAA" w:rsidRPr="00B57971" w:rsidRDefault="0050012C" w:rsidP="00251CBC">
      <w:pPr>
        <w:spacing w:line="360" w:lineRule="auto"/>
        <w:jc w:val="both"/>
        <w:rPr>
          <w:rFonts w:ascii="Arial" w:eastAsia="Arial" w:hAnsi="Arial" w:cs="Arial"/>
          <w:sz w:val="24"/>
          <w:szCs w:val="24"/>
        </w:rPr>
      </w:pPr>
      <w:r w:rsidRPr="00B57971">
        <w:rPr>
          <w:rFonts w:ascii="Arial" w:eastAsia="Arial" w:hAnsi="Arial" w:cs="Arial"/>
          <w:sz w:val="24"/>
          <w:szCs w:val="24"/>
        </w:rPr>
        <w:t>Serán parte integrante del contrato, el proyecto educativo institucional y el reglamento interno o manual de convivencia del establecimiento educativo.</w:t>
      </w:r>
    </w:p>
    <w:p w:rsidR="004C7FAA" w:rsidRPr="00B57971" w:rsidRDefault="0050012C" w:rsidP="00251CBC">
      <w:pPr>
        <w:spacing w:line="360" w:lineRule="auto"/>
        <w:jc w:val="both"/>
        <w:rPr>
          <w:rFonts w:ascii="Arial" w:eastAsia="Arial" w:hAnsi="Arial" w:cs="Arial"/>
          <w:sz w:val="24"/>
          <w:szCs w:val="24"/>
        </w:rPr>
      </w:pPr>
      <w:r w:rsidRPr="00B57971">
        <w:rPr>
          <w:rFonts w:ascii="Arial" w:eastAsia="Arial" w:hAnsi="Arial" w:cs="Arial"/>
          <w:sz w:val="24"/>
          <w:szCs w:val="24"/>
        </w:rPr>
        <w:lastRenderedPageBreak/>
        <w:t>En ningún caso este contrato podrá incluir condiciones que violen los derechos fundamentales de los educandos, de los padres de familia, de los establecimientos educativos o de las personas naturales o jurídicas propietarias de los mismos.</w:t>
      </w:r>
    </w:p>
    <w:p w:rsidR="004C7FAA" w:rsidRPr="00B57971" w:rsidRDefault="0050012C" w:rsidP="00251CBC">
      <w:pPr>
        <w:spacing w:line="360" w:lineRule="auto"/>
        <w:jc w:val="both"/>
        <w:rPr>
          <w:rFonts w:ascii="Arial" w:eastAsia="Arial" w:hAnsi="Arial" w:cs="Arial"/>
          <w:sz w:val="24"/>
          <w:szCs w:val="24"/>
        </w:rPr>
      </w:pPr>
      <w:r w:rsidRPr="00B57971">
        <w:rPr>
          <w:rFonts w:ascii="Arial" w:eastAsia="Arial" w:hAnsi="Arial" w:cs="Arial"/>
          <w:b/>
          <w:bCs/>
          <w:sz w:val="24"/>
          <w:szCs w:val="24"/>
        </w:rPr>
        <w:t>Parágrafo:</w:t>
      </w:r>
      <w:r w:rsidRPr="00B57971">
        <w:rPr>
          <w:rFonts w:ascii="Arial" w:eastAsia="Arial" w:hAnsi="Arial" w:cs="Arial"/>
          <w:sz w:val="24"/>
          <w:szCs w:val="24"/>
        </w:rPr>
        <w:t xml:space="preserve"> Se prohíbe a todas las instituciones educativas del país impedir el ingreso a las instalaciones del plantel educativo durante el horario de funcionamiento ordinario</w:t>
      </w:r>
      <w:r w:rsidR="009651E3" w:rsidRPr="00B57971">
        <w:rPr>
          <w:rFonts w:ascii="Arial" w:eastAsia="Arial" w:hAnsi="Arial" w:cs="Arial"/>
          <w:sz w:val="24"/>
          <w:szCs w:val="24"/>
        </w:rPr>
        <w:t xml:space="preserve">  </w:t>
      </w:r>
      <w:r w:rsidR="00F92980" w:rsidRPr="00B57971">
        <w:rPr>
          <w:rFonts w:ascii="Arial" w:eastAsia="Arial" w:hAnsi="Arial" w:cs="Arial"/>
          <w:sz w:val="24"/>
          <w:szCs w:val="24"/>
        </w:rPr>
        <w:t xml:space="preserve">a </w:t>
      </w:r>
      <w:r w:rsidR="009651E3" w:rsidRPr="00B57971">
        <w:rPr>
          <w:rFonts w:ascii="Arial" w:eastAsia="Arial" w:hAnsi="Arial" w:cs="Arial"/>
          <w:sz w:val="24"/>
          <w:szCs w:val="24"/>
        </w:rPr>
        <w:t>los estudiantes que tengan a su cargo</w:t>
      </w:r>
      <w:r w:rsidRPr="00B57971">
        <w:rPr>
          <w:rFonts w:ascii="Arial" w:eastAsia="Arial" w:hAnsi="Arial" w:cs="Arial"/>
          <w:sz w:val="24"/>
          <w:szCs w:val="24"/>
        </w:rPr>
        <w:t>, sin que medien motivos de seguridad o de fuerza mayor.</w:t>
      </w:r>
    </w:p>
    <w:p w:rsidR="00251CBC" w:rsidRPr="00B57971" w:rsidRDefault="0050012C" w:rsidP="00251CBC">
      <w:pPr>
        <w:spacing w:line="360" w:lineRule="auto"/>
        <w:jc w:val="both"/>
        <w:rPr>
          <w:rFonts w:ascii="Arial" w:eastAsia="Arial" w:hAnsi="Arial" w:cs="Arial"/>
          <w:sz w:val="24"/>
          <w:szCs w:val="24"/>
        </w:rPr>
      </w:pPr>
      <w:r w:rsidRPr="00B57971">
        <w:rPr>
          <w:rFonts w:ascii="Arial" w:eastAsia="Arial" w:hAnsi="Arial" w:cs="Arial"/>
          <w:sz w:val="24"/>
          <w:szCs w:val="24"/>
        </w:rPr>
        <w:t xml:space="preserve">En caso de infracciones al manual de convivencia, reglamento interno o razones que ameriten que el alumno sea separado de los cursos, este deberá esperar en un lugar seguro al interior de las instalaciones del plantel educativo mientras se hacen presentes sus responsables. </w:t>
      </w:r>
      <w:bookmarkStart w:id="1" w:name="_gjdgxs" w:colFirst="0" w:colLast="0"/>
      <w:bookmarkEnd w:id="1"/>
    </w:p>
    <w:p w:rsidR="00251CBC" w:rsidRPr="00B57971" w:rsidRDefault="00251CBC" w:rsidP="00251CBC">
      <w:pPr>
        <w:spacing w:line="360" w:lineRule="auto"/>
        <w:jc w:val="both"/>
        <w:rPr>
          <w:rFonts w:ascii="Arial" w:eastAsia="Arial" w:hAnsi="Arial" w:cs="Arial"/>
          <w:sz w:val="24"/>
          <w:szCs w:val="24"/>
        </w:rPr>
      </w:pPr>
      <w:r w:rsidRPr="00B57971">
        <w:rPr>
          <w:rFonts w:ascii="Arial" w:eastAsia="Arial" w:hAnsi="Arial" w:cs="Arial"/>
          <w:b/>
          <w:sz w:val="24"/>
          <w:szCs w:val="24"/>
        </w:rPr>
        <w:t>Artículo</w:t>
      </w:r>
      <w:r w:rsidR="0050012C" w:rsidRPr="00B57971">
        <w:rPr>
          <w:rFonts w:ascii="Arial" w:eastAsia="Arial" w:hAnsi="Arial" w:cs="Arial"/>
          <w:b/>
          <w:sz w:val="24"/>
          <w:szCs w:val="24"/>
        </w:rPr>
        <w:t xml:space="preserve"> </w:t>
      </w:r>
      <w:r w:rsidR="00886227">
        <w:rPr>
          <w:rFonts w:ascii="Arial" w:eastAsia="Arial" w:hAnsi="Arial" w:cs="Arial"/>
          <w:b/>
          <w:sz w:val="24"/>
          <w:szCs w:val="24"/>
        </w:rPr>
        <w:t>4</w:t>
      </w:r>
      <w:r w:rsidRPr="00B57971">
        <w:rPr>
          <w:rFonts w:ascii="Arial" w:eastAsia="Arial" w:hAnsi="Arial" w:cs="Arial"/>
          <w:b/>
          <w:sz w:val="24"/>
          <w:szCs w:val="24"/>
        </w:rPr>
        <w:t>°. Vigencia:</w:t>
      </w:r>
      <w:r w:rsidR="0050012C" w:rsidRPr="00B57971">
        <w:rPr>
          <w:rFonts w:ascii="Arial" w:eastAsia="Arial" w:hAnsi="Arial" w:cs="Arial"/>
          <w:sz w:val="24"/>
          <w:szCs w:val="24"/>
        </w:rPr>
        <w:t xml:space="preserve"> </w:t>
      </w:r>
      <w:r w:rsidRPr="00B57971">
        <w:rPr>
          <w:rFonts w:ascii="Arial" w:eastAsia="Arial" w:hAnsi="Arial" w:cs="Arial"/>
          <w:sz w:val="24"/>
          <w:szCs w:val="24"/>
        </w:rPr>
        <w:t>La presente Ley rige a partir de su promulgación y deroga todas las disposiciones que le sean contrarias.</w:t>
      </w:r>
    </w:p>
    <w:p w:rsidR="00831ECC" w:rsidRPr="00B57971" w:rsidRDefault="00831ECC" w:rsidP="00251CBC">
      <w:pPr>
        <w:spacing w:line="360" w:lineRule="auto"/>
        <w:jc w:val="both"/>
        <w:rPr>
          <w:rFonts w:ascii="Arial" w:eastAsia="Arial" w:hAnsi="Arial" w:cs="Arial"/>
          <w:sz w:val="24"/>
          <w:szCs w:val="24"/>
        </w:rPr>
      </w:pPr>
    </w:p>
    <w:p w:rsidR="00831ECC" w:rsidRPr="00B57971" w:rsidRDefault="00831ECC" w:rsidP="00251CBC">
      <w:pPr>
        <w:spacing w:line="360" w:lineRule="auto"/>
        <w:jc w:val="both"/>
        <w:rPr>
          <w:rFonts w:ascii="Arial" w:eastAsia="Arial" w:hAnsi="Arial" w:cs="Arial"/>
          <w:sz w:val="24"/>
          <w:szCs w:val="24"/>
        </w:rPr>
      </w:pPr>
    </w:p>
    <w:p w:rsidR="00831ECC" w:rsidRPr="00B57971" w:rsidRDefault="00831ECC" w:rsidP="00831ECC">
      <w:pPr>
        <w:spacing w:line="240" w:lineRule="auto"/>
        <w:rPr>
          <w:rFonts w:ascii="Arial" w:hAnsi="Arial" w:cs="Arial"/>
          <w:b/>
          <w:color w:val="000000"/>
          <w:sz w:val="24"/>
          <w:szCs w:val="24"/>
        </w:rPr>
      </w:pPr>
      <w:r w:rsidRPr="00B57971">
        <w:rPr>
          <w:rFonts w:ascii="Arial" w:hAnsi="Arial" w:cs="Arial"/>
          <w:b/>
          <w:color w:val="000000"/>
          <w:sz w:val="24"/>
          <w:szCs w:val="24"/>
        </w:rPr>
        <w:t>FABIÁN DÍAZ PLATA</w:t>
      </w:r>
    </w:p>
    <w:p w:rsidR="00831ECC" w:rsidRPr="00B57971" w:rsidRDefault="00831ECC" w:rsidP="00831ECC">
      <w:pPr>
        <w:spacing w:line="240" w:lineRule="auto"/>
        <w:rPr>
          <w:rFonts w:ascii="Arial" w:hAnsi="Arial" w:cs="Arial"/>
          <w:color w:val="000000"/>
          <w:sz w:val="24"/>
          <w:szCs w:val="24"/>
        </w:rPr>
      </w:pPr>
      <w:r w:rsidRPr="00B57971">
        <w:rPr>
          <w:rFonts w:ascii="Arial" w:hAnsi="Arial" w:cs="Arial"/>
          <w:color w:val="000000"/>
          <w:sz w:val="24"/>
          <w:szCs w:val="24"/>
        </w:rPr>
        <w:t>Representante a la Cámara</w:t>
      </w:r>
    </w:p>
    <w:p w:rsidR="00831ECC" w:rsidRPr="00B57971" w:rsidRDefault="00831ECC" w:rsidP="00831ECC">
      <w:pPr>
        <w:spacing w:line="240" w:lineRule="auto"/>
        <w:jc w:val="both"/>
        <w:rPr>
          <w:rFonts w:ascii="Arial" w:hAnsi="Arial" w:cs="Arial"/>
          <w:sz w:val="24"/>
          <w:szCs w:val="24"/>
        </w:rPr>
      </w:pPr>
      <w:r w:rsidRPr="00B57971">
        <w:rPr>
          <w:rFonts w:ascii="Arial" w:hAnsi="Arial" w:cs="Arial"/>
          <w:color w:val="000000"/>
          <w:sz w:val="24"/>
          <w:szCs w:val="24"/>
        </w:rPr>
        <w:t>Departamento de Santander</w:t>
      </w:r>
    </w:p>
    <w:p w:rsidR="00831ECC" w:rsidRPr="00B57971" w:rsidRDefault="00831ECC" w:rsidP="00251CBC">
      <w:pPr>
        <w:spacing w:line="360" w:lineRule="auto"/>
        <w:jc w:val="both"/>
        <w:rPr>
          <w:rFonts w:ascii="Arial" w:eastAsia="Arial" w:hAnsi="Arial" w:cs="Arial"/>
          <w:sz w:val="24"/>
          <w:szCs w:val="24"/>
        </w:rPr>
      </w:pPr>
    </w:p>
    <w:p w:rsidR="00831ECC" w:rsidRPr="00B57971" w:rsidRDefault="00831ECC" w:rsidP="00251CBC">
      <w:pPr>
        <w:spacing w:line="360" w:lineRule="auto"/>
        <w:jc w:val="both"/>
        <w:rPr>
          <w:rFonts w:ascii="Arial" w:eastAsia="Arial" w:hAnsi="Arial" w:cs="Arial"/>
          <w:sz w:val="24"/>
          <w:szCs w:val="24"/>
        </w:rPr>
      </w:pPr>
    </w:p>
    <w:p w:rsidR="00140B4D" w:rsidRPr="00B57971" w:rsidRDefault="00140B4D" w:rsidP="00251CBC">
      <w:pPr>
        <w:spacing w:line="360" w:lineRule="auto"/>
        <w:jc w:val="center"/>
        <w:rPr>
          <w:rFonts w:ascii="Arial" w:eastAsia="Arial" w:hAnsi="Arial" w:cs="Arial"/>
          <w:b/>
          <w:sz w:val="24"/>
          <w:szCs w:val="24"/>
        </w:rPr>
      </w:pPr>
      <w:r w:rsidRPr="00B57971">
        <w:rPr>
          <w:rFonts w:ascii="Arial" w:eastAsia="Arial" w:hAnsi="Arial" w:cs="Arial"/>
          <w:b/>
          <w:sz w:val="24"/>
          <w:szCs w:val="24"/>
        </w:rPr>
        <w:t xml:space="preserve">EXPOSICIÓN DE MOTIVOS </w:t>
      </w:r>
    </w:p>
    <w:p w:rsidR="00140B4D" w:rsidRPr="00B57971" w:rsidRDefault="00140B4D" w:rsidP="00140B4D">
      <w:pPr>
        <w:spacing w:line="360" w:lineRule="auto"/>
        <w:jc w:val="center"/>
        <w:rPr>
          <w:rFonts w:ascii="Arial" w:eastAsia="Arial" w:hAnsi="Arial" w:cs="Arial"/>
          <w:b/>
          <w:sz w:val="24"/>
          <w:szCs w:val="24"/>
        </w:rPr>
      </w:pPr>
      <w:r w:rsidRPr="00B57971">
        <w:rPr>
          <w:rFonts w:ascii="Arial" w:eastAsia="Arial" w:hAnsi="Arial" w:cs="Arial"/>
          <w:b/>
          <w:sz w:val="24"/>
          <w:szCs w:val="24"/>
        </w:rPr>
        <w:t>PROYECTO DE LEY N °___ DE 2020 CÁMARA</w:t>
      </w:r>
    </w:p>
    <w:p w:rsidR="00F31757" w:rsidRPr="00B57971" w:rsidRDefault="00F31757" w:rsidP="00F31757">
      <w:pPr>
        <w:spacing w:line="360" w:lineRule="auto"/>
        <w:jc w:val="center"/>
        <w:rPr>
          <w:rFonts w:ascii="Arial" w:eastAsia="Arial" w:hAnsi="Arial" w:cs="Arial"/>
          <w:i/>
          <w:sz w:val="24"/>
          <w:szCs w:val="24"/>
        </w:rPr>
      </w:pPr>
      <w:r w:rsidRPr="00B57971">
        <w:rPr>
          <w:rFonts w:ascii="Arial" w:eastAsia="Arial" w:hAnsi="Arial" w:cs="Arial"/>
          <w:i/>
          <w:sz w:val="24"/>
          <w:szCs w:val="24"/>
        </w:rPr>
        <w:t>“Por medio de la cual se prohíbe a las instituciones educativas públicas y privadas impedir el acceso a las instalaciones a estudiantes bajo su cuidado.”</w:t>
      </w:r>
    </w:p>
    <w:p w:rsidR="003A0765" w:rsidRPr="00B57971" w:rsidRDefault="003A0765" w:rsidP="009F37EF">
      <w:pPr>
        <w:spacing w:line="360" w:lineRule="auto"/>
        <w:jc w:val="both"/>
        <w:rPr>
          <w:rFonts w:ascii="Arial" w:eastAsia="Arial" w:hAnsi="Arial" w:cs="Arial"/>
          <w:i/>
          <w:sz w:val="24"/>
          <w:szCs w:val="24"/>
        </w:rPr>
      </w:pPr>
      <w:r w:rsidRPr="00B57971">
        <w:rPr>
          <w:rFonts w:ascii="Arial" w:eastAsia="Arial" w:hAnsi="Arial" w:cs="Arial"/>
          <w:i/>
          <w:sz w:val="24"/>
          <w:szCs w:val="24"/>
        </w:rPr>
        <w:t>“</w:t>
      </w:r>
      <w:r w:rsidR="00251CBC" w:rsidRPr="00B57971">
        <w:rPr>
          <w:rFonts w:ascii="Arial" w:eastAsia="Arial" w:hAnsi="Arial" w:cs="Arial"/>
          <w:i/>
          <w:sz w:val="24"/>
          <w:szCs w:val="24"/>
        </w:rPr>
        <w:t xml:space="preserve">La violencia contra los niños, niñas y adolescentes ha estado influenciada por la concepción y el trato que culturalmente se le ha dado a la infancia y la adolescencia, </w:t>
      </w:r>
      <w:r w:rsidR="00251CBC" w:rsidRPr="00B57971">
        <w:rPr>
          <w:rFonts w:ascii="Arial" w:eastAsia="Arial" w:hAnsi="Arial" w:cs="Arial"/>
          <w:i/>
          <w:sz w:val="24"/>
          <w:szCs w:val="24"/>
        </w:rPr>
        <w:lastRenderedPageBreak/>
        <w:t xml:space="preserve">y a la naturalización de prácticas violentas como formas de educación y crianza validadas y aceptadas en la sociedad. </w:t>
      </w:r>
    </w:p>
    <w:p w:rsidR="00251CBC" w:rsidRPr="00B57971" w:rsidRDefault="00251CBC" w:rsidP="009F37EF">
      <w:pPr>
        <w:spacing w:line="360" w:lineRule="auto"/>
        <w:jc w:val="both"/>
        <w:rPr>
          <w:rFonts w:ascii="Arial" w:eastAsia="Arial" w:hAnsi="Arial" w:cs="Arial"/>
          <w:i/>
          <w:sz w:val="24"/>
          <w:szCs w:val="24"/>
        </w:rPr>
      </w:pPr>
      <w:r w:rsidRPr="00B57971">
        <w:rPr>
          <w:rFonts w:ascii="Arial" w:eastAsia="Arial" w:hAnsi="Arial" w:cs="Arial"/>
          <w:i/>
          <w:sz w:val="24"/>
          <w:szCs w:val="24"/>
        </w:rPr>
        <w:t>Con la doctrina de la Protección Integral y el reconocimiento de los niños, niñas y adolescentes como sujetos de derechos, cada vez más, se ha venido reconociendo la violencia contra la infancia y la adolescencia como una vulneración a los derechos consagrados en el marco normativo internacional y nacional.</w:t>
      </w:r>
      <w:r w:rsidR="003A0765" w:rsidRPr="00B57971">
        <w:rPr>
          <w:rFonts w:ascii="Arial" w:eastAsia="Arial" w:hAnsi="Arial" w:cs="Arial"/>
          <w:i/>
          <w:sz w:val="24"/>
          <w:szCs w:val="24"/>
        </w:rPr>
        <w:t>”</w:t>
      </w:r>
      <w:r w:rsidRPr="00B57971">
        <w:rPr>
          <w:rFonts w:ascii="Arial" w:eastAsia="Arial" w:hAnsi="Arial" w:cs="Arial"/>
          <w:i/>
          <w:sz w:val="24"/>
          <w:szCs w:val="24"/>
        </w:rPr>
        <w:t xml:space="preserve"> </w:t>
      </w:r>
      <w:r w:rsidR="003A0765" w:rsidRPr="00B57971">
        <w:rPr>
          <w:rStyle w:val="Refdenotaalpie"/>
          <w:rFonts w:ascii="Arial" w:eastAsia="Arial" w:hAnsi="Arial" w:cs="Arial"/>
          <w:i/>
          <w:sz w:val="24"/>
          <w:szCs w:val="24"/>
        </w:rPr>
        <w:footnoteReference w:id="1"/>
      </w:r>
    </w:p>
    <w:p w:rsidR="003A0765" w:rsidRPr="00B57971" w:rsidRDefault="003A0765" w:rsidP="009F37EF">
      <w:pPr>
        <w:spacing w:line="360" w:lineRule="auto"/>
        <w:jc w:val="both"/>
        <w:rPr>
          <w:rFonts w:ascii="Arial" w:eastAsia="Arial" w:hAnsi="Arial" w:cs="Arial"/>
          <w:sz w:val="24"/>
          <w:szCs w:val="24"/>
        </w:rPr>
      </w:pPr>
      <w:r w:rsidRPr="00B57971">
        <w:rPr>
          <w:rFonts w:ascii="Arial" w:eastAsia="Arial" w:hAnsi="Arial" w:cs="Arial"/>
          <w:sz w:val="24"/>
          <w:szCs w:val="24"/>
        </w:rPr>
        <w:t xml:space="preserve">En el Lineamiento técnico para la atención de niños, niñas y adolescentes con sus derechos amenazados o vulnerados por causa de la violencia del ICBF, se define la violencia contra los niños, niñas y adolescentes de esta manera: </w:t>
      </w:r>
    </w:p>
    <w:p w:rsidR="00251CBC" w:rsidRPr="00B57971" w:rsidRDefault="003A0765" w:rsidP="009F37EF">
      <w:pPr>
        <w:spacing w:line="360" w:lineRule="auto"/>
        <w:jc w:val="both"/>
        <w:rPr>
          <w:rFonts w:ascii="Arial" w:eastAsia="Arial" w:hAnsi="Arial" w:cs="Arial"/>
          <w:i/>
          <w:sz w:val="24"/>
          <w:szCs w:val="24"/>
        </w:rPr>
      </w:pPr>
      <w:r w:rsidRPr="00B57971">
        <w:rPr>
          <w:rFonts w:ascii="Arial" w:eastAsia="Arial" w:hAnsi="Arial" w:cs="Arial"/>
          <w:i/>
          <w:sz w:val="24"/>
          <w:szCs w:val="24"/>
        </w:rPr>
        <w:t>“</w:t>
      </w:r>
      <w:r w:rsidR="00251CBC" w:rsidRPr="00B57971">
        <w:rPr>
          <w:rFonts w:ascii="Arial" w:eastAsia="Arial" w:hAnsi="Arial" w:cs="Arial"/>
          <w:i/>
          <w:sz w:val="24"/>
          <w:szCs w:val="24"/>
        </w:rPr>
        <w:t>Toda acción, omisión, abuso, uso de la fuerza o del poder que se expresa a través de la violencia física, psicológica, sexual y la negligencia, así como a través de las amenazas de tales actos, la cual se puede presentar en distintos ámbitos y ser ejercido por parte de sus padres, representantes legales o cualquier otra persona; produce daño y afecta la integridad personal, el desarrollo integral de los niños, niñas y adolescentes, llegando incluso hasta la muerte.</w:t>
      </w:r>
      <w:r w:rsidRPr="00B57971">
        <w:rPr>
          <w:rFonts w:ascii="Arial" w:eastAsia="Arial" w:hAnsi="Arial" w:cs="Arial"/>
          <w:i/>
          <w:sz w:val="24"/>
          <w:szCs w:val="24"/>
        </w:rPr>
        <w:t>”</w:t>
      </w:r>
      <w:r w:rsidRPr="00B57971">
        <w:rPr>
          <w:rStyle w:val="Refdenotaalpie"/>
          <w:rFonts w:ascii="Arial" w:eastAsia="Arial" w:hAnsi="Arial" w:cs="Arial"/>
          <w:i/>
          <w:sz w:val="24"/>
          <w:szCs w:val="24"/>
        </w:rPr>
        <w:footnoteReference w:id="2"/>
      </w:r>
    </w:p>
    <w:p w:rsidR="003A0765" w:rsidRPr="00B57971" w:rsidRDefault="003A0765" w:rsidP="009F37EF">
      <w:pPr>
        <w:spacing w:line="360" w:lineRule="auto"/>
        <w:jc w:val="both"/>
        <w:rPr>
          <w:rFonts w:ascii="Arial" w:eastAsia="Arial" w:hAnsi="Arial" w:cs="Arial"/>
          <w:sz w:val="24"/>
          <w:szCs w:val="24"/>
        </w:rPr>
      </w:pPr>
      <w:r w:rsidRPr="00B57971">
        <w:rPr>
          <w:rFonts w:ascii="Arial" w:eastAsia="Arial" w:hAnsi="Arial" w:cs="Arial"/>
          <w:sz w:val="24"/>
          <w:szCs w:val="24"/>
        </w:rPr>
        <w:t>En el mismo lineamiento se consagra como un tipo o forma de violencia la Omisión o Negligencia así:</w:t>
      </w:r>
    </w:p>
    <w:p w:rsidR="00251CBC" w:rsidRPr="00B57971" w:rsidRDefault="00B246C5" w:rsidP="009F37EF">
      <w:pPr>
        <w:spacing w:line="360" w:lineRule="auto"/>
        <w:jc w:val="both"/>
        <w:rPr>
          <w:rFonts w:ascii="Arial" w:eastAsia="Arial" w:hAnsi="Arial" w:cs="Arial"/>
          <w:i/>
          <w:sz w:val="24"/>
          <w:szCs w:val="24"/>
        </w:rPr>
      </w:pPr>
      <w:r w:rsidRPr="00B57971">
        <w:rPr>
          <w:rFonts w:ascii="Arial" w:eastAsia="Arial" w:hAnsi="Arial" w:cs="Arial"/>
          <w:i/>
          <w:sz w:val="24"/>
          <w:szCs w:val="24"/>
        </w:rPr>
        <w:t>“</w:t>
      </w:r>
      <w:r w:rsidR="00251CBC" w:rsidRPr="00B57971">
        <w:rPr>
          <w:rFonts w:ascii="Arial" w:eastAsia="Arial" w:hAnsi="Arial" w:cs="Arial"/>
          <w:i/>
          <w:sz w:val="24"/>
          <w:szCs w:val="24"/>
        </w:rPr>
        <w:t>Omisión o Negligencia: Se refiere a la falta de protección y cuidado mínimo del niño, niña o adolescente por parte de los progenitores o encargados del cuidado. Existe negligencia cuando los responsables del cuidado no protegen de la exposición al peligro, ni atienden, o satisfacen las necesidades básicas de los niños, niñas y adolescentes, sean éstas físicas, psicológicas, educativas o de salud, teniendo los medios, el conocimiento y acceso a la prestación de servicios.</w:t>
      </w:r>
      <w:r w:rsidRPr="00B57971">
        <w:rPr>
          <w:rFonts w:ascii="Arial" w:eastAsia="Arial" w:hAnsi="Arial" w:cs="Arial"/>
          <w:i/>
          <w:sz w:val="24"/>
          <w:szCs w:val="24"/>
        </w:rPr>
        <w:t>”</w:t>
      </w:r>
      <w:r w:rsidR="00EE19F4" w:rsidRPr="00B57971">
        <w:rPr>
          <w:rStyle w:val="Refdenotaalpie"/>
          <w:rFonts w:ascii="Arial" w:eastAsia="Arial" w:hAnsi="Arial" w:cs="Arial"/>
          <w:i/>
          <w:sz w:val="24"/>
          <w:szCs w:val="24"/>
        </w:rPr>
        <w:footnoteReference w:id="3"/>
      </w:r>
    </w:p>
    <w:p w:rsidR="00251CBC" w:rsidRPr="00B57971" w:rsidRDefault="00251CBC" w:rsidP="009F37EF">
      <w:pPr>
        <w:spacing w:line="360" w:lineRule="auto"/>
        <w:jc w:val="both"/>
        <w:rPr>
          <w:rFonts w:ascii="Arial" w:eastAsia="Arial" w:hAnsi="Arial" w:cs="Arial"/>
          <w:sz w:val="24"/>
          <w:szCs w:val="24"/>
        </w:rPr>
      </w:pPr>
      <w:r w:rsidRPr="00B57971">
        <w:rPr>
          <w:rFonts w:ascii="Arial" w:eastAsia="Arial" w:hAnsi="Arial" w:cs="Arial"/>
          <w:sz w:val="24"/>
          <w:szCs w:val="24"/>
        </w:rPr>
        <w:t>En cuanto a la responsabilidad de las institucio</w:t>
      </w:r>
      <w:r w:rsidR="00EE19F4" w:rsidRPr="00B57971">
        <w:rPr>
          <w:rFonts w:ascii="Arial" w:eastAsia="Arial" w:hAnsi="Arial" w:cs="Arial"/>
          <w:sz w:val="24"/>
          <w:szCs w:val="24"/>
        </w:rPr>
        <w:t>nes educativas ha destacado la Corte C</w:t>
      </w:r>
      <w:r w:rsidRPr="00B57971">
        <w:rPr>
          <w:rFonts w:ascii="Arial" w:eastAsia="Arial" w:hAnsi="Arial" w:cs="Arial"/>
          <w:sz w:val="24"/>
          <w:szCs w:val="24"/>
        </w:rPr>
        <w:t xml:space="preserve">onstitucional que las mismas ostentan una posición de garante indicando que, si </w:t>
      </w:r>
      <w:r w:rsidRPr="00B57971">
        <w:rPr>
          <w:rFonts w:ascii="Arial" w:eastAsia="Arial" w:hAnsi="Arial" w:cs="Arial"/>
          <w:sz w:val="24"/>
          <w:szCs w:val="24"/>
        </w:rPr>
        <w:lastRenderedPageBreak/>
        <w:t>bien poseen una facultad disciplinante</w:t>
      </w:r>
      <w:r w:rsidR="00505D63" w:rsidRPr="00B57971">
        <w:rPr>
          <w:rFonts w:ascii="Arial" w:eastAsia="Arial" w:hAnsi="Arial" w:cs="Arial"/>
          <w:sz w:val="24"/>
          <w:szCs w:val="24"/>
        </w:rPr>
        <w:t>,</w:t>
      </w:r>
      <w:r w:rsidRPr="00B57971">
        <w:rPr>
          <w:rFonts w:ascii="Arial" w:eastAsia="Arial" w:hAnsi="Arial" w:cs="Arial"/>
          <w:sz w:val="24"/>
          <w:szCs w:val="24"/>
        </w:rPr>
        <w:t xml:space="preserve"> las actuaciones sancionatorias deben regirse por el debido </w:t>
      </w:r>
      <w:r w:rsidR="00EE19F4" w:rsidRPr="00B57971">
        <w:rPr>
          <w:rFonts w:ascii="Arial" w:eastAsia="Arial" w:hAnsi="Arial" w:cs="Arial"/>
          <w:sz w:val="24"/>
          <w:szCs w:val="24"/>
        </w:rPr>
        <w:t>proceso,</w:t>
      </w:r>
      <w:r w:rsidRPr="00B57971">
        <w:rPr>
          <w:rFonts w:ascii="Arial" w:eastAsia="Arial" w:hAnsi="Arial" w:cs="Arial"/>
          <w:sz w:val="24"/>
          <w:szCs w:val="24"/>
        </w:rPr>
        <w:t xml:space="preserve"> expre</w:t>
      </w:r>
      <w:r w:rsidR="00EE19F4" w:rsidRPr="00B57971">
        <w:rPr>
          <w:rFonts w:ascii="Arial" w:eastAsia="Arial" w:hAnsi="Arial" w:cs="Arial"/>
          <w:sz w:val="24"/>
          <w:szCs w:val="24"/>
        </w:rPr>
        <w:t>sado en los siguientes términos</w:t>
      </w:r>
      <w:r w:rsidR="00505D63" w:rsidRPr="00B57971">
        <w:rPr>
          <w:rFonts w:ascii="Arial" w:eastAsia="Arial" w:hAnsi="Arial" w:cs="Arial"/>
          <w:sz w:val="24"/>
          <w:szCs w:val="24"/>
        </w:rPr>
        <w:t xml:space="preserve"> en la Sentencia T-120 de 2019</w:t>
      </w:r>
      <w:r w:rsidR="00EE19F4" w:rsidRPr="00B57971">
        <w:rPr>
          <w:rFonts w:ascii="Arial" w:eastAsia="Arial" w:hAnsi="Arial" w:cs="Arial"/>
          <w:sz w:val="24"/>
          <w:szCs w:val="24"/>
        </w:rPr>
        <w:t>:</w:t>
      </w:r>
    </w:p>
    <w:p w:rsidR="00251CBC" w:rsidRPr="00B57971" w:rsidRDefault="00251CBC" w:rsidP="009F37EF">
      <w:pPr>
        <w:spacing w:line="360" w:lineRule="auto"/>
        <w:ind w:left="720"/>
        <w:jc w:val="both"/>
        <w:rPr>
          <w:rFonts w:ascii="Arial" w:eastAsia="Arial" w:hAnsi="Arial" w:cs="Arial"/>
          <w:i/>
          <w:sz w:val="24"/>
          <w:szCs w:val="24"/>
        </w:rPr>
      </w:pPr>
      <w:r w:rsidRPr="00B57971">
        <w:rPr>
          <w:rFonts w:ascii="Arial" w:eastAsia="Arial" w:hAnsi="Arial" w:cs="Arial"/>
          <w:sz w:val="24"/>
          <w:szCs w:val="24"/>
        </w:rPr>
        <w:t xml:space="preserve">“ </w:t>
      </w:r>
      <w:r w:rsidRPr="00B57971">
        <w:rPr>
          <w:rFonts w:ascii="Arial" w:eastAsia="Arial" w:hAnsi="Arial" w:cs="Arial"/>
          <w:i/>
          <w:sz w:val="24"/>
          <w:szCs w:val="24"/>
        </w:rPr>
        <w:t>Un elemento que no puede ser desconocido en las actuaciones académicas que de alguna forma impongan sanciones a los estudiantes, es la proporcionalidad de la medida frente a los actos cometidos, y que en el proceso sancionatorio tenga en cuenta, entre otras, “(i) la edad del infractor, y por ende, su grado de madurez psicológica; (ii) el contexto que rodeo la comisión de la falta; (iii) las condiciones personales y familiares del alumno; (iv) la existencia o no de las medidas de carácter preventivo al interior del colegio; (v) los efectos prácticos  que la imposición de la sanción va a traerle al estudiante para su futuro educativo y (vi) la obligación que tiene el Estado de garantizarle a los adolescentes su permanencia en el sistema educativo”</w:t>
      </w:r>
    </w:p>
    <w:p w:rsidR="00251CBC" w:rsidRPr="00B57971" w:rsidRDefault="00251CBC" w:rsidP="009F37EF">
      <w:pPr>
        <w:spacing w:before="240" w:after="240" w:line="360" w:lineRule="auto"/>
        <w:ind w:right="560"/>
        <w:jc w:val="both"/>
        <w:rPr>
          <w:rFonts w:ascii="Arial" w:eastAsia="Arial" w:hAnsi="Arial" w:cs="Arial"/>
          <w:sz w:val="24"/>
          <w:szCs w:val="24"/>
        </w:rPr>
      </w:pPr>
      <w:r w:rsidRPr="00B57971">
        <w:rPr>
          <w:rFonts w:ascii="Arial" w:eastAsia="Arial" w:hAnsi="Arial" w:cs="Arial"/>
          <w:sz w:val="24"/>
          <w:szCs w:val="24"/>
        </w:rPr>
        <w:t xml:space="preserve">Al </w:t>
      </w:r>
      <w:r w:rsidR="00505D63" w:rsidRPr="00B57971">
        <w:rPr>
          <w:rFonts w:ascii="Arial" w:eastAsia="Arial" w:hAnsi="Arial" w:cs="Arial"/>
          <w:sz w:val="24"/>
          <w:szCs w:val="24"/>
        </w:rPr>
        <w:t>analizarlo</w:t>
      </w:r>
      <w:r w:rsidRPr="00B57971">
        <w:rPr>
          <w:rFonts w:ascii="Arial" w:eastAsia="Arial" w:hAnsi="Arial" w:cs="Arial"/>
          <w:sz w:val="24"/>
          <w:szCs w:val="24"/>
        </w:rPr>
        <w:t xml:space="preserve"> de esta manera </w:t>
      </w:r>
      <w:r w:rsidR="00505D63" w:rsidRPr="00B57971">
        <w:rPr>
          <w:rFonts w:ascii="Arial" w:eastAsia="Arial" w:hAnsi="Arial" w:cs="Arial"/>
          <w:sz w:val="24"/>
          <w:szCs w:val="24"/>
        </w:rPr>
        <w:t xml:space="preserve">y </w:t>
      </w:r>
      <w:r w:rsidRPr="00B57971">
        <w:rPr>
          <w:rFonts w:ascii="Arial" w:eastAsia="Arial" w:hAnsi="Arial" w:cs="Arial"/>
          <w:sz w:val="24"/>
          <w:szCs w:val="24"/>
        </w:rPr>
        <w:t>evaluando l</w:t>
      </w:r>
      <w:r w:rsidR="00505D63" w:rsidRPr="00B57971">
        <w:rPr>
          <w:rFonts w:ascii="Arial" w:eastAsia="Arial" w:hAnsi="Arial" w:cs="Arial"/>
          <w:sz w:val="24"/>
          <w:szCs w:val="24"/>
        </w:rPr>
        <w:t>os criterios enunciados por la Corte C</w:t>
      </w:r>
      <w:r w:rsidRPr="00B57971">
        <w:rPr>
          <w:rFonts w:ascii="Arial" w:eastAsia="Arial" w:hAnsi="Arial" w:cs="Arial"/>
          <w:sz w:val="24"/>
          <w:szCs w:val="24"/>
        </w:rPr>
        <w:t>onstitucional</w:t>
      </w:r>
      <w:r w:rsidR="00505D63" w:rsidRPr="00B57971">
        <w:rPr>
          <w:rFonts w:ascii="Arial" w:eastAsia="Arial" w:hAnsi="Arial" w:cs="Arial"/>
          <w:sz w:val="24"/>
          <w:szCs w:val="24"/>
        </w:rPr>
        <w:t>,</w:t>
      </w:r>
      <w:r w:rsidRPr="00B57971">
        <w:rPr>
          <w:rFonts w:ascii="Arial" w:eastAsia="Arial" w:hAnsi="Arial" w:cs="Arial"/>
          <w:sz w:val="24"/>
          <w:szCs w:val="24"/>
        </w:rPr>
        <w:t xml:space="preserve"> no se evidencia proporcionalidad alguna entre la comisión de cualquier conducta y el retiro de las aulas de clase exponiendo a riesgos a la vida e integridad de niños niñas y adolescentes, en especial en un marco de edades donde la educación es la expresión exacta de un derecho </w:t>
      </w:r>
      <w:r w:rsidR="00505D63" w:rsidRPr="00B57971">
        <w:rPr>
          <w:rFonts w:ascii="Arial" w:eastAsia="Arial" w:hAnsi="Arial" w:cs="Arial"/>
          <w:sz w:val="24"/>
          <w:szCs w:val="24"/>
        </w:rPr>
        <w:t>fundamental, la Corte C</w:t>
      </w:r>
      <w:r w:rsidRPr="00B57971">
        <w:rPr>
          <w:rFonts w:ascii="Arial" w:eastAsia="Arial" w:hAnsi="Arial" w:cs="Arial"/>
          <w:sz w:val="24"/>
          <w:szCs w:val="24"/>
        </w:rPr>
        <w:t>onstituciona</w:t>
      </w:r>
      <w:r w:rsidR="00505D63" w:rsidRPr="00B57971">
        <w:rPr>
          <w:rFonts w:ascii="Arial" w:eastAsia="Arial" w:hAnsi="Arial" w:cs="Arial"/>
          <w:sz w:val="24"/>
          <w:szCs w:val="24"/>
        </w:rPr>
        <w:t>l en la sentencia T-434 de 2018 manifestó lo siguiente</w:t>
      </w:r>
      <w:r w:rsidRPr="00B57971">
        <w:rPr>
          <w:rFonts w:ascii="Arial" w:eastAsia="Arial" w:hAnsi="Arial" w:cs="Arial"/>
          <w:sz w:val="24"/>
          <w:szCs w:val="24"/>
        </w:rPr>
        <w:t xml:space="preserve">:       </w:t>
      </w:r>
    </w:p>
    <w:p w:rsidR="00251CBC" w:rsidRPr="00B57971" w:rsidRDefault="00251CBC" w:rsidP="009F37EF">
      <w:pPr>
        <w:spacing w:before="240" w:after="240" w:line="360" w:lineRule="auto"/>
        <w:ind w:left="720" w:right="560"/>
        <w:jc w:val="both"/>
        <w:rPr>
          <w:rFonts w:ascii="Arial" w:eastAsia="Arial" w:hAnsi="Arial" w:cs="Arial"/>
          <w:i/>
          <w:sz w:val="24"/>
          <w:szCs w:val="24"/>
        </w:rPr>
      </w:pPr>
      <w:r w:rsidRPr="00B57971">
        <w:rPr>
          <w:rFonts w:ascii="Arial" w:eastAsia="Arial" w:hAnsi="Arial" w:cs="Arial"/>
          <w:i/>
          <w:sz w:val="24"/>
          <w:szCs w:val="24"/>
        </w:rPr>
        <w:t xml:space="preserve"> “</w:t>
      </w:r>
      <w:r w:rsidR="00505D63" w:rsidRPr="00B57971">
        <w:rPr>
          <w:rFonts w:ascii="Arial" w:eastAsia="Arial" w:hAnsi="Arial" w:cs="Arial"/>
          <w:i/>
          <w:sz w:val="24"/>
          <w:szCs w:val="24"/>
        </w:rPr>
        <w:t>…</w:t>
      </w:r>
      <w:r w:rsidRPr="00B57971">
        <w:rPr>
          <w:rFonts w:ascii="Arial" w:eastAsia="Arial" w:hAnsi="Arial" w:cs="Arial"/>
          <w:i/>
          <w:sz w:val="24"/>
          <w:szCs w:val="24"/>
        </w:rPr>
        <w:t xml:space="preserve">El derecho y servicio público de educación: (i) permite el ejercicio de otros derechos fundamentales como la libre escogencia de profesión u oficio, ya que es el </w:t>
      </w:r>
      <w:r w:rsidRPr="00B57971">
        <w:rPr>
          <w:rFonts w:ascii="Arial" w:eastAsia="Arial" w:hAnsi="Arial" w:cs="Arial"/>
          <w:i/>
          <w:sz w:val="24"/>
          <w:szCs w:val="24"/>
          <w:highlight w:val="white"/>
        </w:rPr>
        <w:t xml:space="preserve">presupuesto para </w:t>
      </w:r>
      <w:r w:rsidRPr="00B57971">
        <w:rPr>
          <w:rFonts w:ascii="Arial" w:eastAsia="Arial" w:hAnsi="Arial" w:cs="Arial"/>
          <w:i/>
          <w:sz w:val="24"/>
          <w:szCs w:val="24"/>
        </w:rPr>
        <w:t>materializar la elección de un proyecto de vida; (ii) es un derecho fundamental de las personas menores de 18 años; y (iii) se integra de cuatro características fundamentales que se relacionan entre sí, a saber: aceptabilidad, adaptabilidad, di</w:t>
      </w:r>
      <w:r w:rsidR="00505D63" w:rsidRPr="00B57971">
        <w:rPr>
          <w:rFonts w:ascii="Arial" w:eastAsia="Arial" w:hAnsi="Arial" w:cs="Arial"/>
          <w:i/>
          <w:sz w:val="24"/>
          <w:szCs w:val="24"/>
        </w:rPr>
        <w:t>sponibilidad y accesibilidad.”</w:t>
      </w:r>
    </w:p>
    <w:p w:rsidR="000F349B" w:rsidRPr="00B57971" w:rsidRDefault="000F349B" w:rsidP="009F37EF">
      <w:pPr>
        <w:spacing w:before="240" w:after="240" w:line="360" w:lineRule="auto"/>
        <w:ind w:left="720" w:right="560"/>
        <w:jc w:val="both"/>
        <w:rPr>
          <w:rFonts w:ascii="Arial" w:eastAsia="Arial" w:hAnsi="Arial" w:cs="Arial"/>
          <w:i/>
          <w:sz w:val="24"/>
          <w:szCs w:val="24"/>
        </w:rPr>
      </w:pPr>
    </w:p>
    <w:p w:rsidR="00251CBC" w:rsidRPr="00B57971" w:rsidRDefault="003D06FF" w:rsidP="009F37EF">
      <w:pPr>
        <w:spacing w:before="240" w:after="240" w:line="360" w:lineRule="auto"/>
        <w:ind w:right="560"/>
        <w:jc w:val="both"/>
        <w:rPr>
          <w:rFonts w:ascii="Arial" w:eastAsia="Arial" w:hAnsi="Arial" w:cs="Arial"/>
          <w:b/>
          <w:sz w:val="24"/>
          <w:szCs w:val="24"/>
        </w:rPr>
      </w:pPr>
      <w:r w:rsidRPr="00B57971">
        <w:rPr>
          <w:rFonts w:ascii="Arial" w:eastAsia="Arial" w:hAnsi="Arial" w:cs="Arial"/>
          <w:b/>
          <w:sz w:val="24"/>
          <w:szCs w:val="24"/>
        </w:rPr>
        <w:t xml:space="preserve">VULNERABILIDAD DE NIÑOS, NIÑAS Y ADOLESCENTES </w:t>
      </w:r>
    </w:p>
    <w:p w:rsidR="00251CBC" w:rsidRPr="00B57971" w:rsidRDefault="00251CBC" w:rsidP="009F37EF">
      <w:pPr>
        <w:spacing w:before="240" w:after="240" w:line="360" w:lineRule="auto"/>
        <w:ind w:right="560"/>
        <w:jc w:val="both"/>
        <w:rPr>
          <w:rFonts w:ascii="Arial" w:eastAsia="Arial" w:hAnsi="Arial" w:cs="Arial"/>
          <w:sz w:val="24"/>
          <w:szCs w:val="24"/>
        </w:rPr>
      </w:pPr>
      <w:r w:rsidRPr="00B57971">
        <w:rPr>
          <w:rFonts w:ascii="Arial" w:eastAsia="Arial" w:hAnsi="Arial" w:cs="Arial"/>
          <w:sz w:val="24"/>
          <w:szCs w:val="24"/>
        </w:rPr>
        <w:lastRenderedPageBreak/>
        <w:t>Las investigaciones sugieren que en todo el mundo el 20% de las mujeres y entre el 5% y el 10% de los hombres sufrieron abusos sexuales durante la infancia.</w:t>
      </w:r>
      <w:r w:rsidRPr="00B57971">
        <w:rPr>
          <w:rFonts w:ascii="Arial" w:eastAsia="Arial" w:hAnsi="Arial" w:cs="Arial"/>
          <w:sz w:val="24"/>
          <w:szCs w:val="24"/>
          <w:vertAlign w:val="superscript"/>
        </w:rPr>
        <w:footnoteReference w:id="4"/>
      </w:r>
    </w:p>
    <w:p w:rsidR="00251CBC" w:rsidRPr="00B57971" w:rsidRDefault="009A7AC9" w:rsidP="009F37EF">
      <w:pPr>
        <w:spacing w:before="240" w:after="240" w:line="360" w:lineRule="auto"/>
        <w:ind w:right="560"/>
        <w:jc w:val="both"/>
        <w:rPr>
          <w:rFonts w:ascii="Arial" w:eastAsia="Arial" w:hAnsi="Arial" w:cs="Arial"/>
          <w:sz w:val="24"/>
          <w:szCs w:val="24"/>
        </w:rPr>
      </w:pPr>
      <w:r w:rsidRPr="00B57971">
        <w:rPr>
          <w:rFonts w:ascii="Arial" w:eastAsia="Arial" w:hAnsi="Arial" w:cs="Arial"/>
          <w:sz w:val="24"/>
          <w:szCs w:val="24"/>
        </w:rPr>
        <w:t>Para</w:t>
      </w:r>
      <w:r w:rsidR="00251CBC" w:rsidRPr="00B57971">
        <w:rPr>
          <w:rFonts w:ascii="Arial" w:eastAsia="Arial" w:hAnsi="Arial" w:cs="Arial"/>
          <w:sz w:val="24"/>
          <w:szCs w:val="24"/>
        </w:rPr>
        <w:t xml:space="preserve"> el caso colombiano los datos más</w:t>
      </w:r>
      <w:r w:rsidR="00356E2B" w:rsidRPr="00B57971">
        <w:rPr>
          <w:rFonts w:ascii="Arial" w:eastAsia="Arial" w:hAnsi="Arial" w:cs="Arial"/>
          <w:sz w:val="24"/>
          <w:szCs w:val="24"/>
        </w:rPr>
        <w:t xml:space="preserve"> recientes se encuentran en la E</w:t>
      </w:r>
      <w:r w:rsidR="00251CBC" w:rsidRPr="00B57971">
        <w:rPr>
          <w:rFonts w:ascii="Arial" w:eastAsia="Arial" w:hAnsi="Arial" w:cs="Arial"/>
          <w:sz w:val="24"/>
          <w:szCs w:val="24"/>
        </w:rPr>
        <w:t xml:space="preserve">ncuesta </w:t>
      </w:r>
      <w:r w:rsidR="00356E2B" w:rsidRPr="00B57971">
        <w:rPr>
          <w:rFonts w:ascii="Arial" w:eastAsia="Arial" w:hAnsi="Arial" w:cs="Arial"/>
          <w:sz w:val="24"/>
          <w:szCs w:val="24"/>
        </w:rPr>
        <w:t>Nacional de Violencia contra Niños, Niñas y Adolescentes EVCNNA 2018 del Ministerio de Salud</w:t>
      </w:r>
      <w:r w:rsidR="00356E2B" w:rsidRPr="00B57971">
        <w:rPr>
          <w:rStyle w:val="Refdenotaalpie"/>
          <w:rFonts w:ascii="Arial" w:eastAsia="Arial" w:hAnsi="Arial" w:cs="Arial"/>
          <w:sz w:val="24"/>
          <w:szCs w:val="24"/>
        </w:rPr>
        <w:footnoteReference w:id="5"/>
      </w:r>
      <w:r w:rsidR="00356E2B" w:rsidRPr="00B57971">
        <w:rPr>
          <w:rFonts w:ascii="Arial" w:eastAsia="Arial" w:hAnsi="Arial" w:cs="Arial"/>
          <w:sz w:val="24"/>
          <w:szCs w:val="24"/>
        </w:rPr>
        <w:t>,</w:t>
      </w:r>
      <w:r w:rsidR="00251CBC" w:rsidRPr="00B57971">
        <w:rPr>
          <w:rFonts w:ascii="Arial" w:eastAsia="Arial" w:hAnsi="Arial" w:cs="Arial"/>
          <w:sz w:val="24"/>
          <w:szCs w:val="24"/>
        </w:rPr>
        <w:t xml:space="preserve"> de la cual nos permitimos destacar los siguientes datos que hablan de los riesgos que experimentan los menores: </w:t>
      </w:r>
    </w:p>
    <w:p w:rsidR="002212C9" w:rsidRPr="00B57971" w:rsidRDefault="002212C9" w:rsidP="009F37EF">
      <w:pPr>
        <w:spacing w:before="240" w:after="240" w:line="360" w:lineRule="auto"/>
        <w:ind w:right="560"/>
        <w:jc w:val="both"/>
        <w:rPr>
          <w:rFonts w:ascii="Arial" w:eastAsia="Arial" w:hAnsi="Arial" w:cs="Arial"/>
          <w:sz w:val="24"/>
          <w:szCs w:val="24"/>
        </w:rPr>
      </w:pPr>
      <w:r w:rsidRPr="00B57971">
        <w:rPr>
          <w:rFonts w:ascii="Arial" w:eastAsia="Arial" w:hAnsi="Arial" w:cs="Arial"/>
          <w:noProof/>
          <w:sz w:val="24"/>
          <w:szCs w:val="24"/>
          <w:lang w:eastAsia="es-CO"/>
        </w:rPr>
        <w:drawing>
          <wp:anchor distT="0" distB="0" distL="114300" distR="114300" simplePos="0" relativeHeight="251658240" behindDoc="0" locked="0" layoutInCell="1" allowOverlap="1" wp14:anchorId="5961ADD2" wp14:editId="135634B9">
            <wp:simplePos x="0" y="0"/>
            <wp:positionH relativeFrom="margin">
              <wp:align>right</wp:align>
            </wp:positionH>
            <wp:positionV relativeFrom="paragraph">
              <wp:posOffset>664210</wp:posOffset>
            </wp:positionV>
            <wp:extent cx="5715000" cy="1466850"/>
            <wp:effectExtent l="0" t="0" r="0" b="0"/>
            <wp:wrapThrough wrapText="bothSides">
              <wp:wrapPolygon edited="0">
                <wp:start x="0" y="0"/>
                <wp:lineTo x="0" y="21319"/>
                <wp:lineTo x="21528" y="21319"/>
                <wp:lineTo x="21528" y="0"/>
                <wp:lineTo x="0" y="0"/>
              </wp:wrapPolygon>
            </wp:wrapThrough>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l="17052" t="41783" r="21487" b="27682"/>
                    <a:stretch>
                      <a:fillRect/>
                    </a:stretch>
                  </pic:blipFill>
                  <pic:spPr>
                    <a:xfrm>
                      <a:off x="0" y="0"/>
                      <a:ext cx="5715000" cy="1466850"/>
                    </a:xfrm>
                    <a:prstGeom prst="rect">
                      <a:avLst/>
                    </a:prstGeom>
                    <a:ln/>
                  </pic:spPr>
                </pic:pic>
              </a:graphicData>
            </a:graphic>
            <wp14:sizeRelH relativeFrom="page">
              <wp14:pctWidth>0</wp14:pctWidth>
            </wp14:sizeRelH>
            <wp14:sizeRelV relativeFrom="page">
              <wp14:pctHeight>0</wp14:pctHeight>
            </wp14:sizeRelV>
          </wp:anchor>
        </w:drawing>
      </w:r>
      <w:r w:rsidR="009A7AC9" w:rsidRPr="00B57971">
        <w:rPr>
          <w:rFonts w:ascii="Arial" w:eastAsia="Arial" w:hAnsi="Arial" w:cs="Arial"/>
          <w:sz w:val="24"/>
          <w:szCs w:val="24"/>
        </w:rPr>
        <w:t>El</w:t>
      </w:r>
      <w:r w:rsidR="00B415A8" w:rsidRPr="00B57971">
        <w:rPr>
          <w:rFonts w:ascii="Arial" w:eastAsia="Arial" w:hAnsi="Arial" w:cs="Arial"/>
          <w:sz w:val="24"/>
          <w:szCs w:val="24"/>
        </w:rPr>
        <w:t xml:space="preserve"> primer cuadro señala quié</w:t>
      </w:r>
      <w:r w:rsidR="00251CBC" w:rsidRPr="00B57971">
        <w:rPr>
          <w:rFonts w:ascii="Arial" w:eastAsia="Arial" w:hAnsi="Arial" w:cs="Arial"/>
          <w:sz w:val="24"/>
          <w:szCs w:val="24"/>
        </w:rPr>
        <w:t>nes son los perpetradores más frecuentes en la experiencia del primer acto de violencia sexual contra las niñas y los niños antes de los 18 años, Colombia - Nacional</w:t>
      </w:r>
      <w:r w:rsidR="002A34B8" w:rsidRPr="00B57971">
        <w:rPr>
          <w:rFonts w:ascii="Arial" w:eastAsia="Arial" w:hAnsi="Arial" w:cs="Arial"/>
          <w:sz w:val="24"/>
          <w:szCs w:val="24"/>
        </w:rPr>
        <w:t>.</w:t>
      </w:r>
    </w:p>
    <w:p w:rsidR="00251CBC" w:rsidRPr="00B57971" w:rsidRDefault="002A34B8" w:rsidP="009F37EF">
      <w:pPr>
        <w:spacing w:before="240" w:after="240" w:line="360" w:lineRule="auto"/>
        <w:ind w:right="560"/>
        <w:jc w:val="both"/>
        <w:rPr>
          <w:rFonts w:ascii="Arial" w:eastAsia="Arial" w:hAnsi="Arial" w:cs="Arial"/>
          <w:sz w:val="24"/>
          <w:szCs w:val="24"/>
        </w:rPr>
      </w:pPr>
      <w:r w:rsidRPr="00B57971">
        <w:rPr>
          <w:rFonts w:ascii="Arial" w:eastAsia="Arial" w:hAnsi="Arial" w:cs="Arial"/>
          <w:b/>
          <w:i/>
          <w:noProof/>
          <w:sz w:val="24"/>
          <w:szCs w:val="24"/>
          <w:lang w:eastAsia="es-CO"/>
        </w:rPr>
        <w:drawing>
          <wp:anchor distT="0" distB="0" distL="114300" distR="114300" simplePos="0" relativeHeight="251659264" behindDoc="0" locked="0" layoutInCell="1" allowOverlap="1" wp14:anchorId="53F819CA" wp14:editId="70024FA5">
            <wp:simplePos x="0" y="0"/>
            <wp:positionH relativeFrom="margin">
              <wp:align>left</wp:align>
            </wp:positionH>
            <wp:positionV relativeFrom="paragraph">
              <wp:posOffset>545465</wp:posOffset>
            </wp:positionV>
            <wp:extent cx="5753100" cy="2209800"/>
            <wp:effectExtent l="0" t="0" r="0" b="0"/>
            <wp:wrapThrough wrapText="bothSides">
              <wp:wrapPolygon edited="0">
                <wp:start x="0" y="0"/>
                <wp:lineTo x="0" y="21414"/>
                <wp:lineTo x="21528" y="21414"/>
                <wp:lineTo x="21528" y="0"/>
                <wp:lineTo x="0" y="0"/>
              </wp:wrapPolygon>
            </wp:wrapThrough>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28A0092B-C50C-407E-A947-70E740481C1C}">
                          <a14:useLocalDpi xmlns:a14="http://schemas.microsoft.com/office/drawing/2010/main" val="0"/>
                        </a:ext>
                      </a:extLst>
                    </a:blip>
                    <a:srcRect l="15891" t="37208" r="20288" b="18581"/>
                    <a:stretch>
                      <a:fillRect/>
                    </a:stretch>
                  </pic:blipFill>
                  <pic:spPr>
                    <a:xfrm>
                      <a:off x="0" y="0"/>
                      <a:ext cx="5753100" cy="2209800"/>
                    </a:xfrm>
                    <a:prstGeom prst="rect">
                      <a:avLst/>
                    </a:prstGeom>
                    <a:ln/>
                  </pic:spPr>
                </pic:pic>
              </a:graphicData>
            </a:graphic>
            <wp14:sizeRelH relativeFrom="page">
              <wp14:pctWidth>0</wp14:pctWidth>
            </wp14:sizeRelH>
            <wp14:sizeRelV relativeFrom="page">
              <wp14:pctHeight>0</wp14:pctHeight>
            </wp14:sizeRelV>
          </wp:anchor>
        </w:drawing>
      </w:r>
      <w:r w:rsidR="009A7AC9" w:rsidRPr="00B57971">
        <w:rPr>
          <w:rFonts w:ascii="Arial" w:eastAsia="Arial" w:hAnsi="Arial" w:cs="Arial"/>
          <w:sz w:val="24"/>
          <w:szCs w:val="24"/>
        </w:rPr>
        <w:t>En</w:t>
      </w:r>
      <w:r w:rsidR="00251CBC" w:rsidRPr="00B57971">
        <w:rPr>
          <w:rFonts w:ascii="Arial" w:eastAsia="Arial" w:hAnsi="Arial" w:cs="Arial"/>
          <w:sz w:val="24"/>
          <w:szCs w:val="24"/>
        </w:rPr>
        <w:t xml:space="preserve"> cuanto al lugar de ocurrencia del primer incidente de violencia sexual antes de los 18 años</w:t>
      </w:r>
      <w:r w:rsidR="00E372FC" w:rsidRPr="00B57971">
        <w:rPr>
          <w:rFonts w:ascii="Arial" w:eastAsia="Arial" w:hAnsi="Arial" w:cs="Arial"/>
          <w:sz w:val="24"/>
          <w:szCs w:val="24"/>
        </w:rPr>
        <w:t>-Nacional,</w:t>
      </w:r>
      <w:r w:rsidR="00251CBC" w:rsidRPr="00B57971">
        <w:rPr>
          <w:rFonts w:ascii="Arial" w:eastAsia="Arial" w:hAnsi="Arial" w:cs="Arial"/>
          <w:sz w:val="24"/>
          <w:szCs w:val="24"/>
        </w:rPr>
        <w:t xml:space="preserve"> señala la encuesta que: </w:t>
      </w:r>
    </w:p>
    <w:p w:rsidR="00E372FC" w:rsidRPr="00B57971" w:rsidRDefault="00251CBC" w:rsidP="009F37EF">
      <w:pPr>
        <w:spacing w:before="240" w:after="240" w:line="360" w:lineRule="auto"/>
        <w:ind w:right="560"/>
        <w:jc w:val="both"/>
        <w:rPr>
          <w:rFonts w:ascii="Arial" w:eastAsia="Arial" w:hAnsi="Arial" w:cs="Arial"/>
          <w:sz w:val="24"/>
          <w:szCs w:val="24"/>
        </w:rPr>
      </w:pPr>
      <w:r w:rsidRPr="00B57971">
        <w:rPr>
          <w:rFonts w:ascii="Arial" w:eastAsia="Arial" w:hAnsi="Arial" w:cs="Arial"/>
          <w:sz w:val="24"/>
          <w:szCs w:val="24"/>
        </w:rPr>
        <w:lastRenderedPageBreak/>
        <w:t xml:space="preserve">Dentro del ítem de vivienda es importante tener presente que no refiere solo a la vivienda del participante, también puede ser la vivienda del agresor u otra vivienda. </w:t>
      </w:r>
    </w:p>
    <w:p w:rsidR="00E372FC" w:rsidRPr="00B57971" w:rsidRDefault="00E372FC" w:rsidP="009F37EF">
      <w:pPr>
        <w:spacing w:before="240" w:after="240" w:line="360" w:lineRule="auto"/>
        <w:ind w:right="560"/>
        <w:jc w:val="both"/>
        <w:rPr>
          <w:rFonts w:ascii="Arial" w:eastAsia="Arial" w:hAnsi="Arial" w:cs="Arial"/>
          <w:sz w:val="24"/>
          <w:szCs w:val="24"/>
        </w:rPr>
      </w:pPr>
      <w:r w:rsidRPr="00B57971">
        <w:rPr>
          <w:rFonts w:ascii="Arial" w:eastAsia="Arial" w:hAnsi="Arial" w:cs="Arial"/>
          <w:sz w:val="24"/>
          <w:szCs w:val="24"/>
        </w:rPr>
        <w:t>El ítem exteriores también incluye carreteras, lagos, ríos y campo.</w:t>
      </w:r>
    </w:p>
    <w:p w:rsidR="00E372FC" w:rsidRPr="00B57971" w:rsidRDefault="00E372FC" w:rsidP="009F37EF">
      <w:pPr>
        <w:spacing w:before="240" w:after="240" w:line="360" w:lineRule="auto"/>
        <w:ind w:right="560"/>
        <w:jc w:val="both"/>
        <w:rPr>
          <w:rFonts w:ascii="Arial" w:eastAsia="Arial" w:hAnsi="Arial" w:cs="Arial"/>
          <w:sz w:val="24"/>
          <w:szCs w:val="24"/>
        </w:rPr>
      </w:pPr>
      <w:r w:rsidRPr="00B57971">
        <w:rPr>
          <w:rFonts w:ascii="Arial" w:eastAsia="Arial" w:hAnsi="Arial" w:cs="Arial"/>
          <w:sz w:val="24"/>
          <w:szCs w:val="24"/>
        </w:rPr>
        <w:t>El ítem Otros espacios incluye carro, bus, bar, restaurante, discoteca, iglesia, oficina.</w:t>
      </w:r>
    </w:p>
    <w:p w:rsidR="00251CBC" w:rsidRPr="00B57971" w:rsidRDefault="00251CBC" w:rsidP="009F37EF">
      <w:pPr>
        <w:spacing w:before="240" w:after="240" w:line="360" w:lineRule="auto"/>
        <w:ind w:right="560"/>
        <w:jc w:val="both"/>
        <w:rPr>
          <w:rFonts w:ascii="Arial" w:eastAsia="Arial" w:hAnsi="Arial" w:cs="Arial"/>
          <w:sz w:val="24"/>
          <w:szCs w:val="24"/>
        </w:rPr>
      </w:pPr>
      <w:r w:rsidRPr="00B57971">
        <w:rPr>
          <w:rFonts w:ascii="Arial" w:eastAsia="Arial" w:hAnsi="Arial" w:cs="Arial"/>
          <w:sz w:val="24"/>
          <w:szCs w:val="24"/>
        </w:rPr>
        <w:t xml:space="preserve">En todo caso lo que se evidencia es que los entornos públicos no son lugares seguros para los </w:t>
      </w:r>
      <w:r w:rsidR="009A7AC9" w:rsidRPr="00B57971">
        <w:rPr>
          <w:rFonts w:ascii="Arial" w:eastAsia="Arial" w:hAnsi="Arial" w:cs="Arial"/>
          <w:sz w:val="24"/>
          <w:szCs w:val="24"/>
        </w:rPr>
        <w:t>menores,</w:t>
      </w:r>
      <w:r w:rsidRPr="00B57971">
        <w:rPr>
          <w:rFonts w:ascii="Arial" w:eastAsia="Arial" w:hAnsi="Arial" w:cs="Arial"/>
          <w:sz w:val="24"/>
          <w:szCs w:val="24"/>
        </w:rPr>
        <w:t xml:space="preserve"> desafortunadamente el ítem de escuela no se encuentra desagregado en la gráfica pero reporta un menor porcent</w:t>
      </w:r>
      <w:r w:rsidR="00E372FC" w:rsidRPr="00B57971">
        <w:rPr>
          <w:rFonts w:ascii="Arial" w:eastAsia="Arial" w:hAnsi="Arial" w:cs="Arial"/>
          <w:sz w:val="24"/>
          <w:szCs w:val="24"/>
        </w:rPr>
        <w:t>aje que cualquier otro elemento</w:t>
      </w:r>
      <w:r w:rsidRPr="00B57971">
        <w:rPr>
          <w:rFonts w:ascii="Arial" w:eastAsia="Arial" w:hAnsi="Arial" w:cs="Arial"/>
          <w:sz w:val="24"/>
          <w:szCs w:val="24"/>
        </w:rPr>
        <w:t>.</w:t>
      </w:r>
    </w:p>
    <w:p w:rsidR="00251CBC" w:rsidRPr="00B57971" w:rsidRDefault="00AC7D32" w:rsidP="009F37EF">
      <w:pPr>
        <w:spacing w:before="240" w:after="240" w:line="360" w:lineRule="auto"/>
        <w:ind w:right="560"/>
        <w:jc w:val="both"/>
        <w:rPr>
          <w:rFonts w:ascii="Arial" w:eastAsia="Arial" w:hAnsi="Arial" w:cs="Arial"/>
          <w:sz w:val="24"/>
          <w:szCs w:val="24"/>
        </w:rPr>
      </w:pPr>
      <w:r w:rsidRPr="00B57971">
        <w:rPr>
          <w:rFonts w:ascii="Arial" w:eastAsia="Arial" w:hAnsi="Arial" w:cs="Arial"/>
          <w:sz w:val="24"/>
          <w:szCs w:val="24"/>
        </w:rPr>
        <w:t>Así,</w:t>
      </w:r>
      <w:r w:rsidR="00251CBC" w:rsidRPr="00B57971">
        <w:rPr>
          <w:rFonts w:ascii="Arial" w:eastAsia="Arial" w:hAnsi="Arial" w:cs="Arial"/>
          <w:sz w:val="24"/>
          <w:szCs w:val="24"/>
        </w:rPr>
        <w:t xml:space="preserve"> disminuir la exposición al riesgo que se produce al impedir el acceso a las instituciones </w:t>
      </w:r>
      <w:r w:rsidRPr="00B57971">
        <w:rPr>
          <w:rFonts w:ascii="Arial" w:eastAsia="Arial" w:hAnsi="Arial" w:cs="Arial"/>
          <w:sz w:val="24"/>
          <w:szCs w:val="24"/>
        </w:rPr>
        <w:t>educativas</w:t>
      </w:r>
      <w:r w:rsidR="00251CBC" w:rsidRPr="00B57971">
        <w:rPr>
          <w:rFonts w:ascii="Arial" w:eastAsia="Arial" w:hAnsi="Arial" w:cs="Arial"/>
          <w:sz w:val="24"/>
          <w:szCs w:val="24"/>
        </w:rPr>
        <w:t xml:space="preserve"> por parte de niños niñas y adolescentes constituye el objetivo central de este proyecto de ley</w:t>
      </w:r>
      <w:r w:rsidRPr="00B57971">
        <w:rPr>
          <w:rFonts w:ascii="Arial" w:eastAsia="Arial" w:hAnsi="Arial" w:cs="Arial"/>
          <w:sz w:val="24"/>
          <w:szCs w:val="24"/>
        </w:rPr>
        <w:t>.</w:t>
      </w:r>
      <w:r w:rsidR="00251CBC" w:rsidRPr="00B57971">
        <w:rPr>
          <w:rFonts w:ascii="Arial" w:eastAsia="Arial" w:hAnsi="Arial" w:cs="Arial"/>
          <w:sz w:val="24"/>
          <w:szCs w:val="24"/>
        </w:rPr>
        <w:t xml:space="preserve">   </w:t>
      </w:r>
    </w:p>
    <w:p w:rsidR="00251CBC" w:rsidRPr="00B57971" w:rsidRDefault="003D06FF" w:rsidP="009F37EF">
      <w:pPr>
        <w:spacing w:before="240" w:after="240" w:line="360" w:lineRule="auto"/>
        <w:ind w:right="560"/>
        <w:jc w:val="both"/>
        <w:rPr>
          <w:rFonts w:ascii="Arial" w:eastAsia="Arial" w:hAnsi="Arial" w:cs="Arial"/>
          <w:b/>
          <w:sz w:val="24"/>
          <w:szCs w:val="24"/>
        </w:rPr>
      </w:pPr>
      <w:r w:rsidRPr="00B57971">
        <w:rPr>
          <w:rFonts w:ascii="Arial" w:eastAsia="Arial" w:hAnsi="Arial" w:cs="Arial"/>
          <w:b/>
          <w:sz w:val="24"/>
          <w:szCs w:val="24"/>
        </w:rPr>
        <w:t>MARCO INTERNACIONAL, CONSTITUCIONAL Y LEGAL</w:t>
      </w:r>
    </w:p>
    <w:p w:rsidR="003D06FF" w:rsidRPr="00B57971" w:rsidRDefault="003D06FF" w:rsidP="00EA0769">
      <w:pPr>
        <w:pStyle w:val="Prrafodelista"/>
        <w:numPr>
          <w:ilvl w:val="0"/>
          <w:numId w:val="3"/>
        </w:numPr>
        <w:spacing w:before="240" w:after="240" w:line="276" w:lineRule="auto"/>
        <w:ind w:right="560"/>
        <w:jc w:val="both"/>
        <w:rPr>
          <w:rFonts w:ascii="Arial" w:eastAsia="Arial" w:hAnsi="Arial" w:cs="Arial"/>
          <w:b/>
          <w:sz w:val="24"/>
          <w:szCs w:val="24"/>
        </w:rPr>
      </w:pPr>
      <w:r w:rsidRPr="00B57971">
        <w:rPr>
          <w:rFonts w:ascii="Arial" w:eastAsia="Arial" w:hAnsi="Arial" w:cs="Arial"/>
          <w:b/>
          <w:sz w:val="24"/>
          <w:szCs w:val="24"/>
        </w:rPr>
        <w:t>Convención sobre los Derechos del Niño (CDN)</w:t>
      </w:r>
      <w:r w:rsidRPr="00B57971">
        <w:rPr>
          <w:rFonts w:ascii="Arial" w:eastAsia="Arial" w:hAnsi="Arial" w:cs="Arial"/>
          <w:sz w:val="24"/>
          <w:szCs w:val="24"/>
        </w:rPr>
        <w:t>: Tratado más ratificado de la historia. Aprobado por el Estado colombiano en la Ley 12 de 1991.</w:t>
      </w:r>
    </w:p>
    <w:p w:rsidR="003D06FF" w:rsidRPr="00B57971" w:rsidRDefault="000B7A20" w:rsidP="00EA0769">
      <w:pPr>
        <w:pStyle w:val="Prrafodelista"/>
        <w:numPr>
          <w:ilvl w:val="0"/>
          <w:numId w:val="3"/>
        </w:numPr>
        <w:spacing w:line="276" w:lineRule="auto"/>
        <w:jc w:val="both"/>
        <w:rPr>
          <w:rFonts w:ascii="Arial" w:eastAsia="Arial" w:hAnsi="Arial" w:cs="Arial"/>
          <w:b/>
          <w:sz w:val="24"/>
          <w:szCs w:val="24"/>
        </w:rPr>
      </w:pPr>
      <w:r w:rsidRPr="00B57971">
        <w:rPr>
          <w:rFonts w:ascii="Arial" w:eastAsia="Arial" w:hAnsi="Arial" w:cs="Arial"/>
          <w:b/>
          <w:sz w:val="24"/>
          <w:szCs w:val="24"/>
        </w:rPr>
        <w:t>Artículo 44 de la Constitución Política de 1991:</w:t>
      </w:r>
      <w:r w:rsidRPr="00B57971">
        <w:rPr>
          <w:rFonts w:ascii="Arial" w:hAnsi="Arial" w:cs="Arial"/>
          <w:sz w:val="24"/>
          <w:szCs w:val="24"/>
        </w:rPr>
        <w:t xml:space="preserve"> </w:t>
      </w:r>
      <w:r w:rsidRPr="00B57971">
        <w:rPr>
          <w:rFonts w:ascii="Arial" w:eastAsia="Arial" w:hAnsi="Arial" w:cs="Arial"/>
          <w:sz w:val="24"/>
          <w:szCs w:val="24"/>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rsidR="003D06FF" w:rsidRPr="00B57971" w:rsidRDefault="003D06FF" w:rsidP="00EA0769">
      <w:pPr>
        <w:pStyle w:val="Prrafodelista"/>
        <w:spacing w:line="276" w:lineRule="auto"/>
        <w:jc w:val="both"/>
        <w:rPr>
          <w:rFonts w:ascii="Arial" w:eastAsia="Arial" w:hAnsi="Arial" w:cs="Arial"/>
          <w:sz w:val="24"/>
          <w:szCs w:val="24"/>
        </w:rPr>
      </w:pPr>
      <w:r w:rsidRPr="00B57971">
        <w:rPr>
          <w:rFonts w:ascii="Arial" w:eastAsia="Arial" w:hAnsi="Arial" w:cs="Arial"/>
          <w:sz w:val="24"/>
          <w:szCs w:val="24"/>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rsidR="003D06FF" w:rsidRPr="00B57971" w:rsidRDefault="003D06FF" w:rsidP="00EA0769">
      <w:pPr>
        <w:pStyle w:val="Prrafodelista"/>
        <w:spacing w:line="276" w:lineRule="auto"/>
        <w:jc w:val="both"/>
        <w:rPr>
          <w:rFonts w:ascii="Arial" w:eastAsia="Arial" w:hAnsi="Arial" w:cs="Arial"/>
          <w:sz w:val="24"/>
          <w:szCs w:val="24"/>
        </w:rPr>
      </w:pPr>
      <w:r w:rsidRPr="00B57971">
        <w:rPr>
          <w:rFonts w:ascii="Arial" w:eastAsia="Arial" w:hAnsi="Arial" w:cs="Arial"/>
          <w:sz w:val="24"/>
          <w:szCs w:val="24"/>
        </w:rPr>
        <w:t>Los derechos de los niños prevalecen sobre los derechos de los demás.</w:t>
      </w:r>
    </w:p>
    <w:p w:rsidR="003D06FF" w:rsidRPr="00B57971" w:rsidRDefault="003D06FF" w:rsidP="00EA0769">
      <w:pPr>
        <w:pStyle w:val="Prrafodelista"/>
        <w:spacing w:line="276" w:lineRule="auto"/>
        <w:jc w:val="both"/>
        <w:rPr>
          <w:rFonts w:ascii="Arial" w:eastAsia="Arial" w:hAnsi="Arial" w:cs="Arial"/>
          <w:sz w:val="24"/>
          <w:szCs w:val="24"/>
        </w:rPr>
      </w:pPr>
    </w:p>
    <w:p w:rsidR="003D06FF" w:rsidRPr="00B57971" w:rsidRDefault="003D06FF" w:rsidP="00EA0769">
      <w:pPr>
        <w:pStyle w:val="Prrafodelista"/>
        <w:numPr>
          <w:ilvl w:val="0"/>
          <w:numId w:val="3"/>
        </w:numPr>
        <w:spacing w:line="276" w:lineRule="auto"/>
        <w:jc w:val="both"/>
        <w:rPr>
          <w:rFonts w:ascii="Arial" w:eastAsia="Arial" w:hAnsi="Arial" w:cs="Arial"/>
          <w:sz w:val="24"/>
          <w:szCs w:val="24"/>
        </w:rPr>
      </w:pPr>
      <w:r w:rsidRPr="00B57971">
        <w:rPr>
          <w:rFonts w:ascii="Arial" w:eastAsia="Arial" w:hAnsi="Arial" w:cs="Arial"/>
          <w:b/>
          <w:sz w:val="24"/>
          <w:szCs w:val="24"/>
        </w:rPr>
        <w:lastRenderedPageBreak/>
        <w:t xml:space="preserve">Artículo 45 de la Constitución Política de 1991: </w:t>
      </w:r>
      <w:r w:rsidRPr="00B57971">
        <w:rPr>
          <w:rFonts w:ascii="Arial" w:eastAsia="Arial" w:hAnsi="Arial" w:cs="Arial"/>
          <w:sz w:val="24"/>
          <w:szCs w:val="24"/>
        </w:rPr>
        <w:t>El adolescente tiene derecho a la protección y a la formación integral. El Estado y la sociedad garantizan la participación activa de los jóvenes en los organismos públicos y privados que tengan a cargo la protección, educación y progreso de la juventud.</w:t>
      </w:r>
    </w:p>
    <w:p w:rsidR="003D06FF" w:rsidRPr="00B57971" w:rsidRDefault="003D06FF" w:rsidP="00EA0769">
      <w:pPr>
        <w:pStyle w:val="Prrafodelista"/>
        <w:spacing w:line="276" w:lineRule="auto"/>
        <w:jc w:val="both"/>
        <w:rPr>
          <w:rFonts w:ascii="Arial" w:eastAsia="Arial" w:hAnsi="Arial" w:cs="Arial"/>
          <w:sz w:val="24"/>
          <w:szCs w:val="24"/>
        </w:rPr>
      </w:pPr>
    </w:p>
    <w:p w:rsidR="00251CBC" w:rsidRPr="00B57971" w:rsidRDefault="000B7A20" w:rsidP="00EA0769">
      <w:pPr>
        <w:pStyle w:val="Prrafodelista"/>
        <w:numPr>
          <w:ilvl w:val="0"/>
          <w:numId w:val="2"/>
        </w:numPr>
        <w:spacing w:before="240" w:after="240" w:line="276" w:lineRule="auto"/>
        <w:ind w:right="560"/>
        <w:jc w:val="both"/>
        <w:rPr>
          <w:rFonts w:ascii="Arial" w:eastAsia="Arial" w:hAnsi="Arial" w:cs="Arial"/>
          <w:sz w:val="24"/>
          <w:szCs w:val="24"/>
        </w:rPr>
      </w:pPr>
      <w:r w:rsidRPr="00B57971">
        <w:rPr>
          <w:rFonts w:ascii="Arial" w:eastAsia="Arial" w:hAnsi="Arial" w:cs="Arial"/>
          <w:b/>
          <w:sz w:val="24"/>
          <w:szCs w:val="24"/>
        </w:rPr>
        <w:t>Ley</w:t>
      </w:r>
      <w:r w:rsidR="00251CBC" w:rsidRPr="00B57971">
        <w:rPr>
          <w:rFonts w:ascii="Arial" w:eastAsia="Arial" w:hAnsi="Arial" w:cs="Arial"/>
          <w:b/>
          <w:sz w:val="24"/>
          <w:szCs w:val="24"/>
        </w:rPr>
        <w:t xml:space="preserve"> 1098 </w:t>
      </w:r>
      <w:r w:rsidR="003D06FF" w:rsidRPr="00B57971">
        <w:rPr>
          <w:rFonts w:ascii="Arial" w:eastAsia="Arial" w:hAnsi="Arial" w:cs="Arial"/>
          <w:b/>
          <w:sz w:val="24"/>
          <w:szCs w:val="24"/>
        </w:rPr>
        <w:t xml:space="preserve">de </w:t>
      </w:r>
      <w:r w:rsidR="00C033E7" w:rsidRPr="00B57971">
        <w:rPr>
          <w:rFonts w:ascii="Arial" w:eastAsia="Arial" w:hAnsi="Arial" w:cs="Arial"/>
          <w:b/>
          <w:sz w:val="24"/>
          <w:szCs w:val="24"/>
        </w:rPr>
        <w:t>2006:</w:t>
      </w:r>
      <w:r w:rsidR="00251CBC" w:rsidRPr="00B57971">
        <w:rPr>
          <w:rFonts w:ascii="Arial" w:eastAsia="Arial" w:hAnsi="Arial" w:cs="Arial"/>
          <w:sz w:val="24"/>
          <w:szCs w:val="24"/>
        </w:rPr>
        <w:t xml:space="preserve"> Por la cual se expide el Código de la Infancia y la Adolescencia. </w:t>
      </w:r>
    </w:p>
    <w:p w:rsidR="00251CBC" w:rsidRPr="00B57971" w:rsidRDefault="00C033E7" w:rsidP="00EA0769">
      <w:pPr>
        <w:spacing w:before="240" w:after="240" w:line="276" w:lineRule="auto"/>
        <w:ind w:right="560"/>
        <w:jc w:val="both"/>
        <w:rPr>
          <w:rFonts w:ascii="Arial" w:eastAsia="Arial" w:hAnsi="Arial" w:cs="Arial"/>
          <w:sz w:val="24"/>
          <w:szCs w:val="24"/>
        </w:rPr>
      </w:pPr>
      <w:r w:rsidRPr="00B57971">
        <w:rPr>
          <w:rFonts w:ascii="Arial" w:eastAsia="Arial" w:hAnsi="Arial" w:cs="Arial"/>
          <w:b/>
          <w:sz w:val="24"/>
          <w:szCs w:val="24"/>
        </w:rPr>
        <w:t>Artículo 1°. Finalidad:</w:t>
      </w:r>
      <w:r w:rsidRPr="00B57971">
        <w:rPr>
          <w:rFonts w:ascii="Arial" w:eastAsia="Arial" w:hAnsi="Arial" w:cs="Arial"/>
          <w:sz w:val="24"/>
          <w:szCs w:val="24"/>
        </w:rPr>
        <w:t xml:space="preserve"> </w:t>
      </w:r>
      <w:r w:rsidR="00251CBC" w:rsidRPr="00B57971">
        <w:rPr>
          <w:rFonts w:ascii="Arial" w:eastAsia="Arial" w:hAnsi="Arial" w:cs="Arial"/>
          <w:sz w:val="24"/>
          <w:szCs w:val="24"/>
        </w:rPr>
        <w:t>Este código tiene por finalidad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w:t>
      </w:r>
    </w:p>
    <w:p w:rsidR="00251CBC" w:rsidRPr="00B57971" w:rsidRDefault="00C033E7" w:rsidP="00EA0769">
      <w:pPr>
        <w:spacing w:before="240" w:after="240" w:line="276" w:lineRule="auto"/>
        <w:ind w:right="560"/>
        <w:jc w:val="both"/>
        <w:rPr>
          <w:rFonts w:ascii="Arial" w:eastAsia="Arial" w:hAnsi="Arial" w:cs="Arial"/>
          <w:sz w:val="24"/>
          <w:szCs w:val="24"/>
        </w:rPr>
      </w:pPr>
      <w:r w:rsidRPr="00B57971">
        <w:rPr>
          <w:rFonts w:ascii="Arial" w:eastAsia="Arial" w:hAnsi="Arial" w:cs="Arial"/>
          <w:sz w:val="24"/>
          <w:szCs w:val="24"/>
        </w:rPr>
        <w:t>Los</w:t>
      </w:r>
      <w:r w:rsidR="00251CBC" w:rsidRPr="00B57971">
        <w:rPr>
          <w:rFonts w:ascii="Arial" w:eastAsia="Arial" w:hAnsi="Arial" w:cs="Arial"/>
          <w:sz w:val="24"/>
          <w:szCs w:val="24"/>
        </w:rPr>
        <w:t xml:space="preserve"> principios que rigen este código son los mismos </w:t>
      </w:r>
      <w:r w:rsidRPr="00B57971">
        <w:rPr>
          <w:rFonts w:ascii="Arial" w:eastAsia="Arial" w:hAnsi="Arial" w:cs="Arial"/>
          <w:sz w:val="24"/>
          <w:szCs w:val="24"/>
        </w:rPr>
        <w:t>que</w:t>
      </w:r>
      <w:r w:rsidR="00251CBC" w:rsidRPr="00B57971">
        <w:rPr>
          <w:rFonts w:ascii="Arial" w:eastAsia="Arial" w:hAnsi="Arial" w:cs="Arial"/>
          <w:sz w:val="24"/>
          <w:szCs w:val="24"/>
        </w:rPr>
        <w:t xml:space="preserve"> inspi</w:t>
      </w:r>
      <w:r w:rsidRPr="00B57971">
        <w:rPr>
          <w:rFonts w:ascii="Arial" w:eastAsia="Arial" w:hAnsi="Arial" w:cs="Arial"/>
          <w:sz w:val="24"/>
          <w:szCs w:val="24"/>
        </w:rPr>
        <w:t>ran el presente proyecto de ley:</w:t>
      </w:r>
    </w:p>
    <w:p w:rsidR="00251CBC" w:rsidRPr="00B57971" w:rsidRDefault="00C033E7" w:rsidP="00EA0769">
      <w:pPr>
        <w:numPr>
          <w:ilvl w:val="0"/>
          <w:numId w:val="1"/>
        </w:numPr>
        <w:spacing w:before="240" w:after="0" w:line="276" w:lineRule="auto"/>
        <w:ind w:right="560"/>
        <w:jc w:val="both"/>
        <w:rPr>
          <w:rFonts w:ascii="Arial" w:eastAsia="Arial" w:hAnsi="Arial" w:cs="Arial"/>
          <w:sz w:val="24"/>
          <w:szCs w:val="24"/>
        </w:rPr>
      </w:pPr>
      <w:r w:rsidRPr="00B57971">
        <w:rPr>
          <w:rFonts w:ascii="Arial" w:eastAsia="Arial" w:hAnsi="Arial" w:cs="Arial"/>
          <w:sz w:val="24"/>
          <w:szCs w:val="24"/>
        </w:rPr>
        <w:t>Protección Integral: R</w:t>
      </w:r>
      <w:r w:rsidR="00251CBC" w:rsidRPr="00B57971">
        <w:rPr>
          <w:rFonts w:ascii="Arial" w:eastAsia="Arial" w:hAnsi="Arial" w:cs="Arial"/>
          <w:sz w:val="24"/>
          <w:szCs w:val="24"/>
        </w:rPr>
        <w:t>econocimiento de los niños, niñas y adolescentes como sujetos de derechos, la garantía y cumplimiento de los mismos.</w:t>
      </w:r>
    </w:p>
    <w:p w:rsidR="00251CBC" w:rsidRPr="00B57971" w:rsidRDefault="00C033E7" w:rsidP="00EA0769">
      <w:pPr>
        <w:numPr>
          <w:ilvl w:val="0"/>
          <w:numId w:val="1"/>
        </w:numPr>
        <w:spacing w:after="0" w:line="276" w:lineRule="auto"/>
        <w:ind w:right="560"/>
        <w:jc w:val="both"/>
        <w:rPr>
          <w:rFonts w:ascii="Arial" w:eastAsia="Arial" w:hAnsi="Arial" w:cs="Arial"/>
          <w:sz w:val="24"/>
          <w:szCs w:val="24"/>
        </w:rPr>
      </w:pPr>
      <w:r w:rsidRPr="00B57971">
        <w:rPr>
          <w:rFonts w:ascii="Arial" w:eastAsia="Arial" w:hAnsi="Arial" w:cs="Arial"/>
          <w:sz w:val="24"/>
          <w:szCs w:val="24"/>
        </w:rPr>
        <w:t>Interés Superior: L</w:t>
      </w:r>
      <w:r w:rsidR="00251CBC" w:rsidRPr="00B57971">
        <w:rPr>
          <w:rFonts w:ascii="Arial" w:eastAsia="Arial" w:hAnsi="Arial" w:cs="Arial"/>
          <w:sz w:val="24"/>
          <w:szCs w:val="24"/>
        </w:rPr>
        <w:t xml:space="preserve">os derechos de los niños, niñas y adolescentes </w:t>
      </w:r>
      <w:r w:rsidRPr="00B57971">
        <w:rPr>
          <w:rFonts w:ascii="Arial" w:eastAsia="Arial" w:hAnsi="Arial" w:cs="Arial"/>
          <w:sz w:val="24"/>
          <w:szCs w:val="24"/>
        </w:rPr>
        <w:t>deben ser garantizados por todas las personas.</w:t>
      </w:r>
    </w:p>
    <w:p w:rsidR="00C033E7" w:rsidRPr="00B57971" w:rsidRDefault="00C033E7" w:rsidP="00EA0769">
      <w:pPr>
        <w:numPr>
          <w:ilvl w:val="0"/>
          <w:numId w:val="1"/>
        </w:numPr>
        <w:spacing w:after="0" w:line="276" w:lineRule="auto"/>
        <w:ind w:right="560"/>
        <w:jc w:val="both"/>
        <w:rPr>
          <w:rFonts w:ascii="Arial" w:eastAsia="Arial" w:hAnsi="Arial" w:cs="Arial"/>
          <w:sz w:val="24"/>
          <w:szCs w:val="24"/>
        </w:rPr>
      </w:pPr>
      <w:r w:rsidRPr="00B57971">
        <w:rPr>
          <w:rFonts w:ascii="Arial" w:eastAsia="Arial" w:hAnsi="Arial" w:cs="Arial"/>
          <w:sz w:val="24"/>
          <w:szCs w:val="24"/>
        </w:rPr>
        <w:t>Prevalencia de los Derechos: En todo acto, decisión o medida administrativa, judicial o de cualquier naturaleza que deba adoptarse en relación con los niños, las niñas y los adolescentes, prevalecerán los derechos de estos, en especial si existe conflicto entre sus derechos fundamentales con los de cualquier otra persona.</w:t>
      </w:r>
    </w:p>
    <w:p w:rsidR="003539EA" w:rsidRPr="00B57971" w:rsidRDefault="00C033E7" w:rsidP="00EA0769">
      <w:pPr>
        <w:numPr>
          <w:ilvl w:val="0"/>
          <w:numId w:val="1"/>
        </w:numPr>
        <w:spacing w:after="240" w:line="276" w:lineRule="auto"/>
        <w:ind w:right="560"/>
        <w:jc w:val="both"/>
        <w:rPr>
          <w:rFonts w:ascii="Arial" w:eastAsia="Arial" w:hAnsi="Arial" w:cs="Arial"/>
          <w:sz w:val="24"/>
          <w:szCs w:val="24"/>
        </w:rPr>
      </w:pPr>
      <w:r w:rsidRPr="00B57971">
        <w:rPr>
          <w:rFonts w:ascii="Arial" w:eastAsia="Arial" w:hAnsi="Arial" w:cs="Arial"/>
          <w:sz w:val="24"/>
          <w:szCs w:val="24"/>
        </w:rPr>
        <w:t>Corresponsabilidad: L</w:t>
      </w:r>
      <w:r w:rsidR="00251CBC" w:rsidRPr="00B57971">
        <w:rPr>
          <w:rFonts w:ascii="Arial" w:eastAsia="Arial" w:hAnsi="Arial" w:cs="Arial"/>
          <w:sz w:val="24"/>
          <w:szCs w:val="24"/>
        </w:rPr>
        <w:t xml:space="preserve">a Familia, la Sociedad y el Estado son corresponsables en su atención, cuidado y protección. </w:t>
      </w:r>
    </w:p>
    <w:p w:rsidR="003539EA" w:rsidRPr="00B57971" w:rsidRDefault="003539EA" w:rsidP="00EA0769">
      <w:pPr>
        <w:numPr>
          <w:ilvl w:val="0"/>
          <w:numId w:val="1"/>
        </w:numPr>
        <w:spacing w:after="240" w:line="276" w:lineRule="auto"/>
        <w:ind w:right="560"/>
        <w:jc w:val="both"/>
        <w:rPr>
          <w:rFonts w:ascii="Arial" w:eastAsia="Arial" w:hAnsi="Arial" w:cs="Arial"/>
          <w:sz w:val="24"/>
          <w:szCs w:val="24"/>
        </w:rPr>
      </w:pPr>
      <w:r w:rsidRPr="00B57971">
        <w:rPr>
          <w:rFonts w:ascii="Arial" w:eastAsia="Arial" w:hAnsi="Arial" w:cs="Arial"/>
          <w:sz w:val="24"/>
          <w:szCs w:val="24"/>
        </w:rPr>
        <w:t xml:space="preserve">Exigibilidad de los Derechos: </w:t>
      </w:r>
      <w:r w:rsidRPr="00B57971">
        <w:rPr>
          <w:rFonts w:ascii="Arial" w:hAnsi="Arial" w:cs="Arial"/>
          <w:sz w:val="24"/>
          <w:szCs w:val="24"/>
        </w:rPr>
        <w:t>Salvo las normas procesales sobre legitimidad en la causa para incoar las acciones judiciales o procedimientos administrativos a favor de los menores de edad, cualquier persona puede exigir de la autoridad competente el cumplimiento y el restablecimiento de los derechos de los niños, las niñas y los adolescentes.</w:t>
      </w:r>
    </w:p>
    <w:p w:rsidR="003539EA" w:rsidRPr="00B57971" w:rsidRDefault="003539EA" w:rsidP="00EA0769">
      <w:pPr>
        <w:numPr>
          <w:ilvl w:val="0"/>
          <w:numId w:val="1"/>
        </w:numPr>
        <w:spacing w:after="240" w:line="276" w:lineRule="auto"/>
        <w:ind w:right="560"/>
        <w:jc w:val="both"/>
        <w:rPr>
          <w:rFonts w:ascii="Arial" w:eastAsia="Arial" w:hAnsi="Arial" w:cs="Arial"/>
          <w:sz w:val="24"/>
          <w:szCs w:val="24"/>
        </w:rPr>
      </w:pPr>
      <w:r w:rsidRPr="00B57971">
        <w:rPr>
          <w:rFonts w:ascii="Arial" w:hAnsi="Arial" w:cs="Arial"/>
          <w:sz w:val="24"/>
          <w:szCs w:val="24"/>
        </w:rPr>
        <w:t>Perspectiva de Género: reconocimiento de las diferencias sociales, biológicas y psicológicas en las relaciones entre las personas según el sexo, la edad, la etnia y el rol que desempeñan en la familia y en el grupo social. </w:t>
      </w:r>
    </w:p>
    <w:p w:rsidR="003539EA" w:rsidRPr="00B57971" w:rsidRDefault="003539EA" w:rsidP="00EA0769">
      <w:pPr>
        <w:numPr>
          <w:ilvl w:val="0"/>
          <w:numId w:val="1"/>
        </w:numPr>
        <w:spacing w:after="240" w:line="276" w:lineRule="auto"/>
        <w:ind w:right="560"/>
        <w:jc w:val="both"/>
        <w:rPr>
          <w:rFonts w:ascii="Arial" w:eastAsia="Arial" w:hAnsi="Arial" w:cs="Arial"/>
          <w:sz w:val="24"/>
          <w:szCs w:val="24"/>
        </w:rPr>
      </w:pPr>
      <w:r w:rsidRPr="00B57971">
        <w:rPr>
          <w:rFonts w:ascii="Arial" w:hAnsi="Arial" w:cs="Arial"/>
          <w:sz w:val="24"/>
          <w:szCs w:val="24"/>
        </w:rPr>
        <w:lastRenderedPageBreak/>
        <w:t>Derechos de los niños, las niñas y los adolescentes de los pueblos indígenas y demás grupos étnicos: Los niños, las niñas y los adolescentes de los pueblos indígenas y demás grupos étnicos, gozarán de los derechos consagrados en la Constitución Política, los instrumentos internacionales de Derechos Humanos y el presente Código, sin perjuicio de los principios que rigen sus culturas y organización social.</w:t>
      </w:r>
    </w:p>
    <w:p w:rsidR="003539EA" w:rsidRPr="00B57971" w:rsidRDefault="003539EA" w:rsidP="00EA0769">
      <w:pPr>
        <w:numPr>
          <w:ilvl w:val="0"/>
          <w:numId w:val="1"/>
        </w:numPr>
        <w:spacing w:after="240" w:line="276" w:lineRule="auto"/>
        <w:ind w:right="560"/>
        <w:jc w:val="both"/>
        <w:rPr>
          <w:rFonts w:ascii="Arial" w:eastAsia="Arial" w:hAnsi="Arial" w:cs="Arial"/>
          <w:sz w:val="24"/>
          <w:szCs w:val="24"/>
        </w:rPr>
      </w:pPr>
      <w:r w:rsidRPr="00B57971">
        <w:rPr>
          <w:rFonts w:ascii="Arial" w:hAnsi="Arial" w:cs="Arial"/>
          <w:sz w:val="24"/>
          <w:szCs w:val="24"/>
        </w:rPr>
        <w:t>La responsabilidad parental: es un complemento de la patria potestad establecida en la legislación civil. Es además, la obligación inherente a la orientación, cuidado, acompañamiento y crianza de los niños, las niñas y los adolescentes durante su proceso de formación.</w:t>
      </w:r>
    </w:p>
    <w:p w:rsidR="003539EA" w:rsidRPr="00B57971" w:rsidRDefault="003539EA" w:rsidP="00EA0769">
      <w:pPr>
        <w:numPr>
          <w:ilvl w:val="0"/>
          <w:numId w:val="1"/>
        </w:numPr>
        <w:spacing w:after="240" w:line="276" w:lineRule="auto"/>
        <w:ind w:right="560"/>
        <w:jc w:val="both"/>
        <w:rPr>
          <w:rFonts w:ascii="Arial" w:eastAsia="Arial" w:hAnsi="Arial" w:cs="Arial"/>
          <w:sz w:val="24"/>
          <w:szCs w:val="24"/>
        </w:rPr>
      </w:pPr>
      <w:r w:rsidRPr="00B57971">
        <w:rPr>
          <w:rFonts w:ascii="Arial" w:hAnsi="Arial" w:cs="Arial"/>
          <w:sz w:val="24"/>
          <w:szCs w:val="24"/>
        </w:rPr>
        <w:t>Ejercicio de los derechos y responsabilidades: s obligación de la familia, de la sociedad y del Estado, formar a los niños, las niñas y los adolescentes en el ejercicio responsable de los derechos. Las autoridades contribuirán con este propósito a través de decisiones oportunas y eficaces y con claro sentido pedagógico.</w:t>
      </w:r>
    </w:p>
    <w:p w:rsidR="003539EA" w:rsidRPr="00B57971" w:rsidRDefault="003539EA" w:rsidP="00EA0769">
      <w:pPr>
        <w:numPr>
          <w:ilvl w:val="0"/>
          <w:numId w:val="1"/>
        </w:numPr>
        <w:spacing w:after="240" w:line="276" w:lineRule="auto"/>
        <w:ind w:right="560"/>
        <w:jc w:val="both"/>
        <w:rPr>
          <w:rFonts w:ascii="Arial" w:eastAsia="Arial" w:hAnsi="Arial" w:cs="Arial"/>
          <w:sz w:val="24"/>
          <w:szCs w:val="24"/>
        </w:rPr>
      </w:pPr>
      <w:r w:rsidRPr="00B57971">
        <w:rPr>
          <w:rFonts w:ascii="Arial" w:hAnsi="Arial" w:cs="Arial"/>
          <w:sz w:val="24"/>
          <w:szCs w:val="24"/>
        </w:rPr>
        <w:t>Deber de vigilancia del Estado: Todas las personas naturales o jurídicas, con personería jurídica expedida por el Instituto Colombiano de Bienestar Familiar o sin ella, que aún, con autorización de los padres o representantes legales, alberguen o cuiden a los niños, las niñas o los adolescentes son sujetos de la vigilancia del Estado.</w:t>
      </w:r>
    </w:p>
    <w:p w:rsidR="00C21C08" w:rsidRPr="00B57971" w:rsidRDefault="00C21C08" w:rsidP="00C21C08">
      <w:pPr>
        <w:spacing w:after="240" w:line="276" w:lineRule="auto"/>
        <w:ind w:right="560"/>
        <w:jc w:val="both"/>
        <w:rPr>
          <w:rFonts w:ascii="Arial" w:hAnsi="Arial" w:cs="Arial"/>
          <w:sz w:val="24"/>
          <w:szCs w:val="24"/>
        </w:rPr>
      </w:pPr>
    </w:p>
    <w:p w:rsidR="00C21C08" w:rsidRPr="00B57971" w:rsidRDefault="00C21C08" w:rsidP="00C21C08">
      <w:pPr>
        <w:pStyle w:val="Ttulo1"/>
        <w:keepNext w:val="0"/>
        <w:keepLines w:val="0"/>
        <w:widowControl w:val="0"/>
        <w:tabs>
          <w:tab w:val="left" w:pos="3084"/>
        </w:tabs>
        <w:autoSpaceDE w:val="0"/>
        <w:autoSpaceDN w:val="0"/>
        <w:spacing w:before="206" w:after="0" w:line="240" w:lineRule="auto"/>
        <w:ind w:left="3083"/>
        <w:rPr>
          <w:rFonts w:ascii="Arial" w:hAnsi="Arial" w:cs="Arial"/>
          <w:sz w:val="24"/>
          <w:szCs w:val="24"/>
        </w:rPr>
      </w:pPr>
      <w:r w:rsidRPr="00B57971">
        <w:rPr>
          <w:rFonts w:ascii="Arial" w:hAnsi="Arial" w:cs="Arial"/>
          <w:sz w:val="24"/>
          <w:szCs w:val="24"/>
        </w:rPr>
        <w:t>CAUSALES DE</w:t>
      </w:r>
      <w:r w:rsidRPr="00B57971">
        <w:rPr>
          <w:rFonts w:ascii="Arial" w:hAnsi="Arial" w:cs="Arial"/>
          <w:spacing w:val="-3"/>
          <w:sz w:val="24"/>
          <w:szCs w:val="24"/>
        </w:rPr>
        <w:t xml:space="preserve"> </w:t>
      </w:r>
      <w:r w:rsidRPr="00B57971">
        <w:rPr>
          <w:rFonts w:ascii="Arial" w:hAnsi="Arial" w:cs="Arial"/>
          <w:sz w:val="24"/>
          <w:szCs w:val="24"/>
        </w:rPr>
        <w:t>IMPEDIMENTO</w:t>
      </w:r>
    </w:p>
    <w:p w:rsidR="00C21C08" w:rsidRPr="00B57971" w:rsidRDefault="00C21C08" w:rsidP="00C21C08">
      <w:pPr>
        <w:pStyle w:val="Textoindependiente"/>
        <w:spacing w:before="5"/>
        <w:rPr>
          <w:b/>
          <w:sz w:val="24"/>
          <w:szCs w:val="24"/>
        </w:rPr>
      </w:pPr>
    </w:p>
    <w:p w:rsidR="00C21C08" w:rsidRPr="00B57971" w:rsidRDefault="00C21C08" w:rsidP="00C21C08">
      <w:pPr>
        <w:pStyle w:val="Textoindependiente"/>
        <w:spacing w:line="237" w:lineRule="auto"/>
        <w:ind w:left="119" w:right="545"/>
        <w:jc w:val="both"/>
        <w:rPr>
          <w:sz w:val="24"/>
          <w:szCs w:val="24"/>
        </w:rPr>
      </w:pPr>
      <w:r w:rsidRPr="00B57971">
        <w:rPr>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rsidR="00F65066" w:rsidRPr="00B57971" w:rsidRDefault="00F65066" w:rsidP="00F65066">
      <w:pPr>
        <w:spacing w:after="240" w:line="276" w:lineRule="auto"/>
        <w:ind w:right="560"/>
        <w:jc w:val="both"/>
        <w:rPr>
          <w:rFonts w:ascii="Arial" w:hAnsi="Arial" w:cs="Arial"/>
          <w:sz w:val="24"/>
          <w:szCs w:val="24"/>
        </w:rPr>
      </w:pPr>
    </w:p>
    <w:p w:rsidR="00F65066" w:rsidRPr="00B57971" w:rsidRDefault="00F65066" w:rsidP="00F65066">
      <w:pPr>
        <w:spacing w:after="240" w:line="276" w:lineRule="auto"/>
        <w:ind w:right="560"/>
        <w:jc w:val="both"/>
        <w:rPr>
          <w:rFonts w:ascii="Arial" w:hAnsi="Arial" w:cs="Arial"/>
          <w:sz w:val="24"/>
          <w:szCs w:val="24"/>
        </w:rPr>
      </w:pPr>
      <w:r w:rsidRPr="00B57971">
        <w:rPr>
          <w:rFonts w:ascii="Arial" w:hAnsi="Arial" w:cs="Arial"/>
          <w:sz w:val="24"/>
          <w:szCs w:val="24"/>
        </w:rPr>
        <w:t>Atentamente,</w:t>
      </w:r>
    </w:p>
    <w:p w:rsidR="00EB4B8F" w:rsidRPr="00B57971" w:rsidRDefault="00EB4B8F" w:rsidP="00F65066">
      <w:pPr>
        <w:spacing w:after="240" w:line="276" w:lineRule="auto"/>
        <w:ind w:right="560"/>
        <w:jc w:val="both"/>
        <w:rPr>
          <w:rFonts w:ascii="Arial" w:hAnsi="Arial" w:cs="Arial"/>
          <w:sz w:val="24"/>
          <w:szCs w:val="24"/>
        </w:rPr>
      </w:pPr>
    </w:p>
    <w:p w:rsidR="00F65066" w:rsidRPr="00B57971" w:rsidRDefault="00F65066" w:rsidP="00F65066">
      <w:pPr>
        <w:spacing w:line="240" w:lineRule="auto"/>
        <w:rPr>
          <w:rFonts w:ascii="Arial" w:hAnsi="Arial" w:cs="Arial"/>
          <w:b/>
          <w:color w:val="000000"/>
          <w:sz w:val="24"/>
          <w:szCs w:val="24"/>
        </w:rPr>
      </w:pPr>
      <w:r w:rsidRPr="00B57971">
        <w:rPr>
          <w:rFonts w:ascii="Arial" w:hAnsi="Arial" w:cs="Arial"/>
          <w:b/>
          <w:color w:val="000000"/>
          <w:sz w:val="24"/>
          <w:szCs w:val="24"/>
        </w:rPr>
        <w:t>FABIÁN DÍAZ PLATA</w:t>
      </w:r>
    </w:p>
    <w:p w:rsidR="00F65066" w:rsidRPr="00B57971" w:rsidRDefault="00F65066" w:rsidP="00F65066">
      <w:pPr>
        <w:spacing w:line="240" w:lineRule="auto"/>
        <w:rPr>
          <w:rFonts w:ascii="Arial" w:hAnsi="Arial" w:cs="Arial"/>
          <w:color w:val="000000"/>
          <w:sz w:val="24"/>
          <w:szCs w:val="24"/>
        </w:rPr>
      </w:pPr>
      <w:r w:rsidRPr="00B57971">
        <w:rPr>
          <w:rFonts w:ascii="Arial" w:hAnsi="Arial" w:cs="Arial"/>
          <w:color w:val="000000"/>
          <w:sz w:val="24"/>
          <w:szCs w:val="24"/>
        </w:rPr>
        <w:t>Representante a la Cámara</w:t>
      </w:r>
    </w:p>
    <w:p w:rsidR="00F65066" w:rsidRPr="00B57971" w:rsidRDefault="00F65066" w:rsidP="00EB4B8F">
      <w:pPr>
        <w:spacing w:line="240" w:lineRule="auto"/>
        <w:jc w:val="both"/>
        <w:rPr>
          <w:rFonts w:ascii="Arial" w:hAnsi="Arial" w:cs="Arial"/>
          <w:sz w:val="24"/>
          <w:szCs w:val="24"/>
        </w:rPr>
      </w:pPr>
      <w:r w:rsidRPr="00B57971">
        <w:rPr>
          <w:rFonts w:ascii="Arial" w:hAnsi="Arial" w:cs="Arial"/>
          <w:color w:val="000000"/>
          <w:sz w:val="24"/>
          <w:szCs w:val="24"/>
        </w:rPr>
        <w:t>Departamento de Santander</w:t>
      </w:r>
    </w:p>
    <w:sectPr w:rsidR="00F65066" w:rsidRPr="00B57971">
      <w:headerReference w:type="default" r:id="rId1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685" w:rsidRDefault="00AE6685">
      <w:pPr>
        <w:spacing w:after="0" w:line="240" w:lineRule="auto"/>
      </w:pPr>
      <w:r>
        <w:separator/>
      </w:r>
    </w:p>
  </w:endnote>
  <w:endnote w:type="continuationSeparator" w:id="0">
    <w:p w:rsidR="00AE6685" w:rsidRDefault="00AE6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685" w:rsidRDefault="00AE6685">
      <w:pPr>
        <w:spacing w:after="0" w:line="240" w:lineRule="auto"/>
      </w:pPr>
      <w:r>
        <w:separator/>
      </w:r>
    </w:p>
  </w:footnote>
  <w:footnote w:type="continuationSeparator" w:id="0">
    <w:p w:rsidR="00AE6685" w:rsidRDefault="00AE6685">
      <w:pPr>
        <w:spacing w:after="0" w:line="240" w:lineRule="auto"/>
      </w:pPr>
      <w:r>
        <w:continuationSeparator/>
      </w:r>
    </w:p>
  </w:footnote>
  <w:footnote w:id="1">
    <w:p w:rsidR="003A0765" w:rsidRDefault="003A0765">
      <w:pPr>
        <w:pStyle w:val="Textonotapie"/>
      </w:pPr>
      <w:r>
        <w:rPr>
          <w:rStyle w:val="Refdenotaalpie"/>
        </w:rPr>
        <w:footnoteRef/>
      </w:r>
      <w:r>
        <w:t xml:space="preserve"> ABC- Lineamiento técnico para la atención de niños, niñas y adolescentes con sus derechos amenazados o vulnerados por causa de la violencia, ICBF. Disponible en: </w:t>
      </w:r>
      <w:hyperlink r:id="rId1" w:history="1">
        <w:r>
          <w:rPr>
            <w:rStyle w:val="Hipervnculo"/>
          </w:rPr>
          <w:t>https://www.icbf.gov.co/sites/default/files/abc_-_violencia_contra_los_ninos_ninas_y_adolescentes.pdf</w:t>
        </w:r>
      </w:hyperlink>
    </w:p>
  </w:footnote>
  <w:footnote w:id="2">
    <w:p w:rsidR="003A0765" w:rsidRDefault="003A0765">
      <w:pPr>
        <w:pStyle w:val="Textonotapie"/>
      </w:pPr>
      <w:r>
        <w:rPr>
          <w:rStyle w:val="Refdenotaalpie"/>
        </w:rPr>
        <w:footnoteRef/>
      </w:r>
      <w:r>
        <w:t xml:space="preserve"> Ibíd.</w:t>
      </w:r>
    </w:p>
  </w:footnote>
  <w:footnote w:id="3">
    <w:p w:rsidR="00EE19F4" w:rsidRDefault="00EE19F4">
      <w:pPr>
        <w:pStyle w:val="Textonotapie"/>
      </w:pPr>
      <w:r>
        <w:rPr>
          <w:rStyle w:val="Refdenotaalpie"/>
        </w:rPr>
        <w:footnoteRef/>
      </w:r>
      <w:r>
        <w:t xml:space="preserve"> Ibíd.</w:t>
      </w:r>
    </w:p>
  </w:footnote>
  <w:footnote w:id="4">
    <w:p w:rsidR="00251CBC" w:rsidRDefault="00251CBC" w:rsidP="00251CBC">
      <w:pPr>
        <w:spacing w:after="0" w:line="240" w:lineRule="auto"/>
        <w:rPr>
          <w:sz w:val="20"/>
          <w:szCs w:val="20"/>
        </w:rPr>
      </w:pPr>
      <w:r>
        <w:rPr>
          <w:vertAlign w:val="superscript"/>
        </w:rPr>
        <w:footnoteRef/>
      </w:r>
      <w:r>
        <w:rPr>
          <w:sz w:val="20"/>
          <w:szCs w:val="20"/>
        </w:rPr>
        <w:t xml:space="preserve"> https://www.unicef.org/spanish/protection/files/La_violencia_contra.pdf</w:t>
      </w:r>
    </w:p>
  </w:footnote>
  <w:footnote w:id="5">
    <w:p w:rsidR="00356E2B" w:rsidRDefault="00356E2B">
      <w:pPr>
        <w:pStyle w:val="Textonotapie"/>
      </w:pPr>
      <w:r>
        <w:rPr>
          <w:rStyle w:val="Refdenotaalpie"/>
        </w:rPr>
        <w:footnoteRef/>
      </w:r>
      <w:r>
        <w:t xml:space="preserve"> Disponible en: </w:t>
      </w:r>
      <w:hyperlink r:id="rId2" w:history="1">
        <w:r w:rsidR="00B415A8">
          <w:rPr>
            <w:rStyle w:val="Hipervnculo"/>
          </w:rPr>
          <w:t>https://www.minsalud.gov.co/sites/rid/Lists/BibliotecaDigital/RIDE/VS/ED/GCFI/evcnna-presentacion.pdf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B4" w:rsidRDefault="00965AB4">
    <w:pPr>
      <w:pStyle w:val="Encabezado"/>
    </w:pPr>
    <w:r>
      <w:rPr>
        <w:noProof/>
        <w:lang w:eastAsia="es-CO"/>
      </w:rPr>
      <w:drawing>
        <wp:anchor distT="0" distB="0" distL="114300" distR="114300" simplePos="0" relativeHeight="251659264" behindDoc="1" locked="0" layoutInCell="1" allowOverlap="1" wp14:anchorId="57280703" wp14:editId="35A1E112">
          <wp:simplePos x="0" y="0"/>
          <wp:positionH relativeFrom="margin">
            <wp:posOffset>-787078</wp:posOffset>
          </wp:positionH>
          <wp:positionV relativeFrom="paragraph">
            <wp:posOffset>-382599</wp:posOffset>
          </wp:positionV>
          <wp:extent cx="7339701" cy="944245"/>
          <wp:effectExtent l="0" t="0" r="127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701" cy="944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2D47E3"/>
    <w:multiLevelType w:val="hybridMultilevel"/>
    <w:tmpl w:val="0ADACCB2"/>
    <w:lvl w:ilvl="0" w:tplc="64CA19A6">
      <w:start w:val="5"/>
      <w:numFmt w:val="upperLetter"/>
      <w:lvlText w:val="%1."/>
      <w:lvlJc w:val="left"/>
      <w:pPr>
        <w:ind w:left="779" w:hanging="660"/>
      </w:pPr>
      <w:rPr>
        <w:rFonts w:ascii="Arial" w:eastAsia="Arial" w:hAnsi="Arial" w:cs="Arial" w:hint="default"/>
        <w:spacing w:val="-1"/>
        <w:w w:val="100"/>
        <w:sz w:val="22"/>
        <w:szCs w:val="22"/>
        <w:lang w:val="es-ES" w:eastAsia="es-ES" w:bidi="es-ES"/>
      </w:rPr>
    </w:lvl>
    <w:lvl w:ilvl="1" w:tplc="5EEE3CAA">
      <w:start w:val="1"/>
      <w:numFmt w:val="upperRoman"/>
      <w:lvlText w:val="%2."/>
      <w:lvlJc w:val="left"/>
      <w:pPr>
        <w:ind w:left="3145" w:hanging="720"/>
        <w:jc w:val="right"/>
      </w:pPr>
      <w:rPr>
        <w:rFonts w:ascii="Arial" w:eastAsia="Arial" w:hAnsi="Arial" w:cs="Arial" w:hint="default"/>
        <w:b/>
        <w:bCs/>
        <w:spacing w:val="-1"/>
        <w:w w:val="100"/>
        <w:sz w:val="22"/>
        <w:szCs w:val="22"/>
        <w:lang w:val="es-ES" w:eastAsia="es-ES" w:bidi="es-ES"/>
      </w:rPr>
    </w:lvl>
    <w:lvl w:ilvl="2" w:tplc="B212CC3A">
      <w:numFmt w:val="bullet"/>
      <w:lvlText w:val="•"/>
      <w:lvlJc w:val="left"/>
      <w:pPr>
        <w:ind w:left="3842" w:hanging="720"/>
      </w:pPr>
      <w:rPr>
        <w:rFonts w:hint="default"/>
        <w:lang w:val="es-ES" w:eastAsia="es-ES" w:bidi="es-ES"/>
      </w:rPr>
    </w:lvl>
    <w:lvl w:ilvl="3" w:tplc="80AA8480">
      <w:numFmt w:val="bullet"/>
      <w:lvlText w:val="•"/>
      <w:lvlJc w:val="left"/>
      <w:pPr>
        <w:ind w:left="4544" w:hanging="720"/>
      </w:pPr>
      <w:rPr>
        <w:rFonts w:hint="default"/>
        <w:lang w:val="es-ES" w:eastAsia="es-ES" w:bidi="es-ES"/>
      </w:rPr>
    </w:lvl>
    <w:lvl w:ilvl="4" w:tplc="95AA2B74">
      <w:numFmt w:val="bullet"/>
      <w:lvlText w:val="•"/>
      <w:lvlJc w:val="left"/>
      <w:pPr>
        <w:ind w:left="5246" w:hanging="720"/>
      </w:pPr>
      <w:rPr>
        <w:rFonts w:hint="default"/>
        <w:lang w:val="es-ES" w:eastAsia="es-ES" w:bidi="es-ES"/>
      </w:rPr>
    </w:lvl>
    <w:lvl w:ilvl="5" w:tplc="6C987E0E">
      <w:numFmt w:val="bullet"/>
      <w:lvlText w:val="•"/>
      <w:lvlJc w:val="left"/>
      <w:pPr>
        <w:ind w:left="5948" w:hanging="720"/>
      </w:pPr>
      <w:rPr>
        <w:rFonts w:hint="default"/>
        <w:lang w:val="es-ES" w:eastAsia="es-ES" w:bidi="es-ES"/>
      </w:rPr>
    </w:lvl>
    <w:lvl w:ilvl="6" w:tplc="3B22D692">
      <w:numFmt w:val="bullet"/>
      <w:lvlText w:val="•"/>
      <w:lvlJc w:val="left"/>
      <w:pPr>
        <w:ind w:left="6651" w:hanging="720"/>
      </w:pPr>
      <w:rPr>
        <w:rFonts w:hint="default"/>
        <w:lang w:val="es-ES" w:eastAsia="es-ES" w:bidi="es-ES"/>
      </w:rPr>
    </w:lvl>
    <w:lvl w:ilvl="7" w:tplc="194E2BBA">
      <w:numFmt w:val="bullet"/>
      <w:lvlText w:val="•"/>
      <w:lvlJc w:val="left"/>
      <w:pPr>
        <w:ind w:left="7353" w:hanging="720"/>
      </w:pPr>
      <w:rPr>
        <w:rFonts w:hint="default"/>
        <w:lang w:val="es-ES" w:eastAsia="es-ES" w:bidi="es-ES"/>
      </w:rPr>
    </w:lvl>
    <w:lvl w:ilvl="8" w:tplc="FEE67EF8">
      <w:numFmt w:val="bullet"/>
      <w:lvlText w:val="•"/>
      <w:lvlJc w:val="left"/>
      <w:pPr>
        <w:ind w:left="8055" w:hanging="720"/>
      </w:pPr>
      <w:rPr>
        <w:rFonts w:hint="default"/>
        <w:lang w:val="es-ES" w:eastAsia="es-ES" w:bidi="es-ES"/>
      </w:rPr>
    </w:lvl>
  </w:abstractNum>
  <w:abstractNum w:abstractNumId="1" w15:restartNumberingAfterBreak="0">
    <w:nsid w:val="61652FA1"/>
    <w:multiLevelType w:val="multilevel"/>
    <w:tmpl w:val="DA7A2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2110BC"/>
    <w:multiLevelType w:val="hybridMultilevel"/>
    <w:tmpl w:val="5DCCE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D7D0AFE"/>
    <w:multiLevelType w:val="hybridMultilevel"/>
    <w:tmpl w:val="C73E5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FAA"/>
    <w:rsid w:val="000B7A20"/>
    <w:rsid w:val="000F349B"/>
    <w:rsid w:val="00140B4D"/>
    <w:rsid w:val="001455CB"/>
    <w:rsid w:val="001838FE"/>
    <w:rsid w:val="002212C9"/>
    <w:rsid w:val="00251CBC"/>
    <w:rsid w:val="002A34B8"/>
    <w:rsid w:val="002E18EE"/>
    <w:rsid w:val="003539EA"/>
    <w:rsid w:val="00356E2B"/>
    <w:rsid w:val="003A0765"/>
    <w:rsid w:val="003D06FF"/>
    <w:rsid w:val="004918C7"/>
    <w:rsid w:val="004C7FAA"/>
    <w:rsid w:val="0050012C"/>
    <w:rsid w:val="00501EE8"/>
    <w:rsid w:val="00505D63"/>
    <w:rsid w:val="0060657C"/>
    <w:rsid w:val="0065160A"/>
    <w:rsid w:val="0079481A"/>
    <w:rsid w:val="00831ECC"/>
    <w:rsid w:val="00834799"/>
    <w:rsid w:val="00886227"/>
    <w:rsid w:val="008A4A6D"/>
    <w:rsid w:val="009651E3"/>
    <w:rsid w:val="00965AB4"/>
    <w:rsid w:val="00996A34"/>
    <w:rsid w:val="009A7AC9"/>
    <w:rsid w:val="009B0C51"/>
    <w:rsid w:val="009E28C7"/>
    <w:rsid w:val="009F37EF"/>
    <w:rsid w:val="00A771DE"/>
    <w:rsid w:val="00A80D88"/>
    <w:rsid w:val="00AC7D32"/>
    <w:rsid w:val="00AE6685"/>
    <w:rsid w:val="00B246C5"/>
    <w:rsid w:val="00B415A8"/>
    <w:rsid w:val="00B57971"/>
    <w:rsid w:val="00C033E7"/>
    <w:rsid w:val="00C21C08"/>
    <w:rsid w:val="00C8604C"/>
    <w:rsid w:val="00DA7CAE"/>
    <w:rsid w:val="00DD1D6C"/>
    <w:rsid w:val="00E22E34"/>
    <w:rsid w:val="00E372FC"/>
    <w:rsid w:val="00EA0769"/>
    <w:rsid w:val="00EB4B8F"/>
    <w:rsid w:val="00EE19F4"/>
    <w:rsid w:val="00F04F07"/>
    <w:rsid w:val="00F31757"/>
    <w:rsid w:val="00F65066"/>
    <w:rsid w:val="00F86B32"/>
    <w:rsid w:val="00F92980"/>
    <w:rsid w:val="00FF5A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0470A8-D5C1-4ACC-81AE-529D84BD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notapie">
    <w:name w:val="footnote text"/>
    <w:basedOn w:val="Normal"/>
    <w:link w:val="TextonotapieCar"/>
    <w:uiPriority w:val="99"/>
    <w:semiHidden/>
    <w:unhideWhenUsed/>
    <w:rsid w:val="003A076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A0765"/>
    <w:rPr>
      <w:sz w:val="20"/>
      <w:szCs w:val="20"/>
    </w:rPr>
  </w:style>
  <w:style w:type="character" w:styleId="Refdenotaalpie">
    <w:name w:val="footnote reference"/>
    <w:basedOn w:val="Fuentedeprrafopredeter"/>
    <w:uiPriority w:val="99"/>
    <w:semiHidden/>
    <w:unhideWhenUsed/>
    <w:rsid w:val="003A0765"/>
    <w:rPr>
      <w:vertAlign w:val="superscript"/>
    </w:rPr>
  </w:style>
  <w:style w:type="character" w:styleId="Hipervnculo">
    <w:name w:val="Hyperlink"/>
    <w:basedOn w:val="Fuentedeprrafopredeter"/>
    <w:uiPriority w:val="99"/>
    <w:semiHidden/>
    <w:unhideWhenUsed/>
    <w:rsid w:val="003A0765"/>
    <w:rPr>
      <w:color w:val="0000FF"/>
      <w:u w:val="single"/>
    </w:rPr>
  </w:style>
  <w:style w:type="paragraph" w:styleId="Prrafodelista">
    <w:name w:val="List Paragraph"/>
    <w:basedOn w:val="Normal"/>
    <w:uiPriority w:val="34"/>
    <w:qFormat/>
    <w:rsid w:val="000B7A20"/>
    <w:pPr>
      <w:ind w:left="720"/>
      <w:contextualSpacing/>
    </w:pPr>
  </w:style>
  <w:style w:type="paragraph" w:styleId="Encabezado">
    <w:name w:val="header"/>
    <w:basedOn w:val="Normal"/>
    <w:link w:val="EncabezadoCar"/>
    <w:uiPriority w:val="99"/>
    <w:unhideWhenUsed/>
    <w:rsid w:val="00965A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5AB4"/>
  </w:style>
  <w:style w:type="paragraph" w:styleId="Piedepgina">
    <w:name w:val="footer"/>
    <w:basedOn w:val="Normal"/>
    <w:link w:val="PiedepginaCar"/>
    <w:uiPriority w:val="99"/>
    <w:unhideWhenUsed/>
    <w:rsid w:val="00965A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5AB4"/>
  </w:style>
  <w:style w:type="paragraph" w:styleId="Textoindependiente">
    <w:name w:val="Body Text"/>
    <w:basedOn w:val="Normal"/>
    <w:link w:val="TextoindependienteCar"/>
    <w:uiPriority w:val="1"/>
    <w:qFormat/>
    <w:rsid w:val="00C21C08"/>
    <w:pPr>
      <w:widowControl w:val="0"/>
      <w:autoSpaceDE w:val="0"/>
      <w:autoSpaceDN w:val="0"/>
      <w:spacing w:after="0" w:line="240" w:lineRule="auto"/>
    </w:pPr>
    <w:rPr>
      <w:rFonts w:ascii="Arial" w:eastAsia="Arial" w:hAnsi="Arial" w:cs="Arial"/>
      <w:lang w:val="es-ES" w:bidi="es-ES"/>
    </w:rPr>
  </w:style>
  <w:style w:type="character" w:customStyle="1" w:styleId="TextoindependienteCar">
    <w:name w:val="Texto independiente Car"/>
    <w:basedOn w:val="Fuentedeprrafopredeter"/>
    <w:link w:val="Textoindependiente"/>
    <w:uiPriority w:val="1"/>
    <w:rsid w:val="00C21C08"/>
    <w:rPr>
      <w:rFonts w:ascii="Arial" w:eastAsia="Arial" w:hAnsi="Arial" w:cs="Arial"/>
      <w:lang w:val="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minsalud.gov.co/sites/rid/Lists/BibliotecaDigital/RIDE/VS/ED/GCFI/evcnna-presentacion.pdf" TargetMode="External"/><Relationship Id="rId1" Type="http://schemas.openxmlformats.org/officeDocument/2006/relationships/hyperlink" Target="https://www.icbf.gov.co/sites/default/files/abc_-_violencia_contra_los_ninos_ninas_y_adolescent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8EB7E-971A-4F5A-8FE6-3B2511FE4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2070</Words>
  <Characters>11388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hasbleidy suarez</dc:creator>
  <cp:lastModifiedBy>hasbleidy suarez</cp:lastModifiedBy>
  <cp:revision>2</cp:revision>
  <dcterms:created xsi:type="dcterms:W3CDTF">2020-07-21T22:42:00Z</dcterms:created>
  <dcterms:modified xsi:type="dcterms:W3CDTF">2020-07-21T22:42:00Z</dcterms:modified>
</cp:coreProperties>
</file>