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111E" w:rsidRDefault="0081111E" w:rsidP="0027550F">
      <w:pPr>
        <w:jc w:val="center"/>
        <w:rPr>
          <w:rFonts w:ascii="Arial" w:hAnsi="Arial" w:cs="Arial"/>
          <w:b/>
        </w:rPr>
      </w:pPr>
    </w:p>
    <w:p w:rsidR="0081111E" w:rsidRDefault="0081111E" w:rsidP="0027550F">
      <w:pPr>
        <w:jc w:val="center"/>
        <w:rPr>
          <w:rFonts w:ascii="Arial" w:hAnsi="Arial" w:cs="Arial"/>
          <w:b/>
        </w:rPr>
      </w:pPr>
    </w:p>
    <w:p w:rsidR="0081111E" w:rsidRDefault="0081111E" w:rsidP="0027550F">
      <w:pPr>
        <w:jc w:val="center"/>
        <w:rPr>
          <w:rFonts w:ascii="Arial" w:hAnsi="Arial" w:cs="Arial"/>
          <w:b/>
        </w:rPr>
      </w:pPr>
    </w:p>
    <w:p w:rsidR="0081111E" w:rsidRDefault="0081111E" w:rsidP="0027550F">
      <w:pPr>
        <w:jc w:val="center"/>
        <w:rPr>
          <w:rFonts w:ascii="Arial" w:hAnsi="Arial" w:cs="Arial"/>
          <w:b/>
        </w:rPr>
      </w:pPr>
    </w:p>
    <w:p w:rsidR="0027550F" w:rsidRPr="004B70EC" w:rsidRDefault="0027550F" w:rsidP="0027550F">
      <w:pPr>
        <w:jc w:val="center"/>
        <w:rPr>
          <w:rFonts w:ascii="Arial" w:hAnsi="Arial" w:cs="Arial"/>
          <w:b/>
        </w:rPr>
      </w:pPr>
      <w:r w:rsidRPr="004B70EC">
        <w:rPr>
          <w:rFonts w:ascii="Arial" w:hAnsi="Arial" w:cs="Arial"/>
          <w:b/>
        </w:rPr>
        <w:t xml:space="preserve">PROYECTO DE LEY ________ DE 2018 </w:t>
      </w:r>
      <w:r w:rsidR="007F7AC0">
        <w:rPr>
          <w:rFonts w:ascii="Arial" w:hAnsi="Arial" w:cs="Arial"/>
          <w:b/>
        </w:rPr>
        <w:t>CAMARA</w:t>
      </w:r>
      <w:bookmarkStart w:id="0" w:name="_GoBack"/>
      <w:bookmarkEnd w:id="0"/>
      <w:r w:rsidRPr="004B70EC">
        <w:rPr>
          <w:rFonts w:ascii="Arial" w:hAnsi="Arial" w:cs="Arial"/>
          <w:b/>
        </w:rPr>
        <w:t xml:space="preserve"> </w:t>
      </w:r>
    </w:p>
    <w:p w:rsidR="0027550F" w:rsidRPr="004B70EC" w:rsidRDefault="0027550F" w:rsidP="0027550F">
      <w:pPr>
        <w:jc w:val="center"/>
        <w:rPr>
          <w:rFonts w:ascii="Arial" w:hAnsi="Arial" w:cs="Arial"/>
          <w:i/>
        </w:rPr>
      </w:pPr>
      <w:r w:rsidRPr="004B70EC">
        <w:rPr>
          <w:rFonts w:ascii="Arial" w:hAnsi="Arial" w:cs="Arial"/>
          <w:b/>
          <w:i/>
        </w:rPr>
        <w:t xml:space="preserve">Por la cual se modifica </w:t>
      </w:r>
      <w:r w:rsidR="007318C4" w:rsidRPr="004B70EC">
        <w:rPr>
          <w:rFonts w:ascii="Arial" w:hAnsi="Arial" w:cs="Arial"/>
          <w:b/>
          <w:i/>
        </w:rPr>
        <w:t>la Ley 122 de 1994</w:t>
      </w:r>
    </w:p>
    <w:p w:rsidR="0027550F" w:rsidRPr="004B70EC" w:rsidRDefault="0027550F" w:rsidP="0027550F">
      <w:pPr>
        <w:jc w:val="center"/>
        <w:rPr>
          <w:rFonts w:ascii="Arial" w:hAnsi="Arial" w:cs="Arial"/>
        </w:rPr>
      </w:pPr>
    </w:p>
    <w:p w:rsidR="0027550F" w:rsidRPr="004B70EC" w:rsidRDefault="0027550F" w:rsidP="0027550F">
      <w:pPr>
        <w:jc w:val="center"/>
        <w:rPr>
          <w:rFonts w:ascii="Arial" w:hAnsi="Arial" w:cs="Arial"/>
        </w:rPr>
      </w:pPr>
      <w:r w:rsidRPr="004B70EC">
        <w:rPr>
          <w:rFonts w:ascii="Arial" w:hAnsi="Arial" w:cs="Arial"/>
        </w:rPr>
        <w:t xml:space="preserve">El Congreso de Colombia </w:t>
      </w:r>
    </w:p>
    <w:p w:rsidR="0027550F" w:rsidRPr="004B70EC" w:rsidRDefault="0027550F" w:rsidP="0027550F">
      <w:pPr>
        <w:jc w:val="center"/>
        <w:rPr>
          <w:rFonts w:ascii="Arial" w:hAnsi="Arial" w:cs="Arial"/>
        </w:rPr>
      </w:pPr>
    </w:p>
    <w:p w:rsidR="0027550F" w:rsidRPr="004B70EC" w:rsidRDefault="0027550F" w:rsidP="0027550F">
      <w:pPr>
        <w:jc w:val="center"/>
        <w:rPr>
          <w:rFonts w:ascii="Arial" w:hAnsi="Arial" w:cs="Arial"/>
        </w:rPr>
      </w:pPr>
      <w:r w:rsidRPr="004B70EC">
        <w:rPr>
          <w:rFonts w:ascii="Arial" w:hAnsi="Arial" w:cs="Arial"/>
        </w:rPr>
        <w:t xml:space="preserve">DECRETA: </w:t>
      </w:r>
    </w:p>
    <w:p w:rsidR="0027550F" w:rsidRPr="004B70EC" w:rsidRDefault="0027550F" w:rsidP="0027550F">
      <w:pPr>
        <w:jc w:val="center"/>
        <w:rPr>
          <w:rFonts w:ascii="Arial" w:hAnsi="Arial" w:cs="Arial"/>
        </w:rPr>
      </w:pPr>
    </w:p>
    <w:p w:rsidR="0027550F" w:rsidRPr="004B70EC" w:rsidRDefault="0027550F" w:rsidP="0027550F">
      <w:pPr>
        <w:jc w:val="both"/>
        <w:rPr>
          <w:rFonts w:ascii="Arial" w:hAnsi="Arial" w:cs="Arial"/>
        </w:rPr>
      </w:pPr>
    </w:p>
    <w:p w:rsidR="0027550F" w:rsidRPr="004B70EC" w:rsidRDefault="0027550F" w:rsidP="0027550F">
      <w:pPr>
        <w:jc w:val="both"/>
        <w:rPr>
          <w:rFonts w:ascii="Arial" w:hAnsi="Arial" w:cs="Arial"/>
        </w:rPr>
      </w:pPr>
      <w:r w:rsidRPr="004B70EC">
        <w:rPr>
          <w:rFonts w:ascii="Arial" w:hAnsi="Arial" w:cs="Arial"/>
          <w:b/>
        </w:rPr>
        <w:t xml:space="preserve">Artículo 1º. </w:t>
      </w:r>
      <w:r w:rsidRPr="004B70EC">
        <w:rPr>
          <w:rFonts w:ascii="Arial" w:hAnsi="Arial" w:cs="Arial"/>
        </w:rPr>
        <w:t>Modifíquese el artículo 2º de la Ley 1</w:t>
      </w:r>
      <w:r w:rsidR="00123E39" w:rsidRPr="004B70EC">
        <w:rPr>
          <w:rFonts w:ascii="Arial" w:hAnsi="Arial" w:cs="Arial"/>
        </w:rPr>
        <w:t>22</w:t>
      </w:r>
      <w:r w:rsidRPr="004B70EC">
        <w:rPr>
          <w:rFonts w:ascii="Arial" w:hAnsi="Arial" w:cs="Arial"/>
        </w:rPr>
        <w:t xml:space="preserve"> de </w:t>
      </w:r>
      <w:r w:rsidR="00123E39" w:rsidRPr="004B70EC">
        <w:rPr>
          <w:rFonts w:ascii="Arial" w:hAnsi="Arial" w:cs="Arial"/>
        </w:rPr>
        <w:t>1994</w:t>
      </w:r>
      <w:r w:rsidRPr="004B70EC">
        <w:rPr>
          <w:rFonts w:ascii="Arial" w:hAnsi="Arial" w:cs="Arial"/>
        </w:rPr>
        <w:t xml:space="preserve">, </w:t>
      </w:r>
      <w:r w:rsidR="00123E39" w:rsidRPr="004B70EC">
        <w:rPr>
          <w:rFonts w:ascii="Arial" w:hAnsi="Arial" w:cs="Arial"/>
        </w:rPr>
        <w:t xml:space="preserve">modificado por el artículo 1º de la Ley 1321 de 2009, </w:t>
      </w:r>
      <w:r w:rsidRPr="004B70EC">
        <w:rPr>
          <w:rFonts w:ascii="Arial" w:hAnsi="Arial" w:cs="Arial"/>
        </w:rPr>
        <w:t>el cual quedará así:</w:t>
      </w:r>
    </w:p>
    <w:p w:rsidR="0027550F" w:rsidRPr="004B70EC" w:rsidRDefault="0027550F" w:rsidP="0027550F">
      <w:pPr>
        <w:jc w:val="both"/>
        <w:rPr>
          <w:rFonts w:ascii="Arial" w:hAnsi="Arial" w:cs="Arial"/>
        </w:rPr>
      </w:pPr>
    </w:p>
    <w:p w:rsidR="0027550F" w:rsidRPr="004B70EC" w:rsidRDefault="0027550F" w:rsidP="0027550F">
      <w:pPr>
        <w:jc w:val="both"/>
        <w:rPr>
          <w:rFonts w:ascii="Arial" w:hAnsi="Arial" w:cs="Arial"/>
        </w:rPr>
      </w:pPr>
      <w:r w:rsidRPr="004B70EC">
        <w:rPr>
          <w:rFonts w:ascii="Arial" w:hAnsi="Arial" w:cs="Arial"/>
        </w:rPr>
        <w:t xml:space="preserve">Artículo 2º. Autorícese la ampliación de la emisión de la Estampilla </w:t>
      </w:r>
      <w:r w:rsidRPr="004B70EC">
        <w:rPr>
          <w:rFonts w:ascii="Arial" w:hAnsi="Arial" w:cs="Arial"/>
          <w:i/>
        </w:rPr>
        <w:t xml:space="preserve">La Universidad de Antioquia de Cara al tercer Siglo de Labor, </w:t>
      </w:r>
      <w:r w:rsidRPr="004B70EC">
        <w:rPr>
          <w:rFonts w:ascii="Arial" w:hAnsi="Arial" w:cs="Arial"/>
        </w:rPr>
        <w:t xml:space="preserve">en la suma de quinientos mil millones de pesos ($500.000.000.000). </w:t>
      </w:r>
      <w:r w:rsidR="00112A6C" w:rsidRPr="004B70EC">
        <w:rPr>
          <w:rFonts w:ascii="Arial" w:hAnsi="Arial" w:cs="Arial"/>
        </w:rPr>
        <w:t>El monto del recaudo se establece a precios constantes de 1993, conforme lo dispuesto en la ley 122 de 1994 y la ley 1321 de 2009.</w:t>
      </w:r>
    </w:p>
    <w:p w:rsidR="0027550F" w:rsidRPr="004B70EC" w:rsidRDefault="0027550F" w:rsidP="0027550F">
      <w:pPr>
        <w:jc w:val="both"/>
        <w:rPr>
          <w:rFonts w:ascii="Arial" w:hAnsi="Arial" w:cs="Arial"/>
        </w:rPr>
      </w:pPr>
    </w:p>
    <w:p w:rsidR="0027550F" w:rsidRPr="004B70EC" w:rsidRDefault="0027550F" w:rsidP="0027550F">
      <w:pPr>
        <w:jc w:val="both"/>
        <w:rPr>
          <w:rFonts w:ascii="Arial" w:hAnsi="Arial" w:cs="Arial"/>
        </w:rPr>
      </w:pPr>
      <w:r w:rsidRPr="004B70EC">
        <w:rPr>
          <w:rFonts w:ascii="Arial" w:hAnsi="Arial" w:cs="Arial"/>
          <w:b/>
        </w:rPr>
        <w:t xml:space="preserve">Artículo 2º. </w:t>
      </w:r>
      <w:r w:rsidRPr="004B70EC">
        <w:rPr>
          <w:rFonts w:ascii="Arial" w:hAnsi="Arial" w:cs="Arial"/>
        </w:rPr>
        <w:t xml:space="preserve">Modifíquese el artículo </w:t>
      </w:r>
      <w:r w:rsidR="00123E39" w:rsidRPr="004B70EC">
        <w:rPr>
          <w:rFonts w:ascii="Arial" w:hAnsi="Arial" w:cs="Arial"/>
        </w:rPr>
        <w:t>10</w:t>
      </w:r>
      <w:r w:rsidRPr="004B70EC">
        <w:rPr>
          <w:rFonts w:ascii="Arial" w:hAnsi="Arial" w:cs="Arial"/>
        </w:rPr>
        <w:t xml:space="preserve"> de la Ley </w:t>
      </w:r>
      <w:r w:rsidR="00123E39" w:rsidRPr="004B70EC">
        <w:rPr>
          <w:rFonts w:ascii="Arial" w:hAnsi="Arial" w:cs="Arial"/>
        </w:rPr>
        <w:t xml:space="preserve">122 de 1994, modificado por el artículo 2º de la ley </w:t>
      </w:r>
      <w:r w:rsidRPr="004B70EC">
        <w:rPr>
          <w:rFonts w:ascii="Arial" w:hAnsi="Arial" w:cs="Arial"/>
        </w:rPr>
        <w:t>1321 de 2009, el cual quedará así:</w:t>
      </w:r>
    </w:p>
    <w:p w:rsidR="0027550F" w:rsidRPr="004B70EC" w:rsidRDefault="0027550F" w:rsidP="0027550F">
      <w:pPr>
        <w:jc w:val="both"/>
        <w:rPr>
          <w:rFonts w:ascii="Arial" w:hAnsi="Arial" w:cs="Arial"/>
        </w:rPr>
      </w:pPr>
    </w:p>
    <w:p w:rsidR="0027550F" w:rsidRPr="004B70EC" w:rsidRDefault="0027550F" w:rsidP="0027550F">
      <w:pPr>
        <w:jc w:val="both"/>
        <w:rPr>
          <w:rFonts w:ascii="Arial" w:hAnsi="Arial" w:cs="Arial"/>
        </w:rPr>
      </w:pPr>
      <w:r w:rsidRPr="004B70EC">
        <w:rPr>
          <w:rFonts w:ascii="Arial" w:hAnsi="Arial" w:cs="Arial"/>
        </w:rPr>
        <w:t xml:space="preserve">Artículo </w:t>
      </w:r>
      <w:r w:rsidR="004A3F9B">
        <w:rPr>
          <w:rFonts w:ascii="Arial" w:hAnsi="Arial" w:cs="Arial"/>
        </w:rPr>
        <w:t>2</w:t>
      </w:r>
      <w:r w:rsidRPr="004B70EC">
        <w:rPr>
          <w:rFonts w:ascii="Arial" w:hAnsi="Arial" w:cs="Arial"/>
        </w:rPr>
        <w:t xml:space="preserve">º. Autorícese la ampliación de la emisión de la Estampilla </w:t>
      </w:r>
      <w:r w:rsidR="00123E39" w:rsidRPr="004B70EC">
        <w:rPr>
          <w:rFonts w:ascii="Arial" w:hAnsi="Arial" w:cs="Arial"/>
        </w:rPr>
        <w:t xml:space="preserve">Pro Universidad del Valle, creada mediante la Ley 26 de 1990, en la suma de quinientos mil millones de pesos </w:t>
      </w:r>
      <w:r w:rsidRPr="004B70EC">
        <w:rPr>
          <w:rFonts w:ascii="Arial" w:hAnsi="Arial" w:cs="Arial"/>
        </w:rPr>
        <w:t xml:space="preserve">($500.000.000.000). </w:t>
      </w:r>
      <w:r w:rsidR="00112A6C" w:rsidRPr="004B70EC">
        <w:rPr>
          <w:rFonts w:ascii="Arial" w:hAnsi="Arial" w:cs="Arial"/>
        </w:rPr>
        <w:t>El monto del recaudo se establece a precios constantes de 1993, conforme lo dispuesto en la ley 1321 de 2009.</w:t>
      </w:r>
    </w:p>
    <w:p w:rsidR="0027550F" w:rsidRPr="004B70EC" w:rsidRDefault="0027550F" w:rsidP="0027550F">
      <w:pPr>
        <w:jc w:val="both"/>
        <w:rPr>
          <w:rFonts w:ascii="Arial" w:hAnsi="Arial" w:cs="Arial"/>
        </w:rPr>
      </w:pPr>
    </w:p>
    <w:p w:rsidR="00123E39" w:rsidRPr="004B70EC" w:rsidRDefault="00123E39" w:rsidP="00123E39">
      <w:pPr>
        <w:jc w:val="both"/>
        <w:rPr>
          <w:rFonts w:ascii="Arial" w:hAnsi="Arial" w:cs="Arial"/>
        </w:rPr>
      </w:pPr>
      <w:r w:rsidRPr="004B70EC">
        <w:rPr>
          <w:rFonts w:ascii="Arial" w:hAnsi="Arial" w:cs="Arial"/>
          <w:b/>
        </w:rPr>
        <w:t xml:space="preserve">Artículo </w:t>
      </w:r>
      <w:r w:rsidR="006B7EC9">
        <w:rPr>
          <w:rFonts w:ascii="Arial" w:hAnsi="Arial" w:cs="Arial"/>
          <w:b/>
        </w:rPr>
        <w:t>3</w:t>
      </w:r>
      <w:r w:rsidRPr="004B70EC">
        <w:rPr>
          <w:rFonts w:ascii="Arial" w:hAnsi="Arial" w:cs="Arial"/>
          <w:b/>
        </w:rPr>
        <w:t xml:space="preserve">º. </w:t>
      </w:r>
      <w:r w:rsidRPr="004B70EC">
        <w:rPr>
          <w:rFonts w:ascii="Arial" w:hAnsi="Arial" w:cs="Arial"/>
        </w:rPr>
        <w:t xml:space="preserve">La presente Ley rige a partir de su promulgación. </w:t>
      </w:r>
    </w:p>
    <w:p w:rsidR="007318C4" w:rsidRPr="004B70EC" w:rsidRDefault="007318C4" w:rsidP="00123E39">
      <w:pPr>
        <w:jc w:val="both"/>
        <w:rPr>
          <w:rFonts w:ascii="Arial" w:hAnsi="Arial" w:cs="Arial"/>
        </w:rPr>
      </w:pPr>
    </w:p>
    <w:p w:rsidR="007318C4" w:rsidRPr="004B70EC" w:rsidRDefault="007318C4" w:rsidP="00123E39">
      <w:pPr>
        <w:jc w:val="both"/>
        <w:rPr>
          <w:rFonts w:ascii="Arial" w:hAnsi="Arial" w:cs="Arial"/>
        </w:rPr>
      </w:pPr>
      <w:r w:rsidRPr="004B70EC">
        <w:rPr>
          <w:rFonts w:ascii="Arial" w:hAnsi="Arial" w:cs="Arial"/>
        </w:rPr>
        <w:t xml:space="preserve">De los Honorables Senadores, </w:t>
      </w:r>
    </w:p>
    <w:p w:rsidR="007318C4" w:rsidRDefault="007318C4" w:rsidP="00123E39">
      <w:pPr>
        <w:jc w:val="both"/>
        <w:rPr>
          <w:rFonts w:ascii="Arial" w:hAnsi="Arial" w:cs="Arial"/>
        </w:rPr>
      </w:pPr>
    </w:p>
    <w:p w:rsidR="0081111E" w:rsidRDefault="0081111E" w:rsidP="00123E39">
      <w:pPr>
        <w:jc w:val="both"/>
        <w:rPr>
          <w:rFonts w:ascii="Arial" w:hAnsi="Arial" w:cs="Arial"/>
        </w:rPr>
      </w:pPr>
    </w:p>
    <w:p w:rsidR="0081111E" w:rsidRDefault="0081111E" w:rsidP="00123E39">
      <w:pPr>
        <w:jc w:val="both"/>
        <w:rPr>
          <w:rFonts w:ascii="Arial" w:hAnsi="Arial" w:cs="Arial"/>
        </w:rPr>
      </w:pPr>
    </w:p>
    <w:p w:rsidR="0081111E" w:rsidRPr="004B70EC" w:rsidRDefault="0081111E" w:rsidP="00123E39">
      <w:pPr>
        <w:jc w:val="both"/>
        <w:rPr>
          <w:rFonts w:ascii="Arial" w:hAnsi="Arial" w:cs="Arial"/>
        </w:rPr>
      </w:pPr>
    </w:p>
    <w:p w:rsidR="007318C4" w:rsidRPr="004B70EC" w:rsidRDefault="007318C4" w:rsidP="00123E39">
      <w:pPr>
        <w:jc w:val="both"/>
        <w:rPr>
          <w:rFonts w:ascii="Arial" w:hAnsi="Arial" w:cs="Arial"/>
        </w:rPr>
      </w:pPr>
    </w:p>
    <w:p w:rsidR="007318C4" w:rsidRPr="004B70EC" w:rsidRDefault="007318C4" w:rsidP="00123E39">
      <w:pPr>
        <w:jc w:val="both"/>
        <w:rPr>
          <w:rFonts w:ascii="Arial" w:hAnsi="Arial" w:cs="Arial"/>
        </w:rPr>
      </w:pPr>
    </w:p>
    <w:p w:rsidR="003C4323" w:rsidRDefault="0081111E" w:rsidP="0027550F">
      <w:pPr>
        <w:jc w:val="center"/>
        <w:rPr>
          <w:rFonts w:ascii="Arial" w:hAnsi="Arial" w:cs="Arial"/>
          <w:b/>
        </w:rPr>
      </w:pPr>
      <w:r>
        <w:rPr>
          <w:rFonts w:ascii="Arial" w:hAnsi="Arial" w:cs="Arial"/>
          <w:b/>
        </w:rPr>
        <w:t xml:space="preserve">ALVARO URIBE VÈLEZ  </w:t>
      </w:r>
    </w:p>
    <w:p w:rsidR="0081111E" w:rsidRDefault="0081111E" w:rsidP="0027550F">
      <w:pPr>
        <w:jc w:val="center"/>
        <w:rPr>
          <w:rFonts w:ascii="Arial" w:hAnsi="Arial" w:cs="Arial"/>
          <w:b/>
        </w:rPr>
      </w:pPr>
      <w:r>
        <w:rPr>
          <w:rFonts w:ascii="Arial" w:hAnsi="Arial" w:cs="Arial"/>
          <w:b/>
        </w:rPr>
        <w:t xml:space="preserve">Senador de la República         </w:t>
      </w:r>
    </w:p>
    <w:p w:rsidR="0081111E" w:rsidRDefault="0081111E" w:rsidP="0027550F">
      <w:pPr>
        <w:jc w:val="center"/>
        <w:rPr>
          <w:rFonts w:ascii="Arial" w:hAnsi="Arial" w:cs="Arial"/>
          <w:b/>
        </w:rPr>
      </w:pPr>
    </w:p>
    <w:p w:rsidR="0081111E" w:rsidRDefault="0081111E" w:rsidP="0027550F">
      <w:pPr>
        <w:jc w:val="center"/>
        <w:rPr>
          <w:rFonts w:ascii="Arial" w:hAnsi="Arial" w:cs="Arial"/>
          <w:b/>
        </w:rPr>
      </w:pPr>
    </w:p>
    <w:p w:rsidR="0081111E" w:rsidRDefault="0081111E" w:rsidP="0027550F">
      <w:pPr>
        <w:jc w:val="center"/>
        <w:rPr>
          <w:rFonts w:ascii="Arial" w:hAnsi="Arial" w:cs="Arial"/>
          <w:b/>
        </w:rPr>
      </w:pPr>
    </w:p>
    <w:p w:rsidR="0081111E" w:rsidRDefault="0081111E" w:rsidP="0081111E">
      <w:pPr>
        <w:rPr>
          <w:rFonts w:ascii="Arial" w:hAnsi="Arial" w:cs="Arial"/>
          <w:b/>
        </w:rPr>
      </w:pPr>
    </w:p>
    <w:p w:rsidR="0081111E" w:rsidRDefault="0081111E" w:rsidP="0081111E">
      <w:pPr>
        <w:rPr>
          <w:rFonts w:ascii="Arial" w:hAnsi="Arial" w:cs="Arial"/>
          <w:b/>
        </w:rPr>
      </w:pPr>
      <w:r>
        <w:rPr>
          <w:rFonts w:ascii="Arial" w:hAnsi="Arial" w:cs="Arial"/>
          <w:b/>
        </w:rPr>
        <w:t xml:space="preserve">PAOLA HOLGUÌN MORENO                                                 JUAN FERNANDO ESPINAL </w:t>
      </w:r>
    </w:p>
    <w:p w:rsidR="0081111E" w:rsidRPr="004B70EC" w:rsidRDefault="0081111E" w:rsidP="0081111E">
      <w:pPr>
        <w:tabs>
          <w:tab w:val="left" w:pos="3885"/>
        </w:tabs>
        <w:rPr>
          <w:rFonts w:ascii="Arial" w:hAnsi="Arial" w:cs="Arial"/>
        </w:rPr>
      </w:pPr>
      <w:r>
        <w:rPr>
          <w:rFonts w:ascii="Arial" w:hAnsi="Arial" w:cs="Arial"/>
          <w:b/>
        </w:rPr>
        <w:t xml:space="preserve">Senadora de la República  </w:t>
      </w:r>
      <w:r>
        <w:rPr>
          <w:rFonts w:ascii="Arial" w:hAnsi="Arial" w:cs="Arial"/>
          <w:b/>
        </w:rPr>
        <w:tab/>
        <w:t xml:space="preserve">                                       Representante a la Cámara </w:t>
      </w:r>
    </w:p>
    <w:p w:rsidR="004B70EC" w:rsidRPr="004B70EC" w:rsidRDefault="004B70EC" w:rsidP="0027550F">
      <w:pPr>
        <w:jc w:val="center"/>
        <w:rPr>
          <w:rFonts w:ascii="Arial" w:hAnsi="Arial" w:cs="Arial"/>
        </w:rPr>
      </w:pPr>
    </w:p>
    <w:p w:rsidR="004B70EC" w:rsidRPr="004B70EC" w:rsidRDefault="004B70EC" w:rsidP="0027550F">
      <w:pPr>
        <w:jc w:val="center"/>
        <w:rPr>
          <w:rFonts w:ascii="Arial" w:hAnsi="Arial" w:cs="Arial"/>
        </w:rPr>
      </w:pPr>
    </w:p>
    <w:p w:rsidR="004B70EC" w:rsidRPr="004B70EC" w:rsidRDefault="004B70EC" w:rsidP="0027550F">
      <w:pPr>
        <w:jc w:val="center"/>
        <w:rPr>
          <w:rFonts w:ascii="Arial" w:hAnsi="Arial" w:cs="Arial"/>
        </w:rPr>
      </w:pPr>
    </w:p>
    <w:p w:rsidR="004B70EC" w:rsidRPr="004B70EC" w:rsidRDefault="004B70EC" w:rsidP="0027550F">
      <w:pPr>
        <w:jc w:val="center"/>
        <w:rPr>
          <w:rFonts w:ascii="Arial" w:hAnsi="Arial" w:cs="Arial"/>
        </w:rPr>
      </w:pPr>
    </w:p>
    <w:p w:rsidR="004B70EC" w:rsidRDefault="004B70EC"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87071B" w:rsidRDefault="0087071B" w:rsidP="0027550F">
      <w:pPr>
        <w:jc w:val="center"/>
        <w:rPr>
          <w:rFonts w:ascii="Arial" w:hAnsi="Arial" w:cs="Arial"/>
        </w:rPr>
      </w:pPr>
    </w:p>
    <w:p w:rsidR="004B70EC" w:rsidRPr="004B70EC" w:rsidRDefault="004B70EC" w:rsidP="004B70EC">
      <w:pPr>
        <w:jc w:val="center"/>
        <w:rPr>
          <w:rFonts w:ascii="Arial" w:hAnsi="Arial" w:cs="Arial"/>
          <w:b/>
        </w:rPr>
      </w:pPr>
      <w:r w:rsidRPr="004B70EC">
        <w:rPr>
          <w:rFonts w:ascii="Arial" w:hAnsi="Arial" w:cs="Arial"/>
          <w:b/>
        </w:rPr>
        <w:t>EXPOSICION DE MOTIVOS</w:t>
      </w:r>
    </w:p>
    <w:p w:rsidR="004B70EC" w:rsidRDefault="004B70EC" w:rsidP="004B70EC">
      <w:pPr>
        <w:rPr>
          <w:rFonts w:ascii="Arial" w:hAnsi="Arial" w:cs="Arial"/>
        </w:rPr>
      </w:pPr>
    </w:p>
    <w:p w:rsidR="004B70EC" w:rsidRDefault="004B70EC" w:rsidP="004B70EC">
      <w:pPr>
        <w:rPr>
          <w:rFonts w:ascii="Arial" w:hAnsi="Arial" w:cs="Arial"/>
        </w:rPr>
      </w:pPr>
    </w:p>
    <w:p w:rsidR="004B70EC" w:rsidRPr="004B70EC" w:rsidRDefault="004B70EC" w:rsidP="004B70EC">
      <w:pPr>
        <w:pStyle w:val="Prrafodelista"/>
        <w:numPr>
          <w:ilvl w:val="0"/>
          <w:numId w:val="38"/>
        </w:numPr>
        <w:ind w:left="709"/>
        <w:jc w:val="both"/>
        <w:rPr>
          <w:rFonts w:ascii="Arial" w:hAnsi="Arial" w:cs="Arial"/>
        </w:rPr>
      </w:pPr>
      <w:r w:rsidRPr="004B70EC">
        <w:rPr>
          <w:rFonts w:ascii="Arial" w:hAnsi="Arial" w:cs="Arial"/>
          <w:b/>
          <w:sz w:val="24"/>
          <w:szCs w:val="24"/>
        </w:rPr>
        <w:t xml:space="preserve">ESTAMPILLA DE LA UNIVERSIDAD DE ANTIOQUIA DE CARA AL TERCER SIGLO DE LABOR  </w:t>
      </w:r>
    </w:p>
    <w:p w:rsidR="004B70EC" w:rsidRPr="004B70EC" w:rsidRDefault="004B70EC" w:rsidP="004B70EC">
      <w:pPr>
        <w:rPr>
          <w:rFonts w:ascii="Arial" w:hAnsi="Arial" w:cs="Arial"/>
        </w:rPr>
      </w:pPr>
    </w:p>
    <w:p w:rsidR="004B70EC" w:rsidRPr="004B70EC" w:rsidRDefault="004B70EC" w:rsidP="004B70EC">
      <w:pPr>
        <w:jc w:val="both"/>
        <w:rPr>
          <w:rFonts w:ascii="Arial" w:hAnsi="Arial" w:cs="Arial"/>
        </w:rPr>
      </w:pPr>
      <w:r w:rsidRPr="004B70EC">
        <w:rPr>
          <w:rFonts w:ascii="Arial" w:hAnsi="Arial" w:cs="Arial"/>
        </w:rPr>
        <w:t xml:space="preserve">Los recursos de la </w:t>
      </w:r>
      <w:r w:rsidRPr="004B70EC">
        <w:rPr>
          <w:rFonts w:ascii="Arial" w:hAnsi="Arial" w:cs="Arial"/>
          <w:b/>
          <w:i/>
        </w:rPr>
        <w:t xml:space="preserve">Estampilla de la Universidad de Antioquia de Cara al Tercer Siglo de Labor  </w:t>
      </w:r>
      <w:r w:rsidRPr="004B70EC">
        <w:rPr>
          <w:rFonts w:ascii="Arial" w:hAnsi="Arial" w:cs="Arial"/>
        </w:rPr>
        <w:t xml:space="preserve">generados por las  entidades territoriales desde el año 1994 a 2017 ha sido la fuente más importante  de inversión la Universidad, la cual ha contribuido a mejorar la cobertura y  calidad de la educación superior en la región y en el país, cumpliendo con los objetivos misionales de la </w:t>
      </w:r>
      <w:r w:rsidRPr="004B70EC">
        <w:rPr>
          <w:rFonts w:ascii="Arial" w:hAnsi="Arial" w:cs="Arial"/>
          <w:i/>
        </w:rPr>
        <w:t>Alma Mater</w:t>
      </w:r>
      <w:r w:rsidRPr="004B70EC">
        <w:rPr>
          <w:rFonts w:ascii="Arial" w:hAnsi="Arial" w:cs="Arial"/>
        </w:rPr>
        <w:t xml:space="preserve">. </w:t>
      </w:r>
    </w:p>
    <w:p w:rsidR="004B70EC" w:rsidRPr="004B70EC" w:rsidRDefault="004B70EC" w:rsidP="004B70EC">
      <w:pPr>
        <w:pStyle w:val="Ttulo2"/>
        <w:spacing w:after="240"/>
        <w:jc w:val="both"/>
        <w:rPr>
          <w:rFonts w:ascii="Arial" w:hAnsi="Arial" w:cs="Arial"/>
          <w:b w:val="0"/>
          <w:szCs w:val="24"/>
          <w:lang w:val="es-ES_tradnl"/>
        </w:rPr>
      </w:pPr>
      <w:r w:rsidRPr="004B70EC">
        <w:rPr>
          <w:rFonts w:ascii="Arial" w:hAnsi="Arial" w:cs="Arial"/>
          <w:b w:val="0"/>
          <w:szCs w:val="24"/>
          <w:lang w:val="es-ES_tradnl"/>
        </w:rPr>
        <w:t>Con el  recaudo de estos recursos, ha significado para la institución una serie de beneficios más allá de los económicos, entre los cuales pueden mencionarse:</w:t>
      </w:r>
    </w:p>
    <w:p w:rsidR="004B70EC" w:rsidRPr="004B70EC" w:rsidRDefault="004B70EC" w:rsidP="004B70EC">
      <w:pPr>
        <w:numPr>
          <w:ilvl w:val="0"/>
          <w:numId w:val="1"/>
        </w:numPr>
        <w:autoSpaceDE w:val="0"/>
        <w:autoSpaceDN w:val="0"/>
        <w:adjustRightInd w:val="0"/>
        <w:spacing w:after="240"/>
        <w:ind w:left="567" w:hanging="567"/>
        <w:jc w:val="both"/>
        <w:rPr>
          <w:rFonts w:ascii="Arial" w:hAnsi="Arial" w:cs="Arial"/>
          <w:lang w:val="es-ES_tradnl"/>
        </w:rPr>
      </w:pPr>
      <w:r w:rsidRPr="004B70EC">
        <w:rPr>
          <w:rFonts w:ascii="Arial" w:hAnsi="Arial" w:cs="Arial"/>
          <w:lang w:val="es-ES_tradnl"/>
        </w:rPr>
        <w:t xml:space="preserve">Fortalecimiento de la investigación, la docencia y la extensión, al permitir la renovación y la adquisición de equipos e infraestructura de última tecnología. </w:t>
      </w:r>
    </w:p>
    <w:p w:rsidR="004B70EC" w:rsidRPr="004B70EC" w:rsidRDefault="004B70EC" w:rsidP="004B70EC">
      <w:pPr>
        <w:numPr>
          <w:ilvl w:val="0"/>
          <w:numId w:val="1"/>
        </w:numPr>
        <w:autoSpaceDE w:val="0"/>
        <w:autoSpaceDN w:val="0"/>
        <w:adjustRightInd w:val="0"/>
        <w:spacing w:after="240"/>
        <w:ind w:left="567" w:hanging="567"/>
        <w:jc w:val="both"/>
        <w:rPr>
          <w:rFonts w:ascii="Arial" w:hAnsi="Arial" w:cs="Arial"/>
          <w:lang w:val="es-ES_tradnl"/>
        </w:rPr>
      </w:pPr>
      <w:r w:rsidRPr="004B70EC">
        <w:rPr>
          <w:rFonts w:ascii="Arial" w:hAnsi="Arial" w:cs="Arial"/>
          <w:lang w:val="es-ES_tradnl"/>
        </w:rPr>
        <w:t>Estructuración y fortalecimiento del Banco Universitario de Programas y Proyectos.</w:t>
      </w:r>
    </w:p>
    <w:p w:rsidR="004B70EC" w:rsidRPr="004B70EC" w:rsidRDefault="004B70EC" w:rsidP="004B70EC">
      <w:pPr>
        <w:numPr>
          <w:ilvl w:val="0"/>
          <w:numId w:val="1"/>
        </w:numPr>
        <w:autoSpaceDE w:val="0"/>
        <w:autoSpaceDN w:val="0"/>
        <w:adjustRightInd w:val="0"/>
        <w:spacing w:after="240"/>
        <w:ind w:left="567" w:hanging="567"/>
        <w:jc w:val="both"/>
        <w:rPr>
          <w:rFonts w:ascii="Arial" w:hAnsi="Arial" w:cs="Arial"/>
          <w:lang w:val="es-ES_tradnl"/>
        </w:rPr>
      </w:pPr>
      <w:r w:rsidRPr="004B70EC">
        <w:rPr>
          <w:rFonts w:ascii="Arial" w:hAnsi="Arial" w:cs="Arial"/>
          <w:lang w:val="es-ES_tradnl"/>
        </w:rPr>
        <w:t xml:space="preserve">Apoyo a la Financiación de los tres  planes de desarrollo establecidos por la Institución desde 1995: </w:t>
      </w:r>
      <w:r w:rsidRPr="004B70EC">
        <w:rPr>
          <w:rFonts w:ascii="Arial" w:hAnsi="Arial" w:cs="Arial"/>
          <w:i/>
          <w:lang w:val="es-ES_tradnl"/>
        </w:rPr>
        <w:t>La Universidad del Siglo de las Luces 1995-2006, H</w:t>
      </w:r>
      <w:r w:rsidRPr="004B70EC">
        <w:rPr>
          <w:rFonts w:ascii="Arial" w:hAnsi="Arial" w:cs="Arial"/>
          <w:i/>
          <w:spacing w:val="10"/>
          <w:lang w:val="es-ES_tradnl"/>
        </w:rPr>
        <w:t xml:space="preserve">acia una Universidad Investigadora, Innovadora y Humanista al Servicio de las Regiones 2006-2016 y del País, y </w:t>
      </w:r>
      <w:r w:rsidRPr="004B70EC">
        <w:rPr>
          <w:rFonts w:ascii="Arial" w:hAnsi="Arial" w:cs="Arial"/>
          <w:i/>
          <w:lang w:val="es-ES_tradnl"/>
        </w:rPr>
        <w:t>Una Universidad Innovadora para la Transformación de los Territorios  2017-2026</w:t>
      </w:r>
      <w:r w:rsidRPr="004B70EC">
        <w:rPr>
          <w:rFonts w:ascii="Arial" w:hAnsi="Arial" w:cs="Arial"/>
          <w:i/>
          <w:spacing w:val="10"/>
          <w:lang w:val="es-ES_tradnl"/>
        </w:rPr>
        <w:t>.</w:t>
      </w:r>
    </w:p>
    <w:p w:rsidR="004B70EC" w:rsidRPr="004B70EC" w:rsidRDefault="004B70EC" w:rsidP="004B70EC">
      <w:pPr>
        <w:numPr>
          <w:ilvl w:val="0"/>
          <w:numId w:val="1"/>
        </w:numPr>
        <w:autoSpaceDE w:val="0"/>
        <w:autoSpaceDN w:val="0"/>
        <w:adjustRightInd w:val="0"/>
        <w:spacing w:after="240"/>
        <w:ind w:left="567" w:hanging="567"/>
        <w:jc w:val="both"/>
        <w:rPr>
          <w:rFonts w:ascii="Arial" w:hAnsi="Arial" w:cs="Arial"/>
          <w:lang w:val="es-ES_tradnl"/>
        </w:rPr>
      </w:pPr>
      <w:r w:rsidRPr="004B70EC">
        <w:rPr>
          <w:rFonts w:ascii="Arial" w:hAnsi="Arial" w:cs="Arial"/>
          <w:lang w:val="es-ES_tradnl"/>
        </w:rPr>
        <w:t xml:space="preserve">Motivación al profesorado para presentar proyectos de investigación con la posibilidad real de ser financiados. </w:t>
      </w:r>
    </w:p>
    <w:p w:rsidR="004B70EC" w:rsidRPr="004B70EC" w:rsidRDefault="004B70EC" w:rsidP="004B70EC">
      <w:pPr>
        <w:numPr>
          <w:ilvl w:val="0"/>
          <w:numId w:val="1"/>
        </w:numPr>
        <w:autoSpaceDE w:val="0"/>
        <w:autoSpaceDN w:val="0"/>
        <w:adjustRightInd w:val="0"/>
        <w:spacing w:after="240"/>
        <w:ind w:left="567" w:hanging="567"/>
        <w:jc w:val="both"/>
        <w:rPr>
          <w:rFonts w:ascii="Arial" w:hAnsi="Arial" w:cs="Arial"/>
          <w:lang w:val="es-ES_tradnl"/>
        </w:rPr>
      </w:pPr>
      <w:r w:rsidRPr="004B70EC">
        <w:rPr>
          <w:rFonts w:ascii="Arial" w:hAnsi="Arial" w:cs="Arial"/>
          <w:lang w:val="es-ES_tradnl"/>
        </w:rPr>
        <w:t>Mantenimiento, ampliación, mejora  y recuperación de la planta física y los escenarios deportivos.</w:t>
      </w:r>
    </w:p>
    <w:p w:rsidR="004B70EC" w:rsidRPr="004B70EC" w:rsidRDefault="004B70EC" w:rsidP="004B70EC">
      <w:pPr>
        <w:numPr>
          <w:ilvl w:val="0"/>
          <w:numId w:val="1"/>
        </w:numPr>
        <w:autoSpaceDE w:val="0"/>
        <w:autoSpaceDN w:val="0"/>
        <w:adjustRightInd w:val="0"/>
        <w:spacing w:after="240"/>
        <w:ind w:left="567" w:hanging="567"/>
        <w:jc w:val="both"/>
        <w:rPr>
          <w:rFonts w:ascii="Arial" w:hAnsi="Arial" w:cs="Arial"/>
          <w:lang w:val="es-ES_tradnl"/>
        </w:rPr>
      </w:pPr>
      <w:r w:rsidRPr="004B70EC">
        <w:rPr>
          <w:rFonts w:ascii="Arial" w:hAnsi="Arial" w:cs="Arial"/>
          <w:lang w:val="es-ES_tradnl"/>
        </w:rPr>
        <w:t>Modernización de laboratorios para la docencia y la investigación.</w:t>
      </w:r>
    </w:p>
    <w:p w:rsidR="004B70EC" w:rsidRPr="004B70EC" w:rsidRDefault="004B70EC" w:rsidP="004B70EC">
      <w:pPr>
        <w:numPr>
          <w:ilvl w:val="0"/>
          <w:numId w:val="1"/>
        </w:numPr>
        <w:autoSpaceDE w:val="0"/>
        <w:autoSpaceDN w:val="0"/>
        <w:adjustRightInd w:val="0"/>
        <w:spacing w:after="240"/>
        <w:ind w:left="567" w:hanging="567"/>
        <w:jc w:val="both"/>
        <w:rPr>
          <w:rFonts w:ascii="Arial" w:hAnsi="Arial" w:cs="Arial"/>
          <w:lang w:val="es-ES_tradnl"/>
        </w:rPr>
      </w:pPr>
      <w:r w:rsidRPr="004B70EC">
        <w:rPr>
          <w:rFonts w:ascii="Arial" w:hAnsi="Arial" w:cs="Arial"/>
          <w:lang w:val="es-ES_tradnl"/>
        </w:rPr>
        <w:t>Palanca Financiera del primer orden  para desarrollar  proyectos estratégicos  por medio de  financiación de largo plazo.</w:t>
      </w:r>
    </w:p>
    <w:p w:rsidR="004B70EC" w:rsidRPr="004B70EC" w:rsidRDefault="004B70EC" w:rsidP="004B70EC">
      <w:pPr>
        <w:jc w:val="both"/>
        <w:rPr>
          <w:rFonts w:ascii="Arial" w:hAnsi="Arial" w:cs="Arial"/>
        </w:rPr>
      </w:pPr>
    </w:p>
    <w:p w:rsidR="004B70EC" w:rsidRPr="004B70EC" w:rsidRDefault="004B70EC" w:rsidP="004B70EC">
      <w:pPr>
        <w:pStyle w:val="Encabezado"/>
        <w:spacing w:after="240"/>
        <w:jc w:val="both"/>
        <w:rPr>
          <w:rFonts w:ascii="Arial" w:hAnsi="Arial" w:cs="Arial"/>
          <w:sz w:val="24"/>
          <w:szCs w:val="24"/>
          <w:lang w:val="es-ES_tradnl"/>
        </w:rPr>
      </w:pPr>
      <w:r w:rsidRPr="004B70EC">
        <w:rPr>
          <w:rFonts w:ascii="Arial" w:hAnsi="Arial" w:cs="Arial"/>
          <w:sz w:val="24"/>
          <w:szCs w:val="24"/>
          <w:lang w:val="es-ES_tradnl"/>
        </w:rPr>
        <w:t>Los ingresos recaudados de la Estampilla Universidad de Antioquia de Cara al Tercer Siglo de Labor, en el periodo 1994-2017, son del orden de 564.107 millones de pesos  a precios corrientes.</w:t>
      </w:r>
    </w:p>
    <w:p w:rsidR="004B70EC" w:rsidRPr="004B70EC" w:rsidRDefault="004B70EC" w:rsidP="004B70EC">
      <w:pPr>
        <w:pStyle w:val="Encabezado"/>
        <w:spacing w:after="240"/>
        <w:jc w:val="both"/>
        <w:rPr>
          <w:rFonts w:ascii="Arial" w:hAnsi="Arial" w:cs="Arial"/>
          <w:sz w:val="24"/>
          <w:szCs w:val="24"/>
          <w:lang w:val="es-ES_tradnl"/>
        </w:rPr>
      </w:pPr>
      <w:r w:rsidRPr="004B70EC">
        <w:rPr>
          <w:rFonts w:ascii="Arial" w:hAnsi="Arial" w:cs="Arial"/>
          <w:sz w:val="24"/>
          <w:szCs w:val="24"/>
          <w:lang w:val="es-ES_tradnl"/>
        </w:rPr>
        <w:t>Con respecto a los egresos, los pagos y las ordenaciones son de un valor de $519.564 millones de pesos. Con porcentaje de ejecución de 92 % de los ingresos recaudados.</w:t>
      </w:r>
    </w:p>
    <w:p w:rsidR="004B70EC" w:rsidRDefault="004B70EC" w:rsidP="004B70EC">
      <w:pPr>
        <w:pStyle w:val="Encabezado"/>
        <w:spacing w:before="240" w:after="240"/>
        <w:jc w:val="both"/>
        <w:rPr>
          <w:rFonts w:ascii="Arial" w:hAnsi="Arial" w:cs="Arial"/>
          <w:sz w:val="24"/>
          <w:szCs w:val="24"/>
          <w:lang w:val="es-ES_tradnl"/>
        </w:rPr>
      </w:pPr>
      <w:r w:rsidRPr="004B70EC">
        <w:rPr>
          <w:rFonts w:ascii="Arial" w:hAnsi="Arial" w:cs="Arial"/>
          <w:sz w:val="24"/>
          <w:szCs w:val="24"/>
          <w:lang w:val="es-ES_tradnl"/>
        </w:rPr>
        <w:t>Los 564.107 millones de pesos (a precios corrientes) recaudados entre 1994 y 2017 equivalen a 117.130 millones de pesos a precios constantes de 1993, (figura 1) la base de cálculo que estipuló la Ley 122 de 1994 y que, posteriormente, la Ley 1321 de 2009 (al aumentar el monto) ordenó autorícese  la ampliación de la emisión de la Estampilla Universidad de Antioquia de Cara al tercer Siglo de Labor, hasta por la suma de doscientos pesos ($200.000.000.000). El monto total del recaudo se establece a precios constates de 1993.  La tabla 1 muestra, para cada vigencia fiscal, el recaudo a precios corrientes y constantes,  al igual que el respectivo índice de inflación.</w:t>
      </w:r>
    </w:p>
    <w:p w:rsidR="00545533" w:rsidRDefault="00545533" w:rsidP="004B70EC">
      <w:pPr>
        <w:pStyle w:val="Encabezado"/>
        <w:spacing w:before="240" w:after="240"/>
        <w:jc w:val="both"/>
        <w:rPr>
          <w:rFonts w:ascii="Arial" w:hAnsi="Arial" w:cs="Arial"/>
          <w:sz w:val="24"/>
          <w:szCs w:val="24"/>
          <w:lang w:val="es-ES_tradnl"/>
        </w:rPr>
      </w:pPr>
    </w:p>
    <w:p w:rsidR="00545533" w:rsidRDefault="00545533" w:rsidP="004B70EC">
      <w:pPr>
        <w:pStyle w:val="Encabezado"/>
        <w:spacing w:before="240" w:after="240"/>
        <w:jc w:val="both"/>
        <w:rPr>
          <w:rFonts w:ascii="Arial" w:hAnsi="Arial" w:cs="Arial"/>
          <w:sz w:val="24"/>
          <w:szCs w:val="24"/>
          <w:lang w:val="es-ES_tradnl"/>
        </w:rPr>
      </w:pPr>
    </w:p>
    <w:p w:rsidR="00545533" w:rsidRPr="004B70EC" w:rsidRDefault="00545533" w:rsidP="004B70EC">
      <w:pPr>
        <w:pStyle w:val="Encabezado"/>
        <w:spacing w:before="240" w:after="240"/>
        <w:jc w:val="both"/>
        <w:rPr>
          <w:rFonts w:ascii="Arial" w:hAnsi="Arial" w:cs="Arial"/>
          <w:sz w:val="24"/>
          <w:szCs w:val="24"/>
          <w:lang w:val="es-ES_tradnl"/>
        </w:rPr>
      </w:pPr>
    </w:p>
    <w:p w:rsidR="004B70EC" w:rsidRPr="004B70EC" w:rsidRDefault="004B70EC" w:rsidP="004B70EC">
      <w:pPr>
        <w:pStyle w:val="Encabezado"/>
        <w:spacing w:after="240"/>
        <w:jc w:val="center"/>
        <w:rPr>
          <w:rFonts w:ascii="Arial" w:hAnsi="Arial" w:cs="Arial"/>
          <w:b/>
          <w:sz w:val="24"/>
          <w:szCs w:val="24"/>
          <w:lang w:val="es-ES_tradnl"/>
        </w:rPr>
      </w:pPr>
      <w:r w:rsidRPr="004B70EC">
        <w:rPr>
          <w:rFonts w:ascii="Arial" w:hAnsi="Arial" w:cs="Arial"/>
          <w:b/>
          <w:sz w:val="24"/>
          <w:szCs w:val="24"/>
          <w:lang w:val="es-ES_tradnl"/>
        </w:rPr>
        <w:t>Figura 1. Recaudos</w:t>
      </w:r>
      <w:r w:rsidRPr="004B70EC">
        <w:rPr>
          <w:rFonts w:ascii="Arial" w:hAnsi="Arial" w:cs="Arial"/>
          <w:sz w:val="24"/>
          <w:szCs w:val="24"/>
          <w:lang w:val="es-ES_tradnl"/>
        </w:rPr>
        <w:t xml:space="preserve"> </w:t>
      </w:r>
      <w:r w:rsidRPr="004B70EC">
        <w:rPr>
          <w:rFonts w:ascii="Arial" w:hAnsi="Arial" w:cs="Arial"/>
          <w:b/>
          <w:sz w:val="24"/>
          <w:szCs w:val="24"/>
          <w:lang w:val="es-ES_tradnl"/>
        </w:rPr>
        <w:t>de la Estampilla Universidad de Antioquia de Cara al Tercer Siglo de Labor a precios de corrientes vs precios constantes  1993 —millones de pesos—</w:t>
      </w:r>
    </w:p>
    <w:p w:rsidR="004B70EC" w:rsidRPr="004B70EC" w:rsidRDefault="004B70EC" w:rsidP="004B70EC">
      <w:pPr>
        <w:pStyle w:val="Encabezado"/>
        <w:spacing w:after="240" w:line="360" w:lineRule="auto"/>
        <w:jc w:val="center"/>
        <w:rPr>
          <w:rFonts w:ascii="Arial" w:hAnsi="Arial" w:cs="Arial"/>
          <w:b/>
          <w:sz w:val="24"/>
          <w:szCs w:val="24"/>
          <w:lang w:val="es-ES_tradnl"/>
        </w:rPr>
      </w:pPr>
      <w:r w:rsidRPr="004B70EC">
        <w:rPr>
          <w:rFonts w:ascii="Arial" w:hAnsi="Arial" w:cs="Arial"/>
          <w:noProof/>
          <w:lang w:val="es-CO" w:eastAsia="es-CO"/>
        </w:rPr>
        <w:drawing>
          <wp:inline distT="0" distB="0" distL="0" distR="0" wp14:anchorId="0F731535" wp14:editId="4D0138D7">
            <wp:extent cx="3057525" cy="1743075"/>
            <wp:effectExtent l="57150" t="0" r="47625" b="10477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4B70EC" w:rsidRPr="004B70EC" w:rsidRDefault="004B70EC" w:rsidP="004B70EC">
      <w:pPr>
        <w:pStyle w:val="Encabezado"/>
        <w:spacing w:after="240"/>
        <w:jc w:val="center"/>
        <w:rPr>
          <w:rFonts w:ascii="Arial" w:hAnsi="Arial" w:cs="Arial"/>
          <w:b/>
          <w:sz w:val="24"/>
          <w:szCs w:val="24"/>
          <w:lang w:val="es-ES_tradnl"/>
        </w:rPr>
      </w:pPr>
    </w:p>
    <w:p w:rsidR="004B70EC" w:rsidRPr="004B70EC" w:rsidRDefault="004B70EC" w:rsidP="004B70EC">
      <w:pPr>
        <w:pStyle w:val="Encabezado"/>
        <w:spacing w:before="360" w:after="240"/>
        <w:jc w:val="center"/>
        <w:rPr>
          <w:rFonts w:ascii="Arial" w:hAnsi="Arial" w:cs="Arial"/>
          <w:b/>
          <w:sz w:val="24"/>
          <w:szCs w:val="24"/>
          <w:lang w:val="es-ES_tradnl"/>
        </w:rPr>
      </w:pPr>
      <w:r w:rsidRPr="004B70EC">
        <w:rPr>
          <w:rFonts w:ascii="Arial" w:hAnsi="Arial" w:cs="Arial"/>
          <w:b/>
          <w:sz w:val="24"/>
          <w:szCs w:val="24"/>
          <w:lang w:val="es-ES_tradnl"/>
        </w:rPr>
        <w:t>Tabla 1.  Recaudo la Estampilla Universidad de Antioquia de Cara al Tercer Siglo de Labor 1994-2017 a precios de 1993 —millones de pesos—</w:t>
      </w:r>
    </w:p>
    <w:tbl>
      <w:tblPr>
        <w:tblW w:w="7905" w:type="dxa"/>
        <w:jc w:val="center"/>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1E0" w:firstRow="1" w:lastRow="1" w:firstColumn="1" w:lastColumn="1" w:noHBand="0" w:noVBand="0"/>
      </w:tblPr>
      <w:tblGrid>
        <w:gridCol w:w="2236"/>
        <w:gridCol w:w="1372"/>
        <w:gridCol w:w="2029"/>
        <w:gridCol w:w="2268"/>
      </w:tblGrid>
      <w:tr w:rsidR="004B70EC" w:rsidRPr="004B70EC" w:rsidTr="004B70EC">
        <w:trPr>
          <w:jc w:val="center"/>
        </w:trPr>
        <w:tc>
          <w:tcPr>
            <w:tcW w:w="2236" w:type="dxa"/>
            <w:tcBorders>
              <w:left w:val="nil"/>
              <w:bottom w:val="nil"/>
              <w:right w:val="nil"/>
            </w:tcBorders>
            <w:shd w:val="clear" w:color="auto" w:fill="FFFFFF"/>
            <w:vAlign w:val="center"/>
          </w:tcPr>
          <w:p w:rsidR="004B70EC" w:rsidRPr="004B70EC" w:rsidRDefault="004B70EC" w:rsidP="00545533">
            <w:pPr>
              <w:pStyle w:val="Encabezado"/>
              <w:spacing w:line="360" w:lineRule="auto"/>
              <w:jc w:val="center"/>
              <w:rPr>
                <w:rFonts w:ascii="Arial" w:hAnsi="Arial" w:cs="Arial"/>
                <w:b/>
                <w:bCs/>
                <w:lang w:val="es-ES_tradnl"/>
              </w:rPr>
            </w:pPr>
            <w:r w:rsidRPr="004B70EC">
              <w:rPr>
                <w:rFonts w:ascii="Arial" w:hAnsi="Arial" w:cs="Arial"/>
                <w:b/>
                <w:bCs/>
                <w:lang w:val="es-ES_tradnl"/>
              </w:rPr>
              <w:t>Años</w:t>
            </w:r>
          </w:p>
        </w:tc>
        <w:tc>
          <w:tcPr>
            <w:tcW w:w="1372" w:type="dxa"/>
            <w:shd w:val="clear" w:color="auto" w:fill="F5F8EE"/>
            <w:vAlign w:val="center"/>
          </w:tcPr>
          <w:p w:rsidR="004B70EC" w:rsidRPr="004B70EC" w:rsidRDefault="004B70EC" w:rsidP="00545533">
            <w:pPr>
              <w:pStyle w:val="Encabezado"/>
              <w:spacing w:line="360" w:lineRule="auto"/>
              <w:jc w:val="center"/>
              <w:rPr>
                <w:rFonts w:ascii="Arial" w:hAnsi="Arial" w:cs="Arial"/>
                <w:b/>
                <w:bCs/>
                <w:lang w:val="es-ES_tradnl"/>
              </w:rPr>
            </w:pPr>
            <w:r w:rsidRPr="004B70EC">
              <w:rPr>
                <w:rFonts w:ascii="Arial" w:hAnsi="Arial" w:cs="Arial"/>
                <w:b/>
                <w:bCs/>
                <w:lang w:val="es-ES_tradnl"/>
              </w:rPr>
              <w:t>Recaudo a precios corrientes</w:t>
            </w:r>
          </w:p>
        </w:tc>
        <w:tc>
          <w:tcPr>
            <w:tcW w:w="2029" w:type="dxa"/>
            <w:shd w:val="clear" w:color="auto" w:fill="F5F8EE"/>
            <w:vAlign w:val="center"/>
          </w:tcPr>
          <w:p w:rsidR="004B70EC" w:rsidRPr="004B70EC" w:rsidRDefault="004B70EC" w:rsidP="00545533">
            <w:pPr>
              <w:pStyle w:val="Encabezado"/>
              <w:spacing w:line="360" w:lineRule="auto"/>
              <w:jc w:val="center"/>
              <w:rPr>
                <w:rFonts w:ascii="Arial" w:hAnsi="Arial" w:cs="Arial"/>
                <w:b/>
                <w:bCs/>
                <w:lang w:val="es-ES_tradnl"/>
              </w:rPr>
            </w:pPr>
            <w:r w:rsidRPr="004B70EC">
              <w:rPr>
                <w:rFonts w:ascii="Arial" w:hAnsi="Arial" w:cs="Arial"/>
                <w:b/>
                <w:bCs/>
                <w:lang w:val="es-ES_tradnl"/>
              </w:rPr>
              <w:t>Índice de inflación</w:t>
            </w:r>
          </w:p>
        </w:tc>
        <w:tc>
          <w:tcPr>
            <w:tcW w:w="2268" w:type="dxa"/>
            <w:shd w:val="clear" w:color="auto" w:fill="F5F8EE"/>
            <w:vAlign w:val="center"/>
          </w:tcPr>
          <w:p w:rsidR="004B70EC" w:rsidRPr="004B70EC" w:rsidRDefault="004B70EC" w:rsidP="00545533">
            <w:pPr>
              <w:pStyle w:val="Encabezado"/>
              <w:spacing w:line="360" w:lineRule="auto"/>
              <w:jc w:val="center"/>
              <w:rPr>
                <w:rFonts w:ascii="Arial" w:hAnsi="Arial" w:cs="Arial"/>
                <w:b/>
                <w:bCs/>
                <w:lang w:val="es-ES_tradnl"/>
              </w:rPr>
            </w:pPr>
            <w:r w:rsidRPr="004B70EC">
              <w:rPr>
                <w:rFonts w:ascii="Arial" w:hAnsi="Arial" w:cs="Arial"/>
                <w:b/>
                <w:bCs/>
                <w:lang w:val="es-ES_tradnl"/>
              </w:rPr>
              <w:t>Recaudo a precios de 1993</w:t>
            </w:r>
          </w:p>
        </w:tc>
      </w:tr>
      <w:tr w:rsidR="004B70EC" w:rsidRPr="004B70EC" w:rsidTr="004B70EC">
        <w:trPr>
          <w:trHeight w:val="198"/>
          <w:jc w:val="center"/>
        </w:trPr>
        <w:tc>
          <w:tcPr>
            <w:tcW w:w="2236" w:type="dxa"/>
            <w:tcBorders>
              <w:top w:val="nil"/>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1994</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292</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1,2259</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238</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1995</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2.473</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1,1946</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1.689</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1996</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2.692</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1,2163</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1.511</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1997</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5.909</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1,1768</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2.820</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1998</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5.780</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1,1670</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2.362</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1999</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6.361</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1,0923</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2.381</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2000</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8.655</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1,0875</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2.978</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2001</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8.184</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1,0765</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2.616</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2002</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7.269</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1,0699</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2.172</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2003</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12.625</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1,0649</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3.542</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2004</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16.894</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1,0550</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4.493</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2005</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17.810</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1,0485</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4.518</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2006</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22.417</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1,0498</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5.417</w:t>
            </w:r>
          </w:p>
        </w:tc>
      </w:tr>
      <w:tr w:rsidR="004B70EC" w:rsidRPr="004B70EC" w:rsidTr="004B70EC">
        <w:trPr>
          <w:trHeight w:val="198"/>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2007</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29.766</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1,0567</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6.806</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2008</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33.149</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1,0767</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7.040</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2009</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41.337</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1,0200</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8.606</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2010</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37.488</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1,0317</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7.581</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2011</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35.696</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1,0370</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7.581</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2012</w:t>
            </w:r>
          </w:p>
        </w:tc>
        <w:tc>
          <w:tcPr>
            <w:tcW w:w="1372"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33.999</w:t>
            </w:r>
          </w:p>
        </w:tc>
        <w:tc>
          <w:tcPr>
            <w:tcW w:w="2029" w:type="dxa"/>
            <w:shd w:val="clear" w:color="auto" w:fill="E6EED5"/>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1,0244</w:t>
            </w:r>
          </w:p>
        </w:tc>
        <w:tc>
          <w:tcPr>
            <w:tcW w:w="2268" w:type="dxa"/>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6.947</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2013</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34.867</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1,0243</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6.375</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2014</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41.781</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1,0366</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7.475</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2015</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47.380</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1,0677</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7.940</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2016</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56.096</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1,0575</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8.889</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Cs/>
                <w:lang w:val="es-ES_tradnl"/>
              </w:rPr>
            </w:pPr>
            <w:r w:rsidRPr="004B70EC">
              <w:rPr>
                <w:rFonts w:ascii="Arial" w:hAnsi="Arial" w:cs="Arial"/>
                <w:bCs/>
                <w:lang w:val="es-ES_tradnl"/>
              </w:rPr>
              <w:t>2017</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55.187</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1.0409</w:t>
            </w: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lang w:val="es-ES_tradnl"/>
              </w:rPr>
            </w:pPr>
            <w:r w:rsidRPr="004B70EC">
              <w:rPr>
                <w:rFonts w:ascii="Arial" w:hAnsi="Arial" w:cs="Arial"/>
                <w:lang w:val="es-ES_tradnl"/>
              </w:rPr>
              <w:t>6.207</w:t>
            </w:r>
          </w:p>
        </w:tc>
      </w:tr>
      <w:tr w:rsidR="004B70EC" w:rsidRPr="004B70EC" w:rsidTr="004B70EC">
        <w:trPr>
          <w:trHeight w:val="197"/>
          <w:jc w:val="center"/>
        </w:trPr>
        <w:tc>
          <w:tcPr>
            <w:tcW w:w="2236" w:type="dxa"/>
            <w:tcBorders>
              <w:left w:val="nil"/>
              <w:bottom w:val="nil"/>
              <w:right w:val="nil"/>
            </w:tcBorders>
            <w:shd w:val="clear" w:color="auto" w:fill="FFFFFF"/>
          </w:tcPr>
          <w:p w:rsidR="004B70EC" w:rsidRPr="004B70EC" w:rsidRDefault="004B70EC" w:rsidP="00545533">
            <w:pPr>
              <w:pStyle w:val="Encabezado"/>
              <w:spacing w:line="360" w:lineRule="auto"/>
              <w:jc w:val="both"/>
              <w:rPr>
                <w:rFonts w:ascii="Arial" w:hAnsi="Arial" w:cs="Arial"/>
                <w:b/>
                <w:bCs/>
                <w:lang w:val="es-ES_tradnl"/>
              </w:rPr>
            </w:pPr>
            <w:r w:rsidRPr="004B70EC">
              <w:rPr>
                <w:rFonts w:ascii="Arial" w:hAnsi="Arial" w:cs="Arial"/>
                <w:b/>
                <w:bCs/>
                <w:lang w:val="es-ES_tradnl"/>
              </w:rPr>
              <w:t>Subtotal</w:t>
            </w:r>
          </w:p>
        </w:tc>
        <w:tc>
          <w:tcPr>
            <w:tcW w:w="1372"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b/>
                <w:lang w:val="es-ES_tradnl"/>
              </w:rPr>
            </w:pPr>
            <w:r w:rsidRPr="004B70EC">
              <w:rPr>
                <w:rFonts w:ascii="Arial" w:hAnsi="Arial" w:cs="Arial"/>
                <w:b/>
                <w:lang w:val="es-ES_tradnl"/>
              </w:rPr>
              <w:t>508.920</w:t>
            </w:r>
          </w:p>
        </w:tc>
        <w:tc>
          <w:tcPr>
            <w:tcW w:w="2029"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b/>
                <w:lang w:val="es-ES_tradnl"/>
              </w:rPr>
            </w:pPr>
          </w:p>
        </w:tc>
        <w:tc>
          <w:tcPr>
            <w:tcW w:w="2268" w:type="dxa"/>
            <w:tcBorders>
              <w:left w:val="single" w:sz="6" w:space="0" w:color="9BBB59"/>
              <w:right w:val="single" w:sz="6" w:space="0" w:color="9BBB59"/>
            </w:tcBorders>
            <w:shd w:val="clear" w:color="auto" w:fill="CDDDAC"/>
          </w:tcPr>
          <w:p w:rsidR="004B70EC" w:rsidRPr="004B70EC" w:rsidRDefault="004B70EC" w:rsidP="00545533">
            <w:pPr>
              <w:pStyle w:val="Encabezado"/>
              <w:spacing w:line="360" w:lineRule="auto"/>
              <w:jc w:val="right"/>
              <w:rPr>
                <w:rFonts w:ascii="Arial" w:hAnsi="Arial" w:cs="Arial"/>
                <w:b/>
                <w:lang w:val="es-ES_tradnl"/>
              </w:rPr>
            </w:pPr>
            <w:r w:rsidRPr="004B70EC">
              <w:rPr>
                <w:rFonts w:ascii="Arial" w:hAnsi="Arial" w:cs="Arial"/>
                <w:b/>
                <w:lang w:val="es-ES_tradnl"/>
              </w:rPr>
              <w:t>117.139</w:t>
            </w:r>
          </w:p>
        </w:tc>
      </w:tr>
    </w:tbl>
    <w:p w:rsidR="004B70EC" w:rsidRPr="004B70EC" w:rsidRDefault="004B70EC" w:rsidP="004B70EC">
      <w:pPr>
        <w:pStyle w:val="Encabezado"/>
        <w:spacing w:after="240" w:line="360" w:lineRule="auto"/>
        <w:jc w:val="both"/>
        <w:rPr>
          <w:rFonts w:ascii="Arial" w:hAnsi="Arial" w:cs="Arial"/>
          <w:sz w:val="24"/>
          <w:szCs w:val="24"/>
          <w:lang w:val="es-ES_tradnl"/>
        </w:rPr>
      </w:pPr>
    </w:p>
    <w:p w:rsidR="004B70EC" w:rsidRPr="004B70EC" w:rsidRDefault="004B70EC" w:rsidP="004B70EC">
      <w:pPr>
        <w:pStyle w:val="Encabezado"/>
        <w:spacing w:after="240"/>
        <w:jc w:val="both"/>
        <w:rPr>
          <w:rFonts w:ascii="Arial" w:hAnsi="Arial" w:cs="Arial"/>
          <w:sz w:val="24"/>
          <w:szCs w:val="24"/>
          <w:lang w:val="es-ES_tradnl"/>
        </w:rPr>
      </w:pPr>
      <w:r w:rsidRPr="004B70EC">
        <w:rPr>
          <w:rFonts w:ascii="Arial" w:hAnsi="Arial" w:cs="Arial"/>
          <w:sz w:val="24"/>
          <w:szCs w:val="24"/>
          <w:lang w:val="es-ES_tradnl"/>
        </w:rPr>
        <w:t xml:space="preserve">Las entidades recaudadoras de </w:t>
      </w:r>
      <w:smartTag w:uri="urn:schemas-microsoft-com:office:smarttags" w:element="PersonName">
        <w:smartTagPr>
          <w:attr w:name="ProductID" w:val="la Estampilla"/>
        </w:smartTagPr>
        <w:r w:rsidRPr="004B70EC">
          <w:rPr>
            <w:rFonts w:ascii="Arial" w:hAnsi="Arial" w:cs="Arial"/>
            <w:sz w:val="24"/>
            <w:szCs w:val="24"/>
            <w:lang w:val="es-ES_tradnl"/>
          </w:rPr>
          <w:t>la Estampilla</w:t>
        </w:r>
      </w:smartTag>
      <w:r w:rsidRPr="004B70EC">
        <w:rPr>
          <w:rFonts w:ascii="Arial" w:hAnsi="Arial" w:cs="Arial"/>
          <w:sz w:val="24"/>
          <w:szCs w:val="24"/>
          <w:lang w:val="es-ES_tradnl"/>
        </w:rPr>
        <w:t xml:space="preserve"> han contribuido en el periodo en mención, así:</w:t>
      </w:r>
    </w:p>
    <w:p w:rsidR="004B70EC" w:rsidRPr="004B70EC" w:rsidRDefault="004B70EC" w:rsidP="004B70EC">
      <w:pPr>
        <w:pStyle w:val="Encabezado"/>
        <w:spacing w:after="240"/>
        <w:jc w:val="both"/>
        <w:rPr>
          <w:rFonts w:ascii="Arial" w:hAnsi="Arial" w:cs="Arial"/>
          <w:sz w:val="24"/>
          <w:szCs w:val="24"/>
          <w:lang w:val="es-ES_tradnl"/>
        </w:rPr>
      </w:pPr>
      <w:r w:rsidRPr="004B70EC">
        <w:rPr>
          <w:rFonts w:ascii="Arial" w:hAnsi="Arial" w:cs="Arial"/>
          <w:sz w:val="24"/>
          <w:szCs w:val="24"/>
          <w:lang w:val="es-ES_tradnl"/>
        </w:rPr>
        <w:t>El Departamento de Antioquia, con sus empresas Edatel, Benedán y Fábrica de Licores de Antioquia, participa con el 34 %, que equivale a 191.711 millones de pesos.</w:t>
      </w:r>
    </w:p>
    <w:p w:rsidR="004B70EC" w:rsidRPr="004B70EC" w:rsidRDefault="004B70EC" w:rsidP="004B70EC">
      <w:pPr>
        <w:pStyle w:val="Encabezado"/>
        <w:spacing w:after="240"/>
        <w:jc w:val="both"/>
        <w:rPr>
          <w:rFonts w:ascii="Arial" w:hAnsi="Arial" w:cs="Arial"/>
          <w:sz w:val="24"/>
          <w:szCs w:val="24"/>
          <w:lang w:val="es-ES_tradnl"/>
        </w:rPr>
      </w:pPr>
      <w:r w:rsidRPr="004B70EC">
        <w:rPr>
          <w:rFonts w:ascii="Arial" w:hAnsi="Arial" w:cs="Arial"/>
          <w:sz w:val="24"/>
          <w:szCs w:val="24"/>
          <w:lang w:val="es-ES_tradnl"/>
        </w:rPr>
        <w:t>La Administración Municipal de Medellín, con las Empresas Públicas y las Empresas Varias de Medellín y demás entidades descentralizadas, ha recaudado 338.662 millones de pesos que representan el 60 %.</w:t>
      </w:r>
    </w:p>
    <w:p w:rsidR="004B70EC" w:rsidRPr="004B70EC" w:rsidRDefault="004B70EC" w:rsidP="004B70EC">
      <w:pPr>
        <w:pStyle w:val="Encabezado"/>
        <w:spacing w:after="240"/>
        <w:jc w:val="both"/>
        <w:rPr>
          <w:rFonts w:ascii="Arial" w:hAnsi="Arial" w:cs="Arial"/>
          <w:sz w:val="24"/>
          <w:szCs w:val="24"/>
          <w:lang w:val="es-ES_tradnl"/>
        </w:rPr>
      </w:pPr>
      <w:r w:rsidRPr="004B70EC">
        <w:rPr>
          <w:rFonts w:ascii="Arial" w:hAnsi="Arial" w:cs="Arial"/>
          <w:sz w:val="24"/>
          <w:szCs w:val="24"/>
          <w:lang w:val="es-ES_tradnl"/>
        </w:rPr>
        <w:t xml:space="preserve">Otros municipios del Departamento de Antioquia que, en virtud del artículo cuarto de la Ley l22 de 1994 han decidido apoyar el engrandecimiento de la Universidad. Entre los del Área Metropolitana y el resto del departamento contribuyen con 33.734 millones de pesos con una participación  del 6% en el total recaudado que suma 564.107 millones de pesos a precios corrientes (figura 2 y 3). </w:t>
      </w:r>
    </w:p>
    <w:p w:rsidR="004B70EC" w:rsidRPr="004B70EC" w:rsidRDefault="004B70EC" w:rsidP="004B70EC">
      <w:pPr>
        <w:pStyle w:val="Encabezado"/>
        <w:spacing w:after="240"/>
        <w:jc w:val="both"/>
        <w:rPr>
          <w:rFonts w:ascii="Arial" w:hAnsi="Arial" w:cs="Arial"/>
          <w:sz w:val="24"/>
          <w:szCs w:val="24"/>
          <w:lang w:val="es-ES_tradnl"/>
        </w:rPr>
      </w:pPr>
      <w:r w:rsidRPr="004B70EC">
        <w:rPr>
          <w:rFonts w:ascii="Arial" w:hAnsi="Arial" w:cs="Arial"/>
          <w:sz w:val="24"/>
          <w:szCs w:val="24"/>
          <w:lang w:val="es-ES_tradnl"/>
        </w:rPr>
        <w:t xml:space="preserve">En la tabla 2 se discrimina el valor anual de la contribución de las entidades recaudadoras (territoriales y sus descentralizadas) con  la </w:t>
      </w:r>
      <w:r w:rsidRPr="004B70EC">
        <w:rPr>
          <w:rFonts w:ascii="Arial" w:hAnsi="Arial" w:cs="Arial"/>
          <w:b/>
          <w:sz w:val="24"/>
          <w:szCs w:val="24"/>
          <w:lang w:val="es-ES_tradnl"/>
        </w:rPr>
        <w:t>Estampilla Universidad de Antioquia de Cara al Tercer Siglo de Labor</w:t>
      </w:r>
      <w:r w:rsidRPr="004B70EC">
        <w:rPr>
          <w:rFonts w:ascii="Arial" w:hAnsi="Arial" w:cs="Arial"/>
          <w:sz w:val="24"/>
          <w:szCs w:val="24"/>
          <w:lang w:val="es-ES_tradnl"/>
        </w:rPr>
        <w:t xml:space="preserve"> para el periodo 1994-2017, a precios corrientes </w:t>
      </w:r>
    </w:p>
    <w:p w:rsidR="004B70EC" w:rsidRPr="004B70EC" w:rsidRDefault="004B70EC" w:rsidP="004B70EC">
      <w:pPr>
        <w:pStyle w:val="Encabezado"/>
        <w:spacing w:after="240"/>
        <w:jc w:val="center"/>
        <w:rPr>
          <w:rFonts w:ascii="Arial" w:hAnsi="Arial" w:cs="Arial"/>
          <w:b/>
          <w:sz w:val="24"/>
          <w:szCs w:val="24"/>
          <w:lang w:val="es-ES_tradnl"/>
        </w:rPr>
      </w:pPr>
      <w:r w:rsidRPr="004B70EC">
        <w:rPr>
          <w:rFonts w:ascii="Arial" w:hAnsi="Arial" w:cs="Arial"/>
          <w:b/>
          <w:sz w:val="24"/>
          <w:szCs w:val="24"/>
          <w:lang w:val="es-ES_tradnl"/>
        </w:rPr>
        <w:t>Figura 2. La Estampilla Universidad de Antioquia de Cara al Tercer Siglo de Labor 1994-2017</w:t>
      </w:r>
    </w:p>
    <w:p w:rsidR="004B70EC" w:rsidRPr="004B70EC" w:rsidRDefault="004B70EC" w:rsidP="004B70EC">
      <w:pPr>
        <w:pStyle w:val="Encabezado"/>
        <w:jc w:val="center"/>
        <w:rPr>
          <w:rFonts w:ascii="Arial" w:hAnsi="Arial" w:cs="Arial"/>
          <w:b/>
          <w:sz w:val="24"/>
          <w:szCs w:val="24"/>
          <w:lang w:val="es-ES_tradnl"/>
        </w:rPr>
      </w:pPr>
      <w:r w:rsidRPr="004B70EC">
        <w:rPr>
          <w:rFonts w:ascii="Arial" w:hAnsi="Arial" w:cs="Arial"/>
          <w:b/>
          <w:sz w:val="24"/>
          <w:szCs w:val="24"/>
          <w:lang w:val="es-ES_tradnl"/>
        </w:rPr>
        <w:t>Distribución por entidades recaudadoras</w:t>
      </w:r>
    </w:p>
    <w:p w:rsidR="004B70EC" w:rsidRPr="004B70EC" w:rsidRDefault="004B70EC" w:rsidP="004B70EC">
      <w:pPr>
        <w:pStyle w:val="Encabezado"/>
        <w:spacing w:line="360" w:lineRule="auto"/>
        <w:jc w:val="center"/>
        <w:rPr>
          <w:rFonts w:ascii="Arial" w:hAnsi="Arial" w:cs="Arial"/>
          <w:b/>
          <w:sz w:val="24"/>
          <w:szCs w:val="24"/>
          <w:lang w:val="es-ES_tradnl"/>
        </w:rPr>
      </w:pPr>
    </w:p>
    <w:p w:rsidR="004B70EC" w:rsidRPr="004B70EC" w:rsidRDefault="004B70EC" w:rsidP="004B70EC">
      <w:pPr>
        <w:pStyle w:val="Encabezado"/>
        <w:spacing w:line="360" w:lineRule="auto"/>
        <w:jc w:val="center"/>
        <w:rPr>
          <w:rFonts w:ascii="Arial" w:hAnsi="Arial" w:cs="Arial"/>
          <w:b/>
          <w:sz w:val="24"/>
          <w:szCs w:val="24"/>
          <w:lang w:val="es-ES_tradnl"/>
        </w:rPr>
      </w:pPr>
      <w:r w:rsidRPr="004B70EC">
        <w:rPr>
          <w:rFonts w:ascii="Arial" w:hAnsi="Arial" w:cs="Arial"/>
          <w:noProof/>
          <w:lang w:val="es-CO" w:eastAsia="es-CO"/>
        </w:rPr>
        <w:drawing>
          <wp:inline distT="0" distB="0" distL="0" distR="0" wp14:anchorId="42EE7EDA" wp14:editId="52853681">
            <wp:extent cx="5495925" cy="2324100"/>
            <wp:effectExtent l="0" t="0" r="9525"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4B70EC" w:rsidRPr="004B70EC" w:rsidRDefault="0087071B" w:rsidP="00545533">
      <w:pPr>
        <w:pStyle w:val="Encabezado"/>
        <w:spacing w:before="240" w:after="240" w:line="360" w:lineRule="auto"/>
        <w:jc w:val="center"/>
        <w:rPr>
          <w:rFonts w:ascii="Arial" w:hAnsi="Arial" w:cs="Arial"/>
          <w:lang w:val="es-ES_tradnl"/>
        </w:rPr>
      </w:pPr>
      <w:r>
        <w:rPr>
          <w:rFonts w:ascii="Arial" w:hAnsi="Arial" w:cs="Arial"/>
          <w:b/>
          <w:sz w:val="24"/>
          <w:szCs w:val="24"/>
          <w:lang w:val="es-ES_tradnl"/>
        </w:rPr>
        <w:t>F</w:t>
      </w:r>
      <w:r w:rsidR="004B70EC" w:rsidRPr="004B70EC">
        <w:rPr>
          <w:rFonts w:ascii="Arial" w:hAnsi="Arial" w:cs="Arial"/>
          <w:b/>
          <w:sz w:val="24"/>
          <w:szCs w:val="24"/>
          <w:lang w:val="es-ES_tradnl"/>
        </w:rPr>
        <w:t>igura 3. Ingresos de La Estampilla Universidad de Antioquia de Cara al Tercer Siglo de Labor 1994-2017 —millones de pesos</w:t>
      </w:r>
      <w:r w:rsidR="004B70EC" w:rsidRPr="004B70EC">
        <w:rPr>
          <w:rFonts w:ascii="Arial" w:hAnsi="Arial" w:cs="Arial"/>
          <w:noProof/>
          <w:lang w:val="es-CO" w:eastAsia="es-CO"/>
        </w:rPr>
        <w:drawing>
          <wp:inline distT="0" distB="0" distL="0" distR="0" wp14:anchorId="544CA679" wp14:editId="1B9B4B39">
            <wp:extent cx="6330960" cy="3152633"/>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33490" cy="3153893"/>
                    </a:xfrm>
                    <a:prstGeom prst="rect">
                      <a:avLst/>
                    </a:prstGeom>
                    <a:noFill/>
                    <a:ln>
                      <a:noFill/>
                    </a:ln>
                  </pic:spPr>
                </pic:pic>
              </a:graphicData>
            </a:graphic>
          </wp:inline>
        </w:drawing>
      </w:r>
    </w:p>
    <w:p w:rsidR="004B70EC" w:rsidRPr="004B70EC" w:rsidRDefault="004B70EC" w:rsidP="004B70EC">
      <w:pPr>
        <w:pStyle w:val="Encabezado"/>
        <w:spacing w:line="360" w:lineRule="auto"/>
        <w:rPr>
          <w:rFonts w:ascii="Arial" w:hAnsi="Arial" w:cs="Arial"/>
          <w:sz w:val="22"/>
          <w:szCs w:val="22"/>
          <w:lang w:val="es-ES_tradnl"/>
        </w:rPr>
        <w:sectPr w:rsidR="004B70EC" w:rsidRPr="004B70EC" w:rsidSect="0087071B">
          <w:headerReference w:type="default" r:id="rId10"/>
          <w:footerReference w:type="default" r:id="rId11"/>
          <w:pgSz w:w="12240" w:h="18720" w:code="41"/>
          <w:pgMar w:top="454" w:right="1134" w:bottom="454" w:left="1134" w:header="720" w:footer="720" w:gutter="0"/>
          <w:cols w:space="720"/>
          <w:docGrid w:linePitch="326"/>
        </w:sectPr>
      </w:pPr>
    </w:p>
    <w:p w:rsidR="004B70EC" w:rsidRPr="004B70EC" w:rsidRDefault="004B70EC" w:rsidP="004B70EC">
      <w:pPr>
        <w:pStyle w:val="Encabezado"/>
        <w:spacing w:line="360" w:lineRule="auto"/>
        <w:jc w:val="center"/>
        <w:rPr>
          <w:rFonts w:ascii="Arial" w:hAnsi="Arial" w:cs="Arial"/>
          <w:b/>
          <w:sz w:val="22"/>
          <w:szCs w:val="22"/>
          <w:lang w:val="es-ES_tradnl"/>
        </w:rPr>
      </w:pPr>
      <w:r w:rsidRPr="004B70EC">
        <w:rPr>
          <w:rFonts w:ascii="Arial" w:hAnsi="Arial" w:cs="Arial"/>
          <w:b/>
          <w:sz w:val="22"/>
          <w:szCs w:val="22"/>
          <w:lang w:val="es-ES_tradnl"/>
        </w:rPr>
        <w:t>Tabla2. Ingresos por origen de la Estampilla Universidad de Antioquia de Cara al Tercer Siglo de Labor 1994-2017—millones de pesos—</w:t>
      </w:r>
    </w:p>
    <w:p w:rsidR="004B70EC" w:rsidRPr="004B70EC" w:rsidRDefault="004B70EC" w:rsidP="0081111E">
      <w:pPr>
        <w:ind w:left="142"/>
        <w:rPr>
          <w:rFonts w:ascii="Arial" w:hAnsi="Arial" w:cs="Arial"/>
          <w:lang w:val="es-ES_tradnl"/>
        </w:rPr>
      </w:pPr>
    </w:p>
    <w:tbl>
      <w:tblPr>
        <w:tblW w:w="16592" w:type="dxa"/>
        <w:tblInd w:w="1204" w:type="dxa"/>
        <w:tblCellMar>
          <w:left w:w="70" w:type="dxa"/>
          <w:right w:w="70" w:type="dxa"/>
        </w:tblCellMar>
        <w:tblLook w:val="04A0" w:firstRow="1" w:lastRow="0" w:firstColumn="1" w:lastColumn="0" w:noHBand="0" w:noVBand="1"/>
      </w:tblPr>
      <w:tblGrid>
        <w:gridCol w:w="1599"/>
        <w:gridCol w:w="496"/>
        <w:gridCol w:w="541"/>
        <w:gridCol w:w="541"/>
        <w:gridCol w:w="541"/>
        <w:gridCol w:w="541"/>
        <w:gridCol w:w="541"/>
        <w:gridCol w:w="541"/>
        <w:gridCol w:w="541"/>
        <w:gridCol w:w="541"/>
        <w:gridCol w:w="630"/>
        <w:gridCol w:w="630"/>
        <w:gridCol w:w="630"/>
        <w:gridCol w:w="630"/>
        <w:gridCol w:w="630"/>
        <w:gridCol w:w="630"/>
        <w:gridCol w:w="630"/>
        <w:gridCol w:w="630"/>
        <w:gridCol w:w="630"/>
        <w:gridCol w:w="630"/>
        <w:gridCol w:w="630"/>
        <w:gridCol w:w="630"/>
        <w:gridCol w:w="630"/>
        <w:gridCol w:w="630"/>
        <w:gridCol w:w="630"/>
        <w:gridCol w:w="719"/>
      </w:tblGrid>
      <w:tr w:rsidR="004B70EC" w:rsidRPr="004B70EC" w:rsidTr="0081111E">
        <w:trPr>
          <w:trHeight w:val="381"/>
        </w:trPr>
        <w:tc>
          <w:tcPr>
            <w:tcW w:w="1599" w:type="dxa"/>
            <w:vMerge w:val="restart"/>
            <w:tcBorders>
              <w:top w:val="single" w:sz="4" w:space="0" w:color="auto"/>
              <w:left w:val="single" w:sz="4" w:space="0" w:color="auto"/>
              <w:bottom w:val="single" w:sz="4" w:space="0" w:color="auto"/>
              <w:right w:val="single" w:sz="4" w:space="0" w:color="auto"/>
            </w:tcBorders>
            <w:shd w:val="clear" w:color="000000" w:fill="C4D79B"/>
            <w:vAlign w:val="center"/>
            <w:hideMark/>
          </w:tcPr>
          <w:p w:rsidR="004B70EC" w:rsidRPr="004B70EC" w:rsidRDefault="004B70EC" w:rsidP="0081111E">
            <w:pPr>
              <w:ind w:left="289"/>
              <w:jc w:val="center"/>
              <w:rPr>
                <w:rFonts w:ascii="Arial" w:hAnsi="Arial" w:cs="Arial"/>
                <w:b/>
                <w:bCs/>
                <w:sz w:val="16"/>
                <w:szCs w:val="16"/>
              </w:rPr>
            </w:pPr>
            <w:r w:rsidRPr="004B70EC">
              <w:rPr>
                <w:rFonts w:ascii="Arial" w:hAnsi="Arial" w:cs="Arial"/>
                <w:b/>
                <w:bCs/>
                <w:sz w:val="16"/>
                <w:szCs w:val="16"/>
              </w:rPr>
              <w:t>Entidad</w:t>
            </w:r>
          </w:p>
        </w:tc>
        <w:tc>
          <w:tcPr>
            <w:tcW w:w="13644" w:type="dxa"/>
            <w:gridSpan w:val="23"/>
            <w:tcBorders>
              <w:top w:val="single" w:sz="4" w:space="0" w:color="auto"/>
              <w:left w:val="nil"/>
              <w:bottom w:val="single" w:sz="4" w:space="0" w:color="auto"/>
              <w:right w:val="single" w:sz="4" w:space="0" w:color="000000"/>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Años</w:t>
            </w:r>
          </w:p>
        </w:tc>
        <w:tc>
          <w:tcPr>
            <w:tcW w:w="630" w:type="dxa"/>
            <w:tcBorders>
              <w:top w:val="single" w:sz="4" w:space="0" w:color="auto"/>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 </w:t>
            </w:r>
          </w:p>
        </w:tc>
        <w:tc>
          <w:tcPr>
            <w:tcW w:w="719" w:type="dxa"/>
            <w:vMerge w:val="restart"/>
            <w:tcBorders>
              <w:top w:val="single" w:sz="4" w:space="0" w:color="auto"/>
              <w:left w:val="single" w:sz="4" w:space="0" w:color="auto"/>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Total</w:t>
            </w:r>
          </w:p>
        </w:tc>
      </w:tr>
      <w:tr w:rsidR="004B70EC" w:rsidRPr="004B70EC" w:rsidTr="0081111E">
        <w:trPr>
          <w:trHeight w:val="690"/>
        </w:trPr>
        <w:tc>
          <w:tcPr>
            <w:tcW w:w="1599" w:type="dxa"/>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rsidP="00545533">
            <w:pPr>
              <w:rPr>
                <w:rFonts w:ascii="Arial" w:hAnsi="Arial" w:cs="Arial"/>
                <w:b/>
                <w:bCs/>
                <w:sz w:val="16"/>
                <w:szCs w:val="16"/>
              </w:rPr>
            </w:pPr>
          </w:p>
        </w:tc>
        <w:tc>
          <w:tcPr>
            <w:tcW w:w="496"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1994</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1995</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1996</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1997</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1998</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1999</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2000</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2001</w:t>
            </w:r>
          </w:p>
        </w:tc>
        <w:tc>
          <w:tcPr>
            <w:tcW w:w="541"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2002</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2003</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2004</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2005</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2006</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2007</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2008</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2009</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2010</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2011</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2012</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2013</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2014</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2015</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2016</w:t>
            </w:r>
          </w:p>
        </w:tc>
        <w:tc>
          <w:tcPr>
            <w:tcW w:w="630" w:type="dxa"/>
            <w:tcBorders>
              <w:top w:val="nil"/>
              <w:left w:val="nil"/>
              <w:bottom w:val="single" w:sz="4" w:space="0" w:color="auto"/>
              <w:right w:val="single" w:sz="4" w:space="0" w:color="auto"/>
            </w:tcBorders>
            <w:shd w:val="clear" w:color="000000" w:fill="C4D79B"/>
            <w:vAlign w:val="center"/>
            <w:hideMark/>
          </w:tcPr>
          <w:p w:rsidR="004B70EC" w:rsidRPr="004B70EC" w:rsidRDefault="004B70EC" w:rsidP="00545533">
            <w:pPr>
              <w:jc w:val="center"/>
              <w:rPr>
                <w:rFonts w:ascii="Arial" w:hAnsi="Arial" w:cs="Arial"/>
                <w:b/>
                <w:bCs/>
                <w:sz w:val="16"/>
                <w:szCs w:val="16"/>
              </w:rPr>
            </w:pPr>
            <w:r w:rsidRPr="004B70EC">
              <w:rPr>
                <w:rFonts w:ascii="Arial" w:hAnsi="Arial" w:cs="Arial"/>
                <w:b/>
                <w:bCs/>
                <w:sz w:val="16"/>
                <w:szCs w:val="16"/>
              </w:rPr>
              <w:t>2017</w:t>
            </w:r>
          </w:p>
        </w:tc>
        <w:tc>
          <w:tcPr>
            <w:tcW w:w="719" w:type="dxa"/>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rsidP="00545533">
            <w:pPr>
              <w:rPr>
                <w:rFonts w:ascii="Arial" w:hAnsi="Arial" w:cs="Arial"/>
                <w:b/>
                <w:bCs/>
                <w:sz w:val="16"/>
                <w:szCs w:val="16"/>
              </w:rPr>
            </w:pPr>
          </w:p>
        </w:tc>
      </w:tr>
      <w:tr w:rsidR="004B70EC" w:rsidRPr="004B70EC" w:rsidTr="0081111E">
        <w:trPr>
          <w:trHeight w:val="780"/>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Departamento de Antioquia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292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2.441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1.849</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3.647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3.047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3.042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4.103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4.709</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4.172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4.499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7.267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6.903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7.119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9.005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9.041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10.131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10.500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11.904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11.834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12.944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15.466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13.233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14.550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16.649</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188.347</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Benedán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548</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512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545</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517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524</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280</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2.942</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Eda-Edatel</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26</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55</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34</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96</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422</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Municipio de Medellín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170</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477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493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608</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440</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586</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796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1.682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2.483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2.183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3.427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4.406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4.098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4.936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5.750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7.629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6.133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6.195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9.717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11.673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12.020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9.552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95.454</w:t>
            </w:r>
          </w:p>
        </w:tc>
      </w:tr>
      <w:tr w:rsidR="004B70EC" w:rsidRPr="004B70EC" w:rsidTr="0081111E">
        <w:trPr>
          <w:trHeight w:val="630"/>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Empresas Públicas de Medellín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44</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971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1.461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1.957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3.333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2.254</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1.909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5.533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5.930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6.969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9.227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9.006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11.224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14.521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13.203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10.188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11.527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11.733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13.389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18.099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25.524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23.806</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201.808</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Empresas Varias de Medellín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136</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148</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488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554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499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518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525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601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583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626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681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826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871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966</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10.818</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Metrosalud</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44</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51</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Instituto Tecnológico</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11</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Itagüí</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25</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34</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78</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315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656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466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904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1.057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386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4.636</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mallCaps/>
                <w:sz w:val="16"/>
                <w:szCs w:val="16"/>
              </w:rPr>
            </w:pPr>
            <w:r w:rsidRPr="004B70EC">
              <w:rPr>
                <w:rFonts w:ascii="Arial" w:hAnsi="Arial" w:cs="Arial"/>
                <w:smallCaps/>
                <w:sz w:val="16"/>
                <w:szCs w:val="16"/>
              </w:rPr>
              <w:t>imvir</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58</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Copacabana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118</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1.177</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Municipio de La Estrella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264</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2.076</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Turbo</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100</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Barbosa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174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225</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640</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Carepa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63</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Apartadó</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269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902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3.423</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Caucasia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200</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1.891</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Jericó</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25</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314</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Rionegro</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387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367</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2.900</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Girardota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98</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927</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Municipio de Envigado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382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348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441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3.615</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Municipio de Bello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337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427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804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578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169</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4.072</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Andes</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37</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579</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Hospital Manuel Uribe</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263</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Aguas de Rionegro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457</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Chigorodó</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495</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Enviaseo</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174</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Sabaneta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50</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906</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Municipio de El Carmen de Viboral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241</w:t>
            </w:r>
          </w:p>
        </w:tc>
      </w:tr>
      <w:tr w:rsidR="004B70EC" w:rsidRPr="004B70EC" w:rsidTr="0081111E">
        <w:trPr>
          <w:trHeight w:val="810"/>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xml:space="preserve">Municipio de Santa Fe de Antioquia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lang w:val="pt-BR"/>
              </w:rPr>
            </w:pPr>
            <w:r w:rsidRPr="004B70EC">
              <w:rPr>
                <w:rFonts w:ascii="Arial" w:hAnsi="Arial" w:cs="Arial"/>
                <w:sz w:val="16"/>
                <w:szCs w:val="16"/>
                <w:lang w:val="pt-BR"/>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110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146</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784</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Inder de Envigado</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163</w:t>
            </w:r>
          </w:p>
        </w:tc>
      </w:tr>
      <w:tr w:rsidR="004B70EC" w:rsidRPr="004B70EC" w:rsidTr="0081111E">
        <w:trPr>
          <w:trHeight w:val="660"/>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Terminal de Transportes de Medellín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195</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Municipio de Ciudad Bolívar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190</w:t>
            </w:r>
          </w:p>
        </w:tc>
      </w:tr>
      <w:tr w:rsidR="004B70EC" w:rsidRPr="004B70EC" w:rsidTr="0081111E">
        <w:trPr>
          <w:trHeight w:val="495"/>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Metroparques</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312</w:t>
            </w:r>
          </w:p>
        </w:tc>
      </w:tr>
      <w:tr w:rsidR="004B70EC" w:rsidRPr="004B70EC" w:rsidTr="0081111E">
        <w:trPr>
          <w:trHeight w:val="720"/>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Escombros Sólidos Adecuados Ltda.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29</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Fundación Medellín VIS</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50</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Sonsón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120</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789</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Fundación Jardín Botánico</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6</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La Ceja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113</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545</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Fiduoccidente S. 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1.039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1.039</w:t>
            </w:r>
          </w:p>
        </w:tc>
      </w:tr>
      <w:tr w:rsidR="004B70EC" w:rsidRPr="004B70EC" w:rsidTr="0081111E">
        <w:trPr>
          <w:trHeight w:val="675"/>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Empresa de Desarrollo Urbano Medellín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1.352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1.066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1.569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1.450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485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806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992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667</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9.007</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Metroplús</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634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500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349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358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2.363</w:t>
            </w:r>
          </w:p>
        </w:tc>
      </w:tr>
      <w:tr w:rsidR="004B70EC" w:rsidRPr="004B70EC" w:rsidTr="0081111E">
        <w:trPr>
          <w:trHeight w:val="645"/>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Fundación Empresas Públicas de Medellín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141</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Amalfi</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84</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667</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Escuela Superior Tecnológico</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Jardín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137</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Evas Enviametales S. 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49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79</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Municipio de Yarumal EE. PP.</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90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122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117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77</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534</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xml:space="preserve">Aguas del Norte Antioqueño </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20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13</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19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32</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194</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Telemedellín</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sz w:val="16"/>
                <w:szCs w:val="16"/>
              </w:rPr>
            </w:pPr>
            <w:r w:rsidRPr="004B70EC">
              <w:rPr>
                <w:rFonts w:ascii="Arial" w:hAnsi="Arial" w:cs="Arial"/>
                <w:sz w:val="16"/>
                <w:szCs w:val="16"/>
              </w:rPr>
              <w:t> </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31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55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82</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sz w:val="16"/>
                <w:szCs w:val="16"/>
              </w:rPr>
            </w:pPr>
            <w:r w:rsidRPr="004B70EC">
              <w:rPr>
                <w:rFonts w:ascii="Arial" w:hAnsi="Arial" w:cs="Arial"/>
                <w:sz w:val="16"/>
                <w:szCs w:val="16"/>
              </w:rPr>
              <w:t>81</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300</w:t>
            </w:r>
          </w:p>
        </w:tc>
      </w:tr>
      <w:tr w:rsidR="004B70EC" w:rsidRPr="004B70EC" w:rsidTr="0081111E">
        <w:trPr>
          <w:trHeight w:val="499"/>
        </w:trPr>
        <w:tc>
          <w:tcPr>
            <w:tcW w:w="1599"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b/>
                <w:bCs/>
                <w:sz w:val="16"/>
                <w:szCs w:val="16"/>
              </w:rPr>
            </w:pPr>
            <w:r w:rsidRPr="004B70EC">
              <w:rPr>
                <w:rFonts w:ascii="Arial" w:hAnsi="Arial" w:cs="Arial"/>
                <w:b/>
                <w:bCs/>
                <w:sz w:val="16"/>
                <w:szCs w:val="16"/>
              </w:rPr>
              <w:t>Recaudo Estampilla</w:t>
            </w:r>
          </w:p>
        </w:tc>
        <w:tc>
          <w:tcPr>
            <w:tcW w:w="496"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292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2.473</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2.692</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5.909</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5.780</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6.361</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8.655</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8.184</w:t>
            </w:r>
          </w:p>
        </w:tc>
        <w:tc>
          <w:tcPr>
            <w:tcW w:w="541"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7.269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12.625</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16.894</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17.810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22.417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29.766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33.149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41.337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37.488</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35.696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33.999</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34.867</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41.781</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47.380</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56.096</w:t>
            </w:r>
          </w:p>
        </w:tc>
        <w:tc>
          <w:tcPr>
            <w:tcW w:w="63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55.187</w:t>
            </w:r>
          </w:p>
        </w:tc>
        <w:tc>
          <w:tcPr>
            <w:tcW w:w="719"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b/>
                <w:bCs/>
                <w:sz w:val="16"/>
                <w:szCs w:val="16"/>
              </w:rPr>
            </w:pPr>
            <w:r w:rsidRPr="004B70EC">
              <w:rPr>
                <w:rFonts w:ascii="Arial" w:hAnsi="Arial" w:cs="Arial"/>
                <w:b/>
                <w:bCs/>
                <w:sz w:val="16"/>
                <w:szCs w:val="16"/>
              </w:rPr>
              <w:t>564.107</w:t>
            </w:r>
          </w:p>
        </w:tc>
      </w:tr>
    </w:tbl>
    <w:p w:rsidR="004B70EC" w:rsidRPr="004B70EC" w:rsidRDefault="004B70EC" w:rsidP="004B70EC">
      <w:pPr>
        <w:spacing w:line="360" w:lineRule="auto"/>
        <w:jc w:val="both"/>
        <w:rPr>
          <w:rFonts w:ascii="Arial" w:hAnsi="Arial" w:cs="Arial"/>
          <w:sz w:val="16"/>
          <w:szCs w:val="16"/>
          <w:lang w:val="es-ES_tradnl"/>
        </w:rPr>
        <w:sectPr w:rsidR="004B70EC" w:rsidRPr="004B70EC" w:rsidSect="0081111E">
          <w:pgSz w:w="20160" w:h="12240" w:orient="landscape" w:code="5"/>
          <w:pgMar w:top="1134" w:right="454" w:bottom="1134" w:left="454" w:header="720" w:footer="720" w:gutter="0"/>
          <w:cols w:space="720"/>
          <w:docGrid w:linePitch="326"/>
        </w:sectPr>
      </w:pP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La distribución de los recursos del recaudo de la Estampilla se ha destinado de acuerdo con los sectores estratégicos del Plan de Desarrollo 1995-2006 La Universidad del Siglo de las Luces</w:t>
      </w:r>
      <w:r w:rsidRPr="004B70EC">
        <w:rPr>
          <w:rFonts w:ascii="Arial" w:hAnsi="Arial" w:cs="Arial"/>
          <w:i/>
          <w:lang w:val="es-ES_tradnl"/>
        </w:rPr>
        <w:t>,</w:t>
      </w:r>
      <w:r w:rsidRPr="004B70EC">
        <w:rPr>
          <w:rFonts w:ascii="Arial" w:hAnsi="Arial" w:cs="Arial"/>
          <w:lang w:val="es-ES_tradnl"/>
        </w:rPr>
        <w:t xml:space="preserve"> Plan de Desarrollo Una Universidad Investigadora, Innovadora y Humanista al Servicio de las Regiones y del País 2006-2017, en los siguientes proyectos que se muestran en la tabla 3.</w:t>
      </w:r>
    </w:p>
    <w:p w:rsidR="004B70EC" w:rsidRPr="004B70EC" w:rsidRDefault="004B70EC" w:rsidP="004B70EC">
      <w:pPr>
        <w:spacing w:after="240"/>
        <w:jc w:val="both"/>
        <w:rPr>
          <w:rFonts w:ascii="Arial" w:hAnsi="Arial" w:cs="Arial"/>
          <w:b/>
          <w:lang w:val="es-ES_tradnl"/>
        </w:rPr>
      </w:pPr>
      <w:r w:rsidRPr="004B70EC">
        <w:rPr>
          <w:rFonts w:ascii="Arial" w:hAnsi="Arial" w:cs="Arial"/>
          <w:b/>
          <w:lang w:val="es-ES_tradnl"/>
        </w:rPr>
        <w:t>Tabla3. Proyectos estratégicos financiados por la Estampilla Universidad de Antioquia de Cara al Tercer Siglo de Labor 1994-2017 —millones de pesos—</w:t>
      </w:r>
    </w:p>
    <w:tbl>
      <w:tblPr>
        <w:tblW w:w="9640" w:type="dxa"/>
        <w:tblBorders>
          <w:top w:val="single" w:sz="8" w:space="0" w:color="B3CC82"/>
          <w:left w:val="single" w:sz="8" w:space="0" w:color="B3CC82"/>
          <w:bottom w:val="single" w:sz="8" w:space="0" w:color="B3CC82"/>
          <w:right w:val="single" w:sz="8" w:space="0" w:color="B3CC82"/>
          <w:insideH w:val="single" w:sz="8" w:space="0" w:color="B3CC82"/>
        </w:tblBorders>
        <w:tblLook w:val="04A0" w:firstRow="1" w:lastRow="0" w:firstColumn="1" w:lastColumn="0" w:noHBand="0" w:noVBand="1"/>
      </w:tblPr>
      <w:tblGrid>
        <w:gridCol w:w="6521"/>
        <w:gridCol w:w="3119"/>
      </w:tblGrid>
      <w:tr w:rsidR="004B70EC" w:rsidRPr="004B70EC" w:rsidTr="00545533">
        <w:trPr>
          <w:trHeight w:val="290"/>
        </w:trPr>
        <w:tc>
          <w:tcPr>
            <w:tcW w:w="6521" w:type="dxa"/>
            <w:tcBorders>
              <w:top w:val="single" w:sz="8" w:space="0" w:color="B3CC82"/>
              <w:left w:val="single" w:sz="8" w:space="0" w:color="B3CC82"/>
              <w:bottom w:val="single" w:sz="8" w:space="0" w:color="B3CC82"/>
            </w:tcBorders>
            <w:shd w:val="clear" w:color="auto" w:fill="9BBB59"/>
            <w:vAlign w:val="center"/>
          </w:tcPr>
          <w:p w:rsidR="004B70EC" w:rsidRPr="004B70EC" w:rsidRDefault="004B70EC" w:rsidP="00545533">
            <w:pPr>
              <w:spacing w:line="360" w:lineRule="auto"/>
              <w:jc w:val="center"/>
              <w:rPr>
                <w:rFonts w:ascii="Arial" w:hAnsi="Arial" w:cs="Arial"/>
                <w:b/>
                <w:bCs/>
              </w:rPr>
            </w:pPr>
            <w:r w:rsidRPr="004B70EC">
              <w:rPr>
                <w:rFonts w:ascii="Arial" w:hAnsi="Arial" w:cs="Arial"/>
                <w:b/>
                <w:bCs/>
              </w:rPr>
              <w:t>Proyectos</w:t>
            </w:r>
          </w:p>
        </w:tc>
        <w:tc>
          <w:tcPr>
            <w:tcW w:w="3119" w:type="dxa"/>
            <w:tcBorders>
              <w:top w:val="single" w:sz="8" w:space="0" w:color="B3CC82"/>
              <w:bottom w:val="single" w:sz="8" w:space="0" w:color="B3CC82"/>
              <w:right w:val="single" w:sz="8" w:space="0" w:color="B3CC82"/>
            </w:tcBorders>
            <w:shd w:val="clear" w:color="auto" w:fill="9BBB59"/>
            <w:vAlign w:val="center"/>
          </w:tcPr>
          <w:p w:rsidR="004B70EC" w:rsidRPr="004B70EC" w:rsidRDefault="004B70EC" w:rsidP="00545533">
            <w:pPr>
              <w:spacing w:line="360" w:lineRule="auto"/>
              <w:jc w:val="center"/>
              <w:rPr>
                <w:rFonts w:ascii="Arial" w:hAnsi="Arial" w:cs="Arial"/>
                <w:b/>
                <w:bCs/>
              </w:rPr>
            </w:pPr>
            <w:r w:rsidRPr="004B70EC">
              <w:rPr>
                <w:rFonts w:ascii="Arial" w:hAnsi="Arial" w:cs="Arial"/>
                <w:b/>
                <w:bCs/>
              </w:rPr>
              <w:t>Valor</w:t>
            </w:r>
          </w:p>
        </w:tc>
      </w:tr>
      <w:tr w:rsidR="004B70EC" w:rsidRPr="004B70EC" w:rsidTr="00545533">
        <w:trPr>
          <w:trHeight w:val="704"/>
        </w:trPr>
        <w:tc>
          <w:tcPr>
            <w:tcW w:w="6521" w:type="dxa"/>
            <w:shd w:val="clear" w:color="auto" w:fill="E6EED5"/>
          </w:tcPr>
          <w:p w:rsidR="004B70EC" w:rsidRPr="004B70EC" w:rsidRDefault="004B70EC" w:rsidP="00545533">
            <w:pPr>
              <w:spacing w:line="360" w:lineRule="auto"/>
              <w:rPr>
                <w:rFonts w:ascii="Arial" w:hAnsi="Arial" w:cs="Arial"/>
                <w:bCs/>
              </w:rPr>
            </w:pPr>
            <w:r w:rsidRPr="004B70EC">
              <w:rPr>
                <w:rFonts w:ascii="Arial" w:hAnsi="Arial" w:cs="Arial"/>
                <w:bCs/>
              </w:rPr>
              <w:t>Modernización tecnológica de laboratorios y adecuación y dotación de aulas</w:t>
            </w:r>
          </w:p>
        </w:tc>
        <w:tc>
          <w:tcPr>
            <w:tcW w:w="3119" w:type="dxa"/>
            <w:shd w:val="clear" w:color="auto" w:fill="E6EED5"/>
            <w:vAlign w:val="center"/>
          </w:tcPr>
          <w:p w:rsidR="004B70EC" w:rsidRPr="004B70EC" w:rsidRDefault="004B70EC" w:rsidP="00545533">
            <w:pPr>
              <w:spacing w:line="360" w:lineRule="auto"/>
              <w:jc w:val="right"/>
              <w:rPr>
                <w:rFonts w:ascii="Arial" w:hAnsi="Arial" w:cs="Arial"/>
              </w:rPr>
            </w:pPr>
            <w:r w:rsidRPr="004B70EC">
              <w:rPr>
                <w:rFonts w:ascii="Arial" w:hAnsi="Arial" w:cs="Arial"/>
              </w:rPr>
              <w:t>79.389</w:t>
            </w:r>
          </w:p>
        </w:tc>
      </w:tr>
      <w:tr w:rsidR="004B70EC" w:rsidRPr="004B70EC" w:rsidTr="00545533">
        <w:trPr>
          <w:trHeight w:val="984"/>
        </w:trPr>
        <w:tc>
          <w:tcPr>
            <w:tcW w:w="6521" w:type="dxa"/>
            <w:tcBorders>
              <w:right w:val="nil"/>
            </w:tcBorders>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Proyectos de investigación en las áreas de las ciencias de la salud, las ciencias exactas y naturales, ingeniería y ciencias económicas</w:t>
            </w:r>
            <w:r w:rsidRPr="004B70EC" w:rsidDel="007E0E4F">
              <w:rPr>
                <w:rFonts w:ascii="Arial" w:hAnsi="Arial" w:cs="Arial"/>
                <w:bCs/>
              </w:rPr>
              <w:t xml:space="preserve"> </w:t>
            </w:r>
            <w:r w:rsidRPr="004B70EC">
              <w:rPr>
                <w:rFonts w:ascii="Arial" w:hAnsi="Arial" w:cs="Arial"/>
                <w:bCs/>
              </w:rPr>
              <w:t>y las ciencias sociales</w:t>
            </w:r>
          </w:p>
        </w:tc>
        <w:tc>
          <w:tcPr>
            <w:tcW w:w="3119" w:type="dxa"/>
            <w:tcBorders>
              <w:left w:val="nil"/>
            </w:tcBorders>
            <w:shd w:val="clear" w:color="auto" w:fill="auto"/>
            <w:vAlign w:val="center"/>
          </w:tcPr>
          <w:p w:rsidR="004B70EC" w:rsidRPr="004B70EC" w:rsidRDefault="004B70EC" w:rsidP="00545533">
            <w:pPr>
              <w:spacing w:line="360" w:lineRule="auto"/>
              <w:jc w:val="right"/>
              <w:rPr>
                <w:rFonts w:ascii="Arial" w:hAnsi="Arial" w:cs="Arial"/>
              </w:rPr>
            </w:pPr>
            <w:r w:rsidRPr="004B70EC">
              <w:rPr>
                <w:rFonts w:ascii="Arial" w:hAnsi="Arial" w:cs="Arial"/>
              </w:rPr>
              <w:t>101.772</w:t>
            </w:r>
          </w:p>
        </w:tc>
      </w:tr>
      <w:tr w:rsidR="004B70EC" w:rsidRPr="004B70EC" w:rsidTr="00545533">
        <w:trPr>
          <w:trHeight w:val="828"/>
        </w:trPr>
        <w:tc>
          <w:tcPr>
            <w:tcW w:w="6521" w:type="dxa"/>
            <w:shd w:val="clear" w:color="auto" w:fill="E6EED5"/>
          </w:tcPr>
          <w:p w:rsidR="004B70EC" w:rsidRPr="004B70EC" w:rsidRDefault="004B70EC" w:rsidP="00545533">
            <w:pPr>
              <w:spacing w:line="360" w:lineRule="auto"/>
              <w:rPr>
                <w:rFonts w:ascii="Arial" w:hAnsi="Arial" w:cs="Arial"/>
                <w:bCs/>
              </w:rPr>
            </w:pPr>
            <w:r w:rsidRPr="004B70EC">
              <w:rPr>
                <w:rFonts w:ascii="Arial" w:hAnsi="Arial" w:cs="Arial"/>
                <w:bCs/>
              </w:rPr>
              <w:t>Sede de Investigaciones Universitaria, Bloque 19, Edificio de Extensión, red hidrosanitaria y sedes regionales</w:t>
            </w:r>
          </w:p>
        </w:tc>
        <w:tc>
          <w:tcPr>
            <w:tcW w:w="3119" w:type="dxa"/>
            <w:shd w:val="clear" w:color="auto" w:fill="E6EED5"/>
            <w:vAlign w:val="center"/>
          </w:tcPr>
          <w:p w:rsidR="004B70EC" w:rsidRPr="004B70EC" w:rsidRDefault="004B70EC" w:rsidP="00545533">
            <w:pPr>
              <w:spacing w:line="360" w:lineRule="auto"/>
              <w:jc w:val="right"/>
              <w:rPr>
                <w:rFonts w:ascii="Arial" w:hAnsi="Arial" w:cs="Arial"/>
              </w:rPr>
            </w:pPr>
            <w:r w:rsidRPr="004B70EC">
              <w:rPr>
                <w:rFonts w:ascii="Arial" w:hAnsi="Arial" w:cs="Arial"/>
              </w:rPr>
              <w:t>62.992</w:t>
            </w:r>
          </w:p>
        </w:tc>
      </w:tr>
      <w:tr w:rsidR="004B70EC" w:rsidRPr="004B70EC" w:rsidTr="00545533">
        <w:trPr>
          <w:trHeight w:val="542"/>
        </w:trPr>
        <w:tc>
          <w:tcPr>
            <w:tcW w:w="6521" w:type="dxa"/>
            <w:tcBorders>
              <w:right w:val="nil"/>
            </w:tcBorders>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Adquisición de los bienes de infraestructura propiedad del Parque Tecnológico de Antioquia</w:t>
            </w:r>
          </w:p>
        </w:tc>
        <w:tc>
          <w:tcPr>
            <w:tcW w:w="3119" w:type="dxa"/>
            <w:tcBorders>
              <w:left w:val="nil"/>
            </w:tcBorders>
            <w:shd w:val="clear" w:color="auto" w:fill="auto"/>
            <w:vAlign w:val="center"/>
          </w:tcPr>
          <w:p w:rsidR="004B70EC" w:rsidRPr="004B70EC" w:rsidRDefault="004B70EC" w:rsidP="00545533">
            <w:pPr>
              <w:spacing w:line="360" w:lineRule="auto"/>
              <w:jc w:val="right"/>
              <w:rPr>
                <w:rFonts w:ascii="Arial" w:hAnsi="Arial" w:cs="Arial"/>
              </w:rPr>
            </w:pPr>
            <w:r w:rsidRPr="004B70EC">
              <w:rPr>
                <w:rFonts w:ascii="Arial" w:hAnsi="Arial" w:cs="Arial"/>
              </w:rPr>
              <w:t>7.887</w:t>
            </w:r>
          </w:p>
        </w:tc>
      </w:tr>
      <w:tr w:rsidR="004B70EC" w:rsidRPr="004B70EC" w:rsidTr="00545533">
        <w:trPr>
          <w:trHeight w:val="542"/>
        </w:trPr>
        <w:tc>
          <w:tcPr>
            <w:tcW w:w="6521" w:type="dxa"/>
            <w:tcBorders>
              <w:right w:val="nil"/>
            </w:tcBorders>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Seguridad social</w:t>
            </w:r>
          </w:p>
        </w:tc>
        <w:tc>
          <w:tcPr>
            <w:tcW w:w="3119" w:type="dxa"/>
            <w:tcBorders>
              <w:left w:val="nil"/>
            </w:tcBorders>
            <w:shd w:val="clear" w:color="auto" w:fill="auto"/>
            <w:vAlign w:val="center"/>
          </w:tcPr>
          <w:p w:rsidR="004B70EC" w:rsidRPr="004B70EC" w:rsidRDefault="004B70EC" w:rsidP="00545533">
            <w:pPr>
              <w:spacing w:line="360" w:lineRule="auto"/>
              <w:jc w:val="right"/>
              <w:rPr>
                <w:rFonts w:ascii="Arial" w:hAnsi="Arial" w:cs="Arial"/>
              </w:rPr>
            </w:pPr>
            <w:r w:rsidRPr="004B70EC">
              <w:rPr>
                <w:rFonts w:ascii="Arial" w:hAnsi="Arial" w:cs="Arial"/>
              </w:rPr>
              <w:t>75.427</w:t>
            </w:r>
          </w:p>
        </w:tc>
      </w:tr>
      <w:tr w:rsidR="004B70EC" w:rsidRPr="004B70EC" w:rsidTr="00545533">
        <w:trPr>
          <w:trHeight w:val="691"/>
        </w:trPr>
        <w:tc>
          <w:tcPr>
            <w:tcW w:w="6521" w:type="dxa"/>
            <w:shd w:val="clear" w:color="auto" w:fill="E6EED5"/>
          </w:tcPr>
          <w:p w:rsidR="004B70EC" w:rsidRPr="004B70EC" w:rsidRDefault="004B70EC" w:rsidP="00545533">
            <w:pPr>
              <w:spacing w:line="360" w:lineRule="auto"/>
              <w:rPr>
                <w:rFonts w:ascii="Arial" w:hAnsi="Arial" w:cs="Arial"/>
                <w:bCs/>
              </w:rPr>
            </w:pPr>
            <w:r w:rsidRPr="004B70EC">
              <w:rPr>
                <w:rFonts w:ascii="Arial" w:hAnsi="Arial" w:cs="Arial"/>
                <w:bCs/>
              </w:rPr>
              <w:t>Mejoramiento de la infraestructura física</w:t>
            </w:r>
          </w:p>
        </w:tc>
        <w:tc>
          <w:tcPr>
            <w:tcW w:w="3119" w:type="dxa"/>
            <w:shd w:val="clear" w:color="auto" w:fill="E6EED5"/>
            <w:vAlign w:val="center"/>
          </w:tcPr>
          <w:p w:rsidR="004B70EC" w:rsidRPr="004B70EC" w:rsidRDefault="004B70EC" w:rsidP="00545533">
            <w:pPr>
              <w:spacing w:line="360" w:lineRule="auto"/>
              <w:jc w:val="right"/>
              <w:rPr>
                <w:rFonts w:ascii="Arial" w:hAnsi="Arial" w:cs="Arial"/>
              </w:rPr>
            </w:pPr>
            <w:r w:rsidRPr="004B70EC">
              <w:rPr>
                <w:rFonts w:ascii="Arial" w:hAnsi="Arial" w:cs="Arial"/>
              </w:rPr>
              <w:t>112.721</w:t>
            </w:r>
          </w:p>
        </w:tc>
      </w:tr>
      <w:tr w:rsidR="004B70EC" w:rsidRPr="004B70EC" w:rsidTr="00545533">
        <w:trPr>
          <w:trHeight w:val="559"/>
        </w:trPr>
        <w:tc>
          <w:tcPr>
            <w:tcW w:w="6521" w:type="dxa"/>
            <w:tcBorders>
              <w:right w:val="nil"/>
            </w:tcBorders>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Programa Universidad Electrónica-Municipio de Medellín</w:t>
            </w:r>
          </w:p>
        </w:tc>
        <w:tc>
          <w:tcPr>
            <w:tcW w:w="3119" w:type="dxa"/>
            <w:tcBorders>
              <w:left w:val="nil"/>
            </w:tcBorders>
            <w:shd w:val="clear" w:color="auto" w:fill="auto"/>
            <w:vAlign w:val="center"/>
          </w:tcPr>
          <w:p w:rsidR="004B70EC" w:rsidRPr="004B70EC" w:rsidRDefault="004B70EC" w:rsidP="00545533">
            <w:pPr>
              <w:spacing w:line="360" w:lineRule="auto"/>
              <w:jc w:val="right"/>
              <w:rPr>
                <w:rFonts w:ascii="Arial" w:hAnsi="Arial" w:cs="Arial"/>
              </w:rPr>
            </w:pPr>
            <w:r w:rsidRPr="004B70EC">
              <w:rPr>
                <w:rFonts w:ascii="Arial" w:hAnsi="Arial" w:cs="Arial"/>
              </w:rPr>
              <w:t>17.085</w:t>
            </w:r>
          </w:p>
        </w:tc>
      </w:tr>
      <w:tr w:rsidR="004B70EC" w:rsidRPr="004B70EC" w:rsidTr="00545533">
        <w:trPr>
          <w:trHeight w:val="696"/>
        </w:trPr>
        <w:tc>
          <w:tcPr>
            <w:tcW w:w="6521" w:type="dxa"/>
            <w:shd w:val="clear" w:color="auto" w:fill="E6EED5"/>
          </w:tcPr>
          <w:p w:rsidR="004B70EC" w:rsidRPr="004B70EC" w:rsidRDefault="004B70EC" w:rsidP="00545533">
            <w:pPr>
              <w:spacing w:line="360" w:lineRule="auto"/>
              <w:rPr>
                <w:rFonts w:ascii="Arial" w:hAnsi="Arial" w:cs="Arial"/>
                <w:bCs/>
              </w:rPr>
            </w:pPr>
            <w:r w:rsidRPr="004B70EC">
              <w:rPr>
                <w:rFonts w:ascii="Arial" w:hAnsi="Arial" w:cs="Arial"/>
                <w:bCs/>
              </w:rPr>
              <w:t>Restauración Paraninfo</w:t>
            </w:r>
          </w:p>
        </w:tc>
        <w:tc>
          <w:tcPr>
            <w:tcW w:w="3119" w:type="dxa"/>
            <w:shd w:val="clear" w:color="auto" w:fill="E6EED5"/>
            <w:vAlign w:val="center"/>
          </w:tcPr>
          <w:p w:rsidR="004B70EC" w:rsidRPr="004B70EC" w:rsidRDefault="004B70EC" w:rsidP="00545533">
            <w:pPr>
              <w:spacing w:line="360" w:lineRule="auto"/>
              <w:jc w:val="right"/>
              <w:rPr>
                <w:rFonts w:ascii="Arial" w:hAnsi="Arial" w:cs="Arial"/>
              </w:rPr>
            </w:pPr>
            <w:r w:rsidRPr="004B70EC">
              <w:rPr>
                <w:rFonts w:ascii="Arial" w:hAnsi="Arial" w:cs="Arial"/>
              </w:rPr>
              <w:t>3.033</w:t>
            </w:r>
          </w:p>
        </w:tc>
      </w:tr>
      <w:tr w:rsidR="004B70EC" w:rsidRPr="004B70EC" w:rsidTr="00545533">
        <w:trPr>
          <w:trHeight w:val="537"/>
        </w:trPr>
        <w:tc>
          <w:tcPr>
            <w:tcW w:w="6521" w:type="dxa"/>
            <w:tcBorders>
              <w:right w:val="nil"/>
            </w:tcBorders>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Readecuación de escenarios deportivos</w:t>
            </w:r>
          </w:p>
        </w:tc>
        <w:tc>
          <w:tcPr>
            <w:tcW w:w="3119" w:type="dxa"/>
            <w:tcBorders>
              <w:left w:val="nil"/>
            </w:tcBorders>
            <w:shd w:val="clear" w:color="auto" w:fill="auto"/>
            <w:vAlign w:val="center"/>
          </w:tcPr>
          <w:p w:rsidR="004B70EC" w:rsidRPr="004B70EC" w:rsidRDefault="004B70EC" w:rsidP="00545533">
            <w:pPr>
              <w:spacing w:line="360" w:lineRule="auto"/>
              <w:jc w:val="right"/>
              <w:rPr>
                <w:rFonts w:ascii="Arial" w:hAnsi="Arial" w:cs="Arial"/>
              </w:rPr>
            </w:pPr>
            <w:r w:rsidRPr="004B70EC">
              <w:rPr>
                <w:rFonts w:ascii="Arial" w:hAnsi="Arial" w:cs="Arial"/>
              </w:rPr>
              <w:t>16.230</w:t>
            </w:r>
          </w:p>
        </w:tc>
      </w:tr>
      <w:tr w:rsidR="004B70EC" w:rsidRPr="004B70EC" w:rsidTr="00545533">
        <w:trPr>
          <w:trHeight w:val="842"/>
        </w:trPr>
        <w:tc>
          <w:tcPr>
            <w:tcW w:w="6521" w:type="dxa"/>
            <w:shd w:val="clear" w:color="auto" w:fill="E6EED5"/>
          </w:tcPr>
          <w:p w:rsidR="004B70EC" w:rsidRPr="004B70EC" w:rsidRDefault="004B70EC" w:rsidP="00545533">
            <w:pPr>
              <w:spacing w:line="360" w:lineRule="auto"/>
              <w:rPr>
                <w:rFonts w:ascii="Arial" w:hAnsi="Arial" w:cs="Arial"/>
                <w:bCs/>
              </w:rPr>
            </w:pPr>
            <w:r w:rsidRPr="004B70EC">
              <w:rPr>
                <w:rFonts w:ascii="Arial" w:hAnsi="Arial" w:cs="Arial"/>
                <w:bCs/>
              </w:rPr>
              <w:t>Ampliación facultades de Enfermería, Educación, y Ciencias Sociales y Humanas</w:t>
            </w:r>
          </w:p>
        </w:tc>
        <w:tc>
          <w:tcPr>
            <w:tcW w:w="3119" w:type="dxa"/>
            <w:shd w:val="clear" w:color="auto" w:fill="E6EED5"/>
            <w:vAlign w:val="center"/>
          </w:tcPr>
          <w:p w:rsidR="004B70EC" w:rsidRPr="004B70EC" w:rsidRDefault="004B70EC" w:rsidP="00545533">
            <w:pPr>
              <w:spacing w:line="360" w:lineRule="auto"/>
              <w:jc w:val="right"/>
              <w:rPr>
                <w:rFonts w:ascii="Arial" w:hAnsi="Arial" w:cs="Arial"/>
              </w:rPr>
            </w:pPr>
            <w:r w:rsidRPr="004B70EC">
              <w:rPr>
                <w:rFonts w:ascii="Arial" w:hAnsi="Arial" w:cs="Arial"/>
              </w:rPr>
              <w:t>1.797</w:t>
            </w:r>
          </w:p>
        </w:tc>
      </w:tr>
      <w:tr w:rsidR="004B70EC" w:rsidRPr="004B70EC" w:rsidTr="00545533">
        <w:trPr>
          <w:trHeight w:val="528"/>
        </w:trPr>
        <w:tc>
          <w:tcPr>
            <w:tcW w:w="6521" w:type="dxa"/>
            <w:tcBorders>
              <w:right w:val="nil"/>
            </w:tcBorders>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Red Institucional de Transmisión de Información</w:t>
            </w:r>
          </w:p>
        </w:tc>
        <w:tc>
          <w:tcPr>
            <w:tcW w:w="3119" w:type="dxa"/>
            <w:tcBorders>
              <w:left w:val="nil"/>
            </w:tcBorders>
            <w:shd w:val="clear" w:color="auto" w:fill="auto"/>
            <w:vAlign w:val="center"/>
          </w:tcPr>
          <w:p w:rsidR="004B70EC" w:rsidRPr="004B70EC" w:rsidRDefault="004B70EC" w:rsidP="00545533">
            <w:pPr>
              <w:spacing w:line="360" w:lineRule="auto"/>
              <w:jc w:val="right"/>
              <w:rPr>
                <w:rFonts w:ascii="Arial" w:hAnsi="Arial" w:cs="Arial"/>
              </w:rPr>
            </w:pPr>
            <w:r w:rsidRPr="004B70EC">
              <w:rPr>
                <w:rFonts w:ascii="Arial" w:hAnsi="Arial" w:cs="Arial"/>
              </w:rPr>
              <w:t>5.666</w:t>
            </w:r>
          </w:p>
        </w:tc>
      </w:tr>
      <w:tr w:rsidR="004B70EC" w:rsidRPr="004B70EC" w:rsidTr="00545533">
        <w:trPr>
          <w:trHeight w:val="706"/>
        </w:trPr>
        <w:tc>
          <w:tcPr>
            <w:tcW w:w="6521" w:type="dxa"/>
            <w:shd w:val="clear" w:color="auto" w:fill="E6EED5"/>
          </w:tcPr>
          <w:p w:rsidR="004B70EC" w:rsidRPr="004B70EC" w:rsidRDefault="004B70EC" w:rsidP="00545533">
            <w:pPr>
              <w:spacing w:line="360" w:lineRule="auto"/>
              <w:rPr>
                <w:rFonts w:ascii="Arial" w:hAnsi="Arial" w:cs="Arial"/>
                <w:bCs/>
              </w:rPr>
            </w:pPr>
            <w:r w:rsidRPr="004B70EC">
              <w:rPr>
                <w:rFonts w:ascii="Arial" w:hAnsi="Arial" w:cs="Arial"/>
                <w:bCs/>
              </w:rPr>
              <w:t>Modernización de equipos de cómputo y servidores de base de dato</w:t>
            </w:r>
          </w:p>
        </w:tc>
        <w:tc>
          <w:tcPr>
            <w:tcW w:w="3119" w:type="dxa"/>
            <w:shd w:val="clear" w:color="auto" w:fill="E6EED5"/>
            <w:vAlign w:val="center"/>
          </w:tcPr>
          <w:p w:rsidR="004B70EC" w:rsidRPr="004B70EC" w:rsidRDefault="004B70EC" w:rsidP="00545533">
            <w:pPr>
              <w:spacing w:line="360" w:lineRule="auto"/>
              <w:jc w:val="right"/>
              <w:rPr>
                <w:rFonts w:ascii="Arial" w:hAnsi="Arial" w:cs="Arial"/>
              </w:rPr>
            </w:pPr>
            <w:r w:rsidRPr="004B70EC">
              <w:rPr>
                <w:rFonts w:ascii="Arial" w:hAnsi="Arial" w:cs="Arial"/>
              </w:rPr>
              <w:t>8.240</w:t>
            </w:r>
          </w:p>
        </w:tc>
      </w:tr>
      <w:tr w:rsidR="004B70EC" w:rsidRPr="004B70EC" w:rsidTr="00545533">
        <w:trPr>
          <w:trHeight w:val="829"/>
        </w:trPr>
        <w:tc>
          <w:tcPr>
            <w:tcW w:w="6521" w:type="dxa"/>
            <w:tcBorders>
              <w:right w:val="nil"/>
            </w:tcBorders>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Restauración Paraninfo, restauración Edificio de Derecho, Facultad de Medicina y Sede Robledo</w:t>
            </w:r>
          </w:p>
        </w:tc>
        <w:tc>
          <w:tcPr>
            <w:tcW w:w="3119" w:type="dxa"/>
            <w:tcBorders>
              <w:left w:val="nil"/>
            </w:tcBorders>
            <w:shd w:val="clear" w:color="auto" w:fill="auto"/>
            <w:vAlign w:val="center"/>
          </w:tcPr>
          <w:p w:rsidR="004B70EC" w:rsidRPr="004B70EC" w:rsidRDefault="004B70EC" w:rsidP="00545533">
            <w:pPr>
              <w:spacing w:line="360" w:lineRule="auto"/>
              <w:jc w:val="right"/>
              <w:rPr>
                <w:rFonts w:ascii="Arial" w:hAnsi="Arial" w:cs="Arial"/>
              </w:rPr>
            </w:pPr>
            <w:r w:rsidRPr="004B70EC">
              <w:rPr>
                <w:rFonts w:ascii="Arial" w:hAnsi="Arial" w:cs="Arial"/>
              </w:rPr>
              <w:t>20.740</w:t>
            </w:r>
          </w:p>
        </w:tc>
      </w:tr>
      <w:tr w:rsidR="004B70EC" w:rsidRPr="004B70EC" w:rsidTr="00545533">
        <w:trPr>
          <w:trHeight w:val="553"/>
        </w:trPr>
        <w:tc>
          <w:tcPr>
            <w:tcW w:w="6521" w:type="dxa"/>
            <w:shd w:val="clear" w:color="auto" w:fill="E6EED5"/>
          </w:tcPr>
          <w:p w:rsidR="004B70EC" w:rsidRPr="004B70EC" w:rsidRDefault="004B70EC" w:rsidP="00545533">
            <w:pPr>
              <w:spacing w:line="360" w:lineRule="auto"/>
              <w:rPr>
                <w:rFonts w:ascii="Arial" w:hAnsi="Arial" w:cs="Arial"/>
                <w:bCs/>
              </w:rPr>
            </w:pPr>
            <w:r w:rsidRPr="004B70EC">
              <w:rPr>
                <w:rFonts w:ascii="Arial" w:hAnsi="Arial" w:cs="Arial"/>
                <w:bCs/>
              </w:rPr>
              <w:t>Adecuación y dotación del Centro de Producción Audiovisuales</w:t>
            </w:r>
          </w:p>
        </w:tc>
        <w:tc>
          <w:tcPr>
            <w:tcW w:w="3119" w:type="dxa"/>
            <w:shd w:val="clear" w:color="auto" w:fill="E6EED5"/>
            <w:vAlign w:val="center"/>
          </w:tcPr>
          <w:p w:rsidR="004B70EC" w:rsidRPr="004B70EC" w:rsidRDefault="004B70EC" w:rsidP="00545533">
            <w:pPr>
              <w:spacing w:line="360" w:lineRule="auto"/>
              <w:jc w:val="right"/>
              <w:rPr>
                <w:rFonts w:ascii="Arial" w:hAnsi="Arial" w:cs="Arial"/>
              </w:rPr>
            </w:pPr>
            <w:r w:rsidRPr="004B70EC">
              <w:rPr>
                <w:rFonts w:ascii="Arial" w:hAnsi="Arial" w:cs="Arial"/>
              </w:rPr>
              <w:t>1.991</w:t>
            </w:r>
          </w:p>
        </w:tc>
      </w:tr>
      <w:tr w:rsidR="004B70EC" w:rsidRPr="004B70EC" w:rsidTr="00545533">
        <w:trPr>
          <w:trHeight w:val="700"/>
        </w:trPr>
        <w:tc>
          <w:tcPr>
            <w:tcW w:w="6521" w:type="dxa"/>
            <w:shd w:val="clear" w:color="auto" w:fill="auto"/>
          </w:tcPr>
          <w:p w:rsidR="004B70EC" w:rsidRPr="004B70EC" w:rsidRDefault="004B70EC" w:rsidP="00545533">
            <w:pPr>
              <w:spacing w:line="360" w:lineRule="auto"/>
              <w:rPr>
                <w:rFonts w:ascii="Arial" w:hAnsi="Arial" w:cs="Arial"/>
                <w:bCs/>
              </w:rPr>
            </w:pPr>
            <w:r w:rsidRPr="004B70EC">
              <w:rPr>
                <w:rFonts w:ascii="Arial" w:hAnsi="Arial" w:cs="Arial"/>
                <w:bCs/>
              </w:rPr>
              <w:t>Modernización Emisora Cultural Universidad de Antioquia</w:t>
            </w:r>
          </w:p>
        </w:tc>
        <w:tc>
          <w:tcPr>
            <w:tcW w:w="3119" w:type="dxa"/>
            <w:shd w:val="clear" w:color="auto" w:fill="auto"/>
            <w:vAlign w:val="center"/>
          </w:tcPr>
          <w:p w:rsidR="004B70EC" w:rsidRPr="004B70EC" w:rsidRDefault="004B70EC" w:rsidP="00545533">
            <w:pPr>
              <w:spacing w:line="360" w:lineRule="auto"/>
              <w:jc w:val="right"/>
              <w:rPr>
                <w:rFonts w:ascii="Arial" w:hAnsi="Arial" w:cs="Arial"/>
                <w:bCs/>
              </w:rPr>
            </w:pPr>
            <w:r w:rsidRPr="004B70EC">
              <w:rPr>
                <w:rFonts w:ascii="Arial" w:hAnsi="Arial" w:cs="Arial"/>
                <w:bCs/>
              </w:rPr>
              <w:t>667</w:t>
            </w:r>
          </w:p>
        </w:tc>
      </w:tr>
      <w:tr w:rsidR="004B70EC" w:rsidRPr="004B70EC" w:rsidTr="00545533">
        <w:tc>
          <w:tcPr>
            <w:tcW w:w="6521" w:type="dxa"/>
            <w:tcBorders>
              <w:right w:val="nil"/>
            </w:tcBorders>
            <w:shd w:val="clear" w:color="auto" w:fill="E2EFD9"/>
          </w:tcPr>
          <w:p w:rsidR="004B70EC" w:rsidRPr="004B70EC" w:rsidRDefault="004B70EC" w:rsidP="00545533">
            <w:pPr>
              <w:spacing w:line="360" w:lineRule="auto"/>
              <w:rPr>
                <w:rFonts w:ascii="Arial" w:hAnsi="Arial" w:cs="Arial"/>
                <w:bCs/>
              </w:rPr>
            </w:pPr>
            <w:r w:rsidRPr="004B70EC">
              <w:rPr>
                <w:rFonts w:ascii="Arial" w:hAnsi="Arial" w:cs="Arial"/>
                <w:bCs/>
              </w:rPr>
              <w:t>Mejoramiento autoevaluación y acreditación</w:t>
            </w:r>
          </w:p>
        </w:tc>
        <w:tc>
          <w:tcPr>
            <w:tcW w:w="3119" w:type="dxa"/>
            <w:tcBorders>
              <w:left w:val="nil"/>
            </w:tcBorders>
            <w:shd w:val="clear" w:color="auto" w:fill="E2EFD9"/>
            <w:vAlign w:val="center"/>
          </w:tcPr>
          <w:p w:rsidR="004B70EC" w:rsidRPr="004B70EC" w:rsidRDefault="004B70EC" w:rsidP="00545533">
            <w:pPr>
              <w:spacing w:line="360" w:lineRule="auto"/>
              <w:jc w:val="right"/>
              <w:rPr>
                <w:rFonts w:ascii="Arial" w:hAnsi="Arial" w:cs="Arial"/>
              </w:rPr>
            </w:pPr>
            <w:r w:rsidRPr="004B70EC">
              <w:rPr>
                <w:rFonts w:ascii="Arial" w:hAnsi="Arial" w:cs="Arial"/>
              </w:rPr>
              <w:t>3.927</w:t>
            </w:r>
          </w:p>
        </w:tc>
      </w:tr>
      <w:tr w:rsidR="004B70EC" w:rsidRPr="004B70EC" w:rsidTr="00545533">
        <w:tc>
          <w:tcPr>
            <w:tcW w:w="6521" w:type="dxa"/>
            <w:tcBorders>
              <w:right w:val="nil"/>
            </w:tcBorders>
            <w:shd w:val="clear" w:color="auto" w:fill="E2EFD9"/>
            <w:vAlign w:val="center"/>
          </w:tcPr>
          <w:p w:rsidR="004B70EC" w:rsidRPr="004B70EC" w:rsidRDefault="004B70EC" w:rsidP="00545533">
            <w:pPr>
              <w:spacing w:line="360" w:lineRule="auto"/>
              <w:rPr>
                <w:rFonts w:ascii="Arial" w:hAnsi="Arial" w:cs="Arial"/>
                <w:b/>
                <w:bCs/>
              </w:rPr>
            </w:pPr>
            <w:r w:rsidRPr="004B70EC">
              <w:rPr>
                <w:rFonts w:ascii="Arial" w:hAnsi="Arial" w:cs="Arial"/>
                <w:b/>
                <w:bCs/>
              </w:rPr>
              <w:t>Total</w:t>
            </w:r>
          </w:p>
        </w:tc>
        <w:tc>
          <w:tcPr>
            <w:tcW w:w="3119" w:type="dxa"/>
            <w:tcBorders>
              <w:left w:val="nil"/>
            </w:tcBorders>
            <w:shd w:val="clear" w:color="auto" w:fill="E2EFD9"/>
          </w:tcPr>
          <w:p w:rsidR="004B70EC" w:rsidRPr="004B70EC" w:rsidRDefault="004B70EC" w:rsidP="00545533">
            <w:pPr>
              <w:spacing w:line="360" w:lineRule="auto"/>
              <w:jc w:val="right"/>
              <w:rPr>
                <w:rFonts w:ascii="Arial" w:hAnsi="Arial" w:cs="Arial"/>
                <w:b/>
              </w:rPr>
            </w:pPr>
            <w:r w:rsidRPr="004B70EC">
              <w:rPr>
                <w:rFonts w:ascii="Arial" w:hAnsi="Arial" w:cs="Arial"/>
                <w:b/>
              </w:rPr>
              <w:t>519.564</w:t>
            </w:r>
          </w:p>
        </w:tc>
      </w:tr>
    </w:tbl>
    <w:p w:rsidR="004B70EC" w:rsidRPr="004B70EC" w:rsidRDefault="004B70EC" w:rsidP="004B70EC">
      <w:pPr>
        <w:pStyle w:val="Textoindependiente2"/>
        <w:spacing w:before="240" w:after="240" w:line="360" w:lineRule="auto"/>
        <w:jc w:val="both"/>
        <w:rPr>
          <w:rFonts w:ascii="Arial" w:hAnsi="Arial" w:cs="Arial"/>
          <w:szCs w:val="24"/>
          <w:lang w:val="es-ES_tradnl"/>
        </w:rPr>
      </w:pPr>
      <w:r w:rsidRPr="004B70EC">
        <w:rPr>
          <w:rFonts w:ascii="Arial" w:hAnsi="Arial" w:cs="Arial"/>
          <w:szCs w:val="24"/>
          <w:lang w:val="es-ES_tradnl"/>
        </w:rPr>
        <w:t>Impactos generados con los recursos de la Estampilla Universidad de Antioquia de Cara al Tercer Siglo de Labor 1994-2017:</w:t>
      </w:r>
    </w:p>
    <w:p w:rsidR="004B70EC" w:rsidRPr="004B70EC" w:rsidRDefault="004B70EC" w:rsidP="004B70EC">
      <w:pPr>
        <w:pStyle w:val="Textoindependiente2"/>
        <w:spacing w:before="240" w:after="240"/>
        <w:jc w:val="both"/>
        <w:rPr>
          <w:rFonts w:ascii="Arial" w:hAnsi="Arial" w:cs="Arial"/>
          <w:szCs w:val="24"/>
          <w:lang w:val="es-ES_tradnl"/>
        </w:rPr>
      </w:pPr>
      <w:r w:rsidRPr="004B70EC">
        <w:rPr>
          <w:rFonts w:ascii="Arial" w:hAnsi="Arial" w:cs="Arial"/>
          <w:szCs w:val="24"/>
          <w:lang w:val="es-ES_tradnl"/>
        </w:rPr>
        <w:t xml:space="preserve"> Docencia</w:t>
      </w:r>
    </w:p>
    <w:p w:rsidR="004B70EC" w:rsidRPr="004B70EC" w:rsidRDefault="004B70EC" w:rsidP="004B70EC">
      <w:pPr>
        <w:pStyle w:val="Textoindependiente2"/>
        <w:spacing w:after="240"/>
        <w:jc w:val="both"/>
        <w:rPr>
          <w:rFonts w:ascii="Arial" w:hAnsi="Arial" w:cs="Arial"/>
          <w:szCs w:val="24"/>
          <w:lang w:val="es-ES_tradnl"/>
        </w:rPr>
      </w:pPr>
      <w:r w:rsidRPr="004B70EC">
        <w:rPr>
          <w:rFonts w:ascii="Arial" w:hAnsi="Arial" w:cs="Arial"/>
          <w:b w:val="0"/>
          <w:szCs w:val="24"/>
          <w:lang w:val="es-ES_tradnl"/>
        </w:rPr>
        <w:t>En el año 2003, la Universidad fue la primera institución pública del país en obtener el primer aval del Consejo Nacional de Acreditación y, en año 2012 se le otorga la reacreditación por diez años, constituyéndose en el mayor logro institucional traducido en su excelencia y calidad y hace parte del grupo de las cuatro universidades del país con dicha acreditación.</w:t>
      </w:r>
    </w:p>
    <w:p w:rsidR="004B70EC" w:rsidRPr="004B70EC" w:rsidRDefault="004B70EC" w:rsidP="004B70EC">
      <w:pPr>
        <w:spacing w:before="100" w:beforeAutospacing="1" w:after="240"/>
        <w:jc w:val="both"/>
        <w:rPr>
          <w:rFonts w:ascii="Arial" w:hAnsi="Arial" w:cs="Arial"/>
          <w:lang w:val="es-ES_tradnl" w:eastAsia="es-CO"/>
        </w:rPr>
      </w:pPr>
      <w:r w:rsidRPr="004B70EC">
        <w:rPr>
          <w:rFonts w:ascii="Arial" w:hAnsi="Arial" w:cs="Arial"/>
          <w:lang w:val="es-ES_tradnl" w:eastAsia="es-CO"/>
        </w:rPr>
        <w:t xml:space="preserve">Hoy, la Universidad de Antioquia continúa fortaleciendo la formación de los estudiantes sobre bases científicas, éticas y humanísticas, en el cumplimiento de su responsabilidad social de formar profesionales que contribuyan a la solución de los problemas en los niveles local, regional y nacional. La población estudiantil de pregrado para el año 2017 es de 37.339 estudiantes, de los cuales el 55 % pertenecen a los estratos socioeconómicos 1 y 2 que equivalen a 20.536, en el estrato 3 pertenecen 14.188 alumnos (38%de la población  estudiantil); con lo cual se concluye que el 93% de los educandos  de pregrado corresponden a los estratos más bajos; tan solo el 7% (2.613 personas) residen  en los estratos 4,5 o 6. </w:t>
      </w:r>
      <w:r w:rsidRPr="004B70EC">
        <w:rPr>
          <w:rFonts w:ascii="Arial" w:hAnsi="Arial" w:cs="Arial"/>
          <w:lang w:val="es-ES_tradnl"/>
        </w:rPr>
        <w:t>En este contexto, es importante señalar que la Universidad, por su carácter de entidad  pública, continua consolidándose como la institución donde las personas de menores ingresos pueden realizar sus estudios profesionales.</w:t>
      </w:r>
    </w:p>
    <w:p w:rsidR="004B70EC" w:rsidRPr="004B70EC" w:rsidRDefault="004B70EC" w:rsidP="004B70EC">
      <w:pPr>
        <w:spacing w:before="100" w:beforeAutospacing="1" w:after="240"/>
        <w:jc w:val="both"/>
        <w:rPr>
          <w:rFonts w:ascii="Arial" w:hAnsi="Arial" w:cs="Arial"/>
          <w:lang w:val="es-ES_tradnl" w:eastAsia="es-CO"/>
        </w:rPr>
      </w:pPr>
      <w:r w:rsidRPr="004B70EC">
        <w:rPr>
          <w:rFonts w:ascii="Arial" w:hAnsi="Arial" w:cs="Arial"/>
          <w:lang w:val="es-ES_tradnl" w:eastAsia="es-CO"/>
        </w:rPr>
        <w:t>La institución presenta una oferta educativa consistente en 13.206 cupos anuales para estudiantes nuevos para un total de 222 programas de pregrado (71 en Medellín, 133 en otras regiones del departamento y 2 en otras regiones del país), de los cuales 173 son programas profesionales, 44 tecnológicos y 5 de nivel técnico profesional, representados en tres grandes áreas del conocimiento: ciencias exactas y naturales, ingeniería y ciencias económicas; ciencias de la salud, y ciencias sociales, artes y humanidades. El 90 % de los programas que cumplen con las características y requisitos para la acreditación de alta calidad han logrado este reconocimiento.</w:t>
      </w:r>
    </w:p>
    <w:p w:rsidR="004B70EC" w:rsidRPr="004B70EC" w:rsidRDefault="004B70EC" w:rsidP="004B70EC">
      <w:pPr>
        <w:spacing w:after="240"/>
        <w:jc w:val="both"/>
        <w:rPr>
          <w:rFonts w:ascii="Arial" w:hAnsi="Arial" w:cs="Arial"/>
          <w:lang w:val="es-ES_tradnl" w:eastAsia="es-CO"/>
        </w:rPr>
      </w:pPr>
      <w:r w:rsidRPr="004B70EC">
        <w:rPr>
          <w:rFonts w:ascii="Arial" w:hAnsi="Arial" w:cs="Arial"/>
          <w:lang w:val="es-ES_tradnl" w:eastAsia="es-CO"/>
        </w:rPr>
        <w:t>Para el año 2017 la Universidad contaba con 29 programas de doble titulación internacional con universidades de Argentina, Francia, Italia, Alemania y Holanda. Son cerca de 205 los estudiantes de la Universidad de Antioquia que se han graduado o están cursando programas de doble titulación internacional en pregrado.</w:t>
      </w:r>
    </w:p>
    <w:p w:rsidR="004B70EC" w:rsidRPr="004B70EC" w:rsidRDefault="004B70EC" w:rsidP="004B70EC">
      <w:pPr>
        <w:pStyle w:val="Textoindependiente2"/>
        <w:spacing w:after="240"/>
        <w:jc w:val="both"/>
        <w:rPr>
          <w:rFonts w:ascii="Arial" w:hAnsi="Arial" w:cs="Arial"/>
          <w:b w:val="0"/>
          <w:color w:val="222222"/>
          <w:szCs w:val="24"/>
          <w:shd w:val="clear" w:color="auto" w:fill="FFFFFF"/>
          <w:lang w:val="es-ES_tradnl"/>
        </w:rPr>
      </w:pPr>
      <w:r w:rsidRPr="004B70EC">
        <w:rPr>
          <w:rFonts w:ascii="Arial" w:hAnsi="Arial" w:cs="Arial"/>
          <w:b w:val="0"/>
          <w:color w:val="222222"/>
          <w:szCs w:val="24"/>
          <w:shd w:val="clear" w:color="auto" w:fill="FFFFFF"/>
          <w:lang w:val="es-ES_tradnl"/>
        </w:rPr>
        <w:t>La Universidad de Antioquia para 2017 cuenta con 219 programas de posgrado vigentes (26 doctorados, 77 maestrías, 49 especializaciones médico-quirúrgicas y 67 especializaciones). La Universidad para 2017 reporta matrículas en posgrados de 3.497 estudiantes distribuidos así: 645 en doctorados, 1.632 en maestrías, 494 en especializaciones médico-quirúrgicas y 726 en especializaciones. La cobertura en posgrado en el periodo 2010-2017 ha crecido el 55 %, pasando de 2.237 estudiantes a 3.487 En los niveles de doctorado y maestría el crecimiento ha sido de 88  y 110 %, respectivamente; las especializaciones médicas, por su parte, presentan crecimiento del 25 % y las especializaciones, del 25 %. Actualmente, la Universidad tiene 24 programas de posgrado acreditados (4 doctorados, 13 maestrías y 7 especialidades médico-quirúrgicas) y 18 programas adelantan este proceso en el Consejo Nacional de Acreditación —</w:t>
      </w:r>
      <w:r w:rsidRPr="004B70EC">
        <w:rPr>
          <w:rFonts w:ascii="Arial" w:hAnsi="Arial" w:cs="Arial"/>
          <w:b w:val="0"/>
          <w:smallCaps/>
          <w:color w:val="222222"/>
          <w:szCs w:val="24"/>
          <w:shd w:val="clear" w:color="auto" w:fill="FFFFFF"/>
          <w:lang w:val="es-ES_tradnl"/>
        </w:rPr>
        <w:t>cna—</w:t>
      </w:r>
      <w:r w:rsidRPr="004B70EC">
        <w:rPr>
          <w:rFonts w:ascii="Arial" w:hAnsi="Arial" w:cs="Arial"/>
          <w:b w:val="0"/>
          <w:color w:val="222222"/>
          <w:szCs w:val="24"/>
          <w:shd w:val="clear" w:color="auto" w:fill="FFFFFF"/>
          <w:lang w:val="es-ES_tradnl"/>
        </w:rPr>
        <w:t xml:space="preserve"> (7 doctorados, 4 maestrías y 7 especialidades médico-quirúrgicas).</w:t>
      </w:r>
    </w:p>
    <w:p w:rsidR="004B70EC" w:rsidRPr="004B70EC" w:rsidRDefault="004B70EC" w:rsidP="004B70EC">
      <w:pPr>
        <w:pStyle w:val="Textoindependiente2"/>
        <w:spacing w:after="240"/>
        <w:jc w:val="both"/>
        <w:rPr>
          <w:rFonts w:ascii="Arial" w:hAnsi="Arial" w:cs="Arial"/>
          <w:b w:val="0"/>
          <w:color w:val="222222"/>
          <w:szCs w:val="24"/>
          <w:shd w:val="clear" w:color="auto" w:fill="FFFFFF"/>
          <w:lang w:val="es-ES_tradnl"/>
        </w:rPr>
      </w:pPr>
    </w:p>
    <w:p w:rsidR="004B70EC" w:rsidRPr="004B70EC" w:rsidRDefault="004B70EC" w:rsidP="004B70EC">
      <w:pPr>
        <w:pStyle w:val="Ttulo2"/>
        <w:spacing w:after="240"/>
        <w:jc w:val="both"/>
        <w:rPr>
          <w:rFonts w:ascii="Arial" w:hAnsi="Arial" w:cs="Arial"/>
          <w:szCs w:val="24"/>
          <w:lang w:val="es-ES_tradnl"/>
        </w:rPr>
      </w:pPr>
      <w:r w:rsidRPr="004B70EC">
        <w:rPr>
          <w:rFonts w:ascii="Arial" w:hAnsi="Arial" w:cs="Arial"/>
          <w:szCs w:val="24"/>
          <w:lang w:val="es-ES_tradnl"/>
        </w:rPr>
        <w:t>Aumento de cobertura en pregrado</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De igual manera, estos recursos han contribuido a fortalecer el aumento de cobertura en los programas de pregrado, al pasar de 17.121 estudiantes en 1995 a 37.339 estudiantes en el año 2017 tal como se observa en la figura 4.</w:t>
      </w:r>
    </w:p>
    <w:p w:rsidR="004B70EC" w:rsidRPr="004B70EC" w:rsidRDefault="004B70EC" w:rsidP="004B70EC">
      <w:pPr>
        <w:spacing w:after="240"/>
        <w:jc w:val="center"/>
        <w:rPr>
          <w:rFonts w:ascii="Arial" w:hAnsi="Arial" w:cs="Arial"/>
          <w:b/>
          <w:lang w:val="es-ES_tradnl"/>
        </w:rPr>
      </w:pPr>
      <w:r w:rsidRPr="004B70EC">
        <w:rPr>
          <w:rFonts w:ascii="Arial" w:hAnsi="Arial" w:cs="Arial"/>
          <w:b/>
          <w:lang w:val="es-ES_tradnl"/>
        </w:rPr>
        <w:t>Figura 4. Universidad de Antioquia</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Número de estudiante de pregrado 1995-2017</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Aumento de cobertura</w:t>
      </w:r>
    </w:p>
    <w:p w:rsidR="004B70EC" w:rsidRPr="004B70EC" w:rsidRDefault="004B70EC" w:rsidP="004B70EC">
      <w:pPr>
        <w:spacing w:line="360" w:lineRule="auto"/>
        <w:jc w:val="center"/>
        <w:rPr>
          <w:rFonts w:ascii="Arial" w:hAnsi="Arial" w:cs="Arial"/>
          <w:b/>
          <w:lang w:val="es-ES_tradnl"/>
        </w:rPr>
      </w:pPr>
      <w:r w:rsidRPr="004B70EC">
        <w:rPr>
          <w:rFonts w:ascii="Arial" w:hAnsi="Arial" w:cs="Arial"/>
          <w:noProof/>
          <w:color w:val="000000"/>
          <w:sz w:val="20"/>
          <w:szCs w:val="20"/>
          <w:lang w:val="es-CO" w:eastAsia="es-CO"/>
        </w:rPr>
        <w:drawing>
          <wp:inline distT="0" distB="0" distL="0" distR="0" wp14:anchorId="5223E338" wp14:editId="45D0ACF1">
            <wp:extent cx="6229350" cy="309562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34260" cy="3098065"/>
                    </a:xfrm>
                    <a:prstGeom prst="rect">
                      <a:avLst/>
                    </a:prstGeom>
                    <a:noFill/>
                    <a:ln>
                      <a:noFill/>
                    </a:ln>
                  </pic:spPr>
                </pic:pic>
              </a:graphicData>
            </a:graphic>
          </wp:inline>
        </w:drawing>
      </w:r>
    </w:p>
    <w:p w:rsidR="004B70EC" w:rsidRPr="004B70EC" w:rsidRDefault="004B70EC" w:rsidP="004B70EC">
      <w:pPr>
        <w:spacing w:line="360" w:lineRule="auto"/>
        <w:jc w:val="center"/>
        <w:rPr>
          <w:rFonts w:ascii="Arial" w:hAnsi="Arial" w:cs="Arial"/>
          <w:b/>
          <w:lang w:val="es-ES_tradnl"/>
        </w:rPr>
      </w:pPr>
    </w:p>
    <w:p w:rsidR="004B70EC" w:rsidRPr="004B70EC" w:rsidRDefault="004B70EC" w:rsidP="004B70EC">
      <w:pPr>
        <w:rPr>
          <w:rFonts w:ascii="Arial" w:hAnsi="Arial" w:cs="Arial"/>
          <w:b/>
          <w:lang w:val="es-ES_tradnl"/>
        </w:rPr>
      </w:pPr>
      <w:r w:rsidRPr="004B70EC">
        <w:rPr>
          <w:rFonts w:ascii="Arial" w:hAnsi="Arial" w:cs="Arial"/>
          <w:b/>
          <w:lang w:val="es-ES_tradnl"/>
        </w:rPr>
        <w:t>Aumento de cobertura en posgrado</w:t>
      </w:r>
    </w:p>
    <w:p w:rsidR="004B70EC" w:rsidRP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Se ha fortalecido el aumento de cobertura en programas de posgrado al pasar de 851 estudiantes en 1995 a 3.487 estudiantes en el año 2016 como se observa en la figura 5</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5. Universidad de Antioquia</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Número de estudiante de posgrado 1995-2016</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Aumento de cobertura</w:t>
      </w:r>
    </w:p>
    <w:p w:rsidR="004B70EC" w:rsidRPr="004B70EC" w:rsidRDefault="004B70EC" w:rsidP="004B70EC">
      <w:pPr>
        <w:spacing w:line="360" w:lineRule="auto"/>
        <w:jc w:val="center"/>
        <w:rPr>
          <w:rFonts w:ascii="Arial" w:hAnsi="Arial" w:cs="Arial"/>
          <w:b/>
          <w:lang w:val="es-ES_tradnl"/>
        </w:rPr>
      </w:pPr>
    </w:p>
    <w:p w:rsidR="004B70EC" w:rsidRPr="004B70EC" w:rsidRDefault="004B70EC" w:rsidP="004B70EC">
      <w:pPr>
        <w:spacing w:line="360" w:lineRule="auto"/>
        <w:jc w:val="center"/>
        <w:rPr>
          <w:rFonts w:ascii="Arial" w:hAnsi="Arial" w:cs="Arial"/>
          <w:b/>
          <w:lang w:val="es-ES_tradnl"/>
        </w:rPr>
      </w:pPr>
      <w:r w:rsidRPr="004B70EC">
        <w:rPr>
          <w:rFonts w:ascii="Arial" w:hAnsi="Arial" w:cs="Arial"/>
          <w:noProof/>
          <w:lang w:val="es-CO" w:eastAsia="es-CO"/>
        </w:rPr>
        <w:drawing>
          <wp:inline distT="0" distB="0" distL="0" distR="0" wp14:anchorId="71876BF8" wp14:editId="734601CD">
            <wp:extent cx="5905500" cy="33337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5500" cy="3333750"/>
                    </a:xfrm>
                    <a:prstGeom prst="rect">
                      <a:avLst/>
                    </a:prstGeom>
                    <a:noFill/>
                    <a:ln>
                      <a:noFill/>
                    </a:ln>
                  </pic:spPr>
                </pic:pic>
              </a:graphicData>
            </a:graphic>
          </wp:inline>
        </w:drawing>
      </w:r>
    </w:p>
    <w:p w:rsidR="004B70EC" w:rsidRPr="004B70EC" w:rsidRDefault="004B70EC" w:rsidP="004B70EC">
      <w:pPr>
        <w:spacing w:line="360" w:lineRule="auto"/>
        <w:jc w:val="center"/>
        <w:rPr>
          <w:rFonts w:ascii="Arial" w:hAnsi="Arial" w:cs="Arial"/>
          <w:b/>
          <w:lang w:val="es-ES_tradnl"/>
        </w:rPr>
      </w:pPr>
    </w:p>
    <w:p w:rsidR="004B70EC" w:rsidRPr="004B70EC" w:rsidRDefault="004B70EC" w:rsidP="004B70EC">
      <w:pPr>
        <w:rPr>
          <w:rFonts w:ascii="Arial" w:hAnsi="Arial" w:cs="Arial"/>
          <w:b/>
          <w:lang w:val="es-ES_tradnl"/>
        </w:rPr>
      </w:pPr>
      <w:r w:rsidRPr="004B70EC">
        <w:rPr>
          <w:rFonts w:ascii="Arial" w:hAnsi="Arial" w:cs="Arial"/>
          <w:b/>
          <w:lang w:val="es-ES_tradnl"/>
        </w:rPr>
        <w:t xml:space="preserve"> Proyectos estratégicos </w:t>
      </w:r>
    </w:p>
    <w:p w:rsidR="004B70EC" w:rsidRPr="004B70EC" w:rsidRDefault="004B70EC" w:rsidP="004B70EC">
      <w:pPr>
        <w:spacing w:after="240"/>
        <w:rPr>
          <w:rFonts w:ascii="Arial" w:hAnsi="Arial" w:cs="Arial"/>
          <w:lang w:val="es-ES_tradnl"/>
        </w:rPr>
      </w:pPr>
      <w:r w:rsidRPr="004B70EC">
        <w:rPr>
          <w:rFonts w:ascii="Arial" w:hAnsi="Arial" w:cs="Arial"/>
          <w:lang w:val="es-ES_tradnl"/>
        </w:rPr>
        <w:t>Entre los proyectos estratégicos financiados con recursos de la Estampilla Universidad de Antioquia de Cara al Tercer Siglo de Labor que han contribuido al desarrollo a la cobertura y la calidad de la institución están:</w:t>
      </w:r>
    </w:p>
    <w:p w:rsidR="004B70EC" w:rsidRPr="004B70EC" w:rsidRDefault="004B70EC" w:rsidP="004B70EC">
      <w:pPr>
        <w:spacing w:after="240"/>
        <w:jc w:val="both"/>
        <w:rPr>
          <w:rFonts w:ascii="Arial" w:hAnsi="Arial" w:cs="Arial"/>
          <w:b/>
          <w:lang w:val="es-ES_tradnl"/>
        </w:rPr>
      </w:pPr>
      <w:r w:rsidRPr="004B70EC">
        <w:rPr>
          <w:rFonts w:ascii="Arial" w:hAnsi="Arial" w:cs="Arial"/>
          <w:b/>
          <w:lang w:val="es-ES_tradnl"/>
        </w:rPr>
        <w:t>Construcción Bloque 19. Facultad de Ingeniería</w:t>
      </w:r>
    </w:p>
    <w:p w:rsidR="004B70EC" w:rsidRDefault="004B70EC" w:rsidP="004B70EC">
      <w:pPr>
        <w:spacing w:after="240"/>
        <w:jc w:val="both"/>
        <w:rPr>
          <w:rFonts w:ascii="Arial" w:hAnsi="Arial" w:cs="Arial"/>
          <w:lang w:val="es-ES_tradnl"/>
        </w:rPr>
      </w:pPr>
      <w:r w:rsidRPr="004B70EC">
        <w:rPr>
          <w:rFonts w:ascii="Arial" w:hAnsi="Arial" w:cs="Arial"/>
          <w:lang w:val="es-ES_tradnl"/>
        </w:rPr>
        <w:t>Este edificio cuenta con un área de construcción de 12.000 m</w:t>
      </w:r>
      <w:r w:rsidRPr="004B70EC">
        <w:rPr>
          <w:rFonts w:ascii="Arial" w:hAnsi="Arial" w:cs="Arial"/>
          <w:vertAlign w:val="superscript"/>
          <w:lang w:val="es-ES_tradnl"/>
        </w:rPr>
        <w:t>2</w:t>
      </w:r>
      <w:r w:rsidRPr="004B70EC">
        <w:rPr>
          <w:rFonts w:ascii="Arial" w:hAnsi="Arial" w:cs="Arial"/>
          <w:lang w:val="es-ES_tradnl"/>
        </w:rPr>
        <w:t>, para atender pregrado y posgrado con una capacidad de 1.500 estudiantes y 200 profesores. La inversión de este proyecto fue de 17.000 millones de pesos, de los cuales se financiaron con crédito línea de crédito Findeter 7.000 millones de pesos y el resto con recursos de la Estampilla.</w:t>
      </w:r>
    </w:p>
    <w:p w:rsidR="004B70EC" w:rsidRPr="004B70EC" w:rsidRDefault="004B70EC" w:rsidP="004B70EC">
      <w:pPr>
        <w:spacing w:after="240"/>
        <w:jc w:val="both"/>
        <w:rPr>
          <w:rFonts w:ascii="Arial" w:hAnsi="Arial" w:cs="Arial"/>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Figura 6. Edificios bloque 19</w:t>
      </w:r>
    </w:p>
    <w:p w:rsidR="004B70EC" w:rsidRPr="004B70EC" w:rsidRDefault="004B70EC" w:rsidP="004B70EC">
      <w:pPr>
        <w:spacing w:line="360" w:lineRule="auto"/>
        <w:jc w:val="both"/>
        <w:rPr>
          <w:rFonts w:ascii="Arial" w:hAnsi="Arial" w:cs="Arial"/>
          <w:lang w:val="es-ES_tradnl"/>
        </w:rPr>
      </w:pPr>
      <w:r w:rsidRPr="004B70EC">
        <w:rPr>
          <w:rFonts w:ascii="Arial" w:hAnsi="Arial" w:cs="Arial"/>
          <w:noProof/>
          <w:lang w:val="es-CO" w:eastAsia="es-CO"/>
        </w:rPr>
        <w:drawing>
          <wp:inline distT="0" distB="0" distL="0" distR="0" wp14:anchorId="5FC0074A" wp14:editId="64E4786C">
            <wp:extent cx="2162175" cy="2505075"/>
            <wp:effectExtent l="0" t="0" r="9525" b="9525"/>
            <wp:docPr id="29" name="Imagen 29" descr="Descripción: Bloque ingenie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Descripción: Bloque ingenieria.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2175" cy="2505075"/>
                    </a:xfrm>
                    <a:prstGeom prst="rect">
                      <a:avLst/>
                    </a:prstGeom>
                    <a:noFill/>
                    <a:ln>
                      <a:noFill/>
                    </a:ln>
                  </pic:spPr>
                </pic:pic>
              </a:graphicData>
            </a:graphic>
          </wp:inline>
        </w:drawing>
      </w:r>
      <w:r w:rsidRPr="004B70EC">
        <w:rPr>
          <w:rFonts w:ascii="Arial" w:hAnsi="Arial" w:cs="Arial"/>
          <w:lang w:val="es-ES_tradnl"/>
        </w:rPr>
        <w:tab/>
      </w:r>
      <w:r w:rsidRPr="004B70EC">
        <w:rPr>
          <w:rFonts w:ascii="Arial" w:hAnsi="Arial" w:cs="Arial"/>
          <w:noProof/>
          <w:lang w:val="es-CO" w:eastAsia="es-CO"/>
        </w:rPr>
        <w:drawing>
          <wp:inline distT="0" distB="0" distL="0" distR="0" wp14:anchorId="2BECBF92" wp14:editId="347E12F1">
            <wp:extent cx="2190320" cy="2190820"/>
            <wp:effectExtent l="152400" t="152400" r="362585" b="361950"/>
            <wp:docPr id="28" name="Imagen 28" descr="IMG_15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descr="IMG_1549.tif"/>
                    <pic:cNvPicPr>
                      <a:picLocks noChangeAspect="1"/>
                    </pic:cNvPicPr>
                  </pic:nvPicPr>
                  <pic:blipFill>
                    <a:blip r:embed="rId15"/>
                    <a:stretch>
                      <a:fillRect/>
                    </a:stretch>
                  </pic:blipFill>
                  <pic:spPr>
                    <a:xfrm>
                      <a:off x="0" y="0"/>
                      <a:ext cx="2190115" cy="2190750"/>
                    </a:xfrm>
                    <a:prstGeom prst="rect">
                      <a:avLst/>
                    </a:prstGeom>
                    <a:ln>
                      <a:noFill/>
                    </a:ln>
                    <a:effectLst>
                      <a:outerShdw blurRad="292100" dist="139700" dir="2700000" algn="tl" rotWithShape="0">
                        <a:srgbClr val="333333">
                          <a:alpha val="65000"/>
                        </a:srgbClr>
                      </a:outerShdw>
                    </a:effectLst>
                  </pic:spPr>
                </pic:pic>
              </a:graphicData>
            </a:graphic>
          </wp:inline>
        </w:drawing>
      </w:r>
    </w:p>
    <w:p w:rsidR="004B70EC" w:rsidRPr="004B70EC" w:rsidRDefault="004B70EC" w:rsidP="004B70EC">
      <w:pPr>
        <w:spacing w:after="240"/>
        <w:jc w:val="both"/>
        <w:rPr>
          <w:rFonts w:ascii="Arial" w:hAnsi="Arial" w:cs="Arial"/>
          <w:b/>
          <w:lang w:val="es-ES_tradnl"/>
        </w:rPr>
      </w:pPr>
      <w:r w:rsidRPr="004B70EC">
        <w:rPr>
          <w:rFonts w:ascii="Arial" w:hAnsi="Arial" w:cs="Arial"/>
          <w:b/>
          <w:lang w:val="es-ES_tradnl"/>
        </w:rPr>
        <w:t>Modernización de laboratorios, adecuaciones físicas, equipos de cómputo y ayudas audiovisuales para la docencia de la Universidad de Antioquia</w:t>
      </w:r>
    </w:p>
    <w:p w:rsidR="004B70EC" w:rsidRPr="004B70EC" w:rsidRDefault="004B70EC" w:rsidP="004B70EC">
      <w:pPr>
        <w:spacing w:after="240"/>
        <w:jc w:val="both"/>
        <w:rPr>
          <w:rFonts w:ascii="Arial" w:hAnsi="Arial" w:cs="Arial"/>
          <w:b/>
          <w:lang w:val="es-ES_tradnl"/>
        </w:rPr>
      </w:pPr>
      <w:r w:rsidRPr="004B70EC">
        <w:rPr>
          <w:rFonts w:ascii="Arial" w:hAnsi="Arial" w:cs="Arial"/>
          <w:lang w:val="es-ES_tradnl"/>
        </w:rPr>
        <w:t>La administración de la Universidad ha realizado inversiones en la modernización de laboratorios para docencia y adecuaciones en las facultades de Ingenierías, Ciencias Exactas y Naturales, Medicina, Ciencias Agrarias, Odontología, Química Farmacéutica, Salud Pública, Comunicaciones, Enfermería, Ciencias Económicas, Educación, Ciencias Sociales y Humanas, Instituto de Educación Física y Escuela de Microbiología, entre otras, con recursos de la Estampilla y con línea crédito Findeter por la suma de 23.000 millones de pesos.</w:t>
      </w:r>
    </w:p>
    <w:p w:rsidR="004B70EC" w:rsidRPr="004B70EC" w:rsidRDefault="004B70EC" w:rsidP="004B70EC">
      <w:pPr>
        <w:spacing w:after="240"/>
        <w:jc w:val="both"/>
        <w:rPr>
          <w:rFonts w:ascii="Arial" w:hAnsi="Arial" w:cs="Arial"/>
          <w:b/>
          <w:lang w:val="es-ES_tradnl"/>
        </w:rPr>
      </w:pPr>
      <w:r w:rsidRPr="004B70EC">
        <w:rPr>
          <w:rFonts w:ascii="Arial" w:hAnsi="Arial" w:cs="Arial"/>
          <w:b/>
          <w:lang w:val="es-ES_tradnl"/>
        </w:rPr>
        <w:t>Figura 7. Laboratorio de inmunología y Laboratorio de Microbiología</w:t>
      </w:r>
    </w:p>
    <w:p w:rsidR="004B70EC" w:rsidRPr="004B70EC" w:rsidRDefault="004B70EC" w:rsidP="004B70EC">
      <w:pPr>
        <w:spacing w:line="360" w:lineRule="auto"/>
        <w:ind w:firstLine="709"/>
        <w:jc w:val="both"/>
        <w:rPr>
          <w:rFonts w:ascii="Arial" w:hAnsi="Arial" w:cs="Arial"/>
          <w:lang w:val="es-ES_tradnl"/>
        </w:rPr>
      </w:pPr>
      <w:r w:rsidRPr="004B70EC">
        <w:rPr>
          <w:rFonts w:ascii="Arial" w:hAnsi="Arial" w:cs="Arial"/>
          <w:noProof/>
          <w:lang w:val="es-CO" w:eastAsia="es-CO"/>
        </w:rPr>
        <w:drawing>
          <wp:anchor distT="0" distB="0" distL="114300" distR="114300" simplePos="0" relativeHeight="251661312" behindDoc="0" locked="0" layoutInCell="1" allowOverlap="1" wp14:anchorId="63A9654A" wp14:editId="749FBB7F">
            <wp:simplePos x="0" y="0"/>
            <wp:positionH relativeFrom="column">
              <wp:posOffset>3453765</wp:posOffset>
            </wp:positionH>
            <wp:positionV relativeFrom="paragraph">
              <wp:posOffset>39370</wp:posOffset>
            </wp:positionV>
            <wp:extent cx="2057400" cy="1608455"/>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7400"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noProof/>
          <w:lang w:val="es-CO" w:eastAsia="es-CO"/>
        </w:rPr>
        <w:drawing>
          <wp:inline distT="0" distB="0" distL="0" distR="0" wp14:anchorId="2EE8DB64" wp14:editId="36356684">
            <wp:extent cx="1981200" cy="16383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81200" cy="1638300"/>
                    </a:xfrm>
                    <a:prstGeom prst="rect">
                      <a:avLst/>
                    </a:prstGeom>
                    <a:noFill/>
                    <a:ln>
                      <a:noFill/>
                    </a:ln>
                  </pic:spPr>
                </pic:pic>
              </a:graphicData>
            </a:graphic>
          </wp:inline>
        </w:drawing>
      </w:r>
    </w:p>
    <w:p w:rsidR="004B70EC" w:rsidRPr="004B70EC" w:rsidRDefault="004B70EC" w:rsidP="004B70EC">
      <w:pPr>
        <w:spacing w:after="240" w:line="360" w:lineRule="auto"/>
        <w:jc w:val="both"/>
        <w:rPr>
          <w:rFonts w:ascii="Arial" w:hAnsi="Arial" w:cs="Arial"/>
          <w:highlight w:val="yellow"/>
          <w:lang w:val="es-ES_tradnl"/>
        </w:rPr>
      </w:pPr>
    </w:p>
    <w:p w:rsidR="004B70EC" w:rsidRPr="004B70EC" w:rsidRDefault="004B70EC" w:rsidP="004B70EC">
      <w:pPr>
        <w:spacing w:after="240"/>
        <w:jc w:val="both"/>
        <w:rPr>
          <w:rFonts w:ascii="Arial" w:hAnsi="Arial" w:cs="Arial"/>
          <w:b/>
          <w:lang w:val="es-ES_tradnl"/>
        </w:rPr>
      </w:pPr>
      <w:r w:rsidRPr="004B70EC">
        <w:rPr>
          <w:rFonts w:ascii="Arial" w:hAnsi="Arial" w:cs="Arial"/>
          <w:b/>
          <w:lang w:val="es-ES_tradnl"/>
        </w:rPr>
        <w:t xml:space="preserve"> Restauración Facultad de Medicina</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En la Facultad de Medicina se han restaurado los edificios de Bioquímica, Morfología y Central, facilitando ampliar los espacios para la docencia y la extensión. Este proyecto se ejecutó con inversión de 24.000 millones de pesos, de los cuales 20.000 millones de pesos se financiaron con la línea de crédito Findeter.</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8. Facultad de Medicina:</w:t>
      </w:r>
      <w:r w:rsidRPr="004B70EC">
        <w:rPr>
          <w:rFonts w:ascii="Arial" w:hAnsi="Arial" w:cs="Arial"/>
          <w:b/>
          <w:lang w:val="es-ES_tradnl"/>
        </w:rPr>
        <w:br/>
        <w:t>Morfología, Bioquímica y Edificio Central</w:t>
      </w:r>
    </w:p>
    <w:p w:rsidR="004B70EC" w:rsidRPr="004B70EC" w:rsidRDefault="004B70EC" w:rsidP="004B70EC">
      <w:pPr>
        <w:tabs>
          <w:tab w:val="left" w:pos="4755"/>
        </w:tabs>
        <w:spacing w:line="360" w:lineRule="auto"/>
        <w:rPr>
          <w:rFonts w:ascii="Arial" w:hAnsi="Arial" w:cs="Arial"/>
          <w:b/>
          <w:lang w:val="es-ES_tradnl"/>
        </w:rPr>
      </w:pPr>
      <w:r w:rsidRPr="004B70EC">
        <w:rPr>
          <w:rFonts w:ascii="Arial" w:hAnsi="Arial" w:cs="Arial"/>
          <w:noProof/>
          <w:lang w:val="es-CO" w:eastAsia="es-CO"/>
        </w:rPr>
        <w:drawing>
          <wp:anchor distT="0" distB="0" distL="114300" distR="114300" simplePos="0" relativeHeight="251664384" behindDoc="0" locked="0" layoutInCell="1" allowOverlap="1" wp14:anchorId="39AAB1F7" wp14:editId="647A2CAA">
            <wp:simplePos x="0" y="0"/>
            <wp:positionH relativeFrom="column">
              <wp:posOffset>4166870</wp:posOffset>
            </wp:positionH>
            <wp:positionV relativeFrom="paragraph">
              <wp:posOffset>97790</wp:posOffset>
            </wp:positionV>
            <wp:extent cx="2024380" cy="1939925"/>
            <wp:effectExtent l="0" t="0" r="0" b="317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24380" cy="1939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noProof/>
          <w:lang w:val="es-CO" w:eastAsia="es-CO"/>
        </w:rPr>
        <w:drawing>
          <wp:anchor distT="0" distB="0" distL="114300" distR="114300" simplePos="0" relativeHeight="251663360" behindDoc="0" locked="0" layoutInCell="1" allowOverlap="1" wp14:anchorId="3E107117" wp14:editId="17CF5873">
            <wp:simplePos x="0" y="0"/>
            <wp:positionH relativeFrom="column">
              <wp:posOffset>2021840</wp:posOffset>
            </wp:positionH>
            <wp:positionV relativeFrom="paragraph">
              <wp:posOffset>116205</wp:posOffset>
            </wp:positionV>
            <wp:extent cx="1906270" cy="193040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06270"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noProof/>
          <w:lang w:val="es-CO" w:eastAsia="es-CO"/>
        </w:rPr>
        <w:drawing>
          <wp:anchor distT="0" distB="0" distL="114300" distR="114300" simplePos="0" relativeHeight="251662336" behindDoc="1" locked="0" layoutInCell="1" allowOverlap="1" wp14:anchorId="0880E622" wp14:editId="54095C39">
            <wp:simplePos x="0" y="0"/>
            <wp:positionH relativeFrom="column">
              <wp:posOffset>-104775</wp:posOffset>
            </wp:positionH>
            <wp:positionV relativeFrom="paragraph">
              <wp:posOffset>165735</wp:posOffset>
            </wp:positionV>
            <wp:extent cx="1924050" cy="1933575"/>
            <wp:effectExtent l="0" t="0" r="0"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2405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0EC" w:rsidRPr="004B70EC" w:rsidRDefault="004B70EC" w:rsidP="004B70EC">
      <w:pPr>
        <w:tabs>
          <w:tab w:val="left" w:pos="4755"/>
        </w:tabs>
        <w:spacing w:after="240"/>
        <w:rPr>
          <w:rFonts w:ascii="Arial" w:hAnsi="Arial" w:cs="Arial"/>
          <w:b/>
          <w:lang w:val="es-ES_tradnl"/>
        </w:rPr>
      </w:pPr>
      <w:r w:rsidRPr="004B70EC">
        <w:rPr>
          <w:rFonts w:ascii="Arial" w:hAnsi="Arial" w:cs="Arial"/>
          <w:highlight w:val="yellow"/>
          <w:lang w:val="es-ES_tradnl"/>
        </w:rPr>
        <w:t>#1</w:t>
      </w:r>
      <w:r w:rsidRPr="004B70EC">
        <w:rPr>
          <w:rFonts w:ascii="Arial" w:hAnsi="Arial" w:cs="Arial"/>
          <w:lang w:val="es-ES_tradnl"/>
        </w:rPr>
        <w:t xml:space="preserve"> Adecuación planta </w:t>
      </w:r>
      <w:r w:rsidRPr="004B70EC">
        <w:rPr>
          <w:rFonts w:ascii="Arial" w:hAnsi="Arial" w:cs="Arial"/>
          <w:b/>
          <w:lang w:val="es-ES_tradnl"/>
        </w:rPr>
        <w:t>Planta física Sede Robledo</w:t>
      </w:r>
    </w:p>
    <w:p w:rsidR="004B70EC" w:rsidRDefault="004B70EC" w:rsidP="004B70EC">
      <w:pPr>
        <w:jc w:val="both"/>
        <w:rPr>
          <w:rFonts w:ascii="Arial" w:hAnsi="Arial" w:cs="Arial"/>
          <w:lang w:val="es-ES_tradnl"/>
        </w:rPr>
      </w:pPr>
      <w:r w:rsidRPr="004B70EC">
        <w:rPr>
          <w:rFonts w:ascii="Arial" w:hAnsi="Arial" w:cs="Arial"/>
          <w:lang w:val="es-ES_tradnl"/>
        </w:rPr>
        <w:t>Se adecuaron los espacios de la planta física de la Sede Robledo, que se encontraban en alto grado de deterioro; se construyó el Coliseo para una capacidad de 1.000 personas. La inversión ejecutada fue por un valor de 6.500 millones de pesos, de los cuales 5.000 millones de pesos se financiaron con línea de crédito Findeter.</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Figura 9. Ciudadela Robledo, construcción Coliseo</w:t>
      </w:r>
    </w:p>
    <w:p w:rsidR="004B70EC" w:rsidRPr="004B70EC" w:rsidRDefault="004B70EC" w:rsidP="004B70EC">
      <w:pPr>
        <w:spacing w:line="360" w:lineRule="auto"/>
        <w:jc w:val="both"/>
        <w:rPr>
          <w:rFonts w:ascii="Arial" w:hAnsi="Arial" w:cs="Arial"/>
          <w:b/>
          <w:lang w:val="es-ES_tradnl"/>
        </w:rPr>
      </w:pPr>
      <w:r w:rsidRPr="004B70EC">
        <w:rPr>
          <w:rFonts w:ascii="Arial" w:hAnsi="Arial" w:cs="Arial"/>
          <w:noProof/>
          <w:lang w:val="es-CO" w:eastAsia="es-CO"/>
        </w:rPr>
        <w:drawing>
          <wp:anchor distT="0" distB="0" distL="114300" distR="114300" simplePos="0" relativeHeight="251665408" behindDoc="0" locked="0" layoutInCell="1" allowOverlap="1" wp14:anchorId="0623E78E" wp14:editId="2A76D4D4">
            <wp:simplePos x="0" y="0"/>
            <wp:positionH relativeFrom="column">
              <wp:posOffset>-3810</wp:posOffset>
            </wp:positionH>
            <wp:positionV relativeFrom="paragraph">
              <wp:posOffset>33655</wp:posOffset>
            </wp:positionV>
            <wp:extent cx="2550160" cy="1936750"/>
            <wp:effectExtent l="0" t="0" r="2540" b="635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0160" cy="193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b/>
          <w:noProof/>
          <w:lang w:val="es-CO" w:eastAsia="es-CO"/>
        </w:rPr>
        <w:drawing>
          <wp:inline distT="0" distB="0" distL="0" distR="0" wp14:anchorId="2BCFA33B" wp14:editId="57B5DC95">
            <wp:extent cx="2165087" cy="1880131"/>
            <wp:effectExtent l="152400" t="152400" r="368935" b="368300"/>
            <wp:docPr id="26" name="Imagen 26" descr="DSC09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descr="DSC09092.JPG"/>
                    <pic:cNvPicPr>
                      <a:picLocks noChangeAspect="1"/>
                    </pic:cNvPicPr>
                  </pic:nvPicPr>
                  <pic:blipFill>
                    <a:blip r:embed="rId22"/>
                    <a:stretch>
                      <a:fillRect/>
                    </a:stretch>
                  </pic:blipFill>
                  <pic:spPr>
                    <a:xfrm>
                      <a:off x="0" y="0"/>
                      <a:ext cx="2164715" cy="1879600"/>
                    </a:xfrm>
                    <a:prstGeom prst="rect">
                      <a:avLst/>
                    </a:prstGeom>
                    <a:ln>
                      <a:noFill/>
                    </a:ln>
                    <a:effectLst>
                      <a:outerShdw blurRad="292100" dist="139700" dir="2700000" algn="tl" rotWithShape="0">
                        <a:srgbClr val="333333">
                          <a:alpha val="65000"/>
                        </a:srgbClr>
                      </a:outerShdw>
                    </a:effectLst>
                  </pic:spPr>
                </pic:pic>
              </a:graphicData>
            </a:graphic>
          </wp:inline>
        </w:drawing>
      </w:r>
      <w:r w:rsidRPr="004B70EC">
        <w:rPr>
          <w:rFonts w:ascii="Arial" w:hAnsi="Arial" w:cs="Arial"/>
          <w:b/>
          <w:lang w:val="es-ES_tradnl"/>
        </w:rPr>
        <w:tab/>
      </w:r>
    </w:p>
    <w:p w:rsidR="004B70EC" w:rsidRPr="004B70EC" w:rsidRDefault="004B70EC" w:rsidP="004B70EC">
      <w:pPr>
        <w:spacing w:after="240"/>
        <w:jc w:val="both"/>
        <w:rPr>
          <w:rFonts w:ascii="Arial" w:hAnsi="Arial" w:cs="Arial"/>
          <w:b/>
          <w:lang w:val="es-ES_tradnl"/>
        </w:rPr>
      </w:pPr>
      <w:r w:rsidRPr="004B70EC">
        <w:rPr>
          <w:rFonts w:ascii="Arial" w:hAnsi="Arial" w:cs="Arial"/>
          <w:b/>
          <w:lang w:val="es-ES_tradnl"/>
        </w:rPr>
        <w:t>Reposición redes hidrosanitarias Ciudad Universitaria y Sede Robledo</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Se instalaron nuevas redes hidrosanitarias (acueducto, alcantarillado y aguas lluvias), construidas con la mejor tecnología ya que se agotó la vida útil de las existentes luego de cuarenta años. Estos proyectos se financiaron con un crédito con Empresas Públicas de Medellín por valor de 10.918 millones de pesos.</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10. Red hidrosanitaria Ciudad Universitaria</w:t>
      </w: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r w:rsidRPr="004B70EC">
        <w:rPr>
          <w:rFonts w:ascii="Arial" w:hAnsi="Arial" w:cs="Arial"/>
          <w:noProof/>
          <w:lang w:val="es-CO" w:eastAsia="es-CO"/>
        </w:rPr>
        <w:drawing>
          <wp:anchor distT="0" distB="0" distL="114300" distR="114300" simplePos="0" relativeHeight="251670528" behindDoc="0" locked="0" layoutInCell="1" allowOverlap="1" wp14:anchorId="76DC2B46" wp14:editId="777512E3">
            <wp:simplePos x="0" y="0"/>
            <wp:positionH relativeFrom="column">
              <wp:posOffset>0</wp:posOffset>
            </wp:positionH>
            <wp:positionV relativeFrom="paragraph">
              <wp:posOffset>0</wp:posOffset>
            </wp:positionV>
            <wp:extent cx="2422525" cy="2811145"/>
            <wp:effectExtent l="0" t="0" r="0" b="8255"/>
            <wp:wrapTopAndBottom/>
            <wp:docPr id="41" name="Imagen 41" descr="23 de abril 07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3 de abril 07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2525" cy="2811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noProof/>
          <w:lang w:val="es-CO" w:eastAsia="es-CO"/>
        </w:rPr>
        <w:drawing>
          <wp:anchor distT="0" distB="0" distL="114300" distR="114300" simplePos="0" relativeHeight="251666432" behindDoc="0" locked="0" layoutInCell="1" allowOverlap="1" wp14:anchorId="61629569" wp14:editId="1E0ABC3B">
            <wp:simplePos x="0" y="0"/>
            <wp:positionH relativeFrom="column">
              <wp:posOffset>2834640</wp:posOffset>
            </wp:positionH>
            <wp:positionV relativeFrom="paragraph">
              <wp:posOffset>-5080</wp:posOffset>
            </wp:positionV>
            <wp:extent cx="2778760" cy="2533650"/>
            <wp:effectExtent l="0" t="0" r="254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8760"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0EC" w:rsidRPr="004B70EC" w:rsidRDefault="004B70EC" w:rsidP="004B70EC">
      <w:pPr>
        <w:jc w:val="both"/>
        <w:rPr>
          <w:rFonts w:ascii="Arial" w:hAnsi="Arial" w:cs="Arial"/>
          <w:b/>
          <w:lang w:val="es-ES_tradnl"/>
        </w:rPr>
      </w:pPr>
      <w:r w:rsidRPr="004B70EC">
        <w:rPr>
          <w:rFonts w:ascii="Arial" w:hAnsi="Arial" w:cs="Arial"/>
          <w:b/>
          <w:lang w:val="es-ES_tradnl"/>
        </w:rPr>
        <w:t xml:space="preserve"> Edificio de Posgrados</w:t>
      </w:r>
    </w:p>
    <w:p w:rsidR="004B70EC" w:rsidRDefault="004B70EC" w:rsidP="004B70EC">
      <w:pPr>
        <w:jc w:val="both"/>
        <w:rPr>
          <w:rFonts w:ascii="Arial" w:hAnsi="Arial" w:cs="Arial"/>
          <w:lang w:val="es-ES_tradnl"/>
        </w:rPr>
      </w:pPr>
      <w:r w:rsidRPr="004B70EC">
        <w:rPr>
          <w:rFonts w:ascii="Arial" w:hAnsi="Arial" w:cs="Arial"/>
          <w:lang w:val="es-ES_tradnl"/>
        </w:rPr>
        <w:t>Este edificio comprende un área de 6.374 m</w:t>
      </w:r>
      <w:r w:rsidRPr="004B70EC">
        <w:rPr>
          <w:rFonts w:ascii="Arial" w:hAnsi="Arial" w:cs="Arial"/>
          <w:vertAlign w:val="superscript"/>
          <w:lang w:val="es-ES_tradnl"/>
        </w:rPr>
        <w:t>2</w:t>
      </w:r>
      <w:r w:rsidRPr="004B70EC">
        <w:rPr>
          <w:rFonts w:ascii="Arial" w:hAnsi="Arial" w:cs="Arial"/>
          <w:lang w:val="es-ES_tradnl"/>
        </w:rPr>
        <w:t>, veinte aulas para maestría y diez doctorados, aula multimedia, áreas administrativas y cafetería, con una inversión de 4.334 millones de pesos.</w:t>
      </w:r>
    </w:p>
    <w:p w:rsidR="004B70EC" w:rsidRDefault="004B70EC"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Pr="004B70EC" w:rsidRDefault="00545533" w:rsidP="004B70EC">
      <w:pPr>
        <w:jc w:val="both"/>
        <w:rPr>
          <w:rFonts w:ascii="Arial" w:hAnsi="Arial" w:cs="Arial"/>
          <w:lang w:val="es-ES_tradnl"/>
        </w:rPr>
      </w:pP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11. Edificio de Posgrados</w:t>
      </w:r>
    </w:p>
    <w:p w:rsidR="004B70EC" w:rsidRPr="004B70EC" w:rsidRDefault="004B70EC" w:rsidP="004B70EC">
      <w:pPr>
        <w:pStyle w:val="Textoindependiente2"/>
        <w:spacing w:before="240" w:after="240" w:line="360" w:lineRule="auto"/>
        <w:jc w:val="both"/>
        <w:rPr>
          <w:rFonts w:ascii="Arial" w:hAnsi="Arial" w:cs="Arial"/>
          <w:color w:val="222222"/>
          <w:szCs w:val="24"/>
          <w:highlight w:val="yellow"/>
          <w:shd w:val="clear" w:color="auto" w:fill="FFFFFF"/>
          <w:lang w:val="es-ES_tradnl" w:eastAsia="es-CO"/>
        </w:rPr>
      </w:pPr>
      <w:r w:rsidRPr="004B70EC">
        <w:rPr>
          <w:rFonts w:ascii="Arial" w:hAnsi="Arial" w:cs="Arial"/>
          <w:noProof/>
          <w:szCs w:val="24"/>
          <w:highlight w:val="yellow"/>
          <w:lang w:val="es-CO" w:eastAsia="es-CO"/>
        </w:rPr>
        <w:drawing>
          <wp:anchor distT="0" distB="0" distL="114300" distR="114300" simplePos="0" relativeHeight="251669504" behindDoc="0" locked="0" layoutInCell="1" allowOverlap="1" wp14:anchorId="1CE3EA2B" wp14:editId="6E9B3914">
            <wp:simplePos x="0" y="0"/>
            <wp:positionH relativeFrom="column">
              <wp:posOffset>0</wp:posOffset>
            </wp:positionH>
            <wp:positionV relativeFrom="paragraph">
              <wp:posOffset>3810</wp:posOffset>
            </wp:positionV>
            <wp:extent cx="3302635" cy="1617345"/>
            <wp:effectExtent l="0" t="0" r="0" b="190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2635" cy="1617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0EC" w:rsidRPr="004B70EC" w:rsidRDefault="004B70EC" w:rsidP="004B70EC">
      <w:pPr>
        <w:pStyle w:val="Textoindependiente2"/>
        <w:spacing w:before="240" w:after="240"/>
        <w:jc w:val="both"/>
        <w:rPr>
          <w:rFonts w:ascii="Arial" w:hAnsi="Arial" w:cs="Arial"/>
          <w:color w:val="222222"/>
          <w:szCs w:val="24"/>
          <w:shd w:val="clear" w:color="auto" w:fill="FFFFFF"/>
          <w:lang w:val="es-ES_tradnl" w:eastAsia="es-CO"/>
        </w:rPr>
      </w:pPr>
      <w:r w:rsidRPr="004B70EC">
        <w:rPr>
          <w:rFonts w:ascii="Arial" w:hAnsi="Arial" w:cs="Arial"/>
          <w:color w:val="222222"/>
          <w:szCs w:val="24"/>
          <w:shd w:val="clear" w:color="auto" w:fill="FFFFFF"/>
          <w:lang w:val="es-ES_tradnl" w:eastAsia="es-CO"/>
        </w:rPr>
        <w:t>Investigación</w:t>
      </w:r>
    </w:p>
    <w:p w:rsidR="004B70EC" w:rsidRPr="004B70EC" w:rsidRDefault="004B70EC" w:rsidP="004B70EC">
      <w:pPr>
        <w:jc w:val="both"/>
        <w:rPr>
          <w:rFonts w:ascii="Arial" w:hAnsi="Arial" w:cs="Arial"/>
          <w:lang w:val="es-ES_tradnl" w:eastAsia="es-CO"/>
        </w:rPr>
      </w:pPr>
      <w:r w:rsidRPr="004B70EC">
        <w:rPr>
          <w:rFonts w:ascii="Arial" w:hAnsi="Arial" w:cs="Arial"/>
          <w:lang w:val="es-ES_tradnl" w:eastAsia="es-CO"/>
        </w:rPr>
        <w:t xml:space="preserve">La Universidad de Antioquia es la segunda universidad investigadora de Colombia; es la segunda universidad en Colombia y Latinoamérica en el </w:t>
      </w:r>
      <w:r w:rsidRPr="004B70EC">
        <w:rPr>
          <w:rFonts w:ascii="Arial" w:hAnsi="Arial" w:cs="Arial"/>
          <w:i/>
          <w:lang w:val="es-ES_tradnl" w:eastAsia="es-CO"/>
        </w:rPr>
        <w:t>ranking</w:t>
      </w:r>
      <w:r w:rsidRPr="004B70EC">
        <w:rPr>
          <w:rFonts w:ascii="Arial" w:hAnsi="Arial" w:cs="Arial"/>
          <w:lang w:val="es-ES_tradnl" w:eastAsia="es-CO"/>
        </w:rPr>
        <w:t xml:space="preserve"> </w:t>
      </w:r>
      <w:r w:rsidRPr="004B70EC">
        <w:rPr>
          <w:rFonts w:ascii="Arial" w:hAnsi="Arial" w:cs="Arial"/>
          <w:i/>
          <w:lang w:val="es-ES_tradnl" w:eastAsia="es-CO"/>
        </w:rPr>
        <w:t>Scimago,</w:t>
      </w:r>
      <w:r w:rsidRPr="004B70EC">
        <w:rPr>
          <w:rFonts w:ascii="Arial" w:hAnsi="Arial" w:cs="Arial"/>
          <w:lang w:val="es-ES_tradnl" w:eastAsia="es-CO"/>
        </w:rPr>
        <w:t xml:space="preserve"> y lidera en el país los temas de investigación en astronomía, alzhéimer y enfermedades tropicales. De igual manera, se ha consolidado como una de las principales universidades públicas a nivel nacional en términos de demanda y población estudiantil, calidad académica e infraestructura.</w:t>
      </w:r>
    </w:p>
    <w:p w:rsidR="004B70EC" w:rsidRPr="004B70EC" w:rsidRDefault="004B70EC" w:rsidP="004B70EC">
      <w:pPr>
        <w:jc w:val="both"/>
        <w:rPr>
          <w:rFonts w:ascii="Arial" w:hAnsi="Arial" w:cs="Arial"/>
          <w:lang w:val="es-ES_tradnl"/>
        </w:rPr>
      </w:pPr>
      <w:r w:rsidRPr="004B70EC">
        <w:rPr>
          <w:rFonts w:ascii="Arial" w:hAnsi="Arial" w:cs="Arial"/>
          <w:kern w:val="24"/>
          <w:lang w:val="es-ES_tradnl"/>
        </w:rPr>
        <w:t>La Universidad de Antioquia produce investigación básica y aplicada en todas las áreas de conocimiento, siendo el área de la salud la que mayor contribuye en proyectos de investigación con el 55 % y la Facultad de Medicina participa con el 23 %. El área de ciencias exactas y naturales, ingeniería y ciencias económicas con el 23 % y el 22 % en ciencias sociales.</w:t>
      </w:r>
    </w:p>
    <w:p w:rsidR="004B70EC" w:rsidRPr="004B70EC" w:rsidRDefault="004B70EC" w:rsidP="004B70EC">
      <w:pPr>
        <w:contextualSpacing/>
        <w:jc w:val="both"/>
        <w:rPr>
          <w:rFonts w:ascii="Arial" w:hAnsi="Arial" w:cs="Arial"/>
          <w:kern w:val="24"/>
          <w:lang w:val="es-ES_tradnl"/>
        </w:rPr>
      </w:pPr>
      <w:r w:rsidRPr="004B70EC">
        <w:rPr>
          <w:rFonts w:ascii="Arial" w:hAnsi="Arial" w:cs="Arial"/>
          <w:kern w:val="24"/>
          <w:lang w:val="es-ES_tradnl"/>
        </w:rPr>
        <w:t>La Universidad de Antioquia ha tenido crecimiento progresivo en su producción científica en la base de Scopus y se han ampliado los ejes temáticos en investigación reconocidos por Elsevier al pasar de investigar 16 temas en el año 1996 a hoy 27. De igual manera con la publicación de más de 1.000 artículos en el año 2017 con incremento de 363 % con respecto al año 2006, cuando se publicaron 301.</w:t>
      </w:r>
    </w:p>
    <w:p w:rsidR="004B70EC" w:rsidRPr="004B70EC" w:rsidRDefault="004B70EC" w:rsidP="004B70EC">
      <w:pPr>
        <w:contextualSpacing/>
        <w:jc w:val="both"/>
        <w:rPr>
          <w:rFonts w:ascii="Arial" w:hAnsi="Arial" w:cs="Arial"/>
          <w:kern w:val="24"/>
          <w:lang w:val="es-ES_tradnl"/>
        </w:rPr>
      </w:pPr>
      <w:r w:rsidRPr="004B70EC">
        <w:rPr>
          <w:rFonts w:ascii="Arial" w:hAnsi="Arial" w:cs="Arial"/>
          <w:kern w:val="24"/>
          <w:lang w:val="es-ES_tradnl"/>
        </w:rPr>
        <w:t>Es importante resaltar la evolución en proyectos de investigación en el periodo 1998-2017, al pasar de 644 a 1.186, respectivamente (figura 12). Asimismo, en recursos asignados y ejecutados de 27.270 millones a 259.803 millones de pesos en el mismo periodo en mención (figura 13) y la participación tanto de investigadores internos y externos, como estudiantes (figura 14).</w:t>
      </w:r>
    </w:p>
    <w:p w:rsidR="004B70EC" w:rsidRPr="004B70EC" w:rsidRDefault="004B70EC" w:rsidP="004B70EC">
      <w:pPr>
        <w:spacing w:before="240"/>
        <w:jc w:val="center"/>
        <w:rPr>
          <w:rFonts w:ascii="Arial" w:hAnsi="Arial" w:cs="Arial"/>
          <w:b/>
          <w:lang w:val="es-ES_tradnl"/>
        </w:rPr>
      </w:pPr>
      <w:r w:rsidRPr="004B70EC">
        <w:rPr>
          <w:rFonts w:ascii="Arial" w:hAnsi="Arial" w:cs="Arial"/>
          <w:b/>
          <w:lang w:val="es-ES_tradnl"/>
        </w:rPr>
        <w:t>Figura 12. Universidad de Antioquia</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Número de proyectos de investigación 1998-2017</w:t>
      </w:r>
    </w:p>
    <w:p w:rsidR="004B70EC" w:rsidRPr="004B70EC" w:rsidRDefault="004B70EC" w:rsidP="004B70EC">
      <w:pPr>
        <w:spacing w:line="360" w:lineRule="auto"/>
        <w:contextualSpacing/>
        <w:jc w:val="both"/>
        <w:rPr>
          <w:rFonts w:ascii="Arial" w:hAnsi="Arial" w:cs="Arial"/>
          <w:lang w:val="es-ES_tradnl"/>
        </w:rPr>
      </w:pPr>
    </w:p>
    <w:p w:rsidR="004B70EC" w:rsidRPr="004B70EC" w:rsidRDefault="004B70EC" w:rsidP="004B70EC">
      <w:pPr>
        <w:spacing w:line="360" w:lineRule="auto"/>
        <w:contextualSpacing/>
        <w:jc w:val="both"/>
        <w:rPr>
          <w:rFonts w:ascii="Arial" w:hAnsi="Arial" w:cs="Arial"/>
          <w:lang w:val="es-ES_tradnl"/>
        </w:rPr>
      </w:pPr>
      <w:r w:rsidRPr="004B70EC">
        <w:rPr>
          <w:rFonts w:ascii="Arial" w:hAnsi="Arial" w:cs="Arial"/>
          <w:noProof/>
          <w:lang w:val="es-CO" w:eastAsia="es-CO"/>
        </w:rPr>
        <w:drawing>
          <wp:inline distT="0" distB="0" distL="0" distR="0" wp14:anchorId="53E99CB7" wp14:editId="442DFA43">
            <wp:extent cx="5610225" cy="1895475"/>
            <wp:effectExtent l="0" t="0" r="9525"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0225" cy="1895475"/>
                    </a:xfrm>
                    <a:prstGeom prst="rect">
                      <a:avLst/>
                    </a:prstGeom>
                    <a:noFill/>
                    <a:ln>
                      <a:noFill/>
                    </a:ln>
                  </pic:spPr>
                </pic:pic>
              </a:graphicData>
            </a:graphic>
          </wp:inline>
        </w:drawing>
      </w:r>
    </w:p>
    <w:p w:rsidR="004B70EC" w:rsidRPr="004B70EC" w:rsidRDefault="004B70EC" w:rsidP="004B70EC">
      <w:pPr>
        <w:spacing w:line="360" w:lineRule="auto"/>
        <w:contextualSpacing/>
        <w:jc w:val="both"/>
        <w:rPr>
          <w:rFonts w:ascii="Arial" w:hAnsi="Arial" w:cs="Arial"/>
          <w:lang w:val="es-ES_tradnl"/>
        </w:rPr>
      </w:pP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13. Universidad de Antioquia</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Recursos asignados a la investigación 1998-2017</w:t>
      </w:r>
    </w:p>
    <w:p w:rsidR="004B70EC" w:rsidRPr="004B70EC" w:rsidRDefault="004B70EC" w:rsidP="004B70EC">
      <w:pPr>
        <w:jc w:val="center"/>
        <w:rPr>
          <w:rFonts w:ascii="Arial" w:hAnsi="Arial" w:cs="Arial"/>
          <w:b/>
          <w:lang w:val="es-ES_tradnl"/>
        </w:rPr>
      </w:pPr>
      <w:r w:rsidRPr="004B70EC">
        <w:rPr>
          <w:rFonts w:ascii="Arial" w:hAnsi="Arial" w:cs="Arial"/>
          <w:noProof/>
          <w:lang w:val="es-CO" w:eastAsia="es-CO"/>
        </w:rPr>
        <w:drawing>
          <wp:inline distT="0" distB="0" distL="0" distR="0" wp14:anchorId="0CEB92BE" wp14:editId="44693B98">
            <wp:extent cx="5610225" cy="185737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0225" cy="1857375"/>
                    </a:xfrm>
                    <a:prstGeom prst="rect">
                      <a:avLst/>
                    </a:prstGeom>
                    <a:noFill/>
                    <a:ln>
                      <a:noFill/>
                    </a:ln>
                  </pic:spPr>
                </pic:pic>
              </a:graphicData>
            </a:graphic>
          </wp:inline>
        </w:drawing>
      </w:r>
    </w:p>
    <w:p w:rsidR="004B70EC" w:rsidRDefault="004B70EC" w:rsidP="004B70EC">
      <w:pPr>
        <w:spacing w:line="360" w:lineRule="auto"/>
        <w:jc w:val="center"/>
        <w:rPr>
          <w:rFonts w:ascii="Arial" w:hAnsi="Arial" w:cs="Arial"/>
          <w:b/>
          <w:lang w:val="es-ES_tradnl"/>
        </w:rPr>
      </w:pP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14. Universidad de Antioquia</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Número de investigadores internos, externos y estudiantes vinculados a la investigación 1998-2017</w:t>
      </w:r>
    </w:p>
    <w:p w:rsidR="004B70EC" w:rsidRPr="004B70EC" w:rsidRDefault="004B70EC" w:rsidP="004B70EC">
      <w:pPr>
        <w:spacing w:line="360" w:lineRule="auto"/>
        <w:contextualSpacing/>
        <w:jc w:val="both"/>
        <w:rPr>
          <w:rFonts w:ascii="Arial" w:hAnsi="Arial" w:cs="Arial"/>
          <w:noProof/>
        </w:rPr>
      </w:pPr>
    </w:p>
    <w:p w:rsidR="004B70EC" w:rsidRPr="004B70EC" w:rsidRDefault="004B70EC" w:rsidP="004B70EC">
      <w:pPr>
        <w:spacing w:line="360" w:lineRule="auto"/>
        <w:contextualSpacing/>
        <w:jc w:val="both"/>
        <w:rPr>
          <w:rFonts w:ascii="Arial" w:hAnsi="Arial" w:cs="Arial"/>
          <w:noProof/>
        </w:rPr>
      </w:pPr>
      <w:r w:rsidRPr="004B70EC">
        <w:rPr>
          <w:rFonts w:ascii="Arial" w:hAnsi="Arial" w:cs="Arial"/>
          <w:noProof/>
          <w:lang w:val="es-CO" w:eastAsia="es-CO"/>
        </w:rPr>
        <w:drawing>
          <wp:inline distT="0" distB="0" distL="0" distR="0" wp14:anchorId="7F923CB1" wp14:editId="282F4EC2">
            <wp:extent cx="6291580" cy="2333625"/>
            <wp:effectExtent l="0" t="0" r="0"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82670" cy="2367411"/>
                    </a:xfrm>
                    <a:prstGeom prst="rect">
                      <a:avLst/>
                    </a:prstGeom>
                    <a:noFill/>
                    <a:ln>
                      <a:noFill/>
                    </a:ln>
                  </pic:spPr>
                </pic:pic>
              </a:graphicData>
            </a:graphic>
          </wp:inline>
        </w:drawing>
      </w:r>
    </w:p>
    <w:p w:rsidR="004B70EC" w:rsidRPr="004B70EC" w:rsidRDefault="004B70EC" w:rsidP="004B70EC">
      <w:pPr>
        <w:spacing w:line="360" w:lineRule="auto"/>
        <w:contextualSpacing/>
        <w:jc w:val="both"/>
        <w:rPr>
          <w:rFonts w:ascii="Arial" w:hAnsi="Arial" w:cs="Arial"/>
          <w:kern w:val="24"/>
          <w:lang w:val="es-ES_tradnl"/>
        </w:rPr>
      </w:pPr>
    </w:p>
    <w:p w:rsidR="004B70EC" w:rsidRDefault="004B70EC" w:rsidP="004B70EC">
      <w:pPr>
        <w:spacing w:before="240"/>
        <w:jc w:val="both"/>
        <w:rPr>
          <w:rFonts w:ascii="Arial" w:hAnsi="Arial" w:cs="Arial"/>
          <w:lang w:val="es-ES_tradnl"/>
        </w:rPr>
      </w:pPr>
      <w:r w:rsidRPr="004B70EC">
        <w:rPr>
          <w:rFonts w:ascii="Arial" w:hAnsi="Arial" w:cs="Arial"/>
          <w:kern w:val="24"/>
          <w:lang w:val="es-ES_tradnl"/>
        </w:rPr>
        <w:t>Con la consolidación de la Sede de Investigación Universitaria (</w:t>
      </w:r>
      <w:r w:rsidRPr="004B70EC">
        <w:rPr>
          <w:rFonts w:ascii="Arial" w:hAnsi="Arial" w:cs="Arial"/>
          <w:smallCaps/>
          <w:kern w:val="24"/>
          <w:lang w:val="es-ES_tradnl"/>
        </w:rPr>
        <w:t>siu</w:t>
      </w:r>
      <w:r w:rsidRPr="004B70EC">
        <w:rPr>
          <w:rFonts w:ascii="Arial" w:hAnsi="Arial" w:cs="Arial"/>
          <w:kern w:val="24"/>
          <w:lang w:val="es-ES_tradnl"/>
        </w:rPr>
        <w:t>), en 2003,</w:t>
      </w:r>
      <w:r w:rsidRPr="004B70EC">
        <w:rPr>
          <w:rFonts w:ascii="Arial" w:hAnsi="Arial" w:cs="Arial"/>
          <w:lang w:val="es-ES_tradnl"/>
        </w:rPr>
        <w:t xml:space="preserve"> la actividad investigativa de la Universidad mantuvo la misma dinámica que ha desplegado durante las últimas décadas, permeando cada vez más firmemente sus estructuras organizativas, asegurándose y manteniendo su posición en la comunidad de investigadores, quienes con su iniciativa y sus aportes permiten que esta realidad haga historia en la sociedad.</w:t>
      </w:r>
    </w:p>
    <w:p w:rsidR="004B70EC" w:rsidRPr="004B70EC" w:rsidRDefault="004B70EC" w:rsidP="004B70EC">
      <w:pPr>
        <w:spacing w:before="240"/>
        <w:jc w:val="both"/>
        <w:rPr>
          <w:rFonts w:ascii="Arial" w:hAnsi="Arial" w:cs="Arial"/>
          <w:lang w:val="es-ES_tradnl"/>
        </w:rPr>
      </w:pP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15. Sede de Investigación Universitaria</w:t>
      </w:r>
    </w:p>
    <w:p w:rsidR="004B70EC" w:rsidRPr="004B70EC" w:rsidRDefault="004B70EC" w:rsidP="004B70EC">
      <w:pPr>
        <w:spacing w:line="360" w:lineRule="auto"/>
        <w:contextualSpacing/>
        <w:jc w:val="both"/>
        <w:rPr>
          <w:rFonts w:ascii="Arial" w:hAnsi="Arial" w:cs="Arial"/>
          <w:lang w:val="es-ES_tradnl"/>
        </w:rPr>
      </w:pPr>
      <w:r w:rsidRPr="004B70EC">
        <w:rPr>
          <w:rFonts w:ascii="Arial" w:hAnsi="Arial" w:cs="Arial"/>
          <w:noProof/>
          <w:lang w:val="es-CO" w:eastAsia="es-CO"/>
        </w:rPr>
        <w:drawing>
          <wp:anchor distT="0" distB="0" distL="114300" distR="114300" simplePos="0" relativeHeight="251660288" behindDoc="0" locked="0" layoutInCell="1" allowOverlap="1" wp14:anchorId="39ED3714" wp14:editId="5C66C27F">
            <wp:simplePos x="0" y="0"/>
            <wp:positionH relativeFrom="column">
              <wp:posOffset>2390775</wp:posOffset>
            </wp:positionH>
            <wp:positionV relativeFrom="paragraph">
              <wp:posOffset>340360</wp:posOffset>
            </wp:positionV>
            <wp:extent cx="2750185" cy="1905000"/>
            <wp:effectExtent l="0" t="0" r="0" b="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50185" cy="1905000"/>
                    </a:xfrm>
                    <a:prstGeom prst="rect">
                      <a:avLst/>
                    </a:prstGeom>
                    <a:noFill/>
                  </pic:spPr>
                </pic:pic>
              </a:graphicData>
            </a:graphic>
            <wp14:sizeRelH relativeFrom="page">
              <wp14:pctWidth>0</wp14:pctWidth>
            </wp14:sizeRelH>
            <wp14:sizeRelV relativeFrom="page">
              <wp14:pctHeight>0</wp14:pctHeight>
            </wp14:sizeRelV>
          </wp:anchor>
        </w:drawing>
      </w:r>
      <w:r w:rsidRPr="004B70EC">
        <w:rPr>
          <w:rFonts w:ascii="Arial" w:hAnsi="Arial" w:cs="Arial"/>
          <w:noProof/>
          <w:kern w:val="24"/>
          <w:lang w:val="es-CO" w:eastAsia="es-CO"/>
        </w:rPr>
        <w:drawing>
          <wp:anchor distT="0" distB="0" distL="114300" distR="114300" simplePos="0" relativeHeight="251659264" behindDoc="0" locked="0" layoutInCell="1" allowOverlap="1" wp14:anchorId="6D405FDF" wp14:editId="59AAD0C4">
            <wp:simplePos x="0" y="0"/>
            <wp:positionH relativeFrom="column">
              <wp:posOffset>215265</wp:posOffset>
            </wp:positionH>
            <wp:positionV relativeFrom="paragraph">
              <wp:posOffset>203200</wp:posOffset>
            </wp:positionV>
            <wp:extent cx="1571625" cy="2266315"/>
            <wp:effectExtent l="0" t="0" r="9525"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1625" cy="2266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70EC" w:rsidRPr="004B70EC" w:rsidRDefault="004B70EC" w:rsidP="004B70EC">
      <w:pPr>
        <w:spacing w:line="360" w:lineRule="auto"/>
        <w:contextualSpacing/>
        <w:jc w:val="both"/>
        <w:rPr>
          <w:rFonts w:ascii="Arial" w:hAnsi="Arial" w:cs="Arial"/>
          <w:lang w:val="es-ES_tradnl"/>
        </w:rPr>
      </w:pPr>
    </w:p>
    <w:p w:rsidR="004B70EC" w:rsidRPr="004B70EC" w:rsidRDefault="004B70EC" w:rsidP="004B70EC">
      <w:pPr>
        <w:contextualSpacing/>
        <w:jc w:val="both"/>
        <w:rPr>
          <w:rFonts w:ascii="Arial" w:hAnsi="Arial" w:cs="Arial"/>
          <w:lang w:val="es-ES_tradnl"/>
        </w:rPr>
      </w:pPr>
      <w:r w:rsidRPr="004B70EC">
        <w:rPr>
          <w:rFonts w:ascii="Arial" w:hAnsi="Arial" w:cs="Arial"/>
          <w:lang w:val="es-ES_tradnl"/>
        </w:rPr>
        <w:t>La Universidad, en 2017, ha logrado el reconocimiento de 272 grupos de investigación por parte de Colciencias. En el concurso del año se clasificaron 66 en categoría A1 (la más alta del escalafón de grupos de Colciencias), 42 pertenecen a categoría A, 68 pertenecen a categoría B, 65 pertenecen a C, 31 a D y sin clasificar el resto (figura 16).</w:t>
      </w:r>
    </w:p>
    <w:p w:rsidR="004B70EC" w:rsidRPr="004B70EC" w:rsidRDefault="004B70EC" w:rsidP="004B70EC">
      <w:pPr>
        <w:spacing w:before="100" w:beforeAutospacing="1" w:after="100" w:afterAutospacing="1"/>
        <w:jc w:val="center"/>
        <w:rPr>
          <w:rFonts w:ascii="Arial" w:hAnsi="Arial" w:cs="Arial"/>
          <w:lang w:val="es-ES_tradnl"/>
        </w:rPr>
      </w:pPr>
      <w:r w:rsidRPr="004B70EC">
        <w:rPr>
          <w:rFonts w:ascii="Arial" w:hAnsi="Arial" w:cs="Arial"/>
          <w:b/>
          <w:bCs/>
          <w:lang w:val="es-ES_tradnl"/>
        </w:rPr>
        <w:t>Figura 16. Grupos de investigación clasificados</w:t>
      </w:r>
    </w:p>
    <w:p w:rsidR="004B70EC" w:rsidRPr="004B70EC" w:rsidRDefault="004B70EC" w:rsidP="004B70EC">
      <w:pPr>
        <w:spacing w:before="100" w:beforeAutospacing="1" w:after="100" w:afterAutospacing="1" w:line="288" w:lineRule="atLeast"/>
        <w:jc w:val="both"/>
        <w:rPr>
          <w:rFonts w:ascii="Arial" w:hAnsi="Arial" w:cs="Arial"/>
        </w:rPr>
      </w:pPr>
      <w:r w:rsidRPr="004B70EC">
        <w:rPr>
          <w:rFonts w:ascii="Arial" w:hAnsi="Arial" w:cs="Arial"/>
          <w:noProof/>
          <w:lang w:val="es-CO" w:eastAsia="es-CO"/>
        </w:rPr>
        <w:drawing>
          <wp:inline distT="0" distB="0" distL="0" distR="0" wp14:anchorId="0917D87B" wp14:editId="72D8A206">
            <wp:extent cx="4827270" cy="2505710"/>
            <wp:effectExtent l="0" t="0" r="11430" b="8890"/>
            <wp:docPr id="69" name="Gráfico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B70EC" w:rsidRPr="004B70EC" w:rsidRDefault="004B70EC" w:rsidP="004B70EC">
      <w:pPr>
        <w:spacing w:before="100" w:beforeAutospacing="1" w:after="100" w:afterAutospacing="1"/>
        <w:jc w:val="both"/>
        <w:rPr>
          <w:rFonts w:ascii="Arial" w:hAnsi="Arial" w:cs="Arial"/>
          <w:lang w:val="es-ES_tradnl"/>
        </w:rPr>
      </w:pPr>
      <w:r w:rsidRPr="004B70EC">
        <w:rPr>
          <w:rFonts w:ascii="Arial" w:hAnsi="Arial" w:cs="Arial"/>
          <w:lang w:val="es-ES_tradnl"/>
        </w:rPr>
        <w:t>Para el desarrollo de la investigación, la Universidad en el año 2017 tenía en ejecución 1.145 proyectos de investigación por valor aproximado 319.000 millones de pesos, se vincularon 146 jóvenes investigadores a los grupos, 938 estudiantes de pregrado hicieron parte de los proyectos de investigación y 545 estudiantes de posgrado estaban vinculados a la investigación.</w:t>
      </w:r>
    </w:p>
    <w:p w:rsidR="004B70EC" w:rsidRPr="004B70EC" w:rsidRDefault="004B70EC" w:rsidP="004B70EC">
      <w:pPr>
        <w:spacing w:before="100" w:beforeAutospacing="1" w:after="100" w:afterAutospacing="1"/>
        <w:jc w:val="both"/>
        <w:rPr>
          <w:rFonts w:ascii="Arial" w:hAnsi="Arial" w:cs="Arial"/>
          <w:lang w:val="es-ES_tradnl"/>
        </w:rPr>
      </w:pPr>
      <w:r w:rsidRPr="004B70EC">
        <w:rPr>
          <w:rFonts w:ascii="Arial" w:hAnsi="Arial" w:cs="Arial"/>
          <w:lang w:val="es-ES_tradnl"/>
        </w:rPr>
        <w:t>En el interior de la institución se mantuvieron las convocatorias, para la financiación de proyectos de investigación mediante cuatro convocatorias programáticas en ciencias médicas y de la salud, ciencias exactas y naturales, ciencias sociales, humanidades y artes e ingeniería y tecnología, acompañadas de las convocatorias de regionalización. En estas convocatorias se aprobaron 56 proyectos nuevos por más de 3.765 millones de pesos. La Universidad también sigue aportando a las iniciativas de los investigadores por medio de los fondos de apoyo a actividades de investigación, los cuales aprobaron en 2017 más de 1.946 millones de pesos en 13 modalidades de apoyo.</w:t>
      </w:r>
    </w:p>
    <w:p w:rsidR="004B70EC" w:rsidRPr="004B70EC" w:rsidRDefault="004B70EC" w:rsidP="004B70EC">
      <w:pPr>
        <w:spacing w:before="100" w:beforeAutospacing="1" w:after="100" w:afterAutospacing="1"/>
        <w:jc w:val="both"/>
        <w:rPr>
          <w:rFonts w:ascii="Arial" w:hAnsi="Arial" w:cs="Arial"/>
          <w:lang w:val="es-ES_tradnl"/>
        </w:rPr>
      </w:pPr>
      <w:r w:rsidRPr="004B70EC">
        <w:rPr>
          <w:rFonts w:ascii="Arial" w:hAnsi="Arial" w:cs="Arial"/>
          <w:lang w:val="es-ES_tradnl"/>
        </w:rPr>
        <w:t>La Universidad de Antioquia ha suscritos 92 convenios en investigación con otras instituciones a nivel nacional, por valor de 26.473.175.761 $. Asimismo, se tienen 149 proyectos I+D, 20 marcas registradas, 19 acuerdos comerciales y 37 patentes. </w:t>
      </w:r>
    </w:p>
    <w:p w:rsidR="004B70EC" w:rsidRPr="004B70EC" w:rsidRDefault="004B70EC" w:rsidP="004B70EC">
      <w:pPr>
        <w:spacing w:before="100" w:beforeAutospacing="1" w:after="100" w:afterAutospacing="1"/>
        <w:jc w:val="both"/>
        <w:rPr>
          <w:rFonts w:ascii="Arial" w:hAnsi="Arial" w:cs="Arial"/>
          <w:lang w:val="es-ES_tradnl"/>
        </w:rPr>
      </w:pPr>
      <w:r w:rsidRPr="004B70EC">
        <w:rPr>
          <w:rFonts w:ascii="Arial" w:hAnsi="Arial" w:cs="Arial"/>
          <w:lang w:val="es-ES_tradnl"/>
        </w:rPr>
        <w:t>La institución posee una de las infraestructuras de telecomunicaciones más completas del país, con 10.000 puntos, que permite el acceso a las redes científicas y académicas más importantes del mundo.</w:t>
      </w:r>
    </w:p>
    <w:p w:rsidR="004B70EC" w:rsidRPr="004B70EC" w:rsidRDefault="004B70EC" w:rsidP="004B70EC">
      <w:pPr>
        <w:spacing w:before="100" w:beforeAutospacing="1" w:after="100" w:afterAutospacing="1"/>
        <w:jc w:val="both"/>
        <w:rPr>
          <w:rFonts w:ascii="Arial" w:hAnsi="Arial" w:cs="Arial"/>
          <w:lang w:val="es-ES_tradnl"/>
        </w:rPr>
      </w:pPr>
      <w:r w:rsidRPr="004B70EC">
        <w:rPr>
          <w:rFonts w:ascii="Arial" w:hAnsi="Arial" w:cs="Arial"/>
          <w:lang w:val="es-ES_tradnl"/>
        </w:rPr>
        <w:t>La Universidad de Antioquia, desde el año 2014, inició el proceso de compra de los bienes e infraestructura del Parque Tecnológico de Antioquia, con el fin de crear un centro de desarrollo tecnológico de investigación. Actualmente, se avanza en un centro de desarrollo de agrobiotecnología con instituciones de educación superior y entidades públicas y privadas.</w:t>
      </w:r>
    </w:p>
    <w:p w:rsidR="004B70EC" w:rsidRPr="004B70EC" w:rsidRDefault="004B70EC" w:rsidP="004B70EC">
      <w:pPr>
        <w:pStyle w:val="Textoindependiente"/>
        <w:jc w:val="both"/>
        <w:rPr>
          <w:rFonts w:ascii="Arial" w:hAnsi="Arial" w:cs="Arial"/>
          <w:b/>
          <w:szCs w:val="24"/>
          <w:lang w:val="es-ES_tradnl"/>
        </w:rPr>
      </w:pPr>
      <w:r w:rsidRPr="004B70EC">
        <w:rPr>
          <w:rFonts w:ascii="Arial" w:hAnsi="Arial" w:cs="Arial"/>
          <w:b/>
          <w:szCs w:val="24"/>
          <w:lang w:val="es-ES_tradnl"/>
        </w:rPr>
        <w:t>Adquisición de los bienes e infraestructura del Parque Tecnológico de Antioquia</w:t>
      </w:r>
    </w:p>
    <w:p w:rsidR="004B70EC" w:rsidRPr="004B70EC" w:rsidRDefault="004B70EC" w:rsidP="004B70EC">
      <w:pPr>
        <w:pStyle w:val="Textoindependiente"/>
        <w:jc w:val="both"/>
        <w:rPr>
          <w:rFonts w:ascii="Arial" w:hAnsi="Arial" w:cs="Arial"/>
          <w:b/>
          <w:szCs w:val="24"/>
          <w:lang w:val="es-ES_tradnl"/>
        </w:rPr>
      </w:pPr>
    </w:p>
    <w:p w:rsidR="004B70EC" w:rsidRDefault="004B70EC" w:rsidP="004B70EC">
      <w:pPr>
        <w:pStyle w:val="Textoindependiente"/>
        <w:jc w:val="both"/>
        <w:rPr>
          <w:rFonts w:ascii="Arial" w:hAnsi="Arial" w:cs="Arial"/>
          <w:szCs w:val="24"/>
          <w:lang w:val="es-ES_tradnl"/>
        </w:rPr>
      </w:pPr>
      <w:r w:rsidRPr="004B70EC">
        <w:rPr>
          <w:rFonts w:ascii="Arial" w:hAnsi="Arial" w:cs="Arial"/>
          <w:szCs w:val="24"/>
          <w:lang w:val="es-ES_tradnl"/>
        </w:rPr>
        <w:t>Estos bienes se adquirieron con el fin de desarrollar un centro de investigaciones en biotecnología y agroecología para el Oriente antioqueño, comprende la Biofábrica de semillas, el Hotel y Centro de convenciones de Quirama, entre otros, con un área de 28,8 ha.</w:t>
      </w:r>
    </w:p>
    <w:p w:rsidR="004B70EC" w:rsidRPr="004B70EC" w:rsidRDefault="004B70EC" w:rsidP="004B70EC">
      <w:pPr>
        <w:pStyle w:val="Textoindependiente"/>
        <w:jc w:val="both"/>
        <w:rPr>
          <w:rFonts w:ascii="Arial" w:hAnsi="Arial" w:cs="Arial"/>
          <w:szCs w:val="24"/>
          <w:lang w:val="es-ES_tradnl"/>
        </w:rPr>
      </w:pP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17. Sede Centro de Investigaciones Universidad de Antioquia en el Oriente antioqueño</w:t>
      </w:r>
    </w:p>
    <w:p w:rsidR="004B70EC" w:rsidRPr="004B70EC" w:rsidRDefault="004B70EC" w:rsidP="004B70EC">
      <w:pPr>
        <w:tabs>
          <w:tab w:val="left" w:pos="5103"/>
        </w:tabs>
        <w:spacing w:line="360" w:lineRule="auto"/>
        <w:rPr>
          <w:rFonts w:ascii="Arial" w:hAnsi="Arial" w:cs="Arial"/>
          <w:lang w:val="es-ES_tradnl"/>
        </w:rPr>
      </w:pPr>
      <w:r w:rsidRPr="004B70EC">
        <w:rPr>
          <w:rFonts w:ascii="Arial" w:hAnsi="Arial" w:cs="Arial"/>
          <w:noProof/>
          <w:lang w:val="es-CO" w:eastAsia="es-CO"/>
        </w:rPr>
        <w:drawing>
          <wp:inline distT="0" distB="0" distL="0" distR="0" wp14:anchorId="7BCCBAFC" wp14:editId="782E4AA8">
            <wp:extent cx="3105150" cy="2152650"/>
            <wp:effectExtent l="0" t="0" r="0" b="0"/>
            <wp:docPr id="21" name="Imagen 21" descr="DSC0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3113"/>
                    <pic:cNvPicPr>
                      <a:picLocks noChangeAspect="1" noChangeArrowheads="1"/>
                    </pic:cNvPicPr>
                  </pic:nvPicPr>
                  <pic:blipFill>
                    <a:blip r:embed="rId32">
                      <a:extLst>
                        <a:ext uri="{28A0092B-C50C-407E-A947-70E740481C1C}">
                          <a14:useLocalDpi xmlns:a14="http://schemas.microsoft.com/office/drawing/2010/main" val="0"/>
                        </a:ext>
                      </a:extLst>
                    </a:blip>
                    <a:srcRect b="33119"/>
                    <a:stretch>
                      <a:fillRect/>
                    </a:stretch>
                  </pic:blipFill>
                  <pic:spPr bwMode="auto">
                    <a:xfrm>
                      <a:off x="0" y="0"/>
                      <a:ext cx="3105150" cy="2152650"/>
                    </a:xfrm>
                    <a:prstGeom prst="rect">
                      <a:avLst/>
                    </a:prstGeom>
                    <a:noFill/>
                    <a:ln>
                      <a:noFill/>
                    </a:ln>
                  </pic:spPr>
                </pic:pic>
              </a:graphicData>
            </a:graphic>
          </wp:inline>
        </w:drawing>
      </w:r>
      <w:r w:rsidRPr="004B70EC">
        <w:rPr>
          <w:rFonts w:ascii="Arial" w:hAnsi="Arial" w:cs="Arial"/>
          <w:lang w:val="es-ES_tradnl"/>
        </w:rPr>
        <w:tab/>
      </w:r>
      <w:r w:rsidRPr="004B70EC">
        <w:rPr>
          <w:rFonts w:ascii="Arial" w:hAnsi="Arial" w:cs="Arial"/>
          <w:noProof/>
          <w:lang w:val="es-CO" w:eastAsia="es-CO"/>
        </w:rPr>
        <w:drawing>
          <wp:inline distT="0" distB="0" distL="0" distR="0" wp14:anchorId="22F30BA4" wp14:editId="611248C0">
            <wp:extent cx="1809750" cy="2286000"/>
            <wp:effectExtent l="0" t="0" r="0" b="0"/>
            <wp:docPr id="20" name="Imagen 20" descr="DSC0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05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9750" cy="2286000"/>
                    </a:xfrm>
                    <a:prstGeom prst="rect">
                      <a:avLst/>
                    </a:prstGeom>
                    <a:noFill/>
                    <a:ln>
                      <a:noFill/>
                    </a:ln>
                  </pic:spPr>
                </pic:pic>
              </a:graphicData>
            </a:graphic>
          </wp:inline>
        </w:drawing>
      </w:r>
    </w:p>
    <w:p w:rsidR="004B70EC" w:rsidRPr="004B70EC" w:rsidRDefault="004B70EC" w:rsidP="004B70EC">
      <w:pPr>
        <w:tabs>
          <w:tab w:val="left" w:pos="6379"/>
        </w:tabs>
        <w:spacing w:after="240"/>
        <w:rPr>
          <w:rFonts w:ascii="Arial" w:hAnsi="Arial" w:cs="Arial"/>
          <w:bCs/>
          <w:kern w:val="24"/>
          <w:lang w:val="es-ES_tradnl"/>
        </w:rPr>
      </w:pPr>
      <w:r w:rsidRPr="004B70EC">
        <w:rPr>
          <w:rFonts w:ascii="Arial" w:hAnsi="Arial" w:cs="Arial"/>
          <w:bCs/>
          <w:kern w:val="24"/>
          <w:lang w:val="es-ES_tradnl"/>
        </w:rPr>
        <w:t>Hotel y Centro de convenciones</w:t>
      </w:r>
      <w:r w:rsidRPr="004B70EC">
        <w:rPr>
          <w:rFonts w:ascii="Arial" w:hAnsi="Arial" w:cs="Arial"/>
          <w:bCs/>
          <w:kern w:val="24"/>
          <w:lang w:val="es-ES_tradnl"/>
        </w:rPr>
        <w:tab/>
        <w:t>Biofábrica</w:t>
      </w:r>
    </w:p>
    <w:p w:rsidR="004B70EC" w:rsidRPr="004B70EC" w:rsidRDefault="004B70EC" w:rsidP="004B70EC">
      <w:pPr>
        <w:tabs>
          <w:tab w:val="left" w:pos="6379"/>
        </w:tabs>
        <w:spacing w:after="240"/>
        <w:rPr>
          <w:rFonts w:ascii="Arial" w:hAnsi="Arial" w:cs="Arial"/>
          <w:lang w:val="es-ES_tradnl"/>
        </w:rPr>
      </w:pPr>
    </w:p>
    <w:p w:rsidR="004B70EC" w:rsidRPr="004B70EC" w:rsidRDefault="004B70EC" w:rsidP="004B70EC">
      <w:pPr>
        <w:spacing w:after="240"/>
        <w:rPr>
          <w:rFonts w:ascii="Arial" w:hAnsi="Arial" w:cs="Arial"/>
          <w:b/>
          <w:lang w:val="es-ES_tradnl"/>
        </w:rPr>
      </w:pPr>
      <w:r w:rsidRPr="004B70EC">
        <w:rPr>
          <w:rFonts w:ascii="Arial" w:hAnsi="Arial" w:cs="Arial"/>
          <w:b/>
          <w:lang w:val="es-ES_tradnl"/>
        </w:rPr>
        <w:t>La Universidad avanza decididamente en su proceso de regionalización</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 xml:space="preserve">La Universidad de Antioquia hace presencia en las regiones del departamento por más de veintiún años, la institución avanza en la consolidación y la transformación de su proceso de regionalización para contribuir de manera significativa al desarrollo regional con educación pertinente, contextualizada y de calidad. La </w:t>
      </w:r>
      <w:r w:rsidRPr="004B70EC">
        <w:rPr>
          <w:rFonts w:ascii="Arial" w:hAnsi="Arial" w:cs="Arial"/>
          <w:i/>
          <w:lang w:val="es-ES_tradnl"/>
        </w:rPr>
        <w:t>Alma Mater</w:t>
      </w:r>
      <w:r w:rsidRPr="004B70EC">
        <w:rPr>
          <w:rFonts w:ascii="Arial" w:hAnsi="Arial" w:cs="Arial"/>
          <w:lang w:val="es-ES_tradnl"/>
        </w:rPr>
        <w:t xml:space="preserve"> se proyecta a las regiones con todas sus fortalezas: investigación, docencia y extensión, convirtiéndose así, en factor indiscutible de equidad.</w:t>
      </w:r>
    </w:p>
    <w:p w:rsidR="004B70EC" w:rsidRPr="004B70EC" w:rsidRDefault="004B70EC" w:rsidP="004B70EC">
      <w:pPr>
        <w:spacing w:before="240" w:after="240"/>
        <w:jc w:val="both"/>
        <w:rPr>
          <w:rFonts w:ascii="Arial" w:hAnsi="Arial" w:cs="Arial"/>
          <w:lang w:val="es-ES_tradnl"/>
        </w:rPr>
      </w:pPr>
      <w:r w:rsidRPr="004B70EC">
        <w:rPr>
          <w:rFonts w:ascii="Arial" w:hAnsi="Arial" w:cs="Arial"/>
          <w:lang w:val="es-ES_tradnl"/>
        </w:rPr>
        <w:t>Hoy la Universidad cuenta con seis seccionales en las subregiones de Urabá, Bajo Cauca, Magdalena Medio, Suroeste, Oriente y Occidente; y cuatro sedes municipales ubicadas en Amalfi, Yarumal, Sonsón, Distrito Minero Segovia-Remedios (figura 18). En todos estos municipios se ofrecen programas de pregrado pertinentes a las condiciones y las potencialidades de la región y en algunos, programas de posgrado. Se destaca que algunos de los programas han sido diseñados en forma exclusiva para las regiones, acorde con las vocaciones económicas de los territorios y sus particularidades sociales.</w:t>
      </w:r>
    </w:p>
    <w:p w:rsidR="004B70EC" w:rsidRPr="004B70EC" w:rsidRDefault="004B70EC" w:rsidP="004B70EC">
      <w:pPr>
        <w:spacing w:after="240"/>
        <w:jc w:val="center"/>
        <w:rPr>
          <w:rFonts w:ascii="Arial" w:hAnsi="Arial" w:cs="Arial"/>
          <w:b/>
          <w:lang w:val="es-ES_tradnl"/>
        </w:rPr>
      </w:pPr>
      <w:r w:rsidRPr="004B70EC">
        <w:rPr>
          <w:rFonts w:ascii="Arial" w:hAnsi="Arial" w:cs="Arial"/>
          <w:b/>
          <w:lang w:val="es-ES_tradnl"/>
        </w:rPr>
        <w:t>Figura 18. Presencia de la Universidad en las regiones</w:t>
      </w:r>
    </w:p>
    <w:p w:rsidR="004B70EC" w:rsidRPr="004B70EC" w:rsidRDefault="004B70EC" w:rsidP="004B70EC">
      <w:pPr>
        <w:spacing w:line="360" w:lineRule="auto"/>
        <w:jc w:val="both"/>
        <w:rPr>
          <w:rFonts w:ascii="Arial" w:hAnsi="Arial" w:cs="Arial"/>
          <w:lang w:val="es-ES_tradnl"/>
        </w:rPr>
      </w:pPr>
      <w:r w:rsidRPr="004B70EC">
        <w:rPr>
          <w:rFonts w:ascii="Arial" w:hAnsi="Arial" w:cs="Arial"/>
          <w:noProof/>
          <w:lang w:val="es-CO" w:eastAsia="es-CO"/>
        </w:rPr>
        <mc:AlternateContent>
          <mc:Choice Requires="wps">
            <w:drawing>
              <wp:inline distT="0" distB="0" distL="0" distR="0" wp14:anchorId="157DD41B" wp14:editId="173EC7EF">
                <wp:extent cx="304800" cy="304800"/>
                <wp:effectExtent l="0" t="0" r="0" b="0"/>
                <wp:docPr id="36" name="Rectángulo 36" descr="Mostrando mapa-regionalizacion-2.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CFB6C31" id="Rectángulo 36" o:spid="_x0000_s1026" alt="Mostrando mapa-regionalizacion-2.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dEVGC9oCAADoBQAADgAAAAAAAAAAAAAAAAAuAgAAZHJzL2Uy&#10;b0RvYy54bWxQSwECLQAUAAYACAAAACEATKDpLNgAAAADAQAADwAAAAAAAAAAAAAAAAA0BQAAZHJz&#10;L2Rvd25yZXYueG1sUEsFBgAAAAAEAAQA8wAAADkGAAAAAA==&#10;" filled="f" stroked="f">
                <o:lock v:ext="edit" aspectratio="t"/>
                <w10:anchorlock/>
              </v:rect>
            </w:pict>
          </mc:Fallback>
        </mc:AlternateContent>
      </w:r>
      <w:r w:rsidRPr="004B70EC">
        <w:rPr>
          <w:rFonts w:ascii="Arial" w:hAnsi="Arial" w:cs="Arial"/>
          <w:noProof/>
          <w:lang w:val="es-CO" w:eastAsia="es-CO"/>
        </w:rPr>
        <mc:AlternateContent>
          <mc:Choice Requires="wps">
            <w:drawing>
              <wp:inline distT="0" distB="0" distL="0" distR="0" wp14:anchorId="5E88D12C" wp14:editId="41CD6B69">
                <wp:extent cx="304800" cy="304800"/>
                <wp:effectExtent l="0" t="0" r="0" b="0"/>
                <wp:docPr id="2" name="Rectángulo 2" descr="Mostrando mapa-regionalizacion-2.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FDD9939" id="Rectángulo 2" o:spid="_x0000_s1026" alt="Mostrando mapa-regionalizacion-2.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dglKf2QIAAOYFAAAOAAAAAAAAAAAAAAAAAC4CAABkcnMvZTJv&#10;RG9jLnhtbFBLAQItABQABgAIAAAAIQBMoOks2AAAAAMBAAAPAAAAAAAAAAAAAAAAADMFAABkcnMv&#10;ZG93bnJldi54bWxQSwUGAAAAAAQABADzAAAAOAYAAAAA&#10;" filled="f" stroked="f">
                <o:lock v:ext="edit" aspectratio="t"/>
                <w10:anchorlock/>
              </v:rect>
            </w:pict>
          </mc:Fallback>
        </mc:AlternateContent>
      </w:r>
      <w:r w:rsidRPr="004B70EC">
        <w:rPr>
          <w:rFonts w:ascii="Arial" w:hAnsi="Arial" w:cs="Arial"/>
          <w:noProof/>
          <w:lang w:val="es-CO" w:eastAsia="es-CO"/>
        </w:rPr>
        <w:drawing>
          <wp:inline distT="0" distB="0" distL="0" distR="0" wp14:anchorId="009E809A" wp14:editId="5BB8452C">
            <wp:extent cx="4286250" cy="3286125"/>
            <wp:effectExtent l="0" t="0" r="0" b="0"/>
            <wp:docPr id="19" name="Imagen 19" descr="mapa-regionalizac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pa-regionalizacion-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86250" cy="3286125"/>
                    </a:xfrm>
                    <a:prstGeom prst="rect">
                      <a:avLst/>
                    </a:prstGeom>
                    <a:noFill/>
                    <a:ln>
                      <a:noFill/>
                    </a:ln>
                  </pic:spPr>
                </pic:pic>
              </a:graphicData>
            </a:graphic>
          </wp:inline>
        </w:drawing>
      </w:r>
    </w:p>
    <w:tbl>
      <w:tblPr>
        <w:tblW w:w="10899" w:type="dxa"/>
        <w:tblCellMar>
          <w:left w:w="0" w:type="dxa"/>
          <w:right w:w="0" w:type="dxa"/>
        </w:tblCellMar>
        <w:tblLook w:val="0420" w:firstRow="1" w:lastRow="0" w:firstColumn="0" w:lastColumn="0" w:noHBand="0" w:noVBand="1"/>
      </w:tblPr>
      <w:tblGrid>
        <w:gridCol w:w="2303"/>
        <w:gridCol w:w="2493"/>
        <w:gridCol w:w="6103"/>
      </w:tblGrid>
      <w:tr w:rsidR="004B70EC" w:rsidRPr="004B70EC" w:rsidTr="00545533">
        <w:trPr>
          <w:trHeight w:val="437"/>
        </w:trPr>
        <w:tc>
          <w:tcPr>
            <w:tcW w:w="1987" w:type="dxa"/>
            <w:tcBorders>
              <w:top w:val="single" w:sz="8" w:space="0" w:color="FFFFFF"/>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 Sede Turbo, Ciencias del Mar</w:t>
            </w:r>
          </w:p>
        </w:tc>
        <w:tc>
          <w:tcPr>
            <w:tcW w:w="2552" w:type="dxa"/>
            <w:tcBorders>
              <w:top w:val="single" w:sz="8" w:space="0" w:color="FFFFFF"/>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7. Sede Norte, Yarumal</w:t>
            </w:r>
          </w:p>
        </w:tc>
        <w:tc>
          <w:tcPr>
            <w:tcW w:w="6360" w:type="dxa"/>
            <w:tcBorders>
              <w:top w:val="single" w:sz="8" w:space="0" w:color="FFFFFF"/>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13. Seccional Suroeste, Andes</w:t>
            </w:r>
          </w:p>
        </w:tc>
      </w:tr>
      <w:tr w:rsidR="004B70EC" w:rsidRPr="004B70EC" w:rsidTr="00545533">
        <w:trPr>
          <w:trHeight w:val="437"/>
        </w:trPr>
        <w:tc>
          <w:tcPr>
            <w:tcW w:w="1987"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2. Ciudadela Apartadó</w:t>
            </w:r>
          </w:p>
        </w:tc>
        <w:tc>
          <w:tcPr>
            <w:tcW w:w="2552"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8. Seccional Occidente, Santa Fe de Antioquia</w:t>
            </w:r>
          </w:p>
        </w:tc>
        <w:tc>
          <w:tcPr>
            <w:tcW w:w="6360"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14. Sede Julio C. Hernández, La Pintada</w:t>
            </w:r>
          </w:p>
        </w:tc>
      </w:tr>
      <w:tr w:rsidR="004B70EC" w:rsidRPr="004B70EC" w:rsidTr="00545533">
        <w:trPr>
          <w:trHeight w:val="437"/>
        </w:trPr>
        <w:tc>
          <w:tcPr>
            <w:tcW w:w="1987"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3. Sede de Estudios Ecológicos y Agroambientales, Carepa</w:t>
            </w:r>
          </w:p>
        </w:tc>
        <w:tc>
          <w:tcPr>
            <w:tcW w:w="25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9. Seccional Magdalena Medio, Puerto Berrío</w:t>
            </w:r>
          </w:p>
        </w:tc>
        <w:tc>
          <w:tcPr>
            <w:tcW w:w="636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15. Convenio Itagüí</w:t>
            </w:r>
          </w:p>
        </w:tc>
      </w:tr>
      <w:tr w:rsidR="004B70EC" w:rsidRPr="004B70EC" w:rsidTr="00545533">
        <w:trPr>
          <w:trHeight w:val="437"/>
        </w:trPr>
        <w:tc>
          <w:tcPr>
            <w:tcW w:w="1987"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4. Seccional Bajo Cauca, Caucasia</w:t>
            </w:r>
          </w:p>
        </w:tc>
        <w:tc>
          <w:tcPr>
            <w:tcW w:w="25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10. Estación Piscícola, San José del Nus</w:t>
            </w:r>
          </w:p>
        </w:tc>
        <w:tc>
          <w:tcPr>
            <w:tcW w:w="636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16. Convenio Envigado</w:t>
            </w:r>
          </w:p>
        </w:tc>
      </w:tr>
      <w:tr w:rsidR="004B70EC" w:rsidRPr="004B70EC" w:rsidTr="00545533">
        <w:trPr>
          <w:trHeight w:val="437"/>
        </w:trPr>
        <w:tc>
          <w:tcPr>
            <w:tcW w:w="1987"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5. Sede Distrito Minero Segovia/Remedios</w:t>
            </w:r>
          </w:p>
        </w:tc>
        <w:tc>
          <w:tcPr>
            <w:tcW w:w="25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11. Seccional Oriente, El Carmen de Viboral</w:t>
            </w:r>
          </w:p>
        </w:tc>
        <w:tc>
          <w:tcPr>
            <w:tcW w:w="636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rPr>
              <w:t xml:space="preserve">17. </w:t>
            </w:r>
            <w:r w:rsidRPr="004B70EC">
              <w:rPr>
                <w:rFonts w:ascii="Arial" w:hAnsi="Arial" w:cs="Arial"/>
                <w:bCs/>
              </w:rPr>
              <w:t>Ciudadela Universitaria, Medellín</w:t>
            </w:r>
          </w:p>
        </w:tc>
      </w:tr>
      <w:tr w:rsidR="004B70EC" w:rsidRPr="004B70EC" w:rsidTr="00545533">
        <w:trPr>
          <w:trHeight w:val="437"/>
        </w:trPr>
        <w:tc>
          <w:tcPr>
            <w:tcW w:w="1987"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6. Sede Amalfi</w:t>
            </w:r>
          </w:p>
        </w:tc>
        <w:tc>
          <w:tcPr>
            <w:tcW w:w="25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r w:rsidRPr="004B70EC">
              <w:rPr>
                <w:rFonts w:ascii="Arial" w:hAnsi="Arial" w:cs="Arial"/>
                <w:bCs/>
              </w:rPr>
              <w:t>12. Sede Sonsón</w:t>
            </w:r>
          </w:p>
        </w:tc>
        <w:tc>
          <w:tcPr>
            <w:tcW w:w="636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4B70EC" w:rsidRPr="004B70EC" w:rsidRDefault="004B70EC" w:rsidP="00545533">
            <w:pPr>
              <w:rPr>
                <w:rFonts w:ascii="Arial" w:hAnsi="Arial" w:cs="Arial"/>
              </w:rPr>
            </w:pPr>
          </w:p>
          <w:p w:rsidR="004B70EC" w:rsidRPr="004B70EC" w:rsidRDefault="004B70EC" w:rsidP="00545533">
            <w:pPr>
              <w:rPr>
                <w:rFonts w:ascii="Arial" w:hAnsi="Arial" w:cs="Arial"/>
              </w:rPr>
            </w:pPr>
          </w:p>
        </w:tc>
      </w:tr>
    </w:tbl>
    <w:p w:rsidR="004B70EC" w:rsidRPr="004B70EC" w:rsidRDefault="004B70EC" w:rsidP="004B70EC">
      <w:pPr>
        <w:jc w:val="both"/>
        <w:rPr>
          <w:rFonts w:ascii="Arial" w:hAnsi="Arial" w:cs="Arial"/>
          <w:lang w:val="es-ES_tradnl"/>
        </w:rPr>
      </w:pPr>
      <w:r w:rsidRPr="004B70EC">
        <w:rPr>
          <w:rFonts w:ascii="Arial" w:hAnsi="Arial" w:cs="Arial"/>
          <w:lang w:val="es-ES_tradnl"/>
        </w:rPr>
        <w:t>En materia de cobertura en las sedes regionales se presenta a continuación el crecimiento de número de estudiantes en el periodo 1995-2017 (figura 19).</w:t>
      </w:r>
    </w:p>
    <w:p w:rsidR="004B70EC" w:rsidRDefault="004B70EC" w:rsidP="004B70EC">
      <w:pPr>
        <w:jc w:val="center"/>
        <w:rPr>
          <w:rFonts w:ascii="Arial" w:hAnsi="Arial" w:cs="Arial"/>
          <w:b/>
          <w:lang w:val="es-ES_tradnl"/>
        </w:rPr>
      </w:pPr>
    </w:p>
    <w:p w:rsidR="004B70EC" w:rsidRPr="004B70EC" w:rsidRDefault="004B70EC" w:rsidP="004B70EC">
      <w:pPr>
        <w:jc w:val="center"/>
        <w:rPr>
          <w:rFonts w:ascii="Arial" w:hAnsi="Arial" w:cs="Arial"/>
          <w:b/>
          <w:lang w:val="es-ES_tradnl"/>
        </w:rPr>
      </w:pPr>
      <w:r w:rsidRPr="004B70EC">
        <w:rPr>
          <w:rFonts w:ascii="Arial" w:hAnsi="Arial" w:cs="Arial"/>
          <w:b/>
          <w:lang w:val="es-ES_tradnl"/>
        </w:rPr>
        <w:t>Figura 19. Universidad de Antioquia</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Número de estudiante en las seccionales y sedes regionales 1995-2017</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Aumento de cobertura</w:t>
      </w:r>
    </w:p>
    <w:p w:rsidR="004B70EC" w:rsidRPr="004B70EC" w:rsidRDefault="004B70EC" w:rsidP="004B70EC">
      <w:pPr>
        <w:jc w:val="center"/>
        <w:rPr>
          <w:rFonts w:ascii="Arial" w:hAnsi="Arial" w:cs="Arial"/>
          <w:noProof/>
        </w:rPr>
      </w:pPr>
      <w:r w:rsidRPr="004B70EC">
        <w:rPr>
          <w:rFonts w:ascii="Arial" w:hAnsi="Arial" w:cs="Arial"/>
          <w:noProof/>
          <w:lang w:val="es-CO" w:eastAsia="es-CO"/>
        </w:rPr>
        <w:drawing>
          <wp:inline distT="0" distB="0" distL="0" distR="0" wp14:anchorId="47428FC9" wp14:editId="5F92FF6A">
            <wp:extent cx="5610225" cy="2305050"/>
            <wp:effectExtent l="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0225" cy="2305050"/>
                    </a:xfrm>
                    <a:prstGeom prst="rect">
                      <a:avLst/>
                    </a:prstGeom>
                    <a:noFill/>
                    <a:ln>
                      <a:noFill/>
                    </a:ln>
                  </pic:spPr>
                </pic:pic>
              </a:graphicData>
            </a:graphic>
          </wp:inline>
        </w:drawing>
      </w:r>
    </w:p>
    <w:p w:rsidR="004B70EC" w:rsidRPr="004B70EC" w:rsidRDefault="004B70EC" w:rsidP="004B70EC">
      <w:pPr>
        <w:rPr>
          <w:rFonts w:ascii="Arial" w:hAnsi="Arial" w:cs="Arial"/>
        </w:rPr>
      </w:pPr>
    </w:p>
    <w:p w:rsidR="004B70EC" w:rsidRPr="004B70EC" w:rsidRDefault="004B70EC" w:rsidP="004B70EC">
      <w:pPr>
        <w:spacing w:before="240" w:after="240"/>
        <w:jc w:val="both"/>
        <w:rPr>
          <w:rFonts w:ascii="Arial" w:hAnsi="Arial" w:cs="Arial"/>
          <w:lang w:val="es-ES_tradnl"/>
        </w:rPr>
      </w:pPr>
      <w:r w:rsidRPr="004B70EC">
        <w:rPr>
          <w:rFonts w:ascii="Arial" w:hAnsi="Arial" w:cs="Arial"/>
          <w:lang w:val="es-ES_tradnl"/>
        </w:rPr>
        <w:t>La Universidad de Antioquia tiene un gran reto y es el de afianzar un proyecto educativo regional que le permita establecer la transformación de la regionalización en función de la integración y el desarrollo de los territorios mediante ajustes estructurales y normativos con mayor descentralización administrativa. De igual manera, a fortalecer dinámicas territoriales en las comunidades universitarias en las regiones en áreas claves como son la docencia, la investigación, la extensión, el bienestar universitario y la administración.</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En el año 2017, la Universidad avanzó en la consolidación de una oferta académica a cinco años que responda de forma efectiva a las necesidades de los territorios y la expectativa de los municipios, creando las condiciones necesarias para que los jóvenes puedan acceder a la educación superior con mejores capacidades, para lo cual la Universidad implementó los siguientes programas: Inducción a la Vida Universitaria —</w:t>
      </w:r>
      <w:r w:rsidRPr="004B70EC">
        <w:rPr>
          <w:rFonts w:ascii="Arial" w:hAnsi="Arial" w:cs="Arial"/>
          <w:smallCaps/>
          <w:lang w:val="es-ES_tradnl"/>
        </w:rPr>
        <w:t>pivu</w:t>
      </w:r>
      <w:r w:rsidRPr="004B70EC">
        <w:rPr>
          <w:rFonts w:ascii="Arial" w:hAnsi="Arial" w:cs="Arial"/>
          <w:lang w:val="es-ES_tradnl"/>
        </w:rPr>
        <w:t>—, Nivel cero, semilleros en Matemáticas y Química, entre otros.</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La institución, en sus diferentes seccionales y sedes regionales, atendió en el año 2017 a 6.005 estudiantes de pregrado en regiones. En programas de posgrado ofrecidos en las regiones se registró la matrícula de 143 estudiantes correspondientes a los programas de Maestría en Educación en Bajo Cauca, Suroeste, Urabá —Apartadó—, Magdalena Medio y Oriente; la Especialización en Auditoría en Salud en Turbo y en Caucasia; la Especialización en Investigación Social en Oriente; la Maestría en Enseñanza de las Matemáticas (virtual), y el Doctorado en Ciencias del Mar en Urabá.</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 xml:space="preserve">La población estudiantil actual proviene de 108 municipios de Antioquia y 98 municipios de otros departamentos. El 98 % de los estudiantes pertenece a los estratos económicos 1, 2 y 3, lo que evidencia el papel de la </w:t>
      </w:r>
      <w:r w:rsidRPr="004B70EC">
        <w:rPr>
          <w:rFonts w:ascii="Arial" w:hAnsi="Arial" w:cs="Arial"/>
          <w:i/>
          <w:lang w:val="es-ES_tradnl"/>
        </w:rPr>
        <w:t>Alma Mater</w:t>
      </w:r>
      <w:r w:rsidRPr="004B70EC">
        <w:rPr>
          <w:rFonts w:ascii="Arial" w:hAnsi="Arial" w:cs="Arial"/>
          <w:lang w:val="es-ES_tradnl"/>
        </w:rPr>
        <w:t xml:space="preserve"> como factor de equidad e inclusión en la formación del talento humano que necesitan los municipios para potenciar su desarrollo.</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La Universidad suma 9.005 egresados en regiones en toda su historia. Según los registros del observatorio que posee la Universidad, 5.223 de los egresados, equivalentes al 58 %, están vinculados al mercado laboral y de estos 3.782 trabajan en la región y 2.837 lo hacen en el ejercicio de su profesión.</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Con el fin de atender a las demandas y los requerimientos de espacios de calidad, la institución ha venido fortaleciendo la infraestructura física y tecnológica de las diferentes seccionales y sedes,  con diversas obras de mejoramiento, adecuación y construcción de espacios que contribuyen a hacer de la educación un motor de transformación de los territorios. En el periodo 2016,  se construyó la segunda etapa de la sede de Apartado, se mejoró la infraestructura en la seccional del Bajo Cauca, dotación de laboratorios de ingeniería y ciencias básicas en la seccional Oriente, mejorar la infraestructura física en la Sede Sansón. A continuación se presentan los proyectos de mayor inversión en las sedes regionales:</w:t>
      </w:r>
    </w:p>
    <w:p w:rsidR="004B70EC" w:rsidRPr="004B70EC" w:rsidRDefault="004B70EC" w:rsidP="004B70EC">
      <w:pPr>
        <w:spacing w:after="240"/>
        <w:jc w:val="both"/>
        <w:rPr>
          <w:rFonts w:ascii="Arial" w:eastAsia="+mn-ea" w:hAnsi="Arial" w:cs="Arial"/>
          <w:b/>
          <w:kern w:val="24"/>
          <w:lang w:val="es-ES_tradnl"/>
          <w14:shadow w14:blurRad="50800" w14:dist="38100" w14:dir="2700000" w14:sx="100000" w14:sy="100000" w14:kx="0" w14:ky="0" w14:algn="tl">
            <w14:srgbClr w14:val="000000">
              <w14:alpha w14:val="60000"/>
            </w14:srgbClr>
          </w14:shadow>
        </w:rPr>
      </w:pPr>
      <w:r w:rsidRPr="004B70EC">
        <w:rPr>
          <w:rFonts w:ascii="Arial" w:hAnsi="Arial" w:cs="Arial"/>
          <w:b/>
          <w:lang w:val="es-ES_tradnl"/>
        </w:rPr>
        <w:t xml:space="preserve">Construcción de </w:t>
      </w:r>
      <w:smartTag w:uri="urn:schemas-microsoft-com:office:smarttags" w:element="PersonName">
        <w:smartTagPr>
          <w:attr w:name="ProductID" w:val="LA SEDE CIENCIAS"/>
        </w:smartTagPr>
        <w:r w:rsidRPr="004B70EC">
          <w:rPr>
            <w:rFonts w:ascii="Arial" w:hAnsi="Arial" w:cs="Arial"/>
            <w:b/>
            <w:lang w:val="es-ES_tradnl"/>
          </w:rPr>
          <w:t>la Sede Ciencias</w:t>
        </w:r>
      </w:smartTag>
      <w:r w:rsidRPr="004B70EC">
        <w:rPr>
          <w:rFonts w:ascii="Arial" w:hAnsi="Arial" w:cs="Arial"/>
          <w:b/>
          <w:lang w:val="es-ES_tradnl"/>
        </w:rPr>
        <w:t xml:space="preserve"> del Mar en el municipio de Turbo</w:t>
      </w:r>
    </w:p>
    <w:p w:rsidR="004B70EC" w:rsidRPr="004B70EC" w:rsidRDefault="004B70EC" w:rsidP="004B70EC">
      <w:pPr>
        <w:spacing w:after="240"/>
        <w:jc w:val="both"/>
        <w:rPr>
          <w:rFonts w:ascii="Arial" w:hAnsi="Arial" w:cs="Arial"/>
          <w:lang w:val="es-ES_tradnl"/>
        </w:rPr>
      </w:pPr>
      <w:r w:rsidRPr="004B70EC">
        <w:rPr>
          <w:rFonts w:ascii="Arial" w:eastAsia="+mn-ea" w:hAnsi="Arial" w:cs="Arial"/>
          <w:kern w:val="24"/>
          <w:lang w:val="es-ES_tradnl"/>
          <w14:shadow w14:blurRad="50800" w14:dist="38100" w14:dir="2700000" w14:sx="100000" w14:sy="100000" w14:kx="0" w14:ky="0" w14:algn="tl">
            <w14:srgbClr w14:val="000000">
              <w14:alpha w14:val="60000"/>
            </w14:srgbClr>
          </w14:shadow>
        </w:rPr>
        <w:t>Esta sede c</w:t>
      </w:r>
      <w:r w:rsidRPr="004B70EC">
        <w:rPr>
          <w:rFonts w:ascii="Arial" w:hAnsi="Arial" w:cs="Arial"/>
          <w:lang w:val="es-ES_tradnl"/>
        </w:rPr>
        <w:t>omprende: edificios de laboratorios, aulas y administración. Total área construida 5.134,43 m</w:t>
      </w:r>
      <w:r w:rsidRPr="004B70EC">
        <w:rPr>
          <w:rFonts w:ascii="Arial" w:hAnsi="Arial" w:cs="Arial"/>
          <w:vertAlign w:val="superscript"/>
          <w:lang w:val="es-ES_tradnl"/>
        </w:rPr>
        <w:t>2</w:t>
      </w:r>
      <w:r w:rsidRPr="004B70EC">
        <w:rPr>
          <w:rFonts w:ascii="Arial" w:hAnsi="Arial" w:cs="Arial"/>
          <w:lang w:val="es-ES_tradnl"/>
        </w:rPr>
        <w:t>. Capacidad aproximada para atender 1.000 personas. El costo de la inversión en la primera y segunda etapa es de 18.000 millones de pesos, de los cuales se asignaron recursos de crédito línea Findeter de 12.000 millones de pesos y el resto 6.000 millones, con recursos de regalías.</w:t>
      </w:r>
    </w:p>
    <w:p w:rsidR="004B70EC" w:rsidRPr="004B70EC" w:rsidRDefault="004B70EC" w:rsidP="004B70EC">
      <w:pPr>
        <w:spacing w:line="360" w:lineRule="auto"/>
        <w:jc w:val="center"/>
        <w:rPr>
          <w:rFonts w:ascii="Arial" w:hAnsi="Arial" w:cs="Arial"/>
          <w:b/>
          <w:lang w:val="es-ES_tradnl"/>
        </w:rPr>
      </w:pPr>
      <w:r w:rsidRPr="004B70EC">
        <w:rPr>
          <w:rFonts w:ascii="Arial" w:hAnsi="Arial" w:cs="Arial"/>
          <w:noProof/>
          <w:lang w:val="es-CO" w:eastAsia="es-CO"/>
        </w:rPr>
        <w:drawing>
          <wp:anchor distT="0" distB="0" distL="114300" distR="114300" simplePos="0" relativeHeight="251668480" behindDoc="0" locked="0" layoutInCell="1" allowOverlap="1" wp14:anchorId="41A549D8" wp14:editId="7D0EC193">
            <wp:simplePos x="0" y="0"/>
            <wp:positionH relativeFrom="column">
              <wp:posOffset>238760</wp:posOffset>
            </wp:positionH>
            <wp:positionV relativeFrom="paragraph">
              <wp:posOffset>483870</wp:posOffset>
            </wp:positionV>
            <wp:extent cx="2872740" cy="2000250"/>
            <wp:effectExtent l="0" t="0" r="381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274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noProof/>
          <w:lang w:val="es-CO" w:eastAsia="es-CO"/>
        </w:rPr>
        <w:drawing>
          <wp:anchor distT="0" distB="0" distL="114300" distR="114300" simplePos="0" relativeHeight="251667456" behindDoc="0" locked="0" layoutInCell="1" allowOverlap="1" wp14:anchorId="0F7F1723" wp14:editId="19A748EC">
            <wp:simplePos x="0" y="0"/>
            <wp:positionH relativeFrom="page">
              <wp:posOffset>4506595</wp:posOffset>
            </wp:positionH>
            <wp:positionV relativeFrom="paragraph">
              <wp:posOffset>486410</wp:posOffset>
            </wp:positionV>
            <wp:extent cx="2569210" cy="2019300"/>
            <wp:effectExtent l="0" t="0" r="2540"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6921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b/>
          <w:lang w:val="es-ES_tradnl"/>
        </w:rPr>
        <w:t>Figura 20. Sede Ciencias del Mar y Centro de Investigación</w:t>
      </w:r>
    </w:p>
    <w:p w:rsidR="004B70EC" w:rsidRPr="004B70EC" w:rsidRDefault="004B70EC" w:rsidP="004B70EC">
      <w:pPr>
        <w:spacing w:before="240" w:after="240"/>
        <w:jc w:val="both"/>
        <w:rPr>
          <w:rFonts w:ascii="Arial" w:hAnsi="Arial" w:cs="Arial"/>
          <w:b/>
          <w:highlight w:val="yellow"/>
          <w:lang w:val="es-ES_tradnl"/>
        </w:rPr>
      </w:pPr>
      <w:r w:rsidRPr="004B70EC">
        <w:rPr>
          <w:rFonts w:ascii="Arial" w:hAnsi="Arial" w:cs="Arial"/>
          <w:b/>
          <w:lang w:val="es-ES_tradnl"/>
        </w:rPr>
        <w:t>Construcción Ciudadela Universitaria Universidad de Antioquia, Oriente antioqueño</w:t>
      </w:r>
    </w:p>
    <w:p w:rsidR="004B70EC" w:rsidRDefault="004B70EC" w:rsidP="004B70EC">
      <w:pPr>
        <w:spacing w:after="120"/>
        <w:jc w:val="both"/>
        <w:rPr>
          <w:rFonts w:ascii="Arial" w:hAnsi="Arial" w:cs="Arial"/>
          <w:lang w:val="es-ES_tradnl"/>
        </w:rPr>
      </w:pPr>
      <w:r w:rsidRPr="004B70EC">
        <w:rPr>
          <w:rFonts w:ascii="Arial" w:eastAsia="+mn-ea" w:hAnsi="Arial" w:cs="Arial"/>
          <w:kern w:val="24"/>
          <w:lang w:val="es-ES_tradnl"/>
          <w14:shadow w14:blurRad="50800" w14:dist="38100" w14:dir="2700000" w14:sx="100000" w14:sy="100000" w14:kx="0" w14:ky="0" w14:algn="tl">
            <w14:srgbClr w14:val="000000">
              <w14:alpha w14:val="60000"/>
            </w14:srgbClr>
          </w14:shadow>
        </w:rPr>
        <w:t>Esta sede c</w:t>
      </w:r>
      <w:r w:rsidRPr="004B70EC">
        <w:rPr>
          <w:rFonts w:ascii="Arial" w:hAnsi="Arial" w:cs="Arial"/>
          <w:lang w:val="es-ES_tradnl"/>
        </w:rPr>
        <w:t>omprende: edificios, laboratorios, aulas, administración y zonas comunes. Total área construida 8.188 m</w:t>
      </w:r>
      <w:r w:rsidRPr="004B70EC">
        <w:rPr>
          <w:rFonts w:ascii="Arial" w:hAnsi="Arial" w:cs="Arial"/>
          <w:vertAlign w:val="superscript"/>
          <w:lang w:val="es-ES_tradnl"/>
        </w:rPr>
        <w:t>2</w:t>
      </w:r>
      <w:r w:rsidRPr="004B70EC">
        <w:rPr>
          <w:rFonts w:ascii="Arial" w:hAnsi="Arial" w:cs="Arial"/>
          <w:lang w:val="es-ES_tradnl"/>
        </w:rPr>
        <w:t>. Capacidad aproximada de 3.800 personas. El costo de la inversión es del orden de 24.000 millones de pesos de los cuales 8.000 millones de pesos se financiaron con de crédito línea Findeter, 10.000 millones de pesos con aportes del Departamento de Antioquia y 6.000 millones de pesos, con recursos de regalías.</w:t>
      </w:r>
    </w:p>
    <w:p w:rsidR="004B70EC" w:rsidRPr="004B70EC" w:rsidRDefault="004B70EC" w:rsidP="004B70EC">
      <w:pPr>
        <w:spacing w:after="120"/>
        <w:jc w:val="both"/>
        <w:rPr>
          <w:rFonts w:ascii="Arial" w:hAnsi="Arial" w:cs="Arial"/>
          <w:lang w:val="es-ES_tradnl"/>
        </w:rPr>
      </w:pPr>
    </w:p>
    <w:p w:rsidR="004B70EC" w:rsidRPr="004B70EC" w:rsidRDefault="004B70EC" w:rsidP="004B70EC">
      <w:pPr>
        <w:spacing w:after="120"/>
        <w:jc w:val="center"/>
        <w:rPr>
          <w:rFonts w:ascii="Arial" w:hAnsi="Arial" w:cs="Arial"/>
          <w:lang w:val="es-ES_tradnl"/>
        </w:rPr>
      </w:pPr>
      <w:r w:rsidRPr="004B70EC">
        <w:rPr>
          <w:rFonts w:ascii="Arial" w:hAnsi="Arial" w:cs="Arial"/>
          <w:b/>
          <w:lang w:val="es-ES_tradnl"/>
        </w:rPr>
        <w:t xml:space="preserve">Figura 21. Sede Cdadela Universitaria Universidad de Antioquia, Oriente        </w:t>
      </w:r>
    </w:p>
    <w:p w:rsidR="004B70EC" w:rsidRPr="004B70EC" w:rsidRDefault="004B70EC" w:rsidP="004B70EC">
      <w:pPr>
        <w:spacing w:after="240"/>
        <w:jc w:val="both"/>
        <w:rPr>
          <w:rFonts w:ascii="Arial" w:hAnsi="Arial" w:cs="Arial"/>
          <w:b/>
          <w:lang w:val="es-ES_tradnl"/>
        </w:rPr>
      </w:pPr>
      <w:r w:rsidRPr="004B70EC">
        <w:rPr>
          <w:rFonts w:ascii="Arial" w:hAnsi="Arial" w:cs="Arial"/>
          <w:noProof/>
          <w:lang w:val="es-CO" w:eastAsia="es-CO"/>
        </w:rPr>
        <w:drawing>
          <wp:anchor distT="0" distB="0" distL="114300" distR="114300" simplePos="0" relativeHeight="251672576" behindDoc="0" locked="0" layoutInCell="1" allowOverlap="1" wp14:anchorId="0533554D" wp14:editId="1D5C2498">
            <wp:simplePos x="0" y="0"/>
            <wp:positionH relativeFrom="margin">
              <wp:posOffset>167640</wp:posOffset>
            </wp:positionH>
            <wp:positionV relativeFrom="paragraph">
              <wp:posOffset>738505</wp:posOffset>
            </wp:positionV>
            <wp:extent cx="5200650" cy="2057400"/>
            <wp:effectExtent l="0" t="0" r="0"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0065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b/>
          <w:lang w:val="es-ES_tradnl"/>
        </w:rPr>
        <w:t>Construcción y adecuación en seccionales y sedes en los municipios de Caucasia, Puerto Berrío, Santa Fe de Antioquia, Andes, Sonsón, Amalfi, Yarumal y Segovia</w:t>
      </w:r>
    </w:p>
    <w:p w:rsidR="004B70EC" w:rsidRPr="004B70EC" w:rsidRDefault="004B70EC" w:rsidP="004B70EC">
      <w:pPr>
        <w:spacing w:after="240"/>
        <w:jc w:val="both"/>
        <w:rPr>
          <w:rFonts w:ascii="Arial" w:hAnsi="Arial" w:cs="Arial"/>
          <w:b/>
          <w:lang w:val="es-ES_tradnl"/>
        </w:rPr>
      </w:pPr>
      <w:r w:rsidRPr="004B70EC">
        <w:rPr>
          <w:rFonts w:ascii="Arial" w:hAnsi="Arial" w:cs="Arial"/>
          <w:lang w:val="es-ES_tradnl"/>
        </w:rPr>
        <w:t>En estas sedes se intervinieron: la ampliación de las instalaciones de las seccionales en aulas, oficinas administrativas, baterías de baños, placa polideportiva, pavimentación del acceso, laboratorios y parqueadero con recursos inversión de la Estampilla con valor de más de 45.000 millones de pesos y con regalías.</w:t>
      </w:r>
    </w:p>
    <w:p w:rsidR="004B70EC" w:rsidRPr="004B70EC" w:rsidRDefault="004B70EC" w:rsidP="004B70EC">
      <w:pPr>
        <w:spacing w:after="240"/>
        <w:jc w:val="center"/>
        <w:rPr>
          <w:rFonts w:ascii="Arial" w:hAnsi="Arial" w:cs="Arial"/>
          <w:lang w:val="es-ES_tradnl"/>
        </w:rPr>
      </w:pPr>
      <w:r w:rsidRPr="004B70EC">
        <w:rPr>
          <w:rFonts w:ascii="Arial" w:hAnsi="Arial" w:cs="Arial"/>
          <w:b/>
          <w:lang w:val="es-ES_tradnl"/>
        </w:rPr>
        <w:t>Figura 22. Seccionales de la Universidad de Antioqui</w:t>
      </w:r>
      <w:r w:rsidRPr="004B70EC">
        <w:rPr>
          <w:rFonts w:ascii="Arial" w:hAnsi="Arial" w:cs="Arial"/>
          <w:lang w:val="es-ES_tradnl"/>
        </w:rPr>
        <w:t>a</w:t>
      </w:r>
    </w:p>
    <w:p w:rsidR="004B70EC" w:rsidRPr="004B70EC" w:rsidRDefault="004B70EC" w:rsidP="004B70EC">
      <w:pPr>
        <w:tabs>
          <w:tab w:val="left" w:pos="4395"/>
        </w:tabs>
        <w:jc w:val="both"/>
        <w:rPr>
          <w:rFonts w:ascii="Arial" w:hAnsi="Arial" w:cs="Arial"/>
          <w:lang w:val="es-ES_tradnl"/>
        </w:rPr>
      </w:pPr>
      <w:r w:rsidRPr="004B70EC">
        <w:rPr>
          <w:rFonts w:ascii="Arial" w:hAnsi="Arial" w:cs="Arial"/>
          <w:noProof/>
          <w:lang w:val="es-CO" w:eastAsia="es-CO"/>
        </w:rPr>
        <w:drawing>
          <wp:inline distT="0" distB="0" distL="0" distR="0" wp14:anchorId="5388EBC8" wp14:editId="46CA26DB">
            <wp:extent cx="2238375" cy="1685925"/>
            <wp:effectExtent l="0" t="0" r="9525" b="9525"/>
            <wp:docPr id="17" name="Imagen 17" descr="Imagen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Imagen 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r w:rsidRPr="004B70EC">
        <w:rPr>
          <w:rFonts w:ascii="Arial" w:hAnsi="Arial" w:cs="Arial"/>
          <w:lang w:val="es-ES_tradnl"/>
        </w:rPr>
        <w:tab/>
      </w:r>
      <w:r w:rsidRPr="004B70EC">
        <w:rPr>
          <w:rFonts w:ascii="Arial" w:hAnsi="Arial" w:cs="Arial"/>
          <w:noProof/>
          <w:lang w:val="es-CO" w:eastAsia="es-CO"/>
        </w:rPr>
        <w:drawing>
          <wp:inline distT="0" distB="0" distL="0" distR="0" wp14:anchorId="5441792C" wp14:editId="6ED2701D">
            <wp:extent cx="1971675" cy="1876425"/>
            <wp:effectExtent l="0" t="0" r="9525" b="9525"/>
            <wp:docPr id="16" name="Imagen 16" descr="Imagen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Imagen 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1675" cy="1876425"/>
                    </a:xfrm>
                    <a:prstGeom prst="rect">
                      <a:avLst/>
                    </a:prstGeom>
                    <a:noFill/>
                    <a:ln>
                      <a:noFill/>
                    </a:ln>
                  </pic:spPr>
                </pic:pic>
              </a:graphicData>
            </a:graphic>
          </wp:inline>
        </w:drawing>
      </w:r>
    </w:p>
    <w:p w:rsidR="004B70EC" w:rsidRPr="004B70EC" w:rsidRDefault="004B70EC" w:rsidP="004B70EC">
      <w:pPr>
        <w:tabs>
          <w:tab w:val="left" w:pos="5103"/>
        </w:tabs>
        <w:jc w:val="both"/>
        <w:rPr>
          <w:rFonts w:ascii="Arial" w:hAnsi="Arial" w:cs="Arial"/>
          <w:lang w:val="es-ES_tradnl"/>
        </w:rPr>
      </w:pPr>
      <w:r w:rsidRPr="004B70EC">
        <w:rPr>
          <w:rFonts w:ascii="Arial" w:hAnsi="Arial" w:cs="Arial"/>
          <w:lang w:val="es-ES_tradnl"/>
        </w:rPr>
        <w:t>Seccional Urabá</w:t>
      </w:r>
      <w:r w:rsidRPr="004B70EC">
        <w:rPr>
          <w:rFonts w:ascii="Arial" w:hAnsi="Arial" w:cs="Arial"/>
          <w:lang w:val="es-ES_tradnl"/>
        </w:rPr>
        <w:tab/>
        <w:t>Seccional Bajo Cauca</w:t>
      </w:r>
    </w:p>
    <w:p w:rsidR="004B70EC" w:rsidRPr="004B70EC" w:rsidRDefault="004B70EC" w:rsidP="004B70EC">
      <w:pPr>
        <w:jc w:val="both"/>
        <w:rPr>
          <w:rFonts w:ascii="Arial" w:hAnsi="Arial" w:cs="Arial"/>
          <w:lang w:val="es-ES_tradnl"/>
        </w:rPr>
      </w:pPr>
      <w:r w:rsidRPr="004B70EC">
        <w:rPr>
          <w:rFonts w:ascii="Arial" w:hAnsi="Arial" w:cs="Arial"/>
          <w:noProof/>
          <w:lang w:val="es-CO" w:eastAsia="es-CO"/>
        </w:rPr>
        <w:drawing>
          <wp:inline distT="0" distB="0" distL="0" distR="0" wp14:anchorId="1A23EE4A" wp14:editId="6F7959FB">
            <wp:extent cx="1866900" cy="1809750"/>
            <wp:effectExtent l="0" t="0" r="0" b="0"/>
            <wp:docPr id="15" name="Imagen 15" descr="Imagen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agen 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6900" cy="1809750"/>
                    </a:xfrm>
                    <a:prstGeom prst="rect">
                      <a:avLst/>
                    </a:prstGeom>
                    <a:noFill/>
                    <a:ln>
                      <a:noFill/>
                    </a:ln>
                  </pic:spPr>
                </pic:pic>
              </a:graphicData>
            </a:graphic>
          </wp:inline>
        </w:drawing>
      </w:r>
      <w:r w:rsidRPr="004B70EC">
        <w:rPr>
          <w:rFonts w:ascii="Arial" w:hAnsi="Arial" w:cs="Arial"/>
          <w:lang w:val="es-ES_tradnl"/>
        </w:rPr>
        <w:tab/>
      </w:r>
      <w:r w:rsidRPr="004B70EC">
        <w:rPr>
          <w:rFonts w:ascii="Arial" w:hAnsi="Arial" w:cs="Arial"/>
          <w:noProof/>
          <w:lang w:val="es-CO" w:eastAsia="es-CO"/>
        </w:rPr>
        <w:drawing>
          <wp:inline distT="0" distB="0" distL="0" distR="0" wp14:anchorId="1D7DEEDE" wp14:editId="034177B8">
            <wp:extent cx="2428875" cy="1724025"/>
            <wp:effectExtent l="0" t="0" r="9525" b="9525"/>
            <wp:docPr id="14" name="Imagen 14" descr="Imagen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agen 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8875" cy="1724025"/>
                    </a:xfrm>
                    <a:prstGeom prst="rect">
                      <a:avLst/>
                    </a:prstGeom>
                    <a:noFill/>
                    <a:ln>
                      <a:noFill/>
                    </a:ln>
                  </pic:spPr>
                </pic:pic>
              </a:graphicData>
            </a:graphic>
          </wp:inline>
        </w:drawing>
      </w:r>
    </w:p>
    <w:p w:rsidR="004B70EC" w:rsidRPr="004B70EC" w:rsidRDefault="004B70EC" w:rsidP="004B70EC">
      <w:pPr>
        <w:tabs>
          <w:tab w:val="left" w:pos="4820"/>
        </w:tabs>
        <w:jc w:val="both"/>
        <w:rPr>
          <w:rFonts w:ascii="Arial" w:hAnsi="Arial" w:cs="Arial"/>
          <w:lang w:val="es-ES_tradnl"/>
        </w:rPr>
      </w:pPr>
      <w:r w:rsidRPr="004B70EC">
        <w:rPr>
          <w:rFonts w:ascii="Arial" w:hAnsi="Arial" w:cs="Arial"/>
          <w:lang w:val="es-ES_tradnl"/>
        </w:rPr>
        <w:t>Seccional Magdalena Medio</w:t>
      </w:r>
      <w:r w:rsidRPr="004B70EC">
        <w:rPr>
          <w:rFonts w:ascii="Arial" w:hAnsi="Arial" w:cs="Arial"/>
          <w:lang w:val="es-ES_tradnl"/>
        </w:rPr>
        <w:tab/>
        <w:t>Seccional Occidente</w:t>
      </w:r>
    </w:p>
    <w:p w:rsidR="004B70EC" w:rsidRPr="004B70EC" w:rsidRDefault="004B70EC" w:rsidP="004B70EC">
      <w:pPr>
        <w:jc w:val="both"/>
        <w:rPr>
          <w:rFonts w:ascii="Arial" w:hAnsi="Arial" w:cs="Arial"/>
          <w:lang w:val="es-ES_tradnl"/>
        </w:rPr>
      </w:pPr>
      <w:r w:rsidRPr="004B70EC">
        <w:rPr>
          <w:rFonts w:ascii="Arial" w:hAnsi="Arial" w:cs="Arial"/>
          <w:noProof/>
          <w:lang w:val="es-CO" w:eastAsia="es-CO"/>
        </w:rPr>
        <w:drawing>
          <wp:inline distT="0" distB="0" distL="0" distR="0" wp14:anchorId="019A82BF" wp14:editId="1F969602">
            <wp:extent cx="5857875" cy="1581150"/>
            <wp:effectExtent l="0" t="0" r="9525" b="0"/>
            <wp:docPr id="12" name="Imagen 12" descr="proyecto guardianes de la poliniz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oyecto guardianes de la polinizacio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57875" cy="1581150"/>
                    </a:xfrm>
                    <a:prstGeom prst="rect">
                      <a:avLst/>
                    </a:prstGeom>
                    <a:noFill/>
                    <a:ln>
                      <a:noFill/>
                    </a:ln>
                  </pic:spPr>
                </pic:pic>
              </a:graphicData>
            </a:graphic>
          </wp:inline>
        </w:drawing>
      </w:r>
    </w:p>
    <w:p w:rsidR="004B70EC" w:rsidRPr="004B70EC" w:rsidRDefault="004B70EC" w:rsidP="004B70EC">
      <w:pPr>
        <w:jc w:val="both"/>
        <w:rPr>
          <w:rFonts w:ascii="Arial" w:hAnsi="Arial" w:cs="Arial"/>
          <w:lang w:val="es-ES_tradnl"/>
        </w:rPr>
      </w:pPr>
      <w:r w:rsidRPr="004B70EC">
        <w:rPr>
          <w:rFonts w:ascii="Arial" w:hAnsi="Arial" w:cs="Arial"/>
          <w:lang w:val="es-ES_tradnl"/>
        </w:rPr>
        <w:t>Seccional Suroeste</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noProof/>
          <w:lang w:val="es-CO" w:eastAsia="es-CO"/>
        </w:rPr>
        <w:drawing>
          <wp:inline distT="0" distB="0" distL="0" distR="0" wp14:anchorId="6F05932C" wp14:editId="43EC04E2">
            <wp:extent cx="2438400" cy="1590675"/>
            <wp:effectExtent l="0" t="0" r="0" b="9525"/>
            <wp:docPr id="11" name="Imagen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8400" cy="1590675"/>
                    </a:xfrm>
                    <a:prstGeom prst="rect">
                      <a:avLst/>
                    </a:prstGeom>
                    <a:noFill/>
                    <a:ln>
                      <a:noFill/>
                    </a:ln>
                  </pic:spPr>
                </pic:pic>
              </a:graphicData>
            </a:graphic>
          </wp:inline>
        </w:drawing>
      </w:r>
      <w:r w:rsidRPr="004B70EC">
        <w:rPr>
          <w:rFonts w:ascii="Arial" w:hAnsi="Arial" w:cs="Arial"/>
          <w:noProof/>
          <w:lang w:val="es-CO" w:eastAsia="es-CO"/>
        </w:rPr>
        <w:drawing>
          <wp:inline distT="0" distB="0" distL="0" distR="0" wp14:anchorId="50841C5B" wp14:editId="7740A91F">
            <wp:extent cx="1981200" cy="1457325"/>
            <wp:effectExtent l="0" t="0" r="0" b="9525"/>
            <wp:docPr id="10" name="Imagen 1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1200" cy="1457325"/>
                    </a:xfrm>
                    <a:prstGeom prst="rect">
                      <a:avLst/>
                    </a:prstGeom>
                    <a:noFill/>
                    <a:ln>
                      <a:noFill/>
                    </a:ln>
                  </pic:spPr>
                </pic:pic>
              </a:graphicData>
            </a:graphic>
          </wp:inline>
        </w:drawing>
      </w:r>
    </w:p>
    <w:p w:rsidR="004B70EC" w:rsidRPr="004B70EC" w:rsidRDefault="004B70EC" w:rsidP="004B70EC">
      <w:pPr>
        <w:tabs>
          <w:tab w:val="left" w:pos="4678"/>
        </w:tabs>
        <w:ind w:firstLine="708"/>
        <w:jc w:val="both"/>
        <w:rPr>
          <w:rFonts w:ascii="Arial" w:hAnsi="Arial" w:cs="Arial"/>
          <w:lang w:val="es-ES_tradnl"/>
        </w:rPr>
      </w:pPr>
      <w:r w:rsidRPr="004B70EC">
        <w:rPr>
          <w:rFonts w:ascii="Arial" w:hAnsi="Arial" w:cs="Arial"/>
          <w:lang w:val="es-ES_tradnl"/>
        </w:rPr>
        <w:t>Sede Sonsón</w:t>
      </w:r>
      <w:r w:rsidRPr="004B70EC">
        <w:rPr>
          <w:rFonts w:ascii="Arial" w:hAnsi="Arial" w:cs="Arial"/>
          <w:lang w:val="es-ES_tradnl"/>
        </w:rPr>
        <w:tab/>
        <w:t>Sede Amalfi</w:t>
      </w:r>
    </w:p>
    <w:p w:rsidR="004B70EC" w:rsidRPr="004B70EC" w:rsidRDefault="004B70EC" w:rsidP="004B70EC">
      <w:pPr>
        <w:jc w:val="center"/>
        <w:rPr>
          <w:rFonts w:ascii="Arial" w:hAnsi="Arial" w:cs="Arial"/>
          <w:lang w:val="es-ES_tradnl"/>
        </w:rPr>
      </w:pPr>
      <w:r w:rsidRPr="004B70EC">
        <w:rPr>
          <w:rFonts w:ascii="Arial" w:hAnsi="Arial" w:cs="Arial"/>
          <w:noProof/>
          <w:lang w:val="es-CO" w:eastAsia="es-CO"/>
        </w:rPr>
        <w:drawing>
          <wp:inline distT="0" distB="0" distL="0" distR="0" wp14:anchorId="06A4F0D8" wp14:editId="00B83536">
            <wp:extent cx="1428750" cy="2486025"/>
            <wp:effectExtent l="0" t="0" r="0" b="9525"/>
            <wp:docPr id="9" name="Imagen 9" descr="DSC_04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413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28750" cy="2486025"/>
                    </a:xfrm>
                    <a:prstGeom prst="rect">
                      <a:avLst/>
                    </a:prstGeom>
                    <a:noFill/>
                    <a:ln>
                      <a:noFill/>
                    </a:ln>
                  </pic:spPr>
                </pic:pic>
              </a:graphicData>
            </a:graphic>
          </wp:inline>
        </w:drawing>
      </w:r>
      <w:r w:rsidRPr="004B70EC">
        <w:rPr>
          <w:rFonts w:ascii="Arial" w:hAnsi="Arial" w:cs="Arial"/>
          <w:noProof/>
          <w:lang w:val="es-CO" w:eastAsia="es-CO"/>
        </w:rPr>
        <w:drawing>
          <wp:inline distT="0" distB="0" distL="0" distR="0" wp14:anchorId="35DE0892" wp14:editId="21FBAC79">
            <wp:extent cx="2743200" cy="2495550"/>
            <wp:effectExtent l="0" t="0" r="0" b="0"/>
            <wp:docPr id="8" name="Imagen 8" descr="sede nort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de nort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3200" cy="2495550"/>
                    </a:xfrm>
                    <a:prstGeom prst="rect">
                      <a:avLst/>
                    </a:prstGeom>
                    <a:noFill/>
                    <a:ln>
                      <a:noFill/>
                    </a:ln>
                  </pic:spPr>
                </pic:pic>
              </a:graphicData>
            </a:graphic>
          </wp:inline>
        </w:drawing>
      </w:r>
    </w:p>
    <w:p w:rsidR="004B70EC" w:rsidRPr="004B70EC" w:rsidRDefault="004B70EC" w:rsidP="004B70EC">
      <w:pPr>
        <w:tabs>
          <w:tab w:val="left" w:pos="3402"/>
        </w:tabs>
        <w:jc w:val="center"/>
        <w:rPr>
          <w:rFonts w:ascii="Arial" w:hAnsi="Arial" w:cs="Arial"/>
          <w:lang w:val="es-ES_tradnl"/>
        </w:rPr>
      </w:pPr>
      <w:r w:rsidRPr="004B70EC">
        <w:rPr>
          <w:rFonts w:ascii="Arial" w:hAnsi="Arial" w:cs="Arial"/>
          <w:lang w:val="es-ES_tradnl"/>
        </w:rPr>
        <w:t>Sede Segovia</w:t>
      </w:r>
      <w:r w:rsidRPr="004B70EC">
        <w:rPr>
          <w:rFonts w:ascii="Arial" w:hAnsi="Arial" w:cs="Arial"/>
          <w:lang w:val="es-ES_tradnl"/>
        </w:rPr>
        <w:tab/>
        <w:t>Sede Yarumal</w:t>
      </w:r>
    </w:p>
    <w:p w:rsidR="004B70EC" w:rsidRDefault="004B70EC" w:rsidP="004B70EC">
      <w:pPr>
        <w:tabs>
          <w:tab w:val="left" w:pos="3402"/>
        </w:tabs>
        <w:jc w:val="both"/>
        <w:rPr>
          <w:rFonts w:ascii="Arial" w:hAnsi="Arial" w:cs="Arial"/>
          <w:b/>
          <w:lang w:val="es-ES_tradnl"/>
        </w:rPr>
      </w:pPr>
    </w:p>
    <w:p w:rsidR="004B70EC" w:rsidRDefault="004B70EC" w:rsidP="004B70EC">
      <w:pPr>
        <w:tabs>
          <w:tab w:val="left" w:pos="3402"/>
        </w:tabs>
        <w:jc w:val="both"/>
        <w:rPr>
          <w:rFonts w:ascii="Arial" w:hAnsi="Arial" w:cs="Arial"/>
          <w:b/>
          <w:lang w:val="es-ES_tradnl"/>
        </w:rPr>
      </w:pPr>
    </w:p>
    <w:p w:rsidR="004B70EC" w:rsidRDefault="004B70EC" w:rsidP="004B70EC">
      <w:pPr>
        <w:tabs>
          <w:tab w:val="left" w:pos="3402"/>
        </w:tabs>
        <w:jc w:val="both"/>
        <w:rPr>
          <w:rFonts w:ascii="Arial" w:hAnsi="Arial" w:cs="Arial"/>
          <w:b/>
          <w:lang w:val="es-ES_tradnl"/>
        </w:rPr>
      </w:pPr>
    </w:p>
    <w:p w:rsidR="004B70EC" w:rsidRPr="004B70EC" w:rsidRDefault="004B70EC" w:rsidP="004B70EC">
      <w:pPr>
        <w:tabs>
          <w:tab w:val="left" w:pos="3402"/>
        </w:tabs>
        <w:jc w:val="both"/>
        <w:rPr>
          <w:rFonts w:ascii="Arial" w:hAnsi="Arial" w:cs="Arial"/>
          <w:b/>
          <w:lang w:val="es-ES_tradnl"/>
        </w:rPr>
      </w:pPr>
      <w:r w:rsidRPr="004B70EC">
        <w:rPr>
          <w:rFonts w:ascii="Arial" w:hAnsi="Arial" w:cs="Arial"/>
          <w:b/>
          <w:lang w:val="es-ES_tradnl"/>
        </w:rPr>
        <w:t>Construcción y adecuación Sede Tulenapa del municipio de Carepa</w:t>
      </w:r>
    </w:p>
    <w:p w:rsidR="004B70EC" w:rsidRDefault="004B70EC" w:rsidP="004B70EC">
      <w:pPr>
        <w:spacing w:after="240"/>
        <w:jc w:val="both"/>
        <w:rPr>
          <w:rFonts w:ascii="Arial" w:hAnsi="Arial" w:cs="Arial"/>
          <w:lang w:val="es-ES_tradnl"/>
        </w:rPr>
      </w:pPr>
      <w:r w:rsidRPr="004B70EC">
        <w:rPr>
          <w:rFonts w:ascii="Arial" w:hAnsi="Arial" w:cs="Arial"/>
          <w:lang w:val="es-ES_tradnl"/>
        </w:rPr>
        <w:t>Esta sede comprende un bloque de aulas, una sala de cómputo, la ampliación del edificio administrativo, cafetería, vivienda para estudiantes, profesores y administrador y laboratorios con inversión de la Estampilla de 1.500 millones de pesos y 1.850 millones con recursos de regalías.</w:t>
      </w:r>
    </w:p>
    <w:p w:rsidR="004B70EC" w:rsidRPr="004B70EC" w:rsidRDefault="004B70EC" w:rsidP="004B70EC">
      <w:pPr>
        <w:spacing w:after="240"/>
        <w:jc w:val="both"/>
        <w:rPr>
          <w:rFonts w:ascii="Arial" w:hAnsi="Arial" w:cs="Arial"/>
          <w:lang w:val="es-ES_tradnl"/>
        </w:rPr>
      </w:pPr>
    </w:p>
    <w:p w:rsidR="004B70EC" w:rsidRPr="004B70EC" w:rsidRDefault="004B70EC" w:rsidP="004B70EC">
      <w:pPr>
        <w:pStyle w:val="Textoindependiente"/>
        <w:spacing w:after="240"/>
        <w:jc w:val="center"/>
        <w:rPr>
          <w:rFonts w:ascii="Arial" w:hAnsi="Arial" w:cs="Arial"/>
          <w:b/>
          <w:szCs w:val="24"/>
          <w:lang w:val="es-ES_tradnl"/>
        </w:rPr>
      </w:pPr>
      <w:r w:rsidRPr="004B70EC">
        <w:rPr>
          <w:rFonts w:ascii="Arial" w:hAnsi="Arial" w:cs="Arial"/>
          <w:b/>
          <w:szCs w:val="24"/>
          <w:lang w:val="es-ES_tradnl"/>
        </w:rPr>
        <w:t>Figura 23. Sede Tulenapa Universidad de Antioquia</w:t>
      </w:r>
    </w:p>
    <w:p w:rsidR="004B70EC" w:rsidRPr="004B70EC" w:rsidRDefault="004B70EC" w:rsidP="004B70EC">
      <w:pPr>
        <w:pStyle w:val="Textoindependiente"/>
        <w:jc w:val="both"/>
        <w:rPr>
          <w:rFonts w:ascii="Arial" w:hAnsi="Arial" w:cs="Arial"/>
          <w:b/>
          <w:sz w:val="22"/>
          <w:szCs w:val="22"/>
          <w:lang w:val="es-ES_tradnl"/>
        </w:rPr>
      </w:pPr>
      <w:r w:rsidRPr="004B70EC">
        <w:rPr>
          <w:rFonts w:ascii="Arial" w:hAnsi="Arial" w:cs="Arial"/>
          <w:noProof/>
          <w:lang w:val="es-CO" w:eastAsia="es-CO"/>
        </w:rPr>
        <w:drawing>
          <wp:inline distT="0" distB="0" distL="0" distR="0" wp14:anchorId="4F145E52" wp14:editId="5B734AC0">
            <wp:extent cx="2486025" cy="1943100"/>
            <wp:effectExtent l="0" t="0" r="9525" b="0"/>
            <wp:docPr id="7" name="Imagen 7" descr="Imagen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agen 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86025" cy="1943100"/>
                    </a:xfrm>
                    <a:prstGeom prst="rect">
                      <a:avLst/>
                    </a:prstGeom>
                    <a:noFill/>
                    <a:ln>
                      <a:noFill/>
                    </a:ln>
                  </pic:spPr>
                </pic:pic>
              </a:graphicData>
            </a:graphic>
          </wp:inline>
        </w:drawing>
      </w:r>
      <w:r w:rsidRPr="004B70EC">
        <w:rPr>
          <w:rFonts w:ascii="Arial" w:hAnsi="Arial" w:cs="Arial"/>
          <w:lang w:val="es-ES_tradnl"/>
        </w:rPr>
        <w:tab/>
      </w:r>
      <w:r w:rsidRPr="004B70EC">
        <w:rPr>
          <w:rFonts w:ascii="Arial" w:hAnsi="Arial" w:cs="Arial"/>
          <w:noProof/>
          <w:lang w:val="es-CO" w:eastAsia="es-CO"/>
        </w:rPr>
        <w:drawing>
          <wp:inline distT="0" distB="0" distL="0" distR="0" wp14:anchorId="71079538" wp14:editId="4AF46DA5">
            <wp:extent cx="2371725" cy="1943100"/>
            <wp:effectExtent l="0" t="0" r="9525" b="0"/>
            <wp:docPr id="6" name="Imagen 6" descr="Imagen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Imagen 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1725" cy="1943100"/>
                    </a:xfrm>
                    <a:prstGeom prst="rect">
                      <a:avLst/>
                    </a:prstGeom>
                    <a:noFill/>
                    <a:ln>
                      <a:noFill/>
                    </a:ln>
                  </pic:spPr>
                </pic:pic>
              </a:graphicData>
            </a:graphic>
          </wp:inline>
        </w:drawing>
      </w:r>
    </w:p>
    <w:p w:rsidR="004B70EC" w:rsidRPr="004B70EC" w:rsidRDefault="004B70EC" w:rsidP="004B70EC">
      <w:pPr>
        <w:pStyle w:val="Textoindependiente"/>
        <w:tabs>
          <w:tab w:val="left" w:pos="5103"/>
        </w:tabs>
        <w:spacing w:after="240"/>
        <w:jc w:val="both"/>
        <w:rPr>
          <w:rFonts w:ascii="Arial" w:hAnsi="Arial" w:cs="Arial"/>
          <w:szCs w:val="24"/>
          <w:lang w:val="es-ES_tradnl"/>
        </w:rPr>
      </w:pPr>
      <w:r w:rsidRPr="004B70EC">
        <w:rPr>
          <w:rFonts w:ascii="Arial" w:hAnsi="Arial" w:cs="Arial"/>
          <w:szCs w:val="24"/>
          <w:lang w:val="es-ES_tradnl"/>
        </w:rPr>
        <w:t>Sede Carepa</w:t>
      </w:r>
      <w:r w:rsidRPr="004B70EC">
        <w:rPr>
          <w:rFonts w:ascii="Arial" w:hAnsi="Arial" w:cs="Arial"/>
          <w:szCs w:val="24"/>
          <w:lang w:val="es-ES_tradnl"/>
        </w:rPr>
        <w:tab/>
        <w:t>Laboratorio Tulenapa</w:t>
      </w:r>
    </w:p>
    <w:p w:rsidR="004B70EC" w:rsidRPr="004B70EC" w:rsidRDefault="004B70EC" w:rsidP="004B70EC">
      <w:pPr>
        <w:pStyle w:val="Textoindependiente"/>
        <w:tabs>
          <w:tab w:val="left" w:pos="5103"/>
        </w:tabs>
        <w:spacing w:after="240"/>
        <w:jc w:val="both"/>
        <w:rPr>
          <w:rFonts w:ascii="Arial" w:hAnsi="Arial" w:cs="Arial"/>
          <w:szCs w:val="24"/>
          <w:lang w:val="es-ES_tradnl"/>
        </w:rPr>
      </w:pPr>
      <w:r w:rsidRPr="004B70EC">
        <w:rPr>
          <w:rFonts w:ascii="Arial" w:hAnsi="Arial" w:cs="Arial"/>
          <w:b/>
          <w:szCs w:val="24"/>
          <w:lang w:val="es-ES_tradnl"/>
        </w:rPr>
        <w:t xml:space="preserve"> Extensión</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La Universidad de Antioquia ha consolidado y tiene como reto transformar vidas, diversificando formas de interacción con la sociedad mediante la creación de alianzas con los sectores académico, productivo, gubernamental, culturales y sociales; mediante la realización de programas de extensión solidaria como expresión de su principio de responsabilidad social; la transferencia de conocimientos a través del emprendimiento y los proyectos de investigación, desarrollo e innovación (I+D+i); la prestación de servicios de asesorías y consultorías; la educación continua, y el fortalecimiento de la relación con sus egresados, programas y proyectos para la paz y los derechos humanos y compromiso de medio ambiente.</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Para cumplir con este objetivo misional, la administración de la Universidad inauguró en el 2008, el Edificio de Extensión con un área de construcción de 12.300 m</w:t>
      </w:r>
      <w:r w:rsidRPr="004B70EC">
        <w:rPr>
          <w:rFonts w:ascii="Arial" w:hAnsi="Arial" w:cs="Arial"/>
          <w:vertAlign w:val="superscript"/>
          <w:lang w:val="es-ES_tradnl"/>
        </w:rPr>
        <w:t>2</w:t>
      </w:r>
      <w:r w:rsidRPr="004B70EC">
        <w:rPr>
          <w:rFonts w:ascii="Arial" w:hAnsi="Arial" w:cs="Arial"/>
          <w:lang w:val="es-ES_tradnl"/>
        </w:rPr>
        <w:t>, 3 auditorios, 2 aulas multimedia, área de exposiciones, 2 restaurantes-cafés, oficina de extensión de las diferentes unidades académicas y centro de televisión. La inversión fue de 31.000 millones de pesos financiados así: recursos Estampilla 21.000 millones de pesos y con aportes del municipio de Medellín por 10.000 millones de pesos.</w:t>
      </w:r>
    </w:p>
    <w:p w:rsidR="004B70EC" w:rsidRPr="004B70EC" w:rsidRDefault="004B70EC" w:rsidP="004B70EC">
      <w:pPr>
        <w:spacing w:after="240"/>
        <w:jc w:val="center"/>
        <w:rPr>
          <w:rFonts w:ascii="Arial" w:hAnsi="Arial" w:cs="Arial"/>
          <w:b/>
          <w:lang w:val="es-ES_tradnl"/>
        </w:rPr>
      </w:pPr>
      <w:r w:rsidRPr="004B70EC">
        <w:rPr>
          <w:rFonts w:ascii="Arial" w:hAnsi="Arial" w:cs="Arial"/>
          <w:b/>
          <w:lang w:val="es-ES_tradnl"/>
        </w:rPr>
        <w:t>Figura 24. Edificio de Extensión</w:t>
      </w:r>
    </w:p>
    <w:p w:rsidR="004B70EC" w:rsidRPr="004B70EC" w:rsidRDefault="004B70EC" w:rsidP="004B70EC">
      <w:pPr>
        <w:spacing w:after="240"/>
        <w:jc w:val="both"/>
        <w:rPr>
          <w:rFonts w:ascii="Arial" w:hAnsi="Arial" w:cs="Arial"/>
          <w:b/>
          <w:lang w:val="es-ES_tradnl"/>
        </w:rPr>
      </w:pPr>
      <w:r w:rsidRPr="004B70EC">
        <w:rPr>
          <w:rFonts w:ascii="Arial" w:hAnsi="Arial" w:cs="Arial"/>
          <w:b/>
          <w:noProof/>
          <w:lang w:val="es-CO" w:eastAsia="es-CO"/>
        </w:rPr>
        <w:drawing>
          <wp:inline distT="0" distB="0" distL="0" distR="0" wp14:anchorId="1E1F26CA" wp14:editId="2C1FD0AD">
            <wp:extent cx="4025265" cy="1611630"/>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25265" cy="1611630"/>
                    </a:xfrm>
                    <a:prstGeom prst="rect">
                      <a:avLst/>
                    </a:prstGeom>
                    <a:noFill/>
                  </pic:spPr>
                </pic:pic>
              </a:graphicData>
            </a:graphic>
          </wp:inline>
        </w:drawing>
      </w:r>
    </w:p>
    <w:p w:rsidR="004B70EC" w:rsidRPr="004B70EC" w:rsidRDefault="004B70EC" w:rsidP="004B70EC">
      <w:pPr>
        <w:spacing w:before="57" w:after="240"/>
        <w:jc w:val="both"/>
        <w:textAlignment w:val="center"/>
        <w:rPr>
          <w:rFonts w:ascii="Arial" w:hAnsi="Arial" w:cs="Arial"/>
          <w:lang w:val="es-ES_tradnl"/>
        </w:rPr>
      </w:pPr>
      <w:r w:rsidRPr="004B70EC">
        <w:rPr>
          <w:rFonts w:ascii="Arial" w:hAnsi="Arial" w:cs="Arial"/>
          <w:lang w:val="es-ES_tradnl"/>
        </w:rPr>
        <w:t>En tema de innovación social, en 2017, la Universidad cofinanció proyectos multidisciplinarios e interinstitucionales en temas como reconstrucción de la memoria y el tejido social, medio ambiente, inclusión y diversidad sexual, salud y minería responsable. Además, se lideraron programas y proyectos con el eje temático de La Paz.</w:t>
      </w:r>
    </w:p>
    <w:p w:rsidR="004B70EC" w:rsidRP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En 2017, la Universidad llevó a cabo 4.167 actividades artísticas y culturales con la participación de 353.529 universitarios y público en general. Durante este mismo periodo se desarrollaron 2.908 actividades de educación no formal continúan con 95.948 inscritos; y se suscribieron 568 convenios y contratos anuales con los sectores público y privado para prestación de servicios, asesorías y consultorías, por más de 258.000 millones de pesos.</w:t>
      </w:r>
    </w:p>
    <w:p w:rsidR="004B70EC" w:rsidRPr="004B70EC" w:rsidRDefault="004B70EC" w:rsidP="004B70EC">
      <w:pPr>
        <w:spacing w:before="57" w:after="240"/>
        <w:jc w:val="both"/>
        <w:textAlignment w:val="center"/>
        <w:rPr>
          <w:rFonts w:ascii="Arial" w:hAnsi="Arial" w:cs="Arial"/>
          <w:lang w:val="es-ES_tradnl"/>
        </w:rPr>
      </w:pPr>
      <w:r w:rsidRPr="004B70EC">
        <w:rPr>
          <w:rFonts w:ascii="Arial" w:hAnsi="Arial" w:cs="Arial"/>
          <w:lang w:val="es-ES_tradnl"/>
        </w:rPr>
        <w:t>También ha impulsado los procesos culturales mediante programas de estímulo a la creación artística, la preservación de los patrimonios y los saberes ancestrales, y el fomento a las diversas expresiones culturales. De igual manera se han firmado convenios internacionales de cooperación cultural con las universidades Autónoma de México (</w:t>
      </w:r>
      <w:r w:rsidRPr="004B70EC">
        <w:rPr>
          <w:rFonts w:ascii="Arial" w:hAnsi="Arial" w:cs="Arial"/>
          <w:smallCaps/>
          <w:lang w:val="es-ES_tradnl"/>
        </w:rPr>
        <w:t>unam</w:t>
      </w:r>
      <w:r w:rsidRPr="004B70EC">
        <w:rPr>
          <w:rFonts w:ascii="Arial" w:hAnsi="Arial" w:cs="Arial"/>
          <w:lang w:val="es-ES_tradnl"/>
        </w:rPr>
        <w:t>) y Mohamed V de Rabat (Marruecos), los cuales han permitido el diálogo académico y han brindado a los universitarios y a la ciudadanía la posibilidad de conocer y disfrutar de las expresiones culturales de esos países.</w:t>
      </w:r>
    </w:p>
    <w:p w:rsidR="004B70EC" w:rsidRP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En emprendimiento e innovación, con alianzas interinstitucionales, se gestionaron 81 resultados de investigación con propósitos de valorización, protección, aseguramiento y comercialización, por esta actividad misional se destaca la concesión de cuatro nuevas patentes de innovación, seis nuevos registros de derecho de autor, cuatro nuevas marcas y cuatro acuerdos o contratos de explotación comercial con empresas.</w:t>
      </w:r>
    </w:p>
    <w:p w:rsidR="004B70EC" w:rsidRP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El Programa de Gestión Tecnológica, en el año 2017 suscribió catorce contratos de investigación aplicada e innovación con agentes externos, por más de 5.700 millones de pesos. En emprendimiento se formaron 3.382 personas, los que se aúnan a 166.246 personas que se han formado desde 2002, con el fin de entregar a la sociedad actores de cambio para el progreso y el bienestar del territorio.</w:t>
      </w:r>
    </w:p>
    <w:p w:rsidR="004B70EC" w:rsidRPr="004B70EC" w:rsidRDefault="004B70EC" w:rsidP="004B70EC">
      <w:pPr>
        <w:spacing w:before="57" w:after="240"/>
        <w:jc w:val="both"/>
        <w:textAlignment w:val="center"/>
        <w:rPr>
          <w:rFonts w:ascii="Arial" w:hAnsi="Arial" w:cs="Arial"/>
          <w:lang w:val="es-ES_tradnl"/>
        </w:rPr>
      </w:pPr>
      <w:r w:rsidRPr="004B70EC">
        <w:rPr>
          <w:rFonts w:ascii="Arial" w:hAnsi="Arial" w:cs="Arial"/>
          <w:lang w:val="es-ES_tradnl"/>
        </w:rPr>
        <w:t>En materia de responsabilidad social, se vienen ejecutando programas y proyectos universitarios e interinstitucionales para el desarrollo humano, social y la participación de la institución en políticas públicas, mediante prácticas académicas comunitarias, emprendimiento social, asesorías, voluntariado universitario y la participación en redes nacionales e internacionales. En el año 2017, se instaló la Red de Voluntariados y se ratificó la Universidad como comunidad protectora de los niños, con diferentes dependencias de la Universidad.</w:t>
      </w:r>
    </w:p>
    <w:p w:rsidR="004B70EC" w:rsidRPr="004B70EC" w:rsidRDefault="004B70EC" w:rsidP="004B70EC">
      <w:pPr>
        <w:spacing w:before="57" w:after="240"/>
        <w:jc w:val="both"/>
        <w:textAlignment w:val="center"/>
        <w:rPr>
          <w:rFonts w:ascii="Arial" w:hAnsi="Arial" w:cs="Arial"/>
          <w:lang w:val="es-ES_tradnl"/>
        </w:rPr>
      </w:pPr>
      <w:r w:rsidRPr="004B70EC">
        <w:rPr>
          <w:rFonts w:ascii="Arial" w:hAnsi="Arial" w:cs="Arial"/>
          <w:lang w:val="es-ES_tradnl"/>
        </w:rPr>
        <w:t>Otro de los programas más representativos de la extensión solidaria es el Consultorio Jurídico de la Facultad de Derecho y Ciencias Políticas que a lo largo de sus 49 años de existencia ha generado impacto social a las personas de los extractos 1, 2 y 3 de Medellín y Antioquia por la atención y la orientación jurídica en diferentes temas., En 2017, atendió 6.616 consultas en Medellín y 2.098 en zonas rurales.</w:t>
      </w:r>
    </w:p>
    <w:p w:rsidR="004B70EC" w:rsidRPr="004B70EC" w:rsidRDefault="004B70EC" w:rsidP="004B70EC">
      <w:pPr>
        <w:spacing w:before="57" w:after="240"/>
        <w:jc w:val="both"/>
        <w:textAlignment w:val="center"/>
        <w:rPr>
          <w:rFonts w:ascii="Arial" w:hAnsi="Arial" w:cs="Arial"/>
          <w:lang w:val="es-ES_tradnl"/>
        </w:rPr>
      </w:pPr>
      <w:r w:rsidRPr="004B70EC">
        <w:rPr>
          <w:rFonts w:ascii="Arial" w:hAnsi="Arial" w:cs="Arial"/>
          <w:b/>
          <w:lang w:val="es-ES_tradnl"/>
        </w:rPr>
        <w:t>Bienestar universitario</w:t>
      </w:r>
    </w:p>
    <w:p w:rsidR="004B70EC" w:rsidRP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 xml:space="preserve">La Universidad, con el objeto de cumplir con una política de equidad social, de bienestar para la permanencia y la formación integral, ha diseñado líneas estratégicas en el acompañamiento socioeconómico, bienestar físico y mental, y deporte y cultura. Se destacan acciones como las exenciones de matrículas, becas y apoyos para estudiantes, en promedio 40.000 anualmente de los estratos 1, 2 y 3, mediante la aplicación de la Resolución 15849 de 2002, Fondo </w:t>
      </w:r>
      <w:r w:rsidRPr="004B70EC">
        <w:rPr>
          <w:rFonts w:ascii="Arial" w:hAnsi="Arial" w:cs="Arial"/>
          <w:b w:val="0"/>
          <w:smallCaps/>
          <w:szCs w:val="24"/>
          <w:lang w:val="es-ES_tradnl"/>
        </w:rPr>
        <w:t>epm</w:t>
      </w:r>
      <w:r w:rsidRPr="004B70EC">
        <w:rPr>
          <w:rFonts w:ascii="Arial" w:hAnsi="Arial" w:cs="Arial"/>
          <w:b w:val="0"/>
          <w:szCs w:val="24"/>
          <w:lang w:val="es-ES_tradnl"/>
        </w:rPr>
        <w:t xml:space="preserve"> Municipio de Medellín, Becas Acces-Icetex, Programa Solidaridad en Acción, entre otros. En atención integral en salud se han prestado los servicios a 39.328 personas anualmente. En fomento del deporte, la cultura y la recreación se han beneficiado 15.000 estudiantes.</w:t>
      </w:r>
    </w:p>
    <w:p w:rsidR="004B70EC" w:rsidRP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La administración de la Universidad, con el fin de consolidar el Sistema de Bienestar Universitario, ha implementado proyectos de inversión para generar mejores condiciones físicas y de infraestructura para el bienestar y estrategias para fortalecer los aportes a los procesos académicos que apoyen los ejes misionales de la Universidad. Asimismo se inician programas encaminados a un proceso constructivo de una cultura universitaria de la convivencia acompañada de servicios de apoyo y asistencia.</w:t>
      </w:r>
    </w:p>
    <w:p w:rsidR="004B70EC" w:rsidRP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Con el objeto de cumplir dichas políticas, se construyó y dotó el Coliseo Universitario, placas polideportivas y cancha sintética en Medellín y dotación en equipos en las sedes regionales. En estas instalaciones no solo albergan los procesos de formación y entrenamiento deportivo, sino que cuentan con franjas libres de uso para toda la comunidad universitaria, razones por las cuales se consolidan como espacio de encuentro e interacción (figura 25). De igual manera, se ha avanzado en las instalaciones deportivas en las sedes y seccionales en dotación e infraestructura deportiva.</w:t>
      </w:r>
    </w:p>
    <w:p w:rsidR="004B70EC" w:rsidRPr="004B70EC" w:rsidRDefault="004B70EC" w:rsidP="004B70EC">
      <w:pPr>
        <w:pStyle w:val="Textoindependiente2"/>
        <w:spacing w:after="240"/>
        <w:jc w:val="both"/>
        <w:rPr>
          <w:rFonts w:ascii="Arial" w:hAnsi="Arial" w:cs="Arial"/>
          <w:b w:val="0"/>
          <w:szCs w:val="24"/>
          <w:lang w:val="es-ES_tradnl"/>
        </w:rPr>
      </w:pPr>
    </w:p>
    <w:p w:rsidR="004B70EC" w:rsidRPr="004B70EC" w:rsidRDefault="004B70EC" w:rsidP="004B70EC">
      <w:pPr>
        <w:pStyle w:val="Textoindependiente"/>
        <w:spacing w:after="240"/>
        <w:jc w:val="both"/>
        <w:rPr>
          <w:rFonts w:ascii="Arial" w:eastAsia="+mn-ea" w:hAnsi="Arial" w:cs="Arial"/>
          <w:b/>
          <w:bCs/>
          <w:kern w:val="24"/>
          <w:szCs w:val="24"/>
          <w:lang w:val="es-ES_tradnl"/>
          <w14:shadow w14:blurRad="50800" w14:dist="38100" w14:dir="2700000" w14:sx="100000" w14:sy="100000" w14:kx="0" w14:ky="0" w14:algn="tl">
            <w14:srgbClr w14:val="000000">
              <w14:alpha w14:val="60000"/>
            </w14:srgbClr>
          </w14:shadow>
        </w:rPr>
      </w:pPr>
      <w:r w:rsidRPr="004B70EC">
        <w:rPr>
          <w:rFonts w:ascii="Arial" w:hAnsi="Arial" w:cs="Arial"/>
          <w:b/>
          <w:szCs w:val="24"/>
          <w:lang w:val="es-ES_tradnl"/>
        </w:rPr>
        <w:t>Unidad Deportiva Ciudad Universitaria</w:t>
      </w:r>
    </w:p>
    <w:p w:rsidR="004B70EC" w:rsidRPr="004B70EC" w:rsidRDefault="004B70EC" w:rsidP="004B70EC">
      <w:pPr>
        <w:pStyle w:val="Textoindependiente"/>
        <w:spacing w:after="240"/>
        <w:jc w:val="both"/>
        <w:rPr>
          <w:rFonts w:ascii="Arial" w:hAnsi="Arial" w:cs="Arial"/>
          <w:szCs w:val="24"/>
          <w:lang w:val="es-ES_tradnl"/>
        </w:rPr>
      </w:pPr>
      <w:r w:rsidRPr="004B70EC">
        <w:rPr>
          <w:rFonts w:ascii="Arial" w:eastAsia="+mn-ea" w:hAnsi="Arial" w:cs="Arial"/>
          <w:bCs/>
          <w:kern w:val="24"/>
          <w:szCs w:val="24"/>
          <w:lang w:val="es-ES_tradnl"/>
          <w14:shadow w14:blurRad="50800" w14:dist="38100" w14:dir="2700000" w14:sx="100000" w14:sy="100000" w14:kx="0" w14:ky="0" w14:algn="tl">
            <w14:srgbClr w14:val="000000">
              <w14:alpha w14:val="60000"/>
            </w14:srgbClr>
          </w14:shadow>
        </w:rPr>
        <w:t>Este proyecto c</w:t>
      </w:r>
      <w:r w:rsidRPr="004B70EC">
        <w:rPr>
          <w:rFonts w:ascii="Arial" w:hAnsi="Arial" w:cs="Arial"/>
          <w:bCs/>
          <w:szCs w:val="24"/>
          <w:lang w:val="es-ES_tradnl"/>
        </w:rPr>
        <w:t>omprende coliseo y placas polideportivas, con</w:t>
      </w:r>
      <w:r w:rsidRPr="004B70EC">
        <w:rPr>
          <w:rFonts w:ascii="Arial" w:hAnsi="Arial" w:cs="Arial"/>
          <w:szCs w:val="24"/>
          <w:lang w:val="es-ES_tradnl"/>
        </w:rPr>
        <w:t xml:space="preserve"> área para entrenamiento, gimnasio multifuncional, gimnasia, levantamiento de pesas, taekwondo, judo, karate, aikido, tenis de mesa, salas de danzas, deporte recreativo, ajedrez, coro estudiantil, sala </w:t>
      </w:r>
      <w:r w:rsidRPr="004B70EC">
        <w:rPr>
          <w:rFonts w:ascii="Arial" w:hAnsi="Arial" w:cs="Arial"/>
          <w:smallCaps/>
          <w:szCs w:val="24"/>
          <w:lang w:val="es-ES_tradnl"/>
        </w:rPr>
        <w:t>vip</w:t>
      </w:r>
      <w:r w:rsidRPr="004B70EC">
        <w:rPr>
          <w:rFonts w:ascii="Arial" w:hAnsi="Arial" w:cs="Arial"/>
          <w:szCs w:val="24"/>
          <w:lang w:val="es-ES_tradnl"/>
        </w:rPr>
        <w:t xml:space="preserve"> y cabina de transmisión para eventos deportivos, en un área total construida de 6.617,87 m</w:t>
      </w:r>
      <w:r w:rsidRPr="004B70EC">
        <w:rPr>
          <w:rFonts w:ascii="Arial" w:hAnsi="Arial" w:cs="Arial"/>
          <w:szCs w:val="24"/>
          <w:vertAlign w:val="superscript"/>
          <w:lang w:val="es-ES_tradnl"/>
        </w:rPr>
        <w:t>2</w:t>
      </w:r>
      <w:r w:rsidRPr="004B70EC">
        <w:rPr>
          <w:rFonts w:ascii="Arial" w:hAnsi="Arial" w:cs="Arial"/>
          <w:szCs w:val="24"/>
          <w:lang w:val="es-ES_tradnl"/>
        </w:rPr>
        <w:t>. Capacidad para 2.054 espectadores. El valor total del proyecto es de 20.000 millones de pesos, de los cuales se financiaron con un crédito línea Findeter 14.000 millones de pesos.</w:t>
      </w:r>
    </w:p>
    <w:p w:rsidR="004B70EC" w:rsidRPr="004B70EC" w:rsidRDefault="004B70EC" w:rsidP="004B70EC">
      <w:pPr>
        <w:pStyle w:val="Textoindependiente"/>
        <w:spacing w:after="240"/>
        <w:jc w:val="center"/>
        <w:rPr>
          <w:rFonts w:ascii="Arial" w:hAnsi="Arial" w:cs="Arial"/>
          <w:b/>
          <w:color w:val="auto"/>
          <w:szCs w:val="24"/>
          <w:lang w:val="es-ES_tradnl"/>
        </w:rPr>
      </w:pPr>
      <w:r w:rsidRPr="004B70EC">
        <w:rPr>
          <w:rFonts w:ascii="Arial" w:hAnsi="Arial" w:cs="Arial"/>
          <w:noProof/>
          <w:lang w:val="es-CO" w:eastAsia="es-CO"/>
        </w:rPr>
        <w:drawing>
          <wp:anchor distT="0" distB="0" distL="114300" distR="114300" simplePos="0" relativeHeight="251671552" behindDoc="0" locked="0" layoutInCell="1" allowOverlap="1" wp14:anchorId="7F25BF69" wp14:editId="662D2437">
            <wp:simplePos x="0" y="0"/>
            <wp:positionH relativeFrom="column">
              <wp:posOffset>186690</wp:posOffset>
            </wp:positionH>
            <wp:positionV relativeFrom="paragraph">
              <wp:posOffset>452755</wp:posOffset>
            </wp:positionV>
            <wp:extent cx="5162550" cy="2176780"/>
            <wp:effectExtent l="0" t="0" r="0" b="0"/>
            <wp:wrapTopAndBottom/>
            <wp:docPr id="30" name="Imagen 30" descr="CIMG7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IMG705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62550" cy="2176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0EC">
        <w:rPr>
          <w:rFonts w:ascii="Arial" w:hAnsi="Arial" w:cs="Arial"/>
          <w:b/>
          <w:color w:val="auto"/>
          <w:szCs w:val="24"/>
          <w:lang w:val="es-ES_tradnl"/>
        </w:rPr>
        <w:t>Figura 25. Coliseo Universitario y placas polideportivas Sede Medellín</w:t>
      </w:r>
    </w:p>
    <w:p w:rsidR="004B70EC" w:rsidRPr="004B70EC" w:rsidRDefault="004B70EC" w:rsidP="004B70EC">
      <w:pPr>
        <w:pStyle w:val="Textoindependiente2"/>
        <w:jc w:val="left"/>
        <w:rPr>
          <w:rFonts w:ascii="Arial" w:hAnsi="Arial" w:cs="Arial"/>
          <w:b w:val="0"/>
          <w:sz w:val="22"/>
          <w:szCs w:val="22"/>
          <w:lang w:val="es-ES_tradnl"/>
        </w:rPr>
      </w:pPr>
    </w:p>
    <w:p w:rsidR="004B70EC" w:rsidRPr="004B70EC" w:rsidRDefault="004B70EC" w:rsidP="004B70EC">
      <w:pPr>
        <w:pStyle w:val="Textoindependiente2"/>
        <w:spacing w:before="240" w:after="240"/>
        <w:jc w:val="both"/>
        <w:rPr>
          <w:rFonts w:ascii="Arial" w:hAnsi="Arial" w:cs="Arial"/>
          <w:b w:val="0"/>
          <w:szCs w:val="24"/>
          <w:lang w:val="es-ES_tradnl"/>
        </w:rPr>
      </w:pPr>
      <w:r w:rsidRPr="004B70EC">
        <w:rPr>
          <w:rFonts w:ascii="Arial" w:hAnsi="Arial" w:cs="Arial"/>
          <w:b w:val="0"/>
          <w:szCs w:val="24"/>
          <w:lang w:val="es-ES_tradnl"/>
        </w:rPr>
        <w:t>A continuación se presentan algunos indicadores en programas para la calidad de vida y la formación integral de la comunidad universitaria, así como para los programas de inclusión y permanencia de la Dirección de Bienestar Universitario (tablas 4 y 5).</w:t>
      </w:r>
    </w:p>
    <w:p w:rsidR="004B70EC" w:rsidRPr="004B70EC" w:rsidRDefault="004B70EC" w:rsidP="004B70EC">
      <w:pPr>
        <w:pStyle w:val="Textoindependiente2"/>
        <w:spacing w:before="240" w:after="240"/>
        <w:rPr>
          <w:rFonts w:ascii="Arial" w:hAnsi="Arial" w:cs="Arial"/>
          <w:bCs/>
          <w:szCs w:val="24"/>
          <w:lang w:val="es-ES_tradnl"/>
        </w:rPr>
      </w:pPr>
      <w:r w:rsidRPr="004B70EC">
        <w:rPr>
          <w:rFonts w:ascii="Arial" w:hAnsi="Arial" w:cs="Arial"/>
          <w:bCs/>
          <w:szCs w:val="24"/>
          <w:lang w:val="es-ES_tradnl"/>
        </w:rPr>
        <w:t>Tabla 4. Programa para la calidad de vida y la formación integral de la comunidad universitaria</w:t>
      </w:r>
    </w:p>
    <w:tbl>
      <w:tblPr>
        <w:tblW w:w="7600" w:type="dxa"/>
        <w:jc w:val="center"/>
        <w:tblCellMar>
          <w:left w:w="70" w:type="dxa"/>
          <w:right w:w="70" w:type="dxa"/>
        </w:tblCellMar>
        <w:tblLook w:val="04A0" w:firstRow="1" w:lastRow="0" w:firstColumn="1" w:lastColumn="0" w:noHBand="0" w:noVBand="1"/>
      </w:tblPr>
      <w:tblGrid>
        <w:gridCol w:w="6320"/>
        <w:gridCol w:w="1280"/>
      </w:tblGrid>
      <w:tr w:rsidR="004B70EC" w:rsidRPr="004B70EC" w:rsidTr="004B70EC">
        <w:trPr>
          <w:trHeight w:val="300"/>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92D050"/>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Deporte y Recreación</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Descripción</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Cantidad</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lang w:val="es-ES_tradnl"/>
              </w:rPr>
            </w:pPr>
            <w:r w:rsidRPr="004B70EC">
              <w:rPr>
                <w:rFonts w:ascii="Arial" w:hAnsi="Arial" w:cs="Arial"/>
                <w:lang w:val="es-ES_tradnl" w:eastAsia="es-CO"/>
              </w:rPr>
              <w:t>Estudiantes participando en programas y actividades internas de formación deportiva</w:t>
            </w:r>
          </w:p>
        </w:tc>
        <w:tc>
          <w:tcPr>
            <w:tcW w:w="128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lang w:val="es-ES_tradnl"/>
              </w:rPr>
            </w:pPr>
            <w:r w:rsidRPr="004B70EC">
              <w:rPr>
                <w:rFonts w:ascii="Arial" w:hAnsi="Arial" w:cs="Arial"/>
                <w:lang w:val="es-ES_tradnl" w:eastAsia="es-CO"/>
              </w:rPr>
              <w:t>5.504</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Estudiantes participando en actividades recreativas y de uso del tiempo libre desde deportes</w:t>
            </w:r>
          </w:p>
        </w:tc>
        <w:tc>
          <w:tcPr>
            <w:tcW w:w="128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lang w:val="es-ES_tradnl"/>
              </w:rPr>
            </w:pPr>
            <w:r w:rsidRPr="004B70EC">
              <w:rPr>
                <w:rFonts w:ascii="Arial" w:hAnsi="Arial" w:cs="Arial"/>
                <w:lang w:val="es-ES_tradnl" w:eastAsia="es-CO"/>
              </w:rPr>
              <w:t>3.206</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Estudiantes participando en competencias deportivas externas</w:t>
            </w:r>
          </w:p>
        </w:tc>
        <w:tc>
          <w:tcPr>
            <w:tcW w:w="128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lang w:val="es-ES_tradnl"/>
              </w:rPr>
            </w:pPr>
            <w:r w:rsidRPr="004B70EC">
              <w:rPr>
                <w:rFonts w:ascii="Arial" w:hAnsi="Arial" w:cs="Arial"/>
                <w:lang w:val="es-ES_tradnl" w:eastAsia="es-CO"/>
              </w:rPr>
              <w:t>1.194</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Estudiantes participando en Juegos Deportivos Universidad de Antioquia</w:t>
            </w:r>
          </w:p>
        </w:tc>
        <w:tc>
          <w:tcPr>
            <w:tcW w:w="128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lang w:val="es-ES_tradnl"/>
              </w:rPr>
            </w:pPr>
            <w:r w:rsidRPr="004B70EC">
              <w:rPr>
                <w:rFonts w:ascii="Arial" w:hAnsi="Arial" w:cs="Arial"/>
                <w:lang w:val="es-ES_tradnl" w:eastAsia="es-CO"/>
              </w:rPr>
              <w:t>5.532</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center"/>
            <w:hideMark/>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Empleados participando en Juegos Deportivos Universidad de Antioquia</w:t>
            </w:r>
          </w:p>
        </w:tc>
        <w:tc>
          <w:tcPr>
            <w:tcW w:w="128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946</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eastAsia="es-CO"/>
              </w:rPr>
              <w:t>Empleados que integraron delegaciones para competencias deportivas externas</w:t>
            </w:r>
          </w:p>
        </w:tc>
        <w:tc>
          <w:tcPr>
            <w:tcW w:w="1280" w:type="dxa"/>
            <w:tcBorders>
              <w:top w:val="nil"/>
              <w:left w:val="nil"/>
              <w:bottom w:val="single" w:sz="4" w:space="0" w:color="auto"/>
              <w:right w:val="single" w:sz="4" w:space="0" w:color="auto"/>
            </w:tcBorders>
            <w:shd w:val="clear" w:color="auto" w:fill="auto"/>
            <w:vAlign w:val="center"/>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177</w:t>
            </w:r>
          </w:p>
        </w:tc>
      </w:tr>
      <w:tr w:rsidR="004B70EC" w:rsidRPr="004B70EC" w:rsidTr="004B70EC">
        <w:trPr>
          <w:trHeight w:val="222"/>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 xml:space="preserve">Empleados que participaron de cursos de formación deportiva </w:t>
            </w:r>
          </w:p>
        </w:tc>
        <w:tc>
          <w:tcPr>
            <w:tcW w:w="1280" w:type="dxa"/>
            <w:tcBorders>
              <w:top w:val="nil"/>
              <w:left w:val="nil"/>
              <w:bottom w:val="single" w:sz="4" w:space="0" w:color="auto"/>
              <w:right w:val="single" w:sz="4" w:space="0" w:color="auto"/>
            </w:tcBorders>
            <w:shd w:val="clear" w:color="auto" w:fill="auto"/>
            <w:vAlign w:val="center"/>
          </w:tcPr>
          <w:p w:rsidR="004B70EC" w:rsidRPr="004B70EC" w:rsidRDefault="004B70EC" w:rsidP="00545533">
            <w:pPr>
              <w:jc w:val="right"/>
              <w:rPr>
                <w:rFonts w:ascii="Arial" w:hAnsi="Arial" w:cs="Arial"/>
                <w:lang w:val="es-ES_tradnl" w:eastAsia="es-CO"/>
              </w:rPr>
            </w:pPr>
            <w:r w:rsidRPr="004B70EC">
              <w:rPr>
                <w:rFonts w:ascii="Arial" w:hAnsi="Arial" w:cs="Arial"/>
                <w:lang w:val="es-ES_tradnl" w:eastAsia="es-CO"/>
              </w:rPr>
              <w:t>72</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Empleados participando en actividades recreativas y de uso del tiempo libre desde deporte</w:t>
            </w:r>
          </w:p>
        </w:tc>
        <w:tc>
          <w:tcPr>
            <w:tcW w:w="1280" w:type="dxa"/>
            <w:tcBorders>
              <w:top w:val="nil"/>
              <w:left w:val="nil"/>
              <w:bottom w:val="single" w:sz="4" w:space="0" w:color="auto"/>
              <w:right w:val="single" w:sz="4" w:space="0" w:color="auto"/>
            </w:tcBorders>
            <w:shd w:val="clear" w:color="auto" w:fill="auto"/>
            <w:vAlign w:val="center"/>
          </w:tcPr>
          <w:p w:rsidR="004B70EC" w:rsidRPr="004B70EC" w:rsidRDefault="004B70EC" w:rsidP="00545533">
            <w:pPr>
              <w:jc w:val="right"/>
              <w:rPr>
                <w:rFonts w:ascii="Arial" w:hAnsi="Arial" w:cs="Arial"/>
                <w:lang w:val="es-ES_tradnl" w:eastAsia="es-CO"/>
              </w:rPr>
            </w:pPr>
            <w:r w:rsidRPr="004B70EC">
              <w:rPr>
                <w:rFonts w:ascii="Arial" w:hAnsi="Arial" w:cs="Arial"/>
                <w:lang w:val="es-ES_tradnl" w:eastAsia="es-CO"/>
              </w:rPr>
              <w:t>398</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Usuarios semanales de las instalaciones deportivas para actividades libres</w:t>
            </w:r>
          </w:p>
        </w:tc>
        <w:tc>
          <w:tcPr>
            <w:tcW w:w="1280" w:type="dxa"/>
            <w:tcBorders>
              <w:top w:val="nil"/>
              <w:left w:val="nil"/>
              <w:bottom w:val="single" w:sz="4" w:space="0" w:color="auto"/>
              <w:right w:val="single" w:sz="4" w:space="0" w:color="auto"/>
            </w:tcBorders>
            <w:shd w:val="clear" w:color="auto" w:fill="auto"/>
            <w:vAlign w:val="center"/>
          </w:tcPr>
          <w:p w:rsidR="004B70EC" w:rsidRPr="004B70EC" w:rsidRDefault="004B70EC" w:rsidP="00545533">
            <w:pPr>
              <w:jc w:val="right"/>
              <w:rPr>
                <w:rFonts w:ascii="Arial" w:hAnsi="Arial" w:cs="Arial"/>
                <w:lang w:val="es-ES_tradnl"/>
              </w:rPr>
            </w:pPr>
            <w:r w:rsidRPr="004B70EC">
              <w:rPr>
                <w:rFonts w:ascii="Arial" w:hAnsi="Arial" w:cs="Arial"/>
                <w:lang w:val="es-ES_tradnl" w:eastAsia="es-CO"/>
              </w:rPr>
              <w:t>7.810</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Usuarios beneficiados en el programa de Actividad Física para la Salud</w:t>
            </w:r>
          </w:p>
        </w:tc>
        <w:tc>
          <w:tcPr>
            <w:tcW w:w="1280" w:type="dxa"/>
            <w:tcBorders>
              <w:top w:val="nil"/>
              <w:left w:val="nil"/>
              <w:bottom w:val="single" w:sz="4" w:space="0" w:color="auto"/>
              <w:right w:val="single" w:sz="4" w:space="0" w:color="auto"/>
            </w:tcBorders>
            <w:shd w:val="clear" w:color="auto" w:fill="auto"/>
            <w:vAlign w:val="center"/>
          </w:tcPr>
          <w:p w:rsidR="004B70EC" w:rsidRPr="004B70EC" w:rsidRDefault="004B70EC" w:rsidP="00545533">
            <w:pPr>
              <w:jc w:val="right"/>
              <w:rPr>
                <w:rFonts w:ascii="Arial" w:hAnsi="Arial" w:cs="Arial"/>
                <w:lang w:val="es-ES_tradnl" w:eastAsia="es-CO"/>
              </w:rPr>
            </w:pPr>
            <w:r w:rsidRPr="004B70EC">
              <w:rPr>
                <w:rFonts w:ascii="Arial" w:hAnsi="Arial" w:cs="Arial"/>
                <w:lang w:val="es-ES_tradnl" w:eastAsia="es-CO"/>
              </w:rPr>
              <w:t>1.661</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pt-BR" w:eastAsia="es-CO"/>
              </w:rPr>
            </w:pPr>
            <w:r w:rsidRPr="004B70EC">
              <w:rPr>
                <w:rFonts w:ascii="Arial" w:hAnsi="Arial" w:cs="Arial"/>
                <w:lang w:val="pt-BR" w:eastAsia="es-CO"/>
              </w:rPr>
              <w:t>Estudiantes deportistas atendidos por médico deportivo</w:t>
            </w:r>
          </w:p>
        </w:tc>
        <w:tc>
          <w:tcPr>
            <w:tcW w:w="1280" w:type="dxa"/>
            <w:tcBorders>
              <w:top w:val="nil"/>
              <w:left w:val="nil"/>
              <w:bottom w:val="single" w:sz="4" w:space="0" w:color="auto"/>
              <w:right w:val="single" w:sz="4" w:space="0" w:color="auto"/>
            </w:tcBorders>
            <w:shd w:val="clear" w:color="auto" w:fill="auto"/>
            <w:vAlign w:val="center"/>
          </w:tcPr>
          <w:p w:rsidR="004B70EC" w:rsidRPr="004B70EC" w:rsidRDefault="004B70EC" w:rsidP="00545533">
            <w:pPr>
              <w:jc w:val="right"/>
              <w:rPr>
                <w:rFonts w:ascii="Arial" w:hAnsi="Arial" w:cs="Arial"/>
                <w:lang w:val="es-ES_tradnl" w:eastAsia="es-CO"/>
              </w:rPr>
            </w:pPr>
            <w:r w:rsidRPr="004B70EC">
              <w:rPr>
                <w:rFonts w:ascii="Arial" w:hAnsi="Arial" w:cs="Arial"/>
                <w:lang w:val="es-ES_tradnl" w:eastAsia="es-CO"/>
              </w:rPr>
              <w:t>356</w:t>
            </w:r>
          </w:p>
        </w:tc>
      </w:tr>
      <w:tr w:rsidR="004B70EC" w:rsidRPr="004B70EC" w:rsidTr="004B70EC">
        <w:trPr>
          <w:trHeight w:val="300"/>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92D050"/>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Promoción de la Salud y Prevención de la Enfermedad</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Descripción</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Cantidad</w:t>
            </w:r>
          </w:p>
        </w:tc>
      </w:tr>
      <w:tr w:rsidR="004B70EC" w:rsidRPr="004B70EC" w:rsidTr="004B70EC">
        <w:trPr>
          <w:trHeight w:val="481"/>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eastAsia="es-CO"/>
              </w:rPr>
              <w:t>Estudiantes atendidos en intervención grupal o individual con psicoorientadores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eastAsia="es-CO"/>
              </w:rPr>
              <w:t>2.308</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eastAsia="es-CO"/>
              </w:rPr>
              <w:t>Estudiantes atendidos en actividades grupales de formación con temas como adicciones, sexualidad y afectividad, salud mental, apoyo psicopedagógico y otros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eastAsia="es-CO"/>
              </w:rPr>
              <w:t>14.625</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eastAsia="es-CO"/>
              </w:rPr>
              <w:t>Estudiantes haciendo uso del recambio de anticonceptivos para el servicio Seamos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1.544</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eastAsia="es-CO"/>
              </w:rPr>
              <w:t>Estudiantes atendidos en el Servicio de salud estudiantil</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3.172</w:t>
            </w:r>
          </w:p>
        </w:tc>
      </w:tr>
      <w:tr w:rsidR="004B70EC" w:rsidRPr="004B70EC" w:rsidTr="004B70EC">
        <w:trPr>
          <w:trHeight w:val="300"/>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92D050"/>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eastAsia="es-CO"/>
              </w:rPr>
              <w:t>Formación y Participación Cultural</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Descripción</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Cantidad</w:t>
            </w:r>
          </w:p>
        </w:tc>
      </w:tr>
      <w:tr w:rsidR="004B70EC" w:rsidRPr="004B70EC" w:rsidTr="004B70EC">
        <w:trPr>
          <w:trHeight w:val="350"/>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Empleados participando en cursos de formación en arte y cultura</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457</w:t>
            </w:r>
          </w:p>
        </w:tc>
      </w:tr>
      <w:tr w:rsidR="004B70EC" w:rsidRPr="004B70EC" w:rsidTr="004B70EC">
        <w:trPr>
          <w:trHeight w:val="283"/>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Estudiantes participando en cursos de formación en arte y cultura</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1.661</w:t>
            </w:r>
          </w:p>
        </w:tc>
      </w:tr>
      <w:tr w:rsidR="004B70EC" w:rsidRPr="004B70EC" w:rsidTr="004B70EC">
        <w:trPr>
          <w:trHeight w:val="284"/>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Estudiantes participando en los grupos culturales institucionales</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613</w:t>
            </w:r>
          </w:p>
        </w:tc>
      </w:tr>
      <w:tr w:rsidR="004B70EC" w:rsidRPr="004B70EC" w:rsidTr="004B70EC">
        <w:trPr>
          <w:trHeight w:val="269"/>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Eventos y actividades culturales del programa Tejiendo Redes</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106</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Eventos y presentaciones de los grupos culturales institucionales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110</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center"/>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Iniciativas de Tejiendo Redes apoyadas para circulación artística en regiones</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8</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Estudiantes participando del Programa Tejiendo Redes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416</w:t>
            </w:r>
          </w:p>
        </w:tc>
      </w:tr>
    </w:tbl>
    <w:p w:rsidR="004B70EC" w:rsidRDefault="004B70EC" w:rsidP="004B70EC">
      <w:pPr>
        <w:pStyle w:val="Textoindependiente2"/>
        <w:spacing w:line="360" w:lineRule="auto"/>
        <w:rPr>
          <w:rFonts w:ascii="Arial" w:hAnsi="Arial" w:cs="Arial"/>
          <w:bCs/>
          <w:szCs w:val="24"/>
          <w:lang w:val="es-ES_tradnl"/>
        </w:rPr>
      </w:pPr>
    </w:p>
    <w:p w:rsidR="004B70EC" w:rsidRPr="004B70EC" w:rsidRDefault="004B70EC" w:rsidP="004B70EC">
      <w:pPr>
        <w:pStyle w:val="Textoindependiente2"/>
        <w:spacing w:line="360" w:lineRule="auto"/>
        <w:rPr>
          <w:rFonts w:ascii="Arial" w:hAnsi="Arial" w:cs="Arial"/>
          <w:szCs w:val="24"/>
          <w:lang w:val="es-ES_tradnl"/>
        </w:rPr>
      </w:pPr>
      <w:r w:rsidRPr="004B70EC">
        <w:rPr>
          <w:rFonts w:ascii="Arial" w:hAnsi="Arial" w:cs="Arial"/>
          <w:bCs/>
          <w:szCs w:val="24"/>
          <w:lang w:val="es-ES_tradnl"/>
        </w:rPr>
        <w:t>Tabla 5. Programa para la inclusión y la permanencia</w:t>
      </w:r>
    </w:p>
    <w:tbl>
      <w:tblPr>
        <w:tblW w:w="7600" w:type="dxa"/>
        <w:jc w:val="center"/>
        <w:tblCellMar>
          <w:left w:w="70" w:type="dxa"/>
          <w:right w:w="70" w:type="dxa"/>
        </w:tblCellMar>
        <w:tblLook w:val="04A0" w:firstRow="1" w:lastRow="0" w:firstColumn="1" w:lastColumn="0" w:noHBand="0" w:noVBand="1"/>
      </w:tblPr>
      <w:tblGrid>
        <w:gridCol w:w="6320"/>
        <w:gridCol w:w="1280"/>
      </w:tblGrid>
      <w:tr w:rsidR="004B70EC" w:rsidRPr="004B70EC" w:rsidTr="004B70EC">
        <w:trPr>
          <w:trHeight w:val="300"/>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92D050"/>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Becas, apoyos y exenciones para la comunidad universitaria</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Descripción</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center"/>
              <w:rPr>
                <w:rFonts w:ascii="Arial" w:hAnsi="Arial" w:cs="Arial"/>
                <w:b/>
                <w:bCs/>
                <w:lang w:val="es-ES_tradnl"/>
              </w:rPr>
            </w:pPr>
            <w:r w:rsidRPr="004B70EC">
              <w:rPr>
                <w:rFonts w:ascii="Arial" w:hAnsi="Arial" w:cs="Arial"/>
                <w:b/>
                <w:bCs/>
                <w:lang w:val="es-ES_tradnl"/>
              </w:rPr>
              <w:t>Cantidad</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Becas del Programa Solidaridad en Acción</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1.011</w:t>
            </w:r>
          </w:p>
        </w:tc>
      </w:tr>
      <w:tr w:rsidR="004B70EC" w:rsidRPr="004B70EC" w:rsidTr="004B70EC">
        <w:trPr>
          <w:trHeight w:val="282"/>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 xml:space="preserve">Becas y apoyos del Sistema de Estímulos Académicos para pregrado </w:t>
            </w:r>
          </w:p>
        </w:tc>
        <w:tc>
          <w:tcPr>
            <w:tcW w:w="1280" w:type="dxa"/>
            <w:tcBorders>
              <w:top w:val="nil"/>
              <w:left w:val="nil"/>
              <w:bottom w:val="single" w:sz="4" w:space="0" w:color="auto"/>
              <w:right w:val="single" w:sz="4" w:space="0" w:color="auto"/>
            </w:tcBorders>
            <w:shd w:val="clear" w:color="000000" w:fill="FFFFFF"/>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3.226</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 xml:space="preserve">Becas y apoyos del Sistema de Estímulos Académicos para posgrado </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107</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 xml:space="preserve">Becas del Fondo </w:t>
            </w:r>
            <w:r w:rsidRPr="004B70EC">
              <w:rPr>
                <w:rFonts w:ascii="Arial" w:hAnsi="Arial" w:cs="Arial"/>
                <w:smallCaps/>
                <w:lang w:val="es-ES_tradnl"/>
              </w:rPr>
              <w:t>epm</w:t>
            </w:r>
            <w:r w:rsidRPr="004B70EC">
              <w:rPr>
                <w:rFonts w:ascii="Arial" w:hAnsi="Arial" w:cs="Arial"/>
                <w:lang w:val="es-ES_tradnl"/>
              </w:rPr>
              <w:t xml:space="preserve"> para la educación superior</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2.473</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000000" w:fill="FFFFFF"/>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Incentivos del programa Jóvenes en Acción</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3.116</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000000" w:fill="FFFFFF"/>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Becas del programa Sueños de Paz</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132</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000000" w:fill="FFFFFF"/>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Becas y apoyos del programa Ser Pilo Paga</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238</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000000" w:fill="FFFFFF"/>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Becas y apoyos de formación para empleados administrativos y sus hijos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693</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000000" w:fill="FFFFFF"/>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Becas de la Alianza AMA para educación superior</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1.888</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000000" w:fill="FFFFFF"/>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Exención de matrícula para estudiantes participantes de grupos culturales y deportistas destacados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114</w:t>
            </w:r>
          </w:p>
        </w:tc>
      </w:tr>
      <w:tr w:rsidR="004B70EC" w:rsidRPr="004B70EC" w:rsidTr="004B70EC">
        <w:trPr>
          <w:trHeight w:val="525"/>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eastAsia="es-CO"/>
              </w:rPr>
              <w:t>Apoyo a empleados administrativos para estudio y participación en eventos académicos</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56</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eastAsia="es-CO"/>
              </w:rPr>
            </w:pPr>
            <w:r w:rsidRPr="004B70EC">
              <w:rPr>
                <w:rFonts w:ascii="Arial" w:hAnsi="Arial" w:cs="Arial"/>
                <w:lang w:val="es-ES_tradnl" w:eastAsia="es-CO"/>
              </w:rPr>
              <w:t>Apoyo a estudiantes de sedes Medellín entregados mediante el Fondo Patrimonial de Bienestar</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474</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tcPr>
          <w:p w:rsidR="004B70EC" w:rsidRPr="004B70EC" w:rsidRDefault="004B70EC" w:rsidP="00545533">
            <w:pPr>
              <w:rPr>
                <w:rFonts w:ascii="Arial" w:hAnsi="Arial" w:cs="Arial"/>
                <w:lang w:val="es-ES_tradnl"/>
              </w:rPr>
            </w:pPr>
            <w:r w:rsidRPr="004B70EC">
              <w:rPr>
                <w:rFonts w:ascii="Arial" w:hAnsi="Arial" w:cs="Arial"/>
                <w:lang w:val="es-ES_tradnl" w:eastAsia="es-CO"/>
              </w:rPr>
              <w:t>Apoyo a estudiantes de sedes y seccionales entregados mediante el Fondo Patrimonial de Bienestar</w:t>
            </w:r>
          </w:p>
        </w:tc>
        <w:tc>
          <w:tcPr>
            <w:tcW w:w="1280" w:type="dxa"/>
            <w:tcBorders>
              <w:top w:val="nil"/>
              <w:left w:val="nil"/>
              <w:bottom w:val="single" w:sz="4" w:space="0" w:color="auto"/>
              <w:right w:val="single" w:sz="4" w:space="0" w:color="auto"/>
            </w:tcBorders>
            <w:shd w:val="clear" w:color="auto" w:fill="auto"/>
            <w:vAlign w:val="bottom"/>
          </w:tcPr>
          <w:p w:rsidR="004B70EC" w:rsidRPr="004B70EC" w:rsidRDefault="004B70EC" w:rsidP="00545533">
            <w:pPr>
              <w:jc w:val="right"/>
              <w:rPr>
                <w:rFonts w:ascii="Arial" w:hAnsi="Arial" w:cs="Arial"/>
                <w:lang w:val="es-ES_tradnl"/>
              </w:rPr>
            </w:pPr>
            <w:r w:rsidRPr="004B70EC">
              <w:rPr>
                <w:rFonts w:ascii="Arial" w:hAnsi="Arial" w:cs="Arial"/>
                <w:lang w:val="es-ES_tradnl"/>
              </w:rPr>
              <w:t>337</w:t>
            </w:r>
          </w:p>
        </w:tc>
      </w:tr>
      <w:tr w:rsidR="004B70EC" w:rsidRPr="004B70EC" w:rsidTr="004B70EC">
        <w:trPr>
          <w:trHeight w:val="300"/>
          <w:jc w:val="center"/>
        </w:trPr>
        <w:tc>
          <w:tcPr>
            <w:tcW w:w="6320" w:type="dxa"/>
            <w:tcBorders>
              <w:top w:val="nil"/>
              <w:left w:val="single" w:sz="4" w:space="0" w:color="auto"/>
              <w:bottom w:val="single" w:sz="4" w:space="0" w:color="auto"/>
              <w:right w:val="single" w:sz="4" w:space="0" w:color="auto"/>
            </w:tcBorders>
            <w:shd w:val="clear" w:color="auto" w:fill="auto"/>
            <w:vAlign w:val="bottom"/>
            <w:hideMark/>
          </w:tcPr>
          <w:p w:rsidR="004B70EC" w:rsidRPr="004B70EC" w:rsidRDefault="004B70EC" w:rsidP="00545533">
            <w:pPr>
              <w:rPr>
                <w:rFonts w:ascii="Arial" w:hAnsi="Arial" w:cs="Arial"/>
                <w:lang w:val="es-ES_tradnl"/>
              </w:rPr>
            </w:pPr>
            <w:r w:rsidRPr="004B70EC">
              <w:rPr>
                <w:rFonts w:ascii="Arial" w:hAnsi="Arial" w:cs="Arial"/>
                <w:lang w:val="es-ES_tradnl"/>
              </w:rPr>
              <w:t>Exenciones de matrícula a estudiantes de estratos 1 y 2</w:t>
            </w:r>
          </w:p>
        </w:tc>
        <w:tc>
          <w:tcPr>
            <w:tcW w:w="1280" w:type="dxa"/>
            <w:tcBorders>
              <w:top w:val="nil"/>
              <w:left w:val="nil"/>
              <w:bottom w:val="single" w:sz="4" w:space="0" w:color="auto"/>
              <w:right w:val="single" w:sz="4" w:space="0" w:color="auto"/>
            </w:tcBorders>
            <w:shd w:val="clear" w:color="auto" w:fill="auto"/>
            <w:vAlign w:val="bottom"/>
            <w:hideMark/>
          </w:tcPr>
          <w:p w:rsidR="004B70EC" w:rsidRPr="004B70EC" w:rsidRDefault="004B70EC" w:rsidP="00545533">
            <w:pPr>
              <w:jc w:val="right"/>
              <w:rPr>
                <w:rFonts w:ascii="Arial" w:hAnsi="Arial" w:cs="Arial"/>
                <w:lang w:val="es-ES_tradnl"/>
              </w:rPr>
            </w:pPr>
            <w:r w:rsidRPr="004B70EC">
              <w:rPr>
                <w:rFonts w:ascii="Arial" w:hAnsi="Arial" w:cs="Arial"/>
                <w:lang w:val="es-ES_tradnl"/>
              </w:rPr>
              <w:t>18.511</w:t>
            </w:r>
          </w:p>
        </w:tc>
      </w:tr>
    </w:tbl>
    <w:p w:rsidR="004B70EC" w:rsidRPr="004B70EC" w:rsidRDefault="004B70EC" w:rsidP="004B70EC">
      <w:pPr>
        <w:pStyle w:val="Textoindependiente2"/>
        <w:spacing w:before="240" w:after="240" w:line="360" w:lineRule="auto"/>
        <w:jc w:val="left"/>
        <w:rPr>
          <w:rFonts w:ascii="Arial" w:hAnsi="Arial" w:cs="Arial"/>
          <w:bCs/>
          <w:szCs w:val="24"/>
          <w:lang w:val="es-ES_tradnl"/>
        </w:rPr>
      </w:pPr>
    </w:p>
    <w:p w:rsidR="004B70EC" w:rsidRDefault="004B70EC" w:rsidP="004B70EC">
      <w:pPr>
        <w:pStyle w:val="Textoindependiente2"/>
        <w:spacing w:after="240"/>
        <w:jc w:val="both"/>
        <w:rPr>
          <w:rFonts w:ascii="Arial" w:hAnsi="Arial" w:cs="Arial"/>
          <w:b w:val="0"/>
          <w:szCs w:val="24"/>
          <w:lang w:val="es-ES_tradnl"/>
        </w:rPr>
      </w:pPr>
      <w:r w:rsidRPr="004B70EC">
        <w:rPr>
          <w:rFonts w:ascii="Arial" w:hAnsi="Arial" w:cs="Arial"/>
          <w:b w:val="0"/>
          <w:szCs w:val="24"/>
          <w:lang w:val="es-ES_tradnl"/>
        </w:rPr>
        <w:t>Por todo lo anterior, la Universidad de Antioquia, patrimonio de la sociedad antioqueña y nacional, está obligada a preservar y defender la equidad social para seguir siendo una oportunidad para la profesionalización y la movilidad social de los sectores más pobres y vulnerables en el municipio de Medellín, la región y el país. En la tabla 6 se presentan los estudiantes matriculados en pregrado por estratificación, regiones, municipios, en el segundo semestre de 2016. Igualmente, la población de estudiantes de posgrados y otros programas de educación.</w:t>
      </w:r>
    </w:p>
    <w:p w:rsidR="004B70EC" w:rsidRPr="004B70EC" w:rsidRDefault="004B70EC" w:rsidP="004B70EC">
      <w:pPr>
        <w:pStyle w:val="Textoindependiente2"/>
        <w:spacing w:after="240"/>
        <w:jc w:val="both"/>
        <w:rPr>
          <w:rFonts w:ascii="Arial" w:hAnsi="Arial" w:cs="Arial"/>
          <w:szCs w:val="24"/>
          <w:lang w:val="es-ES_tradnl"/>
        </w:rPr>
      </w:pPr>
    </w:p>
    <w:p w:rsidR="004B70EC" w:rsidRPr="004B70EC" w:rsidRDefault="004B70EC" w:rsidP="004B70EC">
      <w:pPr>
        <w:pStyle w:val="Textoindependiente2"/>
        <w:spacing w:after="240"/>
        <w:jc w:val="both"/>
        <w:rPr>
          <w:rFonts w:ascii="Arial" w:hAnsi="Arial" w:cs="Arial"/>
          <w:szCs w:val="24"/>
          <w:lang w:val="es-ES_tradnl"/>
        </w:rPr>
      </w:pPr>
      <w:r w:rsidRPr="004B70EC">
        <w:rPr>
          <w:rFonts w:ascii="Arial" w:hAnsi="Arial" w:cs="Arial"/>
          <w:szCs w:val="24"/>
          <w:lang w:val="es-ES_tradnl"/>
        </w:rPr>
        <w:t>Tabla 6. Distribución de los estudiantes matriculados por municipio 2017 II</w:t>
      </w:r>
    </w:p>
    <w:tbl>
      <w:tblPr>
        <w:tblW w:w="9528" w:type="dxa"/>
        <w:tblInd w:w="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1474"/>
        <w:gridCol w:w="739"/>
        <w:gridCol w:w="652"/>
        <w:gridCol w:w="709"/>
        <w:gridCol w:w="592"/>
        <w:gridCol w:w="576"/>
        <w:gridCol w:w="668"/>
        <w:gridCol w:w="1689"/>
        <w:gridCol w:w="667"/>
        <w:gridCol w:w="740"/>
        <w:gridCol w:w="1022"/>
      </w:tblGrid>
      <w:tr w:rsidR="004B70EC" w:rsidRPr="004B70EC" w:rsidTr="00545533">
        <w:trPr>
          <w:trHeight w:val="528"/>
        </w:trPr>
        <w:tc>
          <w:tcPr>
            <w:tcW w:w="1474" w:type="dxa"/>
            <w:vMerge w:val="restart"/>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Región/Municipio</w:t>
            </w:r>
          </w:p>
        </w:tc>
        <w:tc>
          <w:tcPr>
            <w:tcW w:w="3936" w:type="dxa"/>
            <w:gridSpan w:val="6"/>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Estrato socioeconómico</w:t>
            </w:r>
          </w:p>
        </w:tc>
        <w:tc>
          <w:tcPr>
            <w:tcW w:w="1689" w:type="dxa"/>
            <w:vMerge w:val="restart"/>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Subtotal pregrado</w:t>
            </w:r>
          </w:p>
        </w:tc>
        <w:tc>
          <w:tcPr>
            <w:tcW w:w="667" w:type="dxa"/>
            <w:vMerge w:val="restart"/>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Posgrado</w:t>
            </w:r>
          </w:p>
        </w:tc>
        <w:tc>
          <w:tcPr>
            <w:tcW w:w="740" w:type="dxa"/>
            <w:vMerge w:val="restart"/>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Otros programas de educación</w:t>
            </w:r>
          </w:p>
        </w:tc>
        <w:tc>
          <w:tcPr>
            <w:tcW w:w="1022" w:type="dxa"/>
            <w:vMerge w:val="restart"/>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Total (pregrado, posgrado y otros)</w:t>
            </w:r>
          </w:p>
        </w:tc>
      </w:tr>
      <w:tr w:rsidR="004B70EC" w:rsidRPr="004B70EC" w:rsidTr="00545533">
        <w:trPr>
          <w:trHeight w:val="490"/>
        </w:trPr>
        <w:tc>
          <w:tcPr>
            <w:tcW w:w="1474" w:type="dxa"/>
            <w:vMerge/>
            <w:shd w:val="clear" w:color="auto" w:fill="70AD47"/>
            <w:vAlign w:val="center"/>
          </w:tcPr>
          <w:p w:rsidR="004B70EC" w:rsidRPr="004B70EC" w:rsidRDefault="004B70EC" w:rsidP="00545533">
            <w:pPr>
              <w:rPr>
                <w:rFonts w:ascii="Arial" w:hAnsi="Arial" w:cs="Arial"/>
                <w:b/>
                <w:bCs/>
                <w:sz w:val="16"/>
                <w:szCs w:val="16"/>
                <w:lang w:eastAsia="es-CO"/>
              </w:rPr>
            </w:pP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6</w:t>
            </w:r>
          </w:p>
        </w:tc>
        <w:tc>
          <w:tcPr>
            <w:tcW w:w="1689" w:type="dxa"/>
            <w:vMerge/>
            <w:shd w:val="clear" w:color="auto" w:fill="70AD47"/>
            <w:vAlign w:val="center"/>
          </w:tcPr>
          <w:p w:rsidR="004B70EC" w:rsidRPr="004B70EC" w:rsidRDefault="004B70EC" w:rsidP="00545533">
            <w:pPr>
              <w:jc w:val="center"/>
              <w:rPr>
                <w:rFonts w:ascii="Arial" w:hAnsi="Arial" w:cs="Arial"/>
                <w:b/>
                <w:bCs/>
                <w:sz w:val="16"/>
                <w:szCs w:val="16"/>
                <w:lang w:eastAsia="es-CO"/>
              </w:rPr>
            </w:pPr>
          </w:p>
        </w:tc>
        <w:tc>
          <w:tcPr>
            <w:tcW w:w="667" w:type="dxa"/>
            <w:vMerge/>
            <w:shd w:val="clear" w:color="auto" w:fill="70AD47"/>
            <w:vAlign w:val="center"/>
          </w:tcPr>
          <w:p w:rsidR="004B70EC" w:rsidRPr="004B70EC" w:rsidRDefault="004B70EC" w:rsidP="00545533">
            <w:pPr>
              <w:jc w:val="center"/>
              <w:rPr>
                <w:rFonts w:ascii="Arial" w:hAnsi="Arial" w:cs="Arial"/>
                <w:sz w:val="16"/>
                <w:szCs w:val="16"/>
                <w:lang w:eastAsia="es-CO"/>
              </w:rPr>
            </w:pPr>
          </w:p>
        </w:tc>
        <w:tc>
          <w:tcPr>
            <w:tcW w:w="740" w:type="dxa"/>
            <w:vMerge/>
            <w:shd w:val="clear" w:color="auto" w:fill="70AD47"/>
            <w:vAlign w:val="center"/>
          </w:tcPr>
          <w:p w:rsidR="004B70EC" w:rsidRPr="004B70EC" w:rsidRDefault="004B70EC" w:rsidP="00545533">
            <w:pPr>
              <w:rPr>
                <w:rFonts w:ascii="Arial" w:hAnsi="Arial" w:cs="Arial"/>
                <w:sz w:val="16"/>
                <w:szCs w:val="16"/>
                <w:lang w:eastAsia="es-CO"/>
              </w:rPr>
            </w:pPr>
          </w:p>
        </w:tc>
        <w:tc>
          <w:tcPr>
            <w:tcW w:w="1022" w:type="dxa"/>
            <w:vMerge/>
            <w:shd w:val="clear" w:color="auto" w:fill="70AD47"/>
            <w:vAlign w:val="center"/>
          </w:tcPr>
          <w:p w:rsidR="004B70EC" w:rsidRPr="004B70EC" w:rsidRDefault="004B70EC" w:rsidP="00545533">
            <w:pPr>
              <w:rPr>
                <w:rFonts w:ascii="Arial" w:hAnsi="Arial" w:cs="Arial"/>
                <w:b/>
                <w:bCs/>
                <w:sz w:val="16"/>
                <w:szCs w:val="16"/>
                <w:lang w:eastAsia="es-CO"/>
              </w:rPr>
            </w:pP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Valle de Aburrá</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2.262</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10.697</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10.557</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1.605</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506</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102</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25.729</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2.806</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493</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29.028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Envigado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372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673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163</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73</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1.316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1.519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Sabaneta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47</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485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563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Caldas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308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466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506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La Estrella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354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390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Itagüí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79</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804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1.007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45</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1.942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139</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2.123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Bello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453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1.415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1.356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3.338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247</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64</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3.649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Copacabana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469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735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45</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803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Girardota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326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355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Barbosa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264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284</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Medellín</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1.602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6.532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6.655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1.209</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419</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86</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16.503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2.031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302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18.836</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Oriente</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143</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1.757</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2.153</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129</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20</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4.202</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211</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53</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4.466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Alejandría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Cocorná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Concepción</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Carlos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37</w:t>
            </w:r>
          </w:p>
        </w:tc>
      </w:tr>
      <w:tr w:rsidR="004B70EC" w:rsidRPr="004B70EC" w:rsidTr="00545533">
        <w:trPr>
          <w:trHeight w:val="370"/>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El Carmen de Viboral</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490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517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El Peñol</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El Retiro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Granada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Guarne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327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Guatapé</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La Ceja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390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568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595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La Unión</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39</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Marinilla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448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487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Rionegro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715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86</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1.138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1.235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Francisco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Luis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Rafael</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Vicente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El Santuario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Sonsón</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Argelia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Nariño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Abejorral</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592" w:type="dxa"/>
            <w:vAlign w:val="center"/>
          </w:tcPr>
          <w:p w:rsidR="004B70EC" w:rsidRPr="004B70EC" w:rsidRDefault="004B70EC" w:rsidP="00545533">
            <w:pPr>
              <w:jc w:val="center"/>
              <w:rPr>
                <w:rFonts w:ascii="Arial" w:hAnsi="Arial" w:cs="Arial"/>
                <w:sz w:val="16"/>
                <w:szCs w:val="16"/>
                <w:lang w:eastAsia="es-CO"/>
              </w:rPr>
            </w:pP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46</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Suroeste</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177</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686</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174</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8</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1.045</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55</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15</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1.115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Andes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328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448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463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Amagá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Angelópolis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Betania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Betulia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Caicedo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Caramanta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Ciudad Bolívar</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Concordia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Fredonia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Hispania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Jardín</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Jericó</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La Pintada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Montebello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Pueblorrico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Salgar</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Santa Bárbara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Támesis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Tarso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Titiribí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Urrao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Valparaíso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Venecia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Urabá</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584</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686</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168</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13</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1.451</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77</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1.532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Apartadó</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531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35</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566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Arboletes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Carepa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Chigorodó</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Murindó</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Mutatá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Necoclí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29</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Juan de Urabá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Pedro de Urabá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Turbo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424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444</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Vigía del Fuerte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Bajo Cauca</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410</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325</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62</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797</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20</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8</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825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Cáceres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Caucasia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330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49</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650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669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El Bagre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Nechí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Tarazá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Zaragoza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33</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Magdalena Medio</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100</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113</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26</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244</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19</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267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Caracolí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Maceo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Puerto Berrío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87</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Puerto Nare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Puerto Triunfo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Yondó</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Norte</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109</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504</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193</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15</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821</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42</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17</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880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Angostura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Belmira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Briceño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Campamento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Carolina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Donmatías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Gómez Plata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Guadalupe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Ituango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r>
      <w:tr w:rsidR="004B70EC" w:rsidRPr="004B70EC" w:rsidTr="00545533">
        <w:trPr>
          <w:trHeight w:val="37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José de la Montaña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r>
      <w:tr w:rsidR="004B70EC" w:rsidRPr="004B70EC" w:rsidTr="00545533">
        <w:trPr>
          <w:trHeight w:val="37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Pedro de Los Milagros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36</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Santa Rosa de Osos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Toledo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Valdivia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Yarumal</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323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337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Entrerríos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w:t>
            </w:r>
          </w:p>
        </w:tc>
      </w:tr>
      <w:tr w:rsidR="004B70EC" w:rsidRPr="004B70EC" w:rsidTr="00545533">
        <w:trPr>
          <w:trHeight w:val="37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Andrés de Cuerquia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Nordeste</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121</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243</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85</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454</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6</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470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Amalfi</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49</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Anorí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Cisneros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24</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Remedios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Roque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Santo Domingo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Segovia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Vegachí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Yalí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Yolombó</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Occidente</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97</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208</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48</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0</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356</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39</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2</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397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Abriaquí</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Anzá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Armenia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Buriticá</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Caicedo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Cañasgordas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Dabeiba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Ebéjico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Frontino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Giraldo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Heliconia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Liborina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Olaya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Peque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09" w:type="dxa"/>
            <w:vAlign w:val="center"/>
          </w:tcPr>
          <w:p w:rsidR="004B70EC" w:rsidRPr="004B70EC" w:rsidRDefault="004B70EC" w:rsidP="00545533">
            <w:pPr>
              <w:jc w:val="center"/>
              <w:rPr>
                <w:rFonts w:ascii="Arial" w:hAnsi="Arial" w:cs="Arial"/>
                <w:sz w:val="16"/>
                <w:szCs w:val="16"/>
                <w:lang w:eastAsia="es-CO"/>
              </w:rPr>
            </w:pP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Sabanalarga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 Jerónimo</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36</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38</w:t>
            </w:r>
          </w:p>
        </w:tc>
      </w:tr>
      <w:tr w:rsidR="004B70EC" w:rsidRPr="004B70EC" w:rsidTr="00545533">
        <w:trPr>
          <w:trHeight w:val="37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Santa Fe de Antioquia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101</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Sopetrán</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27</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42</w:t>
            </w:r>
          </w:p>
        </w:tc>
      </w:tr>
      <w:tr w:rsidR="004B70EC" w:rsidRPr="004B70EC" w:rsidTr="00545533">
        <w:trPr>
          <w:trHeight w:val="259"/>
        </w:trPr>
        <w:tc>
          <w:tcPr>
            <w:tcW w:w="1474" w:type="dxa"/>
            <w:vAlign w:val="center"/>
          </w:tcPr>
          <w:p w:rsidR="004B70EC" w:rsidRPr="004B70EC" w:rsidRDefault="004B70EC" w:rsidP="00545533">
            <w:pPr>
              <w:rPr>
                <w:rFonts w:ascii="Arial" w:hAnsi="Arial" w:cs="Arial"/>
                <w:sz w:val="16"/>
                <w:szCs w:val="16"/>
                <w:lang w:eastAsia="es-CO"/>
              </w:rPr>
            </w:pPr>
            <w:r w:rsidRPr="004B70EC">
              <w:rPr>
                <w:rFonts w:ascii="Arial" w:hAnsi="Arial" w:cs="Arial"/>
                <w:sz w:val="16"/>
                <w:szCs w:val="16"/>
                <w:lang w:eastAsia="es-CO"/>
              </w:rPr>
              <w:t>Uramita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r>
      <w:tr w:rsidR="004B70EC" w:rsidRPr="004B70EC" w:rsidTr="00545533">
        <w:trPr>
          <w:trHeight w:val="259"/>
        </w:trPr>
        <w:tc>
          <w:tcPr>
            <w:tcW w:w="1474"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Otros departamentos</w:t>
            </w:r>
          </w:p>
        </w:tc>
        <w:tc>
          <w:tcPr>
            <w:tcW w:w="739"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642</w:t>
            </w:r>
          </w:p>
        </w:tc>
        <w:tc>
          <w:tcPr>
            <w:tcW w:w="652"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857</w:t>
            </w:r>
          </w:p>
        </w:tc>
        <w:tc>
          <w:tcPr>
            <w:tcW w:w="709"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505</w:t>
            </w:r>
          </w:p>
        </w:tc>
        <w:tc>
          <w:tcPr>
            <w:tcW w:w="592"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177</w:t>
            </w:r>
          </w:p>
        </w:tc>
        <w:tc>
          <w:tcPr>
            <w:tcW w:w="576"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54</w:t>
            </w:r>
          </w:p>
        </w:tc>
        <w:tc>
          <w:tcPr>
            <w:tcW w:w="668"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1689"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2.240</w:t>
            </w:r>
          </w:p>
        </w:tc>
        <w:tc>
          <w:tcPr>
            <w:tcW w:w="667"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218</w:t>
            </w:r>
          </w:p>
        </w:tc>
        <w:tc>
          <w:tcPr>
            <w:tcW w:w="740"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182</w:t>
            </w:r>
          </w:p>
        </w:tc>
        <w:tc>
          <w:tcPr>
            <w:tcW w:w="1022" w:type="dxa"/>
            <w:shd w:val="clear" w:color="auto" w:fill="70AD47"/>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2.640</w:t>
            </w:r>
          </w:p>
        </w:tc>
      </w:tr>
      <w:tr w:rsidR="004B70EC" w:rsidRPr="004B70EC" w:rsidTr="00545533">
        <w:trPr>
          <w:trHeight w:val="259"/>
        </w:trPr>
        <w:tc>
          <w:tcPr>
            <w:tcW w:w="1474" w:type="dxa"/>
            <w:vAlign w:val="center"/>
          </w:tcPr>
          <w:p w:rsidR="004B70EC" w:rsidRPr="004B70EC" w:rsidRDefault="004B70EC" w:rsidP="00545533">
            <w:pPr>
              <w:rPr>
                <w:rFonts w:ascii="Arial" w:hAnsi="Arial" w:cs="Arial"/>
                <w:bCs/>
                <w:sz w:val="16"/>
                <w:szCs w:val="16"/>
                <w:lang w:eastAsia="es-CO"/>
              </w:rPr>
            </w:pPr>
            <w:r w:rsidRPr="004B70EC">
              <w:rPr>
                <w:rFonts w:ascii="Arial" w:hAnsi="Arial" w:cs="Arial"/>
                <w:bCs/>
                <w:sz w:val="16"/>
                <w:szCs w:val="16"/>
                <w:lang w:eastAsia="es-CO"/>
              </w:rPr>
              <w:t>Región Caribe</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255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243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123</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37</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11</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670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56</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744</w:t>
            </w:r>
          </w:p>
        </w:tc>
      </w:tr>
      <w:tr w:rsidR="004B70EC" w:rsidRPr="004B70EC" w:rsidTr="00545533">
        <w:trPr>
          <w:trHeight w:val="379"/>
        </w:trPr>
        <w:tc>
          <w:tcPr>
            <w:tcW w:w="1474" w:type="dxa"/>
            <w:vAlign w:val="center"/>
          </w:tcPr>
          <w:p w:rsidR="004B70EC" w:rsidRPr="004B70EC" w:rsidRDefault="004B70EC" w:rsidP="00545533">
            <w:pPr>
              <w:rPr>
                <w:rFonts w:ascii="Arial" w:hAnsi="Arial" w:cs="Arial"/>
                <w:bCs/>
                <w:sz w:val="16"/>
                <w:szCs w:val="16"/>
                <w:lang w:eastAsia="es-CO"/>
              </w:rPr>
            </w:pPr>
            <w:r w:rsidRPr="004B70EC">
              <w:rPr>
                <w:rFonts w:ascii="Arial" w:hAnsi="Arial" w:cs="Arial"/>
                <w:bCs/>
                <w:sz w:val="16"/>
                <w:szCs w:val="16"/>
                <w:lang w:eastAsia="es-CO"/>
              </w:rPr>
              <w:t>Región Andina (sin incluir Antioquia)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84</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289</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198</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59</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17</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649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105</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775</w:t>
            </w:r>
          </w:p>
        </w:tc>
      </w:tr>
      <w:tr w:rsidR="004B70EC" w:rsidRPr="004B70EC" w:rsidTr="00545533">
        <w:trPr>
          <w:trHeight w:val="259"/>
        </w:trPr>
        <w:tc>
          <w:tcPr>
            <w:tcW w:w="1474" w:type="dxa"/>
            <w:vAlign w:val="center"/>
          </w:tcPr>
          <w:p w:rsidR="004B70EC" w:rsidRPr="004B70EC" w:rsidRDefault="004B70EC" w:rsidP="00545533">
            <w:pPr>
              <w:rPr>
                <w:rFonts w:ascii="Arial" w:hAnsi="Arial" w:cs="Arial"/>
                <w:bCs/>
                <w:sz w:val="16"/>
                <w:szCs w:val="16"/>
                <w:lang w:eastAsia="es-CO"/>
              </w:rPr>
            </w:pPr>
            <w:r w:rsidRPr="004B70EC">
              <w:rPr>
                <w:rFonts w:ascii="Arial" w:hAnsi="Arial" w:cs="Arial"/>
                <w:bCs/>
                <w:sz w:val="16"/>
                <w:szCs w:val="16"/>
                <w:lang w:eastAsia="es-CO"/>
              </w:rPr>
              <w:t>Región Pacífica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191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218</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124</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59</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18</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610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64</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714</w:t>
            </w:r>
          </w:p>
        </w:tc>
      </w:tr>
      <w:tr w:rsidR="004B70EC" w:rsidRPr="004B70EC" w:rsidTr="00545533">
        <w:trPr>
          <w:trHeight w:val="259"/>
        </w:trPr>
        <w:tc>
          <w:tcPr>
            <w:tcW w:w="1474" w:type="dxa"/>
            <w:vAlign w:val="center"/>
          </w:tcPr>
          <w:p w:rsidR="004B70EC" w:rsidRPr="004B70EC" w:rsidRDefault="004B70EC" w:rsidP="00545533">
            <w:pPr>
              <w:rPr>
                <w:rFonts w:ascii="Arial" w:hAnsi="Arial" w:cs="Arial"/>
                <w:bCs/>
                <w:sz w:val="16"/>
                <w:szCs w:val="16"/>
                <w:lang w:eastAsia="es-CO"/>
              </w:rPr>
            </w:pPr>
            <w:r w:rsidRPr="004B70EC">
              <w:rPr>
                <w:rFonts w:ascii="Arial" w:hAnsi="Arial" w:cs="Arial"/>
                <w:bCs/>
                <w:sz w:val="16"/>
                <w:szCs w:val="16"/>
                <w:lang w:eastAsia="es-CO"/>
              </w:rPr>
              <w:t>Región Orinoquia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36</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53</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40</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149</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74</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233</w:t>
            </w:r>
          </w:p>
        </w:tc>
      </w:tr>
      <w:tr w:rsidR="004B70EC" w:rsidRPr="004B70EC" w:rsidTr="00545533">
        <w:trPr>
          <w:trHeight w:val="259"/>
        </w:trPr>
        <w:tc>
          <w:tcPr>
            <w:tcW w:w="1474" w:type="dxa"/>
            <w:vAlign w:val="center"/>
          </w:tcPr>
          <w:p w:rsidR="004B70EC" w:rsidRPr="004B70EC" w:rsidRDefault="004B70EC" w:rsidP="00545533">
            <w:pPr>
              <w:rPr>
                <w:rFonts w:ascii="Arial" w:hAnsi="Arial" w:cs="Arial"/>
                <w:bCs/>
                <w:sz w:val="16"/>
                <w:szCs w:val="16"/>
                <w:lang w:eastAsia="es-CO"/>
              </w:rPr>
            </w:pPr>
            <w:r w:rsidRPr="004B70EC">
              <w:rPr>
                <w:rFonts w:ascii="Arial" w:hAnsi="Arial" w:cs="Arial"/>
                <w:bCs/>
                <w:sz w:val="16"/>
                <w:szCs w:val="16"/>
                <w:lang w:eastAsia="es-CO"/>
              </w:rPr>
              <w:t>Región Amazonia</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61</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34</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100</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4</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5</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109</w:t>
            </w:r>
          </w:p>
        </w:tc>
      </w:tr>
      <w:tr w:rsidR="004B70EC" w:rsidRPr="004B70EC" w:rsidTr="00545533">
        <w:trPr>
          <w:trHeight w:val="259"/>
        </w:trPr>
        <w:tc>
          <w:tcPr>
            <w:tcW w:w="1474" w:type="dxa"/>
            <w:vAlign w:val="center"/>
          </w:tcPr>
          <w:p w:rsidR="004B70EC" w:rsidRPr="004B70EC" w:rsidRDefault="004B70EC" w:rsidP="00545533">
            <w:pPr>
              <w:rPr>
                <w:rFonts w:ascii="Arial" w:hAnsi="Arial" w:cs="Arial"/>
                <w:bCs/>
                <w:sz w:val="16"/>
                <w:szCs w:val="16"/>
                <w:lang w:eastAsia="es-CO"/>
              </w:rPr>
            </w:pPr>
            <w:r w:rsidRPr="004B70EC">
              <w:rPr>
                <w:rFonts w:ascii="Arial" w:hAnsi="Arial" w:cs="Arial"/>
                <w:bCs/>
                <w:sz w:val="16"/>
                <w:szCs w:val="16"/>
                <w:lang w:eastAsia="es-CO"/>
              </w:rPr>
              <w:t>Otros</w:t>
            </w:r>
          </w:p>
        </w:tc>
        <w:tc>
          <w:tcPr>
            <w:tcW w:w="73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65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20</w:t>
            </w:r>
          </w:p>
        </w:tc>
        <w:tc>
          <w:tcPr>
            <w:tcW w:w="70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15</w:t>
            </w:r>
          </w:p>
        </w:tc>
        <w:tc>
          <w:tcPr>
            <w:tcW w:w="59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8</w:t>
            </w:r>
          </w:p>
        </w:tc>
        <w:tc>
          <w:tcPr>
            <w:tcW w:w="576"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668"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1</w:t>
            </w:r>
          </w:p>
        </w:tc>
        <w:tc>
          <w:tcPr>
            <w:tcW w:w="1689"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62</w:t>
            </w:r>
          </w:p>
        </w:tc>
        <w:tc>
          <w:tcPr>
            <w:tcW w:w="667"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3</w:t>
            </w:r>
          </w:p>
        </w:tc>
        <w:tc>
          <w:tcPr>
            <w:tcW w:w="740"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0</w:t>
            </w:r>
          </w:p>
        </w:tc>
        <w:tc>
          <w:tcPr>
            <w:tcW w:w="1022" w:type="dxa"/>
            <w:vAlign w:val="center"/>
          </w:tcPr>
          <w:p w:rsidR="004B70EC" w:rsidRPr="004B70EC" w:rsidRDefault="004B70EC" w:rsidP="00545533">
            <w:pPr>
              <w:jc w:val="center"/>
              <w:rPr>
                <w:rFonts w:ascii="Arial" w:hAnsi="Arial" w:cs="Arial"/>
                <w:sz w:val="16"/>
                <w:szCs w:val="16"/>
                <w:lang w:eastAsia="es-CO"/>
              </w:rPr>
            </w:pPr>
            <w:r w:rsidRPr="004B70EC">
              <w:rPr>
                <w:rFonts w:ascii="Arial" w:hAnsi="Arial" w:cs="Arial"/>
                <w:sz w:val="16"/>
                <w:szCs w:val="16"/>
                <w:lang w:eastAsia="es-CO"/>
              </w:rPr>
              <w:t>65</w:t>
            </w:r>
          </w:p>
        </w:tc>
      </w:tr>
      <w:tr w:rsidR="004B70EC" w:rsidRPr="004B70EC" w:rsidTr="00545533">
        <w:trPr>
          <w:trHeight w:val="259"/>
        </w:trPr>
        <w:tc>
          <w:tcPr>
            <w:tcW w:w="1474" w:type="dxa"/>
            <w:shd w:val="clear" w:color="auto" w:fill="70AD47"/>
            <w:vAlign w:val="center"/>
          </w:tcPr>
          <w:p w:rsidR="004B70EC" w:rsidRPr="004B70EC" w:rsidRDefault="004B70EC" w:rsidP="00545533">
            <w:pPr>
              <w:rPr>
                <w:rFonts w:ascii="Arial" w:hAnsi="Arial" w:cs="Arial"/>
                <w:b/>
                <w:bCs/>
                <w:sz w:val="16"/>
                <w:szCs w:val="16"/>
                <w:lang w:eastAsia="es-CO"/>
              </w:rPr>
            </w:pPr>
            <w:r w:rsidRPr="004B70EC">
              <w:rPr>
                <w:rFonts w:ascii="Arial" w:hAnsi="Arial" w:cs="Arial"/>
                <w:b/>
                <w:bCs/>
                <w:sz w:val="16"/>
                <w:szCs w:val="16"/>
                <w:lang w:eastAsia="es-CO"/>
              </w:rPr>
              <w:t>Total</w:t>
            </w:r>
          </w:p>
        </w:tc>
        <w:tc>
          <w:tcPr>
            <w:tcW w:w="73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4.645</w:t>
            </w:r>
          </w:p>
        </w:tc>
        <w:tc>
          <w:tcPr>
            <w:tcW w:w="65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16.076</w:t>
            </w:r>
          </w:p>
        </w:tc>
        <w:tc>
          <w:tcPr>
            <w:tcW w:w="70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13.971</w:t>
            </w:r>
          </w:p>
        </w:tc>
        <w:tc>
          <w:tcPr>
            <w:tcW w:w="59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1.957</w:t>
            </w:r>
          </w:p>
        </w:tc>
        <w:tc>
          <w:tcPr>
            <w:tcW w:w="576"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582</w:t>
            </w:r>
          </w:p>
        </w:tc>
        <w:tc>
          <w:tcPr>
            <w:tcW w:w="668"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108</w:t>
            </w:r>
          </w:p>
        </w:tc>
        <w:tc>
          <w:tcPr>
            <w:tcW w:w="1689"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37.339</w:t>
            </w:r>
          </w:p>
        </w:tc>
        <w:tc>
          <w:tcPr>
            <w:tcW w:w="667"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3.497</w:t>
            </w:r>
          </w:p>
        </w:tc>
        <w:tc>
          <w:tcPr>
            <w:tcW w:w="740"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784</w:t>
            </w:r>
          </w:p>
        </w:tc>
        <w:tc>
          <w:tcPr>
            <w:tcW w:w="1022" w:type="dxa"/>
            <w:shd w:val="clear" w:color="auto" w:fill="70AD47"/>
            <w:vAlign w:val="center"/>
          </w:tcPr>
          <w:p w:rsidR="004B70EC" w:rsidRPr="004B70EC" w:rsidRDefault="004B70EC" w:rsidP="00545533">
            <w:pPr>
              <w:jc w:val="center"/>
              <w:rPr>
                <w:rFonts w:ascii="Arial" w:hAnsi="Arial" w:cs="Arial"/>
                <w:b/>
                <w:bCs/>
                <w:sz w:val="16"/>
                <w:szCs w:val="16"/>
                <w:lang w:eastAsia="es-CO"/>
              </w:rPr>
            </w:pPr>
            <w:r w:rsidRPr="004B70EC">
              <w:rPr>
                <w:rFonts w:ascii="Arial" w:hAnsi="Arial" w:cs="Arial"/>
                <w:b/>
                <w:bCs/>
                <w:sz w:val="16"/>
                <w:szCs w:val="16"/>
                <w:lang w:eastAsia="es-CO"/>
              </w:rPr>
              <w:t>41.620</w:t>
            </w:r>
          </w:p>
        </w:tc>
      </w:tr>
    </w:tbl>
    <w:p w:rsidR="004B70EC" w:rsidRPr="004B70EC" w:rsidRDefault="004B70EC" w:rsidP="004B70EC">
      <w:pPr>
        <w:pStyle w:val="Textoindependiente2"/>
        <w:spacing w:after="240" w:line="360" w:lineRule="auto"/>
        <w:jc w:val="both"/>
        <w:rPr>
          <w:rFonts w:ascii="Arial" w:hAnsi="Arial" w:cs="Arial"/>
          <w:szCs w:val="24"/>
          <w:lang w:val="es-ES_tradnl"/>
        </w:rPr>
      </w:pPr>
    </w:p>
    <w:p w:rsidR="004B70EC" w:rsidRPr="004B70EC" w:rsidRDefault="004B70EC" w:rsidP="004B70EC">
      <w:pPr>
        <w:pStyle w:val="Ttulo8"/>
        <w:spacing w:before="240" w:after="240"/>
        <w:jc w:val="both"/>
        <w:rPr>
          <w:rFonts w:ascii="Arial" w:hAnsi="Arial" w:cs="Arial"/>
          <w:sz w:val="24"/>
          <w:szCs w:val="24"/>
          <w:lang w:val="es-ES_tradnl"/>
        </w:rPr>
      </w:pPr>
      <w:r w:rsidRPr="004B70EC">
        <w:rPr>
          <w:rFonts w:ascii="Arial" w:hAnsi="Arial" w:cs="Arial"/>
          <w:sz w:val="24"/>
          <w:szCs w:val="24"/>
          <w:lang w:val="es-ES_tradnl"/>
        </w:rPr>
        <w:t>Gestión para la ampliación de la cobertura de la Estampilla en las entidades territoriales</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La administración de la Universidad actualmente tiene vinculados al uso de la Estampilla Universidad de Antioquia de Cara al Tercer Siglo de Labor a veinticuatro municipios del departamento de Antioquia, de los cuales ocho se encuentran en el área metropolitana, Ha sido de gran impacto en el recaudo el Municipio de Medellín y sus entidades descentralizadas a partir del año 2003 con la aprobación por parte del Concejo de Medellín del Acuerdo 055 de noviembre de 2002, por el cual se modifica el porcentaje de aplicación al pasar, de 0,5 al 1 %; igualmente, se aplica a las modificaciones, adiciones y prórrogas. El resultado ha sido del incremento de más del 100 %, llegando a una participación del 59 % del total de recaudo de la Estampilla del periodo 1994-2016.</w:t>
      </w:r>
    </w:p>
    <w:p w:rsidR="004B70EC" w:rsidRDefault="004B70EC" w:rsidP="004B70EC">
      <w:pPr>
        <w:spacing w:after="240"/>
        <w:jc w:val="both"/>
        <w:rPr>
          <w:rFonts w:ascii="Arial" w:hAnsi="Arial" w:cs="Arial"/>
          <w:lang w:val="es-ES_tradnl"/>
        </w:rPr>
      </w:pPr>
      <w:r w:rsidRPr="004B70EC">
        <w:rPr>
          <w:rFonts w:ascii="Arial" w:hAnsi="Arial" w:cs="Arial"/>
          <w:lang w:val="es-ES_tradnl"/>
        </w:rPr>
        <w:t>La Universidad ha implementado, como contraprestación de la aplicación del uso de la Estampilla a estos entes territoriales, en coordinación con las secretarías de educación, los programas de semilleros en Razonamiento Lógico y Competencia Lectora, para los grados 10.° y 11.° y capacitación de docentes, en pro de mejorar la calidad de la educación, permitiendo mayor acceso a la Universidad en la sede central y en las sedes regionales.</w:t>
      </w:r>
    </w:p>
    <w:p w:rsidR="0087071B" w:rsidRDefault="0087071B" w:rsidP="004B70EC">
      <w:pPr>
        <w:spacing w:after="240"/>
        <w:jc w:val="both"/>
        <w:rPr>
          <w:rFonts w:ascii="Arial" w:hAnsi="Arial" w:cs="Arial"/>
          <w:lang w:val="es-ES_tradnl"/>
        </w:rPr>
      </w:pPr>
    </w:p>
    <w:p w:rsidR="0087071B" w:rsidRDefault="0087071B" w:rsidP="004B70EC">
      <w:pPr>
        <w:spacing w:after="240"/>
        <w:jc w:val="both"/>
        <w:rPr>
          <w:rFonts w:ascii="Arial" w:hAnsi="Arial" w:cs="Arial"/>
          <w:lang w:val="es-ES_tradnl"/>
        </w:rPr>
      </w:pPr>
    </w:p>
    <w:p w:rsidR="0087071B" w:rsidRDefault="0087071B" w:rsidP="004B70EC">
      <w:pPr>
        <w:spacing w:after="240"/>
        <w:jc w:val="both"/>
        <w:rPr>
          <w:rFonts w:ascii="Arial" w:hAnsi="Arial" w:cs="Arial"/>
          <w:lang w:val="es-ES_tradnl"/>
        </w:rPr>
      </w:pPr>
    </w:p>
    <w:p w:rsidR="0087071B" w:rsidRPr="004B70EC" w:rsidRDefault="0087071B" w:rsidP="004B70EC">
      <w:pPr>
        <w:spacing w:after="240"/>
        <w:jc w:val="both"/>
        <w:rPr>
          <w:rFonts w:ascii="Arial" w:hAnsi="Arial" w:cs="Arial"/>
          <w:lang w:val="es-ES_tradnl"/>
        </w:rPr>
      </w:pPr>
    </w:p>
    <w:p w:rsidR="004B70EC" w:rsidRPr="004B70EC" w:rsidRDefault="004B70EC" w:rsidP="004B70EC">
      <w:pPr>
        <w:spacing w:after="240"/>
        <w:jc w:val="both"/>
        <w:rPr>
          <w:rFonts w:ascii="Arial" w:hAnsi="Arial" w:cs="Arial"/>
          <w:lang w:val="es-ES_tradnl"/>
        </w:rPr>
      </w:pPr>
      <w:r w:rsidRPr="004B70EC">
        <w:rPr>
          <w:rFonts w:ascii="Arial" w:hAnsi="Arial" w:cs="Arial"/>
          <w:b/>
          <w:lang w:val="es-ES_tradnl"/>
        </w:rPr>
        <w:t xml:space="preserve"> Gestión para la ampliación de la emisión de la Estampilla</w:t>
      </w:r>
    </w:p>
    <w:p w:rsidR="004B70EC" w:rsidRPr="004B70EC" w:rsidRDefault="004B70EC" w:rsidP="004B70EC">
      <w:pPr>
        <w:pStyle w:val="Ttulo1"/>
        <w:spacing w:after="240"/>
        <w:jc w:val="both"/>
        <w:rPr>
          <w:rFonts w:ascii="Arial" w:hAnsi="Arial" w:cs="Arial"/>
          <w:szCs w:val="24"/>
          <w:lang w:val="es-ES_tradnl"/>
        </w:rPr>
      </w:pPr>
      <w:r w:rsidRPr="004B70EC">
        <w:rPr>
          <w:rFonts w:ascii="Arial" w:hAnsi="Arial" w:cs="Arial"/>
          <w:szCs w:val="24"/>
          <w:lang w:val="es-ES_tradnl"/>
        </w:rPr>
        <w:t>El 13 de julio de 2009 se aprobó en el Congreso de la República la Ley 1321, en la cual se autoriza la emisión de la Estampilla hasta por 200.000 millones de pesos a precios de 1993, gestión que la administración inició en el año 2008 con los congresistas antiqueños. Esta nueva ley le permitirá a la Universidad tener recursos frescos por más de veinte años.</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En coordinación con las universidades públicas del país, se gestionó ante la Comisión Tercera del Senado de la República la no aprobación, en primer debate, del proyecto de Ley 187 de 2014, por medio del cual se dictaban normas orgánicas en materia de impuesto territorial de estampilla, que disminuía en 75 % el recaudo de la Estampilla Universidad de Antioquia de Cara al Tercer Siglo de Labor.</w:t>
      </w:r>
    </w:p>
    <w:p w:rsidR="004B70EC" w:rsidRPr="004B70EC" w:rsidRDefault="004B70EC" w:rsidP="004B70EC">
      <w:pPr>
        <w:pStyle w:val="Ttulo2"/>
        <w:spacing w:after="240"/>
        <w:jc w:val="both"/>
        <w:rPr>
          <w:rFonts w:ascii="Arial" w:hAnsi="Arial" w:cs="Arial"/>
          <w:szCs w:val="24"/>
          <w:lang w:val="es-ES_tradnl"/>
        </w:rPr>
      </w:pPr>
      <w:r w:rsidRPr="004B70EC">
        <w:rPr>
          <w:rFonts w:ascii="Arial" w:hAnsi="Arial" w:cs="Arial"/>
          <w:szCs w:val="24"/>
          <w:lang w:val="es-ES_tradnl"/>
        </w:rPr>
        <w:t>Costos de la puesta en marcha</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 xml:space="preserve">Tal vez uno de los principales factores de éxito de este programa, lo ha constituido el hecho de haberse desarrollado con la infraestructura administrativa existente, basada en un proceso que se inicia con la fijación, por parte del Consejo Superior de </w:t>
      </w:r>
      <w:smartTag w:uri="urn:schemas-microsoft-com:office:smarttags" w:element="PersonName">
        <w:smartTagPr>
          <w:attr w:name="ProductID" w:val="la Universidad"/>
        </w:smartTagPr>
        <w:r w:rsidRPr="004B70EC">
          <w:rPr>
            <w:rFonts w:ascii="Arial" w:hAnsi="Arial" w:cs="Arial"/>
            <w:lang w:val="es-ES_tradnl"/>
          </w:rPr>
          <w:t>la Universidad</w:t>
        </w:r>
      </w:smartTag>
      <w:r w:rsidRPr="004B70EC">
        <w:rPr>
          <w:rFonts w:ascii="Arial" w:hAnsi="Arial" w:cs="Arial"/>
          <w:lang w:val="es-ES_tradnl"/>
        </w:rPr>
        <w:t>, de las políticas, de acuerdo con las prioridades del Plan de Desarrollo Institucional.</w:t>
      </w:r>
    </w:p>
    <w:p w:rsidR="004B70EC" w:rsidRPr="004B70EC" w:rsidRDefault="004B70EC" w:rsidP="004B70EC">
      <w:pPr>
        <w:spacing w:after="240"/>
        <w:jc w:val="both"/>
        <w:rPr>
          <w:rFonts w:ascii="Arial" w:hAnsi="Arial" w:cs="Arial"/>
          <w:lang w:val="es-ES_tradnl"/>
        </w:rPr>
      </w:pPr>
      <w:r w:rsidRPr="004B70EC">
        <w:rPr>
          <w:rFonts w:ascii="Arial" w:hAnsi="Arial" w:cs="Arial"/>
          <w:lang w:val="es-ES_tradnl"/>
        </w:rPr>
        <w:t xml:space="preserve">El Banco Universitario de Proyectos, administrado por </w:t>
      </w:r>
      <w:smartTag w:uri="urn:schemas-microsoft-com:office:smarttags" w:element="PersonName">
        <w:smartTagPr>
          <w:attr w:name="ProductID" w:val="la Oficina"/>
        </w:smartTagPr>
        <w:r w:rsidRPr="004B70EC">
          <w:rPr>
            <w:rFonts w:ascii="Arial" w:hAnsi="Arial" w:cs="Arial"/>
            <w:lang w:val="es-ES_tradnl"/>
          </w:rPr>
          <w:t>la Oficina</w:t>
        </w:r>
      </w:smartTag>
      <w:r w:rsidRPr="004B70EC">
        <w:rPr>
          <w:rFonts w:ascii="Arial" w:hAnsi="Arial" w:cs="Arial"/>
          <w:lang w:val="es-ES_tradnl"/>
        </w:rPr>
        <w:t xml:space="preserve"> de Desarrollo Institucional, se encarga de capacitar, convocar, recibir y hacer viables los proyectos; propone a la administración la distribución de los mismos, y asesora en su ejecución. </w:t>
      </w:r>
      <w:smartTag w:uri="urn:schemas-microsoft-com:office:smarttags" w:element="PersonName">
        <w:smartTagPr>
          <w:attr w:name="ProductID" w:val="La Vicerrector￭a Administrativa"/>
        </w:smartTagPr>
        <w:r w:rsidRPr="004B70EC">
          <w:rPr>
            <w:rFonts w:ascii="Arial" w:hAnsi="Arial" w:cs="Arial"/>
            <w:lang w:val="es-ES_tradnl"/>
          </w:rPr>
          <w:t>La Vicerrectoría Administrativa</w:t>
        </w:r>
      </w:smartTag>
      <w:r w:rsidRPr="004B70EC">
        <w:rPr>
          <w:rFonts w:ascii="Arial" w:hAnsi="Arial" w:cs="Arial"/>
          <w:lang w:val="es-ES_tradnl"/>
        </w:rPr>
        <w:t xml:space="preserve"> establece y controla el presupuesto y el plan anual de desembolsos por proyectos. </w:t>
      </w:r>
      <w:smartTag w:uri="urn:schemas-microsoft-com:office:smarttags" w:element="PersonName">
        <w:smartTagPr>
          <w:attr w:name="ProductID" w:val="La Vicerrector￭a"/>
        </w:smartTagPr>
        <w:r w:rsidRPr="004B70EC">
          <w:rPr>
            <w:rFonts w:ascii="Arial" w:hAnsi="Arial" w:cs="Arial"/>
            <w:lang w:val="es-ES_tradnl"/>
          </w:rPr>
          <w:t>La Vicerrectoría</w:t>
        </w:r>
      </w:smartTag>
      <w:r w:rsidRPr="004B70EC">
        <w:rPr>
          <w:rFonts w:ascii="Arial" w:hAnsi="Arial" w:cs="Arial"/>
          <w:lang w:val="es-ES_tradnl"/>
        </w:rPr>
        <w:t xml:space="preserve"> de Investigación estudia, hace viables y administra los proyectos inherentes a dicha área. Esto significa que </w:t>
      </w:r>
      <w:smartTag w:uri="urn:schemas-microsoft-com:office:smarttags" w:element="PersonName">
        <w:smartTagPr>
          <w:attr w:name="ProductID" w:val="la Universidad"/>
        </w:smartTagPr>
        <w:r w:rsidRPr="004B70EC">
          <w:rPr>
            <w:rFonts w:ascii="Arial" w:hAnsi="Arial" w:cs="Arial"/>
            <w:lang w:val="es-ES_tradnl"/>
          </w:rPr>
          <w:t>la Universidad</w:t>
        </w:r>
      </w:smartTag>
      <w:r w:rsidRPr="004B70EC">
        <w:rPr>
          <w:rFonts w:ascii="Arial" w:hAnsi="Arial" w:cs="Arial"/>
          <w:lang w:val="es-ES_tradnl"/>
        </w:rPr>
        <w:t xml:space="preserve"> no ha tenido que recurrir a erogaciones para la puesta en marcha de la operación en la ejecución de los recursos de la Estampilla Universidad de Antioquia de Cara al Tercer Siglo de Labor.</w:t>
      </w:r>
    </w:p>
    <w:p w:rsidR="004B70EC" w:rsidRDefault="004B70EC" w:rsidP="004B70EC">
      <w:pPr>
        <w:pStyle w:val="Textoindependiente2"/>
        <w:spacing w:before="240" w:after="240" w:line="360" w:lineRule="auto"/>
        <w:jc w:val="both"/>
        <w:rPr>
          <w:rFonts w:ascii="Arial" w:hAnsi="Arial" w:cs="Arial"/>
          <w:b w:val="0"/>
          <w:szCs w:val="24"/>
          <w:lang w:val="es-ES_tradnl"/>
        </w:rPr>
      </w:pPr>
    </w:p>
    <w:p w:rsidR="004B70EC" w:rsidRDefault="004B70EC" w:rsidP="004B70EC">
      <w:pPr>
        <w:pStyle w:val="Textoindependiente2"/>
        <w:spacing w:before="240" w:after="240" w:line="360" w:lineRule="auto"/>
        <w:jc w:val="both"/>
        <w:rPr>
          <w:rFonts w:ascii="Arial" w:hAnsi="Arial" w:cs="Arial"/>
          <w:b w:val="0"/>
          <w:szCs w:val="24"/>
          <w:lang w:val="es-ES_tradnl"/>
        </w:rPr>
      </w:pPr>
    </w:p>
    <w:p w:rsidR="004B70EC" w:rsidRDefault="004B70EC" w:rsidP="004B70EC">
      <w:pPr>
        <w:pStyle w:val="Textoindependiente2"/>
        <w:spacing w:before="240" w:after="240" w:line="360" w:lineRule="auto"/>
        <w:jc w:val="both"/>
        <w:rPr>
          <w:rFonts w:ascii="Arial" w:hAnsi="Arial" w:cs="Arial"/>
          <w:b w:val="0"/>
          <w:szCs w:val="24"/>
          <w:lang w:val="es-ES_tradnl"/>
        </w:rPr>
      </w:pPr>
    </w:p>
    <w:p w:rsidR="004B70EC" w:rsidRDefault="004B70EC" w:rsidP="004B70EC">
      <w:pPr>
        <w:pStyle w:val="Textoindependiente2"/>
        <w:spacing w:before="240" w:after="240" w:line="360" w:lineRule="auto"/>
        <w:jc w:val="both"/>
        <w:rPr>
          <w:rFonts w:ascii="Arial" w:hAnsi="Arial" w:cs="Arial"/>
          <w:b w:val="0"/>
          <w:szCs w:val="24"/>
          <w:lang w:val="es-ES_tradnl"/>
        </w:rPr>
      </w:pPr>
    </w:p>
    <w:p w:rsidR="004B70EC" w:rsidRDefault="004B70EC" w:rsidP="004B70EC">
      <w:pPr>
        <w:pStyle w:val="Textoindependiente2"/>
        <w:spacing w:before="240" w:after="240" w:line="360" w:lineRule="auto"/>
        <w:jc w:val="both"/>
        <w:rPr>
          <w:rFonts w:ascii="Arial" w:hAnsi="Arial" w:cs="Arial"/>
          <w:b w:val="0"/>
          <w:szCs w:val="24"/>
          <w:lang w:val="es-ES_tradnl"/>
        </w:rPr>
      </w:pPr>
    </w:p>
    <w:p w:rsidR="004B70EC" w:rsidRDefault="004B70EC" w:rsidP="004B70EC">
      <w:pPr>
        <w:pStyle w:val="Textoindependiente2"/>
        <w:spacing w:before="240" w:after="240" w:line="360" w:lineRule="auto"/>
        <w:jc w:val="both"/>
        <w:rPr>
          <w:rFonts w:ascii="Arial" w:hAnsi="Arial" w:cs="Arial"/>
          <w:b w:val="0"/>
          <w:szCs w:val="24"/>
          <w:lang w:val="es-ES_tradnl"/>
        </w:rPr>
      </w:pPr>
    </w:p>
    <w:p w:rsidR="004B70EC" w:rsidRPr="004B70EC" w:rsidRDefault="004B70EC" w:rsidP="004B70EC">
      <w:pPr>
        <w:pStyle w:val="Textoindependiente2"/>
        <w:numPr>
          <w:ilvl w:val="0"/>
          <w:numId w:val="38"/>
        </w:numPr>
        <w:spacing w:before="240" w:after="240" w:line="360" w:lineRule="auto"/>
        <w:jc w:val="both"/>
        <w:rPr>
          <w:rFonts w:ascii="Arial" w:hAnsi="Arial" w:cs="Arial"/>
          <w:szCs w:val="24"/>
          <w:lang w:val="es-ES_tradnl"/>
        </w:rPr>
      </w:pPr>
      <w:r>
        <w:rPr>
          <w:rFonts w:ascii="Arial" w:hAnsi="Arial" w:cs="Arial"/>
          <w:szCs w:val="24"/>
          <w:lang w:val="es-ES_tradnl"/>
        </w:rPr>
        <w:t>ESTAMPILLA PRO UNIVERSIDAD DEL VALLE</w:t>
      </w:r>
    </w:p>
    <w:p w:rsidR="004B70EC" w:rsidRPr="004B70EC" w:rsidRDefault="004B70EC" w:rsidP="004B70EC">
      <w:pPr>
        <w:pStyle w:val="Ttulo2"/>
        <w:numPr>
          <w:ilvl w:val="0"/>
          <w:numId w:val="34"/>
        </w:numPr>
        <w:jc w:val="both"/>
        <w:rPr>
          <w:rFonts w:ascii="Arial" w:hAnsi="Arial" w:cs="Arial"/>
          <w:lang w:val="es-ES_tradnl"/>
        </w:rPr>
      </w:pPr>
      <w:r w:rsidRPr="004B70EC">
        <w:rPr>
          <w:rFonts w:ascii="Arial" w:hAnsi="Arial" w:cs="Arial"/>
          <w:lang w:val="es-ES_tradnl"/>
        </w:rPr>
        <w:t>Antecedentes</w:t>
      </w:r>
    </w:p>
    <w:p w:rsidR="004B70EC" w:rsidRPr="004B70EC" w:rsidRDefault="004B70EC" w:rsidP="004B70EC">
      <w:pPr>
        <w:rPr>
          <w:rFonts w:ascii="Arial" w:hAnsi="Arial" w:cs="Arial"/>
          <w:lang w:val="es-ES_tradnl"/>
        </w:rPr>
      </w:pPr>
    </w:p>
    <w:p w:rsidR="004B70EC" w:rsidRDefault="004B70EC" w:rsidP="004B70EC">
      <w:pPr>
        <w:jc w:val="both"/>
        <w:rPr>
          <w:rFonts w:ascii="Arial" w:hAnsi="Arial" w:cs="Arial"/>
          <w:lang w:val="es-ES_tradnl"/>
        </w:rPr>
      </w:pPr>
      <w:r w:rsidRPr="004B70EC">
        <w:rPr>
          <w:rFonts w:ascii="Arial" w:hAnsi="Arial" w:cs="Arial"/>
          <w:lang w:val="es-ES_tradnl"/>
        </w:rPr>
        <w:t xml:space="preserve">La Estampilla Pro Universidad del Valle, creada mediante Ley 26 de 1990 y modificada por las Leyes 122 de 1994, 206 de 1995, 863 de 2003 y 1321 de 2009, está autorizada hasta recaudar 200.000 millones de pesos a precios de 1993, su inversión se rige por los lineamentos de la Ley 206 de 1995, que en su artículo 1°, fijo la siguiente distribución para sus beneficiarios: </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Universidad del Valle</w:t>
      </w:r>
      <w:r w:rsidRPr="004B70EC">
        <w:rPr>
          <w:rFonts w:ascii="Arial" w:hAnsi="Arial" w:cs="Arial"/>
          <w:lang w:val="es-ES_tradnl"/>
        </w:rPr>
        <w:tab/>
      </w:r>
      <w:r w:rsidRPr="004B70EC">
        <w:rPr>
          <w:rFonts w:ascii="Arial" w:hAnsi="Arial" w:cs="Arial"/>
          <w:lang w:val="es-ES_tradnl"/>
        </w:rPr>
        <w:tab/>
      </w:r>
      <w:r w:rsidRPr="004B70EC">
        <w:rPr>
          <w:rFonts w:ascii="Arial" w:hAnsi="Arial" w:cs="Arial"/>
          <w:lang w:val="es-ES_tradnl"/>
        </w:rPr>
        <w:tab/>
        <w:t xml:space="preserve">90% </w:t>
      </w:r>
    </w:p>
    <w:p w:rsidR="004B70EC" w:rsidRPr="004B70EC" w:rsidRDefault="004B70EC" w:rsidP="004B70EC">
      <w:pPr>
        <w:jc w:val="both"/>
        <w:rPr>
          <w:rFonts w:ascii="Arial" w:hAnsi="Arial" w:cs="Arial"/>
          <w:lang w:val="es-ES_tradnl"/>
        </w:rPr>
      </w:pPr>
      <w:r w:rsidRPr="004B70EC">
        <w:rPr>
          <w:rFonts w:ascii="Arial" w:hAnsi="Arial" w:cs="Arial"/>
          <w:lang w:val="es-ES_tradnl"/>
        </w:rPr>
        <w:t>Biblioteca Departamental</w:t>
      </w:r>
      <w:r w:rsidRPr="004B70EC">
        <w:rPr>
          <w:rFonts w:ascii="Arial" w:hAnsi="Arial" w:cs="Arial"/>
          <w:lang w:val="es-ES_tradnl"/>
        </w:rPr>
        <w:tab/>
        <w:t xml:space="preserve"> </w:t>
      </w:r>
      <w:r w:rsidRPr="004B70EC">
        <w:rPr>
          <w:rFonts w:ascii="Arial" w:hAnsi="Arial" w:cs="Arial"/>
          <w:lang w:val="es-ES_tradnl"/>
        </w:rPr>
        <w:tab/>
        <w:t xml:space="preserve">  </w:t>
      </w:r>
      <w:r w:rsidRPr="004B70EC">
        <w:rPr>
          <w:rFonts w:ascii="Arial" w:hAnsi="Arial" w:cs="Arial"/>
          <w:lang w:val="es-ES_tradnl"/>
        </w:rPr>
        <w:tab/>
        <w:t xml:space="preserve">  5% </w:t>
      </w:r>
    </w:p>
    <w:p w:rsidR="004B70EC" w:rsidRPr="004B70EC" w:rsidRDefault="004B70EC" w:rsidP="004B70EC">
      <w:pPr>
        <w:jc w:val="both"/>
        <w:rPr>
          <w:rFonts w:ascii="Arial" w:hAnsi="Arial" w:cs="Arial"/>
          <w:lang w:val="es-ES_tradnl"/>
        </w:rPr>
      </w:pPr>
      <w:r w:rsidRPr="004B70EC">
        <w:rPr>
          <w:rFonts w:ascii="Arial" w:hAnsi="Arial" w:cs="Arial"/>
          <w:lang w:val="es-ES_tradnl"/>
        </w:rPr>
        <w:t>Universidad Nacional, sede Palmira</w:t>
      </w:r>
      <w:r w:rsidRPr="004B70EC">
        <w:rPr>
          <w:rFonts w:ascii="Arial" w:hAnsi="Arial" w:cs="Arial"/>
          <w:lang w:val="es-ES_tradnl"/>
        </w:rPr>
        <w:tab/>
        <w:t xml:space="preserve">  5%</w:t>
      </w: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r w:rsidRPr="004B70EC">
        <w:rPr>
          <w:rFonts w:ascii="Arial" w:hAnsi="Arial" w:cs="Arial"/>
          <w:lang w:val="es-ES_tradnl"/>
        </w:rPr>
        <w:t xml:space="preserve">Esta renta con destinación específica, artículo 1°, Ley 26 de 1990, modificado por el artículo 1°, Ley 206 de 1995, constituye para la Universidad del Valle y demás beneficiarios en su más importante fuente de financiación para la inversión, en consideración a que los ingresos que aporta la Nación y el Departamento del Valle del Cauca, en cumplimiento del artículo 86 de la Ley 30 de 1991, no son suficientes y sólo permiten cubrir parcialmente el gasto de funcionamiento, dejando muy poco o prácticamente ningún disponible para canalizarse a la inversión necesaria para el desarrollo y crecimiento de la Universidad, la cual está obligada a permanecer en los primeros lugares de excelencia académica – administrativa demostrada con la acreditación institucional de 10 años y ante los retos de la globalización y de las propias exigencias que impone el Estado a través de los indicadores del SUE, entre otros, y que asume, paralela y paradójicamente, la sistemática desfinanciación que se presenta como consecuencia de las políticas públicas para la educación superior del país. </w:t>
      </w:r>
    </w:p>
    <w:p w:rsidR="004B70EC" w:rsidRP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r w:rsidRPr="004B70EC">
        <w:rPr>
          <w:rFonts w:ascii="Arial" w:hAnsi="Arial" w:cs="Arial"/>
          <w:lang w:val="es-ES_tradnl"/>
        </w:rPr>
        <w:t xml:space="preserve">Estos recursos se han constituido en una fuente con destinación específica para inversión de importancia estratégica para las universidades públicas que gozan de sus beneficios, lo que explica porque de las (32) universidades públicas del país, (29) cuentan con este recurso.  </w:t>
      </w:r>
    </w:p>
    <w:p w:rsidR="004B70EC" w:rsidRP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r w:rsidRPr="004B70EC">
        <w:rPr>
          <w:rFonts w:ascii="Arial" w:hAnsi="Arial" w:cs="Arial"/>
          <w:lang w:val="es-ES_tradnl"/>
        </w:rPr>
        <w:t>Durante el periodo de vigencia de la Estampilla Pro Universidad del Valle, 1991-2017, su estructura de ingresos se caracterizó por estar financiada sólo en un 65% por el Estado, generar el 36.3% de los recursos y recibir el 8.7% por concepto de estampilla Pro Universidad del Valle; bajo este esquema se aprobaron los planes de desarrollo institucional, que se denotan las estrategias que han permitido el mejoramiento, mantenimiento y ampliación de la infraestructura física global de la Universidad, fortalecimiento del sistema de regionalización, de las plataformas tecnológicas, dotación y mejoramiento de laboratorios y bibliotecas, adquisición material didáctico, dotación de muebles y equipos para áreas administrativas y académicas, la consolidación de la Institución como universidad fundamentada en la investigación, la acreditación de alta calidad de un alto porcentaje de sus planes de pregrado y posgrado, la modernización de gestión administrativa y financiera; todo lo anterior refrendado por la acreditación institucional de alta calidad que le fue otorgada el Ministerio de Educación Nacional.</w:t>
      </w:r>
    </w:p>
    <w:p w:rsidR="004B70EC" w:rsidRP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r w:rsidRPr="004B70EC">
        <w:rPr>
          <w:rFonts w:ascii="Arial" w:hAnsi="Arial" w:cs="Arial"/>
          <w:lang w:val="es-ES_tradnl"/>
        </w:rPr>
        <w:t>El recaudo, control, administración, fiscalización y cobro de la estampilla Pro Universidad del Valle, está en cabeza de Administración Departamental, a través de la Secretaría de Hacienda departamental, Unidad Administrativa Especial de Impuestos, Rentas y Gestión Tributaria, UAEIRYGT, amparando las actuaciones tributarias correspondientes en el Estatuto Tributario Departamental; constituyéndose en el recaudador oficial renta, y es quién hace el recaudo, distribución y giro a las entidades beneficiarias, proceso que ha otorgado un manejo eficiente y transparente.</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Ante la importancia financiera y estratégica de la estampilla para la Universidad del Valle, ésta ha iniciado, motivado y participado en las diferentes modificaciones a su Ley original con dos propósitos bien definidos: incrementar el valor a recaudar a fin de prolongar su vida útil y orientar desde la Ley la aplicación de los recursos. </w:t>
      </w:r>
    </w:p>
    <w:p w:rsidR="004B70EC" w:rsidRPr="004B70EC" w:rsidRDefault="004B70EC" w:rsidP="004B70EC">
      <w:pPr>
        <w:jc w:val="both"/>
        <w:rPr>
          <w:rFonts w:ascii="Arial" w:hAnsi="Arial" w:cs="Arial"/>
          <w:color w:val="000000" w:themeColor="text1"/>
          <w:szCs w:val="22"/>
          <w:lang w:val="es-ES_tradnl"/>
        </w:rPr>
      </w:pPr>
      <w:r w:rsidRPr="004B70EC">
        <w:rPr>
          <w:rFonts w:ascii="Arial" w:hAnsi="Arial" w:cs="Arial"/>
          <w:color w:val="000000" w:themeColor="text1"/>
          <w:shd w:val="clear" w:color="auto" w:fill="FFFFFF"/>
          <w:lang w:val="es-ES_tradnl"/>
        </w:rPr>
        <w:t>Este recurso ha permitido que la Universidad ejecute las estrategias y acciones consolidadas en los planes de desarrollo institucionales 1986-2000 y 2005-2015, y en la actualidad en el PED 2015-2025, donde para los siguientes años se requiere, entre otros,  una actualización de la infraestructura física de la Universidad que atienda los problemas relacionados con la obsolescencia de los edificios existentes en todos los campus, que no cumplen con la normatividad vigente de sismoresistencia y de accesibilidad que tienen altos costos y son de obligatorio cumplimiento según las leyes existentes; además de contar con espacios académicos modernos del tamaño y con los medios educativos requeridos para enfrentar los cambios de las prácticas pedagógicas y de la actualización curricular que inició la Universidad hace unos años. Es necesario una renovación de la plataforma tecnológica, y en especial de los sistema de información para lograr mayor eficiencia en los procesos académicos y administrativos de manera integrada. La Universidad en los próximos años tiene retos asociados a la oferta de programas de educación virtual a nivel de pregrados y posgrados, así como un aumento de cobertura orientada en las sedes regionales. También retos asociados a la generación de nuevos espacios para el desarrollo de la investigación y la extensión al servicio de la sociedad, en cada uno de sus campus. Con el fin de renovar la oferta académica con mayor pertinencia y con un enfoque de desarrollo territorial, se requieren los recursos de inversión provenientes de la estampilla.</w:t>
      </w:r>
    </w:p>
    <w:p w:rsidR="004B70EC" w:rsidRPr="004B70EC" w:rsidRDefault="004B70EC" w:rsidP="004B70EC">
      <w:pPr>
        <w:jc w:val="both"/>
        <w:rPr>
          <w:rFonts w:ascii="Arial" w:hAnsi="Arial" w:cs="Arial"/>
          <w:color w:val="FF0000"/>
          <w:lang w:val="es-ES_tradnl"/>
        </w:rPr>
      </w:pPr>
    </w:p>
    <w:p w:rsidR="004B70EC" w:rsidRPr="004B70EC" w:rsidRDefault="004B70EC" w:rsidP="004B70EC">
      <w:pPr>
        <w:jc w:val="both"/>
        <w:rPr>
          <w:rFonts w:ascii="Arial" w:hAnsi="Arial" w:cs="Arial"/>
          <w:color w:val="000000" w:themeColor="text1"/>
          <w:lang w:val="es-ES_tradnl"/>
        </w:rPr>
      </w:pPr>
      <w:r w:rsidRPr="004B70EC">
        <w:rPr>
          <w:rFonts w:ascii="Arial" w:hAnsi="Arial" w:cs="Arial"/>
          <w:color w:val="000000" w:themeColor="text1"/>
          <w:lang w:val="es-ES_tradnl"/>
        </w:rPr>
        <w:t xml:space="preserve">La Universidad se enfrenta al principal reto de transformación en su historia, y es la seccionalización de las actuales sedes regionales, después de 32 años, se requiere la consolidación de la regionalización bajo el modelo de seccionales, ya aprobado por el MEN en el año 2010, pero pendiente de implementarse, para este proceso los recursos de la Estampilla Pro-Universidad del Valle son vitales, ya que permitirá consolidar la infraestructura física y tecnológica y el apoyo a procesos de investigación, proyección social, bienestar e internacionalización desde el desarrollo territorial para el país. </w:t>
      </w:r>
    </w:p>
    <w:p w:rsidR="004B70EC" w:rsidRPr="004B70EC" w:rsidRDefault="004B70EC" w:rsidP="004B70EC">
      <w:pPr>
        <w:jc w:val="both"/>
        <w:rPr>
          <w:rFonts w:ascii="Arial" w:hAnsi="Arial" w:cs="Arial"/>
          <w:color w:val="000000" w:themeColor="text1"/>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Es por estas razones que presenta a consideración del Honorable Congreso de la República este nuevo proyecto de Ley.</w:t>
      </w:r>
    </w:p>
    <w:p w:rsidR="004B70EC" w:rsidRPr="004B70EC" w:rsidRDefault="004B70EC" w:rsidP="004B70EC">
      <w:pPr>
        <w:jc w:val="both"/>
        <w:rPr>
          <w:rFonts w:ascii="Arial" w:hAnsi="Arial" w:cs="Arial"/>
          <w:lang w:val="es-ES_tradnl"/>
        </w:rPr>
      </w:pPr>
    </w:p>
    <w:p w:rsidR="004B70EC" w:rsidRPr="004B70EC" w:rsidRDefault="004B70EC" w:rsidP="004B70EC">
      <w:pPr>
        <w:pStyle w:val="Prrafodelista"/>
        <w:numPr>
          <w:ilvl w:val="0"/>
          <w:numId w:val="34"/>
        </w:numPr>
        <w:autoSpaceDE/>
        <w:autoSpaceDN/>
        <w:adjustRightInd/>
        <w:contextualSpacing/>
        <w:rPr>
          <w:rFonts w:ascii="Arial" w:hAnsi="Arial" w:cs="Arial"/>
          <w:b/>
          <w:sz w:val="24"/>
          <w:szCs w:val="24"/>
          <w:lang w:val="es-ES_tradnl"/>
        </w:rPr>
      </w:pPr>
      <w:r w:rsidRPr="004B70EC">
        <w:rPr>
          <w:rFonts w:ascii="Arial" w:hAnsi="Arial" w:cs="Arial"/>
          <w:b/>
          <w:sz w:val="24"/>
          <w:lang w:val="es-ES_tradnl"/>
        </w:rPr>
        <w:t>Recaudos Estampilla Pro Universidad del Valle</w:t>
      </w:r>
    </w:p>
    <w:p w:rsidR="004B70EC" w:rsidRPr="004B70EC" w:rsidRDefault="004B70EC" w:rsidP="004B70EC">
      <w:pPr>
        <w:pStyle w:val="Prrafodelista"/>
        <w:autoSpaceDE/>
        <w:autoSpaceDN/>
        <w:adjustRightInd/>
        <w:ind w:left="720"/>
        <w:contextualSpacing/>
        <w:rPr>
          <w:rFonts w:ascii="Arial" w:hAnsi="Arial" w:cs="Arial"/>
          <w:b/>
          <w:sz w:val="24"/>
          <w:szCs w:val="24"/>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Los ingresos por concepto de Estampilla Pro Universidad del Valle, al cierre de 2017, registran un valor acumulado, a precios corrientes de $ 683.892 millones, los que equivalen a $ 160.345 a precios constantes de 1993, en virtud del artículo 2, Ley 1321 de 2009, que modificó el artículo 10 de la Ley 122 de 1994.</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En la siguiente figura se presenta el recaudo de la Estampilla Pro-Universidad del Valle para la participación correspondiente a la Universidad del Valle durante el período 1991-2017.</w:t>
      </w:r>
      <w:bookmarkStart w:id="1" w:name="_Toc455691645"/>
    </w:p>
    <w:p w:rsidR="004B70EC" w:rsidRPr="004B70EC" w:rsidRDefault="004B70EC" w:rsidP="004B70EC">
      <w:pPr>
        <w:pStyle w:val="figuras"/>
        <w:spacing w:line="240" w:lineRule="auto"/>
        <w:jc w:val="both"/>
        <w:rPr>
          <w:rFonts w:ascii="Arial" w:hAnsi="Arial" w:cs="Arial"/>
          <w:b/>
          <w:lang w:val="es-ES_tradnl"/>
        </w:rPr>
      </w:pPr>
    </w:p>
    <w:p w:rsidR="004B70EC" w:rsidRPr="004B70EC" w:rsidRDefault="004B70EC" w:rsidP="004B70EC">
      <w:pPr>
        <w:pStyle w:val="figuras"/>
        <w:spacing w:line="240" w:lineRule="auto"/>
        <w:jc w:val="both"/>
        <w:rPr>
          <w:rFonts w:ascii="Arial" w:hAnsi="Arial" w:cs="Arial"/>
          <w:sz w:val="22"/>
          <w:lang w:val="es-ES_tradnl"/>
        </w:rPr>
      </w:pPr>
      <w:r w:rsidRPr="004B70EC">
        <w:rPr>
          <w:rFonts w:ascii="Arial" w:hAnsi="Arial" w:cs="Arial"/>
          <w:b/>
          <w:sz w:val="22"/>
          <w:lang w:val="es-ES_tradnl"/>
        </w:rPr>
        <w:t>Figura 1.</w:t>
      </w:r>
      <w:r w:rsidRPr="004B70EC">
        <w:rPr>
          <w:rFonts w:ascii="Arial" w:hAnsi="Arial" w:cs="Arial"/>
          <w:sz w:val="22"/>
          <w:lang w:val="es-ES_tradnl"/>
        </w:rPr>
        <w:t xml:space="preserve"> Recaudos Históricos Estampilla Pro Universidad del Valle 1991 - 201</w:t>
      </w:r>
      <w:bookmarkEnd w:id="1"/>
      <w:r w:rsidRPr="004B70EC">
        <w:rPr>
          <w:rFonts w:ascii="Arial" w:hAnsi="Arial" w:cs="Arial"/>
          <w:sz w:val="22"/>
          <w:lang w:val="es-ES_tradnl"/>
        </w:rPr>
        <w:t>7</w:t>
      </w:r>
    </w:p>
    <w:p w:rsidR="004B70EC" w:rsidRPr="004B70EC" w:rsidRDefault="004B70EC" w:rsidP="004B70EC">
      <w:pPr>
        <w:jc w:val="both"/>
        <w:rPr>
          <w:rFonts w:ascii="Arial" w:hAnsi="Arial" w:cs="Arial"/>
          <w:sz w:val="20"/>
          <w:lang w:val="es-ES_tradnl"/>
        </w:rPr>
      </w:pPr>
      <w:r w:rsidRPr="004B70EC">
        <w:rPr>
          <w:rFonts w:ascii="Arial" w:hAnsi="Arial" w:cs="Arial"/>
          <w:sz w:val="20"/>
          <w:lang w:val="es-ES_tradnl"/>
        </w:rPr>
        <w:t>(Cifras en millones de Pesos)</w:t>
      </w:r>
    </w:p>
    <w:p w:rsidR="004B70EC" w:rsidRPr="004B70EC" w:rsidRDefault="004B70EC" w:rsidP="004B70EC">
      <w:pPr>
        <w:jc w:val="both"/>
        <w:rPr>
          <w:rFonts w:ascii="Arial" w:hAnsi="Arial" w:cs="Arial"/>
          <w:sz w:val="20"/>
          <w:lang w:val="es-ES_tradnl"/>
        </w:rPr>
      </w:pPr>
    </w:p>
    <w:p w:rsidR="004B70EC" w:rsidRPr="004B70EC" w:rsidRDefault="004B70EC" w:rsidP="004B70EC">
      <w:pPr>
        <w:jc w:val="center"/>
        <w:rPr>
          <w:rFonts w:ascii="Arial" w:hAnsi="Arial" w:cs="Arial"/>
          <w:b/>
          <w:color w:val="000000" w:themeColor="text1"/>
          <w:sz w:val="22"/>
          <w:szCs w:val="22"/>
          <w:lang w:val="es-ES_tradnl"/>
        </w:rPr>
      </w:pPr>
      <w:r w:rsidRPr="004B70EC">
        <w:rPr>
          <w:rFonts w:ascii="Arial" w:hAnsi="Arial" w:cs="Arial"/>
          <w:noProof/>
          <w:lang w:val="es-CO" w:eastAsia="es-CO"/>
        </w:rPr>
        <w:drawing>
          <wp:inline distT="0" distB="0" distL="0" distR="0" wp14:anchorId="17D55E65" wp14:editId="6F930C80">
            <wp:extent cx="4924425" cy="3609975"/>
            <wp:effectExtent l="0" t="0" r="9525" b="9525"/>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B70EC" w:rsidRPr="004B70EC" w:rsidRDefault="004B70EC" w:rsidP="004B70EC">
      <w:pPr>
        <w:jc w:val="both"/>
        <w:rPr>
          <w:rFonts w:ascii="Arial" w:hAnsi="Arial" w:cs="Arial"/>
          <w:color w:val="000000" w:themeColor="text1"/>
          <w:szCs w:val="20"/>
          <w:lang w:val="es-ES_tradnl"/>
        </w:rPr>
      </w:pPr>
      <w:r w:rsidRPr="004B70EC">
        <w:rPr>
          <w:rFonts w:ascii="Arial" w:hAnsi="Arial" w:cs="Arial"/>
          <w:b/>
          <w:color w:val="000000" w:themeColor="text1"/>
          <w:szCs w:val="20"/>
          <w:lang w:val="es-ES_tradnl"/>
        </w:rPr>
        <w:t>Fuente</w:t>
      </w:r>
      <w:r w:rsidRPr="004B70EC">
        <w:rPr>
          <w:rFonts w:ascii="Arial" w:hAnsi="Arial" w:cs="Arial"/>
          <w:color w:val="000000" w:themeColor="text1"/>
          <w:szCs w:val="20"/>
          <w:lang w:val="es-ES_tradnl"/>
        </w:rPr>
        <w:t>: Área Recaudos Estampilla Pro Univalle, División Financiera, Univalle</w:t>
      </w: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jc w:val="center"/>
        <w:rPr>
          <w:rFonts w:ascii="Arial" w:hAnsi="Arial" w:cs="Arial"/>
          <w:b/>
          <w:lang w:val="es-ES_tradnl"/>
        </w:rPr>
      </w:pPr>
      <w:r w:rsidRPr="004B70EC">
        <w:rPr>
          <w:rFonts w:ascii="Arial" w:hAnsi="Arial" w:cs="Arial"/>
          <w:b/>
          <w:lang w:val="es-ES_tradnl"/>
        </w:rPr>
        <w:t>Tabla 1. Recaudos por concepto de Estampilla Pro Universidad del Valle</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 xml:space="preserve">Periodo 1991 – 2017 </w:t>
      </w:r>
    </w:p>
    <w:p w:rsidR="004B70EC" w:rsidRPr="004B70EC" w:rsidRDefault="004B70EC" w:rsidP="004B70EC">
      <w:pPr>
        <w:jc w:val="center"/>
        <w:rPr>
          <w:rFonts w:ascii="Arial" w:hAnsi="Arial" w:cs="Arial"/>
          <w:sz w:val="20"/>
          <w:szCs w:val="20"/>
          <w:lang w:val="es-ES_tradnl"/>
        </w:rPr>
      </w:pPr>
      <w:r w:rsidRPr="004B70EC">
        <w:rPr>
          <w:rFonts w:ascii="Arial" w:hAnsi="Arial" w:cs="Arial"/>
          <w:sz w:val="20"/>
          <w:szCs w:val="20"/>
          <w:lang w:val="es-ES_tradnl"/>
        </w:rPr>
        <w:t>Millones de pesos</w:t>
      </w:r>
    </w:p>
    <w:p w:rsidR="004B70EC" w:rsidRPr="004B70EC" w:rsidRDefault="004B70EC" w:rsidP="004B70EC">
      <w:pPr>
        <w:spacing w:line="360" w:lineRule="auto"/>
        <w:rPr>
          <w:rFonts w:ascii="Arial" w:hAnsi="Arial" w:cs="Arial"/>
          <w:lang w:val="es-ES_tradnl"/>
        </w:rPr>
      </w:pPr>
      <w:r w:rsidRPr="004B70EC">
        <w:rPr>
          <w:rFonts w:ascii="Arial" w:hAnsi="Arial" w:cs="Arial"/>
          <w:noProof/>
          <w:sz w:val="22"/>
          <w:szCs w:val="22"/>
          <w:lang w:val="es-CO" w:eastAsia="es-CO"/>
        </w:rPr>
        <w:drawing>
          <wp:anchor distT="0" distB="0" distL="114300" distR="114300" simplePos="0" relativeHeight="251675648" behindDoc="0" locked="0" layoutInCell="1" allowOverlap="1" wp14:anchorId="77537319" wp14:editId="577375CD">
            <wp:simplePos x="0" y="0"/>
            <wp:positionH relativeFrom="margin">
              <wp:posOffset>1304290</wp:posOffset>
            </wp:positionH>
            <wp:positionV relativeFrom="paragraph">
              <wp:posOffset>8255</wp:posOffset>
            </wp:positionV>
            <wp:extent cx="2969260" cy="4290695"/>
            <wp:effectExtent l="0" t="0" r="254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69260" cy="4290695"/>
                    </a:xfrm>
                    <a:prstGeom prst="rect">
                      <a:avLst/>
                    </a:prstGeom>
                    <a:noFill/>
                  </pic:spPr>
                </pic:pic>
              </a:graphicData>
            </a:graphic>
            <wp14:sizeRelH relativeFrom="margin">
              <wp14:pctWidth>0</wp14:pctWidth>
            </wp14:sizeRelH>
            <wp14:sizeRelV relativeFrom="margin">
              <wp14:pctHeight>0</wp14:pctHeight>
            </wp14:sizeRelV>
          </wp:anchor>
        </w:drawing>
      </w:r>
      <w:r w:rsidRPr="004B70EC">
        <w:rPr>
          <w:rFonts w:ascii="Arial" w:hAnsi="Arial" w:cs="Arial"/>
          <w:lang w:val="es-ES_tradnl"/>
        </w:rPr>
        <w:tab/>
      </w: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spacing w:line="360" w:lineRule="auto"/>
        <w:rPr>
          <w:rFonts w:ascii="Arial" w:hAnsi="Arial" w:cs="Arial"/>
          <w:lang w:val="es-ES_tradnl"/>
        </w:rPr>
      </w:pPr>
    </w:p>
    <w:p w:rsidR="004B70EC" w:rsidRPr="004B70EC" w:rsidRDefault="004B70EC" w:rsidP="004B70EC">
      <w:pPr>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Por mandato de los artículos 1° y 6° de la Ley 26 de 1990, modificados por los artículos 1° y 2° de la Ley 122 de 1990, el recaudo de la estampilla Pro Universidad del Valle, tiene tres entidades beneficiarias, con las siguientes participaciones sobre el ingreso: </w:t>
      </w:r>
    </w:p>
    <w:p w:rsid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Universidad del Valle</w:t>
      </w:r>
      <w:r w:rsidRPr="004B70EC">
        <w:rPr>
          <w:rFonts w:ascii="Arial" w:hAnsi="Arial" w:cs="Arial"/>
          <w:lang w:val="es-ES_tradnl"/>
        </w:rPr>
        <w:tab/>
      </w:r>
      <w:r w:rsidRPr="004B70EC">
        <w:rPr>
          <w:rFonts w:ascii="Arial" w:hAnsi="Arial" w:cs="Arial"/>
          <w:lang w:val="es-ES_tradnl"/>
        </w:rPr>
        <w:tab/>
      </w:r>
      <w:r w:rsidRPr="004B70EC">
        <w:rPr>
          <w:rFonts w:ascii="Arial" w:hAnsi="Arial" w:cs="Arial"/>
          <w:lang w:val="es-ES_tradnl"/>
        </w:rPr>
        <w:tab/>
        <w:t xml:space="preserve">90% </w:t>
      </w:r>
    </w:p>
    <w:p w:rsidR="004B70EC" w:rsidRPr="004B70EC" w:rsidRDefault="004B70EC" w:rsidP="004B70EC">
      <w:pPr>
        <w:jc w:val="both"/>
        <w:rPr>
          <w:rFonts w:ascii="Arial" w:hAnsi="Arial" w:cs="Arial"/>
          <w:lang w:val="es-ES_tradnl"/>
        </w:rPr>
      </w:pPr>
      <w:r w:rsidRPr="004B70EC">
        <w:rPr>
          <w:rFonts w:ascii="Arial" w:hAnsi="Arial" w:cs="Arial"/>
          <w:lang w:val="es-ES_tradnl"/>
        </w:rPr>
        <w:t>Biblioteca Departamental</w:t>
      </w:r>
      <w:r w:rsidRPr="004B70EC">
        <w:rPr>
          <w:rFonts w:ascii="Arial" w:hAnsi="Arial" w:cs="Arial"/>
          <w:lang w:val="es-ES_tradnl"/>
        </w:rPr>
        <w:tab/>
        <w:t xml:space="preserve"> </w:t>
      </w:r>
      <w:r w:rsidRPr="004B70EC">
        <w:rPr>
          <w:rFonts w:ascii="Arial" w:hAnsi="Arial" w:cs="Arial"/>
          <w:lang w:val="es-ES_tradnl"/>
        </w:rPr>
        <w:tab/>
      </w:r>
      <w:r w:rsidRPr="004B70EC">
        <w:rPr>
          <w:rFonts w:ascii="Arial" w:hAnsi="Arial" w:cs="Arial"/>
          <w:lang w:val="es-ES_tradnl"/>
        </w:rPr>
        <w:tab/>
        <w:t xml:space="preserve"> 5% </w:t>
      </w:r>
    </w:p>
    <w:p w:rsidR="004B70EC" w:rsidRPr="004B70EC" w:rsidRDefault="004B70EC" w:rsidP="004B70EC">
      <w:pPr>
        <w:jc w:val="both"/>
        <w:rPr>
          <w:rFonts w:ascii="Arial" w:hAnsi="Arial" w:cs="Arial"/>
          <w:lang w:val="es-ES_tradnl"/>
        </w:rPr>
      </w:pPr>
      <w:r w:rsidRPr="004B70EC">
        <w:rPr>
          <w:rFonts w:ascii="Arial" w:hAnsi="Arial" w:cs="Arial"/>
          <w:lang w:val="es-ES_tradnl"/>
        </w:rPr>
        <w:t>Universidad Nacional, sede Palmira</w:t>
      </w:r>
      <w:r w:rsidRPr="004B70EC">
        <w:rPr>
          <w:rFonts w:ascii="Arial" w:hAnsi="Arial" w:cs="Arial"/>
          <w:lang w:val="es-ES_tradnl"/>
        </w:rPr>
        <w:tab/>
        <w:t xml:space="preserve"> 5%</w:t>
      </w:r>
    </w:p>
    <w:p w:rsidR="004B70EC" w:rsidRPr="004B70EC" w:rsidRDefault="004B70EC" w:rsidP="004B70EC">
      <w:pPr>
        <w:spacing w:line="360" w:lineRule="auto"/>
        <w:jc w:val="both"/>
        <w:rPr>
          <w:rFonts w:ascii="Arial" w:hAnsi="Arial" w:cs="Arial"/>
          <w:lang w:val="es-ES_tradnl"/>
        </w:rPr>
      </w:pPr>
      <w:r w:rsidRPr="004B70EC">
        <w:rPr>
          <w:rFonts w:ascii="Arial" w:hAnsi="Arial" w:cs="Arial"/>
          <w:lang w:val="es-ES_tradnl"/>
        </w:rPr>
        <w:t xml:space="preserve">  </w:t>
      </w: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Tabla 2. Distribución recaudos por concepto de Estampilla Pro Universidad del Valle entre sus beneficiarios</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 xml:space="preserve">Periodo 1991 – 2017 </w:t>
      </w:r>
    </w:p>
    <w:p w:rsidR="004B70EC" w:rsidRPr="004B70EC" w:rsidRDefault="004B70EC" w:rsidP="004B70EC">
      <w:pPr>
        <w:jc w:val="center"/>
        <w:rPr>
          <w:rFonts w:ascii="Arial" w:hAnsi="Arial" w:cs="Arial"/>
          <w:sz w:val="20"/>
          <w:szCs w:val="20"/>
          <w:lang w:val="es-ES_tradnl"/>
        </w:rPr>
      </w:pPr>
      <w:r w:rsidRPr="004B70EC">
        <w:rPr>
          <w:rFonts w:ascii="Arial" w:hAnsi="Arial" w:cs="Arial"/>
          <w:sz w:val="20"/>
          <w:szCs w:val="20"/>
          <w:lang w:val="es-ES_tradnl"/>
        </w:rPr>
        <w:t>Millones de pesos</w:t>
      </w:r>
    </w:p>
    <w:p w:rsidR="004B70EC" w:rsidRPr="004B70EC" w:rsidRDefault="004B70EC" w:rsidP="004B70EC">
      <w:pPr>
        <w:spacing w:line="360" w:lineRule="auto"/>
        <w:jc w:val="center"/>
        <w:rPr>
          <w:rFonts w:ascii="Arial" w:hAnsi="Arial" w:cs="Arial"/>
          <w:lang w:val="es-ES_tradnl"/>
        </w:rPr>
      </w:pPr>
      <w:r w:rsidRPr="004B70EC">
        <w:rPr>
          <w:rFonts w:ascii="Arial" w:hAnsi="Arial" w:cs="Arial"/>
          <w:noProof/>
          <w:lang w:val="es-CO" w:eastAsia="es-CO"/>
        </w:rPr>
        <w:drawing>
          <wp:inline distT="0" distB="0" distL="0" distR="0" wp14:anchorId="037B0CB9" wp14:editId="22A3C11E">
            <wp:extent cx="3686175" cy="400050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86175" cy="4000500"/>
                    </a:xfrm>
                    <a:prstGeom prst="rect">
                      <a:avLst/>
                    </a:prstGeom>
                    <a:noFill/>
                    <a:ln>
                      <a:noFill/>
                    </a:ln>
                  </pic:spPr>
                </pic:pic>
              </a:graphicData>
            </a:graphic>
          </wp:inline>
        </w:drawing>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Dada la facultad que el artículo 4°, Ley 26 de 1990, otorgó los municipios del Departamento para autorizar el cobro de la estampilla, la Universidad promovió la expedición de (15) Acuerdos Municipales, de los que están vigentes (10),  que tienen como objetivo coadyuvar al fortalecimiento del sistema de regionalización de la Universidad. </w:t>
      </w:r>
    </w:p>
    <w:p w:rsidR="004B70EC" w:rsidRPr="004B70EC" w:rsidRDefault="004B70EC" w:rsidP="004B70EC">
      <w:pPr>
        <w:jc w:val="both"/>
        <w:rPr>
          <w:rFonts w:ascii="Arial" w:hAnsi="Arial" w:cs="Arial"/>
          <w:lang w:val="es-ES_tradnl"/>
        </w:rPr>
      </w:pPr>
      <w:r w:rsidRPr="004B70EC">
        <w:rPr>
          <w:rFonts w:ascii="Arial" w:hAnsi="Arial" w:cs="Arial"/>
          <w:lang w:val="es-ES_tradnl"/>
        </w:rPr>
        <w:t>Es así como el recaudo de la estampilla Pro Universidad del Valle, desde el ámbito territorial que lo origina, es decir, recaudado por entidades de orden departamental o municipal, se puede clasificar para determinar el aporte que cada uno significa para la renta y sus beneficiarios.</w:t>
      </w: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 xml:space="preserve">Tabla 3. Origen territorial de los recaudos Estampilla Pro Universidad del Valle </w:t>
      </w:r>
    </w:p>
    <w:p w:rsidR="004B70EC" w:rsidRPr="004B70EC" w:rsidRDefault="004B70EC" w:rsidP="004B70EC">
      <w:pPr>
        <w:jc w:val="center"/>
        <w:rPr>
          <w:rFonts w:ascii="Arial" w:hAnsi="Arial" w:cs="Arial"/>
          <w:b/>
          <w:lang w:val="es-ES_tradnl"/>
        </w:rPr>
      </w:pPr>
      <w:r w:rsidRPr="004B70EC">
        <w:rPr>
          <w:rFonts w:ascii="Arial" w:hAnsi="Arial" w:cs="Arial"/>
          <w:b/>
          <w:lang w:val="es-ES_tradnl"/>
        </w:rPr>
        <w:t xml:space="preserve">Periodo 1991 – 2017 </w:t>
      </w:r>
    </w:p>
    <w:p w:rsidR="004B70EC" w:rsidRPr="004B70EC" w:rsidRDefault="004B70EC" w:rsidP="004B70EC">
      <w:pPr>
        <w:jc w:val="center"/>
        <w:rPr>
          <w:rFonts w:ascii="Arial" w:hAnsi="Arial" w:cs="Arial"/>
          <w:sz w:val="20"/>
          <w:szCs w:val="20"/>
          <w:lang w:val="es-ES_tradnl"/>
        </w:rPr>
      </w:pPr>
      <w:r w:rsidRPr="004B70EC">
        <w:rPr>
          <w:rFonts w:ascii="Arial" w:hAnsi="Arial" w:cs="Arial"/>
          <w:sz w:val="20"/>
          <w:szCs w:val="20"/>
          <w:lang w:val="es-ES_tradnl"/>
        </w:rPr>
        <w:t>Millones de pesos</w:t>
      </w:r>
    </w:p>
    <w:p w:rsidR="004B70EC" w:rsidRPr="004B70EC" w:rsidRDefault="004B70EC" w:rsidP="004B70EC">
      <w:pPr>
        <w:spacing w:line="360" w:lineRule="auto"/>
        <w:jc w:val="center"/>
        <w:rPr>
          <w:rFonts w:ascii="Arial" w:hAnsi="Arial" w:cs="Arial"/>
          <w:lang w:val="es-ES_tradnl"/>
        </w:rPr>
      </w:pPr>
      <w:r w:rsidRPr="004B70EC">
        <w:rPr>
          <w:rFonts w:ascii="Arial" w:hAnsi="Arial" w:cs="Arial"/>
          <w:noProof/>
          <w:lang w:val="es-CO" w:eastAsia="es-CO"/>
        </w:rPr>
        <w:drawing>
          <wp:inline distT="0" distB="0" distL="0" distR="0" wp14:anchorId="7F34604E" wp14:editId="175F8A52">
            <wp:extent cx="3876675" cy="100012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76675" cy="1000125"/>
                    </a:xfrm>
                    <a:prstGeom prst="rect">
                      <a:avLst/>
                    </a:prstGeom>
                    <a:noFill/>
                    <a:ln>
                      <a:noFill/>
                    </a:ln>
                  </pic:spPr>
                </pic:pic>
              </a:graphicData>
            </a:graphic>
          </wp:inline>
        </w:drawing>
      </w:r>
    </w:p>
    <w:p w:rsidR="004B70EC" w:rsidRPr="004B70EC" w:rsidRDefault="004B70EC" w:rsidP="004B70EC">
      <w:pPr>
        <w:jc w:val="both"/>
        <w:rPr>
          <w:rFonts w:ascii="Arial" w:hAnsi="Arial" w:cs="Arial"/>
          <w:b/>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La Universidad del Valle, amparada en las disposiciones de la Ley 26 que facultó en su artículo 4° a los Concejos Municipales, para que previa reglamentación de la Asamblea, hicieran obligatorio el uso de la estampilla, ha promovido la firma de Acuerdos, especialmente en las ciudades cabeceras municipales en las se están ubicadas las sedes regionales, como un mecanismo de contraprestación y estrategia de consolidación del sistema de regionalización, que ha sido reconocido como uno de los mejores del país. </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 xml:space="preserve">Tabla 4. Listado Acuerdos Municipales que autorizan cobro de la Estampilla Pro Universidad del Valle </w:t>
      </w:r>
    </w:p>
    <w:p w:rsidR="004B70EC" w:rsidRPr="004B70EC" w:rsidRDefault="004B70EC" w:rsidP="004B70EC">
      <w:pPr>
        <w:spacing w:line="360" w:lineRule="auto"/>
        <w:jc w:val="both"/>
        <w:rPr>
          <w:rFonts w:ascii="Arial" w:hAnsi="Arial" w:cs="Arial"/>
          <w:lang w:val="es-ES_tradnl"/>
        </w:rPr>
      </w:pPr>
      <w:r w:rsidRPr="004B70EC">
        <w:rPr>
          <w:rFonts w:ascii="Arial" w:hAnsi="Arial" w:cs="Arial"/>
          <w:noProof/>
          <w:sz w:val="22"/>
          <w:szCs w:val="22"/>
          <w:lang w:val="es-CO" w:eastAsia="es-CO"/>
        </w:rPr>
        <w:drawing>
          <wp:anchor distT="0" distB="0" distL="114300" distR="114300" simplePos="0" relativeHeight="251676672" behindDoc="0" locked="0" layoutInCell="1" allowOverlap="1" wp14:anchorId="474A3A8A" wp14:editId="05B4964E">
            <wp:simplePos x="0" y="0"/>
            <wp:positionH relativeFrom="column">
              <wp:posOffset>381635</wp:posOffset>
            </wp:positionH>
            <wp:positionV relativeFrom="paragraph">
              <wp:posOffset>123825</wp:posOffset>
            </wp:positionV>
            <wp:extent cx="4790440" cy="3037205"/>
            <wp:effectExtent l="0" t="0" r="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90440" cy="3037205"/>
                    </a:xfrm>
                    <a:prstGeom prst="rect">
                      <a:avLst/>
                    </a:prstGeom>
                    <a:noFill/>
                  </pic:spPr>
                </pic:pic>
              </a:graphicData>
            </a:graphic>
            <wp14:sizeRelH relativeFrom="margin">
              <wp14:pctWidth>0</wp14:pctWidth>
            </wp14:sizeRelH>
            <wp14:sizeRelV relativeFrom="margin">
              <wp14:pctHeight>0</wp14:pctHeight>
            </wp14:sizeRelV>
          </wp:anchor>
        </w:drawing>
      </w: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Default="004B70EC" w:rsidP="004B70EC">
      <w:pPr>
        <w:spacing w:line="360" w:lineRule="auto"/>
        <w:jc w:val="both"/>
        <w:rPr>
          <w:rFonts w:ascii="Arial" w:hAnsi="Arial" w:cs="Arial"/>
          <w:lang w:val="es-ES_tradnl"/>
        </w:rPr>
      </w:pPr>
    </w:p>
    <w:p w:rsidR="004B70EC" w:rsidRPr="004B70EC" w:rsidRDefault="004B70EC" w:rsidP="004B70EC">
      <w:pPr>
        <w:spacing w:line="360" w:lineRule="auto"/>
        <w:jc w:val="both"/>
        <w:rPr>
          <w:rFonts w:ascii="Arial" w:hAnsi="Arial" w:cs="Arial"/>
          <w:lang w:val="es-ES_tradnl"/>
        </w:rPr>
      </w:pPr>
    </w:p>
    <w:p w:rsidR="004B70EC" w:rsidRPr="004B70EC" w:rsidRDefault="004B70EC" w:rsidP="004B70EC">
      <w:pPr>
        <w:jc w:val="both"/>
        <w:rPr>
          <w:rFonts w:ascii="Arial" w:hAnsi="Arial" w:cs="Arial"/>
          <w:sz w:val="14"/>
          <w:lang w:val="es-ES_tradnl"/>
        </w:rPr>
      </w:pPr>
      <w:r w:rsidRPr="004B70EC">
        <w:rPr>
          <w:rFonts w:ascii="Arial" w:hAnsi="Arial" w:cs="Arial"/>
          <w:sz w:val="14"/>
          <w:lang w:val="es-ES_tradnl"/>
        </w:rPr>
        <w:t>Fuente: Área de recaudos, división financiera, 2018.</w:t>
      </w:r>
    </w:p>
    <w:p w:rsidR="004B70EC" w:rsidRPr="004B70EC" w:rsidRDefault="004B70EC" w:rsidP="004B70EC">
      <w:pPr>
        <w:jc w:val="both"/>
        <w:rPr>
          <w:rFonts w:ascii="Arial" w:hAnsi="Arial" w:cs="Arial"/>
          <w:sz w:val="14"/>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El aporte de estos municipios ha sido fundamental para lograr los niveles de ingresos registrados, los que a su vez se canalizan y agrupan, según al distrito, como división geográfica, al que corresponda el respectivo municipio, para determinar los recursos asignados a cada sede regional. </w:t>
      </w: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Cuando se refiere al municipio, éste contempla tanto la administración central como sus entidades descentralizadas de todo orden y naturaleza jurídica. </w:t>
      </w:r>
    </w:p>
    <w:p w:rsidR="004B70EC" w:rsidRPr="004B70EC" w:rsidRDefault="004B70EC" w:rsidP="004B70EC">
      <w:pPr>
        <w:jc w:val="both"/>
        <w:rPr>
          <w:rFonts w:ascii="Arial" w:hAnsi="Arial" w:cs="Arial"/>
          <w:lang w:val="es-ES_tradnl"/>
        </w:rPr>
      </w:pPr>
      <w:r w:rsidRPr="004B70EC">
        <w:rPr>
          <w:rFonts w:ascii="Arial" w:hAnsi="Arial" w:cs="Arial"/>
          <w:lang w:val="es-ES_tradnl"/>
        </w:rPr>
        <w:t>El mayor contribuyente a los recaudos de la estampilla Pro Universidad del Valle lo constituye el Municipio de Santiago de Cali.</w:t>
      </w:r>
    </w:p>
    <w:p w:rsidR="004B70EC" w:rsidRDefault="004B70EC" w:rsidP="004B70EC">
      <w:pPr>
        <w:jc w:val="both"/>
        <w:rPr>
          <w:rFonts w:ascii="Arial" w:hAnsi="Arial" w:cs="Arial"/>
          <w:b/>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 xml:space="preserve">Tabla 5. Aportes de origen Municipal al recaudo de Estampilla Pro Universidad del Valle Periodo 1991 – 2017 </w:t>
      </w:r>
    </w:p>
    <w:p w:rsidR="004B70EC" w:rsidRPr="004B70EC" w:rsidRDefault="004B70EC" w:rsidP="004B70EC">
      <w:pPr>
        <w:jc w:val="center"/>
        <w:rPr>
          <w:rFonts w:ascii="Arial" w:hAnsi="Arial" w:cs="Arial"/>
          <w:sz w:val="20"/>
          <w:szCs w:val="20"/>
          <w:lang w:val="es-ES_tradnl"/>
        </w:rPr>
      </w:pPr>
      <w:r w:rsidRPr="004B70EC">
        <w:rPr>
          <w:rFonts w:ascii="Arial" w:hAnsi="Arial" w:cs="Arial"/>
          <w:sz w:val="20"/>
          <w:szCs w:val="20"/>
          <w:lang w:val="es-ES_tradnl"/>
        </w:rPr>
        <w:t>Millones de pesos</w:t>
      </w:r>
    </w:p>
    <w:p w:rsidR="004B70EC" w:rsidRPr="004B70EC" w:rsidRDefault="004B70EC" w:rsidP="004B70EC">
      <w:pPr>
        <w:spacing w:line="360" w:lineRule="auto"/>
        <w:jc w:val="center"/>
        <w:rPr>
          <w:rFonts w:ascii="Arial" w:hAnsi="Arial" w:cs="Arial"/>
          <w:lang w:val="es-ES_tradnl"/>
        </w:rPr>
      </w:pPr>
      <w:r w:rsidRPr="004B70EC">
        <w:rPr>
          <w:rFonts w:ascii="Arial" w:hAnsi="Arial" w:cs="Arial"/>
          <w:noProof/>
          <w:lang w:val="es-CO" w:eastAsia="es-CO"/>
        </w:rPr>
        <w:drawing>
          <wp:inline distT="0" distB="0" distL="0" distR="0" wp14:anchorId="7BF6DD76" wp14:editId="489B01BC">
            <wp:extent cx="2600325" cy="249555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00325" cy="2495550"/>
                    </a:xfrm>
                    <a:prstGeom prst="rect">
                      <a:avLst/>
                    </a:prstGeom>
                    <a:noFill/>
                    <a:ln>
                      <a:noFill/>
                    </a:ln>
                  </pic:spPr>
                </pic:pic>
              </a:graphicData>
            </a:graphic>
          </wp:inline>
        </w:drawing>
      </w:r>
    </w:p>
    <w:p w:rsidR="004B70EC" w:rsidRDefault="004B70EC" w:rsidP="004B70EC">
      <w:pPr>
        <w:jc w:val="both"/>
        <w:rPr>
          <w:rFonts w:ascii="Arial" w:hAnsi="Arial" w:cs="Arial"/>
          <w:b/>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 xml:space="preserve">Tabla 6. Aportes de origen Municipal al recaudo de Estampilla Pro Universidad del Valle asignados a cada sede regional de la Universidad del Valle Periodo 1991 – 2017 </w:t>
      </w:r>
    </w:p>
    <w:p w:rsidR="004B70EC" w:rsidRPr="004B70EC" w:rsidRDefault="004B70EC" w:rsidP="004B70EC">
      <w:pPr>
        <w:jc w:val="center"/>
        <w:rPr>
          <w:rFonts w:ascii="Arial" w:hAnsi="Arial" w:cs="Arial"/>
          <w:sz w:val="20"/>
          <w:szCs w:val="20"/>
          <w:lang w:val="es-ES_tradnl"/>
        </w:rPr>
      </w:pPr>
      <w:r w:rsidRPr="004B70EC">
        <w:rPr>
          <w:rFonts w:ascii="Arial" w:hAnsi="Arial" w:cs="Arial"/>
          <w:sz w:val="20"/>
          <w:szCs w:val="20"/>
          <w:lang w:val="es-ES_tradnl"/>
        </w:rPr>
        <w:t>Millones de pesos</w:t>
      </w:r>
    </w:p>
    <w:p w:rsidR="004B70EC" w:rsidRPr="004B70EC" w:rsidRDefault="004B70EC" w:rsidP="004B70EC">
      <w:pPr>
        <w:spacing w:line="360" w:lineRule="auto"/>
        <w:jc w:val="center"/>
        <w:rPr>
          <w:rFonts w:ascii="Arial" w:hAnsi="Arial" w:cs="Arial"/>
          <w:lang w:val="es-ES_tradnl"/>
        </w:rPr>
      </w:pPr>
      <w:r w:rsidRPr="004B70EC">
        <w:rPr>
          <w:rFonts w:ascii="Arial" w:hAnsi="Arial" w:cs="Arial"/>
          <w:noProof/>
          <w:lang w:val="es-CO" w:eastAsia="es-CO"/>
        </w:rPr>
        <w:drawing>
          <wp:inline distT="0" distB="0" distL="0" distR="0" wp14:anchorId="7D9E6B86" wp14:editId="418FF8E7">
            <wp:extent cx="3038475" cy="2238375"/>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38475" cy="2238375"/>
                    </a:xfrm>
                    <a:prstGeom prst="rect">
                      <a:avLst/>
                    </a:prstGeom>
                    <a:noFill/>
                    <a:ln>
                      <a:noFill/>
                    </a:ln>
                  </pic:spPr>
                </pic:pic>
              </a:graphicData>
            </a:graphic>
          </wp:inline>
        </w:drawing>
      </w:r>
    </w:p>
    <w:p w:rsid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Al ritmo del recaudo actual, se ha estimado que se alcanzará el techo de vigencia en tres y medio años, mediados de 2021, por lo cual urge que la Universidad del Valle tramite una modificación a la Ley, con el propósito de ampliar el monto a recaudar o en su defecto que el Estado compense el valor anual de estos ingresos, adicionándolo a la base presupuestal de los recursos que vía transferencia le aporta.</w:t>
      </w:r>
    </w:p>
    <w:p w:rsidR="004B70EC" w:rsidRDefault="004B70EC" w:rsidP="004B70EC">
      <w:pPr>
        <w:jc w:val="both"/>
        <w:rPr>
          <w:rFonts w:ascii="Arial" w:hAnsi="Arial" w:cs="Arial"/>
          <w:b/>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Figura 2. Estimado tiempo vigencia estampilla Pro Universidad del Valle</w:t>
      </w:r>
    </w:p>
    <w:p w:rsidR="004B70EC" w:rsidRPr="004B70EC" w:rsidRDefault="004B70EC" w:rsidP="004B70EC">
      <w:pPr>
        <w:spacing w:line="360" w:lineRule="auto"/>
        <w:jc w:val="center"/>
        <w:rPr>
          <w:rFonts w:ascii="Arial" w:hAnsi="Arial" w:cs="Arial"/>
          <w:lang w:val="es-ES_tradnl"/>
        </w:rPr>
      </w:pPr>
      <w:r w:rsidRPr="004B70EC">
        <w:rPr>
          <w:rFonts w:ascii="Arial" w:hAnsi="Arial" w:cs="Arial"/>
          <w:noProof/>
          <w:lang w:val="es-CO" w:eastAsia="es-CO"/>
        </w:rPr>
        <w:drawing>
          <wp:inline distT="0" distB="0" distL="0" distR="0" wp14:anchorId="4B4C8E1C" wp14:editId="52F499FE">
            <wp:extent cx="4162425" cy="2990850"/>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62425" cy="2990850"/>
                    </a:xfrm>
                    <a:prstGeom prst="rect">
                      <a:avLst/>
                    </a:prstGeom>
                    <a:noFill/>
                    <a:ln>
                      <a:noFill/>
                    </a:ln>
                  </pic:spPr>
                </pic:pic>
              </a:graphicData>
            </a:graphic>
          </wp:inline>
        </w:drawing>
      </w:r>
    </w:p>
    <w:p w:rsidR="004B70EC" w:rsidRPr="004B70EC" w:rsidRDefault="004B70EC" w:rsidP="004B70EC">
      <w:pPr>
        <w:spacing w:line="360" w:lineRule="auto"/>
        <w:jc w:val="center"/>
        <w:rPr>
          <w:rFonts w:ascii="Arial" w:hAnsi="Arial" w:cs="Arial"/>
          <w:sz w:val="21"/>
          <w:lang w:val="es-ES_tradnl"/>
        </w:rPr>
      </w:pPr>
      <w:r w:rsidRPr="004B70EC">
        <w:rPr>
          <w:rFonts w:ascii="Arial" w:hAnsi="Arial" w:cs="Arial"/>
          <w:sz w:val="21"/>
          <w:lang w:val="es-ES_tradnl"/>
        </w:rPr>
        <w:t>Fuente: División financiera, 2018.</w:t>
      </w:r>
    </w:p>
    <w:p w:rsidR="004B70EC" w:rsidRPr="004B70EC" w:rsidRDefault="004B70EC" w:rsidP="004B70EC">
      <w:pPr>
        <w:jc w:val="both"/>
        <w:rPr>
          <w:rFonts w:ascii="Arial" w:hAnsi="Arial" w:cs="Arial"/>
          <w:szCs w:val="22"/>
          <w:shd w:val="clear" w:color="auto" w:fill="FFFFFF"/>
          <w:lang w:val="es-ES_tradnl"/>
        </w:rPr>
      </w:pPr>
      <w:r w:rsidRPr="004B70EC">
        <w:rPr>
          <w:rFonts w:ascii="Arial" w:hAnsi="Arial" w:cs="Arial"/>
          <w:lang w:val="es-ES_tradnl"/>
        </w:rPr>
        <w:t xml:space="preserve">Estas Leyes han permitido que la Universidad del Valle mantenga el ritmo de inversión necesario para seguir afianzándose como una de las mejores universidades públicas del país y la mejor del suroccidente colombiano, a través de la inversión en mejoramiento y  mantenimiento de la planta física; en la actualización y dotación de laboratorios y bibliotecas; en el afianzamiento de la investigación, que le ha permitido ser </w:t>
      </w:r>
      <w:r w:rsidRPr="004B70EC">
        <w:rPr>
          <w:rFonts w:ascii="Arial" w:hAnsi="Arial" w:cs="Arial"/>
          <w:shd w:val="clear" w:color="auto" w:fill="FFFFFF"/>
          <w:lang w:val="es-ES_tradnl"/>
        </w:rPr>
        <w:t>considerada como una de las mejores universidad del país, según el ranking de Sapiens Research. De igual ha permitido ampliar la cobertura educativa y fortalecer el sistema de regionalización.</w:t>
      </w:r>
    </w:p>
    <w:p w:rsidR="004B70EC" w:rsidRPr="004B70EC" w:rsidRDefault="004B70EC" w:rsidP="004B70EC">
      <w:pPr>
        <w:jc w:val="both"/>
        <w:rPr>
          <w:rFonts w:ascii="Arial" w:hAnsi="Arial" w:cs="Arial"/>
          <w:shd w:val="clear" w:color="auto" w:fill="FFFFFF"/>
          <w:lang w:val="es-ES_tradnl"/>
        </w:rPr>
      </w:pPr>
    </w:p>
    <w:p w:rsidR="004B70EC" w:rsidRPr="004B70EC" w:rsidRDefault="004B70EC" w:rsidP="004B70EC">
      <w:pPr>
        <w:jc w:val="both"/>
        <w:rPr>
          <w:rFonts w:ascii="Arial" w:hAnsi="Arial" w:cs="Arial"/>
          <w:color w:val="FF0000"/>
          <w:highlight w:val="yellow"/>
          <w:lang w:val="es-ES_tradnl"/>
        </w:rPr>
      </w:pPr>
    </w:p>
    <w:p w:rsidR="004B70EC" w:rsidRPr="004B70EC" w:rsidRDefault="004B70EC" w:rsidP="004B70EC">
      <w:pPr>
        <w:jc w:val="both"/>
        <w:rPr>
          <w:rFonts w:ascii="Arial" w:hAnsi="Arial" w:cs="Arial"/>
          <w:color w:val="FF0000"/>
          <w:highlight w:val="yellow"/>
          <w:lang w:val="es-ES_tradnl"/>
        </w:rPr>
      </w:pPr>
    </w:p>
    <w:p w:rsidR="004B70EC" w:rsidRPr="004B70EC" w:rsidRDefault="004B70EC" w:rsidP="004B70EC">
      <w:pPr>
        <w:pStyle w:val="Ttulo2"/>
        <w:numPr>
          <w:ilvl w:val="0"/>
          <w:numId w:val="34"/>
        </w:numPr>
        <w:jc w:val="both"/>
        <w:rPr>
          <w:rFonts w:ascii="Arial" w:hAnsi="Arial" w:cs="Arial"/>
          <w:lang w:val="es-ES_tradnl"/>
        </w:rPr>
      </w:pPr>
      <w:r w:rsidRPr="004B70EC">
        <w:rPr>
          <w:rFonts w:ascii="Arial" w:hAnsi="Arial" w:cs="Arial"/>
          <w:lang w:val="es-ES_tradnl"/>
        </w:rPr>
        <w:t>Inversión con recursos de Estampilla Pro Universidad del Valle</w:t>
      </w:r>
      <w:r w:rsidRPr="004B70EC">
        <w:rPr>
          <w:rStyle w:val="Refdenotaalpie"/>
          <w:rFonts w:ascii="Arial" w:hAnsi="Arial" w:cs="Arial"/>
          <w:szCs w:val="24"/>
          <w:lang w:val="es-ES_tradnl"/>
        </w:rPr>
        <w:footnoteReference w:id="1"/>
      </w:r>
    </w:p>
    <w:p w:rsidR="004B70EC" w:rsidRPr="004B70EC" w:rsidRDefault="004B70EC" w:rsidP="004B70EC">
      <w:pPr>
        <w:jc w:val="both"/>
        <w:rPr>
          <w:rFonts w:ascii="Arial" w:hAnsi="Arial" w:cs="Arial"/>
          <w:color w:val="FF0000"/>
          <w:highlight w:val="yellow"/>
          <w:lang w:val="es-ES_tradnl"/>
        </w:rPr>
      </w:pPr>
    </w:p>
    <w:p w:rsidR="004B70EC" w:rsidRPr="004B70EC" w:rsidRDefault="004B70EC" w:rsidP="004B70EC">
      <w:pPr>
        <w:jc w:val="both"/>
        <w:rPr>
          <w:rFonts w:ascii="Arial" w:hAnsi="Arial" w:cs="Arial"/>
          <w:lang w:val="es-ES_tradnl" w:eastAsia="es-CO"/>
        </w:rPr>
      </w:pPr>
      <w:r w:rsidRPr="004B70EC">
        <w:rPr>
          <w:rFonts w:ascii="Arial" w:hAnsi="Arial" w:cs="Arial"/>
          <w:lang w:val="es-ES_tradnl" w:eastAsia="es-CO"/>
        </w:rPr>
        <w:t>La inversión con recursos de Estampilla Pro-Univalle se rige a partir de los lineamientos definidos en los planes de desarrollo de la Universidad. En el Plan de Desarrollo de la Universidad del Valle 1986-2000 se especificaron las necesidades de inversión en planta física, nuevas construcciones y mantenimiento, dotación de equipos (herramientas, dotación de laboratorios, bibliotecas, entre otros) y centro de cómputo. (Ver Tabla).</w:t>
      </w:r>
    </w:p>
    <w:p w:rsidR="004B70EC" w:rsidRPr="004B70EC" w:rsidRDefault="004B70EC" w:rsidP="004B70EC">
      <w:pPr>
        <w:jc w:val="both"/>
        <w:rPr>
          <w:rFonts w:ascii="Arial" w:hAnsi="Arial" w:cs="Arial"/>
          <w:lang w:val="es-ES_tradnl" w:eastAsia="es-CO"/>
        </w:rPr>
      </w:pPr>
    </w:p>
    <w:p w:rsidR="004B70EC" w:rsidRPr="004B70EC" w:rsidRDefault="004B70EC" w:rsidP="004B70EC">
      <w:pPr>
        <w:pStyle w:val="Estilo1"/>
        <w:spacing w:line="240" w:lineRule="auto"/>
        <w:jc w:val="both"/>
        <w:rPr>
          <w:rFonts w:ascii="Arial" w:hAnsi="Arial" w:cs="Arial"/>
          <w:sz w:val="22"/>
          <w:lang w:val="es-ES_tradnl"/>
        </w:rPr>
      </w:pPr>
      <w:bookmarkStart w:id="2" w:name="_Toc455691576"/>
      <w:r w:rsidRPr="004B70EC">
        <w:rPr>
          <w:rFonts w:ascii="Arial" w:hAnsi="Arial" w:cs="Arial"/>
          <w:b/>
          <w:sz w:val="22"/>
          <w:lang w:val="es-ES_tradnl"/>
        </w:rPr>
        <w:t>Tabla 7.</w:t>
      </w:r>
      <w:r w:rsidRPr="004B70EC">
        <w:rPr>
          <w:rFonts w:ascii="Arial" w:hAnsi="Arial" w:cs="Arial"/>
          <w:sz w:val="22"/>
          <w:lang w:val="es-ES_tradnl"/>
        </w:rPr>
        <w:t xml:space="preserve"> Resumen ejes para la inversión Plan de Desarrollo 1986 - 2000</w:t>
      </w:r>
      <w:bookmarkEnd w:id="2"/>
    </w:p>
    <w:tbl>
      <w:tblPr>
        <w:tblStyle w:val="Cuadrculaclara"/>
        <w:tblW w:w="8897" w:type="dxa"/>
        <w:tblLook w:val="04A0" w:firstRow="1" w:lastRow="0" w:firstColumn="1" w:lastColumn="0" w:noHBand="0" w:noVBand="1"/>
      </w:tblPr>
      <w:tblGrid>
        <w:gridCol w:w="2502"/>
        <w:gridCol w:w="6395"/>
      </w:tblGrid>
      <w:tr w:rsidR="004B70EC" w:rsidRPr="004B70EC" w:rsidTr="004B70E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noWrap/>
            <w:hideMark/>
          </w:tcPr>
          <w:p w:rsidR="004B70EC" w:rsidRPr="004B70EC" w:rsidRDefault="004B70EC">
            <w:pPr>
              <w:rPr>
                <w:rFonts w:ascii="Arial" w:hAnsi="Arial" w:cs="Arial"/>
                <w:b w:val="0"/>
                <w:bCs w:val="0"/>
                <w:color w:val="000000"/>
                <w:sz w:val="18"/>
                <w:szCs w:val="20"/>
                <w:lang w:val="es-ES_tradnl" w:eastAsia="es-CO"/>
              </w:rPr>
            </w:pPr>
            <w:r w:rsidRPr="004B70EC">
              <w:rPr>
                <w:rFonts w:ascii="Arial" w:hAnsi="Arial" w:cs="Arial"/>
                <w:color w:val="000000"/>
                <w:sz w:val="18"/>
                <w:szCs w:val="20"/>
                <w:lang w:val="es-ES_tradnl" w:eastAsia="es-CO"/>
              </w:rPr>
              <w:t>Plan de Desarrollo Universidad del Valle 1986-2000</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noWrap/>
            <w:hideMark/>
          </w:tcPr>
          <w:p w:rsidR="004B70EC" w:rsidRPr="004B70EC" w:rsidRDefault="004B70EC">
            <w:pPr>
              <w:rPr>
                <w:rFonts w:ascii="Arial" w:hAnsi="Arial" w:cs="Arial"/>
                <w:color w:val="000000"/>
                <w:sz w:val="18"/>
                <w:szCs w:val="20"/>
                <w:u w:val="single"/>
                <w:lang w:val="es-ES_tradnl" w:eastAsia="es-CO"/>
              </w:rPr>
            </w:pPr>
            <w:r w:rsidRPr="004B70EC">
              <w:rPr>
                <w:rFonts w:ascii="Arial" w:hAnsi="Arial" w:cs="Arial"/>
                <w:color w:val="000000"/>
                <w:sz w:val="18"/>
                <w:szCs w:val="20"/>
                <w:u w:val="single"/>
                <w:lang w:val="es-ES_tradnl" w:eastAsia="es-CO"/>
              </w:rPr>
              <w:t>Propósito:</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8897" w:type="dxa"/>
            <w:gridSpan w:val="2"/>
            <w:hideMark/>
          </w:tcPr>
          <w:p w:rsidR="004B70EC" w:rsidRPr="004B70EC" w:rsidRDefault="004B70EC">
            <w:pPr>
              <w:rPr>
                <w:rFonts w:ascii="Arial" w:hAnsi="Arial" w:cs="Arial"/>
                <w:b w:val="0"/>
                <w:color w:val="000000"/>
                <w:sz w:val="18"/>
                <w:szCs w:val="20"/>
                <w:lang w:val="es-ES_tradnl" w:eastAsia="es-CO"/>
              </w:rPr>
            </w:pPr>
            <w:r w:rsidRPr="004B70EC">
              <w:rPr>
                <w:rFonts w:ascii="Arial" w:hAnsi="Arial" w:cs="Arial"/>
                <w:b w:val="0"/>
                <w:color w:val="000000"/>
                <w:sz w:val="18"/>
                <w:szCs w:val="20"/>
                <w:lang w:val="es-ES_tradnl" w:eastAsia="es-CO"/>
              </w:rPr>
              <w:t>Establecer la formación, la investigación y proyectar la imagen institucional</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noWrap/>
            <w:hideMark/>
          </w:tcPr>
          <w:p w:rsidR="004B70EC" w:rsidRPr="004B70EC" w:rsidRDefault="004B70EC">
            <w:pPr>
              <w:rPr>
                <w:rFonts w:ascii="Arial" w:hAnsi="Arial" w:cs="Arial"/>
                <w:b w:val="0"/>
                <w:bCs w:val="0"/>
                <w:color w:val="000000"/>
                <w:sz w:val="18"/>
                <w:szCs w:val="20"/>
                <w:lang w:val="es-ES_tradnl" w:eastAsia="es-CO"/>
              </w:rPr>
            </w:pPr>
            <w:r w:rsidRPr="004B70EC">
              <w:rPr>
                <w:rFonts w:ascii="Arial" w:hAnsi="Arial" w:cs="Arial"/>
                <w:color w:val="000000"/>
                <w:sz w:val="18"/>
                <w:szCs w:val="20"/>
                <w:lang w:val="es-ES_tradnl" w:eastAsia="es-CO"/>
              </w:rPr>
              <w:t xml:space="preserve">Ejes de inversión </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noWrap/>
            <w:hideMark/>
          </w:tcPr>
          <w:p w:rsidR="004B70EC" w:rsidRPr="004B70EC" w:rsidRDefault="004B70EC">
            <w:pPr>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1.1. Recursos físicos</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noWrap/>
            <w:hideMark/>
          </w:tcPr>
          <w:p w:rsidR="004B70EC" w:rsidRPr="004B70EC" w:rsidRDefault="004B70EC">
            <w:pPr>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1.2. Necesidades de planta física de las facultades</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02" w:type="dxa"/>
            <w:vMerge w:val="restart"/>
            <w:noWrap/>
            <w:hideMark/>
          </w:tcPr>
          <w:p w:rsidR="004B70EC" w:rsidRPr="004B70EC" w:rsidRDefault="004B70EC">
            <w:pPr>
              <w:rPr>
                <w:rFonts w:ascii="Arial" w:hAnsi="Arial" w:cs="Arial"/>
                <w:b w:val="0"/>
                <w:color w:val="000000"/>
                <w:sz w:val="18"/>
                <w:szCs w:val="20"/>
                <w:lang w:val="es-ES_tradnl" w:eastAsia="es-CO"/>
              </w:rPr>
            </w:pPr>
            <w:r w:rsidRPr="004B70EC">
              <w:rPr>
                <w:rFonts w:ascii="Arial" w:hAnsi="Arial" w:cs="Arial"/>
                <w:b w:val="0"/>
                <w:color w:val="000000"/>
                <w:sz w:val="18"/>
                <w:szCs w:val="20"/>
                <w:lang w:val="es-ES_tradnl" w:eastAsia="es-CO"/>
              </w:rPr>
              <w:t>1.3. Conservación de la estructura física</w:t>
            </w:r>
          </w:p>
        </w:tc>
        <w:tc>
          <w:tcPr>
            <w:tcW w:w="6395" w:type="dxa"/>
            <w:hideMark/>
          </w:tcPr>
          <w:p w:rsidR="004B70EC" w:rsidRPr="004B70EC" w:rsidRDefault="004B70E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Impermeabilización edificios Sede Meléndez</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Plan mantenimiento Sede San Fernando: rehabilitar edificios Medicina, Arquitectura, Administración, Departamento de Estomatología y edificio 130</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Construcción de un auditorio que permita la presentación de obras de teatro, conciertos, cine-club, conferencias</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Construcción de gimnasio polideportivo</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Construcción y dotación de una cafetería en San Fernando</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Rehabilitación del auditorio de la Facultad de Administración</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Sistema de comunicaciones para la sede Meléndez</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Proyecto de arborización de los espacios libres</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hideMark/>
          </w:tcPr>
          <w:p w:rsidR="004B70EC" w:rsidRPr="004B70EC" w:rsidRDefault="004B70EC">
            <w:pPr>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1.4. Desarrollo de espacios especiales</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hideMark/>
          </w:tcPr>
          <w:p w:rsidR="004B70EC" w:rsidRPr="004B70EC" w:rsidRDefault="004B70EC">
            <w:pPr>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1.5. Desarrollo físico de las sedes regionales</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02" w:type="dxa"/>
            <w:vMerge w:val="restart"/>
            <w:hideMark/>
          </w:tcPr>
          <w:p w:rsidR="004B70EC" w:rsidRPr="004B70EC" w:rsidRDefault="004B70EC">
            <w:pPr>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1.7. Requerimientos en equipos</w:t>
            </w:r>
          </w:p>
        </w:tc>
        <w:tc>
          <w:tcPr>
            <w:tcW w:w="6395" w:type="dxa"/>
            <w:hideMark/>
          </w:tcPr>
          <w:p w:rsidR="004B70EC" w:rsidRPr="004B70EC" w:rsidRDefault="004B70E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Adelantar un proyecto de equipamiento a nivel institucional</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Apoyar a las unidades para adelantar proyectos de construcción y mantenimiento de equipos</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 Dotación de los laboratorios centrales de la Universidad</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18"/>
                <w:szCs w:val="20"/>
                <w:lang w:val="es-ES_tradnl" w:eastAsia="es-CO"/>
              </w:rPr>
            </w:pPr>
            <w:r w:rsidRPr="004B70EC">
              <w:rPr>
                <w:rFonts w:ascii="Arial" w:hAnsi="Arial" w:cs="Arial"/>
                <w:bCs/>
                <w:color w:val="000000"/>
                <w:sz w:val="18"/>
                <w:szCs w:val="20"/>
                <w:lang w:val="es-ES_tradnl" w:eastAsia="es-CO"/>
              </w:rPr>
              <w:t>Identificar fuentes de financiación</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4B70EC" w:rsidRPr="004B70EC" w:rsidRDefault="004B70EC">
            <w:pPr>
              <w:rPr>
                <w:rFonts w:ascii="Arial" w:hAnsi="Arial" w:cs="Arial"/>
                <w:color w:val="000000"/>
                <w:sz w:val="18"/>
                <w:szCs w:val="20"/>
                <w:lang w:val="es-ES_tradnl" w:eastAsia="es-CO"/>
              </w:rPr>
            </w:pPr>
          </w:p>
        </w:tc>
        <w:tc>
          <w:tcPr>
            <w:tcW w:w="6395" w:type="dxa"/>
            <w:hideMark/>
          </w:tcPr>
          <w:p w:rsidR="004B70EC" w:rsidRPr="004B70EC" w:rsidRDefault="004B70EC">
            <w:pP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18"/>
                <w:szCs w:val="20"/>
                <w:lang w:val="es-ES_tradnl" w:eastAsia="es-CO"/>
              </w:rPr>
            </w:pPr>
            <w:r w:rsidRPr="004B70EC">
              <w:rPr>
                <w:rFonts w:ascii="Arial" w:hAnsi="Arial" w:cs="Arial"/>
                <w:bCs/>
                <w:color w:val="000000"/>
                <w:sz w:val="18"/>
                <w:szCs w:val="20"/>
                <w:lang w:val="es-ES_tradnl" w:eastAsia="es-CO"/>
              </w:rPr>
              <w:t>Impulsar proyecto de Ley para la creación de la Estampilla Pro-Universidad del Valle</w:t>
            </w:r>
          </w:p>
        </w:tc>
      </w:tr>
      <w:tr w:rsidR="004B70EC" w:rsidRPr="004B70EC" w:rsidTr="004B70E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hideMark/>
          </w:tcPr>
          <w:p w:rsidR="004B70EC" w:rsidRPr="004B70EC" w:rsidRDefault="004B70EC">
            <w:pPr>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1.8. Centro de cómputo</w:t>
            </w:r>
          </w:p>
        </w:tc>
      </w:tr>
      <w:tr w:rsidR="004B70EC" w:rsidRPr="004B70EC" w:rsidTr="004B70E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897" w:type="dxa"/>
            <w:gridSpan w:val="2"/>
            <w:hideMark/>
          </w:tcPr>
          <w:p w:rsidR="004B70EC" w:rsidRPr="004B70EC" w:rsidRDefault="004B70EC">
            <w:pPr>
              <w:rPr>
                <w:rFonts w:ascii="Arial" w:hAnsi="Arial" w:cs="Arial"/>
                <w:color w:val="000000"/>
                <w:sz w:val="18"/>
                <w:szCs w:val="20"/>
                <w:lang w:val="es-ES_tradnl" w:eastAsia="es-CO"/>
              </w:rPr>
            </w:pPr>
            <w:r w:rsidRPr="004B70EC">
              <w:rPr>
                <w:rFonts w:ascii="Arial" w:hAnsi="Arial" w:cs="Arial"/>
                <w:color w:val="000000"/>
                <w:sz w:val="18"/>
                <w:szCs w:val="20"/>
                <w:lang w:val="es-ES_tradnl" w:eastAsia="es-CO"/>
              </w:rPr>
              <w:t>1.9. La Biblioteca</w:t>
            </w:r>
          </w:p>
        </w:tc>
      </w:tr>
    </w:tbl>
    <w:p w:rsidR="004B70EC" w:rsidRPr="004B70EC" w:rsidRDefault="004B70EC" w:rsidP="004B70EC">
      <w:pPr>
        <w:rPr>
          <w:rFonts w:ascii="Arial" w:hAnsi="Arial" w:cs="Arial"/>
          <w:sz w:val="18"/>
          <w:szCs w:val="20"/>
          <w:lang w:val="es-ES_tradnl" w:eastAsia="en-US"/>
        </w:rPr>
      </w:pPr>
      <w:r w:rsidRPr="004B70EC">
        <w:rPr>
          <w:rFonts w:ascii="Arial" w:hAnsi="Arial" w:cs="Arial"/>
          <w:b/>
          <w:sz w:val="20"/>
          <w:szCs w:val="20"/>
          <w:lang w:val="es-ES_tradnl"/>
        </w:rPr>
        <w:t>Fuente</w:t>
      </w:r>
      <w:r w:rsidRPr="004B70EC">
        <w:rPr>
          <w:rFonts w:ascii="Arial" w:hAnsi="Arial" w:cs="Arial"/>
          <w:sz w:val="20"/>
          <w:szCs w:val="20"/>
          <w:lang w:val="es-ES_tradnl"/>
        </w:rPr>
        <w:t>: Informe de inversiones con recursos de estampilla Pro Universidad del Valle, diciembre de 1997, Dirección de Inversiones, Univalle</w:t>
      </w:r>
    </w:p>
    <w:p w:rsidR="004B70EC" w:rsidRPr="004B70EC" w:rsidRDefault="004B70EC" w:rsidP="004B70EC">
      <w:pPr>
        <w:jc w:val="both"/>
        <w:rPr>
          <w:rFonts w:ascii="Arial" w:hAnsi="Arial" w:cs="Arial"/>
          <w:lang w:val="es-ES_tradnl" w:eastAsia="es-CO"/>
        </w:rPr>
      </w:pPr>
    </w:p>
    <w:p w:rsidR="004B70EC" w:rsidRPr="004B70EC" w:rsidRDefault="004B70EC" w:rsidP="004B70EC">
      <w:pPr>
        <w:jc w:val="both"/>
        <w:rPr>
          <w:rFonts w:ascii="Arial" w:hAnsi="Arial" w:cs="Arial"/>
          <w:lang w:val="es-ES_tradnl" w:eastAsia="en-US"/>
        </w:rPr>
      </w:pPr>
      <w:r w:rsidRPr="004B70EC">
        <w:rPr>
          <w:rFonts w:ascii="Arial" w:hAnsi="Arial" w:cs="Arial"/>
          <w:lang w:val="es-ES_tradnl"/>
        </w:rPr>
        <w:t>Durante la vigencia del Plan de Desarrollo 1986-2000 se elaboró el Plan trienal de inversiones 1992-1994 se establecieron las orientaciones generales para el desarrollo  de la planta física, mediante la adecuación y construcción de nuevas obras de intereses global para la Universidad, incluyendo dotación de laboratorios, equipos y bibliotecas. Se propusieron proyectos de reforma curricular y modernización de la Universidad con el propósito de ampliar la cobertura en los planes de académicos y el desarrollo de los programas de Regionalización y a distancia. Así mismo, inicio el camino de insertar una cultura de proyectos en la Universidad para desarrollar la inversión.</w:t>
      </w:r>
    </w:p>
    <w:p w:rsidR="004B70EC" w:rsidRP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r w:rsidRPr="004B70EC">
        <w:rPr>
          <w:rFonts w:ascii="Arial" w:hAnsi="Arial" w:cs="Arial"/>
          <w:lang w:val="es-ES_tradnl"/>
        </w:rPr>
        <w:t xml:space="preserve">Según el informe de gestión 1997, Dirección de Inversiones, Universidad del Valle, las obras de inversión con recursos de estampilla más destacadas fueron: </w:t>
      </w:r>
    </w:p>
    <w:p w:rsidR="004B70EC" w:rsidRPr="004B70EC" w:rsidRDefault="004B70EC" w:rsidP="004B70EC">
      <w:pPr>
        <w:jc w:val="both"/>
        <w:rPr>
          <w:rFonts w:ascii="Arial" w:hAnsi="Arial" w:cs="Arial"/>
          <w:lang w:val="es-ES_tradnl"/>
        </w:rPr>
      </w:pPr>
    </w:p>
    <w:p w:rsidR="004B70EC" w:rsidRPr="004B70EC" w:rsidRDefault="004B70EC" w:rsidP="004B70EC">
      <w:pPr>
        <w:pStyle w:val="Prrafodelista"/>
        <w:numPr>
          <w:ilvl w:val="0"/>
          <w:numId w:val="35"/>
        </w:numPr>
        <w:autoSpaceDE/>
        <w:autoSpaceDN/>
        <w:adjustRightInd/>
        <w:contextualSpacing/>
        <w:jc w:val="both"/>
        <w:rPr>
          <w:rFonts w:ascii="Arial" w:hAnsi="Arial" w:cs="Arial"/>
          <w:sz w:val="32"/>
          <w:szCs w:val="24"/>
          <w:lang w:val="es-ES_tradnl"/>
        </w:rPr>
      </w:pPr>
      <w:r w:rsidRPr="004B70EC">
        <w:rPr>
          <w:rFonts w:ascii="Arial" w:hAnsi="Arial" w:cs="Arial"/>
          <w:sz w:val="24"/>
          <w:lang w:val="es-ES_tradnl"/>
        </w:rPr>
        <w:t>Centro de recepción y producción de televisión educativa.</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Cerramiento de la Universidad.</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Material bibliográfico, reestructuración física y sistematización de la biblioteca.</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Dotación y adecuación de la emisora radio.</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Productora UV.TV</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Estudios y diseños del jardín botánico y museo de ciencias e industria.</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Nuevas tecnologías – Metrocalidad y aseguramiento de la calidad.</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Plan regulador de la Sede San Fernando – reordenamiento arquitectónico.</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Red institucional de datos.</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Conmutador central.</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Construcción del coliseo deportivo de la Universidad, área de 4.612 M2</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 xml:space="preserve">Construcción Edificio Tulio Ramírez. </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Centro Frutícola Andino.</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Estudio y diseño del edificio de admisiones</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 xml:space="preserve">Proyectos de las unidades académicas y administrativas, que incluye dotación, modernización, adecuaciones, estudios, interventorías, entre otras, que se canalizaron a las facultades de: Administración, humanidades, ciencias sociales y económicas, ciencias, ingeniería, salud, artes integradas e instituto de educación y pedagogía, y de la administración central. </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 xml:space="preserve">Regionalización: compra de lotes e inmuebles para las sedes de Caicedonia, Zarzal, San Andrés. Ampliación y remodelación, cerramientos planta física sedes de Cartago, Zarzal, Tuluá, Buga y Caicedonia. Dotación para docencia e investigación y equipamiento de laboratorios, equipo de cómputo y material bibliográfico para las sedes de Palmira, Tuluá, Cartago, Buenaventura, Caicedonia, Zarzal y Buga. </w:t>
      </w:r>
    </w:p>
    <w:p w:rsidR="004B70EC" w:rsidRPr="004B70EC" w:rsidRDefault="004B70EC" w:rsidP="004B70EC">
      <w:pPr>
        <w:pStyle w:val="Prrafodelista"/>
        <w:numPr>
          <w:ilvl w:val="0"/>
          <w:numId w:val="35"/>
        </w:numPr>
        <w:autoSpaceDE/>
        <w:autoSpaceDN/>
        <w:adjustRightInd/>
        <w:contextualSpacing/>
        <w:jc w:val="both"/>
        <w:rPr>
          <w:rFonts w:ascii="Arial" w:hAnsi="Arial" w:cs="Arial"/>
          <w:sz w:val="24"/>
          <w:lang w:val="es-ES_tradnl"/>
        </w:rPr>
      </w:pPr>
      <w:r w:rsidRPr="004B70EC">
        <w:rPr>
          <w:rFonts w:ascii="Arial" w:hAnsi="Arial" w:cs="Arial"/>
          <w:sz w:val="24"/>
          <w:lang w:val="es-ES_tradnl"/>
        </w:rPr>
        <w:t>Construcción Torre Institucional y Hotel Avenida Sexta.</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La inversión para el período 1991-1997, según categorías, se centró en obras y en dotación de equipos y bibliotecas, así como en la creación de los fondos patrimoniales, fortaleciendo la infraestructura institucional (ver Figura).</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pStyle w:val="figuras"/>
        <w:spacing w:line="240" w:lineRule="auto"/>
        <w:jc w:val="both"/>
        <w:rPr>
          <w:rFonts w:ascii="Arial" w:hAnsi="Arial" w:cs="Arial"/>
          <w:lang w:val="es-ES_tradnl"/>
        </w:rPr>
      </w:pPr>
      <w:bookmarkStart w:id="3" w:name="_Toc455691647"/>
    </w:p>
    <w:p w:rsidR="004B70EC" w:rsidRPr="004B70EC" w:rsidRDefault="004B70EC" w:rsidP="004B70EC">
      <w:pPr>
        <w:pStyle w:val="figuras"/>
        <w:spacing w:line="240" w:lineRule="auto"/>
        <w:jc w:val="both"/>
        <w:rPr>
          <w:rFonts w:ascii="Arial" w:hAnsi="Arial" w:cs="Arial"/>
          <w:sz w:val="22"/>
          <w:lang w:val="es-ES_tradnl"/>
        </w:rPr>
      </w:pPr>
      <w:r w:rsidRPr="004B70EC">
        <w:rPr>
          <w:rFonts w:ascii="Arial" w:hAnsi="Arial" w:cs="Arial"/>
          <w:b/>
          <w:sz w:val="22"/>
          <w:lang w:val="es-ES_tradnl"/>
        </w:rPr>
        <w:t>Figura 3</w:t>
      </w:r>
      <w:r w:rsidRPr="004B70EC">
        <w:rPr>
          <w:rFonts w:ascii="Arial" w:hAnsi="Arial" w:cs="Arial"/>
          <w:sz w:val="22"/>
          <w:lang w:val="es-ES_tradnl"/>
        </w:rPr>
        <w:t>. Inversión Acumulada por Categorías  Univalle 1991-1997</w:t>
      </w:r>
      <w:bookmarkEnd w:id="3"/>
      <w:r w:rsidRPr="004B70EC">
        <w:rPr>
          <w:rFonts w:ascii="Arial" w:hAnsi="Arial" w:cs="Arial"/>
          <w:sz w:val="22"/>
          <w:lang w:val="es-ES_tradnl"/>
        </w:rPr>
        <w:t xml:space="preserve"> </w:t>
      </w:r>
      <w:r w:rsidRPr="004B70EC">
        <w:rPr>
          <w:rFonts w:ascii="Arial" w:hAnsi="Arial" w:cs="Arial"/>
          <w:sz w:val="20"/>
          <w:lang w:val="es-ES_tradnl"/>
        </w:rPr>
        <w:t>Millones de Pesos - Precios Corrientes</w:t>
      </w:r>
    </w:p>
    <w:p w:rsidR="004B70EC" w:rsidRPr="004B70EC" w:rsidRDefault="004B70EC" w:rsidP="004B70EC">
      <w:pPr>
        <w:jc w:val="both"/>
        <w:rPr>
          <w:rFonts w:ascii="Arial" w:hAnsi="Arial" w:cs="Arial"/>
          <w:sz w:val="22"/>
          <w:lang w:val="es-ES_tradnl"/>
        </w:rPr>
      </w:pPr>
      <w:r w:rsidRPr="004B70EC">
        <w:rPr>
          <w:rFonts w:ascii="Arial" w:hAnsi="Arial" w:cs="Arial"/>
          <w:noProof/>
          <w:lang w:val="es-CO" w:eastAsia="es-CO"/>
        </w:rPr>
        <w:drawing>
          <wp:anchor distT="0" distB="0" distL="114300" distR="114300" simplePos="0" relativeHeight="251674624" behindDoc="0" locked="0" layoutInCell="1" allowOverlap="1" wp14:anchorId="0CC48C9A" wp14:editId="6B52B5ED">
            <wp:simplePos x="0" y="0"/>
            <wp:positionH relativeFrom="column">
              <wp:posOffset>218440</wp:posOffset>
            </wp:positionH>
            <wp:positionV relativeFrom="paragraph">
              <wp:posOffset>12700</wp:posOffset>
            </wp:positionV>
            <wp:extent cx="4222115" cy="2440940"/>
            <wp:effectExtent l="0" t="0" r="6985"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22115" cy="2440940"/>
                    </a:xfrm>
                    <a:prstGeom prst="rect">
                      <a:avLst/>
                    </a:prstGeom>
                    <a:noFill/>
                  </pic:spPr>
                </pic:pic>
              </a:graphicData>
            </a:graphic>
            <wp14:sizeRelH relativeFrom="page">
              <wp14:pctWidth>0</wp14:pctWidth>
            </wp14:sizeRelH>
            <wp14:sizeRelV relativeFrom="page">
              <wp14:pctHeight>0</wp14:pctHeight>
            </wp14:sizeRelV>
          </wp:anchor>
        </w:drawing>
      </w:r>
    </w:p>
    <w:p w:rsidR="004B70EC" w:rsidRPr="004B70EC" w:rsidRDefault="004B70EC" w:rsidP="004B70EC">
      <w:pPr>
        <w:jc w:val="center"/>
        <w:rPr>
          <w:rFonts w:ascii="Arial" w:hAnsi="Arial" w:cs="Arial"/>
          <w:noProof/>
          <w:lang w:val="es-ES_tradnl" w:eastAsia="es-CO"/>
        </w:rPr>
      </w:pPr>
    </w:p>
    <w:p w:rsidR="004B70EC" w:rsidRPr="004B70EC" w:rsidRDefault="004B70EC" w:rsidP="004B70EC">
      <w:pPr>
        <w:jc w:val="center"/>
        <w:rPr>
          <w:rFonts w:ascii="Arial" w:hAnsi="Arial" w:cs="Arial"/>
          <w:noProof/>
          <w:lang w:val="es-ES_tradnl" w:eastAsia="es-CO"/>
        </w:rPr>
      </w:pPr>
    </w:p>
    <w:p w:rsidR="004B70EC" w:rsidRPr="004B70EC" w:rsidRDefault="004B70EC" w:rsidP="004B70EC">
      <w:pPr>
        <w:jc w:val="both"/>
        <w:rPr>
          <w:rFonts w:ascii="Arial" w:hAnsi="Arial" w:cs="Arial"/>
          <w:noProof/>
          <w:lang w:val="es-ES_tradnl" w:eastAsia="es-CO"/>
        </w:rPr>
      </w:pPr>
    </w:p>
    <w:p w:rsidR="004B70EC" w:rsidRPr="004B70EC" w:rsidRDefault="004B70EC" w:rsidP="004B70EC">
      <w:pPr>
        <w:jc w:val="both"/>
        <w:rPr>
          <w:rFonts w:ascii="Arial" w:hAnsi="Arial" w:cs="Arial"/>
          <w:noProof/>
          <w:lang w:val="es-ES_tradnl" w:eastAsia="es-CO"/>
        </w:rPr>
      </w:pPr>
    </w:p>
    <w:p w:rsidR="004B70EC" w:rsidRPr="004B70EC" w:rsidRDefault="004B70EC" w:rsidP="004B70EC">
      <w:pPr>
        <w:jc w:val="both"/>
        <w:rPr>
          <w:rFonts w:ascii="Arial" w:hAnsi="Arial" w:cs="Arial"/>
          <w:noProof/>
          <w:lang w:val="es-ES_tradnl" w:eastAsia="es-CO"/>
        </w:rPr>
      </w:pPr>
    </w:p>
    <w:p w:rsidR="004B70EC" w:rsidRPr="004B70EC" w:rsidRDefault="004B70EC" w:rsidP="004B70EC">
      <w:pPr>
        <w:jc w:val="both"/>
        <w:rPr>
          <w:rFonts w:ascii="Arial" w:hAnsi="Arial" w:cs="Arial"/>
          <w:noProof/>
          <w:lang w:val="es-ES_tradnl" w:eastAsia="es-CO"/>
        </w:rPr>
      </w:pPr>
    </w:p>
    <w:p w:rsidR="004B70EC" w:rsidRPr="004B70EC" w:rsidRDefault="004B70EC" w:rsidP="004B70EC">
      <w:pPr>
        <w:jc w:val="both"/>
        <w:rPr>
          <w:rFonts w:ascii="Arial" w:hAnsi="Arial" w:cs="Arial"/>
          <w:noProof/>
          <w:lang w:val="es-ES_tradnl" w:eastAsia="es-CO"/>
        </w:rPr>
      </w:pPr>
    </w:p>
    <w:p w:rsidR="004B70EC" w:rsidRPr="004B70EC" w:rsidRDefault="004B70EC" w:rsidP="004B70EC">
      <w:pPr>
        <w:jc w:val="both"/>
        <w:rPr>
          <w:rFonts w:ascii="Arial" w:hAnsi="Arial" w:cs="Arial"/>
          <w:b/>
          <w:lang w:val="es-ES_tradnl" w:eastAsia="en-US"/>
        </w:rPr>
      </w:pPr>
    </w:p>
    <w:p w:rsidR="004B70EC" w:rsidRPr="004B70EC" w:rsidRDefault="004B70EC" w:rsidP="004B70EC">
      <w:pPr>
        <w:jc w:val="both"/>
        <w:rPr>
          <w:rFonts w:ascii="Arial" w:hAnsi="Arial" w:cs="Arial"/>
          <w:b/>
          <w:sz w:val="18"/>
          <w:lang w:val="es-ES_tradnl"/>
        </w:rPr>
      </w:pPr>
    </w:p>
    <w:p w:rsidR="004B70EC" w:rsidRPr="004B70EC" w:rsidRDefault="004B70EC" w:rsidP="004B70EC">
      <w:pPr>
        <w:jc w:val="both"/>
        <w:rPr>
          <w:rFonts w:ascii="Arial" w:hAnsi="Arial" w:cs="Arial"/>
          <w:color w:val="FF0000"/>
          <w:sz w:val="18"/>
          <w:highlight w:val="yellow"/>
          <w:lang w:val="es-ES_tradnl"/>
        </w:rPr>
      </w:pPr>
      <w:r w:rsidRPr="004B70EC">
        <w:rPr>
          <w:rFonts w:ascii="Arial" w:hAnsi="Arial" w:cs="Arial"/>
          <w:b/>
          <w:sz w:val="18"/>
          <w:lang w:val="es-ES_tradnl"/>
        </w:rPr>
        <w:t>Fuente</w:t>
      </w:r>
      <w:r w:rsidRPr="004B70EC">
        <w:rPr>
          <w:rFonts w:ascii="Arial" w:hAnsi="Arial" w:cs="Arial"/>
          <w:sz w:val="18"/>
          <w:lang w:val="es-ES_tradnl"/>
        </w:rPr>
        <w:t>: Informe de inversión  Estampilla Pro Univalle Dic 1997, Dirección de Inversiones, Univalle</w:t>
      </w:r>
      <w:r w:rsidRPr="004B70EC">
        <w:rPr>
          <w:rFonts w:ascii="Arial" w:hAnsi="Arial" w:cs="Arial"/>
          <w:sz w:val="18"/>
          <w:lang w:val="es-ES_tradnl"/>
        </w:rPr>
        <w:tab/>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color w:val="000000"/>
          <w:lang w:val="es-ES_tradnl" w:eastAsia="es-CO"/>
        </w:rPr>
      </w:pPr>
      <w:r w:rsidRPr="004B70EC">
        <w:rPr>
          <w:rFonts w:ascii="Arial" w:hAnsi="Arial" w:cs="Arial"/>
          <w:lang w:val="es-ES_tradnl"/>
        </w:rPr>
        <w:t xml:space="preserve">Durante el período 1991-2014, las inversiones en construcciones y adecuaciones financiadas con recursos de estampilla alcanzaron los $76.638 millones de pesos, representando el 30% del total recursos destinados, </w:t>
      </w:r>
      <w:r w:rsidRPr="004B70EC">
        <w:rPr>
          <w:rFonts w:ascii="Arial" w:hAnsi="Arial" w:cs="Arial"/>
          <w:color w:val="000000"/>
          <w:lang w:val="es-ES_tradnl" w:eastAsia="es-CO"/>
        </w:rPr>
        <w:t>reflejando una importante mejora en su infraestructura física. (Fuente: ejecuciones presupuestales 1993-2014, División Financiera, Univalle).</w:t>
      </w:r>
    </w:p>
    <w:p w:rsidR="004B70EC" w:rsidRPr="004B70EC" w:rsidRDefault="004B70EC" w:rsidP="004B70EC">
      <w:pPr>
        <w:jc w:val="both"/>
        <w:rPr>
          <w:rFonts w:ascii="Arial" w:hAnsi="Arial" w:cs="Arial"/>
          <w:color w:val="000000"/>
          <w:lang w:val="es-ES_tradnl" w:eastAsia="es-CO"/>
        </w:rPr>
      </w:pPr>
    </w:p>
    <w:p w:rsidR="004B70EC" w:rsidRPr="004B70EC" w:rsidRDefault="004B70EC" w:rsidP="004B70EC">
      <w:pPr>
        <w:jc w:val="both"/>
        <w:rPr>
          <w:rFonts w:ascii="Arial" w:hAnsi="Arial" w:cs="Arial"/>
          <w:color w:val="000000"/>
          <w:lang w:val="es-ES_tradnl" w:eastAsia="es-CO"/>
        </w:rPr>
      </w:pPr>
      <w:r w:rsidRPr="004B70EC">
        <w:rPr>
          <w:rFonts w:ascii="Arial" w:hAnsi="Arial" w:cs="Arial"/>
          <w:color w:val="000000"/>
          <w:lang w:val="es-ES_tradnl" w:eastAsia="es-CO"/>
        </w:rPr>
        <w:t>Según el informe de Inversión de los recursos de la Estampilla 2001-2008, realizado por la OPDI, los principales proyectos de infraestructura ejecutados en este periodo fueron: la Construcción de la Sede Palmira la Carbonera por $7.867.457.974, la compra del lote de la sede San Fernando de parqueadero por $1.094.124.4040, la adecuación de la tercera etapa del Edificio 313 Facultad de Artes por $859.144.248 y la segunda etapa de este proyecto $643.267.885, terminación de la biblioteca de la sede Zarzal por $320.054.179, segunda etapa obra edificio 126 de la Facultad de Ciencias de la Administración por $251.507.666, entre otros, que se complementan con proyectos como la instalación de nuevos alumbrados en las sedes, la adecuación de oficinas de nuevas tecnológicas y educación virtual, la adecuación del Edificio de la Escuela de enfermería, y obras de mantenimiento, además de varios estudios técnicos arquitectónicos para el desarrollo del plan maestro.</w:t>
      </w:r>
    </w:p>
    <w:p w:rsidR="004B70EC" w:rsidRPr="004B70EC" w:rsidRDefault="004B70EC" w:rsidP="004B70EC">
      <w:pPr>
        <w:jc w:val="both"/>
        <w:rPr>
          <w:rFonts w:ascii="Arial" w:eastAsiaTheme="minorHAnsi" w:hAnsi="Arial" w:cs="Arial"/>
          <w:lang w:val="es-ES_tradnl" w:eastAsia="en-US"/>
        </w:rPr>
      </w:pPr>
    </w:p>
    <w:p w:rsidR="004B70EC" w:rsidRPr="004B70EC" w:rsidRDefault="004B70EC" w:rsidP="004B70EC">
      <w:pPr>
        <w:jc w:val="both"/>
        <w:rPr>
          <w:rFonts w:ascii="Arial" w:hAnsi="Arial" w:cs="Arial"/>
          <w:lang w:val="es-ES_tradnl"/>
        </w:rPr>
      </w:pPr>
      <w:r w:rsidRPr="004B70EC">
        <w:rPr>
          <w:rFonts w:ascii="Arial" w:hAnsi="Arial" w:cs="Arial"/>
          <w:lang w:val="es-ES_tradnl"/>
        </w:rPr>
        <w:t>En gestión de mantenimiento de la infraestructura física de la Universidad se han demandado $13.446 millones para el periodo 2000 – 2014, de los cuales el 79% han sido aportados por la Estampilla Pro-Univalle. Se puede afirmar que estas inversiones han contribuido a mantener y mejorar los niveles de valorización de la infraestructura universitaria.</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eastAsia="es-CO"/>
        </w:rPr>
      </w:pPr>
      <w:r w:rsidRPr="004B70EC">
        <w:rPr>
          <w:rFonts w:ascii="Arial" w:hAnsi="Arial" w:cs="Arial"/>
          <w:lang w:val="es-ES_tradnl"/>
        </w:rPr>
        <w:t>En cuanto a la provisión del pasivo pensional, la estampilla Pro Universidad del Valle por disposición de la Ley 206 de 1995 aportó a partir de junio de 1996 el 10% de sus recursos al pasivo pensional y desde enero de 2004 el 20% en virtud de la Ley  863 de 2003. A diciembre de 2014, el aporte de la estampilla para este rubro ascendió a $80.815 millones.</w:t>
      </w:r>
      <w:r w:rsidRPr="004B70EC">
        <w:rPr>
          <w:rFonts w:ascii="Arial" w:hAnsi="Arial" w:cs="Arial"/>
          <w:lang w:val="es-ES_tradnl" w:eastAsia="es-CO"/>
        </w:rPr>
        <w:t xml:space="preserve"> (División Financiera Univalle, Ejecuciones presupuestales 1993-2014).</w:t>
      </w:r>
    </w:p>
    <w:p w:rsidR="004B70EC" w:rsidRPr="004B70EC" w:rsidRDefault="004B70EC" w:rsidP="004B70EC">
      <w:pPr>
        <w:jc w:val="both"/>
        <w:rPr>
          <w:rFonts w:ascii="Arial" w:hAnsi="Arial" w:cs="Arial"/>
          <w:lang w:val="es-ES_tradnl" w:eastAsia="es-CO"/>
        </w:rPr>
      </w:pPr>
    </w:p>
    <w:p w:rsidR="004B70EC" w:rsidRPr="004B70EC" w:rsidRDefault="004B70EC" w:rsidP="004B70EC">
      <w:pPr>
        <w:jc w:val="both"/>
        <w:rPr>
          <w:rFonts w:ascii="Arial" w:hAnsi="Arial" w:cs="Arial"/>
          <w:lang w:val="es-ES_tradnl" w:eastAsia="es-CO"/>
        </w:rPr>
      </w:pPr>
      <w:r w:rsidRPr="004B70EC">
        <w:rPr>
          <w:rFonts w:ascii="Arial" w:hAnsi="Arial" w:cs="Arial"/>
          <w:lang w:val="es-ES_tradnl" w:eastAsia="es-CO"/>
        </w:rPr>
        <w:t>Entre los años 2015 y 2017, se han iniciado los proyectos de infraestructura más importantes de los últimos años, donde en alguna etapa de los mismos se han invertido de forma parcial, recursos de la Estampilla Pro-Universidad del Valle, como son: la sede de Zarzal, CDU de San Fernando, reforzamiento estructural y adecuación del edificio de Microbiología, construcción de Edificio de Ciencias de la Computación, adecuación del Edificio de Multitaller, adecuación de las oficinas de Registro Académico, adecuaciones en el CDU Meléndez, construcción de CIBIOFI, segunda etapa Sede de Yumbo, adecuación de aulas en sedes de Caicedonia, Cartago, Zarzal, Yumbo y Palmira, adecuación de Auditorios y Aulas en Meléndez y San Fernando, entre otros.</w:t>
      </w:r>
    </w:p>
    <w:p w:rsidR="004B70EC" w:rsidRPr="004B70EC" w:rsidRDefault="004B70EC" w:rsidP="004B70EC">
      <w:pPr>
        <w:spacing w:line="240" w:lineRule="atLeast"/>
        <w:jc w:val="both"/>
        <w:rPr>
          <w:rFonts w:ascii="Arial" w:eastAsiaTheme="minorHAnsi" w:hAnsi="Arial" w:cs="Arial"/>
          <w:color w:val="FF0000"/>
          <w:lang w:val="es-ES_tradnl" w:eastAsia="en-US"/>
        </w:rPr>
      </w:pPr>
    </w:p>
    <w:p w:rsidR="004B70EC" w:rsidRPr="004B70EC" w:rsidRDefault="004B70EC" w:rsidP="004B70EC">
      <w:pPr>
        <w:spacing w:line="240" w:lineRule="atLeast"/>
        <w:jc w:val="both"/>
        <w:rPr>
          <w:rFonts w:ascii="Arial" w:hAnsi="Arial" w:cs="Arial"/>
          <w:color w:val="FF0000"/>
          <w:lang w:val="es-ES_tradnl"/>
        </w:rPr>
      </w:pPr>
      <w:r w:rsidRPr="004B70EC">
        <w:rPr>
          <w:rFonts w:ascii="Arial" w:hAnsi="Arial" w:cs="Arial"/>
          <w:color w:val="FF0000"/>
          <w:lang w:val="es-ES_tradnl"/>
        </w:rPr>
        <w:t xml:space="preserve"> </w:t>
      </w:r>
    </w:p>
    <w:p w:rsidR="004B70EC" w:rsidRPr="004B70EC" w:rsidRDefault="004B70EC" w:rsidP="004B70EC">
      <w:pPr>
        <w:pStyle w:val="Textoindependiente2"/>
        <w:numPr>
          <w:ilvl w:val="0"/>
          <w:numId w:val="34"/>
        </w:numPr>
        <w:spacing w:before="240" w:after="240" w:line="360" w:lineRule="auto"/>
        <w:jc w:val="both"/>
        <w:rPr>
          <w:rFonts w:ascii="Arial" w:hAnsi="Arial" w:cs="Arial"/>
          <w:color w:val="auto"/>
          <w:szCs w:val="24"/>
          <w:lang w:val="es-ES_tradnl"/>
        </w:rPr>
      </w:pPr>
      <w:r w:rsidRPr="004B70EC">
        <w:rPr>
          <w:rFonts w:ascii="Arial" w:hAnsi="Arial" w:cs="Arial"/>
          <w:color w:val="auto"/>
          <w:szCs w:val="24"/>
          <w:lang w:val="es-ES_tradnl"/>
        </w:rPr>
        <w:t>Algunos impactos generados con los recursos de la Estampilla Pro-Universidad del Valle durante el período 1991-2017:</w:t>
      </w:r>
    </w:p>
    <w:p w:rsidR="004B70EC" w:rsidRPr="004B70EC" w:rsidRDefault="004B70EC" w:rsidP="004B70EC">
      <w:pPr>
        <w:pStyle w:val="Textoindependiente2"/>
        <w:jc w:val="both"/>
        <w:rPr>
          <w:rFonts w:ascii="Arial" w:hAnsi="Arial" w:cs="Arial"/>
          <w:b w:val="0"/>
          <w:lang w:val="es-ES_tradnl"/>
        </w:rPr>
      </w:pPr>
      <w:r w:rsidRPr="004B70EC">
        <w:rPr>
          <w:rFonts w:ascii="Arial" w:hAnsi="Arial" w:cs="Arial"/>
          <w:b w:val="0"/>
          <w:lang w:val="es-ES_tradnl"/>
        </w:rPr>
        <w:t>La Universidad del Valle es una institución de educación superior de larga trayectoria, que lleva cerca de setenta y cinco (75) años, impactando positivamente el suroccidente colombiano, además de haberse convertido a su vez en una Universidad Pública reconocida a nivel nacional e internacional gracias a su excelencia académica.</w:t>
      </w:r>
    </w:p>
    <w:p w:rsidR="004B70EC" w:rsidRPr="004B70EC" w:rsidRDefault="004B70EC" w:rsidP="004B70EC">
      <w:pPr>
        <w:pStyle w:val="Textoindependiente2"/>
        <w:jc w:val="both"/>
        <w:rPr>
          <w:rFonts w:ascii="Arial" w:hAnsi="Arial" w:cs="Arial"/>
          <w:b w:val="0"/>
          <w:lang w:val="es-ES_tradnl"/>
        </w:rPr>
      </w:pPr>
    </w:p>
    <w:p w:rsidR="004B70EC" w:rsidRPr="004B70EC" w:rsidRDefault="004B70EC" w:rsidP="004B70EC">
      <w:pPr>
        <w:pStyle w:val="Textoindependiente2"/>
        <w:jc w:val="both"/>
        <w:rPr>
          <w:rFonts w:ascii="Arial" w:hAnsi="Arial" w:cs="Arial"/>
          <w:b w:val="0"/>
          <w:lang w:val="es-ES_tradnl"/>
        </w:rPr>
      </w:pPr>
      <w:r w:rsidRPr="004B70EC">
        <w:rPr>
          <w:rFonts w:ascii="Arial" w:hAnsi="Arial" w:cs="Arial"/>
          <w:b w:val="0"/>
          <w:lang w:val="es-ES_tradnl"/>
        </w:rPr>
        <w:t xml:space="preserve">Actualmente la Universidad del Valle cuenta con once campus, el principal es la Ciudad Universitaria Meléndez y la sede de San </w:t>
      </w:r>
      <w:r w:rsidRPr="004B70EC">
        <w:rPr>
          <w:rFonts w:ascii="Arial" w:hAnsi="Arial" w:cs="Arial"/>
          <w:b w:val="0"/>
          <w:color w:val="auto"/>
          <w:lang w:val="es-ES_tradnl"/>
        </w:rPr>
        <w:t xml:space="preserve">Fernando en </w:t>
      </w:r>
      <w:hyperlink r:id="rId61" w:tooltip="Santiago de Cali" w:history="1">
        <w:r w:rsidRPr="004B70EC">
          <w:rPr>
            <w:rStyle w:val="Hipervnculo"/>
            <w:rFonts w:ascii="Arial" w:hAnsi="Arial" w:cs="Arial"/>
            <w:b w:val="0"/>
            <w:color w:val="auto"/>
            <w:lang w:val="es-ES_tradnl"/>
          </w:rPr>
          <w:t>Santiago de Cali</w:t>
        </w:r>
      </w:hyperlink>
      <w:r w:rsidRPr="004B70EC">
        <w:rPr>
          <w:rFonts w:ascii="Arial" w:hAnsi="Arial" w:cs="Arial"/>
          <w:b w:val="0"/>
          <w:color w:val="auto"/>
          <w:lang w:val="es-ES_tradnl"/>
        </w:rPr>
        <w:t xml:space="preserve">, los nueve restantes se les conoce como las Sedes Regionales y se encuentran </w:t>
      </w:r>
      <w:r w:rsidRPr="004B70EC">
        <w:rPr>
          <w:rFonts w:ascii="Arial" w:hAnsi="Arial" w:cs="Arial"/>
          <w:b w:val="0"/>
          <w:lang w:val="es-ES_tradnl"/>
        </w:rPr>
        <w:t>ubicadas en Buga, Cartago, Caicedonia, Norte del Cauca, Buenaventura, Palmira, Tuluá, Yumbo y Zarzal</w:t>
      </w:r>
    </w:p>
    <w:p w:rsidR="004B70EC" w:rsidRPr="004B70EC" w:rsidRDefault="004B70EC" w:rsidP="004B70EC">
      <w:pPr>
        <w:pStyle w:val="Textoindependiente2"/>
        <w:jc w:val="both"/>
        <w:rPr>
          <w:rFonts w:ascii="Arial" w:hAnsi="Arial" w:cs="Arial"/>
          <w:b w:val="0"/>
          <w:lang w:val="es-ES_tradnl"/>
        </w:rPr>
      </w:pPr>
    </w:p>
    <w:p w:rsidR="004B70EC" w:rsidRPr="004B70EC" w:rsidRDefault="004B70EC" w:rsidP="004B70EC">
      <w:pPr>
        <w:pStyle w:val="Textoindependiente2"/>
        <w:jc w:val="both"/>
        <w:rPr>
          <w:rFonts w:ascii="Arial" w:hAnsi="Arial" w:cs="Arial"/>
          <w:b w:val="0"/>
          <w:color w:val="000000" w:themeColor="text1"/>
          <w:lang w:val="es-ES_tradnl"/>
        </w:rPr>
      </w:pPr>
      <w:r w:rsidRPr="004B70EC">
        <w:rPr>
          <w:rFonts w:ascii="Arial" w:hAnsi="Arial" w:cs="Arial"/>
          <w:b w:val="0"/>
          <w:color w:val="000000" w:themeColor="text1"/>
          <w:lang w:val="es-ES_tradnl"/>
        </w:rPr>
        <w:t>A noviembre de 2017, se contaban con 314 programas académicos distribuidos de la siguiente forma:</w:t>
      </w:r>
    </w:p>
    <w:p w:rsidR="004B70EC" w:rsidRPr="004B70EC" w:rsidRDefault="004B70EC" w:rsidP="004B70EC">
      <w:pPr>
        <w:pStyle w:val="Textoindependiente2"/>
        <w:jc w:val="both"/>
        <w:rPr>
          <w:rFonts w:ascii="Arial" w:hAnsi="Arial" w:cs="Arial"/>
          <w:b w:val="0"/>
          <w:color w:val="000000" w:themeColor="text1"/>
          <w:lang w:val="es-ES_tradnl"/>
        </w:rPr>
      </w:pPr>
    </w:p>
    <w:p w:rsidR="004B70EC" w:rsidRPr="004B70EC" w:rsidRDefault="004B70EC" w:rsidP="004B70EC">
      <w:pPr>
        <w:pStyle w:val="Estilo1"/>
        <w:spacing w:line="240" w:lineRule="auto"/>
        <w:jc w:val="both"/>
        <w:rPr>
          <w:rFonts w:ascii="Arial" w:hAnsi="Arial" w:cs="Arial"/>
          <w:color w:val="000000" w:themeColor="text1"/>
          <w:sz w:val="22"/>
          <w:lang w:val="es-ES_tradnl"/>
        </w:rPr>
      </w:pPr>
      <w:r w:rsidRPr="004B70EC">
        <w:rPr>
          <w:rFonts w:ascii="Arial" w:hAnsi="Arial" w:cs="Arial"/>
          <w:b/>
          <w:color w:val="000000" w:themeColor="text1"/>
          <w:sz w:val="22"/>
          <w:lang w:val="es-ES_tradnl"/>
        </w:rPr>
        <w:t>Tabla 8.</w:t>
      </w:r>
      <w:r w:rsidRPr="004B70EC">
        <w:rPr>
          <w:rFonts w:ascii="Arial" w:hAnsi="Arial" w:cs="Arial"/>
          <w:color w:val="000000" w:themeColor="text1"/>
          <w:sz w:val="22"/>
          <w:lang w:val="es-ES_tradnl"/>
        </w:rPr>
        <w:t xml:space="preserve"> Programas académicos </w:t>
      </w:r>
    </w:p>
    <w:tbl>
      <w:tblPr>
        <w:tblW w:w="6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2"/>
        <w:gridCol w:w="2600"/>
        <w:gridCol w:w="2154"/>
      </w:tblGrid>
      <w:tr w:rsidR="004B70EC" w:rsidRPr="004B70EC" w:rsidTr="004B70EC">
        <w:trPr>
          <w:trHeight w:val="330"/>
          <w:jc w:val="center"/>
        </w:trPr>
        <w:tc>
          <w:tcPr>
            <w:tcW w:w="4032"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color w:val="000000" w:themeColor="text1"/>
                <w:sz w:val="20"/>
                <w:szCs w:val="20"/>
                <w:lang w:val="es-ES_tradnl" w:eastAsia="es-ES_tradnl"/>
              </w:rPr>
            </w:pPr>
            <w:r w:rsidRPr="004B70EC">
              <w:rPr>
                <w:rFonts w:ascii="Arial" w:hAnsi="Arial" w:cs="Arial"/>
                <w:i/>
                <w:iCs/>
                <w:color w:val="000000" w:themeColor="text1"/>
                <w:sz w:val="20"/>
                <w:szCs w:val="20"/>
                <w:lang w:val="es-ES_tradnl" w:eastAsia="es-ES_tradnl"/>
              </w:rPr>
              <w:t>Cali</w:t>
            </w:r>
            <w:r w:rsidRPr="004B70EC">
              <w:rPr>
                <w:rFonts w:ascii="Arial" w:hAnsi="Arial" w:cs="Arial"/>
                <w:color w:val="000000" w:themeColor="text1"/>
                <w:sz w:val="20"/>
                <w:szCs w:val="20"/>
                <w:lang w:val="es-ES_tradnl" w:eastAsia="es-ES_tradnl"/>
              </w:rPr>
              <w:t> </w:t>
            </w:r>
          </w:p>
          <w:p w:rsidR="004B70EC" w:rsidRPr="004B70EC" w:rsidRDefault="004B70EC">
            <w:pPr>
              <w:jc w:val="center"/>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189</w:t>
            </w:r>
          </w:p>
        </w:tc>
      </w:tr>
      <w:tr w:rsidR="004B70EC" w:rsidRPr="004B70EC" w:rsidTr="004B70EC">
        <w:trPr>
          <w:trHeight w:val="360"/>
          <w:jc w:val="center"/>
        </w:trPr>
        <w:tc>
          <w:tcPr>
            <w:tcW w:w="1432" w:type="dxa"/>
            <w:vMerge w:val="restar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Pregrado</w:t>
            </w:r>
          </w:p>
          <w:p w:rsidR="004B70EC" w:rsidRPr="004B70EC" w:rsidRDefault="004B70EC">
            <w:pPr>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p w:rsidR="004B70EC" w:rsidRPr="004B70EC" w:rsidRDefault="004B70EC">
            <w:pPr>
              <w:rPr>
                <w:rFonts w:ascii="Arial" w:hAnsi="Arial" w:cs="Arial"/>
                <w:b/>
                <w:bCs/>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 </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71</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Tecnológico</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9</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Universitario</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62</w:t>
            </w:r>
          </w:p>
        </w:tc>
      </w:tr>
      <w:tr w:rsidR="004B70EC" w:rsidRPr="004B70EC" w:rsidTr="004B70EC">
        <w:trPr>
          <w:trHeight w:val="360"/>
          <w:jc w:val="center"/>
        </w:trPr>
        <w:tc>
          <w:tcPr>
            <w:tcW w:w="1432" w:type="dxa"/>
            <w:vMerge w:val="restar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Posgrado</w:t>
            </w:r>
          </w:p>
          <w:p w:rsidR="004B70EC" w:rsidRPr="004B70EC" w:rsidRDefault="004B70EC">
            <w:pPr>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p w:rsidR="004B70EC" w:rsidRPr="004B70EC" w:rsidRDefault="004B70EC">
            <w:pPr>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p w:rsidR="004B70EC" w:rsidRPr="004B70EC" w:rsidRDefault="004B70EC">
            <w:pPr>
              <w:rPr>
                <w:rFonts w:ascii="Arial" w:hAnsi="Arial" w:cs="Arial"/>
                <w:b/>
                <w:bCs/>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 </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118</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Especialización</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30</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Maestría y Especialidades Clínicas</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73</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Doctorado</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15</w:t>
            </w:r>
          </w:p>
        </w:tc>
      </w:tr>
      <w:tr w:rsidR="004B70EC" w:rsidRPr="004B70EC" w:rsidTr="004B70EC">
        <w:trPr>
          <w:trHeight w:val="330"/>
          <w:jc w:val="center"/>
        </w:trPr>
        <w:tc>
          <w:tcPr>
            <w:tcW w:w="4032"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p w:rsidR="004B70EC" w:rsidRPr="004B70EC" w:rsidRDefault="004B70EC">
            <w:pPr>
              <w:jc w:val="center"/>
              <w:rPr>
                <w:rFonts w:ascii="Arial" w:hAnsi="Arial" w:cs="Arial"/>
                <w:color w:val="000000" w:themeColor="text1"/>
                <w:sz w:val="20"/>
                <w:szCs w:val="20"/>
                <w:lang w:val="es-ES_tradnl" w:eastAsia="es-ES_tradnl"/>
              </w:rPr>
            </w:pPr>
            <w:r w:rsidRPr="004B70EC">
              <w:rPr>
                <w:rFonts w:ascii="Arial" w:hAnsi="Arial" w:cs="Arial"/>
                <w:i/>
                <w:iCs/>
                <w:color w:val="000000" w:themeColor="text1"/>
                <w:sz w:val="20"/>
                <w:szCs w:val="20"/>
                <w:lang w:val="es-ES_tradnl" w:eastAsia="es-ES_tradnl"/>
              </w:rPr>
              <w:t>Sedes Regionales y Convenios</w:t>
            </w:r>
            <w:r w:rsidRPr="004B70EC">
              <w:rPr>
                <w:rFonts w:ascii="Arial" w:hAnsi="Arial" w:cs="Arial"/>
                <w:color w:val="000000" w:themeColor="text1"/>
                <w:sz w:val="20"/>
                <w:szCs w:val="20"/>
                <w:lang w:val="es-ES_tradnl" w:eastAsia="es-ES_tradnl"/>
              </w:rPr>
              <w:t> </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125</w:t>
            </w:r>
          </w:p>
        </w:tc>
      </w:tr>
      <w:tr w:rsidR="004B70EC" w:rsidRPr="004B70EC" w:rsidTr="004B70EC">
        <w:trPr>
          <w:trHeight w:val="360"/>
          <w:jc w:val="center"/>
        </w:trPr>
        <w:tc>
          <w:tcPr>
            <w:tcW w:w="1432" w:type="dxa"/>
            <w:vMerge w:val="restar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Pregrado</w:t>
            </w:r>
          </w:p>
          <w:p w:rsidR="004B70EC" w:rsidRPr="004B70EC" w:rsidRDefault="004B70EC">
            <w:pPr>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p w:rsidR="004B70EC" w:rsidRPr="004B70EC" w:rsidRDefault="004B70EC">
            <w:pPr>
              <w:rPr>
                <w:rFonts w:ascii="Arial" w:hAnsi="Arial" w:cs="Arial"/>
                <w:b/>
                <w:bCs/>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 </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117</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Tecnológico</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58</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Universitario</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59</w:t>
            </w:r>
          </w:p>
        </w:tc>
      </w:tr>
      <w:tr w:rsidR="004B70EC" w:rsidRPr="004B70EC" w:rsidTr="004B70EC">
        <w:trPr>
          <w:trHeight w:val="360"/>
          <w:jc w:val="center"/>
        </w:trPr>
        <w:tc>
          <w:tcPr>
            <w:tcW w:w="1432" w:type="dxa"/>
            <w:vMerge w:val="restart"/>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Posgrado</w:t>
            </w:r>
          </w:p>
          <w:p w:rsidR="004B70EC" w:rsidRPr="004B70EC" w:rsidRDefault="004B70EC">
            <w:pPr>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p w:rsidR="004B70EC" w:rsidRPr="004B70EC" w:rsidRDefault="004B70EC">
            <w:pPr>
              <w:rPr>
                <w:rFonts w:ascii="Arial" w:hAnsi="Arial" w:cs="Arial"/>
                <w:b/>
                <w:bCs/>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 </w:t>
            </w: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 </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b/>
                <w:bCs/>
                <w:color w:val="000000" w:themeColor="text1"/>
                <w:sz w:val="20"/>
                <w:szCs w:val="20"/>
                <w:lang w:val="es-ES_tradnl" w:eastAsia="es-ES_tradnl"/>
              </w:rPr>
            </w:pPr>
            <w:r w:rsidRPr="004B70EC">
              <w:rPr>
                <w:rFonts w:ascii="Arial" w:hAnsi="Arial" w:cs="Arial"/>
                <w:b/>
                <w:bCs/>
                <w:color w:val="000000" w:themeColor="text1"/>
                <w:sz w:val="20"/>
                <w:szCs w:val="20"/>
                <w:lang w:val="es-ES_tradnl" w:eastAsia="es-ES_tradnl"/>
              </w:rPr>
              <w:t>8</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Especialización</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3</w:t>
            </w:r>
          </w:p>
        </w:tc>
      </w:tr>
      <w:tr w:rsidR="004B70EC" w:rsidRPr="004B70EC" w:rsidTr="004B70EC">
        <w:trPr>
          <w:trHeight w:val="3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B70EC" w:rsidRPr="004B70EC" w:rsidRDefault="004B70EC">
            <w:pPr>
              <w:rPr>
                <w:rFonts w:ascii="Arial" w:hAnsi="Arial" w:cs="Arial"/>
                <w:b/>
                <w:bCs/>
                <w:color w:val="000000" w:themeColor="text1"/>
                <w:sz w:val="20"/>
                <w:szCs w:val="20"/>
                <w:lang w:val="es-ES_tradnl" w:eastAsia="es-ES_tradnl"/>
              </w:rPr>
            </w:pPr>
          </w:p>
        </w:tc>
        <w:tc>
          <w:tcPr>
            <w:tcW w:w="260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Maestría</w:t>
            </w:r>
          </w:p>
        </w:tc>
        <w:tc>
          <w:tcPr>
            <w:tcW w:w="215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0"/>
                <w:szCs w:val="20"/>
                <w:lang w:val="es-ES_tradnl" w:eastAsia="es-ES_tradnl"/>
              </w:rPr>
            </w:pPr>
            <w:r w:rsidRPr="004B70EC">
              <w:rPr>
                <w:rFonts w:ascii="Arial" w:hAnsi="Arial" w:cs="Arial"/>
                <w:color w:val="000000" w:themeColor="text1"/>
                <w:sz w:val="20"/>
                <w:szCs w:val="20"/>
                <w:lang w:val="es-ES_tradnl" w:eastAsia="es-ES_tradnl"/>
              </w:rPr>
              <w:t>5</w:t>
            </w:r>
          </w:p>
        </w:tc>
      </w:tr>
    </w:tbl>
    <w:p w:rsidR="004B70EC" w:rsidRPr="004B70EC" w:rsidRDefault="004B70EC" w:rsidP="004B70EC">
      <w:pPr>
        <w:pStyle w:val="Textoindependiente2"/>
        <w:ind w:left="1416"/>
        <w:jc w:val="both"/>
        <w:rPr>
          <w:rFonts w:ascii="Arial" w:hAnsi="Arial" w:cs="Arial"/>
          <w:b w:val="0"/>
          <w:color w:val="000000" w:themeColor="text1"/>
          <w:sz w:val="20"/>
          <w:lang w:val="es-ES_tradnl"/>
        </w:rPr>
      </w:pPr>
      <w:r w:rsidRPr="004B70EC">
        <w:rPr>
          <w:rFonts w:ascii="Arial" w:hAnsi="Arial" w:cs="Arial"/>
          <w:b w:val="0"/>
          <w:color w:val="000000" w:themeColor="text1"/>
          <w:sz w:val="20"/>
          <w:lang w:val="es-ES_tradnl"/>
        </w:rPr>
        <w:t xml:space="preserve">Fuente: OPDI, 2018. </w:t>
      </w:r>
      <w:r w:rsidRPr="004B70EC">
        <w:rPr>
          <w:rFonts w:ascii="Arial" w:hAnsi="Arial" w:cs="Arial"/>
          <w:b w:val="0"/>
          <w:bCs/>
          <w:color w:val="000000" w:themeColor="text1"/>
          <w:sz w:val="16"/>
          <w:lang w:val="es-ES_tradnl" w:eastAsia="es-ES_tradnl"/>
        </w:rPr>
        <w:t>Corte: Noviembre de 2017</w:t>
      </w:r>
    </w:p>
    <w:p w:rsidR="004B70EC" w:rsidRPr="004B70EC" w:rsidRDefault="004B70EC" w:rsidP="004B70EC">
      <w:pPr>
        <w:pStyle w:val="Textoindependiente2"/>
        <w:jc w:val="both"/>
        <w:rPr>
          <w:rFonts w:ascii="Arial" w:hAnsi="Arial" w:cs="Arial"/>
          <w:b w:val="0"/>
          <w:color w:val="FF0000"/>
          <w:lang w:val="es-ES_tradnl"/>
        </w:rPr>
      </w:pPr>
    </w:p>
    <w:p w:rsidR="004B70EC" w:rsidRPr="004B70EC" w:rsidRDefault="004B70EC" w:rsidP="004B70EC">
      <w:pPr>
        <w:pStyle w:val="Textoindependiente2"/>
        <w:jc w:val="both"/>
        <w:rPr>
          <w:rFonts w:ascii="Arial" w:hAnsi="Arial" w:cs="Arial"/>
          <w:b w:val="0"/>
          <w:color w:val="000000" w:themeColor="text1"/>
          <w:lang w:val="es-ES_tradnl"/>
        </w:rPr>
      </w:pPr>
      <w:r w:rsidRPr="004B70EC">
        <w:rPr>
          <w:rFonts w:ascii="Arial" w:hAnsi="Arial" w:cs="Arial"/>
          <w:b w:val="0"/>
          <w:color w:val="000000" w:themeColor="text1"/>
          <w:lang w:val="es-ES_tradnl"/>
        </w:rPr>
        <w:t>Así mismo los estudiantes matriculados para este periodo son 29401, distribuidos de la siguiente forma</w:t>
      </w:r>
    </w:p>
    <w:p w:rsidR="004B70EC" w:rsidRPr="004B70EC" w:rsidRDefault="004B70EC" w:rsidP="004B70EC">
      <w:pPr>
        <w:pStyle w:val="Textoindependiente2"/>
        <w:jc w:val="both"/>
        <w:rPr>
          <w:rFonts w:ascii="Arial" w:hAnsi="Arial" w:cs="Arial"/>
          <w:b w:val="0"/>
          <w:color w:val="000000" w:themeColor="text1"/>
          <w:lang w:val="es-ES_tradnl"/>
        </w:rPr>
      </w:pPr>
    </w:p>
    <w:p w:rsidR="004B70EC" w:rsidRPr="004B70EC" w:rsidRDefault="004B70EC" w:rsidP="004B70EC">
      <w:pPr>
        <w:pStyle w:val="Estilo1"/>
        <w:spacing w:line="240" w:lineRule="auto"/>
        <w:jc w:val="both"/>
        <w:rPr>
          <w:rFonts w:ascii="Arial" w:hAnsi="Arial" w:cs="Arial"/>
          <w:color w:val="000000" w:themeColor="text1"/>
          <w:sz w:val="22"/>
          <w:lang w:val="es-ES_tradnl"/>
        </w:rPr>
      </w:pPr>
      <w:r w:rsidRPr="004B70EC">
        <w:rPr>
          <w:rFonts w:ascii="Arial" w:hAnsi="Arial" w:cs="Arial"/>
          <w:b/>
          <w:color w:val="000000" w:themeColor="text1"/>
          <w:sz w:val="22"/>
          <w:lang w:val="es-ES_tradnl"/>
        </w:rPr>
        <w:t>Tabla 9.</w:t>
      </w:r>
      <w:r w:rsidRPr="004B70EC">
        <w:rPr>
          <w:rFonts w:ascii="Arial" w:hAnsi="Arial" w:cs="Arial"/>
          <w:color w:val="000000" w:themeColor="text1"/>
          <w:sz w:val="22"/>
          <w:lang w:val="es-ES_tradnl"/>
        </w:rPr>
        <w:t xml:space="preserve"> Estudiantes matriculados</w:t>
      </w:r>
    </w:p>
    <w:tbl>
      <w:tblPr>
        <w:tblW w:w="52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21"/>
        <w:gridCol w:w="1535"/>
      </w:tblGrid>
      <w:tr w:rsidR="004B70EC" w:rsidRPr="004B70EC" w:rsidTr="004B70EC">
        <w:trPr>
          <w:trHeight w:val="33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color w:val="000000" w:themeColor="text1"/>
                <w:sz w:val="21"/>
                <w:szCs w:val="20"/>
                <w:lang w:val="es-ES_tradnl" w:eastAsia="es-ES_tradnl"/>
              </w:rPr>
            </w:pPr>
            <w:r w:rsidRPr="004B70EC">
              <w:rPr>
                <w:rFonts w:ascii="Arial" w:hAnsi="Arial" w:cs="Arial"/>
                <w:b/>
                <w:iCs/>
                <w:color w:val="000000" w:themeColor="text1"/>
                <w:sz w:val="21"/>
                <w:szCs w:val="28"/>
                <w:lang w:val="es-ES_tradnl" w:eastAsia="es-ES_tradnl"/>
              </w:rPr>
              <w:t>Nivel de Formación</w:t>
            </w:r>
            <w:r w:rsidRPr="004B70EC">
              <w:rPr>
                <w:rFonts w:ascii="Arial" w:hAnsi="Arial" w:cs="Arial"/>
                <w:b/>
                <w:color w:val="000000" w:themeColor="text1"/>
                <w:sz w:val="21"/>
                <w:szCs w:val="20"/>
                <w:lang w:val="es-ES_tradnl" w:eastAsia="es-ES_tradnl"/>
              </w:rPr>
              <w:t> </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color w:val="000000" w:themeColor="text1"/>
                <w:sz w:val="21"/>
                <w:szCs w:val="32"/>
                <w:lang w:val="es-ES_tradnl" w:eastAsia="es-ES_tradnl"/>
              </w:rPr>
            </w:pPr>
            <w:r w:rsidRPr="004B70EC">
              <w:rPr>
                <w:rFonts w:ascii="Arial" w:hAnsi="Arial" w:cs="Arial"/>
                <w:b/>
                <w:color w:val="000000" w:themeColor="text1"/>
                <w:sz w:val="21"/>
                <w:szCs w:val="32"/>
                <w:lang w:val="es-ES_tradnl" w:eastAsia="es-ES_tradnl"/>
              </w:rPr>
              <w:t> </w:t>
            </w:r>
          </w:p>
        </w:tc>
      </w:tr>
      <w:tr w:rsidR="004B70EC" w:rsidRPr="004B70EC" w:rsidTr="004B70EC">
        <w:trPr>
          <w:trHeight w:val="36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ind w:firstLineChars="600" w:firstLine="1260"/>
              <w:jc w:val="right"/>
              <w:rPr>
                <w:rFonts w:ascii="Arial" w:hAnsi="Arial" w:cs="Arial"/>
                <w:b/>
                <w:bCs/>
                <w:color w:val="000000" w:themeColor="text1"/>
                <w:sz w:val="21"/>
                <w:lang w:val="es-ES_tradnl" w:eastAsia="es-ES_tradnl"/>
              </w:rPr>
            </w:pPr>
            <w:r w:rsidRPr="004B70EC">
              <w:rPr>
                <w:rFonts w:ascii="Arial" w:hAnsi="Arial" w:cs="Arial"/>
                <w:b/>
                <w:bCs/>
                <w:color w:val="000000" w:themeColor="text1"/>
                <w:sz w:val="21"/>
                <w:lang w:val="es-ES_tradnl" w:eastAsia="es-ES_tradnl"/>
              </w:rPr>
              <w:t>Pregrado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8"/>
                <w:lang w:val="es-ES_tradnl" w:eastAsia="es-ES_tradnl"/>
              </w:rPr>
            </w:pPr>
            <w:r w:rsidRPr="004B70EC">
              <w:rPr>
                <w:rFonts w:ascii="Arial" w:hAnsi="Arial" w:cs="Arial"/>
                <w:color w:val="000000" w:themeColor="text1"/>
                <w:sz w:val="21"/>
                <w:szCs w:val="28"/>
                <w:lang w:val="es-ES_tradnl" w:eastAsia="es-ES_tradnl"/>
              </w:rPr>
              <w:t>25692</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Tecnológico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4176</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Universitario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21516</w:t>
            </w:r>
          </w:p>
        </w:tc>
      </w:tr>
      <w:tr w:rsidR="004B70EC" w:rsidRPr="004B70EC" w:rsidTr="004B70EC">
        <w:trPr>
          <w:trHeight w:val="36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ind w:firstLineChars="600" w:firstLine="1260"/>
              <w:jc w:val="right"/>
              <w:rPr>
                <w:rFonts w:ascii="Arial" w:hAnsi="Arial" w:cs="Arial"/>
                <w:b/>
                <w:bCs/>
                <w:color w:val="000000" w:themeColor="text1"/>
                <w:sz w:val="21"/>
                <w:lang w:val="es-ES_tradnl" w:eastAsia="es-ES_tradnl"/>
              </w:rPr>
            </w:pPr>
            <w:r w:rsidRPr="004B70EC">
              <w:rPr>
                <w:rFonts w:ascii="Arial" w:hAnsi="Arial" w:cs="Arial"/>
                <w:b/>
                <w:bCs/>
                <w:color w:val="000000" w:themeColor="text1"/>
                <w:sz w:val="21"/>
                <w:lang w:val="es-ES_tradnl" w:eastAsia="es-ES_tradnl"/>
              </w:rPr>
              <w:t>Posgrado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8"/>
                <w:lang w:val="es-ES_tradnl" w:eastAsia="es-ES_tradnl"/>
              </w:rPr>
            </w:pPr>
            <w:r w:rsidRPr="004B70EC">
              <w:rPr>
                <w:rFonts w:ascii="Arial" w:hAnsi="Arial" w:cs="Arial"/>
                <w:color w:val="000000" w:themeColor="text1"/>
                <w:sz w:val="21"/>
                <w:szCs w:val="28"/>
                <w:lang w:val="es-ES_tradnl" w:eastAsia="es-ES_tradnl"/>
              </w:rPr>
              <w:t>3709</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Especialización</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512</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Maestría y Especialidades Clínicas</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2674</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Doctorado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523</w:t>
            </w:r>
          </w:p>
        </w:tc>
      </w:tr>
      <w:tr w:rsidR="004B70EC" w:rsidRPr="004B70EC" w:rsidTr="004B70EC">
        <w:trPr>
          <w:trHeight w:val="15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color w:val="000000" w:themeColor="text1"/>
                <w:sz w:val="21"/>
                <w:szCs w:val="20"/>
                <w:lang w:val="es-ES_tradnl" w:eastAsia="es-ES_tradnl"/>
              </w:rPr>
            </w:pPr>
            <w:r w:rsidRPr="004B70EC">
              <w:rPr>
                <w:rFonts w:ascii="Arial" w:hAnsi="Arial" w:cs="Arial"/>
                <w:b/>
                <w:color w:val="000000" w:themeColor="text1"/>
                <w:sz w:val="21"/>
                <w:szCs w:val="20"/>
                <w:lang w:val="es-ES_tradnl" w:eastAsia="es-ES_tradnl"/>
              </w:rPr>
              <w:t> </w:t>
            </w:r>
            <w:r w:rsidRPr="004B70EC">
              <w:rPr>
                <w:rFonts w:ascii="Arial" w:hAnsi="Arial" w:cs="Arial"/>
                <w:b/>
                <w:iCs/>
                <w:color w:val="000000" w:themeColor="text1"/>
                <w:sz w:val="21"/>
                <w:szCs w:val="28"/>
                <w:lang w:val="es-ES_tradnl" w:eastAsia="es-ES_tradnl"/>
              </w:rPr>
              <w:t>Sede</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b/>
                <w:color w:val="000000" w:themeColor="text1"/>
                <w:sz w:val="21"/>
                <w:szCs w:val="20"/>
                <w:lang w:val="es-ES_tradnl" w:eastAsia="es-ES_tradnl"/>
              </w:rPr>
            </w:pPr>
            <w:r w:rsidRPr="004B70EC">
              <w:rPr>
                <w:rFonts w:ascii="Arial" w:hAnsi="Arial" w:cs="Arial"/>
                <w:b/>
                <w:color w:val="000000" w:themeColor="text1"/>
                <w:sz w:val="21"/>
                <w:szCs w:val="20"/>
                <w:lang w:val="es-ES_tradnl" w:eastAsia="es-ES_tradnl"/>
              </w:rPr>
              <w:t> </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color w:val="000000" w:themeColor="text1"/>
                <w:sz w:val="21"/>
                <w:szCs w:val="20"/>
                <w:lang w:val="es-ES_tradnl" w:eastAsia="es-ES_tradnl"/>
              </w:rPr>
            </w:pPr>
            <w:r w:rsidRPr="004B70EC">
              <w:rPr>
                <w:rFonts w:ascii="Arial" w:hAnsi="Arial" w:cs="Arial"/>
                <w:b/>
                <w:bCs/>
                <w:color w:val="000000" w:themeColor="text1"/>
                <w:sz w:val="21"/>
                <w:lang w:val="es-ES_tradnl" w:eastAsia="es-ES_tradnl"/>
              </w:rPr>
              <w:t>Pregrado</w:t>
            </w:r>
            <w:r w:rsidRPr="004B70EC">
              <w:rPr>
                <w:rFonts w:ascii="Arial" w:hAnsi="Arial" w:cs="Arial"/>
                <w:color w:val="000000" w:themeColor="text1"/>
                <w:sz w:val="21"/>
                <w:szCs w:val="20"/>
                <w:lang w:val="es-ES_tradnl" w:eastAsia="es-ES_tradnl"/>
              </w:rPr>
              <w:t> </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center"/>
              <w:rPr>
                <w:rFonts w:ascii="Arial" w:hAnsi="Arial" w:cs="Arial"/>
                <w:color w:val="000000" w:themeColor="text1"/>
                <w:sz w:val="21"/>
                <w:szCs w:val="20"/>
                <w:lang w:val="es-ES_tradnl" w:eastAsia="es-ES_tradnl"/>
              </w:rPr>
            </w:pPr>
            <w:r w:rsidRPr="004B70EC">
              <w:rPr>
                <w:rFonts w:ascii="Arial" w:hAnsi="Arial" w:cs="Arial"/>
                <w:color w:val="000000" w:themeColor="text1"/>
                <w:sz w:val="21"/>
                <w:szCs w:val="20"/>
                <w:lang w:val="es-ES_tradnl" w:eastAsia="es-ES_tradnl"/>
              </w:rPr>
              <w:t> </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Cali</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15398</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Buga</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1375</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Yumbo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586</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Caicedonia</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536</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Santander de Quilichao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1264</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Cartago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667</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Pacífico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1551</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Palmira</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1845</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Tuluá</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1281</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Zarzal</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1189</w:t>
            </w:r>
          </w:p>
        </w:tc>
      </w:tr>
      <w:tr w:rsidR="004B70EC" w:rsidRPr="004B70EC" w:rsidTr="004B70EC">
        <w:trPr>
          <w:trHeight w:val="36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ind w:firstLineChars="600" w:firstLine="1260"/>
              <w:jc w:val="right"/>
              <w:rPr>
                <w:rFonts w:ascii="Arial" w:hAnsi="Arial" w:cs="Arial"/>
                <w:b/>
                <w:bCs/>
                <w:color w:val="000000" w:themeColor="text1"/>
                <w:sz w:val="21"/>
                <w:lang w:val="es-ES_tradnl" w:eastAsia="es-ES_tradnl"/>
              </w:rPr>
            </w:pPr>
            <w:r w:rsidRPr="004B70EC">
              <w:rPr>
                <w:rFonts w:ascii="Arial" w:hAnsi="Arial" w:cs="Arial"/>
                <w:b/>
                <w:bCs/>
                <w:color w:val="000000" w:themeColor="text1"/>
                <w:sz w:val="21"/>
                <w:lang w:val="es-ES_tradnl" w:eastAsia="es-ES_tradnl"/>
              </w:rPr>
              <w:t>Posgrado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rPr>
                <w:rFonts w:ascii="Arial" w:hAnsi="Arial" w:cs="Arial"/>
                <w:color w:val="000000" w:themeColor="text1"/>
                <w:sz w:val="21"/>
                <w:szCs w:val="28"/>
                <w:lang w:val="es-ES_tradnl" w:eastAsia="es-ES_tradnl"/>
              </w:rPr>
            </w:pPr>
            <w:r w:rsidRPr="004B70EC">
              <w:rPr>
                <w:rFonts w:ascii="Arial" w:hAnsi="Arial" w:cs="Arial"/>
                <w:color w:val="000000" w:themeColor="text1"/>
                <w:sz w:val="21"/>
                <w:szCs w:val="28"/>
                <w:lang w:val="es-ES_tradnl" w:eastAsia="es-ES_tradnl"/>
              </w:rPr>
              <w:t> </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Cali</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3411</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Cartago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26</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Pacífico</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12</w:t>
            </w:r>
          </w:p>
        </w:tc>
      </w:tr>
      <w:tr w:rsidR="004B70EC" w:rsidRPr="004B70EC" w:rsidTr="004B70EC">
        <w:trPr>
          <w:trHeight w:val="320"/>
          <w:jc w:val="center"/>
        </w:trPr>
        <w:tc>
          <w:tcPr>
            <w:tcW w:w="37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lang w:val="es-ES_tradnl" w:eastAsia="es-ES_tradnl"/>
              </w:rPr>
            </w:pPr>
            <w:r w:rsidRPr="004B70EC">
              <w:rPr>
                <w:rFonts w:ascii="Arial" w:hAnsi="Arial" w:cs="Arial"/>
                <w:color w:val="000000" w:themeColor="text1"/>
                <w:sz w:val="21"/>
                <w:lang w:val="es-ES_tradnl" w:eastAsia="es-ES_tradnl"/>
              </w:rPr>
              <w:t>Zarzal</w:t>
            </w:r>
          </w:p>
        </w:tc>
        <w:tc>
          <w:tcPr>
            <w:tcW w:w="1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4B70EC" w:rsidRPr="004B70EC" w:rsidRDefault="004B70EC">
            <w:pPr>
              <w:jc w:val="right"/>
              <w:rPr>
                <w:rFonts w:ascii="Arial" w:hAnsi="Arial" w:cs="Arial"/>
                <w:color w:val="000000" w:themeColor="text1"/>
                <w:sz w:val="21"/>
                <w:szCs w:val="22"/>
                <w:lang w:val="es-ES_tradnl" w:eastAsia="es-ES_tradnl"/>
              </w:rPr>
            </w:pPr>
            <w:r w:rsidRPr="004B70EC">
              <w:rPr>
                <w:rFonts w:ascii="Arial" w:hAnsi="Arial" w:cs="Arial"/>
                <w:color w:val="000000" w:themeColor="text1"/>
                <w:sz w:val="21"/>
                <w:lang w:val="es-ES_tradnl" w:eastAsia="es-ES_tradnl"/>
              </w:rPr>
              <w:t>9</w:t>
            </w:r>
          </w:p>
        </w:tc>
      </w:tr>
    </w:tbl>
    <w:p w:rsidR="004B70EC" w:rsidRPr="004B70EC" w:rsidRDefault="004B70EC" w:rsidP="004B70EC">
      <w:pPr>
        <w:pStyle w:val="Textoindependiente2"/>
        <w:ind w:left="2124"/>
        <w:jc w:val="both"/>
        <w:rPr>
          <w:rFonts w:ascii="Arial" w:hAnsi="Arial" w:cs="Arial"/>
          <w:b w:val="0"/>
          <w:color w:val="000000" w:themeColor="text1"/>
          <w:sz w:val="20"/>
          <w:lang w:val="es-ES_tradnl"/>
        </w:rPr>
      </w:pPr>
      <w:r w:rsidRPr="004B70EC">
        <w:rPr>
          <w:rFonts w:ascii="Arial" w:hAnsi="Arial" w:cs="Arial"/>
          <w:b w:val="0"/>
          <w:color w:val="000000" w:themeColor="text1"/>
          <w:sz w:val="20"/>
          <w:lang w:val="es-ES_tradnl"/>
        </w:rPr>
        <w:t xml:space="preserve">Fuente: OPDI, 2018. </w:t>
      </w:r>
      <w:r w:rsidRPr="004B70EC">
        <w:rPr>
          <w:rFonts w:ascii="Arial" w:hAnsi="Arial" w:cs="Arial"/>
          <w:b w:val="0"/>
          <w:bCs/>
          <w:color w:val="000000" w:themeColor="text1"/>
          <w:sz w:val="16"/>
          <w:lang w:val="es-ES_tradnl" w:eastAsia="es-ES_tradnl"/>
        </w:rPr>
        <w:t>Corte: Noviembre de 2017</w:t>
      </w:r>
    </w:p>
    <w:p w:rsidR="004B70EC" w:rsidRPr="004B70EC" w:rsidRDefault="004B70EC" w:rsidP="004B70EC">
      <w:pPr>
        <w:pStyle w:val="Textoindependiente2"/>
        <w:jc w:val="both"/>
        <w:rPr>
          <w:rFonts w:ascii="Arial" w:hAnsi="Arial" w:cs="Arial"/>
          <w:b w:val="0"/>
          <w:lang w:val="es-ES_tradnl"/>
        </w:rPr>
      </w:pPr>
    </w:p>
    <w:p w:rsidR="004B70EC" w:rsidRPr="004B70EC" w:rsidRDefault="004B70EC" w:rsidP="004B70EC">
      <w:pPr>
        <w:pStyle w:val="Textoindependiente2"/>
        <w:jc w:val="both"/>
        <w:rPr>
          <w:rFonts w:ascii="Arial" w:hAnsi="Arial" w:cs="Arial"/>
          <w:b w:val="0"/>
          <w:color w:val="000000" w:themeColor="text1"/>
          <w:lang w:val="es-ES_tradnl"/>
        </w:rPr>
      </w:pPr>
      <w:r w:rsidRPr="004B70EC">
        <w:rPr>
          <w:rFonts w:ascii="Arial" w:hAnsi="Arial" w:cs="Arial"/>
          <w:b w:val="0"/>
          <w:color w:val="000000" w:themeColor="text1"/>
          <w:lang w:val="es-ES_tradnl"/>
        </w:rPr>
        <w:t>El crecimiento de los estudiantes de pregrado en las sedes regionales y de estudiantes de posgrados en la sede de Cali, son uno de los principales resultados de la evolución de la Universidad desde el año 1991. Para el año 2025 la Universidad con los recursos de inversión apropiados está en la disposición de hacer un aumento significativo de la cobertura, tanto en la metodología presencial, como en metodología virtual, a nivel de pregrado y de posgrados.</w:t>
      </w:r>
    </w:p>
    <w:p w:rsidR="004B70EC" w:rsidRPr="004B70EC" w:rsidRDefault="004B70EC" w:rsidP="004B70EC">
      <w:pPr>
        <w:pStyle w:val="Textoindependiente2"/>
        <w:jc w:val="both"/>
        <w:rPr>
          <w:rFonts w:ascii="Arial" w:hAnsi="Arial" w:cs="Arial"/>
          <w:b w:val="0"/>
          <w:color w:val="000000" w:themeColor="text1"/>
          <w:lang w:val="es-ES_tradnl"/>
        </w:rPr>
      </w:pPr>
    </w:p>
    <w:p w:rsidR="004B70EC" w:rsidRPr="004B70EC" w:rsidRDefault="004B70EC" w:rsidP="004B70EC">
      <w:pPr>
        <w:pStyle w:val="Textoindependiente2"/>
        <w:jc w:val="both"/>
        <w:rPr>
          <w:rFonts w:ascii="Arial" w:hAnsi="Arial" w:cs="Arial"/>
          <w:b w:val="0"/>
          <w:color w:val="000000" w:themeColor="text1"/>
          <w:lang w:val="es-ES_tradnl"/>
        </w:rPr>
      </w:pPr>
      <w:r w:rsidRPr="004B70EC">
        <w:rPr>
          <w:rFonts w:ascii="Arial" w:hAnsi="Arial" w:cs="Arial"/>
          <w:b w:val="0"/>
          <w:color w:val="000000" w:themeColor="text1"/>
          <w:lang w:val="es-ES_tradnl"/>
        </w:rPr>
        <w:t>Los recursos de la estampilla han permitido la consolidación de la Universidad en sus procesos de autoevaluación y acreditación institucional y de alta calidad de sus programas académicos, que la han llevado a ser reconocida por el Ministerio de Educación Nacional como personaje del año 2016, por ser la Universidad con el mayor número de programas acreditados en una vigencia. La Universidad del Valle es una de las 4 universidades en Colombia con el mayor número de años de acreditación (10 Años) hasta el año 2024. Para iniciar el nuevo proceso de re acreditación y lograr estar entre las principales Universidades, se requieren de los recursos de inversión de la estampilla,  la evolución de este proceso se resumen en la siguiente figura.</w:t>
      </w:r>
    </w:p>
    <w:p w:rsidR="004B70EC" w:rsidRPr="004B70EC" w:rsidRDefault="004B70EC" w:rsidP="004B70EC">
      <w:pPr>
        <w:pStyle w:val="Textoindependiente2"/>
        <w:jc w:val="both"/>
        <w:rPr>
          <w:rFonts w:ascii="Arial" w:hAnsi="Arial" w:cs="Arial"/>
          <w:b w:val="0"/>
          <w:color w:val="000000" w:themeColor="text1"/>
          <w:lang w:val="es-ES_tradnl"/>
        </w:rPr>
      </w:pPr>
    </w:p>
    <w:p w:rsidR="004B70EC" w:rsidRPr="004B70EC" w:rsidRDefault="004B70EC" w:rsidP="004B70EC">
      <w:pPr>
        <w:pStyle w:val="figuras"/>
        <w:spacing w:line="240" w:lineRule="auto"/>
        <w:jc w:val="both"/>
        <w:rPr>
          <w:rFonts w:ascii="Arial" w:hAnsi="Arial" w:cs="Arial"/>
          <w:noProof/>
          <w:lang w:val="es-ES_tradnl"/>
        </w:rPr>
      </w:pPr>
      <w:r w:rsidRPr="004B70EC">
        <w:rPr>
          <w:rFonts w:ascii="Arial" w:hAnsi="Arial" w:cs="Arial"/>
          <w:b/>
          <w:sz w:val="22"/>
          <w:lang w:val="es-ES_tradnl"/>
        </w:rPr>
        <w:t>Figura 4</w:t>
      </w:r>
      <w:r w:rsidRPr="004B70EC">
        <w:rPr>
          <w:rFonts w:ascii="Arial" w:hAnsi="Arial" w:cs="Arial"/>
          <w:sz w:val="22"/>
          <w:lang w:val="es-ES_tradnl"/>
        </w:rPr>
        <w:t>. Proceso de acreditación institucional</w:t>
      </w:r>
    </w:p>
    <w:p w:rsidR="004B70EC" w:rsidRPr="004B70EC" w:rsidRDefault="004B70EC" w:rsidP="004B70EC">
      <w:pPr>
        <w:pStyle w:val="Textoindependiente2"/>
        <w:jc w:val="both"/>
        <w:rPr>
          <w:rFonts w:ascii="Arial" w:hAnsi="Arial" w:cs="Arial"/>
          <w:b w:val="0"/>
          <w:color w:val="FF0000"/>
          <w:lang w:val="es-ES_tradnl"/>
        </w:rPr>
      </w:pPr>
    </w:p>
    <w:p w:rsidR="004B70EC" w:rsidRPr="004B70EC" w:rsidRDefault="004B70EC" w:rsidP="004B70EC">
      <w:pPr>
        <w:pStyle w:val="Textoindependiente2"/>
        <w:jc w:val="both"/>
        <w:rPr>
          <w:rFonts w:ascii="Arial" w:hAnsi="Arial" w:cs="Arial"/>
          <w:b w:val="0"/>
          <w:color w:val="FF0000"/>
          <w:lang w:val="es-ES_tradnl"/>
        </w:rPr>
      </w:pPr>
      <w:r w:rsidRPr="004B70EC">
        <w:rPr>
          <w:rFonts w:ascii="Arial" w:hAnsi="Arial" w:cs="Arial"/>
          <w:b w:val="0"/>
          <w:noProof/>
          <w:color w:val="FF0000"/>
          <w:lang w:val="es-CO" w:eastAsia="es-CO"/>
        </w:rPr>
        <w:drawing>
          <wp:inline distT="0" distB="0" distL="0" distR="0" wp14:anchorId="5F1A37F6" wp14:editId="0BE1C3BE">
            <wp:extent cx="5572125" cy="3571875"/>
            <wp:effectExtent l="0" t="0" r="952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2">
                      <a:extLst>
                        <a:ext uri="{28A0092B-C50C-407E-A947-70E740481C1C}">
                          <a14:useLocalDpi xmlns:a14="http://schemas.microsoft.com/office/drawing/2010/main" val="0"/>
                        </a:ext>
                      </a:extLst>
                    </a:blip>
                    <a:srcRect t="2724" r="703" b="3343"/>
                    <a:stretch>
                      <a:fillRect/>
                    </a:stretch>
                  </pic:blipFill>
                  <pic:spPr bwMode="auto">
                    <a:xfrm>
                      <a:off x="0" y="0"/>
                      <a:ext cx="5572125" cy="3571875"/>
                    </a:xfrm>
                    <a:prstGeom prst="rect">
                      <a:avLst/>
                    </a:prstGeom>
                    <a:noFill/>
                    <a:ln>
                      <a:noFill/>
                    </a:ln>
                  </pic:spPr>
                </pic:pic>
              </a:graphicData>
            </a:graphic>
          </wp:inline>
        </w:drawing>
      </w:r>
    </w:p>
    <w:p w:rsidR="004B70EC" w:rsidRPr="004B70EC" w:rsidRDefault="004B70EC" w:rsidP="004B70EC">
      <w:pPr>
        <w:pStyle w:val="Textoindependiente2"/>
        <w:jc w:val="both"/>
        <w:rPr>
          <w:rFonts w:ascii="Arial" w:hAnsi="Arial" w:cs="Arial"/>
          <w:b w:val="0"/>
          <w:sz w:val="20"/>
          <w:lang w:val="es-ES_tradnl"/>
        </w:rPr>
      </w:pPr>
      <w:r w:rsidRPr="004B70EC">
        <w:rPr>
          <w:rFonts w:ascii="Arial" w:hAnsi="Arial" w:cs="Arial"/>
          <w:b w:val="0"/>
          <w:sz w:val="20"/>
          <w:lang w:val="es-ES_tradnl"/>
        </w:rPr>
        <w:t>Fuente: DACA, 2018.</w:t>
      </w:r>
    </w:p>
    <w:p w:rsidR="004B70EC" w:rsidRPr="004B70EC" w:rsidRDefault="004B70EC" w:rsidP="004B70EC">
      <w:pPr>
        <w:pStyle w:val="Textoindependiente2"/>
        <w:jc w:val="both"/>
        <w:rPr>
          <w:rFonts w:ascii="Arial" w:hAnsi="Arial" w:cs="Arial"/>
          <w:b w:val="0"/>
          <w:color w:val="FF0000"/>
          <w:lang w:val="es-ES_tradnl"/>
        </w:rPr>
      </w:pPr>
    </w:p>
    <w:p w:rsidR="004B70EC" w:rsidRPr="004B70EC" w:rsidRDefault="004B70EC" w:rsidP="004B70EC">
      <w:pPr>
        <w:pStyle w:val="Textoindependiente2"/>
        <w:jc w:val="both"/>
        <w:rPr>
          <w:rFonts w:ascii="Arial" w:hAnsi="Arial" w:cs="Arial"/>
          <w:b w:val="0"/>
          <w:color w:val="000000" w:themeColor="text1"/>
          <w:lang w:val="es-ES_tradnl"/>
        </w:rPr>
      </w:pPr>
      <w:r w:rsidRPr="004B70EC">
        <w:rPr>
          <w:rFonts w:ascii="Arial" w:hAnsi="Arial" w:cs="Arial"/>
          <w:b w:val="0"/>
          <w:color w:val="000000" w:themeColor="text1"/>
          <w:lang w:val="es-ES_tradnl"/>
        </w:rPr>
        <w:t>Es importante reconocer los esfuerzos que ha venido realizando la Universidad para el logro de acreditaciones internacionales a nivel de programas y de facultades.</w:t>
      </w:r>
    </w:p>
    <w:p w:rsidR="004B70EC" w:rsidRPr="004B70EC" w:rsidRDefault="004B70EC" w:rsidP="004B70EC">
      <w:pPr>
        <w:pStyle w:val="Textoindependiente2"/>
        <w:jc w:val="both"/>
        <w:rPr>
          <w:rFonts w:ascii="Arial" w:hAnsi="Arial" w:cs="Arial"/>
          <w:b w:val="0"/>
          <w:color w:val="000000" w:themeColor="text1"/>
          <w:lang w:val="es-ES_tradnl"/>
        </w:rPr>
      </w:pPr>
    </w:p>
    <w:p w:rsidR="004B70EC" w:rsidRPr="004B70EC" w:rsidRDefault="004B70EC" w:rsidP="004B70EC">
      <w:pPr>
        <w:pStyle w:val="Textoindependiente2"/>
        <w:jc w:val="both"/>
        <w:rPr>
          <w:rFonts w:ascii="Arial" w:hAnsi="Arial" w:cs="Arial"/>
          <w:b w:val="0"/>
          <w:color w:val="000000" w:themeColor="text1"/>
          <w:lang w:val="es-ES_tradnl"/>
        </w:rPr>
      </w:pPr>
      <w:r w:rsidRPr="004B70EC">
        <w:rPr>
          <w:rFonts w:ascii="Arial" w:hAnsi="Arial" w:cs="Arial"/>
          <w:b w:val="0"/>
          <w:color w:val="000000" w:themeColor="text1"/>
          <w:lang w:val="es-ES_tradnl"/>
        </w:rPr>
        <w:t>Los recursos de estampilla han permitido consolidar una plata de profesores que pueden desarrollar cada una de las funciones sustantivas de la institución, ya que se disponen recursos para la investigación y para el fortalecimiento de la infraestructura. La conformación de la planta actual de docentes se observa a continuación:</w:t>
      </w:r>
    </w:p>
    <w:p w:rsidR="004B70EC" w:rsidRPr="004B70EC" w:rsidRDefault="004B70EC" w:rsidP="004B70EC">
      <w:pPr>
        <w:pStyle w:val="Textoindependiente2"/>
        <w:jc w:val="both"/>
        <w:rPr>
          <w:rFonts w:ascii="Arial" w:hAnsi="Arial" w:cs="Arial"/>
          <w:b w:val="0"/>
          <w:color w:val="000000" w:themeColor="text1"/>
          <w:lang w:val="es-ES_tradnl"/>
        </w:rPr>
      </w:pPr>
    </w:p>
    <w:p w:rsidR="004B70EC" w:rsidRPr="004B70EC" w:rsidRDefault="004B70EC" w:rsidP="004B70EC">
      <w:pPr>
        <w:pStyle w:val="figuras"/>
        <w:spacing w:line="240" w:lineRule="auto"/>
        <w:jc w:val="both"/>
        <w:rPr>
          <w:rFonts w:ascii="Arial" w:hAnsi="Arial" w:cs="Arial"/>
          <w:noProof/>
          <w:lang w:val="es-ES_tradnl"/>
        </w:rPr>
      </w:pPr>
      <w:r w:rsidRPr="004B70EC">
        <w:rPr>
          <w:rFonts w:ascii="Arial" w:hAnsi="Arial" w:cs="Arial"/>
          <w:b/>
          <w:sz w:val="22"/>
          <w:lang w:val="es-ES_tradnl"/>
        </w:rPr>
        <w:t>Tabla 10</w:t>
      </w:r>
      <w:r w:rsidRPr="004B70EC">
        <w:rPr>
          <w:rFonts w:ascii="Arial" w:hAnsi="Arial" w:cs="Arial"/>
          <w:sz w:val="22"/>
          <w:lang w:val="es-ES_tradnl"/>
        </w:rPr>
        <w:t>. Planta docente</w:t>
      </w:r>
    </w:p>
    <w:tbl>
      <w:tblPr>
        <w:tblW w:w="7196" w:type="dxa"/>
        <w:tblCellMar>
          <w:left w:w="0" w:type="dxa"/>
          <w:right w:w="0" w:type="dxa"/>
        </w:tblCellMar>
        <w:tblLook w:val="0600" w:firstRow="0" w:lastRow="0" w:firstColumn="0" w:lastColumn="0" w:noHBand="1" w:noVBand="1"/>
      </w:tblPr>
      <w:tblGrid>
        <w:gridCol w:w="1809"/>
        <w:gridCol w:w="1418"/>
        <w:gridCol w:w="1276"/>
        <w:gridCol w:w="1417"/>
        <w:gridCol w:w="1276"/>
      </w:tblGrid>
      <w:tr w:rsidR="004B70EC" w:rsidRPr="004B70EC" w:rsidTr="004B70EC">
        <w:trPr>
          <w:trHeight w:val="283"/>
        </w:trPr>
        <w:tc>
          <w:tcPr>
            <w:tcW w:w="1809"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 </w:t>
            </w:r>
          </w:p>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bCs/>
                <w:sz w:val="16"/>
                <w:lang w:val="es-MX"/>
              </w:rPr>
              <w:t>SEDES CALI</w:t>
            </w:r>
          </w:p>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FACULTADES / INSTITUTOS</w:t>
            </w:r>
          </w:p>
        </w:tc>
        <w:tc>
          <w:tcPr>
            <w:tcW w:w="2694"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bCs/>
                <w:sz w:val="16"/>
                <w:lang w:val="es-MX"/>
              </w:rPr>
              <w:t>CUPOS DE REEMPLAZO</w:t>
            </w:r>
          </w:p>
        </w:tc>
        <w:tc>
          <w:tcPr>
            <w:tcW w:w="2693"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bCs/>
                <w:sz w:val="16"/>
                <w:lang w:val="es-MX"/>
              </w:rPr>
              <w:t>CUPOS DE SEMILLERO</w:t>
            </w:r>
          </w:p>
        </w:tc>
      </w:tr>
      <w:tr w:rsidR="004B70EC" w:rsidRPr="004B70EC" w:rsidTr="004B70EC">
        <w:trPr>
          <w:trHeight w:val="84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4B70EC" w:rsidRPr="004B70EC" w:rsidRDefault="004B70EC">
            <w:pPr>
              <w:rPr>
                <w:rFonts w:ascii="Arial" w:hAnsi="Arial" w:cs="Arial"/>
                <w:b/>
                <w:color w:val="000000"/>
                <w:sz w:val="16"/>
                <w:szCs w:val="20"/>
                <w:lang w:val="es-ES_tradnl"/>
              </w:rPr>
            </w:pP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Planta Docente</w:t>
            </w:r>
          </w:p>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TC</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Planta Docente</w:t>
            </w:r>
          </w:p>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MT</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Planta Docente</w:t>
            </w:r>
          </w:p>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TC</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Planta Docente MT</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ARTES INTEGRADAS</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93</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6</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10</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ADMINISTRACIÓN</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55</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3</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9</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CIENCIAS</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123</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6</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SOCIOECONOMÍA</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33</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3</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HUMANIDADES</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129</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5</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INGENIERÍA</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184</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2</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11</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SALUD</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122</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142</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rsidR="004B70EC" w:rsidRPr="004B70EC" w:rsidRDefault="004B70EC">
            <w:pPr>
              <w:pStyle w:val="Textoindependiente2"/>
              <w:spacing w:line="276" w:lineRule="auto"/>
              <w:rPr>
                <w:rFonts w:ascii="Arial" w:hAnsi="Arial" w:cs="Arial"/>
                <w:sz w:val="16"/>
                <w:lang w:val="es-ES_tradnl"/>
              </w:rPr>
            </w:pP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6</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EDUCACIÓN Y PEDAGOGÍA</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49</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rsidR="004B70EC" w:rsidRPr="004B70EC" w:rsidRDefault="004B70EC">
            <w:pPr>
              <w:pStyle w:val="Textoindependiente2"/>
              <w:spacing w:line="276" w:lineRule="auto"/>
              <w:rPr>
                <w:rFonts w:ascii="Arial" w:hAnsi="Arial" w:cs="Arial"/>
                <w:sz w:val="16"/>
                <w:lang w:val="es-ES_tradnl"/>
              </w:rPr>
            </w:pP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sz w:val="12"/>
                <w:lang w:val="es-MX"/>
              </w:rPr>
              <w:t>PSICOLOGÍA</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22</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0</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3</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12</w:t>
            </w:r>
          </w:p>
        </w:tc>
      </w:tr>
      <w:tr w:rsidR="004B70EC" w:rsidRPr="004B70EC" w:rsidTr="004B70EC">
        <w:trPr>
          <w:trHeight w:val="283"/>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2"/>
                <w:lang w:val="es-ES_tradnl"/>
              </w:rPr>
            </w:pPr>
            <w:r w:rsidRPr="004B70EC">
              <w:rPr>
                <w:rFonts w:ascii="Arial" w:hAnsi="Arial" w:cs="Arial"/>
                <w:bCs/>
                <w:sz w:val="12"/>
                <w:lang w:val="es-MX"/>
              </w:rPr>
              <w:t>TOTAL</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810</w:t>
            </w:r>
          </w:p>
        </w:tc>
        <w:tc>
          <w:tcPr>
            <w:tcW w:w="1276" w:type="dxa"/>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154</w:t>
            </w:r>
          </w:p>
        </w:tc>
        <w:tc>
          <w:tcPr>
            <w:tcW w:w="14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62</w:t>
            </w:r>
          </w:p>
        </w:tc>
        <w:tc>
          <w:tcPr>
            <w:tcW w:w="127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lang w:val="es-MX"/>
              </w:rPr>
              <w:t>3</w:t>
            </w:r>
          </w:p>
        </w:tc>
      </w:tr>
      <w:tr w:rsidR="004B70EC" w:rsidRPr="004B70EC" w:rsidTr="004B70EC">
        <w:trPr>
          <w:trHeight w:val="345"/>
        </w:trPr>
        <w:tc>
          <w:tcPr>
            <w:tcW w:w="180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lang w:val="es-MX"/>
              </w:rPr>
              <w:t> </w:t>
            </w:r>
          </w:p>
        </w:tc>
        <w:tc>
          <w:tcPr>
            <w:tcW w:w="2694"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108" w:type="dxa"/>
              <w:bottom w:w="0" w:type="dxa"/>
              <w:right w:w="108" w:type="dxa"/>
            </w:tcMar>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bCs/>
                <w:sz w:val="16"/>
                <w:lang w:val="es-MX"/>
              </w:rPr>
              <w:t xml:space="preserve">887 TCE  </w:t>
            </w:r>
            <w:r w:rsidRPr="004B70EC">
              <w:rPr>
                <w:rFonts w:ascii="Arial" w:hAnsi="Arial" w:cs="Arial"/>
                <w:sz w:val="16"/>
                <w:lang w:val="es-MX"/>
              </w:rPr>
              <w:t>(964 profesores)</w:t>
            </w:r>
          </w:p>
        </w:tc>
        <w:tc>
          <w:tcPr>
            <w:tcW w:w="2693"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bCs/>
                <w:sz w:val="16"/>
                <w:lang w:val="es-MX"/>
              </w:rPr>
              <w:t>65 TCE</w:t>
            </w:r>
            <w:r w:rsidRPr="004B70EC">
              <w:rPr>
                <w:rFonts w:ascii="Arial" w:hAnsi="Arial" w:cs="Arial"/>
                <w:sz w:val="16"/>
                <w:lang w:val="es-MX"/>
              </w:rPr>
              <w:t xml:space="preserve">  (68 profesores)</w:t>
            </w:r>
          </w:p>
        </w:tc>
      </w:tr>
    </w:tbl>
    <w:p w:rsidR="004B70EC" w:rsidRPr="004B70EC" w:rsidRDefault="004B70EC" w:rsidP="004B70EC">
      <w:pPr>
        <w:pStyle w:val="Textoindependiente2"/>
        <w:jc w:val="both"/>
        <w:rPr>
          <w:rFonts w:ascii="Arial" w:hAnsi="Arial" w:cs="Arial"/>
          <w:b w:val="0"/>
          <w:lang w:val="es-ES_tradnl"/>
        </w:rPr>
      </w:pPr>
    </w:p>
    <w:tbl>
      <w:tblPr>
        <w:tblW w:w="3400" w:type="dxa"/>
        <w:tblCellMar>
          <w:left w:w="0" w:type="dxa"/>
          <w:right w:w="0" w:type="dxa"/>
        </w:tblCellMar>
        <w:tblLook w:val="0600" w:firstRow="0" w:lastRow="0" w:firstColumn="0" w:lastColumn="0" w:noHBand="1" w:noVBand="1"/>
      </w:tblPr>
      <w:tblGrid>
        <w:gridCol w:w="2120"/>
        <w:gridCol w:w="1280"/>
      </w:tblGrid>
      <w:tr w:rsidR="004B70EC" w:rsidRPr="004B70EC" w:rsidTr="004B70EC">
        <w:trPr>
          <w:trHeight w:val="785"/>
        </w:trPr>
        <w:tc>
          <w:tcPr>
            <w:tcW w:w="2120" w:type="dxa"/>
            <w:tcBorders>
              <w:top w:val="single" w:sz="8" w:space="0" w:color="000000"/>
              <w:left w:val="single" w:sz="8" w:space="0" w:color="000000"/>
              <w:bottom w:val="single" w:sz="8" w:space="0" w:color="000000"/>
              <w:right w:val="single" w:sz="8" w:space="0" w:color="000000"/>
            </w:tcBorders>
            <w:shd w:val="clear" w:color="auto" w:fill="EFEFEF"/>
            <w:tcMar>
              <w:top w:w="15" w:type="dxa"/>
              <w:left w:w="70" w:type="dxa"/>
              <w:bottom w:w="0" w:type="dxa"/>
              <w:right w:w="70" w:type="dxa"/>
            </w:tcMar>
            <w:vAlign w:val="center"/>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bCs/>
                <w:sz w:val="16"/>
              </w:rPr>
              <w:t>SEDES REGIONALES</w:t>
            </w:r>
          </w:p>
        </w:tc>
        <w:tc>
          <w:tcPr>
            <w:tcW w:w="1280" w:type="dxa"/>
            <w:tcBorders>
              <w:top w:val="single" w:sz="8" w:space="0" w:color="000000"/>
              <w:left w:val="single" w:sz="8" w:space="0" w:color="000000"/>
              <w:bottom w:val="single" w:sz="8" w:space="0" w:color="000000"/>
              <w:right w:val="single" w:sz="8" w:space="0" w:color="000000"/>
            </w:tcBorders>
            <w:shd w:val="clear" w:color="auto" w:fill="EFEFEF"/>
            <w:tcMar>
              <w:top w:w="15" w:type="dxa"/>
              <w:left w:w="70" w:type="dxa"/>
              <w:bottom w:w="0" w:type="dxa"/>
              <w:right w:w="70" w:type="dxa"/>
            </w:tcMar>
            <w:vAlign w:val="center"/>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rPr>
              <w:t>Planta Docente</w:t>
            </w:r>
          </w:p>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rPr>
              <w:t>TC</w:t>
            </w:r>
          </w:p>
        </w:tc>
      </w:tr>
      <w:tr w:rsidR="004B70EC" w:rsidRPr="004B70EC" w:rsidTr="004B70EC">
        <w:trPr>
          <w:trHeight w:val="165"/>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BUGA</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5</w:t>
            </w:r>
          </w:p>
        </w:tc>
      </w:tr>
      <w:tr w:rsidR="004B70EC" w:rsidRPr="004B70EC" w:rsidTr="004B70EC">
        <w:trPr>
          <w:trHeight w:val="99"/>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CAICEDONIA</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4</w:t>
            </w:r>
          </w:p>
        </w:tc>
      </w:tr>
      <w:tr w:rsidR="004B70EC" w:rsidRPr="004B70EC" w:rsidTr="004B70EC">
        <w:trPr>
          <w:trHeight w:val="203"/>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CARTAGO</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4</w:t>
            </w:r>
          </w:p>
        </w:tc>
      </w:tr>
      <w:tr w:rsidR="004B70EC" w:rsidRPr="004B70EC" w:rsidTr="004B70EC">
        <w:trPr>
          <w:trHeight w:val="179"/>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NORTE DEL CAUCA</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4</w:t>
            </w:r>
          </w:p>
        </w:tc>
      </w:tr>
      <w:tr w:rsidR="004B70EC" w:rsidRPr="004B70EC" w:rsidTr="004B70EC">
        <w:trPr>
          <w:trHeight w:val="127"/>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PACÍFICO</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5</w:t>
            </w:r>
          </w:p>
        </w:tc>
      </w:tr>
      <w:tr w:rsidR="004B70EC" w:rsidRPr="004B70EC" w:rsidTr="004B70EC">
        <w:trPr>
          <w:trHeight w:val="76"/>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PALMIRA</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5</w:t>
            </w:r>
          </w:p>
        </w:tc>
      </w:tr>
      <w:tr w:rsidR="004B70EC" w:rsidRPr="004B70EC" w:rsidTr="004B70EC">
        <w:trPr>
          <w:trHeight w:val="165"/>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TULUÁ</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4</w:t>
            </w:r>
          </w:p>
        </w:tc>
      </w:tr>
      <w:tr w:rsidR="004B70EC" w:rsidRPr="004B70EC" w:rsidTr="004B70EC">
        <w:trPr>
          <w:trHeight w:val="99"/>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YUMBO</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4</w:t>
            </w:r>
          </w:p>
        </w:tc>
      </w:tr>
      <w:tr w:rsidR="004B70EC" w:rsidRPr="004B70EC" w:rsidTr="004B70EC">
        <w:trPr>
          <w:trHeight w:val="101"/>
        </w:trPr>
        <w:tc>
          <w:tcPr>
            <w:tcW w:w="212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sz w:val="16"/>
              </w:rPr>
              <w:t>ZARZAL</w:t>
            </w:r>
          </w:p>
        </w:tc>
        <w:tc>
          <w:tcPr>
            <w:tcW w:w="1280"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sz w:val="16"/>
              </w:rPr>
              <w:t>4</w:t>
            </w:r>
          </w:p>
        </w:tc>
      </w:tr>
      <w:tr w:rsidR="004B70EC" w:rsidRPr="004B70EC" w:rsidTr="004B70EC">
        <w:trPr>
          <w:trHeight w:val="28"/>
        </w:trPr>
        <w:tc>
          <w:tcPr>
            <w:tcW w:w="2120" w:type="dxa"/>
            <w:tcBorders>
              <w:top w:val="single" w:sz="8" w:space="0" w:color="000000"/>
              <w:left w:val="single" w:sz="8" w:space="0" w:color="000000"/>
              <w:bottom w:val="single" w:sz="8" w:space="0" w:color="000000"/>
              <w:right w:val="single" w:sz="8" w:space="0" w:color="000000"/>
            </w:tcBorders>
            <w:shd w:val="clear" w:color="auto" w:fill="EFEFEF"/>
            <w:tcMar>
              <w:top w:w="15" w:type="dxa"/>
              <w:left w:w="70" w:type="dxa"/>
              <w:bottom w:w="0" w:type="dxa"/>
              <w:right w:w="70" w:type="dxa"/>
            </w:tcMar>
            <w:vAlign w:val="bottom"/>
            <w:hideMark/>
          </w:tcPr>
          <w:p w:rsidR="004B70EC" w:rsidRPr="004B70EC" w:rsidRDefault="004B70EC">
            <w:pPr>
              <w:pStyle w:val="Textoindependiente2"/>
              <w:spacing w:line="276" w:lineRule="auto"/>
              <w:jc w:val="both"/>
              <w:rPr>
                <w:rFonts w:ascii="Arial" w:hAnsi="Arial" w:cs="Arial"/>
                <w:sz w:val="16"/>
                <w:lang w:val="es-ES_tradnl"/>
              </w:rPr>
            </w:pPr>
            <w:r w:rsidRPr="004B70EC">
              <w:rPr>
                <w:rFonts w:ascii="Arial" w:hAnsi="Arial" w:cs="Arial"/>
                <w:bCs/>
                <w:sz w:val="16"/>
              </w:rPr>
              <w:t>Total</w:t>
            </w:r>
          </w:p>
        </w:tc>
        <w:tc>
          <w:tcPr>
            <w:tcW w:w="1280" w:type="dxa"/>
            <w:tcBorders>
              <w:top w:val="single" w:sz="8" w:space="0" w:color="000000"/>
              <w:left w:val="single" w:sz="8" w:space="0" w:color="000000"/>
              <w:bottom w:val="single" w:sz="8" w:space="0" w:color="000000"/>
              <w:right w:val="single" w:sz="8" w:space="0" w:color="000000"/>
            </w:tcBorders>
            <w:shd w:val="clear" w:color="auto" w:fill="EFEFEF"/>
            <w:tcMar>
              <w:top w:w="15" w:type="dxa"/>
              <w:left w:w="70" w:type="dxa"/>
              <w:bottom w:w="0" w:type="dxa"/>
              <w:right w:w="70" w:type="dxa"/>
            </w:tcMar>
            <w:vAlign w:val="bottom"/>
            <w:hideMark/>
          </w:tcPr>
          <w:p w:rsidR="004B70EC" w:rsidRPr="004B70EC" w:rsidRDefault="004B70EC">
            <w:pPr>
              <w:pStyle w:val="Textoindependiente2"/>
              <w:spacing w:line="276" w:lineRule="auto"/>
              <w:rPr>
                <w:rFonts w:ascii="Arial" w:hAnsi="Arial" w:cs="Arial"/>
                <w:sz w:val="16"/>
                <w:lang w:val="es-ES_tradnl"/>
              </w:rPr>
            </w:pPr>
            <w:r w:rsidRPr="004B70EC">
              <w:rPr>
                <w:rFonts w:ascii="Arial" w:hAnsi="Arial" w:cs="Arial"/>
                <w:bCs/>
                <w:sz w:val="16"/>
              </w:rPr>
              <w:t>39</w:t>
            </w:r>
          </w:p>
        </w:tc>
      </w:tr>
    </w:tbl>
    <w:p w:rsidR="004B70EC" w:rsidRPr="004B70EC" w:rsidRDefault="004B70EC" w:rsidP="004B70EC">
      <w:pPr>
        <w:pStyle w:val="Textoindependiente2"/>
        <w:jc w:val="both"/>
        <w:rPr>
          <w:rFonts w:ascii="Arial" w:hAnsi="Arial" w:cs="Arial"/>
          <w:b w:val="0"/>
          <w:sz w:val="20"/>
          <w:lang w:val="es-ES_tradnl"/>
        </w:rPr>
      </w:pPr>
      <w:r w:rsidRPr="004B70EC">
        <w:rPr>
          <w:rFonts w:ascii="Arial" w:hAnsi="Arial" w:cs="Arial"/>
          <w:b w:val="0"/>
          <w:sz w:val="20"/>
          <w:lang w:val="es-ES_tradnl"/>
        </w:rPr>
        <w:t>Fuente: VRAC, 2018.</w:t>
      </w:r>
    </w:p>
    <w:p w:rsidR="004B70EC" w:rsidRPr="004B70EC" w:rsidRDefault="004B70EC" w:rsidP="004B70EC">
      <w:pPr>
        <w:pStyle w:val="Textoindependiente2"/>
        <w:jc w:val="both"/>
        <w:rPr>
          <w:rFonts w:ascii="Arial" w:hAnsi="Arial" w:cs="Arial"/>
          <w:b w:val="0"/>
          <w:lang w:val="es-ES_tradnl"/>
        </w:rPr>
      </w:pPr>
    </w:p>
    <w:p w:rsidR="004B70EC" w:rsidRPr="004B70EC" w:rsidRDefault="004B70EC" w:rsidP="004B70EC">
      <w:pPr>
        <w:pStyle w:val="Textoindependiente2"/>
        <w:jc w:val="both"/>
        <w:rPr>
          <w:rFonts w:ascii="Arial" w:hAnsi="Arial" w:cs="Arial"/>
          <w:b w:val="0"/>
          <w:lang w:val="es-ES_tradnl"/>
        </w:rPr>
      </w:pPr>
      <w:r w:rsidRPr="004B70EC">
        <w:rPr>
          <w:rFonts w:ascii="Arial" w:hAnsi="Arial" w:cs="Arial"/>
          <w:b w:val="0"/>
          <w:lang w:val="es-ES_tradnl"/>
        </w:rPr>
        <w:t>Los recursos de la Estampilla Pro-Universidad del Valle, se han constituido en la fuente más importante de inversión con la que ha contado la Universidad del Valle para hacer frente transformaciones pedagógicas o en materia de educación, para afrontar cambios sociales, productivos, tecnológicos, científicos, investigativos y económicos, que demandan de esta institución una nueva forma de enfrentar los escenarios nacionales y mundiales en pro de mantener su carácter de institución de excelencia,  lo más importante es que la Estampilla Pro-Universidad del Valle le ha permitido mejorar su dotación de laboratorios, modernizar, optimizar, mantener, ampliar y recuperar la planta física institucional incluyendo las Sedes Cali y las nueve Sedes Regionales, fortalecer su plataforma tecnológica, apoyar la investigación en las ciencias básicas, las humanidades, las artes y las ciencias sociales, fortalecer los procesos de investigación, mantener la dinamización de los procesos de acreditación, sostener la acreditación institucional de alta calidad, robustecer la gestión de la calidad académica administrativa y lograr la consolidación de los programas de pregrado y postgrado mediante la realización de actividades que favorecen su sostenibilidad, lo cual propicia el mejoramiento de la calidad de la Educación Superior.</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Históricamente los recursos de la Estampilla Pro Universidad del Valle, se han distribuido siguiendo los lineamientos trazados en el Plan Estratégico de Desarrollo de la institución, primero se siguieron los lineamientos detallados en el PED 2005-2015 y desde el 2015, los parámetros de distribución se rigen por el nuevo Plan Estratégico de Desarrollo 2015 – 2025, el cual se convierte en el instrumento de gestión que permite dirigir el destino de la institución durante los próximos años, este traduce en lineamientos y directrices que fortalecen la apuesta a nuevos procesos de planeación, que fueron construidos teniendo en cuenta  el sentir de toda la comunidad universitaria y que por supuesto persiguen el hecho de mantener a la Universidad del Valle como la mejor institución de educación superior del sur-occidente colombiano.</w:t>
      </w:r>
    </w:p>
    <w:p w:rsidR="004B70EC" w:rsidRPr="004B70EC" w:rsidRDefault="004B70EC" w:rsidP="004B70EC">
      <w:pPr>
        <w:pStyle w:val="Textoindependiente2"/>
        <w:jc w:val="both"/>
        <w:rPr>
          <w:rFonts w:ascii="Arial" w:hAnsi="Arial" w:cs="Arial"/>
          <w:b w:val="0"/>
          <w:lang w:val="es-ES_tradnl"/>
        </w:rPr>
      </w:pPr>
    </w:p>
    <w:p w:rsidR="004B70EC" w:rsidRPr="004B70EC" w:rsidRDefault="004B70EC" w:rsidP="004B70EC">
      <w:pPr>
        <w:pStyle w:val="Textoindependiente2"/>
        <w:jc w:val="both"/>
        <w:rPr>
          <w:rFonts w:ascii="Arial" w:hAnsi="Arial" w:cs="Arial"/>
          <w:b w:val="0"/>
          <w:lang w:val="es-ES_tradnl"/>
        </w:rPr>
      </w:pPr>
      <w:r w:rsidRPr="004B70EC">
        <w:rPr>
          <w:rFonts w:ascii="Arial" w:hAnsi="Arial" w:cs="Arial"/>
          <w:b w:val="0"/>
          <w:lang w:val="es-ES_tradnl"/>
        </w:rPr>
        <w:t>A lo largo de los años la inversión se ha dirigido a financiar proyectos que abarcan componente como los siguientes:</w:t>
      </w:r>
    </w:p>
    <w:p w:rsidR="004B70EC" w:rsidRPr="004B70EC" w:rsidRDefault="004B70EC" w:rsidP="004B70EC">
      <w:pPr>
        <w:pStyle w:val="Textoindependiente2"/>
        <w:spacing w:before="120" w:after="120"/>
        <w:jc w:val="both"/>
        <w:rPr>
          <w:rFonts w:ascii="Arial" w:hAnsi="Arial" w:cs="Arial"/>
          <w:color w:val="auto"/>
          <w:szCs w:val="24"/>
          <w:lang w:val="es-ES_tradnl"/>
        </w:rPr>
      </w:pPr>
    </w:p>
    <w:p w:rsidR="004B70EC" w:rsidRPr="004B70EC" w:rsidRDefault="004B70EC" w:rsidP="004B70EC">
      <w:pPr>
        <w:pStyle w:val="Textoindependiente2"/>
        <w:spacing w:before="120" w:after="120"/>
        <w:jc w:val="both"/>
        <w:rPr>
          <w:rFonts w:ascii="Arial" w:hAnsi="Arial" w:cs="Arial"/>
          <w:color w:val="auto"/>
          <w:szCs w:val="24"/>
          <w:lang w:val="es-ES_tradnl"/>
        </w:rPr>
      </w:pPr>
      <w:r w:rsidRPr="004B70EC">
        <w:rPr>
          <w:rFonts w:ascii="Arial" w:hAnsi="Arial" w:cs="Arial"/>
          <w:color w:val="auto"/>
          <w:szCs w:val="24"/>
          <w:lang w:val="es-ES_tradnl"/>
        </w:rPr>
        <w:t>Mejoramiento y Fortalecimiento de la Planta Física</w:t>
      </w:r>
    </w:p>
    <w:p w:rsidR="004B70EC" w:rsidRPr="004B70EC" w:rsidRDefault="004B70EC" w:rsidP="004B70EC">
      <w:pPr>
        <w:jc w:val="both"/>
        <w:rPr>
          <w:rFonts w:ascii="Arial" w:hAnsi="Arial" w:cs="Arial"/>
          <w:lang w:val="es-ES_tradnl"/>
        </w:rPr>
      </w:pPr>
      <w:r w:rsidRPr="004B70EC">
        <w:rPr>
          <w:rFonts w:ascii="Arial" w:hAnsi="Arial" w:cs="Arial"/>
          <w:lang w:val="es-ES_tradnl"/>
        </w:rPr>
        <w:t>Este componente contiene los proyectos que tienen por objeto la modernización de los espacios físicos de la Universidad, los cuales cabe resaltar también permiten lograr la consolidación de procesos de formación e investigación.</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A través de la inversión destinada a este componente con los recursos de la Estampilla, la Universidad del Valle ha realizado proyectos de construcción y de mantenimiento de instalaciones, con los cuales se busca detener el deterioro y para responder a los requerimientos de tipo académico, administrativo, investigativo y de bienestar. El mejoramiento de la calidad del espacio físico se convierte en un instrumento base para lograr una Universidad de excelencia, que consolida su nueva misión educadora, de inclusión y bienestar.</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b/>
          <w:szCs w:val="22"/>
          <w:lang w:val="es-ES_tradnl"/>
        </w:rPr>
      </w:pPr>
      <w:r w:rsidRPr="004B70EC">
        <w:rPr>
          <w:rFonts w:ascii="Arial" w:hAnsi="Arial" w:cs="Arial"/>
          <w:b/>
          <w:lang w:val="es-ES_tradnl"/>
        </w:rPr>
        <w:t xml:space="preserve">Proyecto de recuperación, mantenimiento y sostenibilidad de la planta física </w:t>
      </w:r>
    </w:p>
    <w:p w:rsidR="004B70EC" w:rsidRPr="004B70EC" w:rsidRDefault="004B70EC" w:rsidP="004B70EC">
      <w:pPr>
        <w:jc w:val="both"/>
        <w:rPr>
          <w:rFonts w:ascii="Arial" w:hAnsi="Arial" w:cs="Arial"/>
          <w:lang w:val="es-ES_tradnl"/>
        </w:rPr>
      </w:pPr>
      <w:r w:rsidRPr="004B70EC">
        <w:rPr>
          <w:rFonts w:ascii="Arial" w:hAnsi="Arial" w:cs="Arial"/>
          <w:lang w:val="es-ES_tradnl"/>
        </w:rPr>
        <w:t>Con este proyecto se ha llevado a cabo labores de mejoramiento a componentes eléctricos, hidrosanitarios, de cableado estructurado, baterías sanitarias, cubiertas, ventanas y pasamanos al interior del campus universitario. Las actividades anteriores, se convierten en un componente indispensable para la recuperación de la planta física de la institución. La inversión destinada al proyecto en referencia asciende a más de $7.200.000.000.</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b/>
          <w:sz w:val="22"/>
          <w:szCs w:val="22"/>
          <w:lang w:val="es-ES_tradnl"/>
        </w:rPr>
      </w:pPr>
      <w:r w:rsidRPr="004B70EC">
        <w:rPr>
          <w:rFonts w:ascii="Arial" w:hAnsi="Arial" w:cs="Arial"/>
          <w:b/>
          <w:lang w:val="es-ES_tradnl"/>
        </w:rPr>
        <w:t>Plan Maestro de Desarrollo Físico</w:t>
      </w: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En el marco de la ampliación de la planta física prevista en el Plan Maestro de Desarrollo Físico de la Universidad, este proyecto contempla: </w:t>
      </w:r>
    </w:p>
    <w:p w:rsidR="004B70EC" w:rsidRPr="004B70EC" w:rsidRDefault="004B70EC" w:rsidP="004B70EC">
      <w:pPr>
        <w:rPr>
          <w:rFonts w:ascii="Arial" w:hAnsi="Arial" w:cs="Arial"/>
          <w:lang w:val="es-ES_tradnl"/>
        </w:rPr>
      </w:pPr>
    </w:p>
    <w:p w:rsidR="004B70EC" w:rsidRPr="004B70EC" w:rsidRDefault="004B70EC" w:rsidP="004B70EC">
      <w:pPr>
        <w:rPr>
          <w:rFonts w:ascii="Arial" w:hAnsi="Arial" w:cs="Arial"/>
          <w:lang w:val="es-ES_tradnl"/>
        </w:rPr>
      </w:pPr>
      <w:r w:rsidRPr="004B70EC">
        <w:rPr>
          <w:rFonts w:ascii="Arial" w:hAnsi="Arial" w:cs="Arial"/>
          <w:lang w:val="es-ES_tradnl"/>
        </w:rPr>
        <w:t xml:space="preserve">• Diseños y Proyectos Constructivos Sede Meléndez. </w:t>
      </w:r>
    </w:p>
    <w:p w:rsidR="004B70EC" w:rsidRPr="004B70EC" w:rsidRDefault="004B70EC" w:rsidP="004B70EC">
      <w:pPr>
        <w:rPr>
          <w:rFonts w:ascii="Arial" w:hAnsi="Arial" w:cs="Arial"/>
          <w:lang w:val="es-ES_tradnl"/>
        </w:rPr>
      </w:pPr>
      <w:r w:rsidRPr="004B70EC">
        <w:rPr>
          <w:rFonts w:ascii="Arial" w:hAnsi="Arial" w:cs="Arial"/>
          <w:lang w:val="es-ES_tradnl"/>
        </w:rPr>
        <w:t xml:space="preserve">• Diseños y Proyectos Constructivos de la Sede San Fernando. </w:t>
      </w:r>
    </w:p>
    <w:p w:rsidR="004B70EC" w:rsidRPr="004B70EC" w:rsidRDefault="004B70EC" w:rsidP="004B70EC">
      <w:pPr>
        <w:rPr>
          <w:rFonts w:ascii="Arial" w:hAnsi="Arial" w:cs="Arial"/>
          <w:lang w:val="es-ES_tradnl"/>
        </w:rPr>
      </w:pPr>
      <w:r w:rsidRPr="004B70EC">
        <w:rPr>
          <w:rFonts w:ascii="Arial" w:hAnsi="Arial" w:cs="Arial"/>
          <w:lang w:val="es-ES_tradnl"/>
        </w:rPr>
        <w:t>• Diseños y proyectos constructivos de otros espacios en el campus.</w:t>
      </w:r>
    </w:p>
    <w:p w:rsidR="004B70EC" w:rsidRPr="004B70EC" w:rsidRDefault="004B70EC" w:rsidP="004B70EC">
      <w:pPr>
        <w:pStyle w:val="Textoindependiente2"/>
        <w:jc w:val="both"/>
        <w:rPr>
          <w:rFonts w:ascii="Arial" w:hAnsi="Arial" w:cs="Arial"/>
          <w:b w:val="0"/>
          <w:color w:val="auto"/>
          <w:szCs w:val="24"/>
          <w:lang w:val="es-ES_tradnl"/>
        </w:rPr>
      </w:pPr>
    </w:p>
    <w:p w:rsidR="004B70EC" w:rsidRPr="004B70EC" w:rsidRDefault="004B70EC" w:rsidP="004B70EC">
      <w:pPr>
        <w:pStyle w:val="Textoindependiente2"/>
        <w:jc w:val="both"/>
        <w:rPr>
          <w:rFonts w:ascii="Arial" w:hAnsi="Arial" w:cs="Arial"/>
          <w:b w:val="0"/>
          <w:color w:val="auto"/>
          <w:szCs w:val="24"/>
          <w:lang w:val="es-ES_tradnl"/>
        </w:rPr>
      </w:pPr>
      <w:r w:rsidRPr="004B70EC">
        <w:rPr>
          <w:rFonts w:ascii="Arial" w:hAnsi="Arial" w:cs="Arial"/>
          <w:b w:val="0"/>
          <w:color w:val="auto"/>
          <w:szCs w:val="24"/>
          <w:lang w:val="es-ES_tradnl"/>
        </w:rPr>
        <w:t>La inversión destinada al proyecto en referencia asciende a más de $1.918.268.000.</w:t>
      </w:r>
    </w:p>
    <w:p w:rsidR="004B70EC" w:rsidRPr="004B70EC" w:rsidRDefault="004B70EC" w:rsidP="004B70EC">
      <w:pPr>
        <w:pStyle w:val="Textoindependiente2"/>
        <w:jc w:val="both"/>
        <w:rPr>
          <w:rFonts w:ascii="Arial" w:hAnsi="Arial" w:cs="Arial"/>
          <w:b w:val="0"/>
          <w:color w:val="auto"/>
          <w:szCs w:val="24"/>
          <w:lang w:val="es-ES_tradnl"/>
        </w:rPr>
      </w:pPr>
    </w:p>
    <w:p w:rsidR="004B70EC" w:rsidRPr="004B70EC" w:rsidRDefault="004B70EC" w:rsidP="004B70EC">
      <w:pPr>
        <w:rPr>
          <w:rFonts w:ascii="Arial" w:hAnsi="Arial" w:cs="Arial"/>
          <w:b/>
          <w:szCs w:val="22"/>
          <w:lang w:val="es-ES_tradnl"/>
        </w:rPr>
      </w:pPr>
      <w:r w:rsidRPr="004B70EC">
        <w:rPr>
          <w:rFonts w:ascii="Arial" w:hAnsi="Arial" w:cs="Arial"/>
          <w:b/>
          <w:lang w:val="es-ES_tradnl"/>
        </w:rPr>
        <w:t xml:space="preserve">Terminación Edificio de la Facultad de Artes Integradas–Fase II: </w:t>
      </w:r>
    </w:p>
    <w:p w:rsidR="004B70EC" w:rsidRPr="004B70EC" w:rsidRDefault="004B70EC" w:rsidP="004B70EC">
      <w:pPr>
        <w:jc w:val="both"/>
        <w:rPr>
          <w:rFonts w:ascii="Arial" w:hAnsi="Arial" w:cs="Arial"/>
          <w:lang w:val="es-ES_tradnl"/>
        </w:rPr>
      </w:pPr>
      <w:r w:rsidRPr="004B70EC">
        <w:rPr>
          <w:rFonts w:ascii="Arial" w:hAnsi="Arial" w:cs="Arial"/>
          <w:lang w:val="es-ES_tradnl"/>
        </w:rPr>
        <w:t>Con este proyecto se busca culminar el Edificio de la Facultad de Artes Integradas, este contempla desde la elaboración de los anteproyectos arquitectónicos de los boques que conforman la FAI, de los proyectos hidrosanitarios, de voz y datos y de comunicaciones hasta los procesos de urbanismo que requieren dichos edificios.</w:t>
      </w:r>
    </w:p>
    <w:p w:rsidR="004B70EC" w:rsidRPr="004B70EC" w:rsidRDefault="004B70EC" w:rsidP="004B70EC">
      <w:pPr>
        <w:jc w:val="both"/>
        <w:rPr>
          <w:rFonts w:ascii="Arial" w:hAnsi="Arial" w:cs="Arial"/>
          <w:lang w:val="es-ES_tradnl"/>
        </w:rPr>
      </w:pPr>
    </w:p>
    <w:p w:rsidR="004B70EC" w:rsidRPr="004B70EC" w:rsidRDefault="004B70EC" w:rsidP="004B70EC">
      <w:pPr>
        <w:rPr>
          <w:rFonts w:ascii="Arial" w:hAnsi="Arial" w:cs="Arial"/>
          <w:sz w:val="18"/>
          <w:szCs w:val="20"/>
          <w:lang w:val="es-ES_tradnl"/>
        </w:rPr>
      </w:pPr>
      <w:r w:rsidRPr="004B70EC">
        <w:rPr>
          <w:rFonts w:ascii="Arial" w:hAnsi="Arial" w:cs="Arial"/>
          <w:sz w:val="18"/>
          <w:szCs w:val="20"/>
          <w:lang w:val="es-ES_tradnl"/>
        </w:rPr>
        <w:t>Terminación Edificio 313, Reforzamiento y Terminación Bloque 6 Y 7 – FAI</w:t>
      </w:r>
    </w:p>
    <w:p w:rsidR="004B70EC" w:rsidRPr="004B70EC" w:rsidRDefault="004B70EC" w:rsidP="004B70EC">
      <w:pPr>
        <w:pStyle w:val="Textoindependiente2"/>
        <w:ind w:left="360"/>
        <w:jc w:val="both"/>
        <w:rPr>
          <w:rFonts w:ascii="Arial" w:hAnsi="Arial" w:cs="Arial"/>
          <w:color w:val="auto"/>
          <w:szCs w:val="24"/>
          <w:lang w:val="es-ES_tradnl"/>
        </w:rPr>
      </w:pPr>
      <w:r w:rsidRPr="004B70EC">
        <w:rPr>
          <w:rFonts w:ascii="Arial" w:hAnsi="Arial" w:cs="Arial"/>
          <w:noProof/>
          <w:szCs w:val="24"/>
          <w:lang w:val="es-CO" w:eastAsia="es-CO"/>
        </w:rPr>
        <w:drawing>
          <wp:inline distT="0" distB="0" distL="0" distR="0" wp14:anchorId="6F1F0EA9" wp14:editId="158263E8">
            <wp:extent cx="5610225" cy="2800350"/>
            <wp:effectExtent l="0" t="0" r="952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0225" cy="2800350"/>
                    </a:xfrm>
                    <a:prstGeom prst="rect">
                      <a:avLst/>
                    </a:prstGeom>
                    <a:noFill/>
                    <a:ln>
                      <a:noFill/>
                    </a:ln>
                  </pic:spPr>
                </pic:pic>
              </a:graphicData>
            </a:graphic>
          </wp:inline>
        </w:drawing>
      </w:r>
    </w:p>
    <w:p w:rsidR="004B70EC" w:rsidRPr="004B70EC" w:rsidRDefault="004B70EC" w:rsidP="004B70EC">
      <w:pPr>
        <w:rPr>
          <w:rFonts w:ascii="Arial" w:hAnsi="Arial" w:cs="Arial"/>
          <w:b/>
          <w:sz w:val="32"/>
          <w:lang w:val="es-ES_tradnl"/>
        </w:rPr>
      </w:pPr>
    </w:p>
    <w:p w:rsidR="004B70EC" w:rsidRDefault="004B70EC" w:rsidP="004B70EC">
      <w:pPr>
        <w:rPr>
          <w:rFonts w:ascii="Arial" w:hAnsi="Arial" w:cs="Arial"/>
          <w:b/>
          <w:lang w:val="es-ES_tradnl"/>
        </w:rPr>
      </w:pPr>
      <w:r w:rsidRPr="004B70EC">
        <w:rPr>
          <w:rFonts w:ascii="Arial" w:hAnsi="Arial" w:cs="Arial"/>
          <w:b/>
          <w:lang w:val="es-ES_tradnl"/>
        </w:rPr>
        <w:t>Construcción del edificio de Bienestar Universitario para la prestación de servicios de salud en la Sede Meléndez</w:t>
      </w:r>
    </w:p>
    <w:p w:rsidR="004B70EC" w:rsidRPr="004B70EC" w:rsidRDefault="004B70EC" w:rsidP="004B70EC">
      <w:pPr>
        <w:rPr>
          <w:rFonts w:ascii="Arial" w:hAnsi="Arial" w:cs="Arial"/>
          <w:b/>
          <w:sz w:val="22"/>
          <w:szCs w:val="22"/>
          <w:lang w:val="es-ES_tradnl"/>
        </w:rPr>
      </w:pPr>
    </w:p>
    <w:p w:rsidR="004B70EC" w:rsidRPr="004B70EC" w:rsidRDefault="004B70EC" w:rsidP="004B70EC">
      <w:pPr>
        <w:jc w:val="both"/>
        <w:rPr>
          <w:rFonts w:ascii="Arial" w:eastAsiaTheme="minorHAnsi" w:hAnsi="Arial" w:cs="Arial"/>
          <w:lang w:val="es-ES_tradnl" w:eastAsia="en-US"/>
        </w:rPr>
      </w:pPr>
      <w:r w:rsidRPr="004B70EC">
        <w:rPr>
          <w:rFonts w:ascii="Arial" w:hAnsi="Arial" w:cs="Arial"/>
          <w:shd w:val="clear" w:color="auto" w:fill="FFFFFF"/>
          <w:lang w:val="es-ES_tradnl"/>
        </w:rPr>
        <w:t xml:space="preserve">Buscando que el Servicio de Salud de la Universidad del Valle, el cual está comprometido con el mejoramiento de la calidad de vida de sus afiliados a través, del desarrollo y la aplicación de modelos en salud que trasciendan a la sociedad en general y desarrollen el principio constitucional del Derecho a la Salud y buscando </w:t>
      </w:r>
      <w:r w:rsidRPr="004B70EC">
        <w:rPr>
          <w:rFonts w:ascii="Arial" w:hAnsi="Arial" w:cs="Arial"/>
          <w:lang w:val="es-ES_tradnl"/>
        </w:rPr>
        <w:t>consolidar el mismo, tal como se establece en su visión, como el mejor Servicio de Salud Universitario y modelo para todo el Sistema de Seguridad Social en Salud de Colombia, ofreciendo una cobertura de excelente calidad a los servidores públicos, pensionados, jubilados y a sus beneficiarios, la Universidad del Valle construyo el Edificio de Bienestar Universitario Emilio Aljure Nasser, edificación de tres pisos que cuenta con instalaciones como consultorios médicos, área de toma de muestras, recepción de usuarios, zona de urgencias y oficinas administrativas, entre otros.</w:t>
      </w:r>
    </w:p>
    <w:p w:rsidR="004B70EC" w:rsidRPr="004B70EC" w:rsidRDefault="004B70EC" w:rsidP="004B70EC">
      <w:pPr>
        <w:rPr>
          <w:rFonts w:ascii="Arial" w:hAnsi="Arial" w:cs="Arial"/>
          <w:sz w:val="20"/>
          <w:szCs w:val="20"/>
          <w:lang w:val="es-ES_tradnl"/>
        </w:rPr>
      </w:pPr>
    </w:p>
    <w:p w:rsidR="004B70EC" w:rsidRPr="004B70EC" w:rsidRDefault="004B70EC" w:rsidP="004B70EC">
      <w:pPr>
        <w:rPr>
          <w:rFonts w:ascii="Arial" w:hAnsi="Arial" w:cs="Arial"/>
          <w:sz w:val="18"/>
          <w:szCs w:val="20"/>
          <w:lang w:val="es-ES_tradnl"/>
        </w:rPr>
      </w:pPr>
      <w:r w:rsidRPr="004B70EC">
        <w:rPr>
          <w:rFonts w:ascii="Arial" w:hAnsi="Arial" w:cs="Arial"/>
          <w:sz w:val="18"/>
          <w:szCs w:val="20"/>
          <w:lang w:val="es-ES_tradnl"/>
        </w:rPr>
        <w:t>Edificio Servicio de Salud Universitario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146"/>
      </w:tblGrid>
      <w:tr w:rsidR="004B70EC" w:rsidRPr="004B70EC" w:rsidTr="004B70EC">
        <w:tc>
          <w:tcPr>
            <w:tcW w:w="4489" w:type="dxa"/>
            <w:hideMark/>
          </w:tcPr>
          <w:p w:rsidR="004B70EC" w:rsidRPr="004B70EC" w:rsidRDefault="004B70EC">
            <w:pPr>
              <w:rPr>
                <w:rFonts w:ascii="Arial" w:hAnsi="Arial" w:cs="Arial"/>
                <w:sz w:val="20"/>
                <w:szCs w:val="20"/>
                <w:lang w:val="es-ES_tradnl"/>
              </w:rPr>
            </w:pPr>
            <w:r w:rsidRPr="004B70EC">
              <w:rPr>
                <w:rFonts w:ascii="Arial" w:hAnsi="Arial" w:cs="Arial"/>
                <w:noProof/>
                <w:lang w:val="es-CO" w:eastAsia="es-CO"/>
              </w:rPr>
              <w:drawing>
                <wp:inline distT="0" distB="0" distL="0" distR="0" wp14:anchorId="463F6E28" wp14:editId="0A71DB30">
                  <wp:extent cx="2962275" cy="1847850"/>
                  <wp:effectExtent l="0" t="0" r="952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2275" cy="1847850"/>
                          </a:xfrm>
                          <a:prstGeom prst="rect">
                            <a:avLst/>
                          </a:prstGeom>
                          <a:noFill/>
                          <a:ln>
                            <a:noFill/>
                          </a:ln>
                        </pic:spPr>
                      </pic:pic>
                    </a:graphicData>
                  </a:graphic>
                </wp:inline>
              </w:drawing>
            </w:r>
          </w:p>
        </w:tc>
        <w:tc>
          <w:tcPr>
            <w:tcW w:w="4489" w:type="dxa"/>
            <w:hideMark/>
          </w:tcPr>
          <w:p w:rsidR="004B70EC" w:rsidRPr="004B70EC" w:rsidRDefault="004B70EC">
            <w:pPr>
              <w:rPr>
                <w:rFonts w:ascii="Arial" w:hAnsi="Arial" w:cs="Arial"/>
                <w:sz w:val="20"/>
                <w:szCs w:val="20"/>
                <w:lang w:val="es-ES_tradnl"/>
              </w:rPr>
            </w:pPr>
            <w:r w:rsidRPr="004B70EC">
              <w:rPr>
                <w:rFonts w:ascii="Arial" w:hAnsi="Arial" w:cs="Arial"/>
                <w:noProof/>
                <w:lang w:val="es-CO" w:eastAsia="es-CO"/>
              </w:rPr>
              <w:drawing>
                <wp:inline distT="0" distB="0" distL="0" distR="0" wp14:anchorId="4CF26E12" wp14:editId="0B7573C5">
                  <wp:extent cx="2609850" cy="17335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09850" cy="1733550"/>
                          </a:xfrm>
                          <a:prstGeom prst="rect">
                            <a:avLst/>
                          </a:prstGeom>
                          <a:noFill/>
                          <a:ln>
                            <a:noFill/>
                          </a:ln>
                        </pic:spPr>
                      </pic:pic>
                    </a:graphicData>
                  </a:graphic>
                </wp:inline>
              </w:drawing>
            </w:r>
          </w:p>
        </w:tc>
      </w:tr>
    </w:tbl>
    <w:p w:rsidR="004B70EC" w:rsidRPr="004B70EC" w:rsidRDefault="004B70EC" w:rsidP="004B70EC">
      <w:pPr>
        <w:jc w:val="both"/>
        <w:rPr>
          <w:rFonts w:ascii="Arial" w:eastAsiaTheme="minorHAnsi" w:hAnsi="Arial" w:cs="Arial"/>
          <w:lang w:val="es-ES_tradnl" w:eastAsia="en-US"/>
        </w:rPr>
      </w:pPr>
    </w:p>
    <w:p w:rsidR="004B70EC" w:rsidRPr="004B70EC" w:rsidRDefault="004B70EC" w:rsidP="004B70EC">
      <w:pPr>
        <w:jc w:val="both"/>
        <w:rPr>
          <w:rFonts w:ascii="Arial" w:hAnsi="Arial" w:cs="Arial"/>
          <w:lang w:val="es-ES_tradnl"/>
        </w:rPr>
      </w:pPr>
    </w:p>
    <w:p w:rsidR="004B70EC" w:rsidRPr="004B70EC" w:rsidRDefault="004B70EC" w:rsidP="004B70EC">
      <w:pPr>
        <w:rPr>
          <w:rFonts w:ascii="Arial" w:hAnsi="Arial" w:cs="Arial"/>
          <w:b/>
          <w:sz w:val="22"/>
          <w:szCs w:val="22"/>
          <w:lang w:val="es-ES_tradnl"/>
        </w:rPr>
      </w:pPr>
      <w:r w:rsidRPr="004B70EC">
        <w:rPr>
          <w:rFonts w:ascii="Arial" w:hAnsi="Arial" w:cs="Arial"/>
          <w:b/>
          <w:lang w:val="es-ES_tradnl"/>
        </w:rPr>
        <w:t xml:space="preserve">Recuperación del Multitaller. </w:t>
      </w:r>
    </w:p>
    <w:p w:rsidR="004B70EC" w:rsidRPr="004B70EC" w:rsidRDefault="004B70EC" w:rsidP="004B70EC">
      <w:pPr>
        <w:jc w:val="both"/>
        <w:rPr>
          <w:rFonts w:ascii="Arial" w:hAnsi="Arial" w:cs="Arial"/>
          <w:lang w:val="es-ES_tradnl"/>
        </w:rPr>
      </w:pPr>
      <w:r w:rsidRPr="004B70EC">
        <w:rPr>
          <w:rFonts w:ascii="Arial" w:hAnsi="Arial" w:cs="Arial"/>
          <w:lang w:val="es-ES_tradnl"/>
        </w:rPr>
        <w:t>El Edificio de Multitaller fue rehabilitado después de muchos años, para convertirse en un espacio científico-tecnológico para continuar con el desarrollo de actividades académicas e investigativas, orientadas a mejorar la calidad de la educación a través de la investigación.</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rPr>
          <w:rFonts w:ascii="Arial" w:hAnsi="Arial" w:cs="Arial"/>
          <w:b/>
          <w:sz w:val="22"/>
          <w:szCs w:val="22"/>
          <w:lang w:val="es-ES_tradnl"/>
        </w:rPr>
      </w:pPr>
      <w:r w:rsidRPr="004B70EC">
        <w:rPr>
          <w:rFonts w:ascii="Arial" w:hAnsi="Arial" w:cs="Arial"/>
          <w:b/>
          <w:lang w:val="es-ES_tradnl"/>
        </w:rPr>
        <w:t>Adecuación de la planta física de la Facultad de Salud (Microbiología)</w:t>
      </w:r>
    </w:p>
    <w:p w:rsidR="004B70EC" w:rsidRPr="004B70EC" w:rsidRDefault="004B70EC" w:rsidP="004B70EC">
      <w:pPr>
        <w:jc w:val="both"/>
        <w:rPr>
          <w:rFonts w:ascii="Arial" w:hAnsi="Arial" w:cs="Arial"/>
          <w:lang w:val="es-ES_tradnl"/>
        </w:rPr>
      </w:pPr>
      <w:r w:rsidRPr="004B70EC">
        <w:rPr>
          <w:rFonts w:ascii="Arial" w:hAnsi="Arial" w:cs="Arial"/>
          <w:lang w:val="es-ES_tradnl"/>
        </w:rPr>
        <w:t>Este edificios, uno de los primeros en construcción hace más de 40 años en la sede de San Fernando, fue rehabilitado, adecuados y se le realizó un reforzamiento estructura según lo define la norma. Ahora requiere de la adecuación de dos auditorios en el primer piso.</w:t>
      </w: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545533" w:rsidRDefault="00545533"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rPr>
          <w:rFonts w:ascii="Arial" w:hAnsi="Arial" w:cs="Arial"/>
          <w:sz w:val="18"/>
          <w:szCs w:val="20"/>
          <w:lang w:val="es-ES_tradnl"/>
        </w:rPr>
      </w:pPr>
      <w:r w:rsidRPr="004B70EC">
        <w:rPr>
          <w:rFonts w:ascii="Arial" w:hAnsi="Arial" w:cs="Arial"/>
          <w:sz w:val="18"/>
          <w:szCs w:val="20"/>
          <w:lang w:val="es-ES_tradnl"/>
        </w:rPr>
        <w:t>Edificio Microbiología Sede San Fernando- auditorios</w:t>
      </w:r>
    </w:p>
    <w:p w:rsidR="004B70EC" w:rsidRPr="004B70EC" w:rsidRDefault="004B70EC" w:rsidP="004B70EC">
      <w:pPr>
        <w:spacing w:line="360" w:lineRule="auto"/>
        <w:jc w:val="both"/>
        <w:rPr>
          <w:rFonts w:ascii="Arial" w:hAnsi="Arial" w:cs="Arial"/>
          <w:lang w:val="es-ES_tradnl"/>
        </w:rPr>
      </w:pPr>
      <w:r w:rsidRPr="004B70EC">
        <w:rPr>
          <w:rFonts w:ascii="Arial" w:hAnsi="Arial" w:cs="Arial"/>
          <w:noProof/>
          <w:lang w:val="es-CO" w:eastAsia="es-CO"/>
        </w:rPr>
        <w:drawing>
          <wp:inline distT="0" distB="0" distL="0" distR="0" wp14:anchorId="33E70E21" wp14:editId="4215DF5B">
            <wp:extent cx="5610225" cy="2171700"/>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0225" cy="2171700"/>
                    </a:xfrm>
                    <a:prstGeom prst="rect">
                      <a:avLst/>
                    </a:prstGeom>
                    <a:noFill/>
                    <a:ln>
                      <a:noFill/>
                    </a:ln>
                  </pic:spPr>
                </pic:pic>
              </a:graphicData>
            </a:graphic>
          </wp:inline>
        </w:drawing>
      </w:r>
    </w:p>
    <w:p w:rsidR="004B70EC" w:rsidRPr="004B70EC" w:rsidRDefault="004B70EC" w:rsidP="004B70EC">
      <w:pPr>
        <w:jc w:val="both"/>
        <w:rPr>
          <w:rFonts w:ascii="Arial" w:hAnsi="Arial" w:cs="Arial"/>
          <w:b/>
          <w:color w:val="000000" w:themeColor="text1"/>
          <w:sz w:val="22"/>
          <w:szCs w:val="22"/>
          <w:lang w:val="es-ES_tradnl"/>
        </w:rPr>
      </w:pPr>
    </w:p>
    <w:p w:rsidR="004B70EC" w:rsidRPr="004B70EC" w:rsidRDefault="004B70EC" w:rsidP="004B70EC">
      <w:pPr>
        <w:jc w:val="both"/>
        <w:rPr>
          <w:rFonts w:ascii="Arial" w:hAnsi="Arial" w:cs="Arial"/>
          <w:b/>
          <w:color w:val="000000" w:themeColor="text1"/>
          <w:lang w:val="es-ES_tradnl"/>
        </w:rPr>
      </w:pPr>
    </w:p>
    <w:p w:rsidR="004B70EC" w:rsidRPr="004B70EC" w:rsidRDefault="004B70EC" w:rsidP="004B70EC">
      <w:pPr>
        <w:jc w:val="both"/>
        <w:rPr>
          <w:rFonts w:ascii="Arial" w:hAnsi="Arial" w:cs="Arial"/>
          <w:b/>
          <w:color w:val="000000" w:themeColor="text1"/>
          <w:lang w:val="es-ES_tradnl"/>
        </w:rPr>
      </w:pPr>
      <w:r w:rsidRPr="004B70EC">
        <w:rPr>
          <w:rFonts w:ascii="Arial" w:hAnsi="Arial" w:cs="Arial"/>
          <w:b/>
          <w:color w:val="000000" w:themeColor="text1"/>
          <w:lang w:val="es-ES_tradnl"/>
        </w:rPr>
        <w:t>Edificios de Aulas en Meléndez, San Fernando, Buga, Tuluá y Palmira</w:t>
      </w:r>
    </w:p>
    <w:p w:rsidR="004B70EC" w:rsidRPr="004B70EC" w:rsidRDefault="004B70EC" w:rsidP="004B70EC">
      <w:pPr>
        <w:jc w:val="both"/>
        <w:rPr>
          <w:rFonts w:ascii="Arial" w:hAnsi="Arial" w:cs="Arial"/>
          <w:color w:val="000000" w:themeColor="text1"/>
          <w:lang w:val="es-ES_tradnl"/>
        </w:rPr>
      </w:pPr>
      <w:r w:rsidRPr="004B70EC">
        <w:rPr>
          <w:rFonts w:ascii="Arial" w:hAnsi="Arial" w:cs="Arial"/>
          <w:color w:val="000000" w:themeColor="text1"/>
          <w:lang w:val="es-ES_tradnl"/>
        </w:rPr>
        <w:t>En los diferentes campus de la Universidad se requiere completar la infraestructura existente con edificios modernos de aulas que permitan mejorar la disponibilidad, la capacidad y la cobertura actual de la institución, con el objetivos de lograr mejores niveles de eficiencia y aumentar la cobertura.</w:t>
      </w:r>
    </w:p>
    <w:p w:rsidR="004B70EC" w:rsidRPr="004B70EC" w:rsidRDefault="004B70EC" w:rsidP="004B70EC">
      <w:pPr>
        <w:rPr>
          <w:rFonts w:ascii="Arial" w:hAnsi="Arial" w:cs="Arial"/>
          <w:sz w:val="18"/>
          <w:szCs w:val="20"/>
          <w:lang w:val="es-ES_tradnl"/>
        </w:rPr>
      </w:pPr>
      <w:r w:rsidRPr="004B70EC">
        <w:rPr>
          <w:rFonts w:ascii="Arial" w:hAnsi="Arial" w:cs="Arial"/>
          <w:sz w:val="18"/>
          <w:szCs w:val="20"/>
          <w:lang w:val="es-ES_tradnl"/>
        </w:rPr>
        <w:t>Edificio Proyectado de Aulas en Meléndez</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172"/>
      </w:tblGrid>
      <w:tr w:rsidR="004B70EC" w:rsidRPr="004B70EC" w:rsidTr="004B70EC">
        <w:tc>
          <w:tcPr>
            <w:tcW w:w="4489" w:type="dxa"/>
            <w:hideMark/>
          </w:tcPr>
          <w:p w:rsidR="004B70EC" w:rsidRPr="004B70EC" w:rsidRDefault="004B70EC">
            <w:pPr>
              <w:spacing w:after="160"/>
              <w:jc w:val="both"/>
              <w:rPr>
                <w:rFonts w:ascii="Arial" w:hAnsi="Arial" w:cs="Arial"/>
                <w:b/>
                <w:sz w:val="22"/>
                <w:szCs w:val="22"/>
                <w:lang w:val="es-ES_tradnl"/>
              </w:rPr>
            </w:pPr>
            <w:r w:rsidRPr="004B70EC">
              <w:rPr>
                <w:rFonts w:ascii="Arial" w:hAnsi="Arial" w:cs="Arial"/>
                <w:b/>
                <w:noProof/>
                <w:lang w:val="es-CO" w:eastAsia="es-CO"/>
              </w:rPr>
              <w:drawing>
                <wp:inline distT="0" distB="0" distL="0" distR="0" wp14:anchorId="5C2677F4" wp14:editId="4AD4B9EF">
                  <wp:extent cx="3076575" cy="217170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t="3165"/>
                          <a:stretch>
                            <a:fillRect/>
                          </a:stretch>
                        </pic:blipFill>
                        <pic:spPr bwMode="auto">
                          <a:xfrm>
                            <a:off x="0" y="0"/>
                            <a:ext cx="3076575" cy="2171700"/>
                          </a:xfrm>
                          <a:prstGeom prst="rect">
                            <a:avLst/>
                          </a:prstGeom>
                          <a:noFill/>
                          <a:ln>
                            <a:noFill/>
                          </a:ln>
                        </pic:spPr>
                      </pic:pic>
                    </a:graphicData>
                  </a:graphic>
                </wp:inline>
              </w:drawing>
            </w:r>
          </w:p>
        </w:tc>
        <w:tc>
          <w:tcPr>
            <w:tcW w:w="4489" w:type="dxa"/>
            <w:hideMark/>
          </w:tcPr>
          <w:p w:rsidR="004B70EC" w:rsidRPr="004B70EC" w:rsidRDefault="004B70EC">
            <w:pPr>
              <w:spacing w:after="160"/>
              <w:jc w:val="both"/>
              <w:rPr>
                <w:rFonts w:ascii="Arial" w:hAnsi="Arial" w:cs="Arial"/>
                <w:b/>
                <w:sz w:val="22"/>
                <w:szCs w:val="22"/>
                <w:lang w:val="es-ES_tradnl"/>
              </w:rPr>
            </w:pPr>
            <w:r w:rsidRPr="004B70EC">
              <w:rPr>
                <w:rFonts w:ascii="Arial" w:hAnsi="Arial" w:cs="Arial"/>
                <w:b/>
                <w:noProof/>
                <w:lang w:val="es-CO" w:eastAsia="es-CO"/>
              </w:rPr>
              <w:drawing>
                <wp:inline distT="0" distB="0" distL="0" distR="0" wp14:anchorId="5DEDEE0C" wp14:editId="0BD2359A">
                  <wp:extent cx="2733675" cy="217170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33675" cy="2171700"/>
                          </a:xfrm>
                          <a:prstGeom prst="rect">
                            <a:avLst/>
                          </a:prstGeom>
                          <a:noFill/>
                          <a:ln>
                            <a:noFill/>
                          </a:ln>
                        </pic:spPr>
                      </pic:pic>
                    </a:graphicData>
                  </a:graphic>
                </wp:inline>
              </w:drawing>
            </w:r>
          </w:p>
        </w:tc>
      </w:tr>
    </w:tbl>
    <w:p w:rsidR="004B70EC" w:rsidRPr="004B70EC" w:rsidRDefault="004B70EC" w:rsidP="004B70EC">
      <w:pPr>
        <w:jc w:val="both"/>
        <w:rPr>
          <w:rFonts w:ascii="Arial" w:hAnsi="Arial" w:cs="Arial"/>
          <w:sz w:val="22"/>
          <w:szCs w:val="22"/>
          <w:lang w:val="es-ES_tradnl"/>
        </w:rPr>
      </w:pPr>
      <w:r w:rsidRPr="004B70EC">
        <w:rPr>
          <w:rFonts w:ascii="Arial" w:hAnsi="Arial" w:cs="Arial"/>
          <w:lang w:val="es-ES_tradnl"/>
        </w:rPr>
        <w:t>Los proyectos ejecutados y por ejecutar de mejoramiento de aulas de la Universidad, permiten contar con espacios académicos renovados para que los estudiantes cuenten con mejores condiciones para su proceso de formación, con las ayudas didácticas y audiovisuales requeridas.</w:t>
      </w:r>
    </w:p>
    <w:p w:rsidR="004B70EC" w:rsidRPr="004B70EC" w:rsidRDefault="004B70EC" w:rsidP="004B70EC">
      <w:pPr>
        <w:rPr>
          <w:rFonts w:ascii="Arial" w:hAnsi="Arial" w:cs="Arial"/>
          <w:sz w:val="18"/>
          <w:szCs w:val="20"/>
          <w:lang w:val="es-ES_tradnl"/>
        </w:rPr>
      </w:pPr>
      <w:r w:rsidRPr="004B70EC">
        <w:rPr>
          <w:rFonts w:ascii="Arial" w:hAnsi="Arial" w:cs="Arial"/>
          <w:sz w:val="18"/>
          <w:szCs w:val="20"/>
          <w:lang w:val="es-ES_tradnl"/>
        </w:rPr>
        <w:t>Auditorios y aulas Meléndez y sedes regionales.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4"/>
        <w:gridCol w:w="4434"/>
      </w:tblGrid>
      <w:tr w:rsidR="004B70EC" w:rsidRPr="004B70EC" w:rsidTr="004B70EC">
        <w:tc>
          <w:tcPr>
            <w:tcW w:w="4500" w:type="dxa"/>
            <w:hideMark/>
          </w:tcPr>
          <w:p w:rsidR="004B70EC" w:rsidRPr="004B70EC" w:rsidRDefault="004B70EC">
            <w:pPr>
              <w:spacing w:after="160"/>
              <w:jc w:val="both"/>
              <w:rPr>
                <w:rFonts w:ascii="Arial" w:hAnsi="Arial" w:cs="Arial"/>
                <w:b/>
                <w:sz w:val="22"/>
                <w:szCs w:val="22"/>
                <w:lang w:val="es-ES_tradnl"/>
              </w:rPr>
            </w:pPr>
            <w:r w:rsidRPr="004B70EC">
              <w:rPr>
                <w:rFonts w:ascii="Arial" w:hAnsi="Arial" w:cs="Arial"/>
                <w:b/>
                <w:noProof/>
                <w:lang w:val="es-CO" w:eastAsia="es-CO"/>
              </w:rPr>
              <w:drawing>
                <wp:inline distT="0" distB="0" distL="0" distR="0" wp14:anchorId="1A5F165C" wp14:editId="4CE990DA">
                  <wp:extent cx="2724150" cy="2257425"/>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4150" cy="2257425"/>
                          </a:xfrm>
                          <a:prstGeom prst="rect">
                            <a:avLst/>
                          </a:prstGeom>
                          <a:noFill/>
                          <a:ln>
                            <a:noFill/>
                          </a:ln>
                        </pic:spPr>
                      </pic:pic>
                    </a:graphicData>
                  </a:graphic>
                </wp:inline>
              </w:drawing>
            </w:r>
          </w:p>
        </w:tc>
        <w:tc>
          <w:tcPr>
            <w:tcW w:w="4536" w:type="dxa"/>
            <w:hideMark/>
          </w:tcPr>
          <w:p w:rsidR="004B70EC" w:rsidRPr="004B70EC" w:rsidRDefault="004B70EC">
            <w:pPr>
              <w:spacing w:after="160"/>
              <w:jc w:val="both"/>
              <w:rPr>
                <w:rFonts w:ascii="Arial" w:hAnsi="Arial" w:cs="Arial"/>
                <w:b/>
                <w:sz w:val="22"/>
                <w:szCs w:val="22"/>
                <w:lang w:val="es-ES_tradnl"/>
              </w:rPr>
            </w:pPr>
            <w:r w:rsidRPr="004B70EC">
              <w:rPr>
                <w:rFonts w:ascii="Arial" w:hAnsi="Arial" w:cs="Arial"/>
                <w:b/>
                <w:noProof/>
                <w:lang w:val="es-CO" w:eastAsia="es-CO"/>
              </w:rPr>
              <w:drawing>
                <wp:inline distT="0" distB="0" distL="0" distR="0" wp14:anchorId="3766D556" wp14:editId="7F130B6C">
                  <wp:extent cx="2733675" cy="22098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3675" cy="2209800"/>
                          </a:xfrm>
                          <a:prstGeom prst="rect">
                            <a:avLst/>
                          </a:prstGeom>
                          <a:noFill/>
                          <a:ln>
                            <a:noFill/>
                          </a:ln>
                        </pic:spPr>
                      </pic:pic>
                    </a:graphicData>
                  </a:graphic>
                </wp:inline>
              </w:drawing>
            </w:r>
          </w:p>
        </w:tc>
      </w:tr>
    </w:tbl>
    <w:p w:rsidR="004B70EC" w:rsidRPr="004B70EC" w:rsidRDefault="004B70EC" w:rsidP="004B70EC">
      <w:pPr>
        <w:jc w:val="both"/>
        <w:rPr>
          <w:rFonts w:ascii="Arial" w:hAnsi="Arial" w:cs="Arial"/>
          <w:b/>
          <w:sz w:val="22"/>
          <w:szCs w:val="22"/>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En la actualidad la Universidad cuenta con más de 566 aulas, de las cuales 109 han sido intervenidas con recursos de la estampilla en los últimos 2 años, existe un proyecto que busca en los próximos años, invertir en una primera etapa, más de 18 mil millones de pesos en la modernización de un gran porcentaje de estas aulas y en la construcción de un nuevo edificio a aulas en la sede Meléndez, con 25 salones adaptables a las condiciones requeridas para grupos de gran tamaño de estudiantes y con la última tecnología. Para las siguientes fases se requieren recursos para la construcción de edificios nuevos de aulas en la sede de San Fernando y los campus de Buga, Tuluá, Palmira y Buenaventura.</w:t>
      </w:r>
    </w:p>
    <w:p w:rsidR="004B70EC" w:rsidRPr="004B70EC" w:rsidRDefault="004B70EC" w:rsidP="004B70EC">
      <w:pPr>
        <w:jc w:val="both"/>
        <w:rPr>
          <w:rFonts w:ascii="Arial" w:hAnsi="Arial" w:cs="Arial"/>
          <w:lang w:val="es-ES_tradnl"/>
        </w:rPr>
      </w:pPr>
    </w:p>
    <w:p w:rsidR="004B70EC" w:rsidRPr="004B70EC" w:rsidRDefault="004B70EC" w:rsidP="004B70EC">
      <w:pPr>
        <w:rPr>
          <w:rFonts w:ascii="Arial" w:hAnsi="Arial" w:cs="Arial"/>
          <w:b/>
          <w:lang w:val="es-ES_tradnl"/>
        </w:rPr>
      </w:pPr>
      <w:r w:rsidRPr="004B70EC">
        <w:rPr>
          <w:rFonts w:ascii="Arial" w:hAnsi="Arial" w:cs="Arial"/>
          <w:b/>
          <w:lang w:val="es-ES_tradnl"/>
        </w:rPr>
        <w:t>Terminación de los campus de las regionales</w:t>
      </w:r>
    </w:p>
    <w:p w:rsidR="004B70EC" w:rsidRPr="004B70EC" w:rsidRDefault="004B70EC" w:rsidP="004B70EC">
      <w:pPr>
        <w:jc w:val="both"/>
        <w:rPr>
          <w:rFonts w:ascii="Arial" w:hAnsi="Arial" w:cs="Arial"/>
          <w:lang w:val="es-ES_tradnl"/>
        </w:rPr>
      </w:pPr>
      <w:r w:rsidRPr="004B70EC">
        <w:rPr>
          <w:rFonts w:ascii="Arial" w:hAnsi="Arial" w:cs="Arial"/>
          <w:lang w:val="es-ES_tradnl"/>
        </w:rPr>
        <w:t>La Universidad con los recursos de la estampilla ha logrado consolidar y fortalecer las diferentes sedes de la Universidad, hoy cuenta con propiedad de los lotes donde funcionan la mayoría de las sedes, en los próximos años se requieren los recursos para la construcción de la sede de Buga, en un lote que la Universidad está en proceso de compra, además de consolidar la infraestructura en la sede Pacifico, con un CDU y un edificio de aulas, la sede de Palmira con un edificio de aulas, auditorios y otro edificio complementario, y la sede de Tuluá con un edificio de aulas adicional al existente.</w:t>
      </w:r>
    </w:p>
    <w:p w:rsidR="004B70EC" w:rsidRPr="004B70EC" w:rsidRDefault="004B70EC" w:rsidP="004B70EC">
      <w:pPr>
        <w:pStyle w:val="Prrafodelista"/>
        <w:jc w:val="both"/>
        <w:rPr>
          <w:rFonts w:ascii="Arial" w:hAnsi="Arial" w:cs="Arial"/>
          <w:b/>
          <w:lang w:val="es-ES_tradnl"/>
        </w:rPr>
      </w:pPr>
    </w:p>
    <w:p w:rsidR="004B70EC" w:rsidRPr="004B70EC" w:rsidRDefault="004B70EC" w:rsidP="004B70EC">
      <w:pPr>
        <w:jc w:val="both"/>
        <w:rPr>
          <w:rFonts w:ascii="Arial" w:hAnsi="Arial" w:cs="Arial"/>
          <w:b/>
          <w:lang w:val="es-ES_tradnl"/>
        </w:rPr>
      </w:pPr>
      <w:r w:rsidRPr="004B70EC">
        <w:rPr>
          <w:rFonts w:ascii="Arial" w:hAnsi="Arial" w:cs="Arial"/>
          <w:b/>
          <w:lang w:val="es-ES_tradnl"/>
        </w:rPr>
        <w:t xml:space="preserve">Mantenimiento preventivo y correctivo </w:t>
      </w:r>
    </w:p>
    <w:p w:rsidR="004B70EC" w:rsidRPr="004B70EC" w:rsidRDefault="004B70EC" w:rsidP="004B70EC">
      <w:pPr>
        <w:jc w:val="both"/>
        <w:rPr>
          <w:rFonts w:ascii="Arial" w:hAnsi="Arial" w:cs="Arial"/>
          <w:lang w:val="es-ES_tradnl"/>
        </w:rPr>
      </w:pPr>
      <w:r w:rsidRPr="004B70EC">
        <w:rPr>
          <w:rFonts w:ascii="Arial" w:hAnsi="Arial" w:cs="Arial"/>
          <w:lang w:val="es-ES_tradnl"/>
        </w:rPr>
        <w:t>Estos recursos fueron destinados a la rehabilitación y restitución de las condiciones de funcionamiento y operación de los bienes muebles e inmuebles de la Universidad, lo anterior buscando garantizar su normal y adecuado funcionamiento. Comprende labores de saneamiento, mantenimiento preventivo y correctivo en las edificaciones y sus correspondientes estructuras e instalaciones, acabados, revestimientos y accesorios complementarios a toda edificación y equipos de la Universidad en las Sedes Meléndez y San Fernando.</w:t>
      </w:r>
    </w:p>
    <w:p w:rsidR="004B70EC" w:rsidRPr="004B70EC" w:rsidRDefault="004B70EC" w:rsidP="004B70EC">
      <w:pPr>
        <w:jc w:val="both"/>
        <w:rPr>
          <w:rFonts w:ascii="Arial" w:eastAsiaTheme="minorHAnsi" w:hAnsi="Arial" w:cs="Arial"/>
          <w:lang w:val="es-ES_tradnl" w:eastAsia="en-US"/>
        </w:rPr>
      </w:pPr>
    </w:p>
    <w:p w:rsid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b/>
          <w:sz w:val="22"/>
          <w:szCs w:val="22"/>
          <w:lang w:val="es-ES_tradnl"/>
        </w:rPr>
      </w:pPr>
      <w:r w:rsidRPr="004B70EC">
        <w:rPr>
          <w:rFonts w:ascii="Arial" w:hAnsi="Arial" w:cs="Arial"/>
          <w:b/>
          <w:lang w:val="es-ES_tradnl"/>
        </w:rPr>
        <w:t>Equipamiento de bienestar para el mejoramiento de la calidad de vida de la comunidad universitaria</w:t>
      </w:r>
    </w:p>
    <w:p w:rsidR="004B70EC" w:rsidRPr="004B70EC" w:rsidRDefault="004B70EC" w:rsidP="004B70EC">
      <w:pPr>
        <w:jc w:val="both"/>
        <w:rPr>
          <w:rFonts w:ascii="Arial" w:hAnsi="Arial" w:cs="Arial"/>
          <w:lang w:val="es-ES_tradnl"/>
        </w:rPr>
      </w:pPr>
      <w:r w:rsidRPr="004B70EC">
        <w:rPr>
          <w:rFonts w:ascii="Arial" w:hAnsi="Arial" w:cs="Arial"/>
          <w:lang w:val="es-ES_tradnl"/>
        </w:rPr>
        <w:t>El proyecto tiene como objetivo crear condiciones que mejoren la calidad de vida de la comunidad universitaria, mediante el mantenimiento y la ejecución de proyectos constructivos que deriven en espacios existentes adecuados o nuevos escenarios para uso y disfrute de la población universitaria</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lang w:val="es-ES_tradnl"/>
        </w:rPr>
      </w:pPr>
      <w:r w:rsidRPr="004B70EC">
        <w:rPr>
          <w:rFonts w:ascii="Arial" w:hAnsi="Arial" w:cs="Arial"/>
          <w:lang w:val="es-ES_tradnl"/>
        </w:rPr>
        <w:t>Este proyecto contempla:</w:t>
      </w:r>
    </w:p>
    <w:p w:rsidR="004B70EC" w:rsidRPr="004B70EC" w:rsidRDefault="004B70EC" w:rsidP="004B70EC">
      <w:pPr>
        <w:jc w:val="both"/>
        <w:rPr>
          <w:rFonts w:ascii="Arial" w:hAnsi="Arial" w:cs="Arial"/>
          <w:lang w:val="es-ES_tradnl"/>
        </w:rPr>
      </w:pPr>
    </w:p>
    <w:p w:rsidR="004B70EC" w:rsidRPr="004B70EC" w:rsidRDefault="004B70EC" w:rsidP="004B70EC">
      <w:pPr>
        <w:jc w:val="both"/>
        <w:rPr>
          <w:rFonts w:ascii="Arial" w:hAnsi="Arial" w:cs="Arial"/>
          <w:sz w:val="22"/>
          <w:szCs w:val="22"/>
          <w:lang w:val="es-ES_tradnl"/>
        </w:rPr>
      </w:pPr>
      <w:r w:rsidRPr="004B70EC">
        <w:rPr>
          <w:rFonts w:ascii="Arial" w:hAnsi="Arial" w:cs="Arial"/>
          <w:lang w:val="es-ES_tradnl"/>
        </w:rPr>
        <w:t>Construcción de cuatro (4) cafeterías con baterías sanitarias y áreas de estudio en la Ciudad Universitaria del Valle Campus Meléndez;</w:t>
      </w:r>
    </w:p>
    <w:tbl>
      <w:tblPr>
        <w:tblStyle w:val="Tablaconcuadrcul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6"/>
        <w:gridCol w:w="4282"/>
      </w:tblGrid>
      <w:tr w:rsidR="004B70EC" w:rsidRPr="004B70EC" w:rsidTr="004B70EC">
        <w:tc>
          <w:tcPr>
            <w:tcW w:w="4489" w:type="dxa"/>
            <w:hideMark/>
          </w:tcPr>
          <w:p w:rsidR="004B70EC" w:rsidRPr="004B70EC" w:rsidRDefault="004B70EC">
            <w:pPr>
              <w:spacing w:after="160"/>
              <w:jc w:val="both"/>
              <w:rPr>
                <w:rFonts w:ascii="Arial" w:hAnsi="Arial" w:cs="Arial"/>
                <w:sz w:val="22"/>
                <w:szCs w:val="22"/>
                <w:lang w:val="es-ES_tradnl" w:eastAsia="en-US"/>
              </w:rPr>
            </w:pPr>
            <w:r w:rsidRPr="004B70EC">
              <w:rPr>
                <w:rFonts w:ascii="Arial" w:hAnsi="Arial" w:cs="Arial"/>
                <w:noProof/>
                <w:lang w:val="es-CO" w:eastAsia="es-CO"/>
              </w:rPr>
              <w:drawing>
                <wp:inline distT="0" distB="0" distL="0" distR="0" wp14:anchorId="18AA1D81" wp14:editId="513AADA9">
                  <wp:extent cx="2628900" cy="14859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8900" cy="1485900"/>
                          </a:xfrm>
                          <a:prstGeom prst="rect">
                            <a:avLst/>
                          </a:prstGeom>
                          <a:noFill/>
                          <a:ln>
                            <a:noFill/>
                          </a:ln>
                        </pic:spPr>
                      </pic:pic>
                    </a:graphicData>
                  </a:graphic>
                </wp:inline>
              </w:drawing>
            </w:r>
          </w:p>
        </w:tc>
        <w:tc>
          <w:tcPr>
            <w:tcW w:w="4489" w:type="dxa"/>
            <w:hideMark/>
          </w:tcPr>
          <w:p w:rsidR="004B70EC" w:rsidRPr="004B70EC" w:rsidRDefault="004B70EC">
            <w:pPr>
              <w:spacing w:after="160"/>
              <w:jc w:val="both"/>
              <w:rPr>
                <w:rFonts w:ascii="Arial" w:hAnsi="Arial" w:cs="Arial"/>
                <w:sz w:val="22"/>
                <w:szCs w:val="22"/>
                <w:lang w:val="es-ES_tradnl" w:eastAsia="en-US"/>
              </w:rPr>
            </w:pPr>
            <w:r w:rsidRPr="004B70EC">
              <w:rPr>
                <w:rFonts w:ascii="Arial" w:hAnsi="Arial" w:cs="Arial"/>
                <w:noProof/>
                <w:lang w:val="es-CO" w:eastAsia="es-CO"/>
              </w:rPr>
              <w:drawing>
                <wp:inline distT="0" distB="0" distL="0" distR="0" wp14:anchorId="53251764" wp14:editId="50FF3FDA">
                  <wp:extent cx="2686050" cy="15144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86050" cy="1514475"/>
                          </a:xfrm>
                          <a:prstGeom prst="rect">
                            <a:avLst/>
                          </a:prstGeom>
                          <a:noFill/>
                          <a:ln>
                            <a:noFill/>
                          </a:ln>
                        </pic:spPr>
                      </pic:pic>
                    </a:graphicData>
                  </a:graphic>
                </wp:inline>
              </w:drawing>
            </w:r>
          </w:p>
        </w:tc>
      </w:tr>
    </w:tbl>
    <w:p w:rsidR="004B70EC" w:rsidRPr="004B70EC" w:rsidRDefault="004B70EC" w:rsidP="004B70EC">
      <w:pPr>
        <w:spacing w:line="360" w:lineRule="auto"/>
        <w:jc w:val="both"/>
        <w:rPr>
          <w:rFonts w:ascii="Arial" w:hAnsi="Arial" w:cs="Arial"/>
          <w:lang w:val="es-ES_tradnl" w:eastAsia="en-US"/>
        </w:rPr>
      </w:pP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Construcción de una (1) cafetería con baterías sanitarias y áreas de estudio en la Sede la carbonera – Regional Palmira; </w:t>
      </w:r>
    </w:p>
    <w:p w:rsidR="004B70EC" w:rsidRPr="004B70EC" w:rsidRDefault="004B70EC" w:rsidP="004B70EC">
      <w:pPr>
        <w:spacing w:line="360" w:lineRule="auto"/>
        <w:jc w:val="center"/>
        <w:rPr>
          <w:rFonts w:ascii="Arial" w:hAnsi="Arial" w:cs="Arial"/>
          <w:lang w:val="es-ES_tradnl"/>
        </w:rPr>
      </w:pPr>
      <w:r w:rsidRPr="004B70EC">
        <w:rPr>
          <w:rFonts w:ascii="Arial" w:hAnsi="Arial" w:cs="Arial"/>
          <w:noProof/>
          <w:lang w:val="es-CO" w:eastAsia="es-CO"/>
        </w:rPr>
        <w:drawing>
          <wp:inline distT="0" distB="0" distL="0" distR="0" wp14:anchorId="6B4176F1" wp14:editId="497CF935">
            <wp:extent cx="3419475" cy="18954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19475" cy="1895475"/>
                    </a:xfrm>
                    <a:prstGeom prst="rect">
                      <a:avLst/>
                    </a:prstGeom>
                    <a:noFill/>
                    <a:ln>
                      <a:noFill/>
                    </a:ln>
                  </pic:spPr>
                </pic:pic>
              </a:graphicData>
            </a:graphic>
          </wp:inline>
        </w:drawing>
      </w:r>
    </w:p>
    <w:p w:rsidR="004B70EC" w:rsidRPr="004B70EC" w:rsidRDefault="004B70EC" w:rsidP="004B70EC">
      <w:pPr>
        <w:jc w:val="both"/>
        <w:rPr>
          <w:rFonts w:ascii="Arial" w:hAnsi="Arial" w:cs="Arial"/>
          <w:sz w:val="22"/>
          <w:szCs w:val="22"/>
          <w:lang w:val="es-ES_tradnl"/>
        </w:rPr>
      </w:pPr>
      <w:r w:rsidRPr="004B70EC">
        <w:rPr>
          <w:rFonts w:ascii="Arial" w:hAnsi="Arial" w:cs="Arial"/>
          <w:lang w:val="es-ES_tradnl"/>
        </w:rPr>
        <w:t xml:space="preserve">Ampliación del Centro Deportivo Universitario en la Ciudad Universitaria del Valle Campus Meléndez; </w:t>
      </w:r>
    </w:p>
    <w:p w:rsidR="004B70EC" w:rsidRPr="004B70EC" w:rsidRDefault="004B70EC" w:rsidP="004B70EC">
      <w:pPr>
        <w:jc w:val="center"/>
        <w:rPr>
          <w:rFonts w:ascii="Arial" w:hAnsi="Arial" w:cs="Arial"/>
          <w:lang w:val="es-ES_tradnl"/>
        </w:rPr>
      </w:pPr>
      <w:r w:rsidRPr="004B70EC">
        <w:rPr>
          <w:rFonts w:ascii="Arial" w:hAnsi="Arial" w:cs="Arial"/>
          <w:noProof/>
          <w:lang w:val="es-CO" w:eastAsia="es-CO"/>
        </w:rPr>
        <w:drawing>
          <wp:inline distT="0" distB="0" distL="0" distR="0" wp14:anchorId="5A713141" wp14:editId="437B83FF">
            <wp:extent cx="3419475" cy="144780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19475" cy="1447800"/>
                    </a:xfrm>
                    <a:prstGeom prst="rect">
                      <a:avLst/>
                    </a:prstGeom>
                    <a:noFill/>
                    <a:ln>
                      <a:noFill/>
                    </a:ln>
                  </pic:spPr>
                </pic:pic>
              </a:graphicData>
            </a:graphic>
          </wp:inline>
        </w:drawing>
      </w:r>
    </w:p>
    <w:p w:rsidR="004B70EC" w:rsidRPr="004B70EC" w:rsidRDefault="004B70EC" w:rsidP="004B70EC">
      <w:pPr>
        <w:jc w:val="both"/>
        <w:rPr>
          <w:rFonts w:ascii="Arial" w:hAnsi="Arial" w:cs="Arial"/>
          <w:lang w:val="es-ES_tradnl"/>
        </w:rPr>
      </w:pPr>
      <w:r w:rsidRPr="004B70EC">
        <w:rPr>
          <w:rFonts w:ascii="Arial" w:hAnsi="Arial" w:cs="Arial"/>
          <w:lang w:val="es-ES_tradnl"/>
        </w:rPr>
        <w:t xml:space="preserve">Ampliación del edificio 389 Restaurante Universitario Meléndez; </w:t>
      </w:r>
    </w:p>
    <w:p w:rsidR="004B70EC" w:rsidRPr="004B70EC" w:rsidRDefault="004B70EC" w:rsidP="004B70EC">
      <w:pPr>
        <w:spacing w:line="360" w:lineRule="auto"/>
        <w:jc w:val="center"/>
        <w:rPr>
          <w:rFonts w:ascii="Arial" w:hAnsi="Arial" w:cs="Arial"/>
          <w:lang w:val="es-ES_tradnl"/>
        </w:rPr>
      </w:pPr>
      <w:r w:rsidRPr="004B70EC">
        <w:rPr>
          <w:rFonts w:ascii="Arial" w:hAnsi="Arial" w:cs="Arial"/>
          <w:noProof/>
          <w:lang w:val="es-CO" w:eastAsia="es-CO"/>
        </w:rPr>
        <w:drawing>
          <wp:inline distT="0" distB="0" distL="0" distR="0" wp14:anchorId="7483B15D" wp14:editId="7B3833EB">
            <wp:extent cx="3305175" cy="172402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05175" cy="1724025"/>
                    </a:xfrm>
                    <a:prstGeom prst="rect">
                      <a:avLst/>
                    </a:prstGeom>
                    <a:noFill/>
                    <a:ln>
                      <a:noFill/>
                    </a:ln>
                  </pic:spPr>
                </pic:pic>
              </a:graphicData>
            </a:graphic>
          </wp:inline>
        </w:drawing>
      </w:r>
    </w:p>
    <w:p w:rsidR="004B70EC" w:rsidRPr="004B70EC" w:rsidRDefault="004B70EC" w:rsidP="004B70EC">
      <w:pPr>
        <w:pStyle w:val="Prrafodelista"/>
        <w:numPr>
          <w:ilvl w:val="0"/>
          <w:numId w:val="36"/>
        </w:numPr>
        <w:autoSpaceDE/>
        <w:autoSpaceDN/>
        <w:adjustRightInd/>
        <w:contextualSpacing/>
        <w:jc w:val="both"/>
        <w:rPr>
          <w:rFonts w:ascii="Arial" w:hAnsi="Arial" w:cs="Arial"/>
          <w:sz w:val="32"/>
          <w:szCs w:val="24"/>
          <w:lang w:val="es-ES_tradnl"/>
        </w:rPr>
      </w:pPr>
      <w:r w:rsidRPr="004B70EC">
        <w:rPr>
          <w:rFonts w:ascii="Arial" w:hAnsi="Arial" w:cs="Arial"/>
          <w:sz w:val="24"/>
          <w:lang w:val="es-ES_tradnl"/>
        </w:rPr>
        <w:t xml:space="preserve">Construcción de baterías Sanitarios de los salones 0001, 0003, 1003 Facultad de Ciencias de la Administración; </w:t>
      </w:r>
    </w:p>
    <w:p w:rsidR="004B70EC" w:rsidRPr="004B70EC" w:rsidRDefault="004B70EC" w:rsidP="004B70EC">
      <w:pPr>
        <w:pStyle w:val="Prrafodelista"/>
        <w:numPr>
          <w:ilvl w:val="0"/>
          <w:numId w:val="36"/>
        </w:numPr>
        <w:autoSpaceDE/>
        <w:autoSpaceDN/>
        <w:adjustRightInd/>
        <w:contextualSpacing/>
        <w:jc w:val="both"/>
        <w:rPr>
          <w:rFonts w:ascii="Arial" w:hAnsi="Arial" w:cs="Arial"/>
          <w:sz w:val="24"/>
          <w:lang w:val="es-ES_tradnl"/>
        </w:rPr>
      </w:pPr>
      <w:r w:rsidRPr="004B70EC">
        <w:rPr>
          <w:rFonts w:ascii="Arial" w:hAnsi="Arial" w:cs="Arial"/>
          <w:sz w:val="24"/>
          <w:lang w:val="es-ES_tradnl"/>
        </w:rPr>
        <w:t xml:space="preserve">Adecuación de baterías sanitarias en el Campus Universitario Meléndez y en las Sedes de la Universidad del Valle; </w:t>
      </w:r>
    </w:p>
    <w:p w:rsidR="004B70EC" w:rsidRPr="004B70EC" w:rsidRDefault="004B70EC" w:rsidP="004B70EC">
      <w:pPr>
        <w:pStyle w:val="Prrafodelista"/>
        <w:numPr>
          <w:ilvl w:val="0"/>
          <w:numId w:val="36"/>
        </w:numPr>
        <w:autoSpaceDE/>
        <w:autoSpaceDN/>
        <w:adjustRightInd/>
        <w:contextualSpacing/>
        <w:jc w:val="both"/>
        <w:rPr>
          <w:rFonts w:ascii="Arial" w:hAnsi="Arial" w:cs="Arial"/>
          <w:sz w:val="24"/>
          <w:lang w:val="es-ES_tradnl"/>
        </w:rPr>
      </w:pPr>
      <w:r w:rsidRPr="004B70EC">
        <w:rPr>
          <w:rFonts w:ascii="Arial" w:hAnsi="Arial" w:cs="Arial"/>
          <w:sz w:val="24"/>
          <w:lang w:val="es-ES_tradnl"/>
        </w:rPr>
        <w:t xml:space="preserve">Adquisición de mobiliario para adecuación de las oficinas de la Dirección de Infraestructura Universitaria; </w:t>
      </w:r>
    </w:p>
    <w:p w:rsidR="004B70EC" w:rsidRPr="004B70EC" w:rsidRDefault="004B70EC" w:rsidP="004B70EC">
      <w:pPr>
        <w:pStyle w:val="Prrafodelista"/>
        <w:numPr>
          <w:ilvl w:val="0"/>
          <w:numId w:val="36"/>
        </w:numPr>
        <w:autoSpaceDE/>
        <w:autoSpaceDN/>
        <w:adjustRightInd/>
        <w:contextualSpacing/>
        <w:jc w:val="both"/>
        <w:rPr>
          <w:rFonts w:ascii="Arial" w:hAnsi="Arial" w:cs="Arial"/>
          <w:sz w:val="24"/>
          <w:lang w:val="es-ES_tradnl"/>
        </w:rPr>
      </w:pPr>
      <w:r w:rsidRPr="004B70EC">
        <w:rPr>
          <w:rFonts w:ascii="Arial" w:hAnsi="Arial" w:cs="Arial"/>
          <w:sz w:val="24"/>
          <w:lang w:val="es-ES_tradnl"/>
        </w:rPr>
        <w:t xml:space="preserve">Adecuaciones varias en la planta física de la Sede Caicedonia, Buga, Palmira, Yumbo, Norte del Cauca y Pacífico; </w:t>
      </w:r>
    </w:p>
    <w:p w:rsidR="004B70EC" w:rsidRPr="004B70EC" w:rsidRDefault="004B70EC" w:rsidP="004B70EC">
      <w:pPr>
        <w:pStyle w:val="Prrafodelista"/>
        <w:numPr>
          <w:ilvl w:val="0"/>
          <w:numId w:val="36"/>
        </w:numPr>
        <w:autoSpaceDE/>
        <w:autoSpaceDN/>
        <w:adjustRightInd/>
        <w:ind w:left="714" w:hanging="357"/>
        <w:contextualSpacing/>
        <w:jc w:val="both"/>
        <w:rPr>
          <w:rFonts w:ascii="Arial" w:hAnsi="Arial" w:cs="Arial"/>
          <w:sz w:val="24"/>
          <w:lang w:val="es-ES_tradnl"/>
        </w:rPr>
      </w:pPr>
      <w:r w:rsidRPr="004B70EC">
        <w:rPr>
          <w:rFonts w:ascii="Arial" w:hAnsi="Arial" w:cs="Arial"/>
          <w:sz w:val="24"/>
          <w:lang w:val="es-ES_tradnl"/>
        </w:rPr>
        <w:t>Adecuación de espacios  deportivos del Centro Deportivo Universitario en la Sede Meléndez; Adecuación de espacio en el primer piso del edificio 320</w:t>
      </w:r>
    </w:p>
    <w:p w:rsidR="004B70EC" w:rsidRPr="004B70EC" w:rsidRDefault="004B70EC" w:rsidP="004B70EC">
      <w:pPr>
        <w:pStyle w:val="Prrafodelista"/>
        <w:numPr>
          <w:ilvl w:val="0"/>
          <w:numId w:val="36"/>
        </w:numPr>
        <w:autoSpaceDE/>
        <w:autoSpaceDN/>
        <w:adjustRightInd/>
        <w:ind w:left="714" w:hanging="357"/>
        <w:contextualSpacing/>
        <w:jc w:val="both"/>
        <w:rPr>
          <w:rFonts w:ascii="Arial" w:hAnsi="Arial" w:cs="Arial"/>
          <w:sz w:val="24"/>
          <w:lang w:val="es-ES_tradnl"/>
        </w:rPr>
      </w:pPr>
      <w:r w:rsidRPr="004B70EC">
        <w:rPr>
          <w:rFonts w:ascii="Arial" w:hAnsi="Arial" w:cs="Arial"/>
          <w:sz w:val="24"/>
          <w:lang w:val="es-ES_tradnl"/>
        </w:rPr>
        <w:t xml:space="preserve">Adecuaciones de la Oficina de Comunicaciones en el Edificio de Administración Central 301-Sede Meléndez; </w:t>
      </w:r>
    </w:p>
    <w:p w:rsidR="004B70EC" w:rsidRPr="004B70EC" w:rsidRDefault="004B70EC" w:rsidP="004B70EC">
      <w:pPr>
        <w:pStyle w:val="Prrafodelista"/>
        <w:numPr>
          <w:ilvl w:val="0"/>
          <w:numId w:val="36"/>
        </w:numPr>
        <w:autoSpaceDE/>
        <w:autoSpaceDN/>
        <w:adjustRightInd/>
        <w:contextualSpacing/>
        <w:jc w:val="both"/>
        <w:rPr>
          <w:rFonts w:ascii="Arial" w:hAnsi="Arial" w:cs="Arial"/>
          <w:sz w:val="24"/>
          <w:lang w:val="es-ES_tradnl"/>
        </w:rPr>
      </w:pPr>
      <w:r w:rsidRPr="004B70EC">
        <w:rPr>
          <w:rFonts w:ascii="Arial" w:hAnsi="Arial" w:cs="Arial"/>
          <w:sz w:val="24"/>
          <w:lang w:val="es-ES_tradnl"/>
        </w:rPr>
        <w:t>Mejoramiento de la red eléctrica de la Sede San Fernando;</w:t>
      </w:r>
    </w:p>
    <w:p w:rsidR="004B70EC" w:rsidRPr="004B70EC" w:rsidRDefault="004B70EC" w:rsidP="004B70EC">
      <w:pPr>
        <w:pStyle w:val="Prrafodelista"/>
        <w:numPr>
          <w:ilvl w:val="0"/>
          <w:numId w:val="36"/>
        </w:numPr>
        <w:autoSpaceDE/>
        <w:autoSpaceDN/>
        <w:adjustRightInd/>
        <w:contextualSpacing/>
        <w:jc w:val="both"/>
        <w:rPr>
          <w:rFonts w:ascii="Arial" w:hAnsi="Arial" w:cs="Arial"/>
          <w:sz w:val="24"/>
          <w:lang w:val="es-ES_tradnl"/>
        </w:rPr>
      </w:pPr>
      <w:r w:rsidRPr="004B70EC">
        <w:rPr>
          <w:rFonts w:ascii="Arial" w:hAnsi="Arial" w:cs="Arial"/>
          <w:sz w:val="24"/>
          <w:lang w:val="es-ES_tradnl"/>
        </w:rPr>
        <w:t>Obras de adecuación de equipamientos de bienestar en la Sedes de la Universidad del Valle.</w:t>
      </w:r>
    </w:p>
    <w:p w:rsidR="004B70EC" w:rsidRPr="004B70EC" w:rsidRDefault="004B70EC" w:rsidP="004B70EC">
      <w:pPr>
        <w:pStyle w:val="Prrafodelista"/>
        <w:jc w:val="both"/>
        <w:rPr>
          <w:rFonts w:ascii="Arial" w:hAnsi="Arial" w:cs="Arial"/>
          <w:lang w:val="es-ES_tradnl"/>
        </w:rPr>
      </w:pPr>
    </w:p>
    <w:p w:rsidR="004B70EC" w:rsidRPr="004B70EC" w:rsidRDefault="004B70EC" w:rsidP="004B70EC">
      <w:pPr>
        <w:jc w:val="both"/>
        <w:rPr>
          <w:rFonts w:ascii="Arial" w:hAnsi="Arial" w:cs="Arial"/>
          <w:color w:val="000000" w:themeColor="text1"/>
          <w:lang w:val="es-ES_tradnl"/>
        </w:rPr>
      </w:pPr>
      <w:r w:rsidRPr="004B70EC">
        <w:rPr>
          <w:rFonts w:ascii="Arial" w:hAnsi="Arial" w:cs="Arial"/>
          <w:color w:val="000000" w:themeColor="text1"/>
          <w:lang w:val="es-ES_tradnl"/>
        </w:rPr>
        <w:t>En los próximos años se requieren recursos de la estampilla para realizar la obra de reforzamiento estructural y actualización tecnológica del edificio del restaurante universitario, lugar donde se producen más de 5000 almuerzos diarios para atender a los estudiantes con menores recursos con un subsidio para que tengan esa alimentación cada día. El actual edificio tiene muchos años de construcción y requiere una intervención que es bastante costosa por las dimensiones y por el estado actual de la edificación.</w:t>
      </w:r>
    </w:p>
    <w:p w:rsidR="004B70EC" w:rsidRPr="004B70EC" w:rsidRDefault="004B70EC" w:rsidP="004B70EC">
      <w:pPr>
        <w:pStyle w:val="Textoindependiente2"/>
        <w:numPr>
          <w:ilvl w:val="0"/>
          <w:numId w:val="36"/>
        </w:numPr>
        <w:spacing w:before="240" w:after="240" w:line="360" w:lineRule="auto"/>
        <w:jc w:val="both"/>
        <w:rPr>
          <w:rFonts w:ascii="Arial" w:hAnsi="Arial" w:cs="Arial"/>
          <w:color w:val="auto"/>
          <w:szCs w:val="24"/>
          <w:lang w:val="es-ES_tradnl"/>
        </w:rPr>
      </w:pPr>
      <w:r w:rsidRPr="004B70EC">
        <w:rPr>
          <w:rFonts w:ascii="Arial" w:hAnsi="Arial" w:cs="Arial"/>
          <w:color w:val="auto"/>
          <w:szCs w:val="24"/>
          <w:lang w:val="es-ES_tradnl"/>
        </w:rPr>
        <w:t>Investigación</w:t>
      </w:r>
    </w:p>
    <w:p w:rsidR="004B70EC" w:rsidRPr="004B70EC" w:rsidRDefault="004B70EC" w:rsidP="004B70EC">
      <w:pPr>
        <w:jc w:val="both"/>
        <w:rPr>
          <w:rFonts w:ascii="Arial" w:hAnsi="Arial" w:cs="Arial"/>
          <w:lang w:val="es-ES_tradnl" w:eastAsia="es-CO"/>
        </w:rPr>
      </w:pPr>
      <w:r w:rsidRPr="004B70EC">
        <w:rPr>
          <w:rFonts w:ascii="Arial" w:hAnsi="Arial" w:cs="Arial"/>
          <w:lang w:val="es-ES_tradnl" w:eastAsia="es-CO"/>
        </w:rPr>
        <w:t>La Universidad del Valle es la tercera en Colombia, según el Ranking Sapiens Research que clasifica a las universidades colombianas de acuerdo con sus resultados y productos en investigación científica y oferta de posgrados</w:t>
      </w:r>
      <w:r w:rsidRPr="004B70EC">
        <w:rPr>
          <w:rFonts w:ascii="Arial" w:hAnsi="Arial" w:cs="Arial"/>
          <w:color w:val="6D6E71"/>
          <w:shd w:val="clear" w:color="auto" w:fill="FFFFFF"/>
          <w:lang w:val="es-ES_tradnl"/>
        </w:rPr>
        <w:t>.</w:t>
      </w:r>
    </w:p>
    <w:p w:rsidR="004B70EC" w:rsidRPr="004B70EC" w:rsidRDefault="004B70EC" w:rsidP="004B70EC">
      <w:pPr>
        <w:jc w:val="both"/>
        <w:rPr>
          <w:rFonts w:ascii="Arial" w:hAnsi="Arial" w:cs="Arial"/>
          <w:lang w:val="es-ES_tradnl" w:eastAsia="es-CO"/>
        </w:rPr>
      </w:pPr>
    </w:p>
    <w:p w:rsidR="004B70EC" w:rsidRPr="004B70EC" w:rsidRDefault="004B70EC" w:rsidP="004B70EC">
      <w:pPr>
        <w:jc w:val="both"/>
        <w:rPr>
          <w:rFonts w:ascii="Arial" w:hAnsi="Arial" w:cs="Arial"/>
          <w:lang w:val="es-ES_tradnl" w:eastAsia="es-CO"/>
        </w:rPr>
      </w:pPr>
      <w:r w:rsidRPr="004B70EC">
        <w:rPr>
          <w:rFonts w:ascii="Arial" w:hAnsi="Arial" w:cs="Arial"/>
          <w:lang w:val="es-ES_tradnl" w:eastAsia="es-CO"/>
        </w:rPr>
        <w:t xml:space="preserve">La Universidad del Valle apuntó a ser una universidad consolidada en la investigación, por medio del fortalecimiento de los grupos y centros de investigación de la universidad  a partir de la realización de convocatorias internas anuales para el apoyo a los grupos de investigación y de los profesores investigadores. Actualmente la universidad cuenta con 174 grupos de investigación categorizados en Colciencias </w:t>
      </w: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Los grupos de investigación por facultades se presenta a continuación:</w:t>
      </w:r>
    </w:p>
    <w:p w:rsidR="004B70EC" w:rsidRPr="004B70EC" w:rsidRDefault="004B70EC" w:rsidP="004B70EC">
      <w:pPr>
        <w:pStyle w:val="figuras"/>
        <w:spacing w:line="240" w:lineRule="auto"/>
        <w:jc w:val="both"/>
        <w:rPr>
          <w:rFonts w:ascii="Arial" w:hAnsi="Arial" w:cs="Arial"/>
          <w:b/>
          <w:color w:val="000000" w:themeColor="text1"/>
          <w:sz w:val="22"/>
          <w:lang w:val="es-ES_tradnl"/>
        </w:rPr>
      </w:pPr>
    </w:p>
    <w:p w:rsidR="004B70EC" w:rsidRPr="004B70EC" w:rsidRDefault="004B70EC" w:rsidP="004B70EC">
      <w:pPr>
        <w:pStyle w:val="figuras"/>
        <w:spacing w:line="240" w:lineRule="auto"/>
        <w:rPr>
          <w:rFonts w:ascii="Arial" w:hAnsi="Arial" w:cs="Arial"/>
          <w:noProof/>
          <w:color w:val="000000" w:themeColor="text1"/>
          <w:lang w:val="es-ES_tradnl"/>
        </w:rPr>
      </w:pPr>
      <w:r w:rsidRPr="004B70EC">
        <w:rPr>
          <w:rFonts w:ascii="Arial" w:hAnsi="Arial" w:cs="Arial"/>
          <w:b/>
          <w:color w:val="000000" w:themeColor="text1"/>
          <w:sz w:val="22"/>
          <w:lang w:val="es-ES_tradnl"/>
        </w:rPr>
        <w:t>Tabla 11</w:t>
      </w:r>
      <w:r w:rsidRPr="004B70EC">
        <w:rPr>
          <w:rFonts w:ascii="Arial" w:hAnsi="Arial" w:cs="Arial"/>
          <w:color w:val="000000" w:themeColor="text1"/>
          <w:sz w:val="22"/>
          <w:lang w:val="es-ES_tradnl"/>
        </w:rPr>
        <w:t>. Grupos de investigación</w:t>
      </w:r>
    </w:p>
    <w:tbl>
      <w:tblPr>
        <w:tblW w:w="5685" w:type="dxa"/>
        <w:jc w:val="center"/>
        <w:tblCellMar>
          <w:left w:w="0" w:type="dxa"/>
          <w:right w:w="0" w:type="dxa"/>
        </w:tblCellMar>
        <w:tblLook w:val="0600" w:firstRow="0" w:lastRow="0" w:firstColumn="0" w:lastColumn="0" w:noHBand="1" w:noVBand="1"/>
      </w:tblPr>
      <w:tblGrid>
        <w:gridCol w:w="3559"/>
        <w:gridCol w:w="2126"/>
      </w:tblGrid>
      <w:tr w:rsidR="004B70EC" w:rsidRPr="004B70EC" w:rsidTr="004B70EC">
        <w:trPr>
          <w:trHeight w:val="333"/>
          <w:jc w:val="center"/>
        </w:trPr>
        <w:tc>
          <w:tcPr>
            <w:tcW w:w="3559"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FFFFFF" w:themeColor="background1"/>
                <w:sz w:val="18"/>
                <w:lang w:val="es-ES_tradnl" w:eastAsia="es-CO"/>
              </w:rPr>
            </w:pPr>
            <w:r w:rsidRPr="004B70EC">
              <w:rPr>
                <w:rFonts w:ascii="Arial" w:hAnsi="Arial" w:cs="Arial"/>
                <w:color w:val="FFFFFF" w:themeColor="background1"/>
                <w:sz w:val="18"/>
                <w:lang w:eastAsia="es-CO"/>
              </w:rPr>
              <w:t>Facultad/Instituto</w:t>
            </w:r>
          </w:p>
        </w:tc>
        <w:tc>
          <w:tcPr>
            <w:tcW w:w="2126"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FFFFFF" w:themeColor="background1"/>
                <w:sz w:val="18"/>
                <w:lang w:val="es-ES_tradnl" w:eastAsia="es-CO"/>
              </w:rPr>
            </w:pPr>
            <w:r w:rsidRPr="004B70EC">
              <w:rPr>
                <w:rFonts w:ascii="Arial" w:hAnsi="Arial" w:cs="Arial"/>
                <w:color w:val="FFFFFF" w:themeColor="background1"/>
                <w:sz w:val="18"/>
                <w:lang w:eastAsia="es-CO"/>
              </w:rPr>
              <w:t>Grupos de investigación</w:t>
            </w:r>
          </w:p>
        </w:tc>
      </w:tr>
      <w:tr w:rsidR="004B70EC" w:rsidRPr="004B70EC" w:rsidTr="004B70EC">
        <w:trPr>
          <w:trHeight w:val="275"/>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Artes Integradas</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23</w:t>
            </w:r>
          </w:p>
        </w:tc>
      </w:tr>
      <w:tr w:rsidR="004B70EC" w:rsidRPr="004B70EC" w:rsidTr="004B70EC">
        <w:trPr>
          <w:trHeight w:val="269"/>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Ciencias Naturales y Exactas</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49</w:t>
            </w:r>
          </w:p>
        </w:tc>
      </w:tr>
      <w:tr w:rsidR="004B70EC" w:rsidRPr="004B70EC" w:rsidTr="004B70EC">
        <w:trPr>
          <w:trHeight w:val="307"/>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Ciencias de la Administración</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15</w:t>
            </w:r>
          </w:p>
        </w:tc>
      </w:tr>
      <w:tr w:rsidR="004B70EC" w:rsidRPr="004B70EC" w:rsidTr="004B70EC">
        <w:trPr>
          <w:trHeight w:val="203"/>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Ciencias Sociales y Económicas</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7</w:t>
            </w:r>
          </w:p>
        </w:tc>
      </w:tr>
      <w:tr w:rsidR="004B70EC" w:rsidRPr="004B70EC" w:rsidTr="004B70EC">
        <w:trPr>
          <w:trHeight w:val="242"/>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Humanidades</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30</w:t>
            </w:r>
          </w:p>
        </w:tc>
      </w:tr>
      <w:tr w:rsidR="004B70EC" w:rsidRPr="004B70EC" w:rsidTr="004B70EC">
        <w:trPr>
          <w:trHeight w:val="121"/>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Ingeniería</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46</w:t>
            </w:r>
          </w:p>
        </w:tc>
      </w:tr>
      <w:tr w:rsidR="004B70EC" w:rsidRPr="004B70EC" w:rsidTr="004B70EC">
        <w:trPr>
          <w:trHeight w:val="285"/>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Salud</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45</w:t>
            </w:r>
          </w:p>
        </w:tc>
      </w:tr>
      <w:tr w:rsidR="004B70EC" w:rsidRPr="004B70EC" w:rsidTr="004B70EC">
        <w:trPr>
          <w:trHeight w:val="238"/>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Inst. de Educación y Pedagogía</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15</w:t>
            </w:r>
          </w:p>
        </w:tc>
      </w:tr>
      <w:tr w:rsidR="004B70EC" w:rsidRPr="004B70EC" w:rsidTr="004B70EC">
        <w:trPr>
          <w:trHeight w:val="275"/>
          <w:jc w:val="center"/>
        </w:trPr>
        <w:tc>
          <w:tcPr>
            <w:tcW w:w="3559"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Instituto de Psicología</w:t>
            </w:r>
          </w:p>
        </w:tc>
        <w:tc>
          <w:tcPr>
            <w:tcW w:w="2126"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000000" w:themeColor="text1"/>
                <w:sz w:val="18"/>
                <w:lang w:val="es-ES_tradnl" w:eastAsia="es-CO"/>
              </w:rPr>
            </w:pPr>
            <w:r w:rsidRPr="004B70EC">
              <w:rPr>
                <w:rFonts w:ascii="Arial" w:hAnsi="Arial" w:cs="Arial"/>
                <w:color w:val="000000" w:themeColor="text1"/>
                <w:sz w:val="18"/>
                <w:lang w:eastAsia="es-CO"/>
              </w:rPr>
              <w:t>8</w:t>
            </w:r>
          </w:p>
        </w:tc>
      </w:tr>
      <w:tr w:rsidR="004B70EC" w:rsidRPr="004B70EC" w:rsidTr="004B70EC">
        <w:trPr>
          <w:trHeight w:val="415"/>
          <w:jc w:val="center"/>
        </w:trPr>
        <w:tc>
          <w:tcPr>
            <w:tcW w:w="3559"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FFFFFF" w:themeColor="background1"/>
                <w:sz w:val="18"/>
                <w:lang w:val="es-ES_tradnl" w:eastAsia="es-CO"/>
              </w:rPr>
            </w:pPr>
            <w:r w:rsidRPr="004B70EC">
              <w:rPr>
                <w:rFonts w:ascii="Arial" w:hAnsi="Arial" w:cs="Arial"/>
                <w:b/>
                <w:bCs/>
                <w:color w:val="FFFFFF" w:themeColor="background1"/>
                <w:sz w:val="18"/>
                <w:lang w:eastAsia="es-CO"/>
              </w:rPr>
              <w:t>Total</w:t>
            </w:r>
          </w:p>
        </w:tc>
        <w:tc>
          <w:tcPr>
            <w:tcW w:w="2126" w:type="dxa"/>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5" w:type="dxa"/>
              <w:bottom w:w="0" w:type="dxa"/>
              <w:right w:w="15" w:type="dxa"/>
            </w:tcMar>
            <w:vAlign w:val="center"/>
            <w:hideMark/>
          </w:tcPr>
          <w:p w:rsidR="004B70EC" w:rsidRPr="004B70EC" w:rsidRDefault="004B70EC" w:rsidP="004B70EC">
            <w:pPr>
              <w:jc w:val="center"/>
              <w:rPr>
                <w:rFonts w:ascii="Arial" w:hAnsi="Arial" w:cs="Arial"/>
                <w:color w:val="FFFFFF" w:themeColor="background1"/>
                <w:sz w:val="18"/>
                <w:lang w:val="es-ES_tradnl" w:eastAsia="es-CO"/>
              </w:rPr>
            </w:pPr>
            <w:r w:rsidRPr="004B70EC">
              <w:rPr>
                <w:rFonts w:ascii="Arial" w:hAnsi="Arial" w:cs="Arial"/>
                <w:b/>
                <w:bCs/>
                <w:color w:val="FFFFFF" w:themeColor="background1"/>
                <w:sz w:val="18"/>
                <w:lang w:eastAsia="es-CO"/>
              </w:rPr>
              <w:t>234</w:t>
            </w:r>
          </w:p>
        </w:tc>
      </w:tr>
    </w:tbl>
    <w:p w:rsidR="004B70EC" w:rsidRPr="004B70EC" w:rsidRDefault="004B70EC" w:rsidP="004B70EC">
      <w:pPr>
        <w:jc w:val="center"/>
        <w:rPr>
          <w:rFonts w:ascii="Arial" w:hAnsi="Arial" w:cs="Arial"/>
          <w:color w:val="000000" w:themeColor="text1"/>
          <w:lang w:val="es-ES_tradnl" w:eastAsia="es-CO"/>
        </w:rPr>
      </w:pPr>
    </w:p>
    <w:p w:rsidR="004B70EC" w:rsidRPr="004B70EC" w:rsidRDefault="004B70EC" w:rsidP="004B70EC">
      <w:pPr>
        <w:jc w:val="center"/>
        <w:rPr>
          <w:rFonts w:ascii="Arial" w:hAnsi="Arial" w:cs="Arial"/>
          <w:color w:val="000000" w:themeColor="text1"/>
          <w:lang w:val="es-ES_tradnl" w:eastAsia="es-CO"/>
        </w:rPr>
      </w:pPr>
      <w:r w:rsidRPr="004B70EC">
        <w:rPr>
          <w:rFonts w:ascii="Arial" w:hAnsi="Arial" w:cs="Arial"/>
          <w:color w:val="000000" w:themeColor="text1"/>
          <w:lang w:val="es-ES_tradnl" w:eastAsia="es-CO"/>
        </w:rPr>
        <w:t>Fuente: VRIN, 2018.</w:t>
      </w:r>
    </w:p>
    <w:p w:rsidR="004B70EC" w:rsidRPr="004B70EC" w:rsidRDefault="004B70EC" w:rsidP="004B70EC">
      <w:pPr>
        <w:jc w:val="center"/>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La mayoría de estos grupos de investigación se encuentran reconocidos y categorizados por Colciencias, tal como se muestra en la siguiente grafica</w:t>
      </w: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pStyle w:val="figuras"/>
        <w:spacing w:line="240" w:lineRule="auto"/>
        <w:rPr>
          <w:rFonts w:ascii="Arial" w:hAnsi="Arial" w:cs="Arial"/>
          <w:noProof/>
          <w:lang w:val="es-ES_tradnl"/>
        </w:rPr>
      </w:pPr>
      <w:r w:rsidRPr="004B70EC">
        <w:rPr>
          <w:rFonts w:ascii="Arial" w:hAnsi="Arial" w:cs="Arial"/>
          <w:b/>
          <w:sz w:val="22"/>
          <w:lang w:val="es-ES_tradnl"/>
        </w:rPr>
        <w:t>Figura 5</w:t>
      </w:r>
      <w:r w:rsidRPr="004B70EC">
        <w:rPr>
          <w:rFonts w:ascii="Arial" w:hAnsi="Arial" w:cs="Arial"/>
          <w:sz w:val="22"/>
          <w:lang w:val="es-ES_tradnl"/>
        </w:rPr>
        <w:t>. Categoría de los grupos de investigación</w:t>
      </w:r>
    </w:p>
    <w:p w:rsidR="004B70EC" w:rsidRPr="004B70EC" w:rsidRDefault="004B70EC" w:rsidP="004B70EC">
      <w:pPr>
        <w:jc w:val="center"/>
        <w:rPr>
          <w:rFonts w:ascii="Arial" w:hAnsi="Arial" w:cs="Arial"/>
          <w:color w:val="000000" w:themeColor="text1"/>
          <w:lang w:val="es-ES_tradnl" w:eastAsia="es-CO"/>
        </w:rPr>
      </w:pPr>
      <w:r w:rsidRPr="004B70EC">
        <w:rPr>
          <w:rFonts w:ascii="Arial" w:hAnsi="Arial" w:cs="Arial"/>
          <w:noProof/>
          <w:color w:val="000000" w:themeColor="text1"/>
          <w:lang w:val="es-CO" w:eastAsia="es-CO"/>
        </w:rPr>
        <w:drawing>
          <wp:inline distT="0" distB="0" distL="0" distR="0" wp14:anchorId="362CB73B" wp14:editId="6C7E2BD2">
            <wp:extent cx="3800475" cy="18288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00475" cy="1828800"/>
                    </a:xfrm>
                    <a:prstGeom prst="rect">
                      <a:avLst/>
                    </a:prstGeom>
                    <a:noFill/>
                    <a:ln>
                      <a:noFill/>
                    </a:ln>
                  </pic:spPr>
                </pic:pic>
              </a:graphicData>
            </a:graphic>
          </wp:inline>
        </w:drawing>
      </w:r>
    </w:p>
    <w:p w:rsidR="004B70EC" w:rsidRPr="004B70EC" w:rsidRDefault="004B70EC" w:rsidP="004B70EC">
      <w:pPr>
        <w:jc w:val="center"/>
        <w:rPr>
          <w:rFonts w:ascii="Arial" w:hAnsi="Arial" w:cs="Arial"/>
          <w:color w:val="000000" w:themeColor="text1"/>
          <w:lang w:val="es-ES_tradnl" w:eastAsia="es-CO"/>
        </w:rPr>
      </w:pPr>
      <w:r w:rsidRPr="004B70EC">
        <w:rPr>
          <w:rFonts w:ascii="Arial" w:hAnsi="Arial" w:cs="Arial"/>
          <w:color w:val="000000" w:themeColor="text1"/>
          <w:lang w:val="es-ES_tradnl" w:eastAsia="es-CO"/>
        </w:rPr>
        <w:t>Fuente: VRIN, 2018.</w:t>
      </w: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b/>
          <w:color w:val="000000" w:themeColor="text1"/>
          <w:sz w:val="32"/>
          <w:lang w:val="es-ES_tradnl" w:eastAsia="en-US"/>
        </w:rPr>
      </w:pPr>
      <w:r w:rsidRPr="004B70EC">
        <w:rPr>
          <w:rFonts w:ascii="Arial" w:hAnsi="Arial" w:cs="Arial"/>
          <w:b/>
          <w:color w:val="000000" w:themeColor="text1"/>
          <w:lang w:val="es-ES_tradnl"/>
        </w:rPr>
        <w:t>Apoyo a la investigación: Convocatoria de proyectos de investigación y apoyo a doctorados.</w:t>
      </w:r>
    </w:p>
    <w:p w:rsidR="004B70EC" w:rsidRPr="004B70EC" w:rsidRDefault="004B70EC" w:rsidP="004B70EC">
      <w:pPr>
        <w:jc w:val="both"/>
        <w:rPr>
          <w:rFonts w:ascii="Arial" w:hAnsi="Arial" w:cs="Arial"/>
          <w:color w:val="000000" w:themeColor="text1"/>
          <w:sz w:val="32"/>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La Universidad del Valle ha logrado posicionarse en los últimos tiempos como uno de los 48 principales Universidades de Latinoamérica, en gran manera debido a su oferta de doctorados, maestrías y especializaciones, muchos de los cuales cuentan con acreditaciones de alta calidad y se sitúan como los principales posgrados de sus respectivos tipos en el país.  En los últimos años se ha invertido un porcentaje muy alto de los recursos de la estampilla en el apoyo a proyectos de investigación, tal como se observa en la siguiente gráfica.</w:t>
      </w: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pStyle w:val="figuras"/>
        <w:spacing w:line="240" w:lineRule="auto"/>
        <w:rPr>
          <w:rFonts w:ascii="Arial" w:hAnsi="Arial" w:cs="Arial"/>
          <w:noProof/>
          <w:lang w:val="es-ES_tradnl"/>
        </w:rPr>
      </w:pPr>
      <w:r w:rsidRPr="004B70EC">
        <w:rPr>
          <w:rFonts w:ascii="Arial" w:hAnsi="Arial" w:cs="Arial"/>
          <w:b/>
          <w:sz w:val="22"/>
          <w:lang w:val="es-ES_tradnl"/>
        </w:rPr>
        <w:t>Figura 6</w:t>
      </w:r>
      <w:r w:rsidRPr="004B70EC">
        <w:rPr>
          <w:rFonts w:ascii="Arial" w:hAnsi="Arial" w:cs="Arial"/>
          <w:sz w:val="22"/>
          <w:lang w:val="es-ES_tradnl"/>
        </w:rPr>
        <w:t>. Convocatorias internas y apoyo a doctorados</w:t>
      </w:r>
    </w:p>
    <w:p w:rsidR="004B70EC" w:rsidRPr="004B70EC" w:rsidRDefault="004B70EC" w:rsidP="004B70EC">
      <w:pPr>
        <w:jc w:val="center"/>
        <w:rPr>
          <w:rFonts w:ascii="Arial" w:hAnsi="Arial" w:cs="Arial"/>
          <w:color w:val="000000" w:themeColor="text1"/>
          <w:lang w:val="es-ES_tradnl" w:eastAsia="es-CO"/>
        </w:rPr>
      </w:pPr>
      <w:r w:rsidRPr="004B70EC">
        <w:rPr>
          <w:rFonts w:ascii="Arial" w:hAnsi="Arial" w:cs="Arial"/>
          <w:noProof/>
          <w:color w:val="000000" w:themeColor="text1"/>
          <w:lang w:val="es-CO" w:eastAsia="es-CO"/>
        </w:rPr>
        <w:drawing>
          <wp:inline distT="0" distB="0" distL="0" distR="0" wp14:anchorId="3F640BE1" wp14:editId="7C28827D">
            <wp:extent cx="4762500" cy="24669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62500" cy="2466975"/>
                    </a:xfrm>
                    <a:prstGeom prst="rect">
                      <a:avLst/>
                    </a:prstGeom>
                    <a:noFill/>
                    <a:ln>
                      <a:noFill/>
                    </a:ln>
                  </pic:spPr>
                </pic:pic>
              </a:graphicData>
            </a:graphic>
          </wp:inline>
        </w:drawing>
      </w:r>
    </w:p>
    <w:p w:rsidR="004B70EC" w:rsidRPr="004B70EC" w:rsidRDefault="004B70EC" w:rsidP="004B70EC">
      <w:pPr>
        <w:jc w:val="center"/>
        <w:rPr>
          <w:rFonts w:ascii="Arial" w:hAnsi="Arial" w:cs="Arial"/>
          <w:color w:val="000000" w:themeColor="text1"/>
          <w:lang w:val="es-ES_tradnl" w:eastAsia="es-CO"/>
        </w:rPr>
      </w:pPr>
      <w:r w:rsidRPr="004B70EC">
        <w:rPr>
          <w:rFonts w:ascii="Arial" w:hAnsi="Arial" w:cs="Arial"/>
          <w:color w:val="000000" w:themeColor="text1"/>
          <w:lang w:val="es-ES_tradnl" w:eastAsia="es-CO"/>
        </w:rPr>
        <w:t>Fuente: VRIN, 2018</w:t>
      </w: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Los recursos de la Estampilla Pro-Universidad del Valle para los siguientes años, se ejecutarán de manera articulada en los ejes estratégicos del PED 2015-2025:</w:t>
      </w: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pStyle w:val="Prrafodelista"/>
        <w:numPr>
          <w:ilvl w:val="0"/>
          <w:numId w:val="37"/>
        </w:numPr>
        <w:autoSpaceDE/>
        <w:autoSpaceDN/>
        <w:adjustRightInd/>
        <w:contextualSpacing/>
        <w:jc w:val="both"/>
        <w:rPr>
          <w:rFonts w:ascii="Arial" w:hAnsi="Arial" w:cs="Arial"/>
          <w:b/>
          <w:color w:val="000000" w:themeColor="text1"/>
          <w:sz w:val="32"/>
          <w:szCs w:val="24"/>
          <w:lang w:val="es-ES_tradnl" w:eastAsia="es-CO"/>
        </w:rPr>
      </w:pPr>
      <w:r w:rsidRPr="004B70EC">
        <w:rPr>
          <w:rFonts w:ascii="Arial" w:hAnsi="Arial" w:cs="Arial"/>
          <w:b/>
          <w:color w:val="000000" w:themeColor="text1"/>
          <w:sz w:val="24"/>
          <w:lang w:val="es-ES_tradnl" w:eastAsia="es-CO"/>
        </w:rPr>
        <w:t>Eje Formación integral centrada en el estudiante</w:t>
      </w:r>
    </w:p>
    <w:p w:rsidR="004B70EC" w:rsidRPr="004B70EC" w:rsidRDefault="004B70EC" w:rsidP="004B70EC">
      <w:pPr>
        <w:pStyle w:val="Prrafodelista"/>
        <w:autoSpaceDE/>
        <w:autoSpaceDN/>
        <w:adjustRightInd/>
        <w:ind w:left="720"/>
        <w:contextualSpacing/>
        <w:jc w:val="both"/>
        <w:rPr>
          <w:rFonts w:ascii="Arial" w:hAnsi="Arial" w:cs="Arial"/>
          <w:b/>
          <w:color w:val="000000" w:themeColor="text1"/>
          <w:sz w:val="32"/>
          <w:szCs w:val="24"/>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 xml:space="preserve">La Universidad del Valle se focalizará en atender y resolver los posibles efectos, tanto en términos de calidad académica como de Bienestar Universitario, que sobre la atracción y permanencia de los estudiantes de pregrado y posgrado se generan a partir de las nuevas condiciones del entorno. Para conseguir una verdadera formación integral centrada en el estudiante, la Universidad, para el periodo 2015-2025, deberá desarrollar estrategias como: a) Fortalecer la formación integral centrada en el estudiante, orientada por valores éticos y ciudadanos, respeto al bien común, compromiso con la equidad y la diversidad del funcionamiento humano, b) Estimular la producción y divulgación del conocimiento científico, tecnológico, artístico y humanístico y la incorporación de sus resultados en los procesos de formación, c) Establecer mecanismos que permitan el vínculo de los estudiantes con un entorno real orientado a la solución de problemas o intervenciones, d) Consolidar la calidad en la búsqueda de la excelencia, e) Transformar el Bienestar Universitario con base en prácticas de “Universidad Saludable” y políticas institucionales de inclusión social y discapacidad, para mejorar la permanencia del estudiante que asegure su éxito académico, la calidad de vida y la convivencia de la comunidad universitaria. Este eje estratégico se articula con la Política Curricular y el Proyecto Formativo de la Universidad del Valle que establece, “Un conjunto de principios, criterios y acciones claves para orientar la formación y el currículo, en un horizonte de mediano y largo plazo y para lograr una nueva síntesis en torno a la docencia, investigación y proyección social-extensión de la Universidad”. </w:t>
      </w:r>
    </w:p>
    <w:p w:rsidR="004B70EC" w:rsidRDefault="004B70EC"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Pr="004B70EC" w:rsidRDefault="00545533" w:rsidP="004B70EC">
      <w:pPr>
        <w:jc w:val="both"/>
        <w:rPr>
          <w:rFonts w:ascii="Arial" w:hAnsi="Arial" w:cs="Arial"/>
          <w:color w:val="000000" w:themeColor="text1"/>
          <w:lang w:val="es-ES_tradnl" w:eastAsia="es-CO"/>
        </w:rPr>
      </w:pPr>
    </w:p>
    <w:p w:rsidR="004B70EC" w:rsidRDefault="004B70EC" w:rsidP="004B70EC">
      <w:pPr>
        <w:pStyle w:val="Prrafodelista"/>
        <w:numPr>
          <w:ilvl w:val="0"/>
          <w:numId w:val="37"/>
        </w:numPr>
        <w:autoSpaceDE/>
        <w:autoSpaceDN/>
        <w:adjustRightInd/>
        <w:contextualSpacing/>
        <w:jc w:val="both"/>
        <w:rPr>
          <w:rFonts w:ascii="Arial" w:hAnsi="Arial" w:cs="Arial"/>
          <w:b/>
          <w:color w:val="000000" w:themeColor="text1"/>
          <w:sz w:val="24"/>
          <w:szCs w:val="24"/>
          <w:lang w:val="es-ES_tradnl" w:eastAsia="es-CO"/>
        </w:rPr>
      </w:pPr>
      <w:r w:rsidRPr="004B70EC">
        <w:rPr>
          <w:rFonts w:ascii="Arial" w:hAnsi="Arial" w:cs="Arial"/>
          <w:b/>
          <w:color w:val="000000" w:themeColor="text1"/>
          <w:sz w:val="24"/>
          <w:szCs w:val="24"/>
          <w:lang w:val="es-ES_tradnl" w:eastAsia="es-CO"/>
        </w:rPr>
        <w:t>Eje Fundamentado en la gestión del conocimiento desde la investigación y la creación artística</w:t>
      </w:r>
    </w:p>
    <w:p w:rsidR="004B70EC" w:rsidRPr="004B70EC" w:rsidRDefault="004B70EC" w:rsidP="004B70EC">
      <w:pPr>
        <w:pStyle w:val="Prrafodelista"/>
        <w:autoSpaceDE/>
        <w:autoSpaceDN/>
        <w:adjustRightInd/>
        <w:ind w:left="720"/>
        <w:contextualSpacing/>
        <w:jc w:val="both"/>
        <w:rPr>
          <w:rFonts w:ascii="Arial" w:hAnsi="Arial" w:cs="Arial"/>
          <w:b/>
          <w:color w:val="000000" w:themeColor="text1"/>
          <w:sz w:val="24"/>
          <w:szCs w:val="24"/>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La Universidad del Valle promoverá, apoyará y fortalecerá la generación, difusión, apropiación y transferencia del conocimiento científico y tecnológico, como soporte y referente de calidad y pertinencia de los procesos de formación y de articulación efectiva con su entorno. La Universidad tiene como herramienta importante el aprendizaje obtenido entre 2012-2015, en el diseño, estructuración, presentación, aprobación y ejecución de proyectos de alto impacto regional; por ejemplo, aquellos que son financiados con recursos asignados al Departamento del Valle del Cauca por el Fondo de Ciencia, Tecnología e Innovación del Sistema General de Regalías. En tal sentido, la Universidad deberá aprovechar este tipo de financiación externa, que a través de una eficiente gestión integral de proyectos relevantes para la región, le permitirá fortalecer este eje estratégico y así avanzar en la correcta ejecución del Plan de Desarrollo de la institución al año 2025.</w:t>
      </w:r>
    </w:p>
    <w:p w:rsid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 xml:space="preserve"> </w:t>
      </w: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Pr="004B70EC" w:rsidRDefault="00545533" w:rsidP="004B70EC">
      <w:pPr>
        <w:jc w:val="both"/>
        <w:rPr>
          <w:rFonts w:ascii="Arial" w:hAnsi="Arial" w:cs="Arial"/>
          <w:color w:val="000000" w:themeColor="text1"/>
          <w:lang w:val="es-ES_tradnl" w:eastAsia="es-CO"/>
        </w:rPr>
      </w:pPr>
    </w:p>
    <w:p w:rsidR="004B70EC" w:rsidRDefault="004B70EC" w:rsidP="004B70EC">
      <w:pPr>
        <w:pStyle w:val="Prrafodelista"/>
        <w:numPr>
          <w:ilvl w:val="0"/>
          <w:numId w:val="37"/>
        </w:numPr>
        <w:autoSpaceDE/>
        <w:autoSpaceDN/>
        <w:adjustRightInd/>
        <w:contextualSpacing/>
        <w:jc w:val="both"/>
        <w:rPr>
          <w:rFonts w:ascii="Arial" w:hAnsi="Arial" w:cs="Arial"/>
          <w:b/>
          <w:color w:val="000000" w:themeColor="text1"/>
          <w:sz w:val="24"/>
          <w:szCs w:val="24"/>
          <w:lang w:val="es-ES_tradnl" w:eastAsia="es-CO"/>
        </w:rPr>
      </w:pPr>
      <w:r w:rsidRPr="004B70EC">
        <w:rPr>
          <w:rFonts w:ascii="Arial" w:hAnsi="Arial" w:cs="Arial"/>
          <w:b/>
          <w:color w:val="000000" w:themeColor="text1"/>
          <w:sz w:val="24"/>
          <w:szCs w:val="24"/>
          <w:lang w:val="es-ES_tradnl" w:eastAsia="es-CO"/>
        </w:rPr>
        <w:t>Eje Proyección internacional para el desarrollo regional</w:t>
      </w:r>
    </w:p>
    <w:p w:rsidR="004B70EC" w:rsidRPr="004B70EC" w:rsidRDefault="004B70EC" w:rsidP="004B70EC">
      <w:pPr>
        <w:pStyle w:val="Prrafodelista"/>
        <w:autoSpaceDE/>
        <w:autoSpaceDN/>
        <w:adjustRightInd/>
        <w:ind w:left="720"/>
        <w:contextualSpacing/>
        <w:jc w:val="both"/>
        <w:rPr>
          <w:rFonts w:ascii="Arial" w:hAnsi="Arial" w:cs="Arial"/>
          <w:b/>
          <w:color w:val="000000" w:themeColor="text1"/>
          <w:sz w:val="24"/>
          <w:szCs w:val="24"/>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Considerando la importancia de la inserción internacional que requiere hoy Colombia y regiones como el Valle del Cauca y el Litoral Pacífico, resulta completamente pertinente que la Universidad del Valle involucre este aspecto como un eje estratégico de desarrollo propio, para impactar a su vez al desarrollo regional. Lograr insertar e integrar a la Universidad al ámbito mundial, con fines académicos, investigativos y de creación artística, extensión y proyección social contribuirá, sin duda, a la solución de problemas y a la creación de ventajas competitivas. Este eje estratégico se centra en promover la proyección internacional de la Universidad del Valle bajo la premisa de impactar el desarrollo regional, traducido en el mejoramiento de las condiciones de calidad de vida de la población vallecaucana, facilitando el camino para que la institución se convierta en dinamizadora social, cultural y artística de su zona de influencia. De esta forma, se unifica con la Política de Internacionalización de la Universidad que establece en su Artículo 1, “(…) La oportunidad de aprovechar fortalezas propias institucionales asumiendo la responsabilidad institucional de crear y fortalecer mecanismos de interacción con el contexto educativo mundial, para consolidar su vinculación estratégica, transversal e integral con actividades de alcance internacional en formación, investigación, creación artística, extensión y proyección social”. En este propósito el papel de las comunicaciones universitarias, de sus medios de comunicación (canal y emisora) y en general, de toda la actividad comunicativa desplegada desde las distintas áreas académicas y administrativas de la Universidad, será decisivo.</w:t>
      </w:r>
    </w:p>
    <w:p w:rsidR="004B70EC" w:rsidRDefault="004B70EC" w:rsidP="004B70EC">
      <w:pPr>
        <w:jc w:val="both"/>
        <w:rPr>
          <w:rFonts w:ascii="Arial" w:hAnsi="Arial" w:cs="Arial"/>
          <w:color w:val="000000" w:themeColor="text1"/>
          <w:lang w:val="es-ES_tradnl" w:eastAsia="es-CO"/>
        </w:rPr>
      </w:pPr>
    </w:p>
    <w:p w:rsidR="004B70EC" w:rsidRDefault="004B70EC"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p>
    <w:p w:rsidR="004B70EC" w:rsidRDefault="004B70EC" w:rsidP="004B70EC">
      <w:pPr>
        <w:pStyle w:val="Prrafodelista"/>
        <w:numPr>
          <w:ilvl w:val="0"/>
          <w:numId w:val="37"/>
        </w:numPr>
        <w:autoSpaceDE/>
        <w:autoSpaceDN/>
        <w:adjustRightInd/>
        <w:contextualSpacing/>
        <w:jc w:val="both"/>
        <w:rPr>
          <w:rFonts w:ascii="Arial" w:hAnsi="Arial" w:cs="Arial"/>
          <w:b/>
          <w:color w:val="000000" w:themeColor="text1"/>
          <w:sz w:val="24"/>
          <w:szCs w:val="24"/>
          <w:lang w:val="es-ES_tradnl" w:eastAsia="es-CO"/>
        </w:rPr>
      </w:pPr>
      <w:r w:rsidRPr="004B70EC">
        <w:rPr>
          <w:rFonts w:ascii="Arial" w:hAnsi="Arial" w:cs="Arial"/>
          <w:b/>
          <w:color w:val="000000" w:themeColor="text1"/>
          <w:sz w:val="24"/>
          <w:szCs w:val="24"/>
          <w:lang w:val="es-ES_tradnl" w:eastAsia="es-CO"/>
        </w:rPr>
        <w:t>Eje Vinculación con la sociedad</w:t>
      </w:r>
    </w:p>
    <w:p w:rsidR="004B70EC" w:rsidRPr="004B70EC" w:rsidRDefault="004B70EC" w:rsidP="004B70EC">
      <w:pPr>
        <w:pStyle w:val="Prrafodelista"/>
        <w:autoSpaceDE/>
        <w:autoSpaceDN/>
        <w:adjustRightInd/>
        <w:ind w:left="720"/>
        <w:contextualSpacing/>
        <w:jc w:val="both"/>
        <w:rPr>
          <w:rFonts w:ascii="Arial" w:hAnsi="Arial" w:cs="Arial"/>
          <w:b/>
          <w:color w:val="000000" w:themeColor="text1"/>
          <w:sz w:val="24"/>
          <w:szCs w:val="24"/>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 xml:space="preserve">La Universidad habrá de consolidarse como un líder promotor del diseño de política pública regional, con énfasis en Competitividad y Ciencia, Tecnología e Innovación. Para conseguir dicho liderazgo, la Universidad, para el periodo 2015-2025, deberá incrementar y dinamizar sus participaciones en los espacios colectivos y asesores del Gobierno Departamental, municipal, regional y nacional. Algunos de los espacios susceptibles de participación son: Comité Universidad Empresa Estado del Valle del Cauca, Consejo Departamental de Ciencia, Tecnología e Innovación del Valle del Cauca, Comisión Regional de Competitividad del Valle del Cauca, Consejo de Política Social y Territorial del Valle del Cauca, Red de Universidades por la Innovación del Valle del Cauca, Unidad de Acción Vallecaucana, entre otros órganos colectivos que asesoran el diseño de políticas públicas del gobierno departamental y de los gobiernos municipales. De esta forma, se garantiza una verdadera y sólida vinculación de la institución con la sociedad, situación que impactará en mejoras del desarrollo regional.  Para el periodo 2015-2025, la Universidad del Valle deberá fortalecer el tejido social de la región y será garante de la recuperación de confianza y fortalecimiento de la institucionalidad pública del departamento, a través de acciones que faciliten la coordinación de múltiples actores de diversa índole y el fomento de un comportamiento colectivo tendiente a compartir el conocimiento, lo cual, a su vez, fortalecerá el crecimiento económico e impulsará la  transformación hacia un desarrollo humano sostenible en el Valle del Cauca. Estas acciones deberán articularse con los principios, propósitos y modalidades de la proyección social y la extensión en la Universidad del Valle, “La proyección social tiene por objeto la interacción amplia y recíproca de la Universidad con la sociedad, con el propósito de aportar al bienestar y a la solución de sus problemas; a la transformación y al desarrollo institucional; al fortalecimiento de las capacidades productivas, sociales, políticas, ambientales, deportivas, artísticas y culturales de las comunidades de la región y el país” se establece en el PED.  </w:t>
      </w:r>
    </w:p>
    <w:p w:rsidR="004B70EC" w:rsidRDefault="004B70EC"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Pr="004B70EC" w:rsidRDefault="00545533" w:rsidP="004B70EC">
      <w:pPr>
        <w:jc w:val="both"/>
        <w:rPr>
          <w:rFonts w:ascii="Arial" w:hAnsi="Arial" w:cs="Arial"/>
          <w:color w:val="000000" w:themeColor="text1"/>
          <w:lang w:val="es-ES_tradnl" w:eastAsia="es-CO"/>
        </w:rPr>
      </w:pPr>
    </w:p>
    <w:p w:rsidR="004B70EC" w:rsidRDefault="004B70EC" w:rsidP="004B70EC">
      <w:pPr>
        <w:pStyle w:val="Prrafodelista"/>
        <w:numPr>
          <w:ilvl w:val="0"/>
          <w:numId w:val="37"/>
        </w:numPr>
        <w:autoSpaceDE/>
        <w:autoSpaceDN/>
        <w:adjustRightInd/>
        <w:contextualSpacing/>
        <w:jc w:val="both"/>
        <w:rPr>
          <w:rFonts w:ascii="Arial" w:hAnsi="Arial" w:cs="Arial"/>
          <w:b/>
          <w:color w:val="000000" w:themeColor="text1"/>
          <w:sz w:val="24"/>
          <w:szCs w:val="24"/>
          <w:lang w:val="es-ES_tradnl" w:eastAsia="es-CO"/>
        </w:rPr>
      </w:pPr>
      <w:r w:rsidRPr="004B70EC">
        <w:rPr>
          <w:rFonts w:ascii="Arial" w:hAnsi="Arial" w:cs="Arial"/>
          <w:b/>
          <w:color w:val="000000" w:themeColor="text1"/>
          <w:sz w:val="24"/>
          <w:szCs w:val="24"/>
          <w:lang w:val="es-ES_tradnl" w:eastAsia="es-CO"/>
        </w:rPr>
        <w:t>Eje Transformación de la gestión académica, administrativa, financiera, ambiental y de la infraestructura física y tecnológica</w:t>
      </w:r>
    </w:p>
    <w:p w:rsidR="004B70EC" w:rsidRPr="004B70EC" w:rsidRDefault="004B70EC" w:rsidP="004B70EC">
      <w:pPr>
        <w:pStyle w:val="Prrafodelista"/>
        <w:autoSpaceDE/>
        <w:autoSpaceDN/>
        <w:adjustRightInd/>
        <w:ind w:left="720"/>
        <w:contextualSpacing/>
        <w:jc w:val="both"/>
        <w:rPr>
          <w:rFonts w:ascii="Arial" w:hAnsi="Arial" w:cs="Arial"/>
          <w:b/>
          <w:color w:val="000000" w:themeColor="text1"/>
          <w:sz w:val="24"/>
          <w:szCs w:val="24"/>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Para consolidar la transformación que señala este eje estratégico, en el periodo 2015-2025 la Universidad deberá fomentar la cultura de eficiencia en procesos y procedimientos internos de la institución, a través de focos de innovación en la gestión integral de los mismos. Para ello, la modernización de la gestión integral y la sostenibilidad serán dos propósitos que irán unidos a una cultura de la previsión, planeación, coordinación, cooperación, seguimiento, autoevaluación y evaluación de impacto, de tal manera que asegure sus estrategias de crecimiento y desarrollo.</w:t>
      </w: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De esta forma, permite visualizar la transformación de la gestión de procesos y procedimientos internos y estar articulada con directrices ya definidas por la institución; por ejemplo, a través de su nueva Política de Calidad para el Sistema de Gestión Integral de Calidad, en donde se establece que, “la Universidad del Valle, a través del compromiso de la dirección y la comunidad universitaria, mediante la adopción de mecanismos de planeación, control, mejoramiento continuo y el manejo eficiente de los recursos en cada uno de sus procesos y servicios; asume su misión como Institución de educación superior socialmente responsable, visualizada en el cumplimiento de altos estándares de calidad nacional e internacionales, brindando una formación integral, fundamentada en la docencia, la investigación y la proyección social, que beneficie a la sociedad ”.</w:t>
      </w: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p>
    <w:p w:rsidR="004B70EC" w:rsidRPr="004B70EC" w:rsidRDefault="004B70EC" w:rsidP="004B70EC">
      <w:pPr>
        <w:jc w:val="both"/>
        <w:rPr>
          <w:rFonts w:ascii="Arial" w:hAnsi="Arial" w:cs="Arial"/>
          <w:color w:val="000000" w:themeColor="text1"/>
          <w:lang w:val="es-ES_tradnl" w:eastAsia="es-CO"/>
        </w:rPr>
      </w:pPr>
      <w:r w:rsidRPr="004B70EC">
        <w:rPr>
          <w:rFonts w:ascii="Arial" w:hAnsi="Arial" w:cs="Arial"/>
          <w:color w:val="000000" w:themeColor="text1"/>
          <w:lang w:val="es-ES_tradnl" w:eastAsia="es-CO"/>
        </w:rPr>
        <w:t>La Universidad del Valle desde su Plan Estratégico 2015-2025 y el proceso de acreditación de 10 años hasta el 2024, se está transformando. La seccionalización de la regionalización, la ampliación de cobertura, la educación virtual, la actualización de la infraestructura física y tecnológica, el reforzamiento estructural obligatorio según la ley de todos los edificios, las actividades de bienestar, la investigación, la internacionalización, la actualización de la política curricular, la proyección social, entre otros, son procesos que la Universidad, ha estado en capacidad de iniciar y de consolidar, con los recursos de la estampilla y serán indispensables para continuar en los próximos años con el cumplimiento de la misión y consolidándose como una de las mejores Universidades Colombianas y la principal institución de educación superior del Valle del Cauca y del suroccidente del País.</w:t>
      </w:r>
    </w:p>
    <w:p w:rsidR="004B70EC" w:rsidRDefault="004B70EC" w:rsidP="004B70EC">
      <w:pPr>
        <w:jc w:val="both"/>
        <w:rPr>
          <w:rFonts w:ascii="Arial" w:hAnsi="Arial" w:cs="Arial"/>
          <w:color w:val="000000" w:themeColor="text1"/>
          <w:lang w:val="es-ES_tradnl" w:eastAsia="es-CO"/>
        </w:rPr>
      </w:pPr>
    </w:p>
    <w:p w:rsidR="004B70EC" w:rsidRDefault="004B70EC" w:rsidP="004B70EC">
      <w:pPr>
        <w:jc w:val="both"/>
        <w:rPr>
          <w:rFonts w:ascii="Arial" w:hAnsi="Arial" w:cs="Arial"/>
          <w:color w:val="000000" w:themeColor="text1"/>
          <w:lang w:val="es-ES_tradnl" w:eastAsia="es-CO"/>
        </w:rPr>
      </w:pPr>
    </w:p>
    <w:p w:rsidR="004B70EC" w:rsidRDefault="004B70EC" w:rsidP="004B70EC">
      <w:pPr>
        <w:jc w:val="both"/>
        <w:rPr>
          <w:rFonts w:ascii="Arial" w:hAnsi="Arial" w:cs="Arial"/>
          <w:color w:val="000000" w:themeColor="text1"/>
          <w:lang w:val="es-ES_tradnl" w:eastAsia="es-CO"/>
        </w:rPr>
      </w:pPr>
      <w:r>
        <w:rPr>
          <w:rFonts w:ascii="Arial" w:hAnsi="Arial" w:cs="Arial"/>
          <w:color w:val="000000" w:themeColor="text1"/>
          <w:lang w:val="es-ES_tradnl" w:eastAsia="es-CO"/>
        </w:rPr>
        <w:t xml:space="preserve">De los Honorables Congresistas, </w:t>
      </w:r>
    </w:p>
    <w:p w:rsidR="004B70EC" w:rsidRDefault="004B70EC" w:rsidP="004B70EC">
      <w:pPr>
        <w:jc w:val="both"/>
        <w:rPr>
          <w:rFonts w:ascii="Arial" w:hAnsi="Arial" w:cs="Arial"/>
          <w:color w:val="000000" w:themeColor="text1"/>
          <w:lang w:val="es-ES_tradnl" w:eastAsia="es-CO"/>
        </w:rPr>
      </w:pPr>
    </w:p>
    <w:p w:rsidR="004B70EC" w:rsidRDefault="004B70EC"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545533" w:rsidRDefault="00545533" w:rsidP="004B70EC">
      <w:pPr>
        <w:jc w:val="both"/>
        <w:rPr>
          <w:rFonts w:ascii="Arial" w:hAnsi="Arial" w:cs="Arial"/>
          <w:color w:val="000000" w:themeColor="text1"/>
          <w:lang w:val="es-ES_tradnl" w:eastAsia="es-CO"/>
        </w:rPr>
      </w:pPr>
    </w:p>
    <w:p w:rsidR="0087071B" w:rsidRDefault="0087071B" w:rsidP="0087071B">
      <w:pPr>
        <w:jc w:val="center"/>
        <w:rPr>
          <w:rFonts w:ascii="Arial" w:hAnsi="Arial" w:cs="Arial"/>
          <w:b/>
        </w:rPr>
      </w:pPr>
      <w:r>
        <w:rPr>
          <w:rFonts w:ascii="Arial" w:hAnsi="Arial" w:cs="Arial"/>
          <w:b/>
        </w:rPr>
        <w:t xml:space="preserve">ALVARO URIBE VÈLEZ  </w:t>
      </w:r>
    </w:p>
    <w:p w:rsidR="0087071B" w:rsidRDefault="0087071B" w:rsidP="0087071B">
      <w:pPr>
        <w:jc w:val="center"/>
        <w:rPr>
          <w:rFonts w:ascii="Arial" w:hAnsi="Arial" w:cs="Arial"/>
          <w:b/>
        </w:rPr>
      </w:pPr>
      <w:r>
        <w:rPr>
          <w:rFonts w:ascii="Arial" w:hAnsi="Arial" w:cs="Arial"/>
          <w:b/>
        </w:rPr>
        <w:t xml:space="preserve">Senador de la República         </w:t>
      </w:r>
    </w:p>
    <w:p w:rsidR="0087071B" w:rsidRDefault="0087071B" w:rsidP="0087071B">
      <w:pPr>
        <w:jc w:val="center"/>
        <w:rPr>
          <w:rFonts w:ascii="Arial" w:hAnsi="Arial" w:cs="Arial"/>
          <w:b/>
        </w:rPr>
      </w:pPr>
    </w:p>
    <w:p w:rsidR="0087071B" w:rsidRDefault="0087071B" w:rsidP="0087071B">
      <w:pPr>
        <w:jc w:val="center"/>
        <w:rPr>
          <w:rFonts w:ascii="Arial" w:hAnsi="Arial" w:cs="Arial"/>
          <w:b/>
        </w:rPr>
      </w:pPr>
    </w:p>
    <w:p w:rsidR="0087071B" w:rsidRDefault="0087071B" w:rsidP="0087071B">
      <w:pPr>
        <w:jc w:val="center"/>
        <w:rPr>
          <w:rFonts w:ascii="Arial" w:hAnsi="Arial" w:cs="Arial"/>
          <w:b/>
        </w:rPr>
      </w:pPr>
    </w:p>
    <w:p w:rsidR="0087071B" w:rsidRDefault="0087071B" w:rsidP="0087071B">
      <w:pPr>
        <w:rPr>
          <w:rFonts w:ascii="Arial" w:hAnsi="Arial" w:cs="Arial"/>
          <w:b/>
        </w:rPr>
      </w:pPr>
    </w:p>
    <w:p w:rsidR="0087071B" w:rsidRDefault="0087071B" w:rsidP="0087071B">
      <w:pPr>
        <w:rPr>
          <w:rFonts w:ascii="Arial" w:hAnsi="Arial" w:cs="Arial"/>
          <w:b/>
        </w:rPr>
      </w:pPr>
      <w:r>
        <w:rPr>
          <w:rFonts w:ascii="Arial" w:hAnsi="Arial" w:cs="Arial"/>
          <w:b/>
        </w:rPr>
        <w:t xml:space="preserve">PAOLA HOLGUÌN MORENO                                     JUAN FERNANDO ESPINAL </w:t>
      </w:r>
    </w:p>
    <w:p w:rsidR="0087071B" w:rsidRPr="004B70EC" w:rsidRDefault="0087071B" w:rsidP="0087071B">
      <w:pPr>
        <w:tabs>
          <w:tab w:val="left" w:pos="3885"/>
        </w:tabs>
        <w:rPr>
          <w:rFonts w:ascii="Arial" w:hAnsi="Arial" w:cs="Arial"/>
        </w:rPr>
      </w:pPr>
      <w:r>
        <w:rPr>
          <w:rFonts w:ascii="Arial" w:hAnsi="Arial" w:cs="Arial"/>
          <w:b/>
        </w:rPr>
        <w:t xml:space="preserve">Senadora de la República  </w:t>
      </w:r>
      <w:r>
        <w:rPr>
          <w:rFonts w:ascii="Arial" w:hAnsi="Arial" w:cs="Arial"/>
          <w:b/>
        </w:rPr>
        <w:tab/>
        <w:t xml:space="preserve">                            Representante a la Cámara </w:t>
      </w:r>
    </w:p>
    <w:p w:rsidR="0087071B" w:rsidRPr="004B70EC" w:rsidRDefault="0087071B" w:rsidP="0087071B">
      <w:pPr>
        <w:jc w:val="center"/>
        <w:rPr>
          <w:rFonts w:ascii="Arial" w:hAnsi="Arial" w:cs="Arial"/>
        </w:rPr>
      </w:pPr>
    </w:p>
    <w:p w:rsidR="004B70EC" w:rsidRPr="004B70EC" w:rsidRDefault="004B70EC" w:rsidP="0087071B">
      <w:pPr>
        <w:jc w:val="both"/>
        <w:rPr>
          <w:rFonts w:ascii="Arial" w:hAnsi="Arial" w:cs="Arial"/>
        </w:rPr>
      </w:pPr>
    </w:p>
    <w:sectPr w:rsidR="004B70EC" w:rsidRPr="004B70EC" w:rsidSect="00545533">
      <w:pgSz w:w="12240" w:h="18720" w:code="41"/>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0565" w:rsidRDefault="00C90565" w:rsidP="004B70EC">
      <w:r>
        <w:separator/>
      </w:r>
    </w:p>
  </w:endnote>
  <w:endnote w:type="continuationSeparator" w:id="0">
    <w:p w:rsidR="00C90565" w:rsidRDefault="00C90565" w:rsidP="004B70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Haettenschweiler">
    <w:panose1 w:val="020B070604090206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Quiroga Serif Pro">
    <w:altName w:val="Arial"/>
    <w:panose1 w:val="00000000000000000000"/>
    <w:charset w:val="00"/>
    <w:family w:val="modern"/>
    <w:notTrueType/>
    <w:pitch w:val="variable"/>
    <w:sig w:usb0="00000001" w:usb1="4000004B" w:usb2="00000000" w:usb3="00000000" w:csb0="00000093"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0565" w:rsidRDefault="00C90565">
    <w:pPr>
      <w:pStyle w:val="Piedepgina"/>
      <w:jc w:val="right"/>
    </w:pPr>
    <w:r>
      <w:fldChar w:fldCharType="begin"/>
    </w:r>
    <w:r>
      <w:instrText>PAGE   \* MERGEFORMAT</w:instrText>
    </w:r>
    <w:r>
      <w:fldChar w:fldCharType="separate"/>
    </w:r>
    <w:r w:rsidR="007F7AC0">
      <w:rPr>
        <w:noProof/>
      </w:rPr>
      <w:t>1</w:t>
    </w:r>
    <w:r>
      <w:fldChar w:fldCharType="end"/>
    </w:r>
  </w:p>
  <w:p w:rsidR="00C90565" w:rsidRDefault="00C9056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0565" w:rsidRDefault="00C90565" w:rsidP="004B70EC">
      <w:r>
        <w:separator/>
      </w:r>
    </w:p>
  </w:footnote>
  <w:footnote w:type="continuationSeparator" w:id="0">
    <w:p w:rsidR="00C90565" w:rsidRDefault="00C90565" w:rsidP="004B70EC">
      <w:r>
        <w:continuationSeparator/>
      </w:r>
    </w:p>
  </w:footnote>
  <w:footnote w:id="1">
    <w:p w:rsidR="00C90565" w:rsidRDefault="00C90565" w:rsidP="004B70EC">
      <w:pPr>
        <w:jc w:val="both"/>
        <w:rPr>
          <w:rFonts w:asciiTheme="minorHAnsi" w:hAnsiTheme="minorHAnsi"/>
          <w:sz w:val="20"/>
          <w:szCs w:val="20"/>
          <w:lang w:val="es-CO" w:eastAsia="en-US"/>
        </w:rPr>
      </w:pPr>
      <w:r>
        <w:rPr>
          <w:rStyle w:val="Refdenotaalpie"/>
        </w:rPr>
        <w:footnoteRef/>
      </w:r>
      <w:r>
        <w:t xml:space="preserve"> </w:t>
      </w:r>
      <w:r>
        <w:rPr>
          <w:sz w:val="20"/>
          <w:szCs w:val="20"/>
        </w:rPr>
        <w:t>Ibíd.</w:t>
      </w:r>
      <w:r>
        <w:rPr>
          <w:sz w:val="18"/>
          <w:szCs w:val="20"/>
        </w:rPr>
        <w:t xml:space="preserve"> </w:t>
      </w:r>
    </w:p>
    <w:p w:rsidR="00C90565" w:rsidRDefault="00C90565" w:rsidP="004B70EC">
      <w:pPr>
        <w:pStyle w:val="Textonotapie"/>
        <w:rPr>
          <w:rFonts w:cstheme="minorBidi"/>
        </w:rPr>
      </w:pPr>
      <w: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0565" w:rsidRDefault="00A17C60" w:rsidP="00545533">
    <w:pPr>
      <w:pStyle w:val="Encabezado"/>
    </w:pPr>
    <w:r>
      <w:rPr>
        <w:noProof/>
        <w:lang w:val="es-CO" w:eastAsia="es-CO"/>
      </w:rPr>
      <mc:AlternateContent>
        <mc:Choice Requires="wps">
          <w:drawing>
            <wp:anchor distT="0" distB="0" distL="114300" distR="114300" simplePos="0" relativeHeight="251658240" behindDoc="0" locked="0" layoutInCell="0" allowOverlap="1">
              <wp:simplePos x="0" y="0"/>
              <wp:positionH relativeFrom="column">
                <wp:posOffset>565785</wp:posOffset>
              </wp:positionH>
              <wp:positionV relativeFrom="paragraph">
                <wp:posOffset>0</wp:posOffset>
              </wp:positionV>
              <wp:extent cx="1920240" cy="548640"/>
              <wp:effectExtent l="3810" t="0" r="0" b="381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0565" w:rsidRPr="00650A21" w:rsidRDefault="00C90565" w:rsidP="005455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id="_x0000_t202" coordsize="21600,21600" o:spt="202" path="m,l,21600r21600,l21600,xe">
              <v:stroke joinstyle="miter"/>
              <v:path gradientshapeok="t" o:connecttype="rect"/>
            </v:shapetype>
            <v:shape id="Text Box 1" o:spid="_x0000_s1026" type="#_x0000_t202" style="position:absolute;margin-left:44.55pt;margin-top:0;width:151.2pt;height:43.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" o:allowincell="f" filled="f" stroked="f">
              <v:textbox>
                <w:txbxContent>
                  <w:p w:rsidR="00C90565" w:rsidRPr="00650A21" w:rsidRDefault="00C90565" w:rsidP="00545533"/>
                </w:txbxContent>
              </v:textbox>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4075B"/>
    <w:multiLevelType w:val="hybridMultilevel"/>
    <w:tmpl w:val="E0DCDFF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 w15:restartNumberingAfterBreak="0">
    <w:nsid w:val="044B4E78"/>
    <w:multiLevelType w:val="hybridMultilevel"/>
    <w:tmpl w:val="F09A003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2" w15:restartNumberingAfterBreak="0">
    <w:nsid w:val="045B416F"/>
    <w:multiLevelType w:val="hybridMultilevel"/>
    <w:tmpl w:val="569E3FEA"/>
    <w:lvl w:ilvl="0" w:tplc="F59C218C">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49624DE"/>
    <w:multiLevelType w:val="hybridMultilevel"/>
    <w:tmpl w:val="1B248F82"/>
    <w:lvl w:ilvl="0" w:tplc="F1829A14">
      <w:start w:val="1"/>
      <w:numFmt w:val="bullet"/>
      <w:lvlText w:val="•"/>
      <w:lvlJc w:val="left"/>
      <w:pPr>
        <w:tabs>
          <w:tab w:val="num" w:pos="720"/>
        </w:tabs>
        <w:ind w:left="720" w:hanging="360"/>
      </w:pPr>
      <w:rPr>
        <w:rFonts w:ascii="Times New Roman" w:hAnsi="Times New Roman" w:hint="default"/>
      </w:rPr>
    </w:lvl>
    <w:lvl w:ilvl="1" w:tplc="5C62AE3C" w:tentative="1">
      <w:start w:val="1"/>
      <w:numFmt w:val="bullet"/>
      <w:lvlText w:val="•"/>
      <w:lvlJc w:val="left"/>
      <w:pPr>
        <w:tabs>
          <w:tab w:val="num" w:pos="1440"/>
        </w:tabs>
        <w:ind w:left="1440" w:hanging="360"/>
      </w:pPr>
      <w:rPr>
        <w:rFonts w:ascii="Times New Roman" w:hAnsi="Times New Roman" w:hint="default"/>
      </w:rPr>
    </w:lvl>
    <w:lvl w:ilvl="2" w:tplc="B1046564" w:tentative="1">
      <w:start w:val="1"/>
      <w:numFmt w:val="bullet"/>
      <w:lvlText w:val="•"/>
      <w:lvlJc w:val="left"/>
      <w:pPr>
        <w:tabs>
          <w:tab w:val="num" w:pos="2160"/>
        </w:tabs>
        <w:ind w:left="2160" w:hanging="360"/>
      </w:pPr>
      <w:rPr>
        <w:rFonts w:ascii="Times New Roman" w:hAnsi="Times New Roman" w:hint="default"/>
      </w:rPr>
    </w:lvl>
    <w:lvl w:ilvl="3" w:tplc="2F4CEC22" w:tentative="1">
      <w:start w:val="1"/>
      <w:numFmt w:val="bullet"/>
      <w:lvlText w:val="•"/>
      <w:lvlJc w:val="left"/>
      <w:pPr>
        <w:tabs>
          <w:tab w:val="num" w:pos="2880"/>
        </w:tabs>
        <w:ind w:left="2880" w:hanging="360"/>
      </w:pPr>
      <w:rPr>
        <w:rFonts w:ascii="Times New Roman" w:hAnsi="Times New Roman" w:hint="default"/>
      </w:rPr>
    </w:lvl>
    <w:lvl w:ilvl="4" w:tplc="81041B14" w:tentative="1">
      <w:start w:val="1"/>
      <w:numFmt w:val="bullet"/>
      <w:lvlText w:val="•"/>
      <w:lvlJc w:val="left"/>
      <w:pPr>
        <w:tabs>
          <w:tab w:val="num" w:pos="3600"/>
        </w:tabs>
        <w:ind w:left="3600" w:hanging="360"/>
      </w:pPr>
      <w:rPr>
        <w:rFonts w:ascii="Times New Roman" w:hAnsi="Times New Roman" w:hint="default"/>
      </w:rPr>
    </w:lvl>
    <w:lvl w:ilvl="5" w:tplc="37EA6C1C" w:tentative="1">
      <w:start w:val="1"/>
      <w:numFmt w:val="bullet"/>
      <w:lvlText w:val="•"/>
      <w:lvlJc w:val="left"/>
      <w:pPr>
        <w:tabs>
          <w:tab w:val="num" w:pos="4320"/>
        </w:tabs>
        <w:ind w:left="4320" w:hanging="360"/>
      </w:pPr>
      <w:rPr>
        <w:rFonts w:ascii="Times New Roman" w:hAnsi="Times New Roman" w:hint="default"/>
      </w:rPr>
    </w:lvl>
    <w:lvl w:ilvl="6" w:tplc="EB4C70B6" w:tentative="1">
      <w:start w:val="1"/>
      <w:numFmt w:val="bullet"/>
      <w:lvlText w:val="•"/>
      <w:lvlJc w:val="left"/>
      <w:pPr>
        <w:tabs>
          <w:tab w:val="num" w:pos="5040"/>
        </w:tabs>
        <w:ind w:left="5040" w:hanging="360"/>
      </w:pPr>
      <w:rPr>
        <w:rFonts w:ascii="Times New Roman" w:hAnsi="Times New Roman" w:hint="default"/>
      </w:rPr>
    </w:lvl>
    <w:lvl w:ilvl="7" w:tplc="7A14C68A" w:tentative="1">
      <w:start w:val="1"/>
      <w:numFmt w:val="bullet"/>
      <w:lvlText w:val="•"/>
      <w:lvlJc w:val="left"/>
      <w:pPr>
        <w:tabs>
          <w:tab w:val="num" w:pos="5760"/>
        </w:tabs>
        <w:ind w:left="5760" w:hanging="360"/>
      </w:pPr>
      <w:rPr>
        <w:rFonts w:ascii="Times New Roman" w:hAnsi="Times New Roman" w:hint="default"/>
      </w:rPr>
    </w:lvl>
    <w:lvl w:ilvl="8" w:tplc="5288977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68E1C1C"/>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F5E2C4B"/>
    <w:multiLevelType w:val="hybridMultilevel"/>
    <w:tmpl w:val="2096803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7EF670F"/>
    <w:multiLevelType w:val="hybridMultilevel"/>
    <w:tmpl w:val="4C3C11E6"/>
    <w:lvl w:ilvl="0" w:tplc="134CA0B2">
      <w:start w:val="1"/>
      <w:numFmt w:val="decimal"/>
      <w:lvlText w:val="%1)"/>
      <w:lvlJc w:val="left"/>
      <w:pPr>
        <w:ind w:left="420" w:hanging="360"/>
      </w:pPr>
      <w:rPr>
        <w:rFonts w:hint="default"/>
      </w:rPr>
    </w:lvl>
    <w:lvl w:ilvl="1" w:tplc="240A0019" w:tentative="1">
      <w:start w:val="1"/>
      <w:numFmt w:val="lowerLetter"/>
      <w:lvlText w:val="%2."/>
      <w:lvlJc w:val="left"/>
      <w:pPr>
        <w:ind w:left="1140" w:hanging="360"/>
      </w:pPr>
    </w:lvl>
    <w:lvl w:ilvl="2" w:tplc="240A001B" w:tentative="1">
      <w:start w:val="1"/>
      <w:numFmt w:val="lowerRoman"/>
      <w:lvlText w:val="%3."/>
      <w:lvlJc w:val="right"/>
      <w:pPr>
        <w:ind w:left="1860" w:hanging="180"/>
      </w:pPr>
    </w:lvl>
    <w:lvl w:ilvl="3" w:tplc="240A000F" w:tentative="1">
      <w:start w:val="1"/>
      <w:numFmt w:val="decimal"/>
      <w:lvlText w:val="%4."/>
      <w:lvlJc w:val="left"/>
      <w:pPr>
        <w:ind w:left="2580" w:hanging="360"/>
      </w:pPr>
    </w:lvl>
    <w:lvl w:ilvl="4" w:tplc="240A0019" w:tentative="1">
      <w:start w:val="1"/>
      <w:numFmt w:val="lowerLetter"/>
      <w:lvlText w:val="%5."/>
      <w:lvlJc w:val="left"/>
      <w:pPr>
        <w:ind w:left="3300" w:hanging="360"/>
      </w:pPr>
    </w:lvl>
    <w:lvl w:ilvl="5" w:tplc="240A001B" w:tentative="1">
      <w:start w:val="1"/>
      <w:numFmt w:val="lowerRoman"/>
      <w:lvlText w:val="%6."/>
      <w:lvlJc w:val="right"/>
      <w:pPr>
        <w:ind w:left="4020" w:hanging="180"/>
      </w:pPr>
    </w:lvl>
    <w:lvl w:ilvl="6" w:tplc="240A000F" w:tentative="1">
      <w:start w:val="1"/>
      <w:numFmt w:val="decimal"/>
      <w:lvlText w:val="%7."/>
      <w:lvlJc w:val="left"/>
      <w:pPr>
        <w:ind w:left="4740" w:hanging="360"/>
      </w:pPr>
    </w:lvl>
    <w:lvl w:ilvl="7" w:tplc="240A0019" w:tentative="1">
      <w:start w:val="1"/>
      <w:numFmt w:val="lowerLetter"/>
      <w:lvlText w:val="%8."/>
      <w:lvlJc w:val="left"/>
      <w:pPr>
        <w:ind w:left="5460" w:hanging="360"/>
      </w:pPr>
    </w:lvl>
    <w:lvl w:ilvl="8" w:tplc="240A001B" w:tentative="1">
      <w:start w:val="1"/>
      <w:numFmt w:val="lowerRoman"/>
      <w:lvlText w:val="%9."/>
      <w:lvlJc w:val="right"/>
      <w:pPr>
        <w:ind w:left="6180" w:hanging="180"/>
      </w:pPr>
    </w:lvl>
  </w:abstractNum>
  <w:abstractNum w:abstractNumId="7" w15:restartNumberingAfterBreak="0">
    <w:nsid w:val="19661155"/>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A5D0C5E"/>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1FCE49D1"/>
    <w:multiLevelType w:val="hybridMultilevel"/>
    <w:tmpl w:val="156E9C58"/>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10" w15:restartNumberingAfterBreak="0">
    <w:nsid w:val="2192289E"/>
    <w:multiLevelType w:val="hybridMultilevel"/>
    <w:tmpl w:val="E03880F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8521026"/>
    <w:multiLevelType w:val="hybridMultilevel"/>
    <w:tmpl w:val="768AFAD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0561670"/>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31ED119B"/>
    <w:multiLevelType w:val="hybridMultilevel"/>
    <w:tmpl w:val="1CD099C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24F2E2F"/>
    <w:multiLevelType w:val="hybridMultilevel"/>
    <w:tmpl w:val="FBA21076"/>
    <w:lvl w:ilvl="0" w:tplc="0C0A000D">
      <w:start w:val="1"/>
      <w:numFmt w:val="bullet"/>
      <w:lvlText w:val=""/>
      <w:lvlJc w:val="left"/>
      <w:pPr>
        <w:ind w:left="780" w:hanging="360"/>
      </w:pPr>
      <w:rPr>
        <w:rFonts w:ascii="Wingdings" w:hAnsi="Wingdings"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5" w15:restartNumberingAfterBreak="0">
    <w:nsid w:val="33CF47EA"/>
    <w:multiLevelType w:val="singleLevel"/>
    <w:tmpl w:val="BABEB47C"/>
    <w:lvl w:ilvl="0">
      <w:numFmt w:val="bullet"/>
      <w:lvlText w:val="-"/>
      <w:lvlJc w:val="left"/>
      <w:pPr>
        <w:tabs>
          <w:tab w:val="num" w:pos="360"/>
        </w:tabs>
        <w:ind w:left="360" w:hanging="360"/>
      </w:pPr>
      <w:rPr>
        <w:rFonts w:ascii="Times New Roman" w:hAnsi="Times New Roman" w:hint="default"/>
        <w:b/>
      </w:rPr>
    </w:lvl>
  </w:abstractNum>
  <w:abstractNum w:abstractNumId="16" w15:restartNumberingAfterBreak="0">
    <w:nsid w:val="357E73DD"/>
    <w:multiLevelType w:val="hybridMultilevel"/>
    <w:tmpl w:val="59B852EA"/>
    <w:lvl w:ilvl="0" w:tplc="240A000F">
      <w:start w:val="1"/>
      <w:numFmt w:val="decimal"/>
      <w:lvlText w:val="%1."/>
      <w:lvlJc w:val="left"/>
      <w:pPr>
        <w:ind w:left="1140" w:hanging="360"/>
      </w:pPr>
    </w:lvl>
    <w:lvl w:ilvl="1" w:tplc="240A0019" w:tentative="1">
      <w:start w:val="1"/>
      <w:numFmt w:val="lowerLetter"/>
      <w:lvlText w:val="%2."/>
      <w:lvlJc w:val="left"/>
      <w:pPr>
        <w:ind w:left="1860" w:hanging="360"/>
      </w:pPr>
    </w:lvl>
    <w:lvl w:ilvl="2" w:tplc="240A001B" w:tentative="1">
      <w:start w:val="1"/>
      <w:numFmt w:val="lowerRoman"/>
      <w:lvlText w:val="%3."/>
      <w:lvlJc w:val="right"/>
      <w:pPr>
        <w:ind w:left="2580" w:hanging="180"/>
      </w:pPr>
    </w:lvl>
    <w:lvl w:ilvl="3" w:tplc="240A000F" w:tentative="1">
      <w:start w:val="1"/>
      <w:numFmt w:val="decimal"/>
      <w:lvlText w:val="%4."/>
      <w:lvlJc w:val="left"/>
      <w:pPr>
        <w:ind w:left="3300" w:hanging="360"/>
      </w:pPr>
    </w:lvl>
    <w:lvl w:ilvl="4" w:tplc="240A0019" w:tentative="1">
      <w:start w:val="1"/>
      <w:numFmt w:val="lowerLetter"/>
      <w:lvlText w:val="%5."/>
      <w:lvlJc w:val="left"/>
      <w:pPr>
        <w:ind w:left="4020" w:hanging="360"/>
      </w:pPr>
    </w:lvl>
    <w:lvl w:ilvl="5" w:tplc="240A001B" w:tentative="1">
      <w:start w:val="1"/>
      <w:numFmt w:val="lowerRoman"/>
      <w:lvlText w:val="%6."/>
      <w:lvlJc w:val="right"/>
      <w:pPr>
        <w:ind w:left="4740" w:hanging="180"/>
      </w:pPr>
    </w:lvl>
    <w:lvl w:ilvl="6" w:tplc="240A000F" w:tentative="1">
      <w:start w:val="1"/>
      <w:numFmt w:val="decimal"/>
      <w:lvlText w:val="%7."/>
      <w:lvlJc w:val="left"/>
      <w:pPr>
        <w:ind w:left="5460" w:hanging="360"/>
      </w:pPr>
    </w:lvl>
    <w:lvl w:ilvl="7" w:tplc="240A0019" w:tentative="1">
      <w:start w:val="1"/>
      <w:numFmt w:val="lowerLetter"/>
      <w:lvlText w:val="%8."/>
      <w:lvlJc w:val="left"/>
      <w:pPr>
        <w:ind w:left="6180" w:hanging="360"/>
      </w:pPr>
    </w:lvl>
    <w:lvl w:ilvl="8" w:tplc="240A001B" w:tentative="1">
      <w:start w:val="1"/>
      <w:numFmt w:val="lowerRoman"/>
      <w:lvlText w:val="%9."/>
      <w:lvlJc w:val="right"/>
      <w:pPr>
        <w:ind w:left="6900" w:hanging="180"/>
      </w:pPr>
    </w:lvl>
  </w:abstractNum>
  <w:abstractNum w:abstractNumId="17" w15:restartNumberingAfterBreak="0">
    <w:nsid w:val="37186431"/>
    <w:multiLevelType w:val="hybridMultilevel"/>
    <w:tmpl w:val="0FF0A7AA"/>
    <w:lvl w:ilvl="0" w:tplc="C2CECD12">
      <w:start w:val="1"/>
      <w:numFmt w:val="bullet"/>
      <w:lvlText w:val="•"/>
      <w:lvlJc w:val="left"/>
      <w:pPr>
        <w:tabs>
          <w:tab w:val="num" w:pos="720"/>
        </w:tabs>
        <w:ind w:left="720" w:hanging="360"/>
      </w:pPr>
      <w:rPr>
        <w:rFonts w:ascii="Times New Roman" w:hAnsi="Times New Roman" w:hint="default"/>
      </w:rPr>
    </w:lvl>
    <w:lvl w:ilvl="1" w:tplc="A2A6381C" w:tentative="1">
      <w:start w:val="1"/>
      <w:numFmt w:val="bullet"/>
      <w:lvlText w:val="•"/>
      <w:lvlJc w:val="left"/>
      <w:pPr>
        <w:tabs>
          <w:tab w:val="num" w:pos="1440"/>
        </w:tabs>
        <w:ind w:left="1440" w:hanging="360"/>
      </w:pPr>
      <w:rPr>
        <w:rFonts w:ascii="Times New Roman" w:hAnsi="Times New Roman" w:hint="default"/>
      </w:rPr>
    </w:lvl>
    <w:lvl w:ilvl="2" w:tplc="F940B70A" w:tentative="1">
      <w:start w:val="1"/>
      <w:numFmt w:val="bullet"/>
      <w:lvlText w:val="•"/>
      <w:lvlJc w:val="left"/>
      <w:pPr>
        <w:tabs>
          <w:tab w:val="num" w:pos="2160"/>
        </w:tabs>
        <w:ind w:left="2160" w:hanging="360"/>
      </w:pPr>
      <w:rPr>
        <w:rFonts w:ascii="Times New Roman" w:hAnsi="Times New Roman" w:hint="default"/>
      </w:rPr>
    </w:lvl>
    <w:lvl w:ilvl="3" w:tplc="6E6A527E" w:tentative="1">
      <w:start w:val="1"/>
      <w:numFmt w:val="bullet"/>
      <w:lvlText w:val="•"/>
      <w:lvlJc w:val="left"/>
      <w:pPr>
        <w:tabs>
          <w:tab w:val="num" w:pos="2880"/>
        </w:tabs>
        <w:ind w:left="2880" w:hanging="360"/>
      </w:pPr>
      <w:rPr>
        <w:rFonts w:ascii="Times New Roman" w:hAnsi="Times New Roman" w:hint="default"/>
      </w:rPr>
    </w:lvl>
    <w:lvl w:ilvl="4" w:tplc="FCEEDC3E" w:tentative="1">
      <w:start w:val="1"/>
      <w:numFmt w:val="bullet"/>
      <w:lvlText w:val="•"/>
      <w:lvlJc w:val="left"/>
      <w:pPr>
        <w:tabs>
          <w:tab w:val="num" w:pos="3600"/>
        </w:tabs>
        <w:ind w:left="3600" w:hanging="360"/>
      </w:pPr>
      <w:rPr>
        <w:rFonts w:ascii="Times New Roman" w:hAnsi="Times New Roman" w:hint="default"/>
      </w:rPr>
    </w:lvl>
    <w:lvl w:ilvl="5" w:tplc="F13C52C8" w:tentative="1">
      <w:start w:val="1"/>
      <w:numFmt w:val="bullet"/>
      <w:lvlText w:val="•"/>
      <w:lvlJc w:val="left"/>
      <w:pPr>
        <w:tabs>
          <w:tab w:val="num" w:pos="4320"/>
        </w:tabs>
        <w:ind w:left="4320" w:hanging="360"/>
      </w:pPr>
      <w:rPr>
        <w:rFonts w:ascii="Times New Roman" w:hAnsi="Times New Roman" w:hint="default"/>
      </w:rPr>
    </w:lvl>
    <w:lvl w:ilvl="6" w:tplc="35207BD8" w:tentative="1">
      <w:start w:val="1"/>
      <w:numFmt w:val="bullet"/>
      <w:lvlText w:val="•"/>
      <w:lvlJc w:val="left"/>
      <w:pPr>
        <w:tabs>
          <w:tab w:val="num" w:pos="5040"/>
        </w:tabs>
        <w:ind w:left="5040" w:hanging="360"/>
      </w:pPr>
      <w:rPr>
        <w:rFonts w:ascii="Times New Roman" w:hAnsi="Times New Roman" w:hint="default"/>
      </w:rPr>
    </w:lvl>
    <w:lvl w:ilvl="7" w:tplc="950C7BEC" w:tentative="1">
      <w:start w:val="1"/>
      <w:numFmt w:val="bullet"/>
      <w:lvlText w:val="•"/>
      <w:lvlJc w:val="left"/>
      <w:pPr>
        <w:tabs>
          <w:tab w:val="num" w:pos="5760"/>
        </w:tabs>
        <w:ind w:left="5760" w:hanging="360"/>
      </w:pPr>
      <w:rPr>
        <w:rFonts w:ascii="Times New Roman" w:hAnsi="Times New Roman" w:hint="default"/>
      </w:rPr>
    </w:lvl>
    <w:lvl w:ilvl="8" w:tplc="B36CE02E"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3C5D7553"/>
    <w:multiLevelType w:val="hybridMultilevel"/>
    <w:tmpl w:val="6624106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9" w15:restartNumberingAfterBreak="0">
    <w:nsid w:val="3D3D0239"/>
    <w:multiLevelType w:val="hybridMultilevel"/>
    <w:tmpl w:val="6F86C044"/>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0" w15:restartNumberingAfterBreak="0">
    <w:nsid w:val="40E72BB8"/>
    <w:multiLevelType w:val="hybridMultilevel"/>
    <w:tmpl w:val="D788364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44DD17EC"/>
    <w:multiLevelType w:val="hybridMultilevel"/>
    <w:tmpl w:val="E68E69A0"/>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22" w15:restartNumberingAfterBreak="0">
    <w:nsid w:val="48A22445"/>
    <w:multiLevelType w:val="singleLevel"/>
    <w:tmpl w:val="0C0A000D"/>
    <w:lvl w:ilvl="0">
      <w:start w:val="1"/>
      <w:numFmt w:val="bullet"/>
      <w:lvlText w:val=""/>
      <w:lvlJc w:val="left"/>
      <w:pPr>
        <w:tabs>
          <w:tab w:val="num" w:pos="360"/>
        </w:tabs>
        <w:ind w:left="360" w:hanging="360"/>
      </w:pPr>
      <w:rPr>
        <w:rFonts w:ascii="Wingdings" w:hAnsi="Wingdings" w:hint="default"/>
      </w:rPr>
    </w:lvl>
  </w:abstractNum>
  <w:abstractNum w:abstractNumId="23" w15:restartNumberingAfterBreak="0">
    <w:nsid w:val="4D271D51"/>
    <w:multiLevelType w:val="hybridMultilevel"/>
    <w:tmpl w:val="A3F0CC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F61754E"/>
    <w:multiLevelType w:val="hybridMultilevel"/>
    <w:tmpl w:val="9BF0DD5C"/>
    <w:lvl w:ilvl="0" w:tplc="4D0056A6">
      <w:start w:val="1"/>
      <w:numFmt w:val="decimal"/>
      <w:lvlText w:val="%1)"/>
      <w:lvlJc w:val="left"/>
      <w:pPr>
        <w:ind w:left="420" w:hanging="360"/>
      </w:pPr>
      <w:rPr>
        <w:rFonts w:hint="default"/>
      </w:rPr>
    </w:lvl>
    <w:lvl w:ilvl="1" w:tplc="240A0019" w:tentative="1">
      <w:start w:val="1"/>
      <w:numFmt w:val="lowerLetter"/>
      <w:lvlText w:val="%2."/>
      <w:lvlJc w:val="left"/>
      <w:pPr>
        <w:ind w:left="1140" w:hanging="360"/>
      </w:pPr>
    </w:lvl>
    <w:lvl w:ilvl="2" w:tplc="240A001B" w:tentative="1">
      <w:start w:val="1"/>
      <w:numFmt w:val="lowerRoman"/>
      <w:lvlText w:val="%3."/>
      <w:lvlJc w:val="right"/>
      <w:pPr>
        <w:ind w:left="1860" w:hanging="180"/>
      </w:pPr>
    </w:lvl>
    <w:lvl w:ilvl="3" w:tplc="240A000F" w:tentative="1">
      <w:start w:val="1"/>
      <w:numFmt w:val="decimal"/>
      <w:lvlText w:val="%4."/>
      <w:lvlJc w:val="left"/>
      <w:pPr>
        <w:ind w:left="2580" w:hanging="360"/>
      </w:pPr>
    </w:lvl>
    <w:lvl w:ilvl="4" w:tplc="240A0019" w:tentative="1">
      <w:start w:val="1"/>
      <w:numFmt w:val="lowerLetter"/>
      <w:lvlText w:val="%5."/>
      <w:lvlJc w:val="left"/>
      <w:pPr>
        <w:ind w:left="3300" w:hanging="360"/>
      </w:pPr>
    </w:lvl>
    <w:lvl w:ilvl="5" w:tplc="240A001B" w:tentative="1">
      <w:start w:val="1"/>
      <w:numFmt w:val="lowerRoman"/>
      <w:lvlText w:val="%6."/>
      <w:lvlJc w:val="right"/>
      <w:pPr>
        <w:ind w:left="4020" w:hanging="180"/>
      </w:pPr>
    </w:lvl>
    <w:lvl w:ilvl="6" w:tplc="240A000F" w:tentative="1">
      <w:start w:val="1"/>
      <w:numFmt w:val="decimal"/>
      <w:lvlText w:val="%7."/>
      <w:lvlJc w:val="left"/>
      <w:pPr>
        <w:ind w:left="4740" w:hanging="360"/>
      </w:pPr>
    </w:lvl>
    <w:lvl w:ilvl="7" w:tplc="240A0019" w:tentative="1">
      <w:start w:val="1"/>
      <w:numFmt w:val="lowerLetter"/>
      <w:lvlText w:val="%8."/>
      <w:lvlJc w:val="left"/>
      <w:pPr>
        <w:ind w:left="5460" w:hanging="360"/>
      </w:pPr>
    </w:lvl>
    <w:lvl w:ilvl="8" w:tplc="240A001B" w:tentative="1">
      <w:start w:val="1"/>
      <w:numFmt w:val="lowerRoman"/>
      <w:lvlText w:val="%9."/>
      <w:lvlJc w:val="right"/>
      <w:pPr>
        <w:ind w:left="6180" w:hanging="180"/>
      </w:pPr>
    </w:lvl>
  </w:abstractNum>
  <w:abstractNum w:abstractNumId="25" w15:restartNumberingAfterBreak="0">
    <w:nsid w:val="4FC45D82"/>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58271AA2"/>
    <w:multiLevelType w:val="hybridMultilevel"/>
    <w:tmpl w:val="9038166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60E32746"/>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622022DA"/>
    <w:multiLevelType w:val="hybridMultilevel"/>
    <w:tmpl w:val="0140511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9" w15:restartNumberingAfterBreak="0">
    <w:nsid w:val="659554F8"/>
    <w:multiLevelType w:val="hybridMultilevel"/>
    <w:tmpl w:val="F2B83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6C026ED"/>
    <w:multiLevelType w:val="hybridMultilevel"/>
    <w:tmpl w:val="5AF26920"/>
    <w:lvl w:ilvl="0" w:tplc="2FDC9A2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68485E62"/>
    <w:multiLevelType w:val="hybridMultilevel"/>
    <w:tmpl w:val="386864F8"/>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32" w15:restartNumberingAfterBreak="0">
    <w:nsid w:val="69830DD7"/>
    <w:multiLevelType w:val="hybridMultilevel"/>
    <w:tmpl w:val="62DCF220"/>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33" w15:restartNumberingAfterBreak="0">
    <w:nsid w:val="71DC493A"/>
    <w:multiLevelType w:val="hybridMultilevel"/>
    <w:tmpl w:val="72DE21F0"/>
    <w:lvl w:ilvl="0" w:tplc="240A0011">
      <w:start w:val="4"/>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7201727E"/>
    <w:multiLevelType w:val="hybridMultilevel"/>
    <w:tmpl w:val="BCA6A3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511643A"/>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6" w15:restartNumberingAfterBreak="0">
    <w:nsid w:val="75976C7C"/>
    <w:multiLevelType w:val="hybridMultilevel"/>
    <w:tmpl w:val="451812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7" w15:restartNumberingAfterBreak="0">
    <w:nsid w:val="7F1A5486"/>
    <w:multiLevelType w:val="hybridMultilevel"/>
    <w:tmpl w:val="722C7224"/>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7"/>
  </w:num>
  <w:num w:numId="2">
    <w:abstractNumId w:val="25"/>
  </w:num>
  <w:num w:numId="3">
    <w:abstractNumId w:val="12"/>
  </w:num>
  <w:num w:numId="4">
    <w:abstractNumId w:val="35"/>
  </w:num>
  <w:num w:numId="5">
    <w:abstractNumId w:val="27"/>
  </w:num>
  <w:num w:numId="6">
    <w:abstractNumId w:val="8"/>
  </w:num>
  <w:num w:numId="7">
    <w:abstractNumId w:val="7"/>
  </w:num>
  <w:num w:numId="8">
    <w:abstractNumId w:val="15"/>
  </w:num>
  <w:num w:numId="9">
    <w:abstractNumId w:val="4"/>
  </w:num>
  <w:num w:numId="10">
    <w:abstractNumId w:val="22"/>
  </w:num>
  <w:num w:numId="11">
    <w:abstractNumId w:val="5"/>
  </w:num>
  <w:num w:numId="12">
    <w:abstractNumId w:val="26"/>
  </w:num>
  <w:num w:numId="13">
    <w:abstractNumId w:val="11"/>
  </w:num>
  <w:num w:numId="14">
    <w:abstractNumId w:val="17"/>
  </w:num>
  <w:num w:numId="15">
    <w:abstractNumId w:val="3"/>
  </w:num>
  <w:num w:numId="16">
    <w:abstractNumId w:val="14"/>
  </w:num>
  <w:num w:numId="17">
    <w:abstractNumId w:val="23"/>
  </w:num>
  <w:num w:numId="18">
    <w:abstractNumId w:val="29"/>
  </w:num>
  <w:num w:numId="19">
    <w:abstractNumId w:val="36"/>
  </w:num>
  <w:num w:numId="20">
    <w:abstractNumId w:val="19"/>
  </w:num>
  <w:num w:numId="21">
    <w:abstractNumId w:val="9"/>
  </w:num>
  <w:num w:numId="22">
    <w:abstractNumId w:val="32"/>
  </w:num>
  <w:num w:numId="23">
    <w:abstractNumId w:val="31"/>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num>
  <w:num w:numId="26">
    <w:abstractNumId w:val="16"/>
  </w:num>
  <w:num w:numId="27">
    <w:abstractNumId w:val="10"/>
  </w:num>
  <w:num w:numId="28">
    <w:abstractNumId w:val="20"/>
  </w:num>
  <w:num w:numId="29">
    <w:abstractNumId w:val="34"/>
  </w:num>
  <w:num w:numId="30">
    <w:abstractNumId w:val="13"/>
  </w:num>
  <w:num w:numId="31">
    <w:abstractNumId w:val="2"/>
  </w:num>
  <w:num w:numId="32">
    <w:abstractNumId w:val="6"/>
  </w:num>
  <w:num w:numId="33">
    <w:abstractNumId w:val="33"/>
  </w:num>
  <w:num w:numId="3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num>
  <w:num w:numId="36">
    <w:abstractNumId w:val="1"/>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6BE9"/>
    <w:rsid w:val="00112A6C"/>
    <w:rsid w:val="00123E39"/>
    <w:rsid w:val="001B14B8"/>
    <w:rsid w:val="0027550F"/>
    <w:rsid w:val="003C4323"/>
    <w:rsid w:val="00454D73"/>
    <w:rsid w:val="004A3F9B"/>
    <w:rsid w:val="004B70EC"/>
    <w:rsid w:val="00545533"/>
    <w:rsid w:val="00612188"/>
    <w:rsid w:val="006B7EC9"/>
    <w:rsid w:val="007318C4"/>
    <w:rsid w:val="007F7AC0"/>
    <w:rsid w:val="0081111E"/>
    <w:rsid w:val="0087071B"/>
    <w:rsid w:val="00A17C60"/>
    <w:rsid w:val="00C03BD3"/>
    <w:rsid w:val="00C26BE9"/>
    <w:rsid w:val="00C90565"/>
    <w:rsid w:val="00C93E4E"/>
    <w:rsid w:val="00D2317B"/>
    <w:rsid w:val="00DC6025"/>
    <w:rsid w:val="00E32813"/>
    <w:rsid w:val="00E61D7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6145"/>
    <o:shapelayout v:ext="edit">
      <o:idmap v:ext="edit" data="1"/>
    </o:shapelayout>
  </w:shapeDefaults>
  <w:decimalSymbol w:val=","/>
  <w:listSeparator w:val=";"/>
  <w14:docId w14:val="5C90D4AD"/>
  <w15:docId w15:val="{81E44F07-9B45-438E-B88F-2E0F7550C0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550F"/>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4B70EC"/>
    <w:pPr>
      <w:keepNext/>
      <w:autoSpaceDE w:val="0"/>
      <w:autoSpaceDN w:val="0"/>
      <w:adjustRightInd w:val="0"/>
      <w:jc w:val="center"/>
      <w:outlineLvl w:val="0"/>
    </w:pPr>
    <w:rPr>
      <w:rFonts w:ascii="Helv" w:hAnsi="Helv" w:cs="Helv"/>
      <w:color w:val="000000"/>
      <w:szCs w:val="20"/>
    </w:rPr>
  </w:style>
  <w:style w:type="paragraph" w:styleId="Ttulo2">
    <w:name w:val="heading 2"/>
    <w:basedOn w:val="Normal"/>
    <w:next w:val="Normal"/>
    <w:link w:val="Ttulo2Car"/>
    <w:qFormat/>
    <w:rsid w:val="004B70EC"/>
    <w:pPr>
      <w:keepNext/>
      <w:autoSpaceDE w:val="0"/>
      <w:autoSpaceDN w:val="0"/>
      <w:adjustRightInd w:val="0"/>
      <w:jc w:val="center"/>
      <w:outlineLvl w:val="1"/>
    </w:pPr>
    <w:rPr>
      <w:rFonts w:ascii="Helv" w:hAnsi="Helv" w:cs="Helv"/>
      <w:b/>
      <w:color w:val="000000"/>
      <w:szCs w:val="20"/>
    </w:rPr>
  </w:style>
  <w:style w:type="paragraph" w:styleId="Ttulo3">
    <w:name w:val="heading 3"/>
    <w:basedOn w:val="Normal"/>
    <w:next w:val="Normal"/>
    <w:link w:val="Ttulo3Car"/>
    <w:qFormat/>
    <w:rsid w:val="004B70EC"/>
    <w:pPr>
      <w:keepNext/>
      <w:autoSpaceDE w:val="0"/>
      <w:autoSpaceDN w:val="0"/>
      <w:adjustRightInd w:val="0"/>
      <w:outlineLvl w:val="2"/>
    </w:pPr>
    <w:rPr>
      <w:rFonts w:ascii="Helv" w:hAnsi="Helv" w:cs="Helv"/>
      <w:color w:val="000000"/>
      <w:szCs w:val="20"/>
    </w:rPr>
  </w:style>
  <w:style w:type="paragraph" w:styleId="Ttulo4">
    <w:name w:val="heading 4"/>
    <w:basedOn w:val="Normal"/>
    <w:next w:val="Normal"/>
    <w:link w:val="Ttulo4Car"/>
    <w:qFormat/>
    <w:rsid w:val="004B70EC"/>
    <w:pPr>
      <w:keepNext/>
      <w:autoSpaceDE w:val="0"/>
      <w:autoSpaceDN w:val="0"/>
      <w:adjustRightInd w:val="0"/>
      <w:jc w:val="both"/>
      <w:outlineLvl w:val="3"/>
    </w:pPr>
    <w:rPr>
      <w:rFonts w:ascii="Helv" w:hAnsi="Helv" w:cs="Helv"/>
      <w:b/>
      <w:color w:val="000000"/>
      <w:szCs w:val="20"/>
    </w:rPr>
  </w:style>
  <w:style w:type="paragraph" w:styleId="Ttulo5">
    <w:name w:val="heading 5"/>
    <w:basedOn w:val="Normal"/>
    <w:next w:val="Normal"/>
    <w:link w:val="Ttulo5Car"/>
    <w:qFormat/>
    <w:rsid w:val="004B70EC"/>
    <w:pPr>
      <w:keepNext/>
      <w:autoSpaceDE w:val="0"/>
      <w:autoSpaceDN w:val="0"/>
      <w:adjustRightInd w:val="0"/>
      <w:jc w:val="both"/>
      <w:outlineLvl w:val="4"/>
    </w:pPr>
    <w:rPr>
      <w:rFonts w:ascii="Helv" w:hAnsi="Helv" w:cs="Helv"/>
      <w:color w:val="000000"/>
      <w:szCs w:val="20"/>
    </w:rPr>
  </w:style>
  <w:style w:type="paragraph" w:styleId="Ttulo6">
    <w:name w:val="heading 6"/>
    <w:basedOn w:val="Normal"/>
    <w:next w:val="Normal"/>
    <w:link w:val="Ttulo6Car"/>
    <w:qFormat/>
    <w:rsid w:val="004B70EC"/>
    <w:pPr>
      <w:keepNext/>
      <w:autoSpaceDE w:val="0"/>
      <w:autoSpaceDN w:val="0"/>
      <w:adjustRightInd w:val="0"/>
      <w:jc w:val="center"/>
      <w:outlineLvl w:val="5"/>
    </w:pPr>
    <w:rPr>
      <w:rFonts w:ascii="Verdana" w:hAnsi="Verdana" w:cs="Helv"/>
      <w:b/>
      <w:snapToGrid w:val="0"/>
      <w:color w:val="000000"/>
      <w:sz w:val="20"/>
      <w:szCs w:val="20"/>
    </w:rPr>
  </w:style>
  <w:style w:type="paragraph" w:styleId="Ttulo7">
    <w:name w:val="heading 7"/>
    <w:basedOn w:val="Normal"/>
    <w:next w:val="Normal"/>
    <w:link w:val="Ttulo7Car"/>
    <w:qFormat/>
    <w:rsid w:val="004B70EC"/>
    <w:pPr>
      <w:keepNext/>
      <w:autoSpaceDE w:val="0"/>
      <w:autoSpaceDN w:val="0"/>
      <w:adjustRightInd w:val="0"/>
      <w:jc w:val="both"/>
      <w:outlineLvl w:val="6"/>
    </w:pPr>
    <w:rPr>
      <w:rFonts w:ascii="Helv" w:hAnsi="Helv" w:cs="Helv"/>
      <w:b/>
      <w:color w:val="000000"/>
      <w:sz w:val="22"/>
      <w:szCs w:val="20"/>
    </w:rPr>
  </w:style>
  <w:style w:type="paragraph" w:styleId="Ttulo8">
    <w:name w:val="heading 8"/>
    <w:basedOn w:val="Normal"/>
    <w:next w:val="Normal"/>
    <w:link w:val="Ttulo8Car"/>
    <w:qFormat/>
    <w:rsid w:val="004B70EC"/>
    <w:pPr>
      <w:keepNext/>
      <w:autoSpaceDE w:val="0"/>
      <w:autoSpaceDN w:val="0"/>
      <w:adjustRightInd w:val="0"/>
      <w:outlineLvl w:val="7"/>
    </w:pPr>
    <w:rPr>
      <w:rFonts w:ascii="Helv" w:hAnsi="Helv" w:cs="Helv"/>
      <w:b/>
      <w:color w:val="000000"/>
      <w:sz w:val="20"/>
      <w:szCs w:val="20"/>
    </w:rPr>
  </w:style>
  <w:style w:type="paragraph" w:styleId="Ttulo9">
    <w:name w:val="heading 9"/>
    <w:basedOn w:val="Normal"/>
    <w:next w:val="Normal"/>
    <w:link w:val="Ttulo9Car"/>
    <w:qFormat/>
    <w:rsid w:val="004B70EC"/>
    <w:pPr>
      <w:keepNext/>
      <w:autoSpaceDE w:val="0"/>
      <w:autoSpaceDN w:val="0"/>
      <w:adjustRightInd w:val="0"/>
      <w:outlineLvl w:val="8"/>
    </w:pPr>
    <w:rPr>
      <w:rFonts w:ascii="Helv" w:hAnsi="Helv" w:cs="Helv"/>
      <w:b/>
      <w:color w:val="000000"/>
      <w:sz w:val="22"/>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4B70EC"/>
    <w:rPr>
      <w:rFonts w:ascii="Helv" w:eastAsia="Times New Roman" w:hAnsi="Helv" w:cs="Helv"/>
      <w:color w:val="000000"/>
      <w:sz w:val="24"/>
      <w:szCs w:val="20"/>
      <w:lang w:val="es-ES" w:eastAsia="es-ES"/>
    </w:rPr>
  </w:style>
  <w:style w:type="character" w:customStyle="1" w:styleId="Ttulo2Car">
    <w:name w:val="Título 2 Car"/>
    <w:basedOn w:val="Fuentedeprrafopredeter"/>
    <w:link w:val="Ttulo2"/>
    <w:rsid w:val="004B70EC"/>
    <w:rPr>
      <w:rFonts w:ascii="Helv" w:eastAsia="Times New Roman" w:hAnsi="Helv" w:cs="Helv"/>
      <w:b/>
      <w:color w:val="000000"/>
      <w:sz w:val="24"/>
      <w:szCs w:val="20"/>
      <w:lang w:val="es-ES" w:eastAsia="es-ES"/>
    </w:rPr>
  </w:style>
  <w:style w:type="character" w:customStyle="1" w:styleId="Ttulo3Car">
    <w:name w:val="Título 3 Car"/>
    <w:basedOn w:val="Fuentedeprrafopredeter"/>
    <w:link w:val="Ttulo3"/>
    <w:rsid w:val="004B70EC"/>
    <w:rPr>
      <w:rFonts w:ascii="Helv" w:eastAsia="Times New Roman" w:hAnsi="Helv" w:cs="Helv"/>
      <w:color w:val="000000"/>
      <w:sz w:val="24"/>
      <w:szCs w:val="20"/>
      <w:lang w:val="es-ES" w:eastAsia="es-ES"/>
    </w:rPr>
  </w:style>
  <w:style w:type="character" w:customStyle="1" w:styleId="Ttulo4Car">
    <w:name w:val="Título 4 Car"/>
    <w:basedOn w:val="Fuentedeprrafopredeter"/>
    <w:link w:val="Ttulo4"/>
    <w:rsid w:val="004B70EC"/>
    <w:rPr>
      <w:rFonts w:ascii="Helv" w:eastAsia="Times New Roman" w:hAnsi="Helv" w:cs="Helv"/>
      <w:b/>
      <w:color w:val="000000"/>
      <w:sz w:val="24"/>
      <w:szCs w:val="20"/>
      <w:lang w:val="es-ES" w:eastAsia="es-ES"/>
    </w:rPr>
  </w:style>
  <w:style w:type="character" w:customStyle="1" w:styleId="Ttulo5Car">
    <w:name w:val="Título 5 Car"/>
    <w:basedOn w:val="Fuentedeprrafopredeter"/>
    <w:link w:val="Ttulo5"/>
    <w:rsid w:val="004B70EC"/>
    <w:rPr>
      <w:rFonts w:ascii="Helv" w:eastAsia="Times New Roman" w:hAnsi="Helv" w:cs="Helv"/>
      <w:color w:val="000000"/>
      <w:sz w:val="24"/>
      <w:szCs w:val="20"/>
      <w:lang w:val="es-ES" w:eastAsia="es-ES"/>
    </w:rPr>
  </w:style>
  <w:style w:type="character" w:customStyle="1" w:styleId="Ttulo6Car">
    <w:name w:val="Título 6 Car"/>
    <w:basedOn w:val="Fuentedeprrafopredeter"/>
    <w:link w:val="Ttulo6"/>
    <w:rsid w:val="004B70EC"/>
    <w:rPr>
      <w:rFonts w:ascii="Verdana" w:eastAsia="Times New Roman" w:hAnsi="Verdana" w:cs="Helv"/>
      <w:b/>
      <w:snapToGrid w:val="0"/>
      <w:color w:val="000000"/>
      <w:sz w:val="20"/>
      <w:szCs w:val="20"/>
      <w:lang w:val="es-ES" w:eastAsia="es-ES"/>
    </w:rPr>
  </w:style>
  <w:style w:type="character" w:customStyle="1" w:styleId="Ttulo7Car">
    <w:name w:val="Título 7 Car"/>
    <w:basedOn w:val="Fuentedeprrafopredeter"/>
    <w:link w:val="Ttulo7"/>
    <w:rsid w:val="004B70EC"/>
    <w:rPr>
      <w:rFonts w:ascii="Helv" w:eastAsia="Times New Roman" w:hAnsi="Helv" w:cs="Helv"/>
      <w:b/>
      <w:color w:val="000000"/>
      <w:szCs w:val="20"/>
      <w:lang w:val="es-ES" w:eastAsia="es-ES"/>
    </w:rPr>
  </w:style>
  <w:style w:type="character" w:customStyle="1" w:styleId="Ttulo8Car">
    <w:name w:val="Título 8 Car"/>
    <w:basedOn w:val="Fuentedeprrafopredeter"/>
    <w:link w:val="Ttulo8"/>
    <w:rsid w:val="004B70EC"/>
    <w:rPr>
      <w:rFonts w:ascii="Helv" w:eastAsia="Times New Roman" w:hAnsi="Helv" w:cs="Helv"/>
      <w:b/>
      <w:color w:val="000000"/>
      <w:sz w:val="20"/>
      <w:szCs w:val="20"/>
      <w:lang w:val="es-ES" w:eastAsia="es-ES"/>
    </w:rPr>
  </w:style>
  <w:style w:type="character" w:customStyle="1" w:styleId="Ttulo9Car">
    <w:name w:val="Título 9 Car"/>
    <w:basedOn w:val="Fuentedeprrafopredeter"/>
    <w:link w:val="Ttulo9"/>
    <w:rsid w:val="004B70EC"/>
    <w:rPr>
      <w:rFonts w:ascii="Helv" w:eastAsia="Times New Roman" w:hAnsi="Helv" w:cs="Helv"/>
      <w:b/>
      <w:color w:val="000000"/>
      <w:szCs w:val="20"/>
      <w:lang w:val="es-ES" w:eastAsia="es-ES"/>
    </w:rPr>
  </w:style>
  <w:style w:type="paragraph" w:styleId="Textoindependiente2">
    <w:name w:val="Body Text 2"/>
    <w:basedOn w:val="Normal"/>
    <w:link w:val="Textoindependiente2Car"/>
    <w:rsid w:val="004B70EC"/>
    <w:pPr>
      <w:autoSpaceDE w:val="0"/>
      <w:autoSpaceDN w:val="0"/>
      <w:adjustRightInd w:val="0"/>
      <w:jc w:val="center"/>
    </w:pPr>
    <w:rPr>
      <w:rFonts w:ascii="Helv" w:hAnsi="Helv" w:cs="Helv"/>
      <w:b/>
      <w:color w:val="000000"/>
      <w:szCs w:val="20"/>
    </w:rPr>
  </w:style>
  <w:style w:type="character" w:customStyle="1" w:styleId="Textoindependiente2Car">
    <w:name w:val="Texto independiente 2 Car"/>
    <w:basedOn w:val="Fuentedeprrafopredeter"/>
    <w:link w:val="Textoindependiente2"/>
    <w:rsid w:val="004B70EC"/>
    <w:rPr>
      <w:rFonts w:ascii="Helv" w:eastAsia="Times New Roman" w:hAnsi="Helv" w:cs="Helv"/>
      <w:b/>
      <w:color w:val="000000"/>
      <w:sz w:val="24"/>
      <w:szCs w:val="20"/>
      <w:lang w:val="es-ES" w:eastAsia="es-ES"/>
    </w:rPr>
  </w:style>
  <w:style w:type="paragraph" w:styleId="Textodeglobo">
    <w:name w:val="Balloon Text"/>
    <w:basedOn w:val="Normal"/>
    <w:link w:val="TextodegloboCar"/>
    <w:unhideWhenUsed/>
    <w:rsid w:val="004B70EC"/>
    <w:rPr>
      <w:rFonts w:ascii="Segoe UI" w:eastAsiaTheme="minorHAnsi" w:hAnsi="Segoe UI" w:cs="Segoe UI"/>
      <w:sz w:val="18"/>
      <w:szCs w:val="18"/>
      <w:lang w:val="es-CO" w:eastAsia="en-US"/>
    </w:rPr>
  </w:style>
  <w:style w:type="character" w:customStyle="1" w:styleId="TextodegloboCar">
    <w:name w:val="Texto de globo Car"/>
    <w:basedOn w:val="Fuentedeprrafopredeter"/>
    <w:link w:val="Textodeglobo"/>
    <w:rsid w:val="004B70EC"/>
    <w:rPr>
      <w:rFonts w:ascii="Segoe UI" w:hAnsi="Segoe UI" w:cs="Segoe UI"/>
      <w:sz w:val="18"/>
      <w:szCs w:val="18"/>
    </w:rPr>
  </w:style>
  <w:style w:type="paragraph" w:styleId="Textoindependiente">
    <w:name w:val="Body Text"/>
    <w:basedOn w:val="Normal"/>
    <w:link w:val="TextoindependienteCar"/>
    <w:rsid w:val="004B70EC"/>
    <w:pPr>
      <w:autoSpaceDE w:val="0"/>
      <w:autoSpaceDN w:val="0"/>
      <w:adjustRightInd w:val="0"/>
    </w:pPr>
    <w:rPr>
      <w:rFonts w:ascii="Helv" w:hAnsi="Helv" w:cs="Helv"/>
      <w:color w:val="000000"/>
      <w:szCs w:val="20"/>
    </w:rPr>
  </w:style>
  <w:style w:type="character" w:customStyle="1" w:styleId="TextoindependienteCar">
    <w:name w:val="Texto independiente Car"/>
    <w:basedOn w:val="Fuentedeprrafopredeter"/>
    <w:link w:val="Textoindependiente"/>
    <w:rsid w:val="004B70EC"/>
    <w:rPr>
      <w:rFonts w:ascii="Helv" w:eastAsia="Times New Roman" w:hAnsi="Helv" w:cs="Helv"/>
      <w:color w:val="000000"/>
      <w:sz w:val="24"/>
      <w:szCs w:val="20"/>
      <w:lang w:val="es-ES" w:eastAsia="es-ES"/>
    </w:rPr>
  </w:style>
  <w:style w:type="paragraph" w:styleId="Textoindependiente3">
    <w:name w:val="Body Text 3"/>
    <w:basedOn w:val="Normal"/>
    <w:link w:val="Textoindependiente3Car"/>
    <w:rsid w:val="004B70EC"/>
    <w:pPr>
      <w:autoSpaceDE w:val="0"/>
      <w:autoSpaceDN w:val="0"/>
      <w:adjustRightInd w:val="0"/>
      <w:jc w:val="both"/>
    </w:pPr>
    <w:rPr>
      <w:rFonts w:ascii="Helv" w:hAnsi="Helv" w:cs="Helv"/>
      <w:color w:val="000000"/>
      <w:szCs w:val="20"/>
    </w:rPr>
  </w:style>
  <w:style w:type="character" w:customStyle="1" w:styleId="Textoindependiente3Car">
    <w:name w:val="Texto independiente 3 Car"/>
    <w:basedOn w:val="Fuentedeprrafopredeter"/>
    <w:link w:val="Textoindependiente3"/>
    <w:rsid w:val="004B70EC"/>
    <w:rPr>
      <w:rFonts w:ascii="Helv" w:eastAsia="Times New Roman" w:hAnsi="Helv" w:cs="Helv"/>
      <w:color w:val="000000"/>
      <w:sz w:val="24"/>
      <w:szCs w:val="20"/>
      <w:lang w:val="es-ES" w:eastAsia="es-ES"/>
    </w:rPr>
  </w:style>
  <w:style w:type="paragraph" w:styleId="Mapadeldocumento">
    <w:name w:val="Document Map"/>
    <w:basedOn w:val="Normal"/>
    <w:link w:val="MapadeldocumentoCar"/>
    <w:semiHidden/>
    <w:rsid w:val="004B70EC"/>
    <w:pPr>
      <w:shd w:val="clear" w:color="auto" w:fill="000080"/>
      <w:autoSpaceDE w:val="0"/>
      <w:autoSpaceDN w:val="0"/>
      <w:adjustRightInd w:val="0"/>
    </w:pPr>
    <w:rPr>
      <w:rFonts w:ascii="Helv" w:hAnsi="Helv" w:cs="Helv"/>
      <w:color w:val="000000"/>
      <w:sz w:val="20"/>
      <w:szCs w:val="20"/>
    </w:rPr>
  </w:style>
  <w:style w:type="character" w:customStyle="1" w:styleId="MapadeldocumentoCar">
    <w:name w:val="Mapa del documento Car"/>
    <w:basedOn w:val="Fuentedeprrafopredeter"/>
    <w:link w:val="Mapadeldocumento"/>
    <w:semiHidden/>
    <w:rsid w:val="004B70EC"/>
    <w:rPr>
      <w:rFonts w:ascii="Helv" w:eastAsia="Times New Roman" w:hAnsi="Helv" w:cs="Helv"/>
      <w:color w:val="000000"/>
      <w:sz w:val="20"/>
      <w:szCs w:val="20"/>
      <w:shd w:val="clear" w:color="auto" w:fill="000080"/>
      <w:lang w:val="es-ES" w:eastAsia="es-ES"/>
    </w:rPr>
  </w:style>
  <w:style w:type="paragraph" w:styleId="Encabezado">
    <w:name w:val="header"/>
    <w:basedOn w:val="Normal"/>
    <w:link w:val="EncabezadoCar"/>
    <w:rsid w:val="004B70EC"/>
    <w:pPr>
      <w:tabs>
        <w:tab w:val="center" w:pos="4252"/>
        <w:tab w:val="right" w:pos="8504"/>
      </w:tabs>
      <w:autoSpaceDE w:val="0"/>
      <w:autoSpaceDN w:val="0"/>
      <w:adjustRightInd w:val="0"/>
    </w:pPr>
    <w:rPr>
      <w:rFonts w:ascii="Helv" w:hAnsi="Helv" w:cs="Helv"/>
      <w:color w:val="000000"/>
      <w:sz w:val="20"/>
      <w:szCs w:val="20"/>
    </w:rPr>
  </w:style>
  <w:style w:type="character" w:customStyle="1" w:styleId="EncabezadoCar">
    <w:name w:val="Encabezado Car"/>
    <w:basedOn w:val="Fuentedeprrafopredeter"/>
    <w:link w:val="Encabezado"/>
    <w:rsid w:val="004B70EC"/>
    <w:rPr>
      <w:rFonts w:ascii="Helv" w:eastAsia="Times New Roman" w:hAnsi="Helv" w:cs="Helv"/>
      <w:color w:val="000000"/>
      <w:sz w:val="20"/>
      <w:szCs w:val="20"/>
      <w:lang w:val="es-ES" w:eastAsia="es-ES"/>
    </w:rPr>
  </w:style>
  <w:style w:type="paragraph" w:styleId="Piedepgina">
    <w:name w:val="footer"/>
    <w:basedOn w:val="Normal"/>
    <w:link w:val="PiedepginaCar"/>
    <w:uiPriority w:val="99"/>
    <w:rsid w:val="004B70EC"/>
    <w:pPr>
      <w:tabs>
        <w:tab w:val="center" w:pos="4252"/>
        <w:tab w:val="right" w:pos="8504"/>
      </w:tabs>
      <w:autoSpaceDE w:val="0"/>
      <w:autoSpaceDN w:val="0"/>
      <w:adjustRightInd w:val="0"/>
    </w:pPr>
    <w:rPr>
      <w:rFonts w:ascii="Helv" w:hAnsi="Helv" w:cs="Helv"/>
      <w:color w:val="000000"/>
      <w:sz w:val="20"/>
      <w:szCs w:val="20"/>
    </w:rPr>
  </w:style>
  <w:style w:type="character" w:customStyle="1" w:styleId="PiedepginaCar">
    <w:name w:val="Pie de página Car"/>
    <w:basedOn w:val="Fuentedeprrafopredeter"/>
    <w:link w:val="Piedepgina"/>
    <w:uiPriority w:val="99"/>
    <w:rsid w:val="004B70EC"/>
    <w:rPr>
      <w:rFonts w:ascii="Helv" w:eastAsia="Times New Roman" w:hAnsi="Helv" w:cs="Helv"/>
      <w:color w:val="000000"/>
      <w:sz w:val="20"/>
      <w:szCs w:val="20"/>
      <w:lang w:val="es-ES" w:eastAsia="es-ES"/>
    </w:rPr>
  </w:style>
  <w:style w:type="paragraph" w:customStyle="1" w:styleId="Membrete">
    <w:name w:val="Membrete"/>
    <w:rsid w:val="004B70EC"/>
    <w:pPr>
      <w:spacing w:after="0" w:line="240" w:lineRule="auto"/>
      <w:jc w:val="center"/>
    </w:pPr>
    <w:rPr>
      <w:rFonts w:ascii="Haettenschweiler" w:eastAsia="Times New Roman" w:hAnsi="Haettenschweiler" w:cs="Times New Roman"/>
      <w:b/>
      <w:spacing w:val="20"/>
      <w:sz w:val="24"/>
      <w:szCs w:val="20"/>
      <w:lang w:val="es-ES" w:eastAsia="es-ES"/>
    </w:rPr>
  </w:style>
  <w:style w:type="character" w:styleId="Nmerodepgina">
    <w:name w:val="page number"/>
    <w:basedOn w:val="Fuentedeprrafopredeter"/>
    <w:rsid w:val="004B70EC"/>
  </w:style>
  <w:style w:type="table" w:styleId="Tablaconcuadrcula">
    <w:name w:val="Table Grid"/>
    <w:basedOn w:val="Tablanormal"/>
    <w:uiPriority w:val="59"/>
    <w:rsid w:val="004B70EC"/>
    <w:pPr>
      <w:spacing w:after="0" w:line="240" w:lineRule="auto"/>
    </w:pPr>
    <w:rPr>
      <w:rFonts w:ascii="Times New Roman" w:eastAsia="Times New Roman" w:hAnsi="Times New Roman"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4B70EC"/>
    <w:pPr>
      <w:autoSpaceDE w:val="0"/>
      <w:autoSpaceDN w:val="0"/>
      <w:adjustRightInd w:val="0"/>
      <w:ind w:left="708"/>
    </w:pPr>
    <w:rPr>
      <w:rFonts w:ascii="Helv" w:hAnsi="Helv" w:cs="Helv"/>
      <w:color w:val="000000"/>
      <w:sz w:val="20"/>
      <w:szCs w:val="20"/>
    </w:rPr>
  </w:style>
  <w:style w:type="paragraph" w:customStyle="1" w:styleId="Default">
    <w:name w:val="Default"/>
    <w:rsid w:val="004B70EC"/>
    <w:pPr>
      <w:autoSpaceDE w:val="0"/>
      <w:autoSpaceDN w:val="0"/>
      <w:adjustRightInd w:val="0"/>
      <w:spacing w:after="0" w:line="240" w:lineRule="auto"/>
    </w:pPr>
    <w:rPr>
      <w:rFonts w:ascii="Verdana" w:eastAsia="Times New Roman" w:hAnsi="Verdana" w:cs="Verdana"/>
      <w:color w:val="000000"/>
      <w:sz w:val="24"/>
      <w:szCs w:val="24"/>
      <w:lang w:val="es-ES" w:eastAsia="es-ES"/>
    </w:rPr>
  </w:style>
  <w:style w:type="paragraph" w:styleId="NormalWeb">
    <w:name w:val="Normal (Web)"/>
    <w:basedOn w:val="Normal"/>
    <w:uiPriority w:val="99"/>
    <w:unhideWhenUsed/>
    <w:rsid w:val="004B70EC"/>
    <w:pPr>
      <w:autoSpaceDE w:val="0"/>
      <w:autoSpaceDN w:val="0"/>
      <w:adjustRightInd w:val="0"/>
      <w:spacing w:before="100" w:beforeAutospacing="1" w:after="100" w:afterAutospacing="1"/>
    </w:pPr>
    <w:rPr>
      <w:rFonts w:cs="Helv"/>
      <w:color w:val="000000"/>
    </w:rPr>
  </w:style>
  <w:style w:type="character" w:styleId="Hipervnculo">
    <w:name w:val="Hyperlink"/>
    <w:uiPriority w:val="99"/>
    <w:unhideWhenUsed/>
    <w:rsid w:val="004B70EC"/>
    <w:rPr>
      <w:color w:val="0000FF"/>
      <w:u w:val="single"/>
    </w:rPr>
  </w:style>
  <w:style w:type="character" w:styleId="Hipervnculovisitado">
    <w:name w:val="FollowedHyperlink"/>
    <w:uiPriority w:val="99"/>
    <w:unhideWhenUsed/>
    <w:rsid w:val="004B70EC"/>
    <w:rPr>
      <w:color w:val="800080"/>
      <w:u w:val="single"/>
    </w:rPr>
  </w:style>
  <w:style w:type="paragraph" w:styleId="Subttulo">
    <w:name w:val="Subtitle"/>
    <w:basedOn w:val="Normal"/>
    <w:next w:val="Normal"/>
    <w:link w:val="SubttuloCar"/>
    <w:qFormat/>
    <w:rsid w:val="004B70EC"/>
    <w:pPr>
      <w:autoSpaceDE w:val="0"/>
      <w:autoSpaceDN w:val="0"/>
      <w:adjustRightInd w:val="0"/>
      <w:spacing w:after="60"/>
      <w:jc w:val="center"/>
      <w:outlineLvl w:val="1"/>
    </w:pPr>
    <w:rPr>
      <w:rFonts w:ascii="Cambria" w:hAnsi="Cambria"/>
      <w:color w:val="000000"/>
    </w:rPr>
  </w:style>
  <w:style w:type="character" w:customStyle="1" w:styleId="SubttuloCar">
    <w:name w:val="Subtítulo Car"/>
    <w:basedOn w:val="Fuentedeprrafopredeter"/>
    <w:link w:val="Subttulo"/>
    <w:rsid w:val="004B70EC"/>
    <w:rPr>
      <w:rFonts w:ascii="Cambria" w:eastAsia="Times New Roman" w:hAnsi="Cambria" w:cs="Times New Roman"/>
      <w:color w:val="000000"/>
      <w:sz w:val="24"/>
      <w:szCs w:val="24"/>
      <w:lang w:val="es-ES" w:eastAsia="es-ES"/>
    </w:rPr>
  </w:style>
  <w:style w:type="character" w:customStyle="1" w:styleId="apple-style-span">
    <w:name w:val="apple-style-span"/>
    <w:rsid w:val="004B70EC"/>
  </w:style>
  <w:style w:type="table" w:styleId="Sombreadomedio1-nfasis3">
    <w:name w:val="Medium Shading 1 Accent 3"/>
    <w:basedOn w:val="Tablanormal"/>
    <w:uiPriority w:val="63"/>
    <w:rsid w:val="004B70EC"/>
    <w:pPr>
      <w:spacing w:after="0" w:line="240" w:lineRule="auto"/>
    </w:pPr>
    <w:rPr>
      <w:rFonts w:ascii="Times New Roman" w:eastAsia="Times New Roman" w:hAnsi="Times New Roman" w:cs="Times New Roman"/>
      <w:sz w:val="20"/>
      <w:szCs w:val="20"/>
      <w:lang w:eastAsia="es-C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uadrculamedia2-nfasis3">
    <w:name w:val="Medium Grid 2 Accent 3"/>
    <w:basedOn w:val="Tablanormal"/>
    <w:uiPriority w:val="68"/>
    <w:rsid w:val="004B70EC"/>
    <w:pPr>
      <w:spacing w:after="0" w:line="240" w:lineRule="auto"/>
    </w:pPr>
    <w:rPr>
      <w:rFonts w:ascii="Cambria" w:eastAsia="Times New Roman" w:hAnsi="Cambria" w:cs="Times New Roman"/>
      <w:color w:val="000000"/>
      <w:sz w:val="20"/>
      <w:szCs w:val="20"/>
      <w:lang w:eastAsia="es-C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paragraph" w:customStyle="1" w:styleId="xl63">
    <w:name w:val="xl63"/>
    <w:basedOn w:val="Normal"/>
    <w:rsid w:val="004B70EC"/>
    <w:pPr>
      <w:pBdr>
        <w:bottom w:val="single" w:sz="8" w:space="0" w:color="auto"/>
        <w:right w:val="single" w:sz="8" w:space="0" w:color="auto"/>
      </w:pBdr>
      <w:shd w:val="clear" w:color="000000" w:fill="C5D9F1"/>
      <w:spacing w:before="100" w:beforeAutospacing="1" w:after="100" w:afterAutospacing="1"/>
      <w:jc w:val="center"/>
      <w:textAlignment w:val="center"/>
    </w:pPr>
    <w:rPr>
      <w:rFonts w:ascii="Arial" w:hAnsi="Arial" w:cs="Arial"/>
      <w:b/>
      <w:bCs/>
      <w:color w:val="000000"/>
      <w:sz w:val="18"/>
      <w:szCs w:val="18"/>
    </w:rPr>
  </w:style>
  <w:style w:type="paragraph" w:customStyle="1" w:styleId="xl64">
    <w:name w:val="xl64"/>
    <w:basedOn w:val="Normal"/>
    <w:rsid w:val="004B70EC"/>
    <w:pPr>
      <w:pBdr>
        <w:bottom w:val="single" w:sz="8" w:space="0" w:color="auto"/>
        <w:right w:val="single" w:sz="8" w:space="0" w:color="auto"/>
      </w:pBdr>
      <w:spacing w:before="100" w:beforeAutospacing="1" w:after="100" w:afterAutospacing="1"/>
      <w:jc w:val="center"/>
      <w:textAlignment w:val="center"/>
    </w:pPr>
    <w:rPr>
      <w:rFonts w:ascii="Arial" w:hAnsi="Arial" w:cs="Arial"/>
      <w:color w:val="000000"/>
      <w:sz w:val="18"/>
      <w:szCs w:val="18"/>
    </w:rPr>
  </w:style>
  <w:style w:type="paragraph" w:customStyle="1" w:styleId="xl65">
    <w:name w:val="xl65"/>
    <w:basedOn w:val="Normal"/>
    <w:rsid w:val="004B70EC"/>
    <w:pPr>
      <w:pBdr>
        <w:bottom w:val="single" w:sz="8" w:space="0" w:color="auto"/>
        <w:right w:val="single" w:sz="8" w:space="0" w:color="auto"/>
      </w:pBdr>
      <w:spacing w:before="100" w:beforeAutospacing="1" w:after="100" w:afterAutospacing="1"/>
      <w:jc w:val="center"/>
      <w:textAlignment w:val="center"/>
    </w:pPr>
    <w:rPr>
      <w:rFonts w:ascii="Arial" w:hAnsi="Arial" w:cs="Arial"/>
      <w:color w:val="000000"/>
      <w:sz w:val="18"/>
      <w:szCs w:val="18"/>
    </w:rPr>
  </w:style>
  <w:style w:type="paragraph" w:customStyle="1" w:styleId="xl66">
    <w:name w:val="xl66"/>
    <w:basedOn w:val="Normal"/>
    <w:rsid w:val="004B70EC"/>
    <w:pPr>
      <w:pBdr>
        <w:bottom w:val="single" w:sz="8" w:space="0" w:color="auto"/>
        <w:right w:val="single" w:sz="8" w:space="0" w:color="auto"/>
      </w:pBdr>
      <w:spacing w:before="100" w:beforeAutospacing="1" w:after="100" w:afterAutospacing="1"/>
      <w:jc w:val="right"/>
      <w:textAlignment w:val="center"/>
    </w:pPr>
    <w:rPr>
      <w:rFonts w:ascii="Arial" w:hAnsi="Arial" w:cs="Arial"/>
      <w:color w:val="000000"/>
      <w:sz w:val="18"/>
      <w:szCs w:val="18"/>
    </w:rPr>
  </w:style>
  <w:style w:type="paragraph" w:customStyle="1" w:styleId="xl67">
    <w:name w:val="xl67"/>
    <w:basedOn w:val="Normal"/>
    <w:rsid w:val="004B70EC"/>
    <w:pPr>
      <w:pBdr>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8"/>
      <w:szCs w:val="18"/>
    </w:rPr>
  </w:style>
  <w:style w:type="paragraph" w:customStyle="1" w:styleId="xl68">
    <w:name w:val="xl68"/>
    <w:basedOn w:val="Normal"/>
    <w:rsid w:val="004B70EC"/>
    <w:pPr>
      <w:pBdr>
        <w:bottom w:val="single" w:sz="8" w:space="0" w:color="auto"/>
        <w:right w:val="single" w:sz="8" w:space="0" w:color="auto"/>
      </w:pBdr>
      <w:shd w:val="clear" w:color="000000" w:fill="92D050"/>
      <w:spacing w:before="100" w:beforeAutospacing="1" w:after="100" w:afterAutospacing="1"/>
      <w:jc w:val="center"/>
      <w:textAlignment w:val="center"/>
    </w:pPr>
    <w:rPr>
      <w:rFonts w:ascii="Arial" w:hAnsi="Arial" w:cs="Arial"/>
      <w:color w:val="000000"/>
      <w:sz w:val="20"/>
      <w:szCs w:val="20"/>
    </w:rPr>
  </w:style>
  <w:style w:type="paragraph" w:customStyle="1" w:styleId="xl69">
    <w:name w:val="xl69"/>
    <w:basedOn w:val="Normal"/>
    <w:rsid w:val="004B70EC"/>
    <w:pPr>
      <w:pBdr>
        <w:bottom w:val="single" w:sz="8" w:space="0" w:color="auto"/>
        <w:right w:val="single" w:sz="8" w:space="0" w:color="auto"/>
      </w:pBdr>
      <w:shd w:val="clear" w:color="000000" w:fill="92D050"/>
      <w:spacing w:before="100" w:beforeAutospacing="1" w:after="100" w:afterAutospacing="1"/>
      <w:jc w:val="center"/>
      <w:textAlignment w:val="center"/>
    </w:pPr>
    <w:rPr>
      <w:rFonts w:ascii="Arial" w:hAnsi="Arial" w:cs="Arial"/>
      <w:color w:val="000000"/>
      <w:sz w:val="18"/>
      <w:szCs w:val="18"/>
    </w:rPr>
  </w:style>
  <w:style w:type="paragraph" w:customStyle="1" w:styleId="xl70">
    <w:name w:val="xl70"/>
    <w:basedOn w:val="Normal"/>
    <w:rsid w:val="004B70EC"/>
    <w:pPr>
      <w:pBdr>
        <w:left w:val="single" w:sz="8" w:space="0" w:color="auto"/>
        <w:bottom w:val="single" w:sz="8" w:space="0" w:color="auto"/>
        <w:right w:val="single" w:sz="8" w:space="0" w:color="auto"/>
      </w:pBdr>
      <w:shd w:val="clear" w:color="000000" w:fill="C5D9F1"/>
      <w:spacing w:before="100" w:beforeAutospacing="1" w:after="100" w:afterAutospacing="1"/>
      <w:textAlignment w:val="center"/>
    </w:pPr>
    <w:rPr>
      <w:rFonts w:ascii="Arial" w:hAnsi="Arial" w:cs="Arial"/>
      <w:b/>
      <w:bCs/>
      <w:color w:val="333333"/>
      <w:sz w:val="18"/>
      <w:szCs w:val="18"/>
    </w:rPr>
  </w:style>
  <w:style w:type="paragraph" w:customStyle="1" w:styleId="xl71">
    <w:name w:val="xl71"/>
    <w:basedOn w:val="Normal"/>
    <w:rsid w:val="004B70EC"/>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color w:val="333333"/>
      <w:sz w:val="18"/>
      <w:szCs w:val="18"/>
    </w:rPr>
  </w:style>
  <w:style w:type="paragraph" w:customStyle="1" w:styleId="xl72">
    <w:name w:val="xl72"/>
    <w:basedOn w:val="Normal"/>
    <w:rsid w:val="004B70EC"/>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sz w:val="18"/>
      <w:szCs w:val="18"/>
    </w:rPr>
  </w:style>
  <w:style w:type="paragraph" w:customStyle="1" w:styleId="xl73">
    <w:name w:val="xl73"/>
    <w:basedOn w:val="Normal"/>
    <w:rsid w:val="004B70EC"/>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color w:val="000000"/>
      <w:sz w:val="18"/>
      <w:szCs w:val="18"/>
    </w:rPr>
  </w:style>
  <w:style w:type="paragraph" w:customStyle="1" w:styleId="xl74">
    <w:name w:val="xl74"/>
    <w:basedOn w:val="Normal"/>
    <w:rsid w:val="004B70EC"/>
    <w:pPr>
      <w:pBdr>
        <w:left w:val="single" w:sz="8" w:space="0" w:color="auto"/>
        <w:bottom w:val="single" w:sz="8" w:space="0" w:color="auto"/>
        <w:right w:val="single" w:sz="8" w:space="0" w:color="auto"/>
      </w:pBdr>
      <w:shd w:val="clear" w:color="000000" w:fill="C5D9F1"/>
      <w:spacing w:before="100" w:beforeAutospacing="1" w:after="100" w:afterAutospacing="1"/>
      <w:textAlignment w:val="center"/>
    </w:pPr>
    <w:rPr>
      <w:rFonts w:ascii="Arial" w:hAnsi="Arial" w:cs="Arial"/>
      <w:b/>
      <w:bCs/>
      <w:color w:val="000000"/>
      <w:sz w:val="18"/>
      <w:szCs w:val="18"/>
    </w:rPr>
  </w:style>
  <w:style w:type="paragraph" w:customStyle="1" w:styleId="xl75">
    <w:name w:val="xl75"/>
    <w:basedOn w:val="Normal"/>
    <w:rsid w:val="004B70EC"/>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b/>
      <w:bCs/>
      <w:color w:val="333333"/>
      <w:sz w:val="18"/>
      <w:szCs w:val="18"/>
    </w:rPr>
  </w:style>
  <w:style w:type="paragraph" w:customStyle="1" w:styleId="xl76">
    <w:name w:val="xl76"/>
    <w:basedOn w:val="Normal"/>
    <w:rsid w:val="004B70EC"/>
    <w:pPr>
      <w:pBdr>
        <w:left w:val="single" w:sz="8" w:space="0" w:color="auto"/>
        <w:bottom w:val="single" w:sz="8" w:space="0" w:color="auto"/>
        <w:right w:val="single" w:sz="8" w:space="0" w:color="auto"/>
      </w:pBdr>
      <w:shd w:val="clear" w:color="000000" w:fill="C5D9F1"/>
      <w:spacing w:before="100" w:beforeAutospacing="1" w:after="100" w:afterAutospacing="1"/>
      <w:jc w:val="center"/>
      <w:textAlignment w:val="center"/>
    </w:pPr>
    <w:rPr>
      <w:rFonts w:ascii="Arial" w:hAnsi="Arial" w:cs="Arial"/>
      <w:b/>
      <w:bCs/>
      <w:color w:val="000000"/>
      <w:sz w:val="18"/>
      <w:szCs w:val="18"/>
    </w:rPr>
  </w:style>
  <w:style w:type="paragraph" w:customStyle="1" w:styleId="xl77">
    <w:name w:val="xl77"/>
    <w:basedOn w:val="Normal"/>
    <w:rsid w:val="004B70EC"/>
    <w:pPr>
      <w:pBdr>
        <w:top w:val="single" w:sz="8" w:space="0" w:color="auto"/>
        <w:left w:val="single" w:sz="8" w:space="0" w:color="auto"/>
        <w:right w:val="single" w:sz="8" w:space="0" w:color="auto"/>
      </w:pBdr>
      <w:shd w:val="clear" w:color="000000" w:fill="92D050"/>
      <w:spacing w:before="100" w:beforeAutospacing="1" w:after="100" w:afterAutospacing="1"/>
      <w:jc w:val="center"/>
      <w:textAlignment w:val="center"/>
    </w:pPr>
    <w:rPr>
      <w:rFonts w:ascii="Arial" w:hAnsi="Arial" w:cs="Arial"/>
      <w:b/>
      <w:bCs/>
      <w:color w:val="000000"/>
      <w:sz w:val="20"/>
      <w:szCs w:val="20"/>
    </w:rPr>
  </w:style>
  <w:style w:type="paragraph" w:customStyle="1" w:styleId="xl78">
    <w:name w:val="xl78"/>
    <w:basedOn w:val="Normal"/>
    <w:rsid w:val="004B70EC"/>
    <w:pPr>
      <w:pBdr>
        <w:left w:val="single" w:sz="8" w:space="0" w:color="auto"/>
        <w:bottom w:val="single" w:sz="8" w:space="0" w:color="000000"/>
        <w:right w:val="single" w:sz="8" w:space="0" w:color="auto"/>
      </w:pBdr>
      <w:shd w:val="clear" w:color="000000" w:fill="92D050"/>
      <w:spacing w:before="100" w:beforeAutospacing="1" w:after="100" w:afterAutospacing="1"/>
      <w:jc w:val="center"/>
      <w:textAlignment w:val="center"/>
    </w:pPr>
    <w:rPr>
      <w:rFonts w:ascii="Arial" w:hAnsi="Arial" w:cs="Arial"/>
      <w:b/>
      <w:bCs/>
      <w:color w:val="000000"/>
      <w:sz w:val="20"/>
      <w:szCs w:val="20"/>
    </w:rPr>
  </w:style>
  <w:style w:type="paragraph" w:customStyle="1" w:styleId="xl79">
    <w:name w:val="xl79"/>
    <w:basedOn w:val="Normal"/>
    <w:rsid w:val="004B70EC"/>
    <w:pPr>
      <w:pBdr>
        <w:top w:val="single" w:sz="8" w:space="0" w:color="auto"/>
        <w:bottom w:val="single" w:sz="8" w:space="0" w:color="auto"/>
      </w:pBdr>
      <w:shd w:val="clear" w:color="000000" w:fill="92D050"/>
      <w:spacing w:before="100" w:beforeAutospacing="1" w:after="100" w:afterAutospacing="1"/>
      <w:jc w:val="center"/>
      <w:textAlignment w:val="center"/>
    </w:pPr>
    <w:rPr>
      <w:rFonts w:ascii="Arial" w:hAnsi="Arial" w:cs="Arial"/>
      <w:b/>
      <w:bCs/>
      <w:color w:val="000000"/>
      <w:sz w:val="20"/>
      <w:szCs w:val="20"/>
    </w:rPr>
  </w:style>
  <w:style w:type="paragraph" w:customStyle="1" w:styleId="xl80">
    <w:name w:val="xl80"/>
    <w:basedOn w:val="Normal"/>
    <w:rsid w:val="004B70EC"/>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hAnsi="Arial" w:cs="Arial"/>
      <w:b/>
      <w:bCs/>
      <w:color w:val="000000"/>
      <w:sz w:val="20"/>
      <w:szCs w:val="20"/>
    </w:rPr>
  </w:style>
  <w:style w:type="paragraph" w:customStyle="1" w:styleId="xl81">
    <w:name w:val="xl81"/>
    <w:basedOn w:val="Normal"/>
    <w:rsid w:val="004B70EC"/>
    <w:pPr>
      <w:pBdr>
        <w:top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hAnsi="Arial" w:cs="Arial"/>
      <w:b/>
      <w:bCs/>
      <w:color w:val="000000"/>
      <w:sz w:val="20"/>
      <w:szCs w:val="20"/>
    </w:rPr>
  </w:style>
  <w:style w:type="paragraph" w:customStyle="1" w:styleId="xl82">
    <w:name w:val="xl82"/>
    <w:basedOn w:val="Normal"/>
    <w:rsid w:val="004B70EC"/>
    <w:pPr>
      <w:pBdr>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hAnsi="Arial" w:cs="Arial"/>
      <w:b/>
      <w:bCs/>
      <w:color w:val="000000"/>
      <w:sz w:val="20"/>
      <w:szCs w:val="20"/>
    </w:rPr>
  </w:style>
  <w:style w:type="paragraph" w:customStyle="1" w:styleId="xl83">
    <w:name w:val="xl83"/>
    <w:basedOn w:val="Normal"/>
    <w:rsid w:val="004B70EC"/>
    <w:pPr>
      <w:pBdr>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8"/>
      <w:szCs w:val="18"/>
    </w:rPr>
  </w:style>
  <w:style w:type="character" w:styleId="Refdecomentario">
    <w:name w:val="annotation reference"/>
    <w:uiPriority w:val="99"/>
    <w:unhideWhenUsed/>
    <w:rsid w:val="004B70EC"/>
    <w:rPr>
      <w:sz w:val="16"/>
      <w:szCs w:val="16"/>
    </w:rPr>
  </w:style>
  <w:style w:type="paragraph" w:styleId="Textocomentario">
    <w:name w:val="annotation text"/>
    <w:basedOn w:val="Normal"/>
    <w:link w:val="TextocomentarioCar"/>
    <w:uiPriority w:val="99"/>
    <w:unhideWhenUsed/>
    <w:rsid w:val="004B70EC"/>
    <w:pPr>
      <w:spacing w:after="200"/>
    </w:pPr>
    <w:rPr>
      <w:rFonts w:ascii="Calibri" w:eastAsia="Calibri" w:hAnsi="Calibri"/>
      <w:sz w:val="20"/>
      <w:szCs w:val="20"/>
      <w:lang w:val="es-CO" w:eastAsia="en-US"/>
    </w:rPr>
  </w:style>
  <w:style w:type="character" w:customStyle="1" w:styleId="TextocomentarioCar">
    <w:name w:val="Texto comentario Car"/>
    <w:basedOn w:val="Fuentedeprrafopredeter"/>
    <w:link w:val="Textocomentario"/>
    <w:uiPriority w:val="99"/>
    <w:rsid w:val="004B70EC"/>
    <w:rPr>
      <w:rFonts w:ascii="Calibri" w:eastAsia="Calibri" w:hAnsi="Calibri" w:cs="Times New Roman"/>
      <w:sz w:val="20"/>
      <w:szCs w:val="20"/>
    </w:rPr>
  </w:style>
  <w:style w:type="paragraph" w:styleId="Revisin">
    <w:name w:val="Revision"/>
    <w:hidden/>
    <w:uiPriority w:val="99"/>
    <w:semiHidden/>
    <w:rsid w:val="004B70EC"/>
    <w:pPr>
      <w:spacing w:after="0" w:line="240" w:lineRule="auto"/>
    </w:pPr>
    <w:rPr>
      <w:rFonts w:ascii="Helv" w:eastAsia="Times New Roman" w:hAnsi="Helv" w:cs="Helv"/>
      <w:color w:val="000000"/>
      <w:sz w:val="20"/>
      <w:szCs w:val="20"/>
      <w:lang w:val="es-ES" w:eastAsia="es-ES"/>
    </w:rPr>
  </w:style>
  <w:style w:type="paragraph" w:styleId="Asuntodelcomentario">
    <w:name w:val="annotation subject"/>
    <w:basedOn w:val="Textocomentario"/>
    <w:next w:val="Textocomentario"/>
    <w:link w:val="AsuntodelcomentarioCar"/>
    <w:rsid w:val="004B70EC"/>
    <w:pPr>
      <w:autoSpaceDE w:val="0"/>
      <w:autoSpaceDN w:val="0"/>
      <w:adjustRightInd w:val="0"/>
      <w:spacing w:after="0"/>
    </w:pPr>
    <w:rPr>
      <w:rFonts w:ascii="Helv" w:eastAsia="Times New Roman" w:hAnsi="Helv" w:cs="Helv"/>
      <w:b/>
      <w:bCs/>
      <w:color w:val="000000"/>
      <w:lang w:val="es-ES" w:eastAsia="es-ES"/>
    </w:rPr>
  </w:style>
  <w:style w:type="character" w:customStyle="1" w:styleId="AsuntodelcomentarioCar">
    <w:name w:val="Asunto del comentario Car"/>
    <w:basedOn w:val="TextocomentarioCar"/>
    <w:link w:val="Asuntodelcomentario"/>
    <w:rsid w:val="004B70EC"/>
    <w:rPr>
      <w:rFonts w:ascii="Helv" w:eastAsia="Times New Roman" w:hAnsi="Helv" w:cs="Helv"/>
      <w:b/>
      <w:bCs/>
      <w:color w:val="000000"/>
      <w:sz w:val="20"/>
      <w:szCs w:val="20"/>
      <w:lang w:val="es-ES" w:eastAsia="es-ES"/>
    </w:rPr>
  </w:style>
  <w:style w:type="paragraph" w:styleId="Textonotapie">
    <w:name w:val="footnote text"/>
    <w:basedOn w:val="Normal"/>
    <w:link w:val="TextonotapieCar"/>
    <w:uiPriority w:val="99"/>
    <w:unhideWhenUsed/>
    <w:rsid w:val="004B70EC"/>
    <w:pPr>
      <w:spacing w:after="200" w:line="276" w:lineRule="auto"/>
    </w:pPr>
    <w:rPr>
      <w:rFonts w:ascii="Calibri" w:eastAsia="Calibri" w:hAnsi="Calibri"/>
      <w:sz w:val="20"/>
      <w:szCs w:val="20"/>
      <w:lang w:eastAsia="en-US"/>
    </w:rPr>
  </w:style>
  <w:style w:type="character" w:customStyle="1" w:styleId="TextonotapieCar">
    <w:name w:val="Texto nota pie Car"/>
    <w:basedOn w:val="Fuentedeprrafopredeter"/>
    <w:link w:val="Textonotapie"/>
    <w:uiPriority w:val="99"/>
    <w:rsid w:val="004B70EC"/>
    <w:rPr>
      <w:rFonts w:ascii="Calibri" w:eastAsia="Calibri" w:hAnsi="Calibri" w:cs="Times New Roman"/>
      <w:sz w:val="20"/>
      <w:szCs w:val="20"/>
      <w:lang w:val="es-ES"/>
    </w:rPr>
  </w:style>
  <w:style w:type="character" w:styleId="Refdenotaalpie">
    <w:name w:val="footnote reference"/>
    <w:uiPriority w:val="99"/>
    <w:unhideWhenUsed/>
    <w:rsid w:val="004B70EC"/>
    <w:rPr>
      <w:vertAlign w:val="superscript"/>
    </w:rPr>
  </w:style>
  <w:style w:type="paragraph" w:customStyle="1" w:styleId="TextoCorrido">
    <w:name w:val="Texto Corrido"/>
    <w:basedOn w:val="Normal"/>
    <w:uiPriority w:val="99"/>
    <w:rsid w:val="004B70EC"/>
    <w:pPr>
      <w:autoSpaceDE w:val="0"/>
      <w:autoSpaceDN w:val="0"/>
      <w:adjustRightInd w:val="0"/>
      <w:spacing w:before="57" w:line="240" w:lineRule="atLeast"/>
      <w:ind w:firstLine="170"/>
      <w:jc w:val="both"/>
      <w:textAlignment w:val="center"/>
    </w:pPr>
    <w:rPr>
      <w:rFonts w:ascii="Quiroga Serif Pro" w:eastAsia="Calibri" w:hAnsi="Quiroga Serif Pro" w:cs="Quiroga Serif Pro"/>
      <w:color w:val="000000"/>
      <w:sz w:val="21"/>
      <w:szCs w:val="21"/>
      <w:lang w:val="es-ES_tradnl" w:eastAsia="en-US"/>
    </w:rPr>
  </w:style>
  <w:style w:type="character" w:customStyle="1" w:styleId="m-8642555155183690320gmail-msodel">
    <w:name w:val="m_-8642555155183690320gmail-msodel"/>
    <w:rsid w:val="004B70EC"/>
  </w:style>
  <w:style w:type="paragraph" w:customStyle="1" w:styleId="xl84">
    <w:name w:val="xl84"/>
    <w:basedOn w:val="Normal"/>
    <w:rsid w:val="004B70EC"/>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cs="Arial"/>
      <w:b/>
      <w:bCs/>
      <w:color w:val="333333"/>
      <w:sz w:val="16"/>
      <w:szCs w:val="16"/>
    </w:rPr>
  </w:style>
  <w:style w:type="paragraph" w:customStyle="1" w:styleId="xl85">
    <w:name w:val="xl85"/>
    <w:basedOn w:val="Normal"/>
    <w:rsid w:val="004B70EC"/>
    <w:pPr>
      <w:pBdr>
        <w:left w:val="single" w:sz="8" w:space="0" w:color="auto"/>
        <w:bottom w:val="single" w:sz="8" w:space="0" w:color="auto"/>
        <w:right w:val="single" w:sz="8" w:space="0" w:color="auto"/>
      </w:pBdr>
      <w:shd w:val="clear" w:color="000000" w:fill="70AD47"/>
      <w:spacing w:before="100" w:beforeAutospacing="1" w:after="100" w:afterAutospacing="1"/>
      <w:jc w:val="center"/>
      <w:textAlignment w:val="center"/>
    </w:pPr>
    <w:rPr>
      <w:rFonts w:ascii="Arial" w:hAnsi="Arial" w:cs="Arial"/>
      <w:b/>
      <w:bCs/>
      <w:color w:val="000000"/>
      <w:sz w:val="16"/>
      <w:szCs w:val="16"/>
    </w:rPr>
  </w:style>
  <w:style w:type="paragraph" w:customStyle="1" w:styleId="xl86">
    <w:name w:val="xl86"/>
    <w:basedOn w:val="Normal"/>
    <w:rsid w:val="004B70EC"/>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paragraph" w:customStyle="1" w:styleId="xl87">
    <w:name w:val="xl87"/>
    <w:basedOn w:val="Normal"/>
    <w:rsid w:val="004B70EC"/>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88">
    <w:name w:val="xl88"/>
    <w:basedOn w:val="Normal"/>
    <w:rsid w:val="004B70EC"/>
    <w:pPr>
      <w:pBdr>
        <w:top w:val="single" w:sz="8" w:space="0" w:color="auto"/>
        <w:left w:val="single" w:sz="8" w:space="0" w:color="auto"/>
        <w:right w:val="single" w:sz="8" w:space="0" w:color="auto"/>
      </w:pBdr>
      <w:shd w:val="clear" w:color="000000" w:fill="92D050"/>
      <w:spacing w:before="100" w:beforeAutospacing="1" w:after="100" w:afterAutospacing="1"/>
      <w:textAlignment w:val="center"/>
    </w:pPr>
    <w:rPr>
      <w:rFonts w:ascii="Arial" w:hAnsi="Arial" w:cs="Arial"/>
      <w:b/>
      <w:bCs/>
      <w:color w:val="333333"/>
      <w:sz w:val="16"/>
      <w:szCs w:val="16"/>
    </w:rPr>
  </w:style>
  <w:style w:type="paragraph" w:customStyle="1" w:styleId="xl89">
    <w:name w:val="xl89"/>
    <w:basedOn w:val="Normal"/>
    <w:rsid w:val="004B70EC"/>
    <w:pPr>
      <w:pBdr>
        <w:left w:val="single" w:sz="8" w:space="0" w:color="auto"/>
        <w:bottom w:val="single" w:sz="8" w:space="0" w:color="000000"/>
        <w:right w:val="single" w:sz="8" w:space="0" w:color="auto"/>
      </w:pBdr>
      <w:shd w:val="clear" w:color="000000" w:fill="92D050"/>
      <w:spacing w:before="100" w:beforeAutospacing="1" w:after="100" w:afterAutospacing="1"/>
      <w:textAlignment w:val="center"/>
    </w:pPr>
    <w:rPr>
      <w:rFonts w:ascii="Arial" w:hAnsi="Arial" w:cs="Arial"/>
      <w:b/>
      <w:bCs/>
      <w:color w:val="333333"/>
      <w:sz w:val="16"/>
      <w:szCs w:val="16"/>
    </w:rPr>
  </w:style>
  <w:style w:type="paragraph" w:customStyle="1" w:styleId="xl90">
    <w:name w:val="xl90"/>
    <w:basedOn w:val="Normal"/>
    <w:rsid w:val="004B70EC"/>
    <w:pPr>
      <w:pBdr>
        <w:top w:val="single" w:sz="8" w:space="0" w:color="auto"/>
        <w:left w:val="single" w:sz="8" w:space="0" w:color="auto"/>
        <w:bottom w:val="single" w:sz="8" w:space="0" w:color="auto"/>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paragraph" w:customStyle="1" w:styleId="xl91">
    <w:name w:val="xl91"/>
    <w:basedOn w:val="Normal"/>
    <w:rsid w:val="004B70EC"/>
    <w:pPr>
      <w:pBdr>
        <w:top w:val="single" w:sz="8" w:space="0" w:color="auto"/>
        <w:bottom w:val="single" w:sz="8" w:space="0" w:color="auto"/>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paragraph" w:customStyle="1" w:styleId="xl92">
    <w:name w:val="xl92"/>
    <w:basedOn w:val="Normal"/>
    <w:rsid w:val="004B70EC"/>
    <w:pPr>
      <w:pBdr>
        <w:top w:val="single" w:sz="8" w:space="0" w:color="auto"/>
        <w:bottom w:val="single" w:sz="8" w:space="0" w:color="auto"/>
        <w:right w:val="single" w:sz="8" w:space="0" w:color="000000"/>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paragraph" w:customStyle="1" w:styleId="xl93">
    <w:name w:val="xl93"/>
    <w:basedOn w:val="Normal"/>
    <w:rsid w:val="004B70EC"/>
    <w:pPr>
      <w:pBdr>
        <w:top w:val="single" w:sz="8" w:space="0" w:color="auto"/>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paragraph" w:customStyle="1" w:styleId="xl94">
    <w:name w:val="xl94"/>
    <w:basedOn w:val="Normal"/>
    <w:rsid w:val="004B70EC"/>
    <w:pPr>
      <w:pBdr>
        <w:bottom w:val="single" w:sz="8" w:space="0" w:color="000000"/>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paragraph" w:customStyle="1" w:styleId="xl95">
    <w:name w:val="xl95"/>
    <w:basedOn w:val="Normal"/>
    <w:rsid w:val="004B70EC"/>
    <w:pPr>
      <w:pBdr>
        <w:top w:val="single" w:sz="8" w:space="0" w:color="auto"/>
        <w:left w:val="single" w:sz="8" w:space="0" w:color="auto"/>
        <w:right w:val="single" w:sz="8" w:space="0" w:color="auto"/>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paragraph" w:customStyle="1" w:styleId="xl96">
    <w:name w:val="xl96"/>
    <w:basedOn w:val="Normal"/>
    <w:rsid w:val="004B70EC"/>
    <w:pPr>
      <w:pBdr>
        <w:left w:val="single" w:sz="8" w:space="0" w:color="auto"/>
        <w:bottom w:val="single" w:sz="8" w:space="0" w:color="000000"/>
        <w:right w:val="single" w:sz="8" w:space="0" w:color="auto"/>
      </w:pBdr>
      <w:shd w:val="clear" w:color="000000" w:fill="92D050"/>
      <w:spacing w:before="100" w:beforeAutospacing="1" w:after="100" w:afterAutospacing="1"/>
      <w:jc w:val="center"/>
      <w:textAlignment w:val="center"/>
    </w:pPr>
    <w:rPr>
      <w:rFonts w:ascii="Arial" w:hAnsi="Arial" w:cs="Arial"/>
      <w:b/>
      <w:bCs/>
      <w:color w:val="333333"/>
      <w:sz w:val="16"/>
      <w:szCs w:val="16"/>
    </w:rPr>
  </w:style>
  <w:style w:type="character" w:customStyle="1" w:styleId="PrrafodelistaCar">
    <w:name w:val="Párrafo de lista Car"/>
    <w:basedOn w:val="Fuentedeprrafopredeter"/>
    <w:link w:val="Prrafodelista"/>
    <w:uiPriority w:val="34"/>
    <w:locked/>
    <w:rsid w:val="004B70EC"/>
    <w:rPr>
      <w:rFonts w:ascii="Helv" w:eastAsia="Times New Roman" w:hAnsi="Helv" w:cs="Helv"/>
      <w:color w:val="000000"/>
      <w:sz w:val="20"/>
      <w:szCs w:val="20"/>
      <w:lang w:val="es-ES" w:eastAsia="es-ES"/>
    </w:rPr>
  </w:style>
  <w:style w:type="character" w:customStyle="1" w:styleId="figurasCar">
    <w:name w:val="figuras Car"/>
    <w:basedOn w:val="Fuentedeprrafopredeter"/>
    <w:link w:val="figuras"/>
    <w:locked/>
    <w:rsid w:val="004B70EC"/>
    <w:rPr>
      <w:rFonts w:ascii="Times New Roman" w:hAnsi="Times New Roman" w:cs="Times New Roman"/>
      <w:sz w:val="24"/>
      <w:szCs w:val="24"/>
      <w:lang w:eastAsia="es-CO"/>
    </w:rPr>
  </w:style>
  <w:style w:type="paragraph" w:customStyle="1" w:styleId="figuras">
    <w:name w:val="figuras"/>
    <w:basedOn w:val="Normal"/>
    <w:link w:val="figurasCar"/>
    <w:qFormat/>
    <w:rsid w:val="004B70EC"/>
    <w:pPr>
      <w:spacing w:line="360" w:lineRule="auto"/>
      <w:jc w:val="center"/>
    </w:pPr>
    <w:rPr>
      <w:rFonts w:eastAsiaTheme="minorHAnsi"/>
      <w:lang w:val="es-CO" w:eastAsia="es-CO"/>
    </w:rPr>
  </w:style>
  <w:style w:type="paragraph" w:customStyle="1" w:styleId="Estilo1">
    <w:name w:val="Estilo1"/>
    <w:basedOn w:val="Normal"/>
    <w:qFormat/>
    <w:rsid w:val="004B70EC"/>
    <w:pPr>
      <w:spacing w:line="360" w:lineRule="auto"/>
      <w:contextualSpacing/>
      <w:jc w:val="center"/>
    </w:pPr>
    <w:rPr>
      <w:rFonts w:eastAsiaTheme="minorHAnsi"/>
      <w:lang w:val="es-CO" w:eastAsia="en-US"/>
    </w:rPr>
  </w:style>
  <w:style w:type="table" w:styleId="Cuadrculaclara">
    <w:name w:val="Light Grid"/>
    <w:basedOn w:val="Tablanormal"/>
    <w:uiPriority w:val="62"/>
    <w:rsid w:val="004B70E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8682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image" Target="media/image6.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image" Target="media/image53.emf"/><Relationship Id="rId74" Type="http://schemas.openxmlformats.org/officeDocument/2006/relationships/image" Target="media/image61.emf"/><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es.wikipedia.org/wiki/Santiago_de_Cali" TargetMode="Externa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image" Target="media/image24.emf"/><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emf"/><Relationship Id="rId64" Type="http://schemas.openxmlformats.org/officeDocument/2006/relationships/image" Target="media/image51.emf"/><Relationship Id="rId69" Type="http://schemas.openxmlformats.org/officeDocument/2006/relationships/image" Target="media/image56.jpeg"/><Relationship Id="rId77" Type="http://schemas.openxmlformats.org/officeDocument/2006/relationships/image" Target="media/image64.png"/><Relationship Id="rId8" Type="http://schemas.openxmlformats.org/officeDocument/2006/relationships/chart" Target="charts/chart2.xml"/><Relationship Id="rId51" Type="http://schemas.openxmlformats.org/officeDocument/2006/relationships/image" Target="media/image40.jpeg"/><Relationship Id="rId72" Type="http://schemas.openxmlformats.org/officeDocument/2006/relationships/image" Target="media/image59.emf"/><Relationship Id="rId3"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7.png"/><Relationship Id="rId67" Type="http://schemas.openxmlformats.org/officeDocument/2006/relationships/image" Target="media/image54.png"/><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42.emf"/><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5.emf"/><Relationship Id="rId10" Type="http://schemas.openxmlformats.org/officeDocument/2006/relationships/header" Target="header1.xml"/><Relationship Id="rId31" Type="http://schemas.openxmlformats.org/officeDocument/2006/relationships/chart" Target="charts/chart3.xml"/><Relationship Id="rId44" Type="http://schemas.openxmlformats.org/officeDocument/2006/relationships/image" Target="media/image33.jpeg"/><Relationship Id="rId52" Type="http://schemas.openxmlformats.org/officeDocument/2006/relationships/chart" Target="charts/chart4.xml"/><Relationship Id="rId60" Type="http://schemas.openxmlformats.org/officeDocument/2006/relationships/image" Target="media/image48.png"/><Relationship Id="rId65" Type="http://schemas.openxmlformats.org/officeDocument/2006/relationships/image" Target="media/image52.emf"/><Relationship Id="rId73" Type="http://schemas.openxmlformats.org/officeDocument/2006/relationships/image" Target="media/image60.emf"/><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emf"/><Relationship Id="rId76" Type="http://schemas.openxmlformats.org/officeDocument/2006/relationships/image" Target="media/image63.png"/><Relationship Id="rId7" Type="http://schemas.openxmlformats.org/officeDocument/2006/relationships/chart" Target="charts/chart1.xml"/><Relationship Id="rId71" Type="http://schemas.openxmlformats.org/officeDocument/2006/relationships/image" Target="media/image58.emf"/><Relationship Id="rId2" Type="http://schemas.openxmlformats.org/officeDocument/2006/relationships/styles" Target="styles.xml"/><Relationship Id="rId29" Type="http://schemas.openxmlformats.org/officeDocument/2006/relationships/image" Target="media/image19.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53"/>
      <c:rotY val="20"/>
      <c:depthPercent val="100"/>
      <c:rAngAx val="1"/>
    </c:view3D>
    <c:floor>
      <c:thickness val="0"/>
      <c:spPr>
        <a:no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0.18691645649720265"/>
          <c:y val="7.6503140492339541E-2"/>
          <c:w val="0.74143527743890381"/>
          <c:h val="0.79235395509923101"/>
        </c:manualLayout>
      </c:layout>
      <c:bar3DChart>
        <c:barDir val="col"/>
        <c:grouping val="clustered"/>
        <c:varyColors val="0"/>
        <c:ser>
          <c:idx val="0"/>
          <c:order val="0"/>
          <c:spPr>
            <a:solidFill>
              <a:schemeClr val="accent6"/>
            </a:solidFill>
            <a:ln w="12700">
              <a:solidFill>
                <a:srgbClr val="000000"/>
              </a:solidFill>
              <a:prstDash val="solid"/>
            </a:ln>
          </c:spPr>
          <c:invertIfNegative val="0"/>
          <c:dPt>
            <c:idx val="0"/>
            <c:invertIfNegative val="0"/>
            <c:bubble3D val="0"/>
            <c:extLst>
              <c:ext xmlns:c16="http://schemas.microsoft.com/office/drawing/2014/chart" uri="{C3380CC4-5D6E-409C-BE32-E72D297353CC}">
                <c16:uniqueId val="{00000000-72E6-48FC-9517-73FCC14F4E79}"/>
              </c:ext>
            </c:extLst>
          </c:dPt>
          <c:dPt>
            <c:idx val="1"/>
            <c:invertIfNegative val="0"/>
            <c:bubble3D val="0"/>
            <c:extLst>
              <c:ext xmlns:c16="http://schemas.microsoft.com/office/drawing/2014/chart" uri="{C3380CC4-5D6E-409C-BE32-E72D297353CC}">
                <c16:uniqueId val="{00000001-72E6-48FC-9517-73FCC14F4E79}"/>
              </c:ext>
            </c:extLst>
          </c:dPt>
          <c:dLbls>
            <c:dLbl>
              <c:idx val="0"/>
              <c:layout>
                <c:manualLayout>
                  <c:x val="4.2857859715562619E-3"/>
                  <c:y val="0.75679418904449192"/>
                </c:manualLayout>
              </c:layout>
              <c:spPr>
                <a:noFill/>
                <a:ln w="25400">
                  <a:noFill/>
                </a:ln>
              </c:spPr>
              <c:txPr>
                <a:bodyPr/>
                <a:lstStyle/>
                <a:p>
                  <a:pPr>
                    <a:defRPr sz="800" b="0" i="0" u="none" strike="noStrike" baseline="0">
                      <a:solidFill>
                        <a:srgbClr val="000000"/>
                      </a:solidFill>
                      <a:latin typeface="Arial"/>
                      <a:ea typeface="Arial"/>
                      <a:cs typeface="Arial"/>
                    </a:defRPr>
                  </a:pPr>
                  <a:endParaRPr lang="es-CO"/>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2E6-48FC-9517-73FCC14F4E79}"/>
                </c:ext>
              </c:extLst>
            </c:dLbl>
            <c:dLbl>
              <c:idx val="1"/>
              <c:layout>
                <c:manualLayout>
                  <c:x val="7.498548662725571E-2"/>
                  <c:y val="0.49917129211307604"/>
                </c:manualLayout>
              </c:layout>
              <c:spPr>
                <a:noFill/>
                <a:ln w="25400">
                  <a:noFill/>
                </a:ln>
              </c:spPr>
              <c:txPr>
                <a:bodyPr/>
                <a:lstStyle/>
                <a:p>
                  <a:pPr>
                    <a:defRPr sz="800" b="0" i="0" u="none" strike="noStrike" baseline="0">
                      <a:solidFill>
                        <a:srgbClr val="000000"/>
                      </a:solidFill>
                      <a:latin typeface="Arial"/>
                      <a:ea typeface="Arial"/>
                      <a:cs typeface="Arial"/>
                    </a:defRPr>
                  </a:pPr>
                  <a:endParaRPr lang="es-CO"/>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2E6-48FC-9517-73FCC14F4E79}"/>
                </c:ext>
              </c:extLst>
            </c:dLbl>
            <c:spPr>
              <a:noFill/>
              <a:ln w="25400">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'figura 1'!$B$5:$B$6</c:f>
              <c:numCache>
                <c:formatCode>#,##0</c:formatCode>
                <c:ptCount val="2"/>
                <c:pt idx="0">
                  <c:v>508920</c:v>
                </c:pt>
                <c:pt idx="1">
                  <c:v>117139</c:v>
                </c:pt>
              </c:numCache>
            </c:numRef>
          </c:val>
          <c:extLst>
            <c:ext xmlns:c16="http://schemas.microsoft.com/office/drawing/2014/chart" uri="{C3380CC4-5D6E-409C-BE32-E72D297353CC}">
              <c16:uniqueId val="{00000002-72E6-48FC-9517-73FCC14F4E79}"/>
            </c:ext>
          </c:extLst>
        </c:ser>
        <c:dLbls>
          <c:showLegendKey val="0"/>
          <c:showVal val="0"/>
          <c:showCatName val="0"/>
          <c:showSerName val="0"/>
          <c:showPercent val="0"/>
          <c:showBubbleSize val="0"/>
        </c:dLbls>
        <c:gapWidth val="150"/>
        <c:shape val="box"/>
        <c:axId val="132972544"/>
        <c:axId val="133346432"/>
        <c:axId val="0"/>
      </c:bar3DChart>
      <c:catAx>
        <c:axId val="132972544"/>
        <c:scaling>
          <c:orientation val="minMax"/>
        </c:scaling>
        <c:delete val="1"/>
        <c:axPos val="b"/>
        <c:majorTickMark val="out"/>
        <c:minorTickMark val="none"/>
        <c:tickLblPos val="nextTo"/>
        <c:crossAx val="133346432"/>
        <c:crosses val="autoZero"/>
        <c:auto val="1"/>
        <c:lblAlgn val="ctr"/>
        <c:lblOffset val="100"/>
        <c:noMultiLvlLbl val="0"/>
      </c:catAx>
      <c:valAx>
        <c:axId val="133346432"/>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CO"/>
          </a:p>
        </c:txPr>
        <c:crossAx val="132972544"/>
        <c:crosses val="autoZero"/>
        <c:crossBetween val="between"/>
      </c:valAx>
      <c:spPr>
        <a:noFill/>
        <a:ln w="25400">
          <a:noFill/>
        </a:ln>
      </c:spPr>
    </c:plotArea>
    <c:plotVisOnly val="1"/>
    <c:dispBlanksAs val="gap"/>
    <c:showDLblsOverMax val="0"/>
  </c:chart>
  <c:spPr>
    <a:solidFill>
      <a:sysClr val="window" lastClr="FFFFFF"/>
    </a:solidFill>
    <a:ln w="3175">
      <a:solidFill>
        <a:schemeClr val="bg1"/>
      </a:solidFill>
      <a:prstDash val="solid"/>
    </a:ln>
    <a:effectLst>
      <a:outerShdw blurRad="50800" dist="50800" dir="5400000" algn="ctr" rotWithShape="0">
        <a:srgbClr val="92D050"/>
      </a:outerShdw>
    </a:effectLst>
  </c:spPr>
  <c:txPr>
    <a:bodyPr/>
    <a:lstStyle/>
    <a:p>
      <a:pPr>
        <a:defRPr sz="800" b="0" i="0" u="none" strike="noStrike" baseline="0">
          <a:solidFill>
            <a:srgbClr val="000000"/>
          </a:solidFill>
          <a:latin typeface="Arial"/>
          <a:ea typeface="Arial"/>
          <a:cs typeface="Arial"/>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
          <c:y val="3.6967210084713226E-7"/>
          <c:w val="1"/>
          <c:h val="0.99999963032789918"/>
        </c:manualLayout>
      </c:layout>
      <c:pie3DChart>
        <c:varyColors val="1"/>
        <c:ser>
          <c:idx val="0"/>
          <c:order val="0"/>
          <c:explosion val="25"/>
          <c:dPt>
            <c:idx val="0"/>
            <c:bubble3D val="0"/>
            <c:explosion val="45"/>
            <c:extLst>
              <c:ext xmlns:c16="http://schemas.microsoft.com/office/drawing/2014/chart" uri="{C3380CC4-5D6E-409C-BE32-E72D297353CC}">
                <c16:uniqueId val="{00000000-5A68-4837-A0F5-950647BD6C4E}"/>
              </c:ext>
            </c:extLst>
          </c:dPt>
          <c:dPt>
            <c:idx val="1"/>
            <c:bubble3D val="0"/>
            <c:extLst>
              <c:ext xmlns:c16="http://schemas.microsoft.com/office/drawing/2014/chart" uri="{C3380CC4-5D6E-409C-BE32-E72D297353CC}">
                <c16:uniqueId val="{00000001-5A68-4837-A0F5-950647BD6C4E}"/>
              </c:ext>
            </c:extLst>
          </c:dPt>
          <c:dPt>
            <c:idx val="2"/>
            <c:bubble3D val="0"/>
            <c:extLst>
              <c:ext xmlns:c16="http://schemas.microsoft.com/office/drawing/2014/chart" uri="{C3380CC4-5D6E-409C-BE32-E72D297353CC}">
                <c16:uniqueId val="{00000002-5A68-4837-A0F5-950647BD6C4E}"/>
              </c:ext>
            </c:extLst>
          </c:dPt>
          <c:dPt>
            <c:idx val="3"/>
            <c:bubble3D val="0"/>
            <c:extLst>
              <c:ext xmlns:c16="http://schemas.microsoft.com/office/drawing/2014/chart" uri="{C3380CC4-5D6E-409C-BE32-E72D297353CC}">
                <c16:uniqueId val="{00000003-5A68-4837-A0F5-950647BD6C4E}"/>
              </c:ext>
            </c:extLst>
          </c:dPt>
          <c:dPt>
            <c:idx val="4"/>
            <c:bubble3D val="0"/>
            <c:extLst>
              <c:ext xmlns:c16="http://schemas.microsoft.com/office/drawing/2014/chart" uri="{C3380CC4-5D6E-409C-BE32-E72D297353CC}">
                <c16:uniqueId val="{00000004-5A68-4837-A0F5-950647BD6C4E}"/>
              </c:ext>
            </c:extLst>
          </c:dPt>
          <c:dPt>
            <c:idx val="5"/>
            <c:bubble3D val="0"/>
            <c:extLst>
              <c:ext xmlns:c16="http://schemas.microsoft.com/office/drawing/2014/chart" uri="{C3380CC4-5D6E-409C-BE32-E72D297353CC}">
                <c16:uniqueId val="{00000005-5A68-4837-A0F5-950647BD6C4E}"/>
              </c:ext>
            </c:extLst>
          </c:dPt>
          <c:dLbls>
            <c:dLbl>
              <c:idx val="0"/>
              <c:delete val="1"/>
              <c:extLst>
                <c:ext xmlns:c15="http://schemas.microsoft.com/office/drawing/2012/chart" uri="{CE6537A1-D6FC-4f65-9D91-7224C49458BB}"/>
                <c:ext xmlns:c16="http://schemas.microsoft.com/office/drawing/2014/chart" uri="{C3380CC4-5D6E-409C-BE32-E72D297353CC}">
                  <c16:uniqueId val="{00000000-5A68-4837-A0F5-950647BD6C4E}"/>
                </c:ext>
              </c:extLst>
            </c:dLbl>
            <c:dLbl>
              <c:idx val="1"/>
              <c:delete val="1"/>
              <c:extLst>
                <c:ext xmlns:c15="http://schemas.microsoft.com/office/drawing/2012/chart" uri="{CE6537A1-D6FC-4f65-9D91-7224C49458BB}"/>
                <c:ext xmlns:c16="http://schemas.microsoft.com/office/drawing/2014/chart" uri="{C3380CC4-5D6E-409C-BE32-E72D297353CC}">
                  <c16:uniqueId val="{00000001-5A68-4837-A0F5-950647BD6C4E}"/>
                </c:ext>
              </c:extLst>
            </c:dLbl>
            <c:dLbl>
              <c:idx val="2"/>
              <c:delete val="1"/>
              <c:extLst>
                <c:ext xmlns:c15="http://schemas.microsoft.com/office/drawing/2012/chart" uri="{CE6537A1-D6FC-4f65-9D91-7224C49458BB}"/>
                <c:ext xmlns:c16="http://schemas.microsoft.com/office/drawing/2014/chart" uri="{C3380CC4-5D6E-409C-BE32-E72D297353CC}">
                  <c16:uniqueId val="{00000002-5A68-4837-A0F5-950647BD6C4E}"/>
                </c:ext>
              </c:extLst>
            </c:dLbl>
            <c:dLbl>
              <c:idx val="3"/>
              <c:layout/>
              <c:tx>
                <c:rich>
                  <a:bodyPr/>
                  <a:lstStyle/>
                  <a:p>
                    <a:fld id="{904E65F6-248A-4077-88FE-8560DA5A7B64}" type="CATEGORYNAME">
                      <a:rPr lang="en-US"/>
                      <a:pPr/>
                      <a:t>[NOMBRE DE CATEGORÍA]</a:t>
                    </a:fld>
                    <a:r>
                      <a:rPr lang="en-US" baseline="0"/>
                      <a:t>
34%</a:t>
                    </a:r>
                  </a:p>
                </c:rich>
              </c:tx>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5A68-4837-A0F5-950647BD6C4E}"/>
                </c:ext>
              </c:extLst>
            </c:dLbl>
            <c:dLbl>
              <c:idx val="4"/>
              <c:layout>
                <c:manualLayout>
                  <c:x val="9.0666666666666662E-4"/>
                  <c:y val="2.9749225272074634E-2"/>
                </c:manualLayout>
              </c:layout>
              <c:tx>
                <c:rich>
                  <a:bodyPr/>
                  <a:lstStyle/>
                  <a:p>
                    <a:pPr>
                      <a:defRPr sz="1000" b="0" i="0" u="none" strike="noStrike" baseline="0">
                        <a:solidFill>
                          <a:srgbClr val="000000"/>
                        </a:solidFill>
                        <a:latin typeface="Calibri"/>
                        <a:ea typeface="Calibri"/>
                        <a:cs typeface="Calibri"/>
                      </a:defRPr>
                    </a:pPr>
                    <a:fld id="{49E63B5E-4D4D-49DA-98E2-6E708ACF775C}" type="CATEGORYNAME">
                      <a:rPr lang="en-US"/>
                      <a:pPr>
                        <a:defRPr sz="1000" b="0" i="0" u="none" strike="noStrike" baseline="0">
                          <a:solidFill>
                            <a:srgbClr val="000000"/>
                          </a:solidFill>
                          <a:latin typeface="Calibri"/>
                          <a:ea typeface="Calibri"/>
                          <a:cs typeface="Calibri"/>
                        </a:defRPr>
                      </a:pPr>
                      <a:t>[NOMBRE DE CATEGORÍA]</a:t>
                    </a:fld>
                    <a:endParaRPr lang="en-US" baseline="0"/>
                  </a:p>
                  <a:p>
                    <a:pPr>
                      <a:defRPr sz="1000" b="0" i="0" u="none" strike="noStrike" baseline="0">
                        <a:solidFill>
                          <a:srgbClr val="000000"/>
                        </a:solidFill>
                        <a:latin typeface="Calibri"/>
                        <a:ea typeface="Calibri"/>
                        <a:cs typeface="Calibri"/>
                      </a:defRPr>
                    </a:pPr>
                    <a:r>
                      <a:rPr lang="en-US" baseline="0"/>
                      <a:t>60%</a:t>
                    </a:r>
                  </a:p>
                </c:rich>
              </c:tx>
              <c:numFmt formatCode="0%" sourceLinked="0"/>
              <c:spPr/>
              <c:dLblPos val="bestFit"/>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4-5A68-4837-A0F5-950647BD6C4E}"/>
                </c:ext>
              </c:extLst>
            </c:dLbl>
            <c:numFmt formatCode="0%" sourceLinked="0"/>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es-CO"/>
              </a:p>
            </c:txPr>
            <c:showLegendKey val="0"/>
            <c:showVal val="0"/>
            <c:showCatName val="1"/>
            <c:showSerName val="0"/>
            <c:showPercent val="1"/>
            <c:showBubbleSize val="0"/>
            <c:showLeaderLines val="0"/>
            <c:extLst>
              <c:ext xmlns:c15="http://schemas.microsoft.com/office/drawing/2012/chart" uri="{CE6537A1-D6FC-4f65-9D91-7224C49458BB}">
                <c15:layout/>
              </c:ext>
            </c:extLst>
          </c:dLbls>
          <c:cat>
            <c:strRef>
              <c:f>'[1]figura 2'!$A$2:$A$7</c:f>
              <c:strCache>
                <c:ptCount val="6"/>
                <c:pt idx="0">
                  <c:v>Figura  2. Distribución por entidades Recaudadoras1994-2016</c:v>
                </c:pt>
                <c:pt idx="3">
                  <c:v>Fábrica de Licores de Antioquia,Edatel y Benedán</c:v>
                </c:pt>
                <c:pt idx="4">
                  <c:v>Municipio de Medellín, Empresas Públicas de Medellín y Empresas Varias </c:v>
                </c:pt>
                <c:pt idx="5">
                  <c:v>Muncipios del Valle de Aburrá y de sedes regionales</c:v>
                </c:pt>
              </c:strCache>
            </c:strRef>
          </c:cat>
          <c:val>
            <c:numRef>
              <c:f>'[1]figura 2'!$B$2:$B$7</c:f>
              <c:numCache>
                <c:formatCode>General</c:formatCode>
                <c:ptCount val="6"/>
                <c:pt idx="3">
                  <c:v>175062</c:v>
                </c:pt>
                <c:pt idx="4">
                  <c:v>302113</c:v>
                </c:pt>
                <c:pt idx="5">
                  <c:v>31745</c:v>
                </c:pt>
              </c:numCache>
            </c:numRef>
          </c:val>
          <c:extLst>
            <c:ext xmlns:c16="http://schemas.microsoft.com/office/drawing/2014/chart" uri="{C3380CC4-5D6E-409C-BE32-E72D297353CC}">
              <c16:uniqueId val="{00000006-5A68-4837-A0F5-950647BD6C4E}"/>
            </c:ext>
          </c:extLst>
        </c:ser>
        <c:ser>
          <c:idx val="1"/>
          <c:order val="1"/>
          <c:dPt>
            <c:idx val="0"/>
            <c:bubble3D val="0"/>
            <c:extLst>
              <c:ext xmlns:c16="http://schemas.microsoft.com/office/drawing/2014/chart" uri="{C3380CC4-5D6E-409C-BE32-E72D297353CC}">
                <c16:uniqueId val="{00000007-5A68-4837-A0F5-950647BD6C4E}"/>
              </c:ext>
            </c:extLst>
          </c:dPt>
          <c:dPt>
            <c:idx val="1"/>
            <c:bubble3D val="0"/>
            <c:extLst>
              <c:ext xmlns:c16="http://schemas.microsoft.com/office/drawing/2014/chart" uri="{C3380CC4-5D6E-409C-BE32-E72D297353CC}">
                <c16:uniqueId val="{00000008-5A68-4837-A0F5-950647BD6C4E}"/>
              </c:ext>
            </c:extLst>
          </c:dPt>
          <c:dPt>
            <c:idx val="2"/>
            <c:bubble3D val="0"/>
            <c:extLst>
              <c:ext xmlns:c16="http://schemas.microsoft.com/office/drawing/2014/chart" uri="{C3380CC4-5D6E-409C-BE32-E72D297353CC}">
                <c16:uniqueId val="{00000009-5A68-4837-A0F5-950647BD6C4E}"/>
              </c:ext>
            </c:extLst>
          </c:dPt>
          <c:dPt>
            <c:idx val="3"/>
            <c:bubble3D val="0"/>
            <c:extLst>
              <c:ext xmlns:c16="http://schemas.microsoft.com/office/drawing/2014/chart" uri="{C3380CC4-5D6E-409C-BE32-E72D297353CC}">
                <c16:uniqueId val="{0000000A-5A68-4837-A0F5-950647BD6C4E}"/>
              </c:ext>
            </c:extLst>
          </c:dPt>
          <c:dPt>
            <c:idx val="4"/>
            <c:bubble3D val="0"/>
            <c:extLst>
              <c:ext xmlns:c16="http://schemas.microsoft.com/office/drawing/2014/chart" uri="{C3380CC4-5D6E-409C-BE32-E72D297353CC}">
                <c16:uniqueId val="{0000000B-5A68-4837-A0F5-950647BD6C4E}"/>
              </c:ext>
            </c:extLst>
          </c:dPt>
          <c:dPt>
            <c:idx val="5"/>
            <c:bubble3D val="0"/>
            <c:extLst>
              <c:ext xmlns:c16="http://schemas.microsoft.com/office/drawing/2014/chart" uri="{C3380CC4-5D6E-409C-BE32-E72D297353CC}">
                <c16:uniqueId val="{0000000C-5A68-4837-A0F5-950647BD6C4E}"/>
              </c:ext>
            </c:extLst>
          </c:dPt>
          <c:cat>
            <c:strRef>
              <c:f>'[1]figura 2'!$A$2:$A$7</c:f>
              <c:strCache>
                <c:ptCount val="6"/>
                <c:pt idx="0">
                  <c:v>Figura  2. Distribución por entidades Recaudadoras1994-2016</c:v>
                </c:pt>
                <c:pt idx="3">
                  <c:v>Fábrica de Licores de Antioquia,Edatel y Benedán</c:v>
                </c:pt>
                <c:pt idx="4">
                  <c:v>Municipio de Medellín, Empresas Públicas de Medellín y Empresas Varias </c:v>
                </c:pt>
                <c:pt idx="5">
                  <c:v>Muncipios del Valle de Aburrá y de sedes regionales</c:v>
                </c:pt>
              </c:strCache>
            </c:strRef>
          </c:cat>
          <c:val>
            <c:numRef>
              <c:f>'[1]figura 2'!$C$2:$C$7</c:f>
              <c:numCache>
                <c:formatCode>General</c:formatCode>
                <c:ptCount val="6"/>
              </c:numCache>
            </c:numRef>
          </c:val>
          <c:extLst>
            <c:ext xmlns:c16="http://schemas.microsoft.com/office/drawing/2014/chart" uri="{C3380CC4-5D6E-409C-BE32-E72D297353CC}">
              <c16:uniqueId val="{0000000D-5A68-4837-A0F5-950647BD6C4E}"/>
            </c:ext>
          </c:extLst>
        </c:ser>
        <c:dLbls>
          <c:showLegendKey val="0"/>
          <c:showVal val="0"/>
          <c:showCatName val="0"/>
          <c:showSerName val="0"/>
          <c:showPercent val="0"/>
          <c:showBubbleSize val="0"/>
          <c:showLeaderLines val="0"/>
        </c:dLbls>
      </c:pie3DChart>
      <c:spPr>
        <a:noFill/>
        <a:ln w="25400">
          <a:noFill/>
        </a:ln>
      </c:spPr>
    </c:plotArea>
    <c:plotVisOnly val="1"/>
    <c:dispBlanksAs val="zero"/>
    <c:showDLblsOverMax val="0"/>
  </c:chart>
  <c:spPr>
    <a:solidFill>
      <a:schemeClr val="bg1"/>
    </a:solidFill>
  </c:spPr>
  <c:txPr>
    <a:bodyPr/>
    <a:lstStyle/>
    <a:p>
      <a:pPr>
        <a:defRPr sz="1000" b="0" i="0" u="none" strike="noStrike" baseline="0">
          <a:solidFill>
            <a:srgbClr val="000000"/>
          </a:solidFill>
          <a:latin typeface="Calibri"/>
          <a:ea typeface="Calibri"/>
          <a:cs typeface="Calibri"/>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GRUPO</a:t>
            </a:r>
            <a:r>
              <a:rPr lang="es-ES" baseline="0"/>
              <a:t> A1-</a:t>
            </a:r>
            <a:endParaRPr lang="es-ES"/>
          </a:p>
        </c:rich>
      </c:tx>
      <c:layout>
        <c:manualLayout>
          <c:xMode val="edge"/>
          <c:yMode val="edge"/>
          <c:x val="0.716923076923077"/>
          <c:y val="5.9579927805936371E-2"/>
        </c:manualLayout>
      </c:layout>
      <c:overlay val="0"/>
      <c:spPr>
        <a:noFill/>
        <a:ln w="25400">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
          <c:y val="4.553746855449408E-2"/>
          <c:w val="1"/>
          <c:h val="0.81623321726550868"/>
        </c:manualLayout>
      </c:layout>
      <c:pie3DChart>
        <c:varyColors val="1"/>
        <c:ser>
          <c:idx val="0"/>
          <c:order val="0"/>
          <c:spPr>
            <a:ln>
              <a:solidFill>
                <a:srgbClr val="FFFF00"/>
              </a:solidFill>
            </a:ln>
          </c:spPr>
          <c:explosion val="38"/>
          <c:dPt>
            <c:idx val="0"/>
            <c:bubble3D val="0"/>
            <c:spPr>
              <a:solidFill>
                <a:srgbClr val="C0504D"/>
              </a:solidFill>
              <a:ln w="25400">
                <a:solidFill>
                  <a:srgbClr val="FFFF00"/>
                </a:solidFill>
                <a:prstDash val="solid"/>
              </a:ln>
            </c:spPr>
            <c:extLst>
              <c:ext xmlns:c16="http://schemas.microsoft.com/office/drawing/2014/chart" uri="{C3380CC4-5D6E-409C-BE32-E72D297353CC}">
                <c16:uniqueId val="{00000001-CF43-43D9-AA41-C28C8CFB6263}"/>
              </c:ext>
            </c:extLst>
          </c:dPt>
          <c:dPt>
            <c:idx val="1"/>
            <c:bubble3D val="0"/>
            <c:explosion val="23"/>
            <c:spPr>
              <a:solidFill>
                <a:schemeClr val="accent4">
                  <a:lumMod val="75000"/>
                </a:schemeClr>
              </a:solidFill>
              <a:ln w="25400">
                <a:solidFill>
                  <a:srgbClr val="FFFF00"/>
                </a:solidFill>
              </a:ln>
              <a:effectLst/>
              <a:sp3d contourW="25400">
                <a:contourClr>
                  <a:srgbClr val="FFFF00"/>
                </a:contourClr>
              </a:sp3d>
            </c:spPr>
            <c:extLst>
              <c:ext xmlns:c16="http://schemas.microsoft.com/office/drawing/2014/chart" uri="{C3380CC4-5D6E-409C-BE32-E72D297353CC}">
                <c16:uniqueId val="{00000003-CF43-43D9-AA41-C28C8CFB6263}"/>
              </c:ext>
            </c:extLst>
          </c:dPt>
          <c:dPt>
            <c:idx val="2"/>
            <c:bubble3D val="0"/>
            <c:spPr>
              <a:solidFill>
                <a:srgbClr val="EEECE1"/>
              </a:solidFill>
              <a:ln w="25400">
                <a:solidFill>
                  <a:srgbClr val="FFFF00"/>
                </a:solidFill>
                <a:prstDash val="solid"/>
              </a:ln>
            </c:spPr>
            <c:extLst>
              <c:ext xmlns:c16="http://schemas.microsoft.com/office/drawing/2014/chart" uri="{C3380CC4-5D6E-409C-BE32-E72D297353CC}">
                <c16:uniqueId val="{00000005-CF43-43D9-AA41-C28C8CFB6263}"/>
              </c:ext>
            </c:extLst>
          </c:dPt>
          <c:dPt>
            <c:idx val="3"/>
            <c:bubble3D val="0"/>
            <c:explosion val="26"/>
            <c:spPr>
              <a:solidFill>
                <a:schemeClr val="accent6">
                  <a:lumMod val="75000"/>
                </a:schemeClr>
              </a:solidFill>
              <a:ln w="25400">
                <a:solidFill>
                  <a:srgbClr val="FFFF00"/>
                </a:solidFill>
              </a:ln>
              <a:effectLst/>
              <a:sp3d contourW="25400">
                <a:contourClr>
                  <a:srgbClr val="FFFF00"/>
                </a:contourClr>
              </a:sp3d>
            </c:spPr>
            <c:extLst>
              <c:ext xmlns:c16="http://schemas.microsoft.com/office/drawing/2014/chart" uri="{C3380CC4-5D6E-409C-BE32-E72D297353CC}">
                <c16:uniqueId val="{00000007-CF43-43D9-AA41-C28C8CFB6263}"/>
              </c:ext>
            </c:extLst>
          </c:dPt>
          <c:dPt>
            <c:idx val="4"/>
            <c:bubble3D val="0"/>
            <c:spPr>
              <a:solidFill>
                <a:srgbClr val="4BACC6"/>
              </a:solidFill>
              <a:ln w="25400">
                <a:solidFill>
                  <a:srgbClr val="FFFF00"/>
                </a:solidFill>
                <a:prstDash val="solid"/>
              </a:ln>
            </c:spPr>
            <c:extLst>
              <c:ext xmlns:c16="http://schemas.microsoft.com/office/drawing/2014/chart" uri="{C3380CC4-5D6E-409C-BE32-E72D297353CC}">
                <c16:uniqueId val="{00000009-CF43-43D9-AA41-C28C8CFB6263}"/>
              </c:ext>
            </c:extLst>
          </c:dPt>
          <c:dPt>
            <c:idx val="5"/>
            <c:bubble3D val="0"/>
            <c:spPr>
              <a:solidFill>
                <a:srgbClr val="F79646"/>
              </a:solidFill>
              <a:ln w="25400">
                <a:solidFill>
                  <a:srgbClr val="FFFF00"/>
                </a:solidFill>
                <a:prstDash val="solid"/>
              </a:ln>
            </c:spPr>
            <c:extLst>
              <c:ext xmlns:c16="http://schemas.microsoft.com/office/drawing/2014/chart" uri="{C3380CC4-5D6E-409C-BE32-E72D297353CC}">
                <c16:uniqueId val="{0000000B-CF43-43D9-AA41-C28C8CFB6263}"/>
              </c:ext>
            </c:extLst>
          </c:dPt>
          <c:dPt>
            <c:idx val="6"/>
            <c:bubble3D val="0"/>
            <c:spPr>
              <a:solidFill>
                <a:schemeClr val="accent3">
                  <a:lumMod val="75000"/>
                </a:schemeClr>
              </a:solidFill>
              <a:ln w="25400">
                <a:solidFill>
                  <a:srgbClr val="FFFF00"/>
                </a:solidFill>
              </a:ln>
              <a:effectLst/>
              <a:sp3d contourW="25400">
                <a:contourClr>
                  <a:srgbClr val="FFFF00"/>
                </a:contourClr>
              </a:sp3d>
            </c:spPr>
            <c:extLst>
              <c:ext xmlns:c16="http://schemas.microsoft.com/office/drawing/2014/chart" uri="{C3380CC4-5D6E-409C-BE32-E72D297353CC}">
                <c16:uniqueId val="{0000000D-CF43-43D9-AA41-C28C8CFB6263}"/>
              </c:ext>
            </c:extLst>
          </c:dPt>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'[2017 FIGURA 12, FIGURA 13 Y FIGURA 14_v2 (4).xlsx]FIGURA 16'!$A$4:$A$10</c:f>
              <c:strCache>
                <c:ptCount val="6"/>
                <c:pt idx="0">
                  <c:v>A1</c:v>
                </c:pt>
                <c:pt idx="1">
                  <c:v>A</c:v>
                </c:pt>
                <c:pt idx="2">
                  <c:v>B</c:v>
                </c:pt>
                <c:pt idx="3">
                  <c:v>C</c:v>
                </c:pt>
                <c:pt idx="4">
                  <c:v>D</c:v>
                </c:pt>
                <c:pt idx="5">
                  <c:v>Reconocidos</c:v>
                </c:pt>
              </c:strCache>
            </c:strRef>
          </c:cat>
          <c:val>
            <c:numRef>
              <c:f>'[2017 FIGURA 12, FIGURA 13 Y FIGURA 14_v2 (4).xlsx]FIGURA 16'!$B$4:$B$10</c:f>
              <c:numCache>
                <c:formatCode>General</c:formatCode>
                <c:ptCount val="7"/>
                <c:pt idx="0">
                  <c:v>66</c:v>
                </c:pt>
                <c:pt idx="1">
                  <c:v>42</c:v>
                </c:pt>
                <c:pt idx="2">
                  <c:v>68</c:v>
                </c:pt>
                <c:pt idx="3">
                  <c:v>65</c:v>
                </c:pt>
                <c:pt idx="4">
                  <c:v>0</c:v>
                </c:pt>
                <c:pt idx="5">
                  <c:v>31</c:v>
                </c:pt>
              </c:numCache>
            </c:numRef>
          </c:val>
          <c:extLst>
            <c:ext xmlns:c16="http://schemas.microsoft.com/office/drawing/2014/chart" uri="{C3380CC4-5D6E-409C-BE32-E72D297353CC}">
              <c16:uniqueId val="{0000000E-CF43-43D9-AA41-C28C8CFB6263}"/>
            </c:ext>
          </c:extLst>
        </c:ser>
        <c:dLbls>
          <c:showLegendKey val="0"/>
          <c:showVal val="0"/>
          <c:showCatName val="0"/>
          <c:showSerName val="0"/>
          <c:showPercent val="0"/>
          <c:showBubbleSize val="0"/>
          <c:showLeaderLines val="1"/>
        </c:dLbls>
      </c:pie3DChart>
      <c:spPr>
        <a:noFill/>
        <a:ln w="25400">
          <a:noFill/>
        </a:ln>
      </c:spPr>
    </c:plotArea>
    <c:legend>
      <c:legendPos val="b"/>
      <c:overlay val="1"/>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2"/>
          <c:order val="0"/>
          <c:tx>
            <c:v>$ Nominal</c:v>
          </c:tx>
          <c:spPr>
            <a:ln>
              <a:solidFill>
                <a:srgbClr val="FF0000"/>
              </a:solidFill>
            </a:ln>
          </c:spPr>
          <c:marker>
            <c:symbol val="none"/>
          </c:marker>
          <c:cat>
            <c:numRef>
              <c:f>Hoja1!$B$3:$AB$3</c:f>
              <c:numCache>
                <c:formatCode>General</c:formatCode>
                <c:ptCount val="27"/>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numCache>
            </c:numRef>
          </c:cat>
          <c:val>
            <c:numRef>
              <c:f>Hoja1!$B$4:$AB$4</c:f>
              <c:numCache>
                <c:formatCode>"$"\ #,##0</c:formatCode>
                <c:ptCount val="27"/>
                <c:pt idx="0">
                  <c:v>631</c:v>
                </c:pt>
                <c:pt idx="1">
                  <c:v>1777</c:v>
                </c:pt>
                <c:pt idx="2">
                  <c:v>3351</c:v>
                </c:pt>
                <c:pt idx="3">
                  <c:v>4277</c:v>
                </c:pt>
                <c:pt idx="4">
                  <c:v>5496</c:v>
                </c:pt>
                <c:pt idx="5">
                  <c:v>9234</c:v>
                </c:pt>
                <c:pt idx="6">
                  <c:v>11762</c:v>
                </c:pt>
                <c:pt idx="7">
                  <c:v>7317</c:v>
                </c:pt>
                <c:pt idx="8">
                  <c:v>9177</c:v>
                </c:pt>
                <c:pt idx="9">
                  <c:v>9785</c:v>
                </c:pt>
                <c:pt idx="10">
                  <c:v>10262</c:v>
                </c:pt>
                <c:pt idx="11">
                  <c:v>10777</c:v>
                </c:pt>
                <c:pt idx="12">
                  <c:v>10873</c:v>
                </c:pt>
                <c:pt idx="13">
                  <c:v>10123</c:v>
                </c:pt>
                <c:pt idx="14">
                  <c:v>20460</c:v>
                </c:pt>
                <c:pt idx="15">
                  <c:v>29072</c:v>
                </c:pt>
                <c:pt idx="16">
                  <c:v>33592</c:v>
                </c:pt>
                <c:pt idx="17">
                  <c:v>31780</c:v>
                </c:pt>
                <c:pt idx="18">
                  <c:v>33170</c:v>
                </c:pt>
                <c:pt idx="19">
                  <c:v>38334</c:v>
                </c:pt>
                <c:pt idx="20">
                  <c:v>35650</c:v>
                </c:pt>
                <c:pt idx="21">
                  <c:v>36380</c:v>
                </c:pt>
                <c:pt idx="22">
                  <c:v>34274</c:v>
                </c:pt>
                <c:pt idx="23">
                  <c:v>42145</c:v>
                </c:pt>
                <c:pt idx="24">
                  <c:v>56212</c:v>
                </c:pt>
                <c:pt idx="25">
                  <c:v>56938</c:v>
                </c:pt>
                <c:pt idx="26">
                  <c:v>59578</c:v>
                </c:pt>
              </c:numCache>
            </c:numRef>
          </c:val>
          <c:smooth val="0"/>
          <c:extLst>
            <c:ext xmlns:c16="http://schemas.microsoft.com/office/drawing/2014/chart" uri="{C3380CC4-5D6E-409C-BE32-E72D297353CC}">
              <c16:uniqueId val="{00000000-7B9D-4868-AEBC-4DDEA47FB287}"/>
            </c:ext>
          </c:extLst>
        </c:ser>
        <c:ser>
          <c:idx val="0"/>
          <c:order val="1"/>
          <c:tx>
            <c:strRef>
              <c:f>Hoja1!$A$5</c:f>
              <c:strCache>
                <c:ptCount val="1"/>
                <c:pt idx="0">
                  <c:v>$ Constantes 1993</c:v>
                </c:pt>
              </c:strCache>
            </c:strRef>
          </c:tx>
          <c:spPr>
            <a:ln>
              <a:solidFill>
                <a:schemeClr val="tx2">
                  <a:lumMod val="75000"/>
                </a:schemeClr>
              </a:solidFill>
            </a:ln>
          </c:spPr>
          <c:marker>
            <c:symbol val="none"/>
          </c:marker>
          <c:cat>
            <c:numRef>
              <c:f>Hoja1!$B$3:$AB$3</c:f>
              <c:numCache>
                <c:formatCode>General</c:formatCode>
                <c:ptCount val="27"/>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numCache>
            </c:numRef>
          </c:cat>
          <c:val>
            <c:numRef>
              <c:f>Hoja1!$B$5:$AB$5</c:f>
              <c:numCache>
                <c:formatCode>"$"\ #,##0</c:formatCode>
                <c:ptCount val="27"/>
                <c:pt idx="0">
                  <c:v>631</c:v>
                </c:pt>
                <c:pt idx="1">
                  <c:v>1777</c:v>
                </c:pt>
                <c:pt idx="2">
                  <c:v>3351</c:v>
                </c:pt>
                <c:pt idx="3">
                  <c:v>3489</c:v>
                </c:pt>
                <c:pt idx="4">
                  <c:v>3753</c:v>
                </c:pt>
                <c:pt idx="5">
                  <c:v>5184</c:v>
                </c:pt>
                <c:pt idx="6">
                  <c:v>5611</c:v>
                </c:pt>
                <c:pt idx="7">
                  <c:v>2991</c:v>
                </c:pt>
                <c:pt idx="8">
                  <c:v>3435</c:v>
                </c:pt>
                <c:pt idx="9">
                  <c:v>3367</c:v>
                </c:pt>
                <c:pt idx="10">
                  <c:v>3281</c:v>
                </c:pt>
                <c:pt idx="11">
                  <c:v>3220</c:v>
                </c:pt>
                <c:pt idx="12">
                  <c:v>3051</c:v>
                </c:pt>
                <c:pt idx="13">
                  <c:v>2692</c:v>
                </c:pt>
                <c:pt idx="14">
                  <c:v>5190</c:v>
                </c:pt>
                <c:pt idx="15">
                  <c:v>7058</c:v>
                </c:pt>
                <c:pt idx="16">
                  <c:v>7717</c:v>
                </c:pt>
                <c:pt idx="17">
                  <c:v>6780</c:v>
                </c:pt>
                <c:pt idx="18">
                  <c:v>6938</c:v>
                </c:pt>
                <c:pt idx="19">
                  <c:v>7772</c:v>
                </c:pt>
                <c:pt idx="20">
                  <c:v>6968</c:v>
                </c:pt>
                <c:pt idx="21">
                  <c:v>6941</c:v>
                </c:pt>
                <c:pt idx="22">
                  <c:v>6415</c:v>
                </c:pt>
                <c:pt idx="23">
                  <c:v>7610</c:v>
                </c:pt>
                <c:pt idx="24">
                  <c:v>9506</c:v>
                </c:pt>
                <c:pt idx="25">
                  <c:v>9105</c:v>
                </c:pt>
                <c:pt idx="26">
                  <c:v>9153</c:v>
                </c:pt>
              </c:numCache>
            </c:numRef>
          </c:val>
          <c:smooth val="0"/>
          <c:extLst>
            <c:ext xmlns:c16="http://schemas.microsoft.com/office/drawing/2014/chart" uri="{C3380CC4-5D6E-409C-BE32-E72D297353CC}">
              <c16:uniqueId val="{00000001-7B9D-4868-AEBC-4DDEA47FB287}"/>
            </c:ext>
          </c:extLst>
        </c:ser>
        <c:dLbls>
          <c:showLegendKey val="0"/>
          <c:showVal val="0"/>
          <c:showCatName val="0"/>
          <c:showSerName val="0"/>
          <c:showPercent val="0"/>
          <c:showBubbleSize val="0"/>
        </c:dLbls>
        <c:smooth val="0"/>
        <c:axId val="364699648"/>
        <c:axId val="364701568"/>
      </c:lineChart>
      <c:catAx>
        <c:axId val="364699648"/>
        <c:scaling>
          <c:orientation val="minMax"/>
        </c:scaling>
        <c:delete val="0"/>
        <c:axPos val="b"/>
        <c:numFmt formatCode="General" sourceLinked="1"/>
        <c:majorTickMark val="out"/>
        <c:minorTickMark val="none"/>
        <c:tickLblPos val="nextTo"/>
        <c:crossAx val="364701568"/>
        <c:crosses val="autoZero"/>
        <c:auto val="1"/>
        <c:lblAlgn val="ctr"/>
        <c:lblOffset val="100"/>
        <c:noMultiLvlLbl val="0"/>
      </c:catAx>
      <c:valAx>
        <c:axId val="364701568"/>
        <c:scaling>
          <c:orientation val="minMax"/>
        </c:scaling>
        <c:delete val="0"/>
        <c:axPos val="l"/>
        <c:majorGridlines/>
        <c:numFmt formatCode="&quot;$&quot;\ #,##0" sourceLinked="1"/>
        <c:majorTickMark val="out"/>
        <c:minorTickMark val="none"/>
        <c:tickLblPos val="nextTo"/>
        <c:crossAx val="364699648"/>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54</Pages>
  <Words>15138</Words>
  <Characters>83263</Characters>
  <Application>Microsoft Office Word</Application>
  <DocSecurity>4</DocSecurity>
  <Lines>693</Lines>
  <Paragraphs>196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98205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elkin herrera novoa</dc:creator>
  <cp:lastModifiedBy>hasbleidy suarez</cp:lastModifiedBy>
  <cp:revision>2</cp:revision>
  <cp:lastPrinted>2018-09-05T23:42:00Z</cp:lastPrinted>
  <dcterms:created xsi:type="dcterms:W3CDTF">2018-09-07T21:44:00Z</dcterms:created>
  <dcterms:modified xsi:type="dcterms:W3CDTF">2018-09-07T21:44:00Z</dcterms:modified>
</cp:coreProperties>
</file>