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charts/chart6.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0B08" w:rsidRDefault="00C01B15" w:rsidP="007F0B08">
      <w:pPr>
        <w:jc w:val="both"/>
        <w:rPr>
          <w:rFonts w:ascii="Arial" w:hAnsi="Arial" w:cs="Arial"/>
          <w:sz w:val="24"/>
          <w:szCs w:val="24"/>
        </w:rPr>
      </w:pPr>
      <w:r>
        <w:rPr>
          <w:rFonts w:ascii="Arial" w:hAnsi="Arial" w:cs="Arial"/>
          <w:sz w:val="24"/>
          <w:szCs w:val="24"/>
        </w:rPr>
        <w:tab/>
      </w:r>
    </w:p>
    <w:p w:rsidR="00BA111F" w:rsidRPr="00B22B9B" w:rsidRDefault="00BA111F" w:rsidP="007F0B08">
      <w:pPr>
        <w:jc w:val="center"/>
        <w:rPr>
          <w:rFonts w:ascii="Arial" w:hAnsi="Arial" w:cs="Arial"/>
          <w:sz w:val="24"/>
          <w:szCs w:val="24"/>
        </w:rPr>
      </w:pPr>
      <w:r w:rsidRPr="00B22B9B">
        <w:rPr>
          <w:rFonts w:ascii="Arial" w:hAnsi="Arial" w:cs="Arial"/>
          <w:b/>
          <w:sz w:val="24"/>
          <w:szCs w:val="24"/>
        </w:rPr>
        <w:t>PROYECTO D</w:t>
      </w:r>
      <w:r w:rsidR="007F0B08">
        <w:rPr>
          <w:rFonts w:ascii="Arial" w:hAnsi="Arial" w:cs="Arial"/>
          <w:b/>
          <w:sz w:val="24"/>
          <w:szCs w:val="24"/>
        </w:rPr>
        <w:t>E LEY NÚMERO ____ DE 2018 CÁ</w:t>
      </w:r>
      <w:bookmarkStart w:id="0" w:name="_GoBack"/>
      <w:bookmarkEnd w:id="0"/>
      <w:r w:rsidR="007F0B08">
        <w:rPr>
          <w:rFonts w:ascii="Arial" w:hAnsi="Arial" w:cs="Arial"/>
          <w:b/>
          <w:sz w:val="24"/>
          <w:szCs w:val="24"/>
        </w:rPr>
        <w:t>MARA</w:t>
      </w:r>
    </w:p>
    <w:p w:rsidR="00BA111F" w:rsidRPr="00B22B9B" w:rsidRDefault="00BA111F" w:rsidP="00BA111F">
      <w:pPr>
        <w:jc w:val="center"/>
        <w:rPr>
          <w:rFonts w:ascii="Arial" w:hAnsi="Arial" w:cs="Arial"/>
          <w:sz w:val="24"/>
          <w:szCs w:val="24"/>
        </w:rPr>
      </w:pPr>
      <w:r w:rsidRPr="00B22B9B">
        <w:rPr>
          <w:rFonts w:ascii="Arial" w:hAnsi="Arial" w:cs="Arial"/>
          <w:sz w:val="24"/>
          <w:szCs w:val="24"/>
        </w:rPr>
        <w:t>“</w:t>
      </w:r>
      <w:r w:rsidRPr="00B22B9B">
        <w:rPr>
          <w:rFonts w:ascii="Arial" w:hAnsi="Arial" w:cs="Arial"/>
          <w:i/>
          <w:sz w:val="24"/>
          <w:szCs w:val="24"/>
        </w:rPr>
        <w:t>Por medio de la cual se dictan normas en materia de catastro e impuestos sobre la propiedad raíz y se dictan otras disposiciones</w:t>
      </w:r>
      <w:r w:rsidRPr="00B22B9B">
        <w:rPr>
          <w:rFonts w:ascii="Arial" w:hAnsi="Arial" w:cs="Arial"/>
          <w:sz w:val="24"/>
          <w:szCs w:val="24"/>
        </w:rPr>
        <w:t>.”</w:t>
      </w:r>
    </w:p>
    <w:p w:rsidR="00BA111F" w:rsidRPr="00B22B9B" w:rsidRDefault="00BA111F" w:rsidP="00BA111F">
      <w:pPr>
        <w:jc w:val="center"/>
        <w:rPr>
          <w:rFonts w:ascii="Arial" w:hAnsi="Arial" w:cs="Arial"/>
          <w:sz w:val="24"/>
          <w:szCs w:val="24"/>
        </w:rPr>
      </w:pPr>
      <w:r w:rsidRPr="00B22B9B">
        <w:rPr>
          <w:rFonts w:ascii="Arial" w:hAnsi="Arial" w:cs="Arial"/>
          <w:sz w:val="24"/>
          <w:szCs w:val="24"/>
        </w:rPr>
        <w:t>El Congreso de la república de Colombia</w:t>
      </w:r>
    </w:p>
    <w:p w:rsidR="00BA111F" w:rsidRPr="00B22B9B" w:rsidRDefault="00BA111F" w:rsidP="00BA111F">
      <w:pPr>
        <w:jc w:val="center"/>
        <w:rPr>
          <w:rFonts w:ascii="Arial" w:hAnsi="Arial" w:cs="Arial"/>
          <w:sz w:val="24"/>
          <w:szCs w:val="24"/>
        </w:rPr>
      </w:pPr>
      <w:r w:rsidRPr="00B22B9B">
        <w:rPr>
          <w:rFonts w:ascii="Arial" w:hAnsi="Arial" w:cs="Arial"/>
          <w:sz w:val="24"/>
          <w:szCs w:val="24"/>
        </w:rPr>
        <w:t>DECRETA:</w:t>
      </w:r>
    </w:p>
    <w:p w:rsidR="00BA111F" w:rsidRPr="00B22B9B" w:rsidRDefault="00BA111F" w:rsidP="00BA111F">
      <w:pPr>
        <w:jc w:val="center"/>
        <w:rPr>
          <w:rFonts w:ascii="Arial" w:hAnsi="Arial" w:cs="Arial"/>
          <w:b/>
          <w:sz w:val="24"/>
          <w:szCs w:val="24"/>
        </w:rPr>
      </w:pPr>
      <w:r w:rsidRPr="00B22B9B">
        <w:rPr>
          <w:rFonts w:ascii="Arial" w:hAnsi="Arial" w:cs="Arial"/>
          <w:b/>
          <w:sz w:val="24"/>
          <w:szCs w:val="24"/>
        </w:rPr>
        <w:t>CAPÍTULO I</w:t>
      </w:r>
    </w:p>
    <w:p w:rsidR="00BA111F" w:rsidRPr="00B22B9B" w:rsidRDefault="00BA111F" w:rsidP="00BA111F">
      <w:pPr>
        <w:jc w:val="center"/>
        <w:rPr>
          <w:rFonts w:ascii="Arial" w:hAnsi="Arial" w:cs="Arial"/>
          <w:b/>
          <w:sz w:val="24"/>
          <w:szCs w:val="24"/>
        </w:rPr>
      </w:pPr>
      <w:r w:rsidRPr="00B22B9B">
        <w:rPr>
          <w:rFonts w:ascii="Arial" w:hAnsi="Arial" w:cs="Arial"/>
          <w:b/>
          <w:sz w:val="24"/>
          <w:szCs w:val="24"/>
        </w:rPr>
        <w:t>DISPOSICIONES GENERALES</w:t>
      </w:r>
    </w:p>
    <w:p w:rsidR="00BA111F" w:rsidRPr="00B22B9B" w:rsidRDefault="00BA111F" w:rsidP="00BA111F">
      <w:pPr>
        <w:jc w:val="both"/>
        <w:rPr>
          <w:rFonts w:ascii="Arial" w:hAnsi="Arial" w:cs="Arial"/>
          <w:sz w:val="24"/>
          <w:szCs w:val="24"/>
        </w:rPr>
      </w:pPr>
      <w:r w:rsidRPr="00B22B9B">
        <w:rPr>
          <w:rFonts w:ascii="Arial" w:hAnsi="Arial" w:cs="Arial"/>
          <w:b/>
          <w:sz w:val="24"/>
          <w:szCs w:val="24"/>
        </w:rPr>
        <w:t>ARTÍCULO 1°. OBJETIVO.</w:t>
      </w:r>
      <w:r w:rsidRPr="00B22B9B">
        <w:rPr>
          <w:rFonts w:ascii="Arial" w:hAnsi="Arial" w:cs="Arial"/>
          <w:sz w:val="24"/>
          <w:szCs w:val="24"/>
        </w:rPr>
        <w:t xml:space="preserve"> La presente ley tiene como objetivo establecer algunos criterios para la formación, actualización, límites y ajuste de los catastros.</w:t>
      </w:r>
    </w:p>
    <w:p w:rsidR="00646195" w:rsidRPr="00B22B9B" w:rsidRDefault="00646195" w:rsidP="00BA111F">
      <w:pPr>
        <w:jc w:val="both"/>
        <w:rPr>
          <w:rFonts w:ascii="Arial" w:hAnsi="Arial" w:cs="Arial"/>
          <w:sz w:val="24"/>
          <w:szCs w:val="24"/>
        </w:rPr>
      </w:pPr>
    </w:p>
    <w:p w:rsidR="00BA111F" w:rsidRPr="00B22B9B" w:rsidRDefault="00BA111F" w:rsidP="00BA111F">
      <w:pPr>
        <w:jc w:val="both"/>
        <w:rPr>
          <w:rFonts w:ascii="Arial" w:hAnsi="Arial" w:cs="Arial"/>
          <w:sz w:val="24"/>
          <w:szCs w:val="24"/>
        </w:rPr>
      </w:pPr>
      <w:r w:rsidRPr="00B22B9B">
        <w:rPr>
          <w:rFonts w:ascii="Arial" w:hAnsi="Arial" w:cs="Arial"/>
          <w:b/>
          <w:sz w:val="24"/>
          <w:szCs w:val="24"/>
        </w:rPr>
        <w:t>ARTÍCULO 2°. ÁMBITO DE APLICACIÓN.</w:t>
      </w:r>
      <w:r w:rsidRPr="00B22B9B">
        <w:rPr>
          <w:rFonts w:ascii="Arial" w:hAnsi="Arial" w:cs="Arial"/>
          <w:sz w:val="24"/>
          <w:szCs w:val="24"/>
        </w:rPr>
        <w:t xml:space="preserve"> Las disposiciones contenidas en la presente ley regirán para todo el territorio nacional incluidos todos los distritos y municipios del país.</w:t>
      </w:r>
    </w:p>
    <w:p w:rsidR="00BA111F" w:rsidRPr="00B22B9B" w:rsidRDefault="00BA111F" w:rsidP="00BA111F">
      <w:pPr>
        <w:jc w:val="both"/>
        <w:rPr>
          <w:rFonts w:ascii="Arial" w:hAnsi="Arial" w:cs="Arial"/>
          <w:sz w:val="24"/>
          <w:szCs w:val="24"/>
        </w:rPr>
      </w:pPr>
    </w:p>
    <w:p w:rsidR="00BA111F" w:rsidRPr="00B22B9B" w:rsidRDefault="00BA111F" w:rsidP="00BA111F">
      <w:pPr>
        <w:jc w:val="center"/>
        <w:rPr>
          <w:rFonts w:ascii="Arial" w:hAnsi="Arial" w:cs="Arial"/>
          <w:b/>
          <w:sz w:val="24"/>
          <w:szCs w:val="24"/>
        </w:rPr>
      </w:pPr>
      <w:r w:rsidRPr="00B22B9B">
        <w:rPr>
          <w:rFonts w:ascii="Arial" w:hAnsi="Arial" w:cs="Arial"/>
          <w:b/>
          <w:sz w:val="24"/>
          <w:szCs w:val="24"/>
        </w:rPr>
        <w:t>CAPÍTULO II</w:t>
      </w:r>
    </w:p>
    <w:p w:rsidR="00BA111F" w:rsidRPr="00B22B9B" w:rsidRDefault="00BA111F" w:rsidP="00BA111F">
      <w:pPr>
        <w:jc w:val="center"/>
        <w:rPr>
          <w:rFonts w:ascii="Arial" w:hAnsi="Arial" w:cs="Arial"/>
          <w:b/>
          <w:sz w:val="24"/>
          <w:szCs w:val="24"/>
        </w:rPr>
      </w:pPr>
      <w:r w:rsidRPr="00B22B9B">
        <w:rPr>
          <w:rFonts w:ascii="Arial" w:hAnsi="Arial" w:cs="Arial"/>
          <w:b/>
          <w:sz w:val="24"/>
          <w:szCs w:val="24"/>
        </w:rPr>
        <w:t>DE LA FORMACIÓN, ACTUALIZACION, LIMITES Y AJUSTE DE LOS AVALUOS CATASTRALES.</w:t>
      </w:r>
    </w:p>
    <w:p w:rsidR="00BA111F" w:rsidRPr="00B22B9B" w:rsidRDefault="00BA111F" w:rsidP="00BA111F">
      <w:pPr>
        <w:jc w:val="both"/>
        <w:rPr>
          <w:rFonts w:ascii="Arial" w:hAnsi="Arial" w:cs="Arial"/>
          <w:sz w:val="24"/>
          <w:szCs w:val="24"/>
        </w:rPr>
      </w:pPr>
    </w:p>
    <w:p w:rsidR="00BA111F" w:rsidRPr="00B22B9B" w:rsidRDefault="00BA111F" w:rsidP="00BA111F">
      <w:pPr>
        <w:jc w:val="both"/>
        <w:rPr>
          <w:rFonts w:ascii="Arial" w:hAnsi="Arial" w:cs="Arial"/>
          <w:sz w:val="24"/>
          <w:szCs w:val="24"/>
        </w:rPr>
      </w:pPr>
      <w:r w:rsidRPr="00B22B9B">
        <w:rPr>
          <w:rFonts w:ascii="Arial" w:hAnsi="Arial" w:cs="Arial"/>
          <w:b/>
          <w:sz w:val="24"/>
          <w:szCs w:val="24"/>
        </w:rPr>
        <w:t>ARTÍCULO 3°. FORMACIÓN Y ACTUALIZACIÓN DE LOS CATASTROS.</w:t>
      </w:r>
      <w:r w:rsidRPr="00B22B9B">
        <w:rPr>
          <w:rFonts w:ascii="Arial" w:hAnsi="Arial" w:cs="Arial"/>
          <w:sz w:val="24"/>
          <w:szCs w:val="24"/>
        </w:rPr>
        <w:t xml:space="preserve"> Las autoridades catastrales tienen la obligación de formar los catastros o actualizarlos en todos los municipios del país dentro de períodos mínimos de tres (3) años y máximos de nueve (9) años, con el fin de revisar los elementos físicos o jurídicos del catastro originados en mutaciones físicas, variaciones de uso o de productividad, obras públicas o condiciones locales del mercado inmobiliario. Las entidades territoriales y demás entidades que se beneficien de este proceso, lo cofinanciarán de acuerdo a sus competencias y al reglamento que expida el Gobierno Nacional.</w:t>
      </w:r>
    </w:p>
    <w:p w:rsidR="00BA111F" w:rsidRPr="00B22B9B" w:rsidRDefault="00BA111F" w:rsidP="00BA111F">
      <w:pPr>
        <w:jc w:val="both"/>
        <w:rPr>
          <w:rFonts w:ascii="Arial" w:hAnsi="Arial" w:cs="Arial"/>
          <w:sz w:val="24"/>
          <w:szCs w:val="24"/>
        </w:rPr>
      </w:pPr>
      <w:r w:rsidRPr="00B22B9B">
        <w:rPr>
          <w:rFonts w:ascii="Arial" w:hAnsi="Arial" w:cs="Arial"/>
          <w:sz w:val="24"/>
          <w:szCs w:val="24"/>
        </w:rPr>
        <w:t xml:space="preserve">El Instituto Geográfico Agustín Codazzi formulará, con el apoyo de los catastros descentralizados, una metodología que permita desarrollar la actualización periódica, para la aplicación por parte de estas entidades. De igual forma, </w:t>
      </w:r>
      <w:r w:rsidRPr="00B22B9B">
        <w:rPr>
          <w:rFonts w:ascii="Arial" w:hAnsi="Arial" w:cs="Arial"/>
          <w:sz w:val="24"/>
          <w:szCs w:val="24"/>
        </w:rPr>
        <w:lastRenderedPageBreak/>
        <w:t>establecerá para la actualización modelos que permitan estimar valores integrales de los predios acordes con la dinámica del mercado inmobiliario.</w:t>
      </w:r>
    </w:p>
    <w:p w:rsidR="00BA111F" w:rsidRPr="00B22B9B" w:rsidRDefault="00BA111F" w:rsidP="00BA111F">
      <w:pPr>
        <w:jc w:val="both"/>
        <w:rPr>
          <w:rFonts w:ascii="Arial" w:hAnsi="Arial" w:cs="Arial"/>
          <w:sz w:val="24"/>
          <w:szCs w:val="24"/>
        </w:rPr>
      </w:pPr>
      <w:r w:rsidRPr="00B22B9B">
        <w:rPr>
          <w:rFonts w:ascii="Arial" w:hAnsi="Arial" w:cs="Arial"/>
          <w:sz w:val="24"/>
          <w:szCs w:val="24"/>
        </w:rPr>
        <w:t xml:space="preserve">La variación del avalúo catastral de los bienes inmuebles resultante de la actualización de que trata la presente ley no podrá ser superior al promedio móvil de los últimos </w:t>
      </w:r>
      <w:r w:rsidR="004946A4" w:rsidRPr="00B22B9B">
        <w:rPr>
          <w:rFonts w:ascii="Arial" w:hAnsi="Arial" w:cs="Arial"/>
          <w:sz w:val="24"/>
          <w:szCs w:val="24"/>
        </w:rPr>
        <w:t>cinco (</w:t>
      </w:r>
      <w:r w:rsidRPr="00B22B9B">
        <w:rPr>
          <w:rFonts w:ascii="Arial" w:hAnsi="Arial" w:cs="Arial"/>
          <w:sz w:val="24"/>
          <w:szCs w:val="24"/>
        </w:rPr>
        <w:t>5</w:t>
      </w:r>
      <w:r w:rsidR="004946A4" w:rsidRPr="00B22B9B">
        <w:rPr>
          <w:rFonts w:ascii="Arial" w:hAnsi="Arial" w:cs="Arial"/>
          <w:sz w:val="24"/>
          <w:szCs w:val="24"/>
        </w:rPr>
        <w:t>)</w:t>
      </w:r>
      <w:r w:rsidRPr="00B22B9B">
        <w:rPr>
          <w:rFonts w:ascii="Arial" w:hAnsi="Arial" w:cs="Arial"/>
          <w:sz w:val="24"/>
          <w:szCs w:val="24"/>
        </w:rPr>
        <w:t xml:space="preserve"> años de la variación del Índice de Precios al Consumidor a diciembre de cada vigencia.</w:t>
      </w:r>
    </w:p>
    <w:p w:rsidR="00646195" w:rsidRPr="00B22B9B" w:rsidRDefault="00646195" w:rsidP="00BA111F">
      <w:pPr>
        <w:jc w:val="both"/>
        <w:rPr>
          <w:rFonts w:ascii="Arial" w:hAnsi="Arial" w:cs="Arial"/>
          <w:sz w:val="24"/>
          <w:szCs w:val="24"/>
        </w:rPr>
      </w:pPr>
    </w:p>
    <w:p w:rsidR="00BA111F" w:rsidRPr="00B22B9B" w:rsidRDefault="00BA111F" w:rsidP="00BA111F">
      <w:pPr>
        <w:jc w:val="both"/>
        <w:rPr>
          <w:rFonts w:ascii="Arial" w:hAnsi="Arial" w:cs="Arial"/>
          <w:sz w:val="24"/>
          <w:szCs w:val="24"/>
        </w:rPr>
      </w:pPr>
      <w:r w:rsidRPr="00B22B9B">
        <w:rPr>
          <w:rFonts w:ascii="Arial" w:hAnsi="Arial" w:cs="Arial"/>
          <w:b/>
          <w:sz w:val="24"/>
          <w:szCs w:val="24"/>
        </w:rPr>
        <w:t>ARTÍCULO 4°. LIMITES SUPERIORES E INFERIORES DEL VALOR DEL AVALUO CATASTRAL.</w:t>
      </w:r>
      <w:r w:rsidRPr="00B22B9B">
        <w:rPr>
          <w:rFonts w:ascii="Arial" w:hAnsi="Arial" w:cs="Arial"/>
          <w:sz w:val="24"/>
          <w:szCs w:val="24"/>
        </w:rPr>
        <w:t xml:space="preserve"> El primer avaluó catastral a partir de la expedición de la presente ley, no podrá ser inferior al sesenta por ciento (60%) ni superior al setenta (70%) de su valor comercial.</w:t>
      </w:r>
    </w:p>
    <w:p w:rsidR="00646195" w:rsidRPr="00B22B9B" w:rsidRDefault="00646195" w:rsidP="00BA111F">
      <w:pPr>
        <w:jc w:val="both"/>
        <w:rPr>
          <w:rFonts w:ascii="Arial" w:hAnsi="Arial" w:cs="Arial"/>
          <w:sz w:val="24"/>
          <w:szCs w:val="24"/>
        </w:rPr>
      </w:pPr>
    </w:p>
    <w:p w:rsidR="00BA111F" w:rsidRPr="00B22B9B" w:rsidRDefault="00BA111F" w:rsidP="00BA111F">
      <w:pPr>
        <w:spacing w:after="0" w:line="240" w:lineRule="auto"/>
        <w:jc w:val="both"/>
        <w:rPr>
          <w:rFonts w:ascii="Arial" w:hAnsi="Arial" w:cs="Arial"/>
          <w:sz w:val="24"/>
          <w:szCs w:val="24"/>
        </w:rPr>
      </w:pPr>
      <w:r w:rsidRPr="00B22B9B">
        <w:rPr>
          <w:rFonts w:ascii="Arial" w:hAnsi="Arial" w:cs="Arial"/>
          <w:b/>
          <w:sz w:val="24"/>
          <w:szCs w:val="24"/>
        </w:rPr>
        <w:t>ARTÍCULO 5°.</w:t>
      </w:r>
      <w:r w:rsidRPr="00B22B9B">
        <w:rPr>
          <w:rFonts w:ascii="Arial" w:hAnsi="Arial" w:cs="Arial"/>
          <w:sz w:val="24"/>
          <w:szCs w:val="24"/>
        </w:rPr>
        <w:t xml:space="preserve"> Adicionase un parágrafo al artículo 8 de la Ley 44 de 1990 que quedara así: </w:t>
      </w:r>
    </w:p>
    <w:p w:rsidR="00BA111F" w:rsidRPr="00B22B9B" w:rsidRDefault="00BA111F" w:rsidP="00BA111F">
      <w:pPr>
        <w:spacing w:after="0" w:line="240" w:lineRule="auto"/>
        <w:jc w:val="both"/>
        <w:rPr>
          <w:rFonts w:ascii="Arial" w:hAnsi="Arial" w:cs="Arial"/>
          <w:sz w:val="24"/>
          <w:szCs w:val="24"/>
        </w:rPr>
      </w:pPr>
    </w:p>
    <w:p w:rsidR="00BA111F" w:rsidRPr="00B22B9B" w:rsidRDefault="00BA111F" w:rsidP="00BA111F">
      <w:pPr>
        <w:jc w:val="both"/>
        <w:rPr>
          <w:rFonts w:ascii="Arial" w:hAnsi="Arial" w:cs="Arial"/>
          <w:sz w:val="24"/>
          <w:szCs w:val="24"/>
        </w:rPr>
      </w:pPr>
      <w:r w:rsidRPr="00B22B9B">
        <w:rPr>
          <w:rFonts w:ascii="Arial" w:hAnsi="Arial" w:cs="Arial"/>
          <w:bCs/>
          <w:sz w:val="24"/>
          <w:szCs w:val="24"/>
        </w:rPr>
        <w:t xml:space="preserve">Parágrafo 2.- Las disposiciones establecidas en el presente artículo regirán para todo el territorio nacional </w:t>
      </w:r>
      <w:r w:rsidRPr="00B22B9B">
        <w:rPr>
          <w:rFonts w:ascii="Arial" w:hAnsi="Arial" w:cs="Arial"/>
          <w:sz w:val="24"/>
          <w:szCs w:val="24"/>
        </w:rPr>
        <w:t>incluidos todos los distritos y municipios del país.</w:t>
      </w:r>
    </w:p>
    <w:p w:rsidR="00646195" w:rsidRPr="00B22B9B" w:rsidRDefault="00646195" w:rsidP="00BA111F">
      <w:pPr>
        <w:jc w:val="both"/>
        <w:rPr>
          <w:rFonts w:ascii="Arial" w:hAnsi="Arial" w:cs="Arial"/>
          <w:sz w:val="24"/>
          <w:szCs w:val="24"/>
        </w:rPr>
      </w:pPr>
    </w:p>
    <w:p w:rsidR="00BA111F" w:rsidRPr="00B22B9B" w:rsidRDefault="00BA111F" w:rsidP="00BA111F">
      <w:pPr>
        <w:jc w:val="both"/>
        <w:rPr>
          <w:rFonts w:ascii="Arial" w:hAnsi="Arial" w:cs="Arial"/>
          <w:sz w:val="24"/>
          <w:szCs w:val="24"/>
        </w:rPr>
      </w:pPr>
      <w:r w:rsidRPr="00B22B9B">
        <w:rPr>
          <w:rFonts w:ascii="Arial" w:hAnsi="Arial" w:cs="Arial"/>
          <w:b/>
          <w:sz w:val="24"/>
          <w:szCs w:val="24"/>
        </w:rPr>
        <w:t>ARTICULO 6°. PLAZO PARA EL PAGO DEL IMPUESTO PREDIAL.</w:t>
      </w:r>
      <w:r w:rsidRPr="00B22B9B">
        <w:rPr>
          <w:rFonts w:ascii="Arial" w:hAnsi="Arial" w:cs="Arial"/>
          <w:sz w:val="24"/>
          <w:szCs w:val="24"/>
        </w:rPr>
        <w:t xml:space="preserve"> Las alcandías municipales y distritales serán autónomas para determinar si se otorga o no plazo alguno para la cancelación del impuesto predial por parte de los contribuyentes o si el mismo se realiza en cuotas periódicas. </w:t>
      </w:r>
    </w:p>
    <w:p w:rsidR="00646195" w:rsidRPr="00B22B9B" w:rsidRDefault="00646195" w:rsidP="00BA111F">
      <w:pPr>
        <w:jc w:val="both"/>
        <w:rPr>
          <w:rFonts w:ascii="Arial" w:hAnsi="Arial" w:cs="Arial"/>
          <w:sz w:val="24"/>
          <w:szCs w:val="24"/>
        </w:rPr>
      </w:pPr>
    </w:p>
    <w:p w:rsidR="00BA111F" w:rsidRPr="00B22B9B" w:rsidRDefault="00BA111F" w:rsidP="00BA111F">
      <w:pPr>
        <w:spacing w:after="0" w:line="240" w:lineRule="auto"/>
        <w:jc w:val="both"/>
        <w:rPr>
          <w:rFonts w:ascii="Arial" w:hAnsi="Arial" w:cs="Arial"/>
          <w:b/>
          <w:bCs/>
          <w:sz w:val="24"/>
          <w:szCs w:val="24"/>
        </w:rPr>
      </w:pPr>
      <w:r w:rsidRPr="00B22B9B">
        <w:rPr>
          <w:rFonts w:ascii="Arial" w:hAnsi="Arial" w:cs="Arial"/>
          <w:b/>
          <w:sz w:val="24"/>
          <w:szCs w:val="24"/>
        </w:rPr>
        <w:t>ARTÍCULO 7°. VIGENCIA.</w:t>
      </w:r>
      <w:r w:rsidRPr="00B22B9B">
        <w:rPr>
          <w:rFonts w:ascii="Arial" w:hAnsi="Arial" w:cs="Arial"/>
          <w:sz w:val="24"/>
          <w:szCs w:val="24"/>
        </w:rPr>
        <w:t xml:space="preserve"> La presente ley rige a partir de su publicación y deroga todas las disposiciones que le sean contrarias.</w:t>
      </w:r>
    </w:p>
    <w:p w:rsidR="00BA111F" w:rsidRPr="00B22B9B" w:rsidRDefault="00BA111F" w:rsidP="00BA111F">
      <w:pPr>
        <w:spacing w:after="0" w:line="240" w:lineRule="auto"/>
        <w:jc w:val="both"/>
        <w:rPr>
          <w:rFonts w:ascii="Arial" w:hAnsi="Arial" w:cs="Arial"/>
          <w:b/>
          <w:bCs/>
          <w:sz w:val="24"/>
          <w:szCs w:val="24"/>
        </w:rPr>
      </w:pPr>
    </w:p>
    <w:p w:rsidR="00BA111F" w:rsidRDefault="00BA111F" w:rsidP="00BA111F">
      <w:pPr>
        <w:jc w:val="both"/>
        <w:rPr>
          <w:rFonts w:ascii="Arial" w:hAnsi="Arial" w:cs="Arial"/>
          <w:sz w:val="24"/>
          <w:szCs w:val="24"/>
        </w:rPr>
      </w:pPr>
    </w:p>
    <w:p w:rsidR="005B2B89" w:rsidRPr="00B22B9B" w:rsidRDefault="005B2B89" w:rsidP="00BA111F">
      <w:pPr>
        <w:jc w:val="both"/>
        <w:rPr>
          <w:rFonts w:ascii="Arial" w:hAnsi="Arial" w:cs="Arial"/>
          <w:sz w:val="24"/>
          <w:szCs w:val="24"/>
        </w:rPr>
      </w:pPr>
    </w:p>
    <w:p w:rsidR="005B2B89" w:rsidRDefault="005B2B89" w:rsidP="005B2B89">
      <w:pPr>
        <w:spacing w:after="0"/>
        <w:jc w:val="both"/>
        <w:rPr>
          <w:rFonts w:ascii="Arial" w:hAnsi="Arial" w:cs="Arial"/>
          <w:b/>
          <w:sz w:val="24"/>
          <w:szCs w:val="24"/>
        </w:rPr>
      </w:pPr>
      <w:r>
        <w:rPr>
          <w:rFonts w:ascii="Arial" w:hAnsi="Arial" w:cs="Arial"/>
          <w:b/>
          <w:sz w:val="24"/>
          <w:szCs w:val="24"/>
        </w:rPr>
        <w:t>SANDRA ORTIZ NOVA.                                ____________________________</w:t>
      </w:r>
    </w:p>
    <w:p w:rsidR="00321A0C" w:rsidRDefault="005B2B89" w:rsidP="00321A0C">
      <w:pPr>
        <w:spacing w:after="0"/>
        <w:jc w:val="both"/>
        <w:rPr>
          <w:rFonts w:ascii="Arial" w:hAnsi="Arial" w:cs="Arial"/>
          <w:sz w:val="24"/>
          <w:szCs w:val="24"/>
        </w:rPr>
      </w:pPr>
      <w:r>
        <w:rPr>
          <w:rFonts w:ascii="Arial" w:hAnsi="Arial" w:cs="Arial"/>
          <w:sz w:val="24"/>
          <w:szCs w:val="24"/>
        </w:rPr>
        <w:t>Senadora de la República.</w:t>
      </w:r>
    </w:p>
    <w:p w:rsidR="00321A0C" w:rsidRDefault="00321A0C" w:rsidP="00321A0C">
      <w:pPr>
        <w:spacing w:after="0"/>
        <w:jc w:val="both"/>
        <w:rPr>
          <w:rFonts w:ascii="Arial" w:hAnsi="Arial" w:cs="Arial"/>
          <w:sz w:val="24"/>
          <w:szCs w:val="24"/>
        </w:rPr>
      </w:pPr>
    </w:p>
    <w:p w:rsidR="00321A0C" w:rsidRDefault="00321A0C" w:rsidP="00321A0C">
      <w:pPr>
        <w:spacing w:after="0"/>
        <w:jc w:val="both"/>
        <w:rPr>
          <w:rFonts w:ascii="Arial" w:hAnsi="Arial" w:cs="Arial"/>
          <w:sz w:val="24"/>
          <w:szCs w:val="24"/>
        </w:rPr>
      </w:pPr>
    </w:p>
    <w:p w:rsidR="00321A0C" w:rsidRDefault="00321A0C" w:rsidP="00321A0C">
      <w:pPr>
        <w:spacing w:after="0"/>
        <w:jc w:val="both"/>
        <w:rPr>
          <w:rFonts w:ascii="Arial" w:hAnsi="Arial" w:cs="Arial"/>
          <w:sz w:val="24"/>
          <w:szCs w:val="24"/>
        </w:rPr>
      </w:pPr>
    </w:p>
    <w:p w:rsidR="00BA111F" w:rsidRDefault="00321A0C" w:rsidP="00321A0C">
      <w:pPr>
        <w:spacing w:after="0"/>
        <w:jc w:val="both"/>
        <w:rPr>
          <w:rFonts w:ascii="Arial" w:hAnsi="Arial" w:cs="Arial"/>
          <w:sz w:val="24"/>
          <w:szCs w:val="24"/>
        </w:rPr>
      </w:pPr>
      <w:r>
        <w:rPr>
          <w:rFonts w:ascii="Arial" w:hAnsi="Arial" w:cs="Arial"/>
          <w:sz w:val="24"/>
          <w:szCs w:val="24"/>
        </w:rPr>
        <w:t xml:space="preserve"> </w:t>
      </w:r>
    </w:p>
    <w:p w:rsidR="00BA111F" w:rsidRDefault="00BA111F" w:rsidP="00BA111F">
      <w:pPr>
        <w:jc w:val="center"/>
        <w:rPr>
          <w:rFonts w:ascii="Arial" w:hAnsi="Arial" w:cs="Arial"/>
          <w:sz w:val="24"/>
          <w:szCs w:val="24"/>
        </w:rPr>
      </w:pPr>
    </w:p>
    <w:p w:rsidR="00BA111F" w:rsidRDefault="00BA111F" w:rsidP="00BA111F">
      <w:pPr>
        <w:jc w:val="center"/>
        <w:rPr>
          <w:rFonts w:ascii="Arial" w:hAnsi="Arial" w:cs="Arial"/>
          <w:b/>
          <w:sz w:val="24"/>
          <w:szCs w:val="24"/>
        </w:rPr>
      </w:pPr>
      <w:r w:rsidRPr="006720B4">
        <w:rPr>
          <w:rFonts w:ascii="Arial" w:hAnsi="Arial" w:cs="Arial"/>
          <w:b/>
          <w:sz w:val="24"/>
          <w:szCs w:val="24"/>
        </w:rPr>
        <w:t>EXPOSICIÓN DE MOTIVOS</w:t>
      </w:r>
    </w:p>
    <w:p w:rsidR="00BA111F" w:rsidRDefault="00BA111F" w:rsidP="00BA111F">
      <w:pPr>
        <w:pStyle w:val="Prrafodelista"/>
        <w:numPr>
          <w:ilvl w:val="0"/>
          <w:numId w:val="1"/>
        </w:numPr>
        <w:jc w:val="both"/>
        <w:rPr>
          <w:rFonts w:ascii="Arial" w:hAnsi="Arial" w:cs="Arial"/>
          <w:b/>
          <w:sz w:val="24"/>
          <w:szCs w:val="24"/>
        </w:rPr>
      </w:pPr>
      <w:r w:rsidRPr="007A50E5">
        <w:rPr>
          <w:rFonts w:ascii="Arial" w:hAnsi="Arial" w:cs="Arial"/>
          <w:b/>
          <w:sz w:val="24"/>
          <w:szCs w:val="24"/>
        </w:rPr>
        <w:t>Objetivo</w:t>
      </w:r>
      <w:r>
        <w:rPr>
          <w:rFonts w:ascii="Arial" w:hAnsi="Arial" w:cs="Arial"/>
          <w:b/>
          <w:sz w:val="24"/>
          <w:szCs w:val="24"/>
        </w:rPr>
        <w:t xml:space="preserve"> del proyecto de ley</w:t>
      </w:r>
      <w:r w:rsidRPr="007A50E5">
        <w:rPr>
          <w:rFonts w:ascii="Arial" w:hAnsi="Arial" w:cs="Arial"/>
          <w:b/>
          <w:sz w:val="24"/>
          <w:szCs w:val="24"/>
        </w:rPr>
        <w:t>.</w:t>
      </w:r>
    </w:p>
    <w:p w:rsidR="00BA111F" w:rsidRPr="00646195" w:rsidRDefault="00BA111F" w:rsidP="00BA111F">
      <w:pPr>
        <w:jc w:val="both"/>
        <w:rPr>
          <w:rFonts w:ascii="Arial" w:hAnsi="Arial" w:cs="Arial"/>
          <w:sz w:val="24"/>
          <w:szCs w:val="24"/>
        </w:rPr>
      </w:pPr>
      <w:r>
        <w:rPr>
          <w:rFonts w:ascii="Arial" w:hAnsi="Arial" w:cs="Arial"/>
          <w:sz w:val="24"/>
          <w:szCs w:val="24"/>
        </w:rPr>
        <w:t xml:space="preserve">El objetivo principal del presente proyecto de ley es limitar las fluctuaciones del valor del impuesto predial a nivel nacional ya que como se mostrará en la presente exposición de motivos, el valor de este impuesto en algunos casos ha crecido de manera desproporcionada si </w:t>
      </w:r>
      <w:r w:rsidRPr="00646195">
        <w:rPr>
          <w:rFonts w:ascii="Arial" w:hAnsi="Arial" w:cs="Arial"/>
          <w:sz w:val="24"/>
          <w:szCs w:val="24"/>
        </w:rPr>
        <w:t>se compara con el crecimiento económico del país en general, el incremento del salario mínimo mensual o el crecimiento anual de la inflación.</w:t>
      </w:r>
    </w:p>
    <w:p w:rsidR="00BA111F" w:rsidRPr="00646195" w:rsidRDefault="00BA111F" w:rsidP="00BA111F">
      <w:pPr>
        <w:jc w:val="both"/>
        <w:rPr>
          <w:rFonts w:ascii="Arial" w:hAnsi="Arial" w:cs="Arial"/>
          <w:sz w:val="24"/>
          <w:szCs w:val="24"/>
        </w:rPr>
      </w:pPr>
      <w:r w:rsidRPr="00646195">
        <w:rPr>
          <w:rFonts w:ascii="Arial" w:hAnsi="Arial" w:cs="Arial"/>
          <w:sz w:val="24"/>
          <w:szCs w:val="24"/>
        </w:rPr>
        <w:t>De igual forma, el desproporcionado incremento de este impuesto en los últimos años en Colombia, ha coadyuvado a la obtención de una de las tasas totales impositivas más altas de la región (69.8%), únicamente inferior a la tasa de Argentina (106%) y Bolivia (83,7%) lo que a su vez resta competitividad y es un factor negativo para la inversión extranjera directa.</w:t>
      </w:r>
    </w:p>
    <w:p w:rsidR="00BA111F" w:rsidRDefault="00BA111F" w:rsidP="00BA111F">
      <w:pPr>
        <w:jc w:val="both"/>
        <w:rPr>
          <w:rFonts w:ascii="Arial" w:hAnsi="Arial" w:cs="Arial"/>
          <w:sz w:val="24"/>
          <w:szCs w:val="24"/>
        </w:rPr>
      </w:pPr>
      <w:r w:rsidRPr="00646195">
        <w:rPr>
          <w:rFonts w:ascii="Arial" w:hAnsi="Arial" w:cs="Arial"/>
          <w:sz w:val="24"/>
          <w:szCs w:val="24"/>
        </w:rPr>
        <w:t>Así mismo, ya que tener vivienda propia acarrea</w:t>
      </w:r>
      <w:r>
        <w:rPr>
          <w:rFonts w:ascii="Arial" w:hAnsi="Arial" w:cs="Arial"/>
          <w:sz w:val="24"/>
          <w:szCs w:val="24"/>
        </w:rPr>
        <w:t xml:space="preserve"> unas mayores y desproporcionadas cargas impositivas para los hogares, estas grandes variaciones en el impuesto predial unificado, desincentivan la disminución del déficit cuantitativo de vivienda que tiene el país que de conformidad con el censo general del 2005 ascendía a 1.307.757 viviendas tanto en las cabeceras municipales como en el resto del país.</w:t>
      </w:r>
    </w:p>
    <w:p w:rsidR="00BA111F" w:rsidRDefault="00BA111F" w:rsidP="00BA111F">
      <w:pPr>
        <w:jc w:val="both"/>
        <w:rPr>
          <w:rFonts w:ascii="Arial" w:hAnsi="Arial" w:cs="Arial"/>
          <w:sz w:val="24"/>
          <w:szCs w:val="24"/>
        </w:rPr>
      </w:pPr>
    </w:p>
    <w:p w:rsidR="00BA111F" w:rsidRDefault="00BA111F" w:rsidP="00BA111F">
      <w:pPr>
        <w:jc w:val="both"/>
        <w:rPr>
          <w:rFonts w:ascii="Arial" w:hAnsi="Arial" w:cs="Arial"/>
          <w:sz w:val="24"/>
          <w:szCs w:val="24"/>
        </w:rPr>
      </w:pPr>
      <w:r>
        <w:rPr>
          <w:rFonts w:ascii="Arial" w:hAnsi="Arial" w:cs="Arial"/>
          <w:sz w:val="24"/>
          <w:szCs w:val="24"/>
        </w:rPr>
        <w:t xml:space="preserve">Para limitar las fluctuaciones del valor del impuesto predial a nivel nacional se plantea: </w:t>
      </w:r>
    </w:p>
    <w:p w:rsidR="00BA111F" w:rsidRPr="00646195" w:rsidRDefault="00BA111F" w:rsidP="00BA111F">
      <w:pPr>
        <w:pStyle w:val="Prrafodelista"/>
        <w:numPr>
          <w:ilvl w:val="0"/>
          <w:numId w:val="6"/>
        </w:numPr>
        <w:jc w:val="both"/>
        <w:rPr>
          <w:rFonts w:ascii="Arial" w:hAnsi="Arial" w:cs="Arial"/>
          <w:sz w:val="24"/>
          <w:szCs w:val="24"/>
        </w:rPr>
      </w:pPr>
      <w:r w:rsidRPr="00516F5D">
        <w:rPr>
          <w:rFonts w:ascii="Arial" w:hAnsi="Arial" w:cs="Arial"/>
          <w:sz w:val="24"/>
          <w:szCs w:val="24"/>
        </w:rPr>
        <w:t xml:space="preserve">Limitar los periodos mínimos y máximos para la formación y actualización de los catastros a nivel </w:t>
      </w:r>
      <w:r w:rsidRPr="00646195">
        <w:rPr>
          <w:rFonts w:ascii="Arial" w:hAnsi="Arial" w:cs="Arial"/>
          <w:sz w:val="24"/>
          <w:szCs w:val="24"/>
        </w:rPr>
        <w:t xml:space="preserve">nacional, estableciendo que los mismos se deben formar o actualizar dentro de periodos mínimos de tres (3) años y máximos de nueve (9) años. </w:t>
      </w:r>
    </w:p>
    <w:p w:rsidR="00BA111F" w:rsidRPr="00646195" w:rsidRDefault="00BA111F" w:rsidP="00BA111F">
      <w:pPr>
        <w:pStyle w:val="Prrafodelista"/>
        <w:numPr>
          <w:ilvl w:val="0"/>
          <w:numId w:val="6"/>
        </w:numPr>
        <w:jc w:val="both"/>
        <w:rPr>
          <w:rFonts w:ascii="Arial" w:hAnsi="Arial" w:cs="Arial"/>
          <w:sz w:val="24"/>
          <w:szCs w:val="24"/>
        </w:rPr>
      </w:pPr>
      <w:r w:rsidRPr="00646195">
        <w:rPr>
          <w:rFonts w:ascii="Arial" w:hAnsi="Arial" w:cs="Arial"/>
          <w:sz w:val="24"/>
          <w:szCs w:val="24"/>
        </w:rPr>
        <w:t>Establecer que el primer avaluó catastral a partir de la expedición de la ley, no pueda ser inferior al 60% ni superior al 70% de su valor comercial y que el incremento del mismo por actualización no pueda ser superior al promedio móvil de los últimos 5 años de la variación del IPC a diciembre de cada año.</w:t>
      </w:r>
    </w:p>
    <w:p w:rsidR="00BA111F" w:rsidRPr="004E3D88" w:rsidRDefault="00BA111F" w:rsidP="00BA111F">
      <w:pPr>
        <w:pStyle w:val="Prrafodelista"/>
        <w:numPr>
          <w:ilvl w:val="0"/>
          <w:numId w:val="6"/>
        </w:numPr>
        <w:jc w:val="both"/>
        <w:rPr>
          <w:rFonts w:ascii="Arial" w:hAnsi="Arial" w:cs="Arial"/>
          <w:sz w:val="24"/>
          <w:szCs w:val="24"/>
        </w:rPr>
      </w:pPr>
      <w:r w:rsidRPr="00646195">
        <w:rPr>
          <w:rFonts w:ascii="Arial" w:hAnsi="Arial" w:cs="Arial"/>
          <w:sz w:val="24"/>
          <w:szCs w:val="24"/>
        </w:rPr>
        <w:t xml:space="preserve">Establecer que el ajuste anual de los avalúos catastrales establecido en el artículo 8° de la Ley 44 de 1990 </w:t>
      </w:r>
      <w:r w:rsidRPr="00646195">
        <w:rPr>
          <w:rFonts w:ascii="Arial" w:hAnsi="Arial" w:cs="Arial"/>
          <w:i/>
          <w:sz w:val="24"/>
          <w:szCs w:val="24"/>
        </w:rPr>
        <w:t>“por la cual se dictan</w:t>
      </w:r>
      <w:r w:rsidRPr="004E3D88">
        <w:rPr>
          <w:rFonts w:ascii="Arial" w:hAnsi="Arial" w:cs="Arial"/>
          <w:i/>
          <w:sz w:val="24"/>
          <w:szCs w:val="24"/>
        </w:rPr>
        <w:t xml:space="preserve"> normas sobre catastro e impuestos sobre la propiedad raíz, se dictan otras disposiciones de carácter tributario, y se conceden unas facultades extraordinarias.”</w:t>
      </w:r>
      <w:r w:rsidRPr="004E3D88">
        <w:rPr>
          <w:rFonts w:ascii="Arial" w:hAnsi="Arial" w:cs="Arial"/>
          <w:sz w:val="24"/>
          <w:szCs w:val="24"/>
        </w:rPr>
        <w:t xml:space="preserve">, aplique para los </w:t>
      </w:r>
      <w:r w:rsidRPr="004E3D88">
        <w:rPr>
          <w:rFonts w:ascii="Arial" w:hAnsi="Arial" w:cs="Arial"/>
          <w:sz w:val="24"/>
          <w:szCs w:val="24"/>
        </w:rPr>
        <w:lastRenderedPageBreak/>
        <w:t>catastros de todo el territorio nacional sin excepción, es decir, que el porcentaje de incremento del ajuste no será inferior al 70% ni superior al 100% del incremento del índice nacional promedio de precios al consumidor en todo el país.</w:t>
      </w:r>
    </w:p>
    <w:p w:rsidR="00BA111F" w:rsidRPr="00881E6F" w:rsidRDefault="00BA111F" w:rsidP="00BA111F">
      <w:pPr>
        <w:jc w:val="both"/>
        <w:rPr>
          <w:rFonts w:ascii="Arial" w:hAnsi="Arial" w:cs="Arial"/>
          <w:b/>
          <w:sz w:val="24"/>
          <w:szCs w:val="24"/>
        </w:rPr>
      </w:pPr>
    </w:p>
    <w:p w:rsidR="00BA111F" w:rsidRDefault="00BA111F" w:rsidP="00BA111F">
      <w:pPr>
        <w:jc w:val="both"/>
        <w:rPr>
          <w:rFonts w:ascii="Arial" w:hAnsi="Arial" w:cs="Arial"/>
          <w:sz w:val="24"/>
          <w:szCs w:val="24"/>
        </w:rPr>
      </w:pPr>
      <w:r>
        <w:rPr>
          <w:rFonts w:ascii="Arial" w:hAnsi="Arial" w:cs="Arial"/>
          <w:sz w:val="24"/>
          <w:szCs w:val="24"/>
        </w:rPr>
        <w:t xml:space="preserve">Como se desprende de la presente exposición de motivos, la problemática actual del impuesto predial unificado en el país se puede dividir en 2 componentes: el primero hace referencia al incremento desproporcionado </w:t>
      </w:r>
      <w:r w:rsidRPr="007917CC">
        <w:rPr>
          <w:rFonts w:ascii="Arial" w:hAnsi="Arial" w:cs="Arial"/>
          <w:sz w:val="24"/>
          <w:szCs w:val="24"/>
        </w:rPr>
        <w:t>del valor del impuesto predial en algunas ciudades del país</w:t>
      </w:r>
      <w:r>
        <w:rPr>
          <w:rFonts w:ascii="Arial" w:hAnsi="Arial" w:cs="Arial"/>
          <w:sz w:val="24"/>
          <w:szCs w:val="24"/>
        </w:rPr>
        <w:t xml:space="preserve"> y el segundo a la f</w:t>
      </w:r>
      <w:r w:rsidRPr="007917CC">
        <w:rPr>
          <w:rFonts w:ascii="Arial" w:hAnsi="Arial" w:cs="Arial"/>
          <w:sz w:val="24"/>
          <w:szCs w:val="24"/>
        </w:rPr>
        <w:t>alta de actualización catastra</w:t>
      </w:r>
      <w:r>
        <w:rPr>
          <w:rFonts w:ascii="Arial" w:hAnsi="Arial" w:cs="Arial"/>
          <w:sz w:val="24"/>
          <w:szCs w:val="24"/>
        </w:rPr>
        <w:t xml:space="preserve">l del 32.4% de predios del país, lo cual puede ser subsanado a través del fortalecimiento de las instituciones catastrales tanto a nivel nacional como territorial. </w:t>
      </w:r>
    </w:p>
    <w:p w:rsidR="00BA111F" w:rsidRDefault="00BA111F" w:rsidP="00BA111F">
      <w:pPr>
        <w:jc w:val="both"/>
        <w:rPr>
          <w:rFonts w:ascii="Arial" w:hAnsi="Arial" w:cs="Arial"/>
          <w:sz w:val="24"/>
          <w:szCs w:val="24"/>
        </w:rPr>
      </w:pPr>
      <w:r>
        <w:rPr>
          <w:rFonts w:ascii="Arial" w:hAnsi="Arial" w:cs="Arial"/>
          <w:sz w:val="24"/>
          <w:szCs w:val="24"/>
        </w:rPr>
        <w:t>La necesidad de colocar unos topes al valor del impuesto predial en el país ha sido recientemente reconocida por la Comisión de Expertos Para la Equidad y la Competitividad Tributaria</w:t>
      </w:r>
      <w:r>
        <w:rPr>
          <w:rStyle w:val="Refdenotaalpie"/>
          <w:rFonts w:ascii="Arial" w:hAnsi="Arial" w:cs="Arial"/>
          <w:sz w:val="24"/>
          <w:szCs w:val="24"/>
        </w:rPr>
        <w:footnoteReference w:id="1"/>
      </w:r>
      <w:r>
        <w:rPr>
          <w:rFonts w:ascii="Arial" w:hAnsi="Arial" w:cs="Arial"/>
          <w:sz w:val="24"/>
          <w:szCs w:val="24"/>
        </w:rPr>
        <w:t xml:space="preserve"> al manifestar en su primer informe denominado “</w:t>
      </w:r>
      <w:r w:rsidRPr="006A1C9C">
        <w:rPr>
          <w:rFonts w:ascii="Arial" w:hAnsi="Arial" w:cs="Arial"/>
          <w:i/>
          <w:sz w:val="24"/>
          <w:szCs w:val="24"/>
        </w:rPr>
        <w:t>Diagnostico de los problemas que afectan al sistema tributario colombiano</w:t>
      </w:r>
      <w:r>
        <w:rPr>
          <w:rFonts w:ascii="Arial" w:hAnsi="Arial" w:cs="Arial"/>
          <w:sz w:val="24"/>
          <w:szCs w:val="24"/>
        </w:rPr>
        <w:t>” lo siguiente:</w:t>
      </w:r>
    </w:p>
    <w:p w:rsidR="00BA111F" w:rsidRPr="004B2B9F" w:rsidRDefault="00BA111F" w:rsidP="00BA111F">
      <w:pPr>
        <w:autoSpaceDE w:val="0"/>
        <w:autoSpaceDN w:val="0"/>
        <w:adjustRightInd w:val="0"/>
        <w:spacing w:after="0" w:line="240" w:lineRule="auto"/>
        <w:jc w:val="center"/>
        <w:rPr>
          <w:rFonts w:ascii="Cambria" w:hAnsi="Cambria" w:cs="Cambria"/>
          <w:i/>
          <w:sz w:val="24"/>
          <w:szCs w:val="24"/>
        </w:rPr>
      </w:pPr>
      <w:r w:rsidRPr="004B2B9F">
        <w:rPr>
          <w:rFonts w:ascii="Arial" w:hAnsi="Arial" w:cs="Arial"/>
          <w:sz w:val="24"/>
          <w:szCs w:val="24"/>
        </w:rPr>
        <w:t>“</w:t>
      </w:r>
      <w:r w:rsidRPr="004B2B9F">
        <w:rPr>
          <w:rFonts w:ascii="Cambria" w:hAnsi="Cambria" w:cs="Cambria"/>
          <w:i/>
          <w:sz w:val="24"/>
          <w:szCs w:val="24"/>
        </w:rPr>
        <w:t>95. Al actualizar el catastro con retraso, el avalúo se incrementa notoriamente. Por esta razón, la ley establece que cuando se den procesos de formación o actualización para extender en el tiempo sus efectos, fija un tope en el crecimiento del impuesto del</w:t>
      </w:r>
    </w:p>
    <w:p w:rsidR="00BA111F" w:rsidRDefault="00BA111F" w:rsidP="00BA111F">
      <w:pPr>
        <w:autoSpaceDE w:val="0"/>
        <w:autoSpaceDN w:val="0"/>
        <w:adjustRightInd w:val="0"/>
        <w:spacing w:after="0" w:line="240" w:lineRule="auto"/>
        <w:jc w:val="center"/>
        <w:rPr>
          <w:rFonts w:ascii="Cambria" w:hAnsi="Cambria" w:cs="Cambria"/>
          <w:b/>
          <w:i/>
          <w:sz w:val="24"/>
          <w:szCs w:val="24"/>
          <w:u w:val="single"/>
        </w:rPr>
      </w:pPr>
      <w:r w:rsidRPr="004B2B9F">
        <w:rPr>
          <w:rFonts w:ascii="Cambria" w:hAnsi="Cambria" w:cs="Cambria"/>
          <w:i/>
          <w:sz w:val="24"/>
          <w:szCs w:val="24"/>
        </w:rPr>
        <w:t xml:space="preserve">100% respecto al año anterior. Sin embargo, en estratos residenciales bajos este tope ha sido insuficiente, por lo cual Bogotá en 2010 estableció un ajuste por equidad que adopta topes escalonados más bajos. </w:t>
      </w:r>
      <w:r w:rsidRPr="004B2B9F">
        <w:rPr>
          <w:rFonts w:ascii="Cambria" w:hAnsi="Cambria" w:cs="Cambria"/>
          <w:b/>
          <w:i/>
          <w:sz w:val="24"/>
          <w:szCs w:val="24"/>
          <w:u w:val="single"/>
        </w:rPr>
        <w:t>Sin embargo, en casos como el de Bogotá, con un avalúo que ajusta los valores con porcentajes más cercanos al valor comercial, si bien puede ser correcto para el mercado de los inmuebles, para propietarios de predios  residenciales de estratos bajos es evidente que estos topes son insuficientes, pues el impuesto se incrementa por encima del crecimiento de los salarios y pensiones.”</w:t>
      </w:r>
    </w:p>
    <w:p w:rsidR="00BA111F" w:rsidRDefault="00BA111F" w:rsidP="00BA111F">
      <w:pPr>
        <w:autoSpaceDE w:val="0"/>
        <w:autoSpaceDN w:val="0"/>
        <w:adjustRightInd w:val="0"/>
        <w:spacing w:after="0" w:line="240" w:lineRule="auto"/>
        <w:jc w:val="center"/>
        <w:rPr>
          <w:rFonts w:ascii="Cambria" w:hAnsi="Cambria" w:cs="Cambria"/>
          <w:b/>
          <w:i/>
          <w:sz w:val="24"/>
          <w:szCs w:val="24"/>
          <w:u w:val="single"/>
        </w:rPr>
      </w:pPr>
    </w:p>
    <w:p w:rsidR="00BA111F" w:rsidRDefault="00BA111F" w:rsidP="00BA111F">
      <w:pPr>
        <w:autoSpaceDE w:val="0"/>
        <w:autoSpaceDN w:val="0"/>
        <w:adjustRightInd w:val="0"/>
        <w:spacing w:after="0" w:line="240" w:lineRule="auto"/>
        <w:jc w:val="center"/>
        <w:rPr>
          <w:rFonts w:ascii="Cambria" w:hAnsi="Cambria" w:cs="Cambria"/>
          <w:b/>
          <w:i/>
          <w:sz w:val="24"/>
          <w:szCs w:val="24"/>
          <w:u w:val="single"/>
        </w:rPr>
      </w:pPr>
    </w:p>
    <w:p w:rsidR="00BA111F" w:rsidRDefault="00BA111F" w:rsidP="00BA111F">
      <w:pPr>
        <w:autoSpaceDE w:val="0"/>
        <w:autoSpaceDN w:val="0"/>
        <w:adjustRightInd w:val="0"/>
        <w:spacing w:after="0" w:line="240" w:lineRule="auto"/>
        <w:jc w:val="center"/>
        <w:rPr>
          <w:rFonts w:ascii="Cambria" w:hAnsi="Cambria" w:cs="Cambria"/>
          <w:b/>
          <w:i/>
          <w:sz w:val="24"/>
          <w:szCs w:val="24"/>
          <w:u w:val="single"/>
        </w:rPr>
      </w:pPr>
    </w:p>
    <w:p w:rsidR="00BA111F" w:rsidRDefault="00BA111F" w:rsidP="00BA111F">
      <w:pPr>
        <w:autoSpaceDE w:val="0"/>
        <w:autoSpaceDN w:val="0"/>
        <w:adjustRightInd w:val="0"/>
        <w:spacing w:after="0" w:line="240" w:lineRule="auto"/>
        <w:jc w:val="center"/>
        <w:rPr>
          <w:rFonts w:ascii="Cambria" w:hAnsi="Cambria" w:cs="Cambria"/>
          <w:b/>
          <w:i/>
          <w:sz w:val="24"/>
          <w:szCs w:val="24"/>
          <w:u w:val="single"/>
        </w:rPr>
      </w:pPr>
    </w:p>
    <w:p w:rsidR="00BA111F" w:rsidRDefault="00BA111F" w:rsidP="00BA111F">
      <w:pPr>
        <w:autoSpaceDE w:val="0"/>
        <w:autoSpaceDN w:val="0"/>
        <w:adjustRightInd w:val="0"/>
        <w:spacing w:after="0" w:line="240" w:lineRule="auto"/>
        <w:jc w:val="center"/>
        <w:rPr>
          <w:rFonts w:ascii="Cambria" w:hAnsi="Cambria" w:cs="Cambria"/>
          <w:b/>
          <w:i/>
          <w:sz w:val="24"/>
          <w:szCs w:val="24"/>
          <w:u w:val="single"/>
        </w:rPr>
      </w:pPr>
    </w:p>
    <w:p w:rsidR="00BA111F" w:rsidRDefault="00BA111F" w:rsidP="00BA111F">
      <w:pPr>
        <w:autoSpaceDE w:val="0"/>
        <w:autoSpaceDN w:val="0"/>
        <w:adjustRightInd w:val="0"/>
        <w:spacing w:after="0" w:line="240" w:lineRule="auto"/>
        <w:jc w:val="center"/>
        <w:rPr>
          <w:rFonts w:ascii="Cambria" w:hAnsi="Cambria" w:cs="Cambria"/>
          <w:b/>
          <w:i/>
          <w:sz w:val="24"/>
          <w:szCs w:val="24"/>
          <w:u w:val="single"/>
        </w:rPr>
      </w:pPr>
    </w:p>
    <w:p w:rsidR="00BA111F" w:rsidRDefault="00BA111F" w:rsidP="00BA111F">
      <w:pPr>
        <w:autoSpaceDE w:val="0"/>
        <w:autoSpaceDN w:val="0"/>
        <w:adjustRightInd w:val="0"/>
        <w:spacing w:after="0" w:line="240" w:lineRule="auto"/>
        <w:jc w:val="center"/>
        <w:rPr>
          <w:rFonts w:ascii="Cambria" w:hAnsi="Cambria" w:cs="Cambria"/>
          <w:b/>
          <w:i/>
          <w:sz w:val="24"/>
          <w:szCs w:val="24"/>
          <w:u w:val="single"/>
        </w:rPr>
      </w:pPr>
    </w:p>
    <w:p w:rsidR="00BA111F" w:rsidRDefault="00BA111F" w:rsidP="00BA111F">
      <w:pPr>
        <w:autoSpaceDE w:val="0"/>
        <w:autoSpaceDN w:val="0"/>
        <w:adjustRightInd w:val="0"/>
        <w:spacing w:after="0" w:line="240" w:lineRule="auto"/>
        <w:jc w:val="center"/>
        <w:rPr>
          <w:rFonts w:ascii="Cambria" w:hAnsi="Cambria" w:cs="Cambria"/>
          <w:b/>
          <w:i/>
          <w:sz w:val="24"/>
          <w:szCs w:val="24"/>
          <w:u w:val="single"/>
        </w:rPr>
      </w:pPr>
    </w:p>
    <w:p w:rsidR="00BA111F" w:rsidRPr="001F3C8C" w:rsidRDefault="00BA111F" w:rsidP="00BA111F">
      <w:pPr>
        <w:autoSpaceDE w:val="0"/>
        <w:autoSpaceDN w:val="0"/>
        <w:adjustRightInd w:val="0"/>
        <w:spacing w:after="0" w:line="240" w:lineRule="auto"/>
        <w:jc w:val="center"/>
        <w:rPr>
          <w:rFonts w:ascii="Cambria" w:hAnsi="Cambria" w:cs="Cambria"/>
          <w:b/>
          <w:i/>
          <w:sz w:val="24"/>
          <w:szCs w:val="24"/>
          <w:u w:val="single"/>
        </w:rPr>
      </w:pPr>
    </w:p>
    <w:p w:rsidR="00BA111F" w:rsidRDefault="00BA111F" w:rsidP="00BA111F">
      <w:pPr>
        <w:pStyle w:val="Prrafodelista"/>
        <w:numPr>
          <w:ilvl w:val="0"/>
          <w:numId w:val="1"/>
        </w:numPr>
        <w:jc w:val="both"/>
        <w:rPr>
          <w:rFonts w:ascii="Arial" w:hAnsi="Arial" w:cs="Arial"/>
          <w:b/>
          <w:sz w:val="24"/>
          <w:szCs w:val="24"/>
        </w:rPr>
      </w:pPr>
      <w:r w:rsidRPr="007A50E5">
        <w:rPr>
          <w:rFonts w:ascii="Arial" w:hAnsi="Arial" w:cs="Arial"/>
          <w:b/>
          <w:sz w:val="24"/>
          <w:szCs w:val="24"/>
        </w:rPr>
        <w:t>Antecedentes.</w:t>
      </w:r>
    </w:p>
    <w:p w:rsidR="00BA111F" w:rsidRDefault="00BA111F" w:rsidP="00BA111F">
      <w:pPr>
        <w:pStyle w:val="Prrafodelista"/>
        <w:ind w:left="1080"/>
        <w:jc w:val="both"/>
        <w:rPr>
          <w:rFonts w:ascii="Arial" w:hAnsi="Arial" w:cs="Arial"/>
          <w:b/>
          <w:sz w:val="24"/>
          <w:szCs w:val="24"/>
        </w:rPr>
      </w:pPr>
    </w:p>
    <w:p w:rsidR="00BA111F" w:rsidRPr="00235EB5" w:rsidRDefault="00BA111F" w:rsidP="00BA111F">
      <w:pPr>
        <w:jc w:val="both"/>
        <w:rPr>
          <w:rFonts w:ascii="Arial" w:hAnsi="Arial" w:cs="Arial"/>
          <w:b/>
          <w:sz w:val="24"/>
          <w:szCs w:val="24"/>
        </w:rPr>
      </w:pPr>
      <w:r>
        <w:rPr>
          <w:rFonts w:ascii="Arial" w:hAnsi="Arial" w:cs="Arial"/>
          <w:b/>
          <w:sz w:val="24"/>
          <w:szCs w:val="24"/>
        </w:rPr>
        <w:t xml:space="preserve">2.1. </w:t>
      </w:r>
      <w:r w:rsidRPr="00235EB5">
        <w:rPr>
          <w:rFonts w:ascii="Arial" w:hAnsi="Arial" w:cs="Arial"/>
          <w:b/>
          <w:sz w:val="24"/>
          <w:szCs w:val="24"/>
        </w:rPr>
        <w:t>Normatividad reciente relevante.</w:t>
      </w:r>
    </w:p>
    <w:p w:rsidR="00BA111F" w:rsidRPr="005B6DD4" w:rsidRDefault="00BA111F" w:rsidP="00BA111F">
      <w:pPr>
        <w:jc w:val="both"/>
        <w:rPr>
          <w:rFonts w:ascii="Arial" w:hAnsi="Arial" w:cs="Arial"/>
          <w:sz w:val="24"/>
          <w:szCs w:val="24"/>
        </w:rPr>
      </w:pPr>
      <w:r w:rsidRPr="000C54E0">
        <w:rPr>
          <w:rFonts w:ascii="Arial" w:hAnsi="Arial" w:cs="Arial"/>
          <w:b/>
          <w:sz w:val="24"/>
          <w:szCs w:val="24"/>
        </w:rPr>
        <w:t>La Ley 44 de 1990</w:t>
      </w:r>
      <w:r w:rsidRPr="005B6DD4">
        <w:rPr>
          <w:rFonts w:ascii="Arial" w:hAnsi="Arial" w:cs="Arial"/>
          <w:sz w:val="24"/>
          <w:szCs w:val="24"/>
        </w:rPr>
        <w:t xml:space="preserve"> “</w:t>
      </w:r>
      <w:r w:rsidRPr="005B6DD4">
        <w:rPr>
          <w:rFonts w:ascii="Arial" w:hAnsi="Arial" w:cs="Arial"/>
          <w:i/>
          <w:sz w:val="24"/>
          <w:szCs w:val="24"/>
        </w:rPr>
        <w:t>Por medio de la cual se dictan normas en materia de catastro e impuestos sobre la propiedad raíz y se dictan otras disposiciones.</w:t>
      </w:r>
      <w:r w:rsidRPr="005B6DD4">
        <w:rPr>
          <w:rFonts w:ascii="Arial" w:hAnsi="Arial" w:cs="Arial"/>
          <w:sz w:val="24"/>
          <w:szCs w:val="24"/>
        </w:rPr>
        <w:t>” en su artículo 1°</w:t>
      </w:r>
      <w:r>
        <w:rPr>
          <w:rFonts w:ascii="Arial" w:hAnsi="Arial" w:cs="Arial"/>
          <w:sz w:val="24"/>
          <w:szCs w:val="24"/>
        </w:rPr>
        <w:t>, fusionó</w:t>
      </w:r>
      <w:r w:rsidRPr="005B6DD4">
        <w:rPr>
          <w:rFonts w:ascii="Arial" w:hAnsi="Arial" w:cs="Arial"/>
          <w:sz w:val="24"/>
          <w:szCs w:val="24"/>
        </w:rPr>
        <w:t xml:space="preserve"> en un solo impuesto denominado Impuesto Predial Unificado los siguientes tributos:</w:t>
      </w:r>
    </w:p>
    <w:p w:rsidR="00BA111F" w:rsidRPr="007C56B3" w:rsidRDefault="00BA111F" w:rsidP="00BA111F">
      <w:pPr>
        <w:jc w:val="both"/>
        <w:rPr>
          <w:rFonts w:ascii="Arial" w:hAnsi="Arial" w:cs="Arial"/>
          <w:i/>
          <w:sz w:val="24"/>
          <w:szCs w:val="24"/>
        </w:rPr>
      </w:pPr>
      <w:r>
        <w:rPr>
          <w:rFonts w:ascii="Arial" w:hAnsi="Arial" w:cs="Arial"/>
          <w:sz w:val="24"/>
          <w:szCs w:val="24"/>
        </w:rPr>
        <w:t>“</w:t>
      </w:r>
      <w:r w:rsidRPr="007C56B3">
        <w:rPr>
          <w:rFonts w:ascii="Arial" w:hAnsi="Arial" w:cs="Arial"/>
          <w:i/>
          <w:sz w:val="24"/>
          <w:szCs w:val="24"/>
        </w:rPr>
        <w:t xml:space="preserve">a. El Impuesto Predial regulado en el Código de Régimen Municipal adoptado por el Decreto 1333 de 1986 y demás normas complementarias, especialmente las Leyes 14 de 1983, 55 de 1985 y 75 de 1986;  </w:t>
      </w:r>
    </w:p>
    <w:p w:rsidR="00BA111F" w:rsidRPr="007C56B3" w:rsidRDefault="00BA111F" w:rsidP="00BA111F">
      <w:pPr>
        <w:jc w:val="both"/>
        <w:rPr>
          <w:rFonts w:ascii="Arial" w:hAnsi="Arial" w:cs="Arial"/>
          <w:i/>
          <w:sz w:val="24"/>
          <w:szCs w:val="24"/>
        </w:rPr>
      </w:pPr>
      <w:r w:rsidRPr="007C56B3">
        <w:rPr>
          <w:rFonts w:ascii="Arial" w:hAnsi="Arial" w:cs="Arial"/>
          <w:i/>
          <w:sz w:val="24"/>
          <w:szCs w:val="24"/>
        </w:rPr>
        <w:t xml:space="preserve">b. El impuesto de parques y arborización, regulado en el Código de régimen Municipal adoptado por el Decreto 1333 de 1986;  </w:t>
      </w:r>
    </w:p>
    <w:p w:rsidR="00BA111F" w:rsidRPr="007C56B3" w:rsidRDefault="00BA111F" w:rsidP="00BA111F">
      <w:pPr>
        <w:jc w:val="both"/>
        <w:rPr>
          <w:rFonts w:ascii="Arial" w:hAnsi="Arial" w:cs="Arial"/>
          <w:i/>
          <w:sz w:val="24"/>
          <w:szCs w:val="24"/>
        </w:rPr>
      </w:pPr>
      <w:r w:rsidRPr="007C56B3">
        <w:rPr>
          <w:rFonts w:ascii="Arial" w:hAnsi="Arial" w:cs="Arial"/>
          <w:i/>
          <w:sz w:val="24"/>
          <w:szCs w:val="24"/>
        </w:rPr>
        <w:t xml:space="preserve">c. El impuesto de estratificación socioeconómica creado por la Ley 9 de 1989; </w:t>
      </w:r>
    </w:p>
    <w:p w:rsidR="00BA111F" w:rsidRDefault="00BA111F" w:rsidP="00BA111F">
      <w:pPr>
        <w:jc w:val="both"/>
        <w:rPr>
          <w:rFonts w:ascii="Arial" w:hAnsi="Arial" w:cs="Arial"/>
          <w:sz w:val="24"/>
          <w:szCs w:val="24"/>
        </w:rPr>
      </w:pPr>
      <w:r w:rsidRPr="007C56B3">
        <w:rPr>
          <w:rFonts w:ascii="Arial" w:hAnsi="Arial" w:cs="Arial"/>
          <w:i/>
          <w:sz w:val="24"/>
          <w:szCs w:val="24"/>
        </w:rPr>
        <w:t>d. La sobretasa de levantamiento catastral a que se refieren las Leyes 128 de 1941, 50 de 1984 y 9 de 1989.</w:t>
      </w:r>
      <w:r>
        <w:rPr>
          <w:rFonts w:ascii="Arial" w:hAnsi="Arial" w:cs="Arial"/>
          <w:sz w:val="24"/>
          <w:szCs w:val="24"/>
        </w:rPr>
        <w:t>”</w:t>
      </w:r>
    </w:p>
    <w:p w:rsidR="00BA111F" w:rsidRDefault="00BA111F" w:rsidP="00BA111F">
      <w:pPr>
        <w:jc w:val="both"/>
        <w:rPr>
          <w:rFonts w:ascii="Arial" w:hAnsi="Arial" w:cs="Arial"/>
          <w:sz w:val="24"/>
          <w:szCs w:val="24"/>
        </w:rPr>
      </w:pPr>
      <w:r>
        <w:rPr>
          <w:rFonts w:ascii="Arial" w:hAnsi="Arial" w:cs="Arial"/>
          <w:sz w:val="24"/>
          <w:szCs w:val="24"/>
        </w:rPr>
        <w:t xml:space="preserve">La precitada Ley en su artículo 4° ordenó que la tarifa del impuesto sería fijada por los respectivos concejos y oscilaría entre el 1 por mil y el 16 por mil del respectivo avaluó y el artículo 6° también definió los límites de este impuesto especificando que este no podía exceder del doble del monto liquidado por el mismo concepto el año inmediatamente anterior (exceptuando los predios que se incorporen por primera vez al catastro y los terrenos urbanizables no urbanizados o urbanizados no edificados), mientras el artículo 8° estableció que el ajuste anual de la base no podría ser ni inferior al 70% ni superior al 100% del incremento en el Índice Nacional Promedio de Precios. </w:t>
      </w:r>
    </w:p>
    <w:p w:rsidR="00BA111F" w:rsidRPr="00C86ED4" w:rsidRDefault="00BA111F" w:rsidP="00BA111F">
      <w:pPr>
        <w:jc w:val="both"/>
        <w:rPr>
          <w:rFonts w:ascii="Arial" w:hAnsi="Arial" w:cs="Arial"/>
          <w:sz w:val="24"/>
          <w:szCs w:val="24"/>
        </w:rPr>
      </w:pPr>
      <w:r w:rsidRPr="00C86ED4">
        <w:rPr>
          <w:rFonts w:ascii="Arial" w:hAnsi="Arial" w:cs="Arial"/>
          <w:sz w:val="24"/>
          <w:szCs w:val="24"/>
        </w:rPr>
        <w:t>Por su parte</w:t>
      </w:r>
      <w:r>
        <w:rPr>
          <w:rFonts w:ascii="Arial" w:hAnsi="Arial" w:cs="Arial"/>
          <w:sz w:val="24"/>
          <w:szCs w:val="24"/>
        </w:rPr>
        <w:t xml:space="preserve">, </w:t>
      </w:r>
      <w:r w:rsidRPr="00C86ED4">
        <w:rPr>
          <w:rFonts w:ascii="Arial" w:hAnsi="Arial" w:cs="Arial"/>
          <w:sz w:val="24"/>
          <w:szCs w:val="24"/>
        </w:rPr>
        <w:t xml:space="preserve">la </w:t>
      </w:r>
      <w:r w:rsidRPr="00C86ED4">
        <w:rPr>
          <w:rFonts w:ascii="Arial" w:hAnsi="Arial" w:cs="Arial"/>
          <w:b/>
          <w:sz w:val="24"/>
          <w:szCs w:val="24"/>
        </w:rPr>
        <w:t>Ley 1450 de 2011</w:t>
      </w:r>
      <w:r w:rsidRPr="00C86ED4">
        <w:rPr>
          <w:rFonts w:ascii="Arial" w:hAnsi="Arial" w:cs="Arial"/>
          <w:sz w:val="24"/>
          <w:szCs w:val="24"/>
        </w:rPr>
        <w:t xml:space="preserve"> “</w:t>
      </w:r>
      <w:r w:rsidRPr="00C86ED4">
        <w:rPr>
          <w:rFonts w:ascii="Arial" w:hAnsi="Arial" w:cs="Arial"/>
          <w:i/>
          <w:sz w:val="24"/>
          <w:szCs w:val="24"/>
        </w:rPr>
        <w:t>Por la cual se expide el Plan Nacional de Desarrollo, 2010-2014.</w:t>
      </w:r>
      <w:r>
        <w:rPr>
          <w:rFonts w:ascii="Arial" w:hAnsi="Arial" w:cs="Arial"/>
          <w:sz w:val="24"/>
          <w:szCs w:val="24"/>
        </w:rPr>
        <w:t>” en su artículo 24 estableció que l</w:t>
      </w:r>
      <w:r w:rsidRPr="00C86ED4">
        <w:rPr>
          <w:rFonts w:ascii="Arial" w:hAnsi="Arial" w:cs="Arial"/>
          <w:sz w:val="24"/>
          <w:szCs w:val="24"/>
        </w:rPr>
        <w:t>as autoridades catastrales tienen la obligación de formar los catastros o actualizarlos en todos los municipios del país dentro de períodos máximos de cinco (5) años</w:t>
      </w:r>
      <w:r>
        <w:rPr>
          <w:rFonts w:ascii="Arial" w:hAnsi="Arial" w:cs="Arial"/>
          <w:sz w:val="24"/>
          <w:szCs w:val="24"/>
        </w:rPr>
        <w:t xml:space="preserve"> y que e</w:t>
      </w:r>
      <w:r w:rsidRPr="00C86ED4">
        <w:rPr>
          <w:rFonts w:ascii="Arial" w:hAnsi="Arial" w:cs="Arial"/>
          <w:sz w:val="24"/>
          <w:szCs w:val="24"/>
        </w:rPr>
        <w:t>l avalúo catastral de los bienes inmuebles fijado para los procesos de formación y actualización catastral no podr</w:t>
      </w:r>
      <w:r>
        <w:rPr>
          <w:rFonts w:ascii="Arial" w:hAnsi="Arial" w:cs="Arial"/>
          <w:sz w:val="24"/>
          <w:szCs w:val="24"/>
        </w:rPr>
        <w:t>í</w:t>
      </w:r>
      <w:r w:rsidRPr="00C86ED4">
        <w:rPr>
          <w:rFonts w:ascii="Arial" w:hAnsi="Arial" w:cs="Arial"/>
          <w:sz w:val="24"/>
          <w:szCs w:val="24"/>
        </w:rPr>
        <w:t>a ser inferior al sesenta por ciento (60%) de su valor comercial</w:t>
      </w:r>
      <w:r>
        <w:rPr>
          <w:rFonts w:ascii="Arial" w:hAnsi="Arial" w:cs="Arial"/>
          <w:sz w:val="24"/>
          <w:szCs w:val="24"/>
        </w:rPr>
        <w:t>.</w:t>
      </w:r>
    </w:p>
    <w:p w:rsidR="00BA111F" w:rsidRDefault="00BA111F" w:rsidP="00BA111F">
      <w:pPr>
        <w:jc w:val="both"/>
        <w:rPr>
          <w:rFonts w:ascii="Arial" w:hAnsi="Arial" w:cs="Arial"/>
          <w:sz w:val="24"/>
          <w:szCs w:val="24"/>
        </w:rPr>
      </w:pPr>
      <w:r>
        <w:rPr>
          <w:rFonts w:ascii="Arial" w:hAnsi="Arial" w:cs="Arial"/>
          <w:sz w:val="24"/>
          <w:szCs w:val="24"/>
        </w:rPr>
        <w:t xml:space="preserve">Por último, la </w:t>
      </w:r>
      <w:r w:rsidRPr="001C2453">
        <w:rPr>
          <w:rFonts w:ascii="Arial" w:hAnsi="Arial" w:cs="Arial"/>
          <w:b/>
          <w:sz w:val="24"/>
          <w:szCs w:val="24"/>
        </w:rPr>
        <w:t>Ley 1607 de 2012</w:t>
      </w:r>
      <w:r>
        <w:rPr>
          <w:rFonts w:ascii="Arial" w:hAnsi="Arial" w:cs="Arial"/>
          <w:sz w:val="24"/>
          <w:szCs w:val="24"/>
        </w:rPr>
        <w:t xml:space="preserve"> “</w:t>
      </w:r>
      <w:r w:rsidRPr="008908AC">
        <w:rPr>
          <w:rFonts w:ascii="Arial" w:hAnsi="Arial" w:cs="Arial"/>
          <w:i/>
          <w:sz w:val="24"/>
          <w:szCs w:val="24"/>
        </w:rPr>
        <w:t>Por la cual se expiden normas en materia tributaria y se dictan otras disposiciones.</w:t>
      </w:r>
      <w:r>
        <w:rPr>
          <w:rFonts w:ascii="Arial" w:hAnsi="Arial" w:cs="Arial"/>
          <w:sz w:val="24"/>
          <w:szCs w:val="24"/>
        </w:rPr>
        <w:t xml:space="preserve">” en su artículo 190 estableció que  los </w:t>
      </w:r>
      <w:r>
        <w:rPr>
          <w:rFonts w:ascii="Arial" w:hAnsi="Arial" w:cs="Arial"/>
          <w:sz w:val="24"/>
          <w:szCs w:val="24"/>
        </w:rPr>
        <w:lastRenderedPageBreak/>
        <w:t>catastros descentralizados podrían contar con un índice de valoración diferencial considerando el uso de los predios (residencial por estratos, comercial, industrial, lotes, depósitos y parqueaderos, rurales y otros).</w:t>
      </w:r>
    </w:p>
    <w:p w:rsidR="00BA111F" w:rsidRDefault="00BA111F" w:rsidP="00BA111F">
      <w:pPr>
        <w:jc w:val="both"/>
        <w:rPr>
          <w:rFonts w:ascii="Arial" w:hAnsi="Arial" w:cs="Arial"/>
          <w:sz w:val="24"/>
          <w:szCs w:val="24"/>
        </w:rPr>
      </w:pPr>
    </w:p>
    <w:p w:rsidR="00BA111F" w:rsidRPr="00235EB5" w:rsidRDefault="00BA111F" w:rsidP="00BA111F">
      <w:pPr>
        <w:jc w:val="both"/>
        <w:rPr>
          <w:rFonts w:ascii="Arial" w:hAnsi="Arial" w:cs="Arial"/>
          <w:b/>
          <w:sz w:val="24"/>
          <w:szCs w:val="24"/>
        </w:rPr>
      </w:pPr>
      <w:r>
        <w:rPr>
          <w:rFonts w:ascii="Arial" w:hAnsi="Arial" w:cs="Arial"/>
          <w:b/>
          <w:sz w:val="24"/>
          <w:szCs w:val="24"/>
        </w:rPr>
        <w:t xml:space="preserve">2.2. </w:t>
      </w:r>
      <w:r w:rsidRPr="00235EB5">
        <w:rPr>
          <w:rFonts w:ascii="Arial" w:hAnsi="Arial" w:cs="Arial"/>
          <w:b/>
          <w:sz w:val="24"/>
          <w:szCs w:val="24"/>
        </w:rPr>
        <w:t>Importancia del impuesto predial</w:t>
      </w:r>
      <w:r>
        <w:rPr>
          <w:rFonts w:ascii="Arial" w:hAnsi="Arial" w:cs="Arial"/>
          <w:b/>
          <w:sz w:val="24"/>
          <w:szCs w:val="24"/>
        </w:rPr>
        <w:t xml:space="preserve"> en Colombia</w:t>
      </w:r>
      <w:r w:rsidRPr="00235EB5">
        <w:rPr>
          <w:rFonts w:ascii="Arial" w:hAnsi="Arial" w:cs="Arial"/>
          <w:b/>
          <w:sz w:val="24"/>
          <w:szCs w:val="24"/>
        </w:rPr>
        <w:t>.</w:t>
      </w:r>
    </w:p>
    <w:p w:rsidR="00BA111F" w:rsidRDefault="00BA111F" w:rsidP="00BA111F">
      <w:pPr>
        <w:pStyle w:val="Prrafodelista"/>
        <w:ind w:left="0"/>
        <w:jc w:val="both"/>
        <w:rPr>
          <w:rFonts w:ascii="Arial" w:hAnsi="Arial" w:cs="Arial"/>
          <w:sz w:val="24"/>
          <w:szCs w:val="24"/>
        </w:rPr>
      </w:pPr>
      <w:r>
        <w:rPr>
          <w:rFonts w:ascii="Arial" w:hAnsi="Arial" w:cs="Arial"/>
          <w:sz w:val="24"/>
          <w:szCs w:val="24"/>
        </w:rPr>
        <w:t>Históricamente el impuesto predial unificado y el impuesto de industria y comercio son las principales fuentes de ingresos tributarios de la mayoría de municipios y distritos del país</w:t>
      </w:r>
      <w:r>
        <w:rPr>
          <w:rStyle w:val="Refdenotaalpie"/>
          <w:rFonts w:ascii="Arial" w:hAnsi="Arial" w:cs="Arial"/>
          <w:sz w:val="24"/>
          <w:szCs w:val="24"/>
        </w:rPr>
        <w:footnoteReference w:id="2"/>
      </w:r>
      <w:r>
        <w:rPr>
          <w:rFonts w:ascii="Arial" w:hAnsi="Arial" w:cs="Arial"/>
          <w:sz w:val="24"/>
          <w:szCs w:val="24"/>
        </w:rPr>
        <w:t>. Así, por ejemplo, para una muestra de 309 municipios, de conformidad con el Banco de la Republica</w:t>
      </w:r>
      <w:r>
        <w:rPr>
          <w:rStyle w:val="Refdenotaalpie"/>
          <w:rFonts w:ascii="Arial" w:hAnsi="Arial" w:cs="Arial"/>
          <w:sz w:val="24"/>
          <w:szCs w:val="24"/>
        </w:rPr>
        <w:footnoteReference w:id="3"/>
      </w:r>
      <w:r>
        <w:rPr>
          <w:rFonts w:ascii="Arial" w:hAnsi="Arial" w:cs="Arial"/>
          <w:sz w:val="24"/>
          <w:szCs w:val="24"/>
        </w:rPr>
        <w:t>, desde el año 1990 hasta el año 2001, la proporción de ingresos por concepto de impuesto de industria y comercio y del impuesto predial respectivamente, siempre fueron las más altas como porcentaje del PIB, en el periodo analizado, tal como se muestra a continuación:</w:t>
      </w:r>
    </w:p>
    <w:p w:rsidR="00BA111F" w:rsidRDefault="00BA111F" w:rsidP="00BA111F">
      <w:pPr>
        <w:pStyle w:val="Prrafodelista"/>
        <w:ind w:left="0"/>
        <w:jc w:val="both"/>
        <w:rPr>
          <w:rFonts w:ascii="Arial" w:hAnsi="Arial" w:cs="Arial"/>
          <w:sz w:val="24"/>
          <w:szCs w:val="24"/>
        </w:rPr>
      </w:pPr>
    </w:p>
    <w:p w:rsidR="00BA111F" w:rsidRDefault="00BA111F" w:rsidP="00BA111F">
      <w:pPr>
        <w:pStyle w:val="Prrafodelista"/>
        <w:ind w:left="0"/>
        <w:jc w:val="center"/>
        <w:rPr>
          <w:rFonts w:ascii="Arial" w:hAnsi="Arial" w:cs="Arial"/>
          <w:sz w:val="24"/>
          <w:szCs w:val="24"/>
        </w:rPr>
      </w:pPr>
      <w:r>
        <w:rPr>
          <w:noProof/>
          <w:lang w:eastAsia="es-CO"/>
        </w:rPr>
        <w:drawing>
          <wp:inline distT="0" distB="0" distL="0" distR="0" wp14:anchorId="2BA26605" wp14:editId="10309BBF">
            <wp:extent cx="5376874" cy="19145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l="25628" t="32577" r="24304" b="35728"/>
                    <a:stretch/>
                  </pic:blipFill>
                  <pic:spPr bwMode="auto">
                    <a:xfrm>
                      <a:off x="0" y="0"/>
                      <a:ext cx="5408957" cy="1925949"/>
                    </a:xfrm>
                    <a:prstGeom prst="rect">
                      <a:avLst/>
                    </a:prstGeom>
                    <a:ln>
                      <a:noFill/>
                    </a:ln>
                    <a:extLst>
                      <a:ext uri="{53640926-AAD7-44D8-BBD7-CCE9431645EC}">
                        <a14:shadowObscured xmlns:a14="http://schemas.microsoft.com/office/drawing/2010/main"/>
                      </a:ext>
                    </a:extLst>
                  </pic:spPr>
                </pic:pic>
              </a:graphicData>
            </a:graphic>
          </wp:inline>
        </w:drawing>
      </w:r>
    </w:p>
    <w:p w:rsidR="00BA111F" w:rsidRDefault="00BA111F" w:rsidP="00BA111F">
      <w:pPr>
        <w:pStyle w:val="Prrafodelista"/>
        <w:ind w:left="0"/>
        <w:jc w:val="both"/>
        <w:rPr>
          <w:rFonts w:ascii="Arial" w:hAnsi="Arial" w:cs="Arial"/>
          <w:sz w:val="24"/>
          <w:szCs w:val="24"/>
        </w:rPr>
      </w:pPr>
    </w:p>
    <w:p w:rsidR="00BA111F" w:rsidRDefault="00BA111F" w:rsidP="00BA111F">
      <w:pPr>
        <w:pStyle w:val="Prrafodelista"/>
        <w:ind w:left="0"/>
        <w:jc w:val="both"/>
        <w:rPr>
          <w:rFonts w:ascii="Arial" w:hAnsi="Arial" w:cs="Arial"/>
          <w:sz w:val="24"/>
          <w:szCs w:val="24"/>
        </w:rPr>
      </w:pPr>
      <w:r>
        <w:rPr>
          <w:rFonts w:ascii="Arial" w:hAnsi="Arial" w:cs="Arial"/>
          <w:sz w:val="24"/>
          <w:szCs w:val="24"/>
        </w:rPr>
        <w:t>En época reciente, de conformidad con la Dirección General de Apoyo Fiscal del Ministerio de Hacienda y Crédito Público</w:t>
      </w:r>
      <w:r>
        <w:rPr>
          <w:rStyle w:val="Refdenotaalpie"/>
          <w:rFonts w:ascii="Arial" w:hAnsi="Arial" w:cs="Arial"/>
          <w:sz w:val="24"/>
          <w:szCs w:val="24"/>
        </w:rPr>
        <w:footnoteReference w:id="4"/>
      </w:r>
      <w:r>
        <w:rPr>
          <w:rFonts w:ascii="Arial" w:hAnsi="Arial" w:cs="Arial"/>
          <w:sz w:val="24"/>
          <w:szCs w:val="24"/>
        </w:rPr>
        <w:t>, para un total de 31 alcaldías capitales y 1070 municipios no capitales, para el año 2012, el recaudo por el Impuesto Predial Unificado constituyo el 20.3% de los ingresos tributarios territoriales, únicamente superado por el recaudo del Impuesto de Industria y Comercio con una participación de 29.4%, tal como se muestra en la siguiente tabla para los años 2011 y 2012:</w:t>
      </w:r>
    </w:p>
    <w:p w:rsidR="00BA111F" w:rsidRDefault="00BA111F" w:rsidP="00BA111F">
      <w:pPr>
        <w:pStyle w:val="Prrafodelista"/>
        <w:ind w:left="0"/>
        <w:jc w:val="both"/>
        <w:rPr>
          <w:rFonts w:ascii="Arial" w:hAnsi="Arial" w:cs="Arial"/>
          <w:sz w:val="24"/>
          <w:szCs w:val="24"/>
        </w:rPr>
      </w:pPr>
    </w:p>
    <w:p w:rsidR="00BA111F" w:rsidRDefault="00BA111F" w:rsidP="00BA111F">
      <w:pPr>
        <w:pStyle w:val="Prrafodelista"/>
        <w:ind w:left="0"/>
        <w:jc w:val="center"/>
        <w:rPr>
          <w:rFonts w:ascii="Arial" w:hAnsi="Arial" w:cs="Arial"/>
          <w:sz w:val="24"/>
          <w:szCs w:val="24"/>
        </w:rPr>
      </w:pPr>
      <w:r>
        <w:rPr>
          <w:noProof/>
          <w:lang w:eastAsia="es-CO"/>
        </w:rPr>
        <w:drawing>
          <wp:inline distT="0" distB="0" distL="0" distR="0" wp14:anchorId="33D39E44" wp14:editId="586B732A">
            <wp:extent cx="6190929" cy="344384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l="15615" t="25649" r="16158" b="13398"/>
                    <a:stretch/>
                  </pic:blipFill>
                  <pic:spPr bwMode="auto">
                    <a:xfrm>
                      <a:off x="0" y="0"/>
                      <a:ext cx="6201526" cy="3449739"/>
                    </a:xfrm>
                    <a:prstGeom prst="rect">
                      <a:avLst/>
                    </a:prstGeom>
                    <a:ln>
                      <a:noFill/>
                    </a:ln>
                    <a:extLst>
                      <a:ext uri="{53640926-AAD7-44D8-BBD7-CCE9431645EC}">
                        <a14:shadowObscured xmlns:a14="http://schemas.microsoft.com/office/drawing/2010/main"/>
                      </a:ext>
                    </a:extLst>
                  </pic:spPr>
                </pic:pic>
              </a:graphicData>
            </a:graphic>
          </wp:inline>
        </w:drawing>
      </w:r>
    </w:p>
    <w:p w:rsidR="00BA111F" w:rsidRDefault="00BA111F" w:rsidP="00BA111F">
      <w:pPr>
        <w:pStyle w:val="Prrafodelista"/>
        <w:ind w:left="0"/>
        <w:jc w:val="both"/>
        <w:rPr>
          <w:rFonts w:ascii="Arial" w:hAnsi="Arial" w:cs="Arial"/>
          <w:sz w:val="24"/>
          <w:szCs w:val="24"/>
        </w:rPr>
      </w:pPr>
    </w:p>
    <w:p w:rsidR="00BA111F" w:rsidRDefault="00BA111F" w:rsidP="00BA111F">
      <w:pPr>
        <w:pStyle w:val="Prrafodelista"/>
        <w:ind w:left="0"/>
        <w:jc w:val="both"/>
        <w:rPr>
          <w:rFonts w:ascii="Arial" w:hAnsi="Arial" w:cs="Arial"/>
          <w:sz w:val="24"/>
          <w:szCs w:val="24"/>
        </w:rPr>
      </w:pPr>
      <w:r>
        <w:rPr>
          <w:rFonts w:ascii="Arial" w:hAnsi="Arial" w:cs="Arial"/>
          <w:sz w:val="24"/>
          <w:szCs w:val="24"/>
        </w:rPr>
        <w:t>Para el caso particular de Bogotá D.C., la situación es similar. Por ejemplo, para el año 2014, de un total de recaudo de ingresos corrientes de COP$ 6.7 billones de pesos, COP$ 6.0 billones fueron de ingresos tributarios, mientras que solo COP$ 0.7 billones fueron ingresos no tributarios. Dentro de los COP$ 6.0 billones de ingresos tributarios los más representativos fueron los COP$ 2.9 billones de pesos que se originaron en el impuesto de Industria y Comercio y los COP$ 1.7 billones que se originaron en el Impuesto Predial Unificado. El resto de conceptos generaron ostensiblemente menores recursos, tal como se muestra en la siguiente tabla</w:t>
      </w:r>
      <w:r>
        <w:rPr>
          <w:rStyle w:val="Refdenotaalpie"/>
          <w:rFonts w:ascii="Arial" w:hAnsi="Arial" w:cs="Arial"/>
          <w:sz w:val="24"/>
          <w:szCs w:val="24"/>
        </w:rPr>
        <w:footnoteReference w:id="5"/>
      </w:r>
      <w:r>
        <w:rPr>
          <w:rFonts w:ascii="Arial" w:hAnsi="Arial" w:cs="Arial"/>
          <w:sz w:val="24"/>
          <w:szCs w:val="24"/>
        </w:rPr>
        <w:t xml:space="preserve"> donde se muestran las cifras históricas para el caso de Bogotá D.C. desde el año 2001 hasta el año 2014.</w:t>
      </w:r>
    </w:p>
    <w:p w:rsidR="00BA111F" w:rsidRDefault="00BA111F" w:rsidP="00BA111F">
      <w:pPr>
        <w:pStyle w:val="Prrafodelista"/>
        <w:ind w:left="0"/>
        <w:jc w:val="both"/>
        <w:rPr>
          <w:rFonts w:ascii="Arial" w:hAnsi="Arial" w:cs="Arial"/>
          <w:sz w:val="24"/>
          <w:szCs w:val="24"/>
        </w:rPr>
      </w:pPr>
    </w:p>
    <w:p w:rsidR="00BA111F" w:rsidRDefault="00BA111F" w:rsidP="00BA111F">
      <w:pPr>
        <w:pStyle w:val="Prrafodelista"/>
        <w:ind w:left="0"/>
        <w:jc w:val="both"/>
        <w:rPr>
          <w:rFonts w:ascii="Arial" w:hAnsi="Arial" w:cs="Arial"/>
          <w:sz w:val="24"/>
          <w:szCs w:val="24"/>
        </w:rPr>
      </w:pPr>
      <w:r w:rsidRPr="00C01A84">
        <w:rPr>
          <w:noProof/>
          <w:lang w:eastAsia="es-CO"/>
        </w:rPr>
        <w:lastRenderedPageBreak/>
        <w:drawing>
          <wp:inline distT="0" distB="0" distL="0" distR="0" wp14:anchorId="2D2DF1A5" wp14:editId="569C032F">
            <wp:extent cx="6239381" cy="2639833"/>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38186" cy="2639327"/>
                    </a:xfrm>
                    <a:prstGeom prst="rect">
                      <a:avLst/>
                    </a:prstGeom>
                    <a:noFill/>
                    <a:ln>
                      <a:noFill/>
                    </a:ln>
                  </pic:spPr>
                </pic:pic>
              </a:graphicData>
            </a:graphic>
          </wp:inline>
        </w:drawing>
      </w:r>
    </w:p>
    <w:p w:rsidR="00BA111F" w:rsidRDefault="00BA111F" w:rsidP="00BA111F">
      <w:pPr>
        <w:pStyle w:val="Prrafodelista"/>
        <w:ind w:left="1080"/>
        <w:jc w:val="both"/>
        <w:rPr>
          <w:rFonts w:ascii="Arial" w:hAnsi="Arial" w:cs="Arial"/>
          <w:b/>
          <w:sz w:val="24"/>
          <w:szCs w:val="24"/>
        </w:rPr>
      </w:pPr>
    </w:p>
    <w:p w:rsidR="00BA111F" w:rsidRDefault="00BA111F" w:rsidP="00BA111F">
      <w:pPr>
        <w:pStyle w:val="Prrafodelista"/>
        <w:ind w:left="1080"/>
        <w:jc w:val="both"/>
        <w:rPr>
          <w:rFonts w:ascii="Arial" w:hAnsi="Arial" w:cs="Arial"/>
          <w:b/>
          <w:sz w:val="24"/>
          <w:szCs w:val="24"/>
        </w:rPr>
      </w:pPr>
    </w:p>
    <w:p w:rsidR="00BA111F" w:rsidRDefault="00BA111F" w:rsidP="00BA111F">
      <w:pPr>
        <w:pStyle w:val="Prrafodelista"/>
        <w:ind w:left="1080"/>
        <w:jc w:val="both"/>
        <w:rPr>
          <w:rFonts w:ascii="Arial" w:hAnsi="Arial" w:cs="Arial"/>
          <w:b/>
          <w:sz w:val="24"/>
          <w:szCs w:val="24"/>
        </w:rPr>
      </w:pPr>
    </w:p>
    <w:p w:rsidR="00BA111F" w:rsidRDefault="00BA111F" w:rsidP="00BA111F">
      <w:pPr>
        <w:pStyle w:val="Prrafodelista"/>
        <w:ind w:left="1080"/>
        <w:jc w:val="both"/>
        <w:rPr>
          <w:rFonts w:ascii="Arial" w:hAnsi="Arial" w:cs="Arial"/>
          <w:b/>
          <w:sz w:val="24"/>
          <w:szCs w:val="24"/>
        </w:rPr>
      </w:pPr>
    </w:p>
    <w:p w:rsidR="00BA111F" w:rsidRDefault="00BA111F" w:rsidP="00BA111F">
      <w:pPr>
        <w:pStyle w:val="Prrafodelista"/>
        <w:ind w:left="1080"/>
        <w:jc w:val="both"/>
        <w:rPr>
          <w:rFonts w:ascii="Arial" w:hAnsi="Arial" w:cs="Arial"/>
          <w:b/>
          <w:sz w:val="24"/>
          <w:szCs w:val="24"/>
        </w:rPr>
      </w:pPr>
    </w:p>
    <w:p w:rsidR="00BA111F" w:rsidRDefault="00BA111F" w:rsidP="00BA111F">
      <w:pPr>
        <w:pStyle w:val="Prrafodelista"/>
        <w:ind w:left="1080"/>
        <w:jc w:val="both"/>
        <w:rPr>
          <w:rFonts w:ascii="Arial" w:hAnsi="Arial" w:cs="Arial"/>
          <w:b/>
          <w:sz w:val="24"/>
          <w:szCs w:val="24"/>
        </w:rPr>
      </w:pPr>
    </w:p>
    <w:p w:rsidR="00BA111F" w:rsidRDefault="00BA111F" w:rsidP="00BA111F">
      <w:pPr>
        <w:pStyle w:val="Prrafodelista"/>
        <w:ind w:left="1080"/>
        <w:jc w:val="both"/>
        <w:rPr>
          <w:rFonts w:ascii="Arial" w:hAnsi="Arial" w:cs="Arial"/>
          <w:b/>
          <w:sz w:val="24"/>
          <w:szCs w:val="24"/>
        </w:rPr>
      </w:pPr>
    </w:p>
    <w:p w:rsidR="00BA111F" w:rsidRDefault="00BA111F" w:rsidP="00BA111F">
      <w:pPr>
        <w:pStyle w:val="Prrafodelista"/>
        <w:ind w:left="1080"/>
        <w:jc w:val="both"/>
        <w:rPr>
          <w:rFonts w:ascii="Arial" w:hAnsi="Arial" w:cs="Arial"/>
          <w:b/>
          <w:sz w:val="24"/>
          <w:szCs w:val="24"/>
        </w:rPr>
      </w:pPr>
    </w:p>
    <w:p w:rsidR="00BA111F" w:rsidRDefault="00BA111F" w:rsidP="00BA111F">
      <w:pPr>
        <w:pStyle w:val="Prrafodelista"/>
        <w:ind w:left="1080"/>
        <w:jc w:val="both"/>
        <w:rPr>
          <w:rFonts w:ascii="Arial" w:hAnsi="Arial" w:cs="Arial"/>
          <w:b/>
          <w:sz w:val="24"/>
          <w:szCs w:val="24"/>
        </w:rPr>
      </w:pPr>
    </w:p>
    <w:p w:rsidR="00BA111F" w:rsidRDefault="00BA111F" w:rsidP="00BA111F">
      <w:pPr>
        <w:pStyle w:val="Prrafodelista"/>
        <w:ind w:left="1080"/>
        <w:jc w:val="both"/>
        <w:rPr>
          <w:rFonts w:ascii="Arial" w:hAnsi="Arial" w:cs="Arial"/>
          <w:b/>
          <w:sz w:val="24"/>
          <w:szCs w:val="24"/>
        </w:rPr>
      </w:pPr>
    </w:p>
    <w:p w:rsidR="00BA111F" w:rsidRDefault="00BA111F" w:rsidP="00BA111F">
      <w:pPr>
        <w:pStyle w:val="Prrafodelista"/>
        <w:ind w:left="1080"/>
        <w:jc w:val="both"/>
        <w:rPr>
          <w:rFonts w:ascii="Arial" w:hAnsi="Arial" w:cs="Arial"/>
          <w:b/>
          <w:sz w:val="24"/>
          <w:szCs w:val="24"/>
        </w:rPr>
      </w:pPr>
    </w:p>
    <w:p w:rsidR="00BA111F" w:rsidRDefault="00BA111F" w:rsidP="00BA111F">
      <w:pPr>
        <w:pStyle w:val="Prrafodelista"/>
        <w:ind w:left="1080"/>
        <w:jc w:val="both"/>
        <w:rPr>
          <w:rFonts w:ascii="Arial" w:hAnsi="Arial" w:cs="Arial"/>
          <w:b/>
          <w:sz w:val="24"/>
          <w:szCs w:val="24"/>
        </w:rPr>
      </w:pPr>
    </w:p>
    <w:p w:rsidR="00BA111F" w:rsidRDefault="00BA111F" w:rsidP="00BA111F">
      <w:pPr>
        <w:pStyle w:val="Prrafodelista"/>
        <w:ind w:left="1080"/>
        <w:jc w:val="both"/>
        <w:rPr>
          <w:rFonts w:ascii="Arial" w:hAnsi="Arial" w:cs="Arial"/>
          <w:b/>
          <w:sz w:val="24"/>
          <w:szCs w:val="24"/>
        </w:rPr>
      </w:pPr>
    </w:p>
    <w:p w:rsidR="00BA111F" w:rsidRDefault="00BA111F" w:rsidP="00BA111F">
      <w:pPr>
        <w:pStyle w:val="Prrafodelista"/>
        <w:ind w:left="1080"/>
        <w:jc w:val="both"/>
        <w:rPr>
          <w:rFonts w:ascii="Arial" w:hAnsi="Arial" w:cs="Arial"/>
          <w:b/>
          <w:sz w:val="24"/>
          <w:szCs w:val="24"/>
        </w:rPr>
      </w:pPr>
    </w:p>
    <w:p w:rsidR="00BA111F" w:rsidRDefault="00BA111F" w:rsidP="00BA111F">
      <w:pPr>
        <w:pStyle w:val="Prrafodelista"/>
        <w:ind w:left="1080"/>
        <w:jc w:val="both"/>
        <w:rPr>
          <w:rFonts w:ascii="Arial" w:hAnsi="Arial" w:cs="Arial"/>
          <w:b/>
          <w:sz w:val="24"/>
          <w:szCs w:val="24"/>
        </w:rPr>
      </w:pPr>
    </w:p>
    <w:p w:rsidR="00BA111F" w:rsidRDefault="00BA111F" w:rsidP="00BA111F">
      <w:pPr>
        <w:pStyle w:val="Prrafodelista"/>
        <w:ind w:left="1080"/>
        <w:jc w:val="both"/>
        <w:rPr>
          <w:rFonts w:ascii="Arial" w:hAnsi="Arial" w:cs="Arial"/>
          <w:b/>
          <w:sz w:val="24"/>
          <w:szCs w:val="24"/>
        </w:rPr>
      </w:pPr>
    </w:p>
    <w:p w:rsidR="00BA111F" w:rsidRDefault="00BA111F" w:rsidP="00BA111F">
      <w:pPr>
        <w:pStyle w:val="Prrafodelista"/>
        <w:ind w:left="1080"/>
        <w:jc w:val="both"/>
        <w:rPr>
          <w:rFonts w:ascii="Arial" w:hAnsi="Arial" w:cs="Arial"/>
          <w:b/>
          <w:sz w:val="24"/>
          <w:szCs w:val="24"/>
        </w:rPr>
      </w:pPr>
    </w:p>
    <w:p w:rsidR="00BA111F" w:rsidRDefault="00BA111F" w:rsidP="00BA111F">
      <w:pPr>
        <w:pStyle w:val="Prrafodelista"/>
        <w:ind w:left="1080"/>
        <w:jc w:val="both"/>
        <w:rPr>
          <w:rFonts w:ascii="Arial" w:hAnsi="Arial" w:cs="Arial"/>
          <w:b/>
          <w:sz w:val="24"/>
          <w:szCs w:val="24"/>
        </w:rPr>
      </w:pPr>
    </w:p>
    <w:p w:rsidR="00BA111F" w:rsidRDefault="00BA111F" w:rsidP="00BA111F">
      <w:pPr>
        <w:pStyle w:val="Prrafodelista"/>
        <w:ind w:left="1080"/>
        <w:jc w:val="both"/>
        <w:rPr>
          <w:rFonts w:ascii="Arial" w:hAnsi="Arial" w:cs="Arial"/>
          <w:b/>
          <w:sz w:val="24"/>
          <w:szCs w:val="24"/>
        </w:rPr>
      </w:pPr>
    </w:p>
    <w:p w:rsidR="00BA111F" w:rsidRDefault="00BA111F" w:rsidP="00BA111F">
      <w:pPr>
        <w:pStyle w:val="Prrafodelista"/>
        <w:ind w:left="1080"/>
        <w:jc w:val="both"/>
        <w:rPr>
          <w:rFonts w:ascii="Arial" w:hAnsi="Arial" w:cs="Arial"/>
          <w:b/>
          <w:sz w:val="24"/>
          <w:szCs w:val="24"/>
        </w:rPr>
      </w:pPr>
    </w:p>
    <w:p w:rsidR="00BA111F" w:rsidRDefault="00BA111F" w:rsidP="00BA111F">
      <w:pPr>
        <w:pStyle w:val="Prrafodelista"/>
        <w:ind w:left="1080"/>
        <w:jc w:val="both"/>
        <w:rPr>
          <w:rFonts w:ascii="Arial" w:hAnsi="Arial" w:cs="Arial"/>
          <w:b/>
          <w:sz w:val="24"/>
          <w:szCs w:val="24"/>
        </w:rPr>
      </w:pPr>
    </w:p>
    <w:p w:rsidR="00BA111F" w:rsidRDefault="00BA111F" w:rsidP="00BA111F">
      <w:pPr>
        <w:pStyle w:val="Prrafodelista"/>
        <w:ind w:left="1080"/>
        <w:jc w:val="both"/>
        <w:rPr>
          <w:rFonts w:ascii="Arial" w:hAnsi="Arial" w:cs="Arial"/>
          <w:b/>
          <w:sz w:val="24"/>
          <w:szCs w:val="24"/>
        </w:rPr>
      </w:pPr>
    </w:p>
    <w:p w:rsidR="00BA111F" w:rsidRDefault="00BA111F" w:rsidP="00BA111F">
      <w:pPr>
        <w:pStyle w:val="Prrafodelista"/>
        <w:ind w:left="1080"/>
        <w:jc w:val="both"/>
        <w:rPr>
          <w:rFonts w:ascii="Arial" w:hAnsi="Arial" w:cs="Arial"/>
          <w:b/>
          <w:sz w:val="24"/>
          <w:szCs w:val="24"/>
        </w:rPr>
      </w:pPr>
    </w:p>
    <w:p w:rsidR="00BA111F" w:rsidRDefault="00BA111F" w:rsidP="00BA111F">
      <w:pPr>
        <w:pStyle w:val="Prrafodelista"/>
        <w:ind w:left="1080"/>
        <w:jc w:val="both"/>
        <w:rPr>
          <w:rFonts w:ascii="Arial" w:hAnsi="Arial" w:cs="Arial"/>
          <w:b/>
          <w:sz w:val="24"/>
          <w:szCs w:val="24"/>
        </w:rPr>
      </w:pPr>
    </w:p>
    <w:p w:rsidR="00BA111F" w:rsidRDefault="00BA111F" w:rsidP="00BA111F">
      <w:pPr>
        <w:pStyle w:val="Prrafodelista"/>
        <w:ind w:left="1080"/>
        <w:jc w:val="both"/>
        <w:rPr>
          <w:rFonts w:ascii="Arial" w:hAnsi="Arial" w:cs="Arial"/>
          <w:b/>
          <w:sz w:val="24"/>
          <w:szCs w:val="24"/>
        </w:rPr>
      </w:pPr>
    </w:p>
    <w:p w:rsidR="00BA111F" w:rsidRDefault="00BA111F" w:rsidP="00BA111F">
      <w:pPr>
        <w:pStyle w:val="Prrafodelista"/>
        <w:ind w:left="1080"/>
        <w:jc w:val="both"/>
        <w:rPr>
          <w:rFonts w:ascii="Arial" w:hAnsi="Arial" w:cs="Arial"/>
          <w:b/>
          <w:sz w:val="24"/>
          <w:szCs w:val="24"/>
        </w:rPr>
      </w:pPr>
    </w:p>
    <w:p w:rsidR="00BA111F" w:rsidRDefault="00BA111F" w:rsidP="00BA111F">
      <w:pPr>
        <w:pStyle w:val="Prrafodelista"/>
        <w:numPr>
          <w:ilvl w:val="0"/>
          <w:numId w:val="1"/>
        </w:numPr>
        <w:jc w:val="both"/>
        <w:rPr>
          <w:rFonts w:ascii="Arial" w:hAnsi="Arial" w:cs="Arial"/>
          <w:b/>
          <w:sz w:val="24"/>
          <w:szCs w:val="24"/>
        </w:rPr>
      </w:pPr>
      <w:r>
        <w:rPr>
          <w:rFonts w:ascii="Arial" w:hAnsi="Arial" w:cs="Arial"/>
          <w:b/>
          <w:sz w:val="24"/>
          <w:szCs w:val="24"/>
        </w:rPr>
        <w:t>Impuesto predial unificado en otras naciones.</w:t>
      </w:r>
    </w:p>
    <w:p w:rsidR="00BA111F" w:rsidRDefault="00BA111F" w:rsidP="00BA111F">
      <w:pPr>
        <w:jc w:val="both"/>
        <w:rPr>
          <w:rFonts w:ascii="Arial" w:hAnsi="Arial" w:cs="Arial"/>
          <w:sz w:val="24"/>
          <w:szCs w:val="24"/>
        </w:rPr>
      </w:pPr>
      <w:r w:rsidRPr="00496C9A">
        <w:rPr>
          <w:rFonts w:ascii="Arial" w:hAnsi="Arial" w:cs="Arial"/>
          <w:sz w:val="24"/>
          <w:szCs w:val="24"/>
        </w:rPr>
        <w:t xml:space="preserve">Con el objetivo de </w:t>
      </w:r>
      <w:r>
        <w:rPr>
          <w:rFonts w:ascii="Arial" w:hAnsi="Arial" w:cs="Arial"/>
          <w:sz w:val="24"/>
          <w:szCs w:val="24"/>
        </w:rPr>
        <w:t>contar con algunos elementos de juicio a nivel internacional con respecto a los cuales comparar el impuesto predial del caso colombiano, en la presente sección se resumen las generalidades de dicho impuesto en Estados Unidos de América, Holanda y Suecia.</w:t>
      </w:r>
    </w:p>
    <w:p w:rsidR="00BA111F" w:rsidRDefault="00BA111F" w:rsidP="00BA111F">
      <w:pPr>
        <w:jc w:val="both"/>
        <w:rPr>
          <w:rFonts w:ascii="Arial" w:hAnsi="Arial" w:cs="Arial"/>
          <w:sz w:val="24"/>
          <w:szCs w:val="24"/>
        </w:rPr>
      </w:pPr>
    </w:p>
    <w:p w:rsidR="00BA111F" w:rsidRDefault="00BA111F" w:rsidP="00BA111F">
      <w:pPr>
        <w:jc w:val="both"/>
        <w:rPr>
          <w:rFonts w:ascii="Arial" w:hAnsi="Arial" w:cs="Arial"/>
          <w:b/>
          <w:sz w:val="24"/>
          <w:szCs w:val="24"/>
        </w:rPr>
      </w:pPr>
      <w:r w:rsidRPr="00912559">
        <w:rPr>
          <w:rFonts w:ascii="Arial" w:hAnsi="Arial" w:cs="Arial"/>
          <w:b/>
          <w:sz w:val="24"/>
          <w:szCs w:val="24"/>
        </w:rPr>
        <w:t>3.1. Impuesto predial en Estados Unidos de América.</w:t>
      </w:r>
    </w:p>
    <w:p w:rsidR="00BA111F" w:rsidRDefault="00BA111F" w:rsidP="00BA111F">
      <w:pPr>
        <w:jc w:val="both"/>
        <w:rPr>
          <w:rFonts w:ascii="Arial" w:hAnsi="Arial" w:cs="Arial"/>
          <w:sz w:val="24"/>
          <w:szCs w:val="24"/>
        </w:rPr>
      </w:pPr>
      <w:r w:rsidRPr="007452F9">
        <w:rPr>
          <w:rFonts w:ascii="Arial" w:hAnsi="Arial" w:cs="Arial"/>
          <w:sz w:val="24"/>
          <w:szCs w:val="24"/>
        </w:rPr>
        <w:t xml:space="preserve">Al igual que lo que sucede en Colombia, </w:t>
      </w:r>
      <w:r>
        <w:rPr>
          <w:rFonts w:ascii="Arial" w:hAnsi="Arial" w:cs="Arial"/>
          <w:sz w:val="24"/>
          <w:szCs w:val="24"/>
        </w:rPr>
        <w:t xml:space="preserve">los ingresos provenientes del impuesto predial a nivel </w:t>
      </w:r>
      <w:r w:rsidRPr="002C45F8">
        <w:rPr>
          <w:rFonts w:ascii="Arial" w:hAnsi="Arial" w:cs="Arial"/>
          <w:sz w:val="24"/>
          <w:szCs w:val="24"/>
          <w:u w:val="single"/>
        </w:rPr>
        <w:t>estatal y local</w:t>
      </w:r>
      <w:r>
        <w:rPr>
          <w:rFonts w:ascii="Arial" w:hAnsi="Arial" w:cs="Arial"/>
          <w:sz w:val="24"/>
          <w:szCs w:val="24"/>
        </w:rPr>
        <w:t>, constituyeron para el año 2017 una de las principales fuentes de financiamiento para dichas entidades territoriales al constituir el 21.4% de sus ingresos tributarios (equivalente a US$ 532.2 billones mientras los ingresos corrientes correspondieron a US$ 2,484.2 billones), únicamente superado por las transferencias federales (US$ 559.3 billones)</w:t>
      </w:r>
      <w:r>
        <w:rPr>
          <w:rStyle w:val="Refdenotaalpie"/>
          <w:rFonts w:ascii="Arial" w:hAnsi="Arial" w:cs="Arial"/>
          <w:sz w:val="24"/>
          <w:szCs w:val="24"/>
        </w:rPr>
        <w:footnoteReference w:id="6"/>
      </w:r>
      <w:r>
        <w:rPr>
          <w:rFonts w:ascii="Arial" w:hAnsi="Arial" w:cs="Arial"/>
          <w:sz w:val="24"/>
          <w:szCs w:val="24"/>
        </w:rPr>
        <w:t xml:space="preserve">. </w:t>
      </w:r>
    </w:p>
    <w:p w:rsidR="00BA111F" w:rsidRDefault="00BA111F" w:rsidP="00BA111F">
      <w:pPr>
        <w:jc w:val="both"/>
        <w:rPr>
          <w:rFonts w:ascii="Arial" w:hAnsi="Arial" w:cs="Arial"/>
          <w:sz w:val="24"/>
          <w:szCs w:val="24"/>
        </w:rPr>
      </w:pPr>
      <w:r>
        <w:rPr>
          <w:rFonts w:ascii="Arial" w:hAnsi="Arial" w:cs="Arial"/>
          <w:sz w:val="24"/>
          <w:szCs w:val="24"/>
        </w:rPr>
        <w:t>En este país, existen 6 tipos de limitaciones al “</w:t>
      </w:r>
      <w:proofErr w:type="spellStart"/>
      <w:r w:rsidRPr="00B30DCB">
        <w:rPr>
          <w:rFonts w:ascii="Arial" w:hAnsi="Arial" w:cs="Arial"/>
          <w:i/>
          <w:sz w:val="24"/>
          <w:szCs w:val="24"/>
        </w:rPr>
        <w:t>Property</w:t>
      </w:r>
      <w:proofErr w:type="spellEnd"/>
      <w:r w:rsidRPr="00B30DCB">
        <w:rPr>
          <w:rFonts w:ascii="Arial" w:hAnsi="Arial" w:cs="Arial"/>
          <w:i/>
          <w:sz w:val="24"/>
          <w:szCs w:val="24"/>
        </w:rPr>
        <w:t xml:space="preserve"> </w:t>
      </w:r>
      <w:proofErr w:type="spellStart"/>
      <w:r w:rsidRPr="00B30DCB">
        <w:rPr>
          <w:rFonts w:ascii="Arial" w:hAnsi="Arial" w:cs="Arial"/>
          <w:i/>
          <w:sz w:val="24"/>
          <w:szCs w:val="24"/>
        </w:rPr>
        <w:t>tax</w:t>
      </w:r>
      <w:proofErr w:type="spellEnd"/>
      <w:r>
        <w:rPr>
          <w:rFonts w:ascii="Arial" w:hAnsi="Arial" w:cs="Arial"/>
          <w:sz w:val="24"/>
          <w:szCs w:val="24"/>
        </w:rPr>
        <w:t>” por sus siglas en inglés</w:t>
      </w:r>
      <w:r>
        <w:rPr>
          <w:rStyle w:val="Refdenotaalpie"/>
          <w:rFonts w:ascii="Arial" w:hAnsi="Arial" w:cs="Arial"/>
          <w:sz w:val="24"/>
          <w:szCs w:val="24"/>
        </w:rPr>
        <w:footnoteReference w:id="7"/>
      </w:r>
      <w:r>
        <w:rPr>
          <w:rFonts w:ascii="Arial" w:hAnsi="Arial" w:cs="Arial"/>
          <w:sz w:val="24"/>
          <w:szCs w:val="24"/>
        </w:rPr>
        <w:t xml:space="preserve">. Cada una de las mismas puede ser aplicada independiente o conjuntamente. Estas son: </w:t>
      </w:r>
    </w:p>
    <w:p w:rsidR="00BA111F" w:rsidRDefault="00BA111F" w:rsidP="00BA111F">
      <w:pPr>
        <w:jc w:val="both"/>
        <w:rPr>
          <w:rFonts w:ascii="Arial" w:hAnsi="Arial" w:cs="Arial"/>
          <w:sz w:val="24"/>
          <w:szCs w:val="24"/>
        </w:rPr>
      </w:pPr>
      <w:r>
        <w:rPr>
          <w:rFonts w:ascii="Arial" w:hAnsi="Arial" w:cs="Arial"/>
          <w:sz w:val="24"/>
          <w:szCs w:val="24"/>
        </w:rPr>
        <w:t xml:space="preserve">1) </w:t>
      </w:r>
      <w:r w:rsidRPr="0089254C">
        <w:rPr>
          <w:rFonts w:ascii="Arial" w:hAnsi="Arial" w:cs="Arial"/>
          <w:b/>
          <w:sz w:val="24"/>
          <w:szCs w:val="24"/>
        </w:rPr>
        <w:t>Limitación</w:t>
      </w:r>
      <w:r>
        <w:rPr>
          <w:rFonts w:ascii="Arial" w:hAnsi="Arial" w:cs="Arial"/>
          <w:sz w:val="24"/>
          <w:szCs w:val="24"/>
        </w:rPr>
        <w:t xml:space="preserve"> general a la </w:t>
      </w:r>
      <w:r w:rsidRPr="0089254C">
        <w:rPr>
          <w:rFonts w:ascii="Arial" w:hAnsi="Arial" w:cs="Arial"/>
          <w:b/>
          <w:sz w:val="24"/>
          <w:szCs w:val="24"/>
        </w:rPr>
        <w:t>tasa</w:t>
      </w:r>
      <w:r>
        <w:rPr>
          <w:rFonts w:ascii="Arial" w:hAnsi="Arial" w:cs="Arial"/>
          <w:sz w:val="24"/>
          <w:szCs w:val="24"/>
        </w:rPr>
        <w:t xml:space="preserve"> que aplica para todos los gobiernos locales que no puede ser excedida sin aprobación del voto popular (</w:t>
      </w:r>
      <w:proofErr w:type="spellStart"/>
      <w:r>
        <w:rPr>
          <w:rFonts w:ascii="Arial" w:hAnsi="Arial" w:cs="Arial"/>
          <w:sz w:val="24"/>
          <w:szCs w:val="24"/>
        </w:rPr>
        <w:t>Overall</w:t>
      </w:r>
      <w:proofErr w:type="spellEnd"/>
      <w:r>
        <w:rPr>
          <w:rFonts w:ascii="Arial" w:hAnsi="Arial" w:cs="Arial"/>
          <w:sz w:val="24"/>
          <w:szCs w:val="24"/>
        </w:rPr>
        <w:t xml:space="preserve"> </w:t>
      </w:r>
      <w:proofErr w:type="spellStart"/>
      <w:r>
        <w:rPr>
          <w:rFonts w:ascii="Arial" w:hAnsi="Arial" w:cs="Arial"/>
          <w:sz w:val="24"/>
          <w:szCs w:val="24"/>
        </w:rPr>
        <w:t>Property</w:t>
      </w:r>
      <w:proofErr w:type="spellEnd"/>
      <w:r>
        <w:rPr>
          <w:rFonts w:ascii="Arial" w:hAnsi="Arial" w:cs="Arial"/>
          <w:sz w:val="24"/>
          <w:szCs w:val="24"/>
        </w:rPr>
        <w:t xml:space="preserve"> </w:t>
      </w:r>
      <w:proofErr w:type="spellStart"/>
      <w:r>
        <w:rPr>
          <w:rFonts w:ascii="Arial" w:hAnsi="Arial" w:cs="Arial"/>
          <w:sz w:val="24"/>
          <w:szCs w:val="24"/>
        </w:rPr>
        <w:t>Tax</w:t>
      </w:r>
      <w:proofErr w:type="spellEnd"/>
      <w:r>
        <w:rPr>
          <w:rFonts w:ascii="Arial" w:hAnsi="Arial" w:cs="Arial"/>
          <w:sz w:val="24"/>
          <w:szCs w:val="24"/>
        </w:rPr>
        <w:t xml:space="preserve"> </w:t>
      </w:r>
      <w:proofErr w:type="spellStart"/>
      <w:r>
        <w:rPr>
          <w:rFonts w:ascii="Arial" w:hAnsi="Arial" w:cs="Arial"/>
          <w:sz w:val="24"/>
          <w:szCs w:val="24"/>
        </w:rPr>
        <w:t>Rate</w:t>
      </w:r>
      <w:proofErr w:type="spellEnd"/>
      <w:r>
        <w:rPr>
          <w:rFonts w:ascii="Arial" w:hAnsi="Arial" w:cs="Arial"/>
          <w:sz w:val="24"/>
          <w:szCs w:val="24"/>
        </w:rPr>
        <w:t xml:space="preserve"> </w:t>
      </w:r>
      <w:proofErr w:type="spellStart"/>
      <w:r>
        <w:rPr>
          <w:rFonts w:ascii="Arial" w:hAnsi="Arial" w:cs="Arial"/>
          <w:sz w:val="24"/>
          <w:szCs w:val="24"/>
        </w:rPr>
        <w:t>Limit</w:t>
      </w:r>
      <w:proofErr w:type="spellEnd"/>
      <w:r>
        <w:rPr>
          <w:rFonts w:ascii="Arial" w:hAnsi="Arial" w:cs="Arial"/>
          <w:sz w:val="24"/>
          <w:szCs w:val="24"/>
        </w:rPr>
        <w:t xml:space="preserve">); </w:t>
      </w:r>
    </w:p>
    <w:p w:rsidR="00BA111F" w:rsidRDefault="00BA111F" w:rsidP="00BA111F">
      <w:pPr>
        <w:jc w:val="both"/>
        <w:rPr>
          <w:rFonts w:ascii="Arial" w:hAnsi="Arial" w:cs="Arial"/>
          <w:sz w:val="24"/>
          <w:szCs w:val="24"/>
        </w:rPr>
      </w:pPr>
      <w:r>
        <w:rPr>
          <w:rFonts w:ascii="Arial" w:hAnsi="Arial" w:cs="Arial"/>
          <w:sz w:val="24"/>
          <w:szCs w:val="24"/>
        </w:rPr>
        <w:t xml:space="preserve">2) </w:t>
      </w:r>
      <w:r w:rsidRPr="0089254C">
        <w:rPr>
          <w:rFonts w:ascii="Arial" w:hAnsi="Arial" w:cs="Arial"/>
          <w:b/>
          <w:sz w:val="24"/>
          <w:szCs w:val="24"/>
        </w:rPr>
        <w:t>Limitación</w:t>
      </w:r>
      <w:r>
        <w:rPr>
          <w:rFonts w:ascii="Arial" w:hAnsi="Arial" w:cs="Arial"/>
          <w:sz w:val="24"/>
          <w:szCs w:val="24"/>
        </w:rPr>
        <w:t xml:space="preserve"> específica a la</w:t>
      </w:r>
      <w:r w:rsidRPr="0089254C">
        <w:rPr>
          <w:rFonts w:ascii="Arial" w:hAnsi="Arial" w:cs="Arial"/>
          <w:b/>
          <w:sz w:val="24"/>
          <w:szCs w:val="24"/>
        </w:rPr>
        <w:t xml:space="preserve"> tasa</w:t>
      </w:r>
      <w:r>
        <w:rPr>
          <w:rFonts w:ascii="Arial" w:hAnsi="Arial" w:cs="Arial"/>
          <w:sz w:val="24"/>
          <w:szCs w:val="24"/>
        </w:rPr>
        <w:t xml:space="preserve"> que aplica para determinados tipos de gobierno local que no puede ser excedida sin la aprobación del voto popular (</w:t>
      </w:r>
      <w:proofErr w:type="spellStart"/>
      <w:r>
        <w:rPr>
          <w:rFonts w:ascii="Arial" w:hAnsi="Arial" w:cs="Arial"/>
          <w:sz w:val="24"/>
          <w:szCs w:val="24"/>
        </w:rPr>
        <w:t>Specific</w:t>
      </w:r>
      <w:proofErr w:type="spellEnd"/>
      <w:r>
        <w:rPr>
          <w:rFonts w:ascii="Arial" w:hAnsi="Arial" w:cs="Arial"/>
          <w:sz w:val="24"/>
          <w:szCs w:val="24"/>
        </w:rPr>
        <w:t xml:space="preserve"> </w:t>
      </w:r>
      <w:proofErr w:type="spellStart"/>
      <w:r>
        <w:rPr>
          <w:rFonts w:ascii="Arial" w:hAnsi="Arial" w:cs="Arial"/>
          <w:sz w:val="24"/>
          <w:szCs w:val="24"/>
        </w:rPr>
        <w:t>Property</w:t>
      </w:r>
      <w:proofErr w:type="spellEnd"/>
      <w:r>
        <w:rPr>
          <w:rFonts w:ascii="Arial" w:hAnsi="Arial" w:cs="Arial"/>
          <w:sz w:val="24"/>
          <w:szCs w:val="24"/>
        </w:rPr>
        <w:t xml:space="preserve"> </w:t>
      </w:r>
      <w:proofErr w:type="spellStart"/>
      <w:r>
        <w:rPr>
          <w:rFonts w:ascii="Arial" w:hAnsi="Arial" w:cs="Arial"/>
          <w:sz w:val="24"/>
          <w:szCs w:val="24"/>
        </w:rPr>
        <w:t>Tax</w:t>
      </w:r>
      <w:proofErr w:type="spellEnd"/>
      <w:r>
        <w:rPr>
          <w:rFonts w:ascii="Arial" w:hAnsi="Arial" w:cs="Arial"/>
          <w:sz w:val="24"/>
          <w:szCs w:val="24"/>
        </w:rPr>
        <w:t xml:space="preserve"> </w:t>
      </w:r>
      <w:proofErr w:type="spellStart"/>
      <w:r>
        <w:rPr>
          <w:rFonts w:ascii="Arial" w:hAnsi="Arial" w:cs="Arial"/>
          <w:sz w:val="24"/>
          <w:szCs w:val="24"/>
        </w:rPr>
        <w:t>Rate</w:t>
      </w:r>
      <w:proofErr w:type="spellEnd"/>
      <w:r>
        <w:rPr>
          <w:rFonts w:ascii="Arial" w:hAnsi="Arial" w:cs="Arial"/>
          <w:sz w:val="24"/>
          <w:szCs w:val="24"/>
        </w:rPr>
        <w:t xml:space="preserve"> </w:t>
      </w:r>
      <w:proofErr w:type="spellStart"/>
      <w:r>
        <w:rPr>
          <w:rFonts w:ascii="Arial" w:hAnsi="Arial" w:cs="Arial"/>
          <w:sz w:val="24"/>
          <w:szCs w:val="24"/>
        </w:rPr>
        <w:t>Limit</w:t>
      </w:r>
      <w:proofErr w:type="spellEnd"/>
      <w:r>
        <w:rPr>
          <w:rFonts w:ascii="Arial" w:hAnsi="Arial" w:cs="Arial"/>
          <w:sz w:val="24"/>
          <w:szCs w:val="24"/>
        </w:rPr>
        <w:t xml:space="preserve">); </w:t>
      </w:r>
    </w:p>
    <w:p w:rsidR="00BA111F" w:rsidRDefault="00BA111F" w:rsidP="00BA111F">
      <w:pPr>
        <w:jc w:val="both"/>
        <w:rPr>
          <w:rFonts w:ascii="Arial" w:hAnsi="Arial" w:cs="Arial"/>
          <w:sz w:val="24"/>
          <w:szCs w:val="24"/>
        </w:rPr>
      </w:pPr>
      <w:r>
        <w:rPr>
          <w:rFonts w:ascii="Arial" w:hAnsi="Arial" w:cs="Arial"/>
          <w:sz w:val="24"/>
          <w:szCs w:val="24"/>
        </w:rPr>
        <w:t xml:space="preserve">3) </w:t>
      </w:r>
      <w:r w:rsidRPr="0089254C">
        <w:rPr>
          <w:rFonts w:ascii="Arial" w:hAnsi="Arial" w:cs="Arial"/>
          <w:b/>
          <w:sz w:val="24"/>
          <w:szCs w:val="24"/>
        </w:rPr>
        <w:t>Limitación</w:t>
      </w:r>
      <w:r>
        <w:rPr>
          <w:rFonts w:ascii="Arial" w:hAnsi="Arial" w:cs="Arial"/>
          <w:sz w:val="24"/>
          <w:szCs w:val="24"/>
        </w:rPr>
        <w:t xml:space="preserve"> a la </w:t>
      </w:r>
      <w:r w:rsidRPr="0089254C">
        <w:rPr>
          <w:rFonts w:ascii="Arial" w:hAnsi="Arial" w:cs="Arial"/>
          <w:b/>
          <w:sz w:val="24"/>
          <w:szCs w:val="24"/>
        </w:rPr>
        <w:t>carga impositiva</w:t>
      </w:r>
      <w:r>
        <w:rPr>
          <w:rFonts w:ascii="Arial" w:hAnsi="Arial" w:cs="Arial"/>
          <w:sz w:val="24"/>
          <w:szCs w:val="24"/>
        </w:rPr>
        <w:t xml:space="preserve"> del impuesto (limitación de los ingresos) que restringe el ingreso total por concepto de impuesto predial, independientemente de la tasa (</w:t>
      </w:r>
      <w:proofErr w:type="spellStart"/>
      <w:r>
        <w:rPr>
          <w:rFonts w:ascii="Arial" w:hAnsi="Arial" w:cs="Arial"/>
          <w:sz w:val="24"/>
          <w:szCs w:val="24"/>
        </w:rPr>
        <w:t>Property</w:t>
      </w:r>
      <w:proofErr w:type="spellEnd"/>
      <w:r>
        <w:rPr>
          <w:rFonts w:ascii="Arial" w:hAnsi="Arial" w:cs="Arial"/>
          <w:sz w:val="24"/>
          <w:szCs w:val="24"/>
        </w:rPr>
        <w:t xml:space="preserve"> </w:t>
      </w:r>
      <w:proofErr w:type="spellStart"/>
      <w:r>
        <w:rPr>
          <w:rFonts w:ascii="Arial" w:hAnsi="Arial" w:cs="Arial"/>
          <w:sz w:val="24"/>
          <w:szCs w:val="24"/>
        </w:rPr>
        <w:t>Tax</w:t>
      </w:r>
      <w:proofErr w:type="spellEnd"/>
      <w:r>
        <w:rPr>
          <w:rFonts w:ascii="Arial" w:hAnsi="Arial" w:cs="Arial"/>
          <w:sz w:val="24"/>
          <w:szCs w:val="24"/>
        </w:rPr>
        <w:t xml:space="preserve"> Levy </w:t>
      </w:r>
      <w:proofErr w:type="spellStart"/>
      <w:r>
        <w:rPr>
          <w:rFonts w:ascii="Arial" w:hAnsi="Arial" w:cs="Arial"/>
          <w:sz w:val="24"/>
          <w:szCs w:val="24"/>
        </w:rPr>
        <w:t>Limit</w:t>
      </w:r>
      <w:proofErr w:type="spellEnd"/>
      <w:r>
        <w:rPr>
          <w:rFonts w:ascii="Arial" w:hAnsi="Arial" w:cs="Arial"/>
          <w:sz w:val="24"/>
          <w:szCs w:val="24"/>
        </w:rPr>
        <w:t xml:space="preserve">); </w:t>
      </w:r>
    </w:p>
    <w:p w:rsidR="00BA111F" w:rsidRDefault="00BA111F" w:rsidP="00BA111F">
      <w:pPr>
        <w:jc w:val="both"/>
        <w:rPr>
          <w:rFonts w:ascii="Arial" w:hAnsi="Arial" w:cs="Arial"/>
          <w:sz w:val="24"/>
          <w:szCs w:val="24"/>
        </w:rPr>
      </w:pPr>
      <w:r>
        <w:rPr>
          <w:rFonts w:ascii="Arial" w:hAnsi="Arial" w:cs="Arial"/>
          <w:sz w:val="24"/>
          <w:szCs w:val="24"/>
        </w:rPr>
        <w:t xml:space="preserve">4) </w:t>
      </w:r>
      <w:r w:rsidRPr="0089254C">
        <w:rPr>
          <w:rFonts w:ascii="Arial" w:hAnsi="Arial" w:cs="Arial"/>
          <w:b/>
          <w:sz w:val="24"/>
          <w:szCs w:val="24"/>
        </w:rPr>
        <w:t>Limitación</w:t>
      </w:r>
      <w:r>
        <w:rPr>
          <w:rFonts w:ascii="Arial" w:hAnsi="Arial" w:cs="Arial"/>
          <w:sz w:val="24"/>
          <w:szCs w:val="24"/>
        </w:rPr>
        <w:t xml:space="preserve">  sobre los </w:t>
      </w:r>
      <w:r w:rsidRPr="0089254C">
        <w:rPr>
          <w:rFonts w:ascii="Arial" w:hAnsi="Arial" w:cs="Arial"/>
          <w:b/>
          <w:sz w:val="24"/>
          <w:szCs w:val="24"/>
        </w:rPr>
        <w:t>ingresos generales</w:t>
      </w:r>
      <w:r>
        <w:rPr>
          <w:rFonts w:ascii="Arial" w:hAnsi="Arial" w:cs="Arial"/>
          <w:sz w:val="24"/>
          <w:szCs w:val="24"/>
        </w:rPr>
        <w:t xml:space="preserve"> o incremento de </w:t>
      </w:r>
      <w:r w:rsidRPr="0089254C">
        <w:rPr>
          <w:rFonts w:ascii="Arial" w:hAnsi="Arial" w:cs="Arial"/>
          <w:b/>
          <w:sz w:val="24"/>
          <w:szCs w:val="24"/>
        </w:rPr>
        <w:t>los gastos</w:t>
      </w:r>
      <w:r>
        <w:rPr>
          <w:rFonts w:ascii="Arial" w:hAnsi="Arial" w:cs="Arial"/>
          <w:sz w:val="24"/>
          <w:szCs w:val="24"/>
        </w:rPr>
        <w:t xml:space="preserve">, que limita los ingresos que pueden ser recolectados por impuesto predial y restringe el gasto de los gobiernos locales General </w:t>
      </w:r>
      <w:proofErr w:type="spellStart"/>
      <w:r>
        <w:rPr>
          <w:rFonts w:ascii="Arial" w:hAnsi="Arial" w:cs="Arial"/>
          <w:sz w:val="24"/>
          <w:szCs w:val="24"/>
        </w:rPr>
        <w:t>Revenue</w:t>
      </w:r>
      <w:proofErr w:type="spellEnd"/>
      <w:r>
        <w:rPr>
          <w:rFonts w:ascii="Arial" w:hAnsi="Arial" w:cs="Arial"/>
          <w:sz w:val="24"/>
          <w:szCs w:val="24"/>
        </w:rPr>
        <w:t xml:space="preserve"> </w:t>
      </w:r>
      <w:proofErr w:type="spellStart"/>
      <w:r>
        <w:rPr>
          <w:rFonts w:ascii="Arial" w:hAnsi="Arial" w:cs="Arial"/>
          <w:sz w:val="24"/>
          <w:szCs w:val="24"/>
        </w:rPr>
        <w:t>or</w:t>
      </w:r>
      <w:proofErr w:type="spellEnd"/>
      <w:r>
        <w:rPr>
          <w:rFonts w:ascii="Arial" w:hAnsi="Arial" w:cs="Arial"/>
          <w:sz w:val="24"/>
          <w:szCs w:val="24"/>
        </w:rPr>
        <w:t xml:space="preserve"> General </w:t>
      </w:r>
      <w:proofErr w:type="spellStart"/>
      <w:r>
        <w:rPr>
          <w:rFonts w:ascii="Arial" w:hAnsi="Arial" w:cs="Arial"/>
          <w:sz w:val="24"/>
          <w:szCs w:val="24"/>
        </w:rPr>
        <w:t>Expenditure</w:t>
      </w:r>
      <w:proofErr w:type="spellEnd"/>
      <w:r>
        <w:rPr>
          <w:rFonts w:ascii="Arial" w:hAnsi="Arial" w:cs="Arial"/>
          <w:sz w:val="24"/>
          <w:szCs w:val="24"/>
        </w:rPr>
        <w:t xml:space="preserve"> </w:t>
      </w:r>
      <w:proofErr w:type="spellStart"/>
      <w:r>
        <w:rPr>
          <w:rFonts w:ascii="Arial" w:hAnsi="Arial" w:cs="Arial"/>
          <w:sz w:val="24"/>
          <w:szCs w:val="24"/>
        </w:rPr>
        <w:t>Increase</w:t>
      </w:r>
      <w:proofErr w:type="spellEnd"/>
      <w:r>
        <w:rPr>
          <w:rFonts w:ascii="Arial" w:hAnsi="Arial" w:cs="Arial"/>
          <w:sz w:val="24"/>
          <w:szCs w:val="24"/>
        </w:rPr>
        <w:t>);</w:t>
      </w:r>
    </w:p>
    <w:p w:rsidR="00BA111F" w:rsidRDefault="00BA111F" w:rsidP="00BA111F">
      <w:pPr>
        <w:jc w:val="both"/>
        <w:rPr>
          <w:rFonts w:ascii="Arial" w:hAnsi="Arial" w:cs="Arial"/>
          <w:sz w:val="24"/>
          <w:szCs w:val="24"/>
        </w:rPr>
      </w:pPr>
      <w:r>
        <w:rPr>
          <w:rFonts w:ascii="Arial" w:hAnsi="Arial" w:cs="Arial"/>
          <w:sz w:val="24"/>
          <w:szCs w:val="24"/>
        </w:rPr>
        <w:lastRenderedPageBreak/>
        <w:t xml:space="preserve">5) </w:t>
      </w:r>
      <w:r w:rsidRPr="0089254C">
        <w:rPr>
          <w:rFonts w:ascii="Arial" w:hAnsi="Arial" w:cs="Arial"/>
          <w:b/>
          <w:sz w:val="24"/>
          <w:szCs w:val="24"/>
        </w:rPr>
        <w:t>Limitación</w:t>
      </w:r>
      <w:r>
        <w:rPr>
          <w:rFonts w:ascii="Arial" w:hAnsi="Arial" w:cs="Arial"/>
          <w:sz w:val="24"/>
          <w:szCs w:val="24"/>
        </w:rPr>
        <w:t xml:space="preserve"> sobre los incrementos de la </w:t>
      </w:r>
      <w:r w:rsidRPr="0089254C">
        <w:rPr>
          <w:rFonts w:ascii="Arial" w:hAnsi="Arial" w:cs="Arial"/>
          <w:b/>
          <w:sz w:val="24"/>
          <w:szCs w:val="24"/>
        </w:rPr>
        <w:t>valoración de los predios</w:t>
      </w:r>
      <w:r>
        <w:rPr>
          <w:rFonts w:ascii="Arial" w:hAnsi="Arial" w:cs="Arial"/>
          <w:b/>
          <w:sz w:val="24"/>
          <w:szCs w:val="24"/>
        </w:rPr>
        <w:t xml:space="preserve"> (</w:t>
      </w:r>
      <w:proofErr w:type="spellStart"/>
      <w:r>
        <w:rPr>
          <w:rFonts w:ascii="Arial" w:hAnsi="Arial" w:cs="Arial"/>
          <w:b/>
          <w:sz w:val="24"/>
          <w:szCs w:val="24"/>
        </w:rPr>
        <w:t>Limits</w:t>
      </w:r>
      <w:proofErr w:type="spellEnd"/>
      <w:r>
        <w:rPr>
          <w:rFonts w:ascii="Arial" w:hAnsi="Arial" w:cs="Arial"/>
          <w:b/>
          <w:sz w:val="24"/>
          <w:szCs w:val="24"/>
        </w:rPr>
        <w:t xml:space="preserve"> </w:t>
      </w:r>
      <w:proofErr w:type="spellStart"/>
      <w:r>
        <w:rPr>
          <w:rFonts w:ascii="Arial" w:hAnsi="Arial" w:cs="Arial"/>
          <w:b/>
          <w:sz w:val="24"/>
          <w:szCs w:val="24"/>
        </w:rPr>
        <w:t>on</w:t>
      </w:r>
      <w:proofErr w:type="spellEnd"/>
      <w:r>
        <w:rPr>
          <w:rFonts w:ascii="Arial" w:hAnsi="Arial" w:cs="Arial"/>
          <w:b/>
          <w:sz w:val="24"/>
          <w:szCs w:val="24"/>
        </w:rPr>
        <w:t xml:space="preserve"> </w:t>
      </w:r>
      <w:proofErr w:type="spellStart"/>
      <w:r>
        <w:rPr>
          <w:rFonts w:ascii="Arial" w:hAnsi="Arial" w:cs="Arial"/>
          <w:b/>
          <w:sz w:val="24"/>
          <w:szCs w:val="24"/>
        </w:rPr>
        <w:t>Assestment</w:t>
      </w:r>
      <w:proofErr w:type="spellEnd"/>
      <w:r>
        <w:rPr>
          <w:rFonts w:ascii="Arial" w:hAnsi="Arial" w:cs="Arial"/>
          <w:b/>
          <w:sz w:val="24"/>
          <w:szCs w:val="24"/>
        </w:rPr>
        <w:t xml:space="preserve"> </w:t>
      </w:r>
      <w:proofErr w:type="spellStart"/>
      <w:r>
        <w:rPr>
          <w:rFonts w:ascii="Arial" w:hAnsi="Arial" w:cs="Arial"/>
          <w:b/>
          <w:sz w:val="24"/>
          <w:szCs w:val="24"/>
        </w:rPr>
        <w:t>Increase</w:t>
      </w:r>
      <w:proofErr w:type="spellEnd"/>
      <w:r>
        <w:rPr>
          <w:rFonts w:ascii="Arial" w:hAnsi="Arial" w:cs="Arial"/>
          <w:b/>
          <w:sz w:val="24"/>
          <w:szCs w:val="24"/>
        </w:rPr>
        <w:t>)</w:t>
      </w:r>
      <w:r>
        <w:rPr>
          <w:rFonts w:ascii="Arial" w:hAnsi="Arial" w:cs="Arial"/>
          <w:sz w:val="24"/>
          <w:szCs w:val="24"/>
        </w:rPr>
        <w:t xml:space="preserve"> y </w:t>
      </w:r>
    </w:p>
    <w:p w:rsidR="00BA111F" w:rsidRDefault="00BA111F" w:rsidP="00BA111F">
      <w:pPr>
        <w:jc w:val="both"/>
        <w:rPr>
          <w:rFonts w:ascii="Arial" w:hAnsi="Arial" w:cs="Arial"/>
          <w:sz w:val="24"/>
          <w:szCs w:val="24"/>
        </w:rPr>
      </w:pPr>
      <w:r>
        <w:rPr>
          <w:rFonts w:ascii="Arial" w:hAnsi="Arial" w:cs="Arial"/>
          <w:sz w:val="24"/>
          <w:szCs w:val="24"/>
        </w:rPr>
        <w:t>6) D</w:t>
      </w:r>
      <w:r>
        <w:rPr>
          <w:rFonts w:ascii="Arial" w:hAnsi="Arial" w:cs="Arial"/>
          <w:b/>
          <w:sz w:val="24"/>
          <w:szCs w:val="24"/>
        </w:rPr>
        <w:t xml:space="preserve">iscusión el pleno o </w:t>
      </w:r>
      <w:r>
        <w:rPr>
          <w:rFonts w:ascii="Arial" w:hAnsi="Arial" w:cs="Arial"/>
          <w:sz w:val="24"/>
          <w:szCs w:val="24"/>
        </w:rPr>
        <w:t xml:space="preserve">Full </w:t>
      </w:r>
      <w:proofErr w:type="spellStart"/>
      <w:r>
        <w:rPr>
          <w:rFonts w:ascii="Arial" w:hAnsi="Arial" w:cs="Arial"/>
          <w:sz w:val="24"/>
          <w:szCs w:val="24"/>
        </w:rPr>
        <w:t>Disclousure</w:t>
      </w:r>
      <w:proofErr w:type="spellEnd"/>
      <w:r>
        <w:rPr>
          <w:rFonts w:ascii="Arial" w:hAnsi="Arial" w:cs="Arial"/>
          <w:sz w:val="24"/>
          <w:szCs w:val="24"/>
        </w:rPr>
        <w:t>, donde se informa a los contribuyentes de la carga impositiva y su incremento y les da una oportunidad de participar en debates públicos al respecto. Requiere determinada cantidad de votos en los diferentes cuerpos legislativos para su aprobación.</w:t>
      </w:r>
    </w:p>
    <w:p w:rsidR="00BA111F" w:rsidRDefault="00BA111F" w:rsidP="00BA111F">
      <w:pPr>
        <w:jc w:val="both"/>
        <w:rPr>
          <w:rFonts w:ascii="Arial" w:hAnsi="Arial" w:cs="Arial"/>
          <w:sz w:val="24"/>
          <w:szCs w:val="24"/>
        </w:rPr>
      </w:pPr>
      <w:r>
        <w:rPr>
          <w:rFonts w:ascii="Arial" w:hAnsi="Arial" w:cs="Arial"/>
          <w:sz w:val="24"/>
          <w:szCs w:val="24"/>
        </w:rPr>
        <w:t xml:space="preserve">En la siguiente tabla se muestra el tipo de limitaciones al impuesto a la propiedad establecido en cada uno de los 50 estados de Estados Unidos (mas una locación referente al Distrito de Columbia) de conformidad con la información disponible por el Lincoln </w:t>
      </w:r>
      <w:proofErr w:type="spellStart"/>
      <w:r>
        <w:rPr>
          <w:rFonts w:ascii="Arial" w:hAnsi="Arial" w:cs="Arial"/>
          <w:sz w:val="24"/>
          <w:szCs w:val="24"/>
        </w:rPr>
        <w:t>Institute</w:t>
      </w:r>
      <w:proofErr w:type="spellEnd"/>
      <w:r>
        <w:rPr>
          <w:rFonts w:ascii="Arial" w:hAnsi="Arial" w:cs="Arial"/>
          <w:sz w:val="24"/>
          <w:szCs w:val="24"/>
        </w:rPr>
        <w:t xml:space="preserve"> of </w:t>
      </w:r>
      <w:proofErr w:type="spellStart"/>
      <w:r>
        <w:rPr>
          <w:rFonts w:ascii="Arial" w:hAnsi="Arial" w:cs="Arial"/>
          <w:sz w:val="24"/>
          <w:szCs w:val="24"/>
        </w:rPr>
        <w:t>Land</w:t>
      </w:r>
      <w:proofErr w:type="spellEnd"/>
      <w:r>
        <w:rPr>
          <w:rFonts w:ascii="Arial" w:hAnsi="Arial" w:cs="Arial"/>
          <w:sz w:val="24"/>
          <w:szCs w:val="24"/>
        </w:rPr>
        <w:t xml:space="preserve"> </w:t>
      </w:r>
      <w:proofErr w:type="spellStart"/>
      <w:r>
        <w:rPr>
          <w:rFonts w:ascii="Arial" w:hAnsi="Arial" w:cs="Arial"/>
          <w:sz w:val="24"/>
          <w:szCs w:val="24"/>
        </w:rPr>
        <w:t>Policy</w:t>
      </w:r>
      <w:proofErr w:type="spellEnd"/>
      <w:r>
        <w:rPr>
          <w:rStyle w:val="Refdenotaalpie"/>
          <w:rFonts w:ascii="Arial" w:hAnsi="Arial" w:cs="Arial"/>
          <w:sz w:val="24"/>
          <w:szCs w:val="24"/>
        </w:rPr>
        <w:footnoteReference w:id="8"/>
      </w:r>
      <w:r>
        <w:rPr>
          <w:rFonts w:ascii="Arial" w:hAnsi="Arial" w:cs="Arial"/>
          <w:sz w:val="24"/>
          <w:szCs w:val="24"/>
        </w:rPr>
        <w:t>.</w:t>
      </w:r>
    </w:p>
    <w:p w:rsidR="00BA111F" w:rsidRDefault="00BA111F" w:rsidP="00BA111F">
      <w:pPr>
        <w:jc w:val="both"/>
        <w:rPr>
          <w:rFonts w:ascii="Arial" w:hAnsi="Arial" w:cs="Arial"/>
          <w:sz w:val="24"/>
          <w:szCs w:val="24"/>
        </w:rPr>
      </w:pPr>
      <w:r w:rsidRPr="00FE27D0">
        <w:rPr>
          <w:noProof/>
          <w:lang w:eastAsia="es-CO"/>
        </w:rPr>
        <w:lastRenderedPageBreak/>
        <w:drawing>
          <wp:inline distT="0" distB="0" distL="0" distR="0" wp14:anchorId="3A32FD6A" wp14:editId="51308F18">
            <wp:extent cx="5612130" cy="68264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6826458"/>
                    </a:xfrm>
                    <a:prstGeom prst="rect">
                      <a:avLst/>
                    </a:prstGeom>
                    <a:noFill/>
                    <a:ln>
                      <a:noFill/>
                    </a:ln>
                  </pic:spPr>
                </pic:pic>
              </a:graphicData>
            </a:graphic>
          </wp:inline>
        </w:drawing>
      </w:r>
    </w:p>
    <w:p w:rsidR="00BA111F" w:rsidRDefault="00BA111F" w:rsidP="00BA111F">
      <w:pPr>
        <w:jc w:val="both"/>
        <w:rPr>
          <w:rFonts w:ascii="Arial" w:hAnsi="Arial" w:cs="Arial"/>
          <w:sz w:val="24"/>
          <w:szCs w:val="24"/>
        </w:rPr>
      </w:pPr>
      <w:r>
        <w:rPr>
          <w:rFonts w:ascii="Arial" w:hAnsi="Arial" w:cs="Arial"/>
          <w:sz w:val="24"/>
          <w:szCs w:val="24"/>
        </w:rPr>
        <w:t xml:space="preserve">De los anteriores 6 tipos de límites a los impuestos a la propiedad, el más utilizado es el límite a la tasa impositiva general y especifica (aplicado en 44 estados), seguido del límite a la carga impositiva (aplicado en 41 estados) y el límite a la </w:t>
      </w:r>
      <w:r>
        <w:rPr>
          <w:rFonts w:ascii="Arial" w:hAnsi="Arial" w:cs="Arial"/>
          <w:sz w:val="24"/>
          <w:szCs w:val="24"/>
        </w:rPr>
        <w:lastRenderedPageBreak/>
        <w:t>valoración de los bienes inmuebles (aplicado en 22 estados). Únicamente 3 estados no tienen límite alguno al impuesto sobre la propiedad (</w:t>
      </w:r>
      <w:proofErr w:type="spellStart"/>
      <w:r>
        <w:rPr>
          <w:rFonts w:ascii="Arial" w:hAnsi="Arial" w:cs="Arial"/>
          <w:sz w:val="24"/>
          <w:szCs w:val="24"/>
        </w:rPr>
        <w:t>Hawaii</w:t>
      </w:r>
      <w:proofErr w:type="spellEnd"/>
      <w:r>
        <w:rPr>
          <w:rFonts w:ascii="Arial" w:hAnsi="Arial" w:cs="Arial"/>
          <w:sz w:val="24"/>
          <w:szCs w:val="24"/>
        </w:rPr>
        <w:t>, New Hampshire y Vermont).</w:t>
      </w:r>
    </w:p>
    <w:p w:rsidR="00BA111F" w:rsidRDefault="00BA111F" w:rsidP="00BA111F">
      <w:pPr>
        <w:jc w:val="both"/>
        <w:rPr>
          <w:rFonts w:ascii="Arial" w:hAnsi="Arial" w:cs="Arial"/>
          <w:sz w:val="24"/>
          <w:szCs w:val="24"/>
        </w:rPr>
      </w:pPr>
    </w:p>
    <w:tbl>
      <w:tblPr>
        <w:tblW w:w="4980" w:type="dxa"/>
        <w:jc w:val="center"/>
        <w:tblCellMar>
          <w:left w:w="70" w:type="dxa"/>
          <w:right w:w="70" w:type="dxa"/>
        </w:tblCellMar>
        <w:tblLook w:val="04A0" w:firstRow="1" w:lastRow="0" w:firstColumn="1" w:lastColumn="0" w:noHBand="0" w:noVBand="1"/>
      </w:tblPr>
      <w:tblGrid>
        <w:gridCol w:w="2660"/>
        <w:gridCol w:w="2320"/>
      </w:tblGrid>
      <w:tr w:rsidR="00BA111F" w:rsidRPr="004936A2" w:rsidTr="005201EB">
        <w:trPr>
          <w:trHeight w:val="900"/>
          <w:jc w:val="center"/>
        </w:trPr>
        <w:tc>
          <w:tcPr>
            <w:tcW w:w="266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BA111F" w:rsidRPr="004936A2" w:rsidRDefault="00BA111F" w:rsidP="005201EB">
            <w:pPr>
              <w:spacing w:after="0" w:line="240" w:lineRule="auto"/>
              <w:jc w:val="center"/>
              <w:rPr>
                <w:rFonts w:ascii="Calibri" w:eastAsia="Times New Roman" w:hAnsi="Calibri" w:cs="Times New Roman"/>
                <w:b/>
                <w:bCs/>
                <w:lang w:eastAsia="es-CO"/>
              </w:rPr>
            </w:pPr>
            <w:r w:rsidRPr="004936A2">
              <w:rPr>
                <w:rFonts w:ascii="Calibri" w:eastAsia="Times New Roman" w:hAnsi="Calibri" w:cs="Times New Roman"/>
                <w:b/>
                <w:bCs/>
                <w:lang w:eastAsia="es-CO"/>
              </w:rPr>
              <w:t>TIPO DE LIMITE A LA PROPIEDAD</w:t>
            </w:r>
          </w:p>
        </w:tc>
        <w:tc>
          <w:tcPr>
            <w:tcW w:w="2320" w:type="dxa"/>
            <w:tcBorders>
              <w:top w:val="single" w:sz="8" w:space="0" w:color="auto"/>
              <w:left w:val="nil"/>
              <w:bottom w:val="single" w:sz="4" w:space="0" w:color="auto"/>
              <w:right w:val="single" w:sz="8" w:space="0" w:color="auto"/>
            </w:tcBorders>
            <w:shd w:val="clear" w:color="auto" w:fill="auto"/>
            <w:vAlign w:val="center"/>
            <w:hideMark/>
          </w:tcPr>
          <w:p w:rsidR="00BA111F" w:rsidRPr="004936A2" w:rsidRDefault="00BA111F" w:rsidP="005201EB">
            <w:pPr>
              <w:spacing w:after="0" w:line="240" w:lineRule="auto"/>
              <w:jc w:val="center"/>
              <w:rPr>
                <w:rFonts w:ascii="Calibri" w:eastAsia="Times New Roman" w:hAnsi="Calibri" w:cs="Times New Roman"/>
                <w:b/>
                <w:bCs/>
                <w:lang w:eastAsia="es-CO"/>
              </w:rPr>
            </w:pPr>
            <w:r w:rsidRPr="004936A2">
              <w:rPr>
                <w:rFonts w:ascii="Calibri" w:eastAsia="Times New Roman" w:hAnsi="Calibri" w:cs="Times New Roman"/>
                <w:b/>
                <w:bCs/>
                <w:lang w:eastAsia="es-CO"/>
              </w:rPr>
              <w:t>NUMERO DE ESTADOS QUE APLICAN LIMITACION</w:t>
            </w:r>
          </w:p>
        </w:tc>
      </w:tr>
      <w:tr w:rsidR="00BA111F" w:rsidRPr="004936A2" w:rsidTr="005201EB">
        <w:trPr>
          <w:trHeight w:val="300"/>
          <w:jc w:val="center"/>
        </w:trPr>
        <w:tc>
          <w:tcPr>
            <w:tcW w:w="2660" w:type="dxa"/>
            <w:tcBorders>
              <w:top w:val="nil"/>
              <w:left w:val="single" w:sz="8" w:space="0" w:color="auto"/>
              <w:bottom w:val="single" w:sz="4" w:space="0" w:color="auto"/>
              <w:right w:val="single" w:sz="4" w:space="0" w:color="auto"/>
            </w:tcBorders>
            <w:shd w:val="clear" w:color="auto" w:fill="auto"/>
            <w:vAlign w:val="center"/>
            <w:hideMark/>
          </w:tcPr>
          <w:p w:rsidR="00BA111F" w:rsidRPr="004936A2" w:rsidRDefault="00BA111F" w:rsidP="005201EB">
            <w:pPr>
              <w:spacing w:after="0" w:line="240" w:lineRule="auto"/>
              <w:jc w:val="center"/>
              <w:rPr>
                <w:rFonts w:ascii="Calibri" w:eastAsia="Times New Roman" w:hAnsi="Calibri" w:cs="Times New Roman"/>
                <w:lang w:eastAsia="es-CO"/>
              </w:rPr>
            </w:pPr>
            <w:proofErr w:type="spellStart"/>
            <w:r w:rsidRPr="004936A2">
              <w:rPr>
                <w:rFonts w:ascii="Calibri" w:eastAsia="Times New Roman" w:hAnsi="Calibri" w:cs="Times New Roman"/>
                <w:lang w:eastAsia="es-CO"/>
              </w:rPr>
              <w:t>Rate</w:t>
            </w:r>
            <w:proofErr w:type="spellEnd"/>
            <w:r w:rsidRPr="004936A2">
              <w:rPr>
                <w:rFonts w:ascii="Calibri" w:eastAsia="Times New Roman" w:hAnsi="Calibri" w:cs="Times New Roman"/>
                <w:lang w:eastAsia="es-CO"/>
              </w:rPr>
              <w:t xml:space="preserve"> </w:t>
            </w:r>
            <w:proofErr w:type="spellStart"/>
            <w:r w:rsidRPr="004936A2">
              <w:rPr>
                <w:rFonts w:ascii="Calibri" w:eastAsia="Times New Roman" w:hAnsi="Calibri" w:cs="Times New Roman"/>
                <w:lang w:eastAsia="es-CO"/>
              </w:rPr>
              <w:t>Limit</w:t>
            </w:r>
            <w:proofErr w:type="spellEnd"/>
          </w:p>
        </w:tc>
        <w:tc>
          <w:tcPr>
            <w:tcW w:w="2320" w:type="dxa"/>
            <w:tcBorders>
              <w:top w:val="nil"/>
              <w:left w:val="nil"/>
              <w:bottom w:val="single" w:sz="4" w:space="0" w:color="auto"/>
              <w:right w:val="single" w:sz="8" w:space="0" w:color="auto"/>
            </w:tcBorders>
            <w:shd w:val="clear" w:color="auto" w:fill="auto"/>
            <w:vAlign w:val="center"/>
            <w:hideMark/>
          </w:tcPr>
          <w:p w:rsidR="00BA111F" w:rsidRPr="004936A2" w:rsidRDefault="00BA111F" w:rsidP="005201EB">
            <w:pPr>
              <w:spacing w:after="0" w:line="240" w:lineRule="auto"/>
              <w:jc w:val="center"/>
              <w:rPr>
                <w:rFonts w:ascii="Calibri" w:eastAsia="Times New Roman" w:hAnsi="Calibri" w:cs="Times New Roman"/>
                <w:lang w:eastAsia="es-CO"/>
              </w:rPr>
            </w:pPr>
            <w:r w:rsidRPr="004936A2">
              <w:rPr>
                <w:rFonts w:ascii="Calibri" w:eastAsia="Times New Roman" w:hAnsi="Calibri" w:cs="Times New Roman"/>
                <w:lang w:eastAsia="es-CO"/>
              </w:rPr>
              <w:t>44</w:t>
            </w:r>
          </w:p>
        </w:tc>
      </w:tr>
      <w:tr w:rsidR="00BA111F" w:rsidRPr="004936A2" w:rsidTr="005201EB">
        <w:trPr>
          <w:trHeight w:val="300"/>
          <w:jc w:val="center"/>
        </w:trPr>
        <w:tc>
          <w:tcPr>
            <w:tcW w:w="2660" w:type="dxa"/>
            <w:tcBorders>
              <w:top w:val="nil"/>
              <w:left w:val="single" w:sz="8" w:space="0" w:color="auto"/>
              <w:bottom w:val="single" w:sz="4" w:space="0" w:color="auto"/>
              <w:right w:val="single" w:sz="4" w:space="0" w:color="auto"/>
            </w:tcBorders>
            <w:shd w:val="clear" w:color="auto" w:fill="auto"/>
            <w:vAlign w:val="center"/>
            <w:hideMark/>
          </w:tcPr>
          <w:p w:rsidR="00BA111F" w:rsidRPr="004936A2" w:rsidRDefault="00BA111F" w:rsidP="005201EB">
            <w:pPr>
              <w:spacing w:after="0" w:line="240" w:lineRule="auto"/>
              <w:jc w:val="center"/>
              <w:rPr>
                <w:rFonts w:ascii="Calibri" w:eastAsia="Times New Roman" w:hAnsi="Calibri" w:cs="Times New Roman"/>
                <w:lang w:eastAsia="es-CO"/>
              </w:rPr>
            </w:pPr>
            <w:r w:rsidRPr="004936A2">
              <w:rPr>
                <w:rFonts w:ascii="Calibri" w:eastAsia="Times New Roman" w:hAnsi="Calibri" w:cs="Times New Roman"/>
                <w:lang w:eastAsia="es-CO"/>
              </w:rPr>
              <w:t xml:space="preserve">Levy </w:t>
            </w:r>
            <w:proofErr w:type="spellStart"/>
            <w:r w:rsidRPr="004936A2">
              <w:rPr>
                <w:rFonts w:ascii="Calibri" w:eastAsia="Times New Roman" w:hAnsi="Calibri" w:cs="Times New Roman"/>
                <w:lang w:eastAsia="es-CO"/>
              </w:rPr>
              <w:t>Limit</w:t>
            </w:r>
            <w:proofErr w:type="spellEnd"/>
          </w:p>
        </w:tc>
        <w:tc>
          <w:tcPr>
            <w:tcW w:w="2320" w:type="dxa"/>
            <w:tcBorders>
              <w:top w:val="nil"/>
              <w:left w:val="nil"/>
              <w:bottom w:val="single" w:sz="4" w:space="0" w:color="auto"/>
              <w:right w:val="single" w:sz="8" w:space="0" w:color="auto"/>
            </w:tcBorders>
            <w:shd w:val="clear" w:color="auto" w:fill="auto"/>
            <w:vAlign w:val="center"/>
            <w:hideMark/>
          </w:tcPr>
          <w:p w:rsidR="00BA111F" w:rsidRPr="004936A2" w:rsidRDefault="00BA111F" w:rsidP="005201EB">
            <w:pPr>
              <w:spacing w:after="0" w:line="240" w:lineRule="auto"/>
              <w:jc w:val="center"/>
              <w:rPr>
                <w:rFonts w:ascii="Calibri" w:eastAsia="Times New Roman" w:hAnsi="Calibri" w:cs="Times New Roman"/>
                <w:lang w:eastAsia="es-CO"/>
              </w:rPr>
            </w:pPr>
            <w:r w:rsidRPr="004936A2">
              <w:rPr>
                <w:rFonts w:ascii="Calibri" w:eastAsia="Times New Roman" w:hAnsi="Calibri" w:cs="Times New Roman"/>
                <w:lang w:eastAsia="es-CO"/>
              </w:rPr>
              <w:t>41</w:t>
            </w:r>
          </w:p>
        </w:tc>
      </w:tr>
      <w:tr w:rsidR="00BA111F" w:rsidRPr="004936A2" w:rsidTr="005201EB">
        <w:trPr>
          <w:trHeight w:val="300"/>
          <w:jc w:val="center"/>
        </w:trPr>
        <w:tc>
          <w:tcPr>
            <w:tcW w:w="2660" w:type="dxa"/>
            <w:tcBorders>
              <w:top w:val="nil"/>
              <w:left w:val="single" w:sz="8" w:space="0" w:color="auto"/>
              <w:bottom w:val="single" w:sz="4" w:space="0" w:color="auto"/>
              <w:right w:val="single" w:sz="4" w:space="0" w:color="auto"/>
            </w:tcBorders>
            <w:shd w:val="clear" w:color="auto" w:fill="auto"/>
            <w:vAlign w:val="center"/>
            <w:hideMark/>
          </w:tcPr>
          <w:p w:rsidR="00BA111F" w:rsidRPr="004936A2" w:rsidRDefault="00BA111F" w:rsidP="005201EB">
            <w:pPr>
              <w:spacing w:after="0" w:line="240" w:lineRule="auto"/>
              <w:jc w:val="center"/>
              <w:rPr>
                <w:rFonts w:ascii="Calibri" w:eastAsia="Times New Roman" w:hAnsi="Calibri" w:cs="Times New Roman"/>
                <w:lang w:eastAsia="es-CO"/>
              </w:rPr>
            </w:pPr>
            <w:proofErr w:type="spellStart"/>
            <w:r w:rsidRPr="004936A2">
              <w:rPr>
                <w:rFonts w:ascii="Calibri" w:eastAsia="Times New Roman" w:hAnsi="Calibri" w:cs="Times New Roman"/>
                <w:lang w:eastAsia="es-CO"/>
              </w:rPr>
              <w:t>Assessment</w:t>
            </w:r>
            <w:proofErr w:type="spellEnd"/>
            <w:r w:rsidRPr="004936A2">
              <w:rPr>
                <w:rFonts w:ascii="Calibri" w:eastAsia="Times New Roman" w:hAnsi="Calibri" w:cs="Times New Roman"/>
                <w:lang w:eastAsia="es-CO"/>
              </w:rPr>
              <w:t xml:space="preserve"> </w:t>
            </w:r>
            <w:proofErr w:type="spellStart"/>
            <w:r w:rsidRPr="004936A2">
              <w:rPr>
                <w:rFonts w:ascii="Calibri" w:eastAsia="Times New Roman" w:hAnsi="Calibri" w:cs="Times New Roman"/>
                <w:lang w:eastAsia="es-CO"/>
              </w:rPr>
              <w:t>Limit</w:t>
            </w:r>
            <w:proofErr w:type="spellEnd"/>
          </w:p>
        </w:tc>
        <w:tc>
          <w:tcPr>
            <w:tcW w:w="2320" w:type="dxa"/>
            <w:tcBorders>
              <w:top w:val="nil"/>
              <w:left w:val="nil"/>
              <w:bottom w:val="single" w:sz="4" w:space="0" w:color="auto"/>
              <w:right w:val="single" w:sz="8" w:space="0" w:color="auto"/>
            </w:tcBorders>
            <w:shd w:val="clear" w:color="auto" w:fill="auto"/>
            <w:vAlign w:val="center"/>
            <w:hideMark/>
          </w:tcPr>
          <w:p w:rsidR="00BA111F" w:rsidRPr="004936A2" w:rsidRDefault="00BA111F" w:rsidP="005201EB">
            <w:pPr>
              <w:spacing w:after="0" w:line="240" w:lineRule="auto"/>
              <w:jc w:val="center"/>
              <w:rPr>
                <w:rFonts w:ascii="Calibri" w:eastAsia="Times New Roman" w:hAnsi="Calibri" w:cs="Times New Roman"/>
                <w:lang w:eastAsia="es-CO"/>
              </w:rPr>
            </w:pPr>
            <w:r>
              <w:rPr>
                <w:rFonts w:ascii="Calibri" w:eastAsia="Times New Roman" w:hAnsi="Calibri" w:cs="Times New Roman"/>
                <w:lang w:eastAsia="es-CO"/>
              </w:rPr>
              <w:t>22</w:t>
            </w:r>
          </w:p>
        </w:tc>
      </w:tr>
      <w:tr w:rsidR="00BA111F" w:rsidRPr="004936A2" w:rsidTr="005201EB">
        <w:trPr>
          <w:trHeight w:val="600"/>
          <w:jc w:val="center"/>
        </w:trPr>
        <w:tc>
          <w:tcPr>
            <w:tcW w:w="2660" w:type="dxa"/>
            <w:tcBorders>
              <w:top w:val="nil"/>
              <w:left w:val="single" w:sz="8" w:space="0" w:color="auto"/>
              <w:bottom w:val="single" w:sz="4" w:space="0" w:color="auto"/>
              <w:right w:val="single" w:sz="4" w:space="0" w:color="auto"/>
            </w:tcBorders>
            <w:shd w:val="clear" w:color="auto" w:fill="auto"/>
            <w:vAlign w:val="center"/>
            <w:hideMark/>
          </w:tcPr>
          <w:p w:rsidR="00BA111F" w:rsidRPr="009761B3" w:rsidRDefault="00BA111F" w:rsidP="005201EB">
            <w:pPr>
              <w:spacing w:after="0" w:line="240" w:lineRule="auto"/>
              <w:jc w:val="center"/>
              <w:rPr>
                <w:rFonts w:ascii="Calibri" w:eastAsia="Times New Roman" w:hAnsi="Calibri" w:cs="Times New Roman"/>
                <w:lang w:val="en-US" w:eastAsia="es-CO"/>
              </w:rPr>
            </w:pPr>
            <w:r w:rsidRPr="009761B3">
              <w:rPr>
                <w:rFonts w:ascii="Calibri" w:eastAsia="Times New Roman" w:hAnsi="Calibri" w:cs="Times New Roman"/>
                <w:lang w:val="en-US" w:eastAsia="es-CO"/>
              </w:rPr>
              <w:t>Full Disclosure/Truth in Taxation Requirement</w:t>
            </w:r>
          </w:p>
        </w:tc>
        <w:tc>
          <w:tcPr>
            <w:tcW w:w="2320" w:type="dxa"/>
            <w:tcBorders>
              <w:top w:val="nil"/>
              <w:left w:val="nil"/>
              <w:bottom w:val="single" w:sz="4" w:space="0" w:color="auto"/>
              <w:right w:val="single" w:sz="8" w:space="0" w:color="auto"/>
            </w:tcBorders>
            <w:shd w:val="clear" w:color="auto" w:fill="auto"/>
            <w:vAlign w:val="center"/>
            <w:hideMark/>
          </w:tcPr>
          <w:p w:rsidR="00BA111F" w:rsidRPr="004936A2" w:rsidRDefault="00BA111F" w:rsidP="005201EB">
            <w:pPr>
              <w:spacing w:after="0" w:line="240" w:lineRule="auto"/>
              <w:jc w:val="center"/>
              <w:rPr>
                <w:rFonts w:ascii="Calibri" w:eastAsia="Times New Roman" w:hAnsi="Calibri" w:cs="Times New Roman"/>
                <w:lang w:eastAsia="es-CO"/>
              </w:rPr>
            </w:pPr>
            <w:r>
              <w:rPr>
                <w:rFonts w:ascii="Calibri" w:eastAsia="Times New Roman" w:hAnsi="Calibri" w:cs="Times New Roman"/>
                <w:lang w:eastAsia="es-CO"/>
              </w:rPr>
              <w:t>14</w:t>
            </w:r>
          </w:p>
        </w:tc>
      </w:tr>
      <w:tr w:rsidR="00BA111F" w:rsidRPr="004936A2" w:rsidTr="005201EB">
        <w:trPr>
          <w:trHeight w:val="330"/>
          <w:jc w:val="center"/>
        </w:trPr>
        <w:tc>
          <w:tcPr>
            <w:tcW w:w="2660" w:type="dxa"/>
            <w:tcBorders>
              <w:top w:val="nil"/>
              <w:left w:val="single" w:sz="8" w:space="0" w:color="auto"/>
              <w:bottom w:val="single" w:sz="4" w:space="0" w:color="auto"/>
              <w:right w:val="single" w:sz="4" w:space="0" w:color="auto"/>
            </w:tcBorders>
            <w:shd w:val="clear" w:color="auto" w:fill="auto"/>
            <w:vAlign w:val="center"/>
            <w:hideMark/>
          </w:tcPr>
          <w:p w:rsidR="00BA111F" w:rsidRPr="004936A2" w:rsidRDefault="00BA111F" w:rsidP="005201EB">
            <w:pPr>
              <w:spacing w:after="0" w:line="240" w:lineRule="auto"/>
              <w:jc w:val="center"/>
              <w:rPr>
                <w:rFonts w:ascii="Calibri" w:eastAsia="Times New Roman" w:hAnsi="Calibri" w:cs="Times New Roman"/>
                <w:lang w:eastAsia="es-CO"/>
              </w:rPr>
            </w:pPr>
            <w:proofErr w:type="spellStart"/>
            <w:r w:rsidRPr="004936A2">
              <w:rPr>
                <w:rFonts w:ascii="Calibri" w:eastAsia="Times New Roman" w:hAnsi="Calibri" w:cs="Times New Roman"/>
                <w:lang w:eastAsia="es-CO"/>
              </w:rPr>
              <w:t>Revenue</w:t>
            </w:r>
            <w:proofErr w:type="spellEnd"/>
            <w:r w:rsidRPr="004936A2">
              <w:rPr>
                <w:rFonts w:ascii="Calibri" w:eastAsia="Times New Roman" w:hAnsi="Calibri" w:cs="Times New Roman"/>
                <w:lang w:eastAsia="es-CO"/>
              </w:rPr>
              <w:t>/</w:t>
            </w:r>
            <w:proofErr w:type="spellStart"/>
            <w:r w:rsidRPr="004936A2">
              <w:rPr>
                <w:rFonts w:ascii="Calibri" w:eastAsia="Times New Roman" w:hAnsi="Calibri" w:cs="Times New Roman"/>
                <w:lang w:eastAsia="es-CO"/>
              </w:rPr>
              <w:t>Expenditure</w:t>
            </w:r>
            <w:proofErr w:type="spellEnd"/>
            <w:r w:rsidRPr="004936A2">
              <w:rPr>
                <w:rFonts w:ascii="Calibri" w:eastAsia="Times New Roman" w:hAnsi="Calibri" w:cs="Times New Roman"/>
                <w:lang w:eastAsia="es-CO"/>
              </w:rPr>
              <w:t xml:space="preserve"> </w:t>
            </w:r>
            <w:proofErr w:type="spellStart"/>
            <w:r w:rsidRPr="004936A2">
              <w:rPr>
                <w:rFonts w:ascii="Calibri" w:eastAsia="Times New Roman" w:hAnsi="Calibri" w:cs="Times New Roman"/>
                <w:lang w:eastAsia="es-CO"/>
              </w:rPr>
              <w:t>Limit</w:t>
            </w:r>
            <w:proofErr w:type="spellEnd"/>
          </w:p>
        </w:tc>
        <w:tc>
          <w:tcPr>
            <w:tcW w:w="2320" w:type="dxa"/>
            <w:tcBorders>
              <w:top w:val="nil"/>
              <w:left w:val="nil"/>
              <w:bottom w:val="single" w:sz="4" w:space="0" w:color="auto"/>
              <w:right w:val="single" w:sz="8" w:space="0" w:color="auto"/>
            </w:tcBorders>
            <w:shd w:val="clear" w:color="auto" w:fill="auto"/>
            <w:vAlign w:val="center"/>
            <w:hideMark/>
          </w:tcPr>
          <w:p w:rsidR="00BA111F" w:rsidRPr="004936A2" w:rsidRDefault="00BA111F" w:rsidP="005201EB">
            <w:pPr>
              <w:spacing w:after="0" w:line="240" w:lineRule="auto"/>
              <w:jc w:val="center"/>
              <w:rPr>
                <w:rFonts w:ascii="Calibri" w:eastAsia="Times New Roman" w:hAnsi="Calibri" w:cs="Times New Roman"/>
                <w:lang w:eastAsia="es-CO"/>
              </w:rPr>
            </w:pPr>
            <w:r w:rsidRPr="004936A2">
              <w:rPr>
                <w:rFonts w:ascii="Calibri" w:eastAsia="Times New Roman" w:hAnsi="Calibri" w:cs="Times New Roman"/>
                <w:lang w:eastAsia="es-CO"/>
              </w:rPr>
              <w:t>10</w:t>
            </w:r>
          </w:p>
        </w:tc>
      </w:tr>
      <w:tr w:rsidR="00BA111F" w:rsidRPr="004936A2" w:rsidTr="005201EB">
        <w:trPr>
          <w:trHeight w:val="300"/>
          <w:jc w:val="center"/>
        </w:trPr>
        <w:tc>
          <w:tcPr>
            <w:tcW w:w="2660" w:type="dxa"/>
            <w:tcBorders>
              <w:top w:val="nil"/>
              <w:left w:val="single" w:sz="8" w:space="0" w:color="auto"/>
              <w:bottom w:val="single" w:sz="4" w:space="0" w:color="auto"/>
              <w:right w:val="single" w:sz="4" w:space="0" w:color="auto"/>
            </w:tcBorders>
            <w:shd w:val="clear" w:color="auto" w:fill="auto"/>
            <w:vAlign w:val="center"/>
            <w:hideMark/>
          </w:tcPr>
          <w:p w:rsidR="00BA111F" w:rsidRPr="004936A2" w:rsidRDefault="00BA111F" w:rsidP="005201EB">
            <w:pPr>
              <w:spacing w:after="0" w:line="240" w:lineRule="auto"/>
              <w:jc w:val="center"/>
              <w:rPr>
                <w:rFonts w:ascii="Calibri" w:eastAsia="Times New Roman" w:hAnsi="Calibri" w:cs="Times New Roman"/>
                <w:lang w:eastAsia="es-CO"/>
              </w:rPr>
            </w:pPr>
            <w:r w:rsidRPr="004936A2">
              <w:rPr>
                <w:rFonts w:ascii="Calibri" w:eastAsia="Times New Roman" w:hAnsi="Calibri" w:cs="Times New Roman"/>
                <w:lang w:eastAsia="es-CO"/>
              </w:rPr>
              <w:t xml:space="preserve">No </w:t>
            </w:r>
            <w:proofErr w:type="spellStart"/>
            <w:r w:rsidRPr="004936A2">
              <w:rPr>
                <w:rFonts w:ascii="Calibri" w:eastAsia="Times New Roman" w:hAnsi="Calibri" w:cs="Times New Roman"/>
                <w:lang w:eastAsia="es-CO"/>
              </w:rPr>
              <w:t>Limit</w:t>
            </w:r>
            <w:proofErr w:type="spellEnd"/>
          </w:p>
        </w:tc>
        <w:tc>
          <w:tcPr>
            <w:tcW w:w="2320" w:type="dxa"/>
            <w:tcBorders>
              <w:top w:val="nil"/>
              <w:left w:val="nil"/>
              <w:bottom w:val="single" w:sz="4" w:space="0" w:color="auto"/>
              <w:right w:val="single" w:sz="8" w:space="0" w:color="auto"/>
            </w:tcBorders>
            <w:shd w:val="clear" w:color="auto" w:fill="auto"/>
            <w:vAlign w:val="center"/>
            <w:hideMark/>
          </w:tcPr>
          <w:p w:rsidR="00BA111F" w:rsidRPr="004936A2" w:rsidRDefault="00BA111F" w:rsidP="005201EB">
            <w:pPr>
              <w:spacing w:after="0" w:line="240" w:lineRule="auto"/>
              <w:jc w:val="center"/>
              <w:rPr>
                <w:rFonts w:ascii="Calibri" w:eastAsia="Times New Roman" w:hAnsi="Calibri" w:cs="Times New Roman"/>
                <w:lang w:eastAsia="es-CO"/>
              </w:rPr>
            </w:pPr>
            <w:r w:rsidRPr="004936A2">
              <w:rPr>
                <w:rFonts w:ascii="Calibri" w:eastAsia="Times New Roman" w:hAnsi="Calibri" w:cs="Times New Roman"/>
                <w:lang w:eastAsia="es-CO"/>
              </w:rPr>
              <w:t>3</w:t>
            </w:r>
          </w:p>
        </w:tc>
      </w:tr>
      <w:tr w:rsidR="00BA111F" w:rsidRPr="004936A2" w:rsidTr="005201EB">
        <w:trPr>
          <w:trHeight w:val="915"/>
          <w:jc w:val="center"/>
        </w:trPr>
        <w:tc>
          <w:tcPr>
            <w:tcW w:w="2660" w:type="dxa"/>
            <w:tcBorders>
              <w:top w:val="nil"/>
              <w:left w:val="single" w:sz="8" w:space="0" w:color="auto"/>
              <w:bottom w:val="single" w:sz="8" w:space="0" w:color="auto"/>
              <w:right w:val="single" w:sz="4" w:space="0" w:color="auto"/>
            </w:tcBorders>
            <w:shd w:val="clear" w:color="auto" w:fill="auto"/>
            <w:vAlign w:val="center"/>
            <w:hideMark/>
          </w:tcPr>
          <w:p w:rsidR="00BA111F" w:rsidRPr="004936A2" w:rsidRDefault="00BA111F" w:rsidP="005201EB">
            <w:pPr>
              <w:spacing w:after="0" w:line="240" w:lineRule="auto"/>
              <w:jc w:val="center"/>
              <w:rPr>
                <w:rFonts w:ascii="Calibri" w:eastAsia="Times New Roman" w:hAnsi="Calibri" w:cs="Times New Roman"/>
                <w:b/>
                <w:bCs/>
                <w:lang w:eastAsia="es-CO"/>
              </w:rPr>
            </w:pPr>
            <w:r w:rsidRPr="004936A2">
              <w:rPr>
                <w:rFonts w:ascii="Calibri" w:eastAsia="Times New Roman" w:hAnsi="Calibri" w:cs="Times New Roman"/>
                <w:b/>
                <w:bCs/>
                <w:lang w:eastAsia="es-CO"/>
              </w:rPr>
              <w:t>TOTAL LIMITACIONES IMPUESTAS EN LOS 51 ESTADOS</w:t>
            </w:r>
          </w:p>
        </w:tc>
        <w:tc>
          <w:tcPr>
            <w:tcW w:w="2320" w:type="dxa"/>
            <w:tcBorders>
              <w:top w:val="nil"/>
              <w:left w:val="nil"/>
              <w:bottom w:val="single" w:sz="8" w:space="0" w:color="auto"/>
              <w:right w:val="single" w:sz="8" w:space="0" w:color="auto"/>
            </w:tcBorders>
            <w:shd w:val="clear" w:color="auto" w:fill="auto"/>
            <w:vAlign w:val="center"/>
            <w:hideMark/>
          </w:tcPr>
          <w:p w:rsidR="00BA111F" w:rsidRPr="004936A2" w:rsidRDefault="00BA111F" w:rsidP="005201EB">
            <w:pPr>
              <w:spacing w:after="0" w:line="240" w:lineRule="auto"/>
              <w:jc w:val="center"/>
              <w:rPr>
                <w:rFonts w:ascii="Calibri" w:eastAsia="Times New Roman" w:hAnsi="Calibri" w:cs="Times New Roman"/>
                <w:b/>
                <w:bCs/>
                <w:lang w:eastAsia="es-CO"/>
              </w:rPr>
            </w:pPr>
            <w:r w:rsidRPr="004936A2">
              <w:rPr>
                <w:rFonts w:ascii="Calibri" w:eastAsia="Times New Roman" w:hAnsi="Calibri" w:cs="Times New Roman"/>
                <w:b/>
                <w:bCs/>
                <w:lang w:eastAsia="es-CO"/>
              </w:rPr>
              <w:t>134</w:t>
            </w:r>
          </w:p>
        </w:tc>
      </w:tr>
    </w:tbl>
    <w:p w:rsidR="00BA111F" w:rsidRDefault="00BA111F" w:rsidP="00BA111F">
      <w:pPr>
        <w:jc w:val="both"/>
        <w:rPr>
          <w:rFonts w:ascii="Arial" w:hAnsi="Arial" w:cs="Arial"/>
          <w:sz w:val="24"/>
          <w:szCs w:val="24"/>
        </w:rPr>
      </w:pPr>
    </w:p>
    <w:p w:rsidR="00BA111F" w:rsidRPr="005F266B" w:rsidRDefault="00BA111F" w:rsidP="00BA111F">
      <w:pPr>
        <w:jc w:val="both"/>
        <w:rPr>
          <w:rFonts w:ascii="Arial" w:hAnsi="Arial" w:cs="Arial"/>
          <w:sz w:val="24"/>
          <w:szCs w:val="24"/>
        </w:rPr>
      </w:pPr>
      <w:r>
        <w:rPr>
          <w:rFonts w:ascii="Arial" w:hAnsi="Arial" w:cs="Arial"/>
          <w:sz w:val="24"/>
          <w:szCs w:val="24"/>
        </w:rPr>
        <w:t>De los anteriores tipos de limitaciones al impuesto sobre la propiedad, algunos son más efectivos que otros. Por ejemplo, las limitaciones a la carga impositiva y a los ingresos o egresos de los estados tienen mayor efectividad limitando el impuesto ya que fijan un techo de crecimiento a los ingresos por el impuesto a la propiedad y a los ingresos o los egresos de la entidad territorial</w:t>
      </w:r>
      <w:r>
        <w:rPr>
          <w:rStyle w:val="Refdenotaalpie"/>
          <w:rFonts w:ascii="Arial" w:hAnsi="Arial" w:cs="Arial"/>
          <w:sz w:val="24"/>
          <w:szCs w:val="24"/>
        </w:rPr>
        <w:footnoteReference w:id="9"/>
      </w:r>
      <w:r>
        <w:rPr>
          <w:rFonts w:ascii="Arial" w:hAnsi="Arial" w:cs="Arial"/>
          <w:sz w:val="24"/>
          <w:szCs w:val="24"/>
        </w:rPr>
        <w:t xml:space="preserve">. De otra parte, limitaciones a las tasas y a la valoración de activos, son menos efectivas para la limitación del impuesto, ya que si se fija una limitación a la tasa pero no a la base gravable, el valor total de los impuestos puede crecer ilimitadamente, y lo mismo sucede si se fija un límite para la valoración de los activos pero no para su tasa. Por último, cuando la limitación consiste en una discusión en pleno con los contribuyentes locales, el límite del impuesto también podría ser ilimitado si así lo aprueban los respectivos órganos legislativos locales. </w:t>
      </w:r>
    </w:p>
    <w:p w:rsidR="00BA111F" w:rsidRDefault="00BA111F" w:rsidP="00BA111F">
      <w:pPr>
        <w:jc w:val="both"/>
        <w:rPr>
          <w:rFonts w:ascii="Arial" w:hAnsi="Arial" w:cs="Arial"/>
          <w:sz w:val="24"/>
          <w:szCs w:val="24"/>
        </w:rPr>
      </w:pPr>
      <w:r w:rsidRPr="005F266B">
        <w:rPr>
          <w:rFonts w:ascii="Arial" w:hAnsi="Arial" w:cs="Arial"/>
          <w:sz w:val="24"/>
          <w:szCs w:val="24"/>
        </w:rPr>
        <w:t xml:space="preserve">Las </w:t>
      </w:r>
      <w:r>
        <w:rPr>
          <w:rFonts w:ascii="Arial" w:hAnsi="Arial" w:cs="Arial"/>
          <w:sz w:val="24"/>
          <w:szCs w:val="24"/>
        </w:rPr>
        <w:t xml:space="preserve">condiciones establecidas en cada tipo de limitaciones son completamente variadas y diversas. A continuación se hace una breve descripción de algunas de las mismas de manera ilustrativa pero para mayor especificidad se recomienda consultar la información  disponible en el Lincoln </w:t>
      </w:r>
      <w:proofErr w:type="spellStart"/>
      <w:r>
        <w:rPr>
          <w:rFonts w:ascii="Arial" w:hAnsi="Arial" w:cs="Arial"/>
          <w:sz w:val="24"/>
          <w:szCs w:val="24"/>
        </w:rPr>
        <w:t>Institute</w:t>
      </w:r>
      <w:proofErr w:type="spellEnd"/>
      <w:r>
        <w:rPr>
          <w:rFonts w:ascii="Arial" w:hAnsi="Arial" w:cs="Arial"/>
          <w:sz w:val="24"/>
          <w:szCs w:val="24"/>
        </w:rPr>
        <w:t xml:space="preserve"> of </w:t>
      </w:r>
      <w:proofErr w:type="spellStart"/>
      <w:r>
        <w:rPr>
          <w:rFonts w:ascii="Arial" w:hAnsi="Arial" w:cs="Arial"/>
          <w:sz w:val="24"/>
          <w:szCs w:val="24"/>
        </w:rPr>
        <w:t>Land</w:t>
      </w:r>
      <w:proofErr w:type="spellEnd"/>
      <w:r>
        <w:rPr>
          <w:rFonts w:ascii="Arial" w:hAnsi="Arial" w:cs="Arial"/>
          <w:sz w:val="24"/>
          <w:szCs w:val="24"/>
        </w:rPr>
        <w:t xml:space="preserve"> </w:t>
      </w:r>
      <w:proofErr w:type="spellStart"/>
      <w:r>
        <w:rPr>
          <w:rFonts w:ascii="Arial" w:hAnsi="Arial" w:cs="Arial"/>
          <w:sz w:val="24"/>
          <w:szCs w:val="24"/>
        </w:rPr>
        <w:t>Policy</w:t>
      </w:r>
      <w:proofErr w:type="spellEnd"/>
      <w:r>
        <w:rPr>
          <w:rFonts w:ascii="Arial" w:hAnsi="Arial" w:cs="Arial"/>
          <w:sz w:val="24"/>
          <w:szCs w:val="24"/>
        </w:rPr>
        <w:t xml:space="preserve"> and George Washington </w:t>
      </w:r>
      <w:proofErr w:type="spellStart"/>
      <w:r>
        <w:rPr>
          <w:rFonts w:ascii="Arial" w:hAnsi="Arial" w:cs="Arial"/>
          <w:sz w:val="24"/>
          <w:szCs w:val="24"/>
        </w:rPr>
        <w:t>Institute</w:t>
      </w:r>
      <w:proofErr w:type="spellEnd"/>
      <w:r>
        <w:rPr>
          <w:rFonts w:ascii="Arial" w:hAnsi="Arial" w:cs="Arial"/>
          <w:sz w:val="24"/>
          <w:szCs w:val="24"/>
        </w:rPr>
        <w:t xml:space="preserve"> of </w:t>
      </w:r>
      <w:proofErr w:type="spellStart"/>
      <w:r>
        <w:rPr>
          <w:rFonts w:ascii="Arial" w:hAnsi="Arial" w:cs="Arial"/>
          <w:sz w:val="24"/>
          <w:szCs w:val="24"/>
        </w:rPr>
        <w:t>Public</w:t>
      </w:r>
      <w:proofErr w:type="spellEnd"/>
      <w:r>
        <w:rPr>
          <w:rFonts w:ascii="Arial" w:hAnsi="Arial" w:cs="Arial"/>
          <w:sz w:val="24"/>
          <w:szCs w:val="24"/>
        </w:rPr>
        <w:t xml:space="preserve"> </w:t>
      </w:r>
      <w:proofErr w:type="spellStart"/>
      <w:r>
        <w:rPr>
          <w:rFonts w:ascii="Arial" w:hAnsi="Arial" w:cs="Arial"/>
          <w:sz w:val="24"/>
          <w:szCs w:val="24"/>
        </w:rPr>
        <w:t>Policy</w:t>
      </w:r>
      <w:proofErr w:type="spellEnd"/>
      <w:r>
        <w:rPr>
          <w:rFonts w:ascii="Arial" w:hAnsi="Arial" w:cs="Arial"/>
          <w:sz w:val="24"/>
          <w:szCs w:val="24"/>
        </w:rPr>
        <w:t>:</w:t>
      </w:r>
    </w:p>
    <w:p w:rsidR="00BA111F" w:rsidRPr="00FB23E0" w:rsidRDefault="00BA111F" w:rsidP="00BA111F">
      <w:pPr>
        <w:jc w:val="both"/>
        <w:rPr>
          <w:rFonts w:ascii="Arial" w:hAnsi="Arial" w:cs="Arial"/>
          <w:sz w:val="24"/>
          <w:szCs w:val="24"/>
        </w:rPr>
      </w:pPr>
      <w:r>
        <w:rPr>
          <w:rFonts w:ascii="Arial" w:hAnsi="Arial" w:cs="Arial"/>
          <w:b/>
          <w:sz w:val="24"/>
          <w:szCs w:val="24"/>
        </w:rPr>
        <w:lastRenderedPageBreak/>
        <w:t xml:space="preserve">Limitaciones a </w:t>
      </w:r>
      <w:r w:rsidRPr="00FB23E0">
        <w:rPr>
          <w:rFonts w:ascii="Arial" w:hAnsi="Arial" w:cs="Arial"/>
          <w:b/>
          <w:sz w:val="24"/>
          <w:szCs w:val="24"/>
        </w:rPr>
        <w:t>la carga impositiva:</w:t>
      </w:r>
    </w:p>
    <w:p w:rsidR="00BA111F" w:rsidRDefault="00BA111F" w:rsidP="00BA111F">
      <w:pPr>
        <w:pStyle w:val="Prrafodelista"/>
        <w:numPr>
          <w:ilvl w:val="0"/>
          <w:numId w:val="9"/>
        </w:numPr>
        <w:jc w:val="both"/>
        <w:rPr>
          <w:rFonts w:ascii="Arial" w:hAnsi="Arial" w:cs="Arial"/>
          <w:sz w:val="24"/>
          <w:szCs w:val="24"/>
        </w:rPr>
      </w:pPr>
      <w:r>
        <w:rPr>
          <w:rFonts w:ascii="Arial" w:hAnsi="Arial" w:cs="Arial"/>
          <w:sz w:val="24"/>
          <w:szCs w:val="24"/>
        </w:rPr>
        <w:t>Alaska: Las municipalidades no pueden imponer cargas impositivas que generen incrementos en ingresos superiores a los US$1.500 por residente.</w:t>
      </w:r>
    </w:p>
    <w:p w:rsidR="00BA111F" w:rsidRDefault="00BA111F" w:rsidP="00BA111F">
      <w:pPr>
        <w:pStyle w:val="Prrafodelista"/>
        <w:numPr>
          <w:ilvl w:val="0"/>
          <w:numId w:val="9"/>
        </w:numPr>
        <w:jc w:val="both"/>
        <w:rPr>
          <w:rFonts w:ascii="Arial" w:hAnsi="Arial" w:cs="Arial"/>
          <w:sz w:val="24"/>
          <w:szCs w:val="24"/>
        </w:rPr>
      </w:pPr>
      <w:r>
        <w:rPr>
          <w:rFonts w:ascii="Arial" w:hAnsi="Arial" w:cs="Arial"/>
          <w:sz w:val="24"/>
          <w:szCs w:val="24"/>
        </w:rPr>
        <w:t>Arizona: El monto total de cargas impositivas a la propiedad no puede incrementar en más del 2% del límite permisible el año anterior.</w:t>
      </w:r>
    </w:p>
    <w:p w:rsidR="00BA111F" w:rsidRDefault="00BA111F" w:rsidP="00BA111F">
      <w:pPr>
        <w:pStyle w:val="Prrafodelista"/>
        <w:numPr>
          <w:ilvl w:val="0"/>
          <w:numId w:val="9"/>
        </w:numPr>
        <w:jc w:val="both"/>
        <w:rPr>
          <w:rFonts w:ascii="Arial" w:hAnsi="Arial" w:cs="Arial"/>
          <w:sz w:val="24"/>
          <w:szCs w:val="24"/>
        </w:rPr>
      </w:pPr>
      <w:r>
        <w:rPr>
          <w:rFonts w:ascii="Arial" w:hAnsi="Arial" w:cs="Arial"/>
          <w:sz w:val="24"/>
          <w:szCs w:val="24"/>
        </w:rPr>
        <w:t>Colorado: Limita el incremento del ingreso tributario a la propiedad hasta un 5,5% más el ingreso atribuible a nuevas construcciones o el crecimiento del índice de Precios al Consumidor de Boulder/Denver y el crecimiento local. (Se escoge la menor de las anteriores variaciones). Para el año 2016 el incremento del IPC fue del 2.6%.</w:t>
      </w:r>
    </w:p>
    <w:p w:rsidR="00BA111F" w:rsidRDefault="00BA111F" w:rsidP="00BA111F">
      <w:pPr>
        <w:pStyle w:val="Prrafodelista"/>
        <w:numPr>
          <w:ilvl w:val="0"/>
          <w:numId w:val="9"/>
        </w:numPr>
        <w:jc w:val="both"/>
        <w:rPr>
          <w:rFonts w:ascii="Arial" w:hAnsi="Arial" w:cs="Arial"/>
          <w:sz w:val="24"/>
          <w:szCs w:val="24"/>
        </w:rPr>
      </w:pPr>
      <w:r>
        <w:rPr>
          <w:rFonts w:ascii="Arial" w:hAnsi="Arial" w:cs="Arial"/>
          <w:sz w:val="24"/>
          <w:szCs w:val="24"/>
        </w:rPr>
        <w:t>Michigan: El máximo crecimiento por concepto de los ingresos tributarios a la propiedad está determinado por el Índice de Precios al Consumidor a nivel nacional. Si las valoraciones realizadas se incrementan por encima del IPC, las tasas deben ser reducidas para obtener este crecimiento.</w:t>
      </w:r>
    </w:p>
    <w:p w:rsidR="00BA111F" w:rsidRDefault="00BA111F" w:rsidP="00BA111F">
      <w:pPr>
        <w:jc w:val="both"/>
        <w:rPr>
          <w:rFonts w:ascii="Arial" w:hAnsi="Arial" w:cs="Arial"/>
          <w:sz w:val="24"/>
          <w:szCs w:val="24"/>
        </w:rPr>
      </w:pPr>
    </w:p>
    <w:p w:rsidR="00BA111F" w:rsidRDefault="00BA111F" w:rsidP="00BA111F">
      <w:pPr>
        <w:jc w:val="both"/>
        <w:rPr>
          <w:rFonts w:ascii="Arial" w:hAnsi="Arial" w:cs="Arial"/>
          <w:b/>
          <w:sz w:val="24"/>
          <w:szCs w:val="24"/>
        </w:rPr>
      </w:pPr>
      <w:r>
        <w:rPr>
          <w:rFonts w:ascii="Arial" w:hAnsi="Arial" w:cs="Arial"/>
          <w:b/>
          <w:sz w:val="24"/>
          <w:szCs w:val="24"/>
        </w:rPr>
        <w:t>Limitaciones a la tasa</w:t>
      </w:r>
      <w:r w:rsidRPr="00FB23E0">
        <w:rPr>
          <w:rFonts w:ascii="Arial" w:hAnsi="Arial" w:cs="Arial"/>
          <w:b/>
          <w:sz w:val="24"/>
          <w:szCs w:val="24"/>
        </w:rPr>
        <w:t>:</w:t>
      </w:r>
    </w:p>
    <w:p w:rsidR="00BA111F" w:rsidRDefault="00BA111F" w:rsidP="00BA111F">
      <w:pPr>
        <w:pStyle w:val="Prrafodelista"/>
        <w:numPr>
          <w:ilvl w:val="0"/>
          <w:numId w:val="10"/>
        </w:numPr>
        <w:jc w:val="both"/>
        <w:rPr>
          <w:rFonts w:ascii="Arial" w:hAnsi="Arial" w:cs="Arial"/>
          <w:sz w:val="24"/>
          <w:szCs w:val="24"/>
        </w:rPr>
      </w:pPr>
      <w:r>
        <w:rPr>
          <w:rFonts w:ascii="Arial" w:hAnsi="Arial" w:cs="Arial"/>
          <w:sz w:val="24"/>
          <w:szCs w:val="24"/>
        </w:rPr>
        <w:t>Michigan: 1,5% a 2,0%.</w:t>
      </w:r>
    </w:p>
    <w:p w:rsidR="00BA111F" w:rsidRDefault="00BA111F" w:rsidP="00BA111F">
      <w:pPr>
        <w:pStyle w:val="Prrafodelista"/>
        <w:numPr>
          <w:ilvl w:val="0"/>
          <w:numId w:val="10"/>
        </w:numPr>
        <w:jc w:val="both"/>
        <w:rPr>
          <w:rFonts w:ascii="Arial" w:hAnsi="Arial" w:cs="Arial"/>
          <w:sz w:val="24"/>
          <w:szCs w:val="24"/>
        </w:rPr>
      </w:pPr>
      <w:r>
        <w:rPr>
          <w:rFonts w:ascii="Arial" w:hAnsi="Arial" w:cs="Arial"/>
          <w:sz w:val="24"/>
          <w:szCs w:val="24"/>
        </w:rPr>
        <w:t>California: 1%.</w:t>
      </w:r>
    </w:p>
    <w:p w:rsidR="00BA111F" w:rsidRDefault="00BA111F" w:rsidP="00BA111F">
      <w:pPr>
        <w:pStyle w:val="Prrafodelista"/>
        <w:numPr>
          <w:ilvl w:val="0"/>
          <w:numId w:val="10"/>
        </w:numPr>
        <w:jc w:val="both"/>
        <w:rPr>
          <w:rFonts w:ascii="Arial" w:hAnsi="Arial" w:cs="Arial"/>
          <w:sz w:val="24"/>
          <w:szCs w:val="24"/>
        </w:rPr>
      </w:pPr>
      <w:r>
        <w:rPr>
          <w:rFonts w:ascii="Arial" w:hAnsi="Arial" w:cs="Arial"/>
          <w:sz w:val="24"/>
          <w:szCs w:val="24"/>
        </w:rPr>
        <w:t>Florida: 1% a 2%.</w:t>
      </w:r>
    </w:p>
    <w:p w:rsidR="00BA111F" w:rsidRDefault="00BA111F" w:rsidP="00BA111F">
      <w:pPr>
        <w:pStyle w:val="Prrafodelista"/>
        <w:numPr>
          <w:ilvl w:val="0"/>
          <w:numId w:val="10"/>
        </w:numPr>
        <w:jc w:val="both"/>
        <w:rPr>
          <w:rFonts w:ascii="Arial" w:hAnsi="Arial" w:cs="Arial"/>
          <w:sz w:val="24"/>
          <w:szCs w:val="24"/>
        </w:rPr>
      </w:pPr>
      <w:r>
        <w:rPr>
          <w:rFonts w:ascii="Arial" w:hAnsi="Arial" w:cs="Arial"/>
          <w:sz w:val="24"/>
          <w:szCs w:val="24"/>
        </w:rPr>
        <w:t>Michigan: 1,5% a 2,0%.</w:t>
      </w:r>
    </w:p>
    <w:p w:rsidR="00BA111F" w:rsidRDefault="00BA111F" w:rsidP="00BA111F">
      <w:pPr>
        <w:pStyle w:val="Prrafodelista"/>
        <w:numPr>
          <w:ilvl w:val="0"/>
          <w:numId w:val="10"/>
        </w:numPr>
        <w:jc w:val="both"/>
        <w:rPr>
          <w:rFonts w:ascii="Arial" w:hAnsi="Arial" w:cs="Arial"/>
          <w:sz w:val="24"/>
          <w:szCs w:val="24"/>
        </w:rPr>
      </w:pPr>
      <w:r>
        <w:rPr>
          <w:rFonts w:ascii="Arial" w:hAnsi="Arial" w:cs="Arial"/>
          <w:sz w:val="24"/>
          <w:szCs w:val="24"/>
        </w:rPr>
        <w:t>Nebraska: 0,875% a 1,05%.</w:t>
      </w:r>
    </w:p>
    <w:p w:rsidR="00BA111F" w:rsidRDefault="00BA111F" w:rsidP="00BA111F">
      <w:pPr>
        <w:jc w:val="both"/>
        <w:rPr>
          <w:rFonts w:ascii="Arial" w:hAnsi="Arial" w:cs="Arial"/>
          <w:sz w:val="24"/>
          <w:szCs w:val="24"/>
        </w:rPr>
      </w:pPr>
    </w:p>
    <w:p w:rsidR="00BA111F" w:rsidRDefault="00BA111F" w:rsidP="00BA111F">
      <w:pPr>
        <w:jc w:val="both"/>
        <w:rPr>
          <w:rFonts w:ascii="Arial" w:hAnsi="Arial" w:cs="Arial"/>
          <w:b/>
          <w:sz w:val="24"/>
          <w:szCs w:val="24"/>
        </w:rPr>
      </w:pPr>
      <w:r>
        <w:rPr>
          <w:rFonts w:ascii="Arial" w:hAnsi="Arial" w:cs="Arial"/>
          <w:b/>
          <w:sz w:val="24"/>
          <w:szCs w:val="24"/>
        </w:rPr>
        <w:t>Li</w:t>
      </w:r>
      <w:r w:rsidRPr="00715E95">
        <w:rPr>
          <w:rFonts w:ascii="Arial" w:hAnsi="Arial" w:cs="Arial"/>
          <w:b/>
          <w:sz w:val="24"/>
          <w:szCs w:val="24"/>
        </w:rPr>
        <w:t>mitaciones a la valoración de inmuebles:</w:t>
      </w:r>
    </w:p>
    <w:p w:rsidR="00BA111F" w:rsidRDefault="00BA111F" w:rsidP="00BA111F">
      <w:pPr>
        <w:pStyle w:val="Prrafodelista"/>
        <w:numPr>
          <w:ilvl w:val="0"/>
          <w:numId w:val="11"/>
        </w:numPr>
        <w:jc w:val="both"/>
        <w:rPr>
          <w:rFonts w:ascii="Arial" w:hAnsi="Arial" w:cs="Arial"/>
          <w:sz w:val="24"/>
          <w:szCs w:val="24"/>
        </w:rPr>
      </w:pPr>
      <w:r w:rsidRPr="008A22F1">
        <w:rPr>
          <w:rFonts w:ascii="Arial" w:hAnsi="Arial" w:cs="Arial"/>
          <w:sz w:val="24"/>
          <w:szCs w:val="24"/>
        </w:rPr>
        <w:t xml:space="preserve">Arizona: El límite de la valoración de los inmuebles se encuentra limitado a la valoración del año anterior más el 5% de ese valor. </w:t>
      </w:r>
    </w:p>
    <w:p w:rsidR="00BA111F" w:rsidRPr="008A22F1" w:rsidRDefault="00BA111F" w:rsidP="00BA111F">
      <w:pPr>
        <w:pStyle w:val="Prrafodelista"/>
        <w:numPr>
          <w:ilvl w:val="0"/>
          <w:numId w:val="11"/>
        </w:numPr>
        <w:jc w:val="both"/>
        <w:rPr>
          <w:rFonts w:ascii="Arial" w:hAnsi="Arial" w:cs="Arial"/>
          <w:sz w:val="24"/>
          <w:szCs w:val="24"/>
        </w:rPr>
      </w:pPr>
      <w:r w:rsidRPr="008A22F1">
        <w:rPr>
          <w:rFonts w:ascii="Arial" w:hAnsi="Arial" w:cs="Arial"/>
          <w:sz w:val="24"/>
          <w:szCs w:val="24"/>
        </w:rPr>
        <w:t>California: El incremento anual en la valoración de los predios es limitado a un 2% o la tasa de inflación del área sujeta al impuesto.</w:t>
      </w:r>
    </w:p>
    <w:p w:rsidR="00BA111F" w:rsidRDefault="00BA111F" w:rsidP="00BA111F">
      <w:pPr>
        <w:pStyle w:val="Prrafodelista"/>
        <w:numPr>
          <w:ilvl w:val="0"/>
          <w:numId w:val="11"/>
        </w:numPr>
        <w:jc w:val="both"/>
        <w:rPr>
          <w:rFonts w:ascii="Arial" w:hAnsi="Arial" w:cs="Arial"/>
          <w:sz w:val="24"/>
          <w:szCs w:val="24"/>
        </w:rPr>
      </w:pPr>
      <w:r>
        <w:rPr>
          <w:rFonts w:ascii="Arial" w:hAnsi="Arial" w:cs="Arial"/>
          <w:sz w:val="24"/>
          <w:szCs w:val="24"/>
        </w:rPr>
        <w:t xml:space="preserve">Carolina del Sur: limitado a un 15% a través de un periodo de 5 años. </w:t>
      </w:r>
    </w:p>
    <w:p w:rsidR="00BA111F" w:rsidRDefault="00BA111F" w:rsidP="00BA111F">
      <w:pPr>
        <w:pStyle w:val="Prrafodelista"/>
        <w:numPr>
          <w:ilvl w:val="0"/>
          <w:numId w:val="11"/>
        </w:numPr>
        <w:jc w:val="both"/>
        <w:rPr>
          <w:rFonts w:ascii="Arial" w:hAnsi="Arial" w:cs="Arial"/>
          <w:sz w:val="24"/>
          <w:szCs w:val="24"/>
        </w:rPr>
      </w:pPr>
      <w:r w:rsidRPr="00B51F1A">
        <w:rPr>
          <w:rFonts w:ascii="Arial" w:hAnsi="Arial" w:cs="Arial"/>
          <w:sz w:val="24"/>
          <w:szCs w:val="24"/>
        </w:rPr>
        <w:t>Michigan: La base gravable no puede incrementar en más del menor valor entre un 5% o la tasa de inflación medida por el índice de precios al consumidor.</w:t>
      </w:r>
    </w:p>
    <w:p w:rsidR="00BA111F" w:rsidRDefault="00BA111F" w:rsidP="00BA111F">
      <w:pPr>
        <w:jc w:val="both"/>
        <w:rPr>
          <w:rFonts w:ascii="Arial" w:hAnsi="Arial" w:cs="Arial"/>
          <w:sz w:val="24"/>
          <w:szCs w:val="24"/>
        </w:rPr>
      </w:pPr>
    </w:p>
    <w:p w:rsidR="00BA111F" w:rsidRDefault="00BA111F" w:rsidP="00BA111F">
      <w:pPr>
        <w:jc w:val="both"/>
        <w:rPr>
          <w:rFonts w:ascii="Arial" w:hAnsi="Arial" w:cs="Arial"/>
          <w:sz w:val="24"/>
          <w:szCs w:val="24"/>
        </w:rPr>
      </w:pPr>
    </w:p>
    <w:p w:rsidR="00BA111F" w:rsidRPr="00E56691" w:rsidRDefault="00BA111F" w:rsidP="00BA111F">
      <w:pPr>
        <w:jc w:val="both"/>
        <w:rPr>
          <w:rFonts w:ascii="Arial" w:hAnsi="Arial" w:cs="Arial"/>
          <w:sz w:val="24"/>
          <w:szCs w:val="24"/>
        </w:rPr>
      </w:pPr>
    </w:p>
    <w:p w:rsidR="00BA111F" w:rsidRPr="00E56691" w:rsidRDefault="00BA111F" w:rsidP="00BA111F">
      <w:pPr>
        <w:jc w:val="both"/>
        <w:rPr>
          <w:rFonts w:ascii="Arial" w:hAnsi="Arial" w:cs="Arial"/>
          <w:b/>
          <w:sz w:val="24"/>
          <w:szCs w:val="24"/>
        </w:rPr>
      </w:pPr>
      <w:r w:rsidRPr="0052311C">
        <w:rPr>
          <w:rFonts w:ascii="Arial" w:hAnsi="Arial" w:cs="Arial"/>
          <w:b/>
          <w:sz w:val="24"/>
          <w:szCs w:val="24"/>
        </w:rPr>
        <w:t>3.2. Impuesto predial en Holanda.</w:t>
      </w:r>
    </w:p>
    <w:p w:rsidR="00BA111F" w:rsidRDefault="00BA111F" w:rsidP="00BA111F">
      <w:pPr>
        <w:jc w:val="both"/>
        <w:rPr>
          <w:rFonts w:ascii="Arial" w:hAnsi="Arial" w:cs="Arial"/>
          <w:sz w:val="24"/>
          <w:szCs w:val="24"/>
        </w:rPr>
      </w:pPr>
      <w:r w:rsidRPr="00D20AA7">
        <w:rPr>
          <w:rFonts w:ascii="Arial" w:hAnsi="Arial" w:cs="Arial"/>
          <w:sz w:val="24"/>
          <w:szCs w:val="24"/>
        </w:rPr>
        <w:t>De con</w:t>
      </w:r>
      <w:r>
        <w:rPr>
          <w:rFonts w:ascii="Arial" w:hAnsi="Arial" w:cs="Arial"/>
          <w:sz w:val="24"/>
          <w:szCs w:val="24"/>
        </w:rPr>
        <w:t>formidad con el documento “</w:t>
      </w:r>
      <w:r w:rsidRPr="00D20AA7">
        <w:rPr>
          <w:rFonts w:ascii="Arial" w:hAnsi="Arial" w:cs="Arial"/>
          <w:i/>
          <w:sz w:val="24"/>
          <w:szCs w:val="24"/>
        </w:rPr>
        <w:t xml:space="preserve">Real </w:t>
      </w:r>
      <w:r>
        <w:rPr>
          <w:rFonts w:ascii="Arial" w:hAnsi="Arial" w:cs="Arial"/>
          <w:i/>
          <w:sz w:val="24"/>
          <w:szCs w:val="24"/>
        </w:rPr>
        <w:t xml:space="preserve">Estate </w:t>
      </w:r>
      <w:proofErr w:type="spellStart"/>
      <w:r>
        <w:rPr>
          <w:rFonts w:ascii="Arial" w:hAnsi="Arial" w:cs="Arial"/>
          <w:i/>
          <w:sz w:val="24"/>
          <w:szCs w:val="24"/>
        </w:rPr>
        <w:t>Going</w:t>
      </w:r>
      <w:proofErr w:type="spellEnd"/>
      <w:r>
        <w:rPr>
          <w:rFonts w:ascii="Arial" w:hAnsi="Arial" w:cs="Arial"/>
          <w:i/>
          <w:sz w:val="24"/>
          <w:szCs w:val="24"/>
        </w:rPr>
        <w:t xml:space="preserve"> Global – </w:t>
      </w:r>
      <w:proofErr w:type="spellStart"/>
      <w:r>
        <w:rPr>
          <w:rFonts w:ascii="Arial" w:hAnsi="Arial" w:cs="Arial"/>
          <w:i/>
          <w:sz w:val="24"/>
          <w:szCs w:val="24"/>
        </w:rPr>
        <w:t>Worldwide</w:t>
      </w:r>
      <w:proofErr w:type="spellEnd"/>
      <w:r>
        <w:rPr>
          <w:rFonts w:ascii="Arial" w:hAnsi="Arial" w:cs="Arial"/>
          <w:i/>
          <w:sz w:val="24"/>
          <w:szCs w:val="24"/>
        </w:rPr>
        <w:t xml:space="preserve"> country </w:t>
      </w:r>
      <w:proofErr w:type="spellStart"/>
      <w:r>
        <w:rPr>
          <w:rFonts w:ascii="Arial" w:hAnsi="Arial" w:cs="Arial"/>
          <w:i/>
          <w:sz w:val="24"/>
          <w:szCs w:val="24"/>
        </w:rPr>
        <w:t>summaries</w:t>
      </w:r>
      <w:proofErr w:type="spellEnd"/>
      <w:r>
        <w:rPr>
          <w:rFonts w:ascii="Arial" w:hAnsi="Arial" w:cs="Arial"/>
          <w:sz w:val="24"/>
          <w:szCs w:val="24"/>
        </w:rPr>
        <w:t>”</w:t>
      </w:r>
      <w:r>
        <w:rPr>
          <w:rStyle w:val="Refdenotaalpie"/>
          <w:rFonts w:ascii="Arial" w:hAnsi="Arial" w:cs="Arial"/>
          <w:sz w:val="24"/>
          <w:szCs w:val="24"/>
        </w:rPr>
        <w:footnoteReference w:id="10"/>
      </w:r>
      <w:r>
        <w:rPr>
          <w:rFonts w:ascii="Arial" w:hAnsi="Arial" w:cs="Arial"/>
          <w:sz w:val="24"/>
          <w:szCs w:val="24"/>
        </w:rPr>
        <w:t xml:space="preserve"> de la firma de la firma </w:t>
      </w:r>
      <w:proofErr w:type="spellStart"/>
      <w:r>
        <w:rPr>
          <w:rFonts w:ascii="Arial" w:hAnsi="Arial" w:cs="Arial"/>
          <w:sz w:val="24"/>
          <w:szCs w:val="24"/>
        </w:rPr>
        <w:t>PricewaterhouseCoopers</w:t>
      </w:r>
      <w:proofErr w:type="spellEnd"/>
      <w:r>
        <w:rPr>
          <w:rFonts w:ascii="Arial" w:hAnsi="Arial" w:cs="Arial"/>
          <w:sz w:val="24"/>
          <w:szCs w:val="24"/>
        </w:rPr>
        <w:t xml:space="preserve"> 2016, las siguientes son las características del impuesto predial en Holanda:</w:t>
      </w:r>
    </w:p>
    <w:p w:rsidR="00BA111F" w:rsidRDefault="00BA111F" w:rsidP="00BA111F">
      <w:pPr>
        <w:jc w:val="both"/>
        <w:rPr>
          <w:rFonts w:ascii="Arial" w:hAnsi="Arial" w:cs="Arial"/>
          <w:sz w:val="24"/>
          <w:szCs w:val="24"/>
        </w:rPr>
      </w:pPr>
    </w:p>
    <w:p w:rsidR="00BA111F" w:rsidRPr="00420D9C" w:rsidRDefault="00BA111F" w:rsidP="00BA111F">
      <w:pPr>
        <w:pStyle w:val="Prrafodelista"/>
        <w:numPr>
          <w:ilvl w:val="0"/>
          <w:numId w:val="13"/>
        </w:numPr>
        <w:jc w:val="both"/>
        <w:rPr>
          <w:rFonts w:ascii="Arial" w:hAnsi="Arial" w:cs="Arial"/>
          <w:sz w:val="24"/>
          <w:szCs w:val="24"/>
        </w:rPr>
      </w:pPr>
      <w:r>
        <w:rPr>
          <w:rFonts w:ascii="Arial" w:hAnsi="Arial" w:cs="Arial"/>
          <w:sz w:val="24"/>
          <w:szCs w:val="24"/>
        </w:rPr>
        <w:t>Es un impuesto de carácter local.</w:t>
      </w:r>
    </w:p>
    <w:p w:rsidR="00BA111F" w:rsidRDefault="00BA111F" w:rsidP="00BA111F">
      <w:pPr>
        <w:pStyle w:val="Prrafodelista"/>
        <w:numPr>
          <w:ilvl w:val="0"/>
          <w:numId w:val="12"/>
        </w:numPr>
        <w:jc w:val="both"/>
        <w:rPr>
          <w:rFonts w:ascii="Arial" w:hAnsi="Arial" w:cs="Arial"/>
          <w:sz w:val="24"/>
          <w:szCs w:val="24"/>
        </w:rPr>
      </w:pPr>
      <w:r>
        <w:rPr>
          <w:rFonts w:ascii="Arial" w:hAnsi="Arial" w:cs="Arial"/>
          <w:sz w:val="24"/>
          <w:szCs w:val="24"/>
        </w:rPr>
        <w:t>Los sujetos del impuesto son los propietarios y usuarios de las propiedades, excepto los usuarios de viviendas residenciales.</w:t>
      </w:r>
    </w:p>
    <w:p w:rsidR="00BA111F" w:rsidRDefault="00BA111F" w:rsidP="00BA111F">
      <w:pPr>
        <w:pStyle w:val="Prrafodelista"/>
        <w:numPr>
          <w:ilvl w:val="0"/>
          <w:numId w:val="12"/>
        </w:numPr>
        <w:jc w:val="both"/>
        <w:rPr>
          <w:rFonts w:ascii="Arial" w:hAnsi="Arial" w:cs="Arial"/>
          <w:sz w:val="24"/>
          <w:szCs w:val="24"/>
        </w:rPr>
      </w:pPr>
      <w:r>
        <w:rPr>
          <w:rFonts w:ascii="Arial" w:hAnsi="Arial" w:cs="Arial"/>
          <w:sz w:val="24"/>
          <w:szCs w:val="24"/>
        </w:rPr>
        <w:t>El impuesto es basado en el valor del mercado de las propiedades donde las autoridades locales son las responsables de la determinación de dicho valor.</w:t>
      </w:r>
    </w:p>
    <w:p w:rsidR="00BA111F" w:rsidRDefault="00BA111F" w:rsidP="00BA111F">
      <w:pPr>
        <w:pStyle w:val="Prrafodelista"/>
        <w:numPr>
          <w:ilvl w:val="0"/>
          <w:numId w:val="12"/>
        </w:numPr>
        <w:jc w:val="both"/>
        <w:rPr>
          <w:rFonts w:ascii="Arial" w:hAnsi="Arial" w:cs="Arial"/>
          <w:sz w:val="24"/>
          <w:szCs w:val="24"/>
        </w:rPr>
      </w:pPr>
      <w:r>
        <w:rPr>
          <w:rFonts w:ascii="Arial" w:hAnsi="Arial" w:cs="Arial"/>
          <w:sz w:val="24"/>
          <w:szCs w:val="24"/>
        </w:rPr>
        <w:t>Cada municipalidad determina las tarifas del impuesto predial de propietarios y usuarios de las propiedades.</w:t>
      </w:r>
    </w:p>
    <w:p w:rsidR="00BA111F" w:rsidRDefault="00BA111F" w:rsidP="00BA111F">
      <w:pPr>
        <w:pStyle w:val="Prrafodelista"/>
        <w:numPr>
          <w:ilvl w:val="0"/>
          <w:numId w:val="12"/>
        </w:numPr>
        <w:jc w:val="both"/>
        <w:rPr>
          <w:rFonts w:ascii="Arial" w:hAnsi="Arial" w:cs="Arial"/>
          <w:sz w:val="24"/>
          <w:szCs w:val="24"/>
        </w:rPr>
      </w:pPr>
      <w:r w:rsidRPr="009A5C6D">
        <w:rPr>
          <w:rFonts w:ascii="Arial" w:hAnsi="Arial" w:cs="Arial"/>
          <w:sz w:val="24"/>
          <w:szCs w:val="24"/>
        </w:rPr>
        <w:t xml:space="preserve">Para el año 2016, la tarifa promedio de propietarios de viviendas residenciales fue del 0,13% y de los predios no residenciales del 0,23%. </w:t>
      </w:r>
    </w:p>
    <w:p w:rsidR="00BA111F" w:rsidRPr="009A5C6D" w:rsidRDefault="00BA111F" w:rsidP="00BA111F">
      <w:pPr>
        <w:pStyle w:val="Prrafodelista"/>
        <w:jc w:val="both"/>
        <w:rPr>
          <w:rFonts w:ascii="Arial" w:hAnsi="Arial" w:cs="Arial"/>
          <w:sz w:val="24"/>
          <w:szCs w:val="24"/>
        </w:rPr>
      </w:pPr>
    </w:p>
    <w:p w:rsidR="00BA111F" w:rsidRPr="00314BFA" w:rsidRDefault="00BA111F" w:rsidP="00BA111F">
      <w:pPr>
        <w:jc w:val="both"/>
        <w:rPr>
          <w:rFonts w:ascii="Arial" w:hAnsi="Arial" w:cs="Arial"/>
          <w:b/>
          <w:sz w:val="24"/>
          <w:szCs w:val="24"/>
        </w:rPr>
      </w:pPr>
      <w:r>
        <w:rPr>
          <w:rFonts w:ascii="Arial" w:hAnsi="Arial" w:cs="Arial"/>
          <w:b/>
          <w:sz w:val="24"/>
          <w:szCs w:val="24"/>
        </w:rPr>
        <w:t>3.3. Impuesto predial en Suecia</w:t>
      </w:r>
      <w:r w:rsidRPr="00314BFA">
        <w:rPr>
          <w:rFonts w:ascii="Arial" w:hAnsi="Arial" w:cs="Arial"/>
          <w:b/>
          <w:sz w:val="24"/>
          <w:szCs w:val="24"/>
        </w:rPr>
        <w:t>.</w:t>
      </w:r>
    </w:p>
    <w:p w:rsidR="00BA111F" w:rsidRDefault="00BA111F" w:rsidP="00BA111F">
      <w:pPr>
        <w:jc w:val="both"/>
        <w:rPr>
          <w:rFonts w:ascii="Arial" w:hAnsi="Arial" w:cs="Arial"/>
          <w:sz w:val="24"/>
          <w:szCs w:val="24"/>
        </w:rPr>
      </w:pPr>
      <w:r>
        <w:rPr>
          <w:rFonts w:ascii="Arial" w:hAnsi="Arial" w:cs="Arial"/>
          <w:sz w:val="24"/>
          <w:szCs w:val="24"/>
        </w:rPr>
        <w:t>Acorde al documento “</w:t>
      </w:r>
      <w:proofErr w:type="spellStart"/>
      <w:r w:rsidRPr="008C36DF">
        <w:rPr>
          <w:rFonts w:ascii="Arial" w:hAnsi="Arial" w:cs="Arial"/>
          <w:i/>
          <w:sz w:val="24"/>
          <w:szCs w:val="24"/>
        </w:rPr>
        <w:t>Taxes</w:t>
      </w:r>
      <w:proofErr w:type="spellEnd"/>
      <w:r w:rsidRPr="008C36DF">
        <w:rPr>
          <w:rFonts w:ascii="Arial" w:hAnsi="Arial" w:cs="Arial"/>
          <w:i/>
          <w:sz w:val="24"/>
          <w:szCs w:val="24"/>
        </w:rPr>
        <w:t xml:space="preserve"> in </w:t>
      </w:r>
      <w:proofErr w:type="spellStart"/>
      <w:r w:rsidRPr="008C36DF">
        <w:rPr>
          <w:rFonts w:ascii="Arial" w:hAnsi="Arial" w:cs="Arial"/>
          <w:i/>
          <w:sz w:val="24"/>
          <w:szCs w:val="24"/>
        </w:rPr>
        <w:t>Sewden</w:t>
      </w:r>
      <w:proofErr w:type="spellEnd"/>
      <w:r w:rsidRPr="008C36DF">
        <w:rPr>
          <w:rFonts w:ascii="Arial" w:hAnsi="Arial" w:cs="Arial"/>
          <w:i/>
          <w:sz w:val="24"/>
          <w:szCs w:val="24"/>
        </w:rPr>
        <w:t xml:space="preserve"> 2012</w:t>
      </w:r>
      <w:r>
        <w:rPr>
          <w:rFonts w:ascii="Arial" w:hAnsi="Arial" w:cs="Arial"/>
          <w:sz w:val="24"/>
          <w:szCs w:val="24"/>
        </w:rPr>
        <w:t>”</w:t>
      </w:r>
      <w:r>
        <w:rPr>
          <w:rStyle w:val="Refdenotaalpie"/>
          <w:rFonts w:ascii="Arial" w:hAnsi="Arial" w:cs="Arial"/>
          <w:sz w:val="24"/>
          <w:szCs w:val="24"/>
        </w:rPr>
        <w:footnoteReference w:id="11"/>
      </w:r>
      <w:r>
        <w:rPr>
          <w:rFonts w:ascii="Arial" w:hAnsi="Arial" w:cs="Arial"/>
          <w:sz w:val="24"/>
          <w:szCs w:val="24"/>
        </w:rPr>
        <w:t xml:space="preserve"> de la Agencia Sueca de Impuestos, “</w:t>
      </w:r>
      <w:proofErr w:type="spellStart"/>
      <w:r w:rsidRPr="008C36DF">
        <w:rPr>
          <w:rFonts w:ascii="Arial" w:hAnsi="Arial" w:cs="Arial"/>
          <w:i/>
          <w:sz w:val="24"/>
          <w:szCs w:val="24"/>
        </w:rPr>
        <w:t>Taxation</w:t>
      </w:r>
      <w:proofErr w:type="spellEnd"/>
      <w:r w:rsidRPr="008C36DF">
        <w:rPr>
          <w:rFonts w:ascii="Arial" w:hAnsi="Arial" w:cs="Arial"/>
          <w:i/>
          <w:sz w:val="24"/>
          <w:szCs w:val="24"/>
        </w:rPr>
        <w:t xml:space="preserve"> and </w:t>
      </w:r>
      <w:proofErr w:type="spellStart"/>
      <w:r w:rsidRPr="008C36DF">
        <w:rPr>
          <w:rFonts w:ascii="Arial" w:hAnsi="Arial" w:cs="Arial"/>
          <w:i/>
          <w:sz w:val="24"/>
          <w:szCs w:val="24"/>
        </w:rPr>
        <w:t>Investment</w:t>
      </w:r>
      <w:proofErr w:type="spellEnd"/>
      <w:r w:rsidRPr="008C36DF">
        <w:rPr>
          <w:rFonts w:ascii="Arial" w:hAnsi="Arial" w:cs="Arial"/>
          <w:i/>
          <w:sz w:val="24"/>
          <w:szCs w:val="24"/>
        </w:rPr>
        <w:t xml:space="preserve"> in </w:t>
      </w:r>
      <w:proofErr w:type="spellStart"/>
      <w:r w:rsidRPr="008C36DF">
        <w:rPr>
          <w:rFonts w:ascii="Arial" w:hAnsi="Arial" w:cs="Arial"/>
          <w:i/>
          <w:sz w:val="24"/>
          <w:szCs w:val="24"/>
        </w:rPr>
        <w:t>Sweden</w:t>
      </w:r>
      <w:proofErr w:type="spellEnd"/>
      <w:r w:rsidRPr="008C36DF">
        <w:rPr>
          <w:rFonts w:ascii="Arial" w:hAnsi="Arial" w:cs="Arial"/>
          <w:i/>
          <w:sz w:val="24"/>
          <w:szCs w:val="24"/>
        </w:rPr>
        <w:t xml:space="preserve"> 2015</w:t>
      </w:r>
      <w:r>
        <w:rPr>
          <w:rFonts w:ascii="Arial" w:hAnsi="Arial" w:cs="Arial"/>
          <w:sz w:val="24"/>
          <w:szCs w:val="24"/>
        </w:rPr>
        <w:t>”</w:t>
      </w:r>
      <w:r>
        <w:rPr>
          <w:rStyle w:val="Refdenotaalpie"/>
          <w:rFonts w:ascii="Arial" w:hAnsi="Arial" w:cs="Arial"/>
          <w:sz w:val="24"/>
          <w:szCs w:val="24"/>
        </w:rPr>
        <w:footnoteReference w:id="12"/>
      </w:r>
      <w:r>
        <w:rPr>
          <w:rFonts w:ascii="Arial" w:hAnsi="Arial" w:cs="Arial"/>
          <w:sz w:val="24"/>
          <w:szCs w:val="24"/>
        </w:rPr>
        <w:t xml:space="preserve"> de la firma </w:t>
      </w:r>
      <w:proofErr w:type="spellStart"/>
      <w:r>
        <w:rPr>
          <w:rFonts w:ascii="Arial" w:hAnsi="Arial" w:cs="Arial"/>
          <w:sz w:val="24"/>
          <w:szCs w:val="24"/>
        </w:rPr>
        <w:t>Deloitte</w:t>
      </w:r>
      <w:proofErr w:type="spellEnd"/>
      <w:r>
        <w:rPr>
          <w:rFonts w:ascii="Arial" w:hAnsi="Arial" w:cs="Arial"/>
          <w:sz w:val="24"/>
          <w:szCs w:val="24"/>
        </w:rPr>
        <w:t xml:space="preserve"> y a información remitida por la Embajada de Suecia en Colombia al autor de esta iniciativa, la agencia de impuestos en Suecia adelanta la valoración predial de conformidad con un calendario establecido. La valoración realizada debe alcanzar el valor del 75% del valor de mercado de los predios respectivos.</w:t>
      </w:r>
    </w:p>
    <w:p w:rsidR="00BA111F" w:rsidRDefault="00BA111F" w:rsidP="00BA111F">
      <w:pPr>
        <w:jc w:val="both"/>
        <w:rPr>
          <w:rFonts w:ascii="Arial" w:hAnsi="Arial" w:cs="Arial"/>
          <w:sz w:val="24"/>
          <w:szCs w:val="24"/>
        </w:rPr>
      </w:pPr>
    </w:p>
    <w:p w:rsidR="00BA111F" w:rsidRDefault="00BA111F" w:rsidP="00BA111F">
      <w:pPr>
        <w:jc w:val="both"/>
        <w:rPr>
          <w:rFonts w:ascii="Arial" w:hAnsi="Arial" w:cs="Arial"/>
          <w:sz w:val="24"/>
          <w:szCs w:val="24"/>
        </w:rPr>
      </w:pPr>
      <w:r>
        <w:rPr>
          <w:rFonts w:ascii="Arial" w:hAnsi="Arial" w:cs="Arial"/>
          <w:sz w:val="24"/>
          <w:szCs w:val="24"/>
        </w:rPr>
        <w:t>A partir del año 2008 el denominado “</w:t>
      </w:r>
      <w:proofErr w:type="spellStart"/>
      <w:r w:rsidRPr="000D7828">
        <w:rPr>
          <w:rFonts w:ascii="Arial" w:hAnsi="Arial" w:cs="Arial"/>
          <w:i/>
          <w:sz w:val="24"/>
          <w:szCs w:val="24"/>
        </w:rPr>
        <w:t>property</w:t>
      </w:r>
      <w:proofErr w:type="spellEnd"/>
      <w:r w:rsidRPr="000D7828">
        <w:rPr>
          <w:rFonts w:ascii="Arial" w:hAnsi="Arial" w:cs="Arial"/>
          <w:i/>
          <w:sz w:val="24"/>
          <w:szCs w:val="24"/>
        </w:rPr>
        <w:t xml:space="preserve"> </w:t>
      </w:r>
      <w:proofErr w:type="spellStart"/>
      <w:r w:rsidRPr="000D7828">
        <w:rPr>
          <w:rFonts w:ascii="Arial" w:hAnsi="Arial" w:cs="Arial"/>
          <w:i/>
          <w:sz w:val="24"/>
          <w:szCs w:val="24"/>
        </w:rPr>
        <w:t>tax</w:t>
      </w:r>
      <w:proofErr w:type="spellEnd"/>
      <w:r>
        <w:rPr>
          <w:rFonts w:ascii="Arial" w:hAnsi="Arial" w:cs="Arial"/>
          <w:sz w:val="24"/>
          <w:szCs w:val="24"/>
        </w:rPr>
        <w:t>” sobre residencias fue eliminado y sustituido por un cargo a la propiedad local. Así, el cargo para una casa de familia en 2010 era aproximadamente de 6.387 SEK (Coronas suecas) pero no podía sobrepasar el 0.75% del valor del predio. Para el año 2016 esta carga era de 7.412 SEK.</w:t>
      </w:r>
    </w:p>
    <w:p w:rsidR="00BA111F" w:rsidRDefault="00BA111F" w:rsidP="00BA111F">
      <w:pPr>
        <w:jc w:val="both"/>
        <w:rPr>
          <w:rFonts w:ascii="Arial" w:hAnsi="Arial" w:cs="Arial"/>
          <w:sz w:val="24"/>
          <w:szCs w:val="24"/>
        </w:rPr>
      </w:pPr>
      <w:r>
        <w:rPr>
          <w:rFonts w:ascii="Arial" w:hAnsi="Arial" w:cs="Arial"/>
          <w:sz w:val="24"/>
          <w:szCs w:val="24"/>
        </w:rPr>
        <w:lastRenderedPageBreak/>
        <w:t>De igual forma, el cargo para un apartamento en un edificio para el año 2010 era de 1.277 SEK y para el año 2016 era de 1.268 SEK, aunque no podía ser superior al 0,4% del valor del predio.</w:t>
      </w:r>
    </w:p>
    <w:p w:rsidR="00BA111F" w:rsidRPr="00D20AA7" w:rsidRDefault="00BA111F" w:rsidP="00BA111F">
      <w:pPr>
        <w:jc w:val="both"/>
        <w:rPr>
          <w:rFonts w:ascii="Arial" w:hAnsi="Arial" w:cs="Arial"/>
          <w:sz w:val="24"/>
          <w:szCs w:val="24"/>
        </w:rPr>
      </w:pPr>
      <w:r>
        <w:rPr>
          <w:rFonts w:ascii="Arial" w:hAnsi="Arial" w:cs="Arial"/>
          <w:sz w:val="24"/>
          <w:szCs w:val="24"/>
        </w:rPr>
        <w:t>Para los predios diferentes a los residenciales las tasas varían del 0,2% al 2,8% sobre el avaluó realizado. Este impuesto es deducible para el cálculo de los impuestos corporativos.</w:t>
      </w:r>
    </w:p>
    <w:p w:rsidR="00BA111F" w:rsidRDefault="00BA111F" w:rsidP="00BA111F">
      <w:pPr>
        <w:pStyle w:val="Prrafodelista"/>
        <w:ind w:left="1080"/>
        <w:jc w:val="both"/>
        <w:rPr>
          <w:rFonts w:ascii="Arial" w:hAnsi="Arial" w:cs="Arial"/>
          <w:b/>
          <w:sz w:val="24"/>
          <w:szCs w:val="24"/>
        </w:rPr>
      </w:pPr>
    </w:p>
    <w:p w:rsidR="00BA111F" w:rsidRDefault="00BA111F" w:rsidP="00BA111F">
      <w:pPr>
        <w:pStyle w:val="Prrafodelista"/>
        <w:ind w:left="1080"/>
        <w:jc w:val="both"/>
        <w:rPr>
          <w:rFonts w:ascii="Arial" w:hAnsi="Arial" w:cs="Arial"/>
          <w:b/>
          <w:sz w:val="24"/>
          <w:szCs w:val="24"/>
        </w:rPr>
      </w:pPr>
    </w:p>
    <w:p w:rsidR="00BA111F" w:rsidRDefault="00BA111F" w:rsidP="00BA111F">
      <w:pPr>
        <w:pStyle w:val="Prrafodelista"/>
        <w:ind w:left="1080"/>
        <w:jc w:val="both"/>
        <w:rPr>
          <w:rFonts w:ascii="Arial" w:hAnsi="Arial" w:cs="Arial"/>
          <w:b/>
          <w:sz w:val="24"/>
          <w:szCs w:val="24"/>
        </w:rPr>
      </w:pPr>
    </w:p>
    <w:p w:rsidR="00BA111F" w:rsidRDefault="00BA111F" w:rsidP="00BA111F">
      <w:pPr>
        <w:pStyle w:val="Prrafodelista"/>
        <w:ind w:left="1080"/>
        <w:jc w:val="both"/>
        <w:rPr>
          <w:rFonts w:ascii="Arial" w:hAnsi="Arial" w:cs="Arial"/>
          <w:b/>
          <w:sz w:val="24"/>
          <w:szCs w:val="24"/>
        </w:rPr>
      </w:pPr>
    </w:p>
    <w:p w:rsidR="00BA111F" w:rsidRDefault="00BA111F" w:rsidP="00BA111F">
      <w:pPr>
        <w:pStyle w:val="Prrafodelista"/>
        <w:ind w:left="1080"/>
        <w:jc w:val="both"/>
        <w:rPr>
          <w:rFonts w:ascii="Arial" w:hAnsi="Arial" w:cs="Arial"/>
          <w:b/>
          <w:sz w:val="24"/>
          <w:szCs w:val="24"/>
        </w:rPr>
      </w:pPr>
    </w:p>
    <w:p w:rsidR="00BA111F" w:rsidRDefault="00BA111F" w:rsidP="00BA111F">
      <w:pPr>
        <w:pStyle w:val="Prrafodelista"/>
        <w:ind w:left="1080"/>
        <w:jc w:val="both"/>
        <w:rPr>
          <w:rFonts w:ascii="Arial" w:hAnsi="Arial" w:cs="Arial"/>
          <w:b/>
          <w:sz w:val="24"/>
          <w:szCs w:val="24"/>
        </w:rPr>
      </w:pPr>
    </w:p>
    <w:p w:rsidR="00BA111F" w:rsidRDefault="00BA111F" w:rsidP="00BA111F">
      <w:pPr>
        <w:pStyle w:val="Prrafodelista"/>
        <w:ind w:left="1080"/>
        <w:jc w:val="both"/>
        <w:rPr>
          <w:rFonts w:ascii="Arial" w:hAnsi="Arial" w:cs="Arial"/>
          <w:b/>
          <w:sz w:val="24"/>
          <w:szCs w:val="24"/>
        </w:rPr>
      </w:pPr>
    </w:p>
    <w:p w:rsidR="00BA111F" w:rsidRDefault="00BA111F" w:rsidP="00BA111F">
      <w:pPr>
        <w:pStyle w:val="Prrafodelista"/>
        <w:ind w:left="1080"/>
        <w:jc w:val="both"/>
        <w:rPr>
          <w:rFonts w:ascii="Arial" w:hAnsi="Arial" w:cs="Arial"/>
          <w:b/>
          <w:sz w:val="24"/>
          <w:szCs w:val="24"/>
        </w:rPr>
      </w:pPr>
    </w:p>
    <w:p w:rsidR="00BA111F" w:rsidRDefault="00BA111F" w:rsidP="00BA111F">
      <w:pPr>
        <w:pStyle w:val="Prrafodelista"/>
        <w:ind w:left="1080"/>
        <w:jc w:val="both"/>
        <w:rPr>
          <w:rFonts w:ascii="Arial" w:hAnsi="Arial" w:cs="Arial"/>
          <w:b/>
          <w:sz w:val="24"/>
          <w:szCs w:val="24"/>
        </w:rPr>
      </w:pPr>
    </w:p>
    <w:p w:rsidR="00BA111F" w:rsidRDefault="00BA111F" w:rsidP="00BA111F">
      <w:pPr>
        <w:pStyle w:val="Prrafodelista"/>
        <w:ind w:left="1080"/>
        <w:jc w:val="both"/>
        <w:rPr>
          <w:rFonts w:ascii="Arial" w:hAnsi="Arial" w:cs="Arial"/>
          <w:b/>
          <w:sz w:val="24"/>
          <w:szCs w:val="24"/>
        </w:rPr>
      </w:pPr>
    </w:p>
    <w:p w:rsidR="00BA111F" w:rsidRDefault="00BA111F" w:rsidP="00BA111F">
      <w:pPr>
        <w:pStyle w:val="Prrafodelista"/>
        <w:ind w:left="1080"/>
        <w:jc w:val="both"/>
        <w:rPr>
          <w:rFonts w:ascii="Arial" w:hAnsi="Arial" w:cs="Arial"/>
          <w:b/>
          <w:sz w:val="24"/>
          <w:szCs w:val="24"/>
        </w:rPr>
      </w:pPr>
    </w:p>
    <w:p w:rsidR="00BA111F" w:rsidRDefault="00BA111F" w:rsidP="00BA111F">
      <w:pPr>
        <w:pStyle w:val="Prrafodelista"/>
        <w:ind w:left="1080"/>
        <w:jc w:val="both"/>
        <w:rPr>
          <w:rFonts w:ascii="Arial" w:hAnsi="Arial" w:cs="Arial"/>
          <w:b/>
          <w:sz w:val="24"/>
          <w:szCs w:val="24"/>
        </w:rPr>
      </w:pPr>
    </w:p>
    <w:p w:rsidR="00BA111F" w:rsidRDefault="00BA111F" w:rsidP="00BA111F">
      <w:pPr>
        <w:pStyle w:val="Prrafodelista"/>
        <w:ind w:left="1080"/>
        <w:jc w:val="both"/>
        <w:rPr>
          <w:rFonts w:ascii="Arial" w:hAnsi="Arial" w:cs="Arial"/>
          <w:b/>
          <w:sz w:val="24"/>
          <w:szCs w:val="24"/>
        </w:rPr>
      </w:pPr>
    </w:p>
    <w:p w:rsidR="00BA111F" w:rsidRDefault="00BA111F" w:rsidP="00BA111F">
      <w:pPr>
        <w:pStyle w:val="Prrafodelista"/>
        <w:ind w:left="1080"/>
        <w:jc w:val="both"/>
        <w:rPr>
          <w:rFonts w:ascii="Arial" w:hAnsi="Arial" w:cs="Arial"/>
          <w:b/>
          <w:sz w:val="24"/>
          <w:szCs w:val="24"/>
        </w:rPr>
      </w:pPr>
    </w:p>
    <w:p w:rsidR="00BA111F" w:rsidRDefault="00BA111F" w:rsidP="00BA111F">
      <w:pPr>
        <w:pStyle w:val="Prrafodelista"/>
        <w:ind w:left="1080"/>
        <w:jc w:val="both"/>
        <w:rPr>
          <w:rFonts w:ascii="Arial" w:hAnsi="Arial" w:cs="Arial"/>
          <w:b/>
          <w:sz w:val="24"/>
          <w:szCs w:val="24"/>
        </w:rPr>
      </w:pPr>
    </w:p>
    <w:p w:rsidR="00BA111F" w:rsidRDefault="00BA111F" w:rsidP="00BA111F">
      <w:pPr>
        <w:pStyle w:val="Prrafodelista"/>
        <w:ind w:left="1080"/>
        <w:jc w:val="both"/>
        <w:rPr>
          <w:rFonts w:ascii="Arial" w:hAnsi="Arial" w:cs="Arial"/>
          <w:b/>
          <w:sz w:val="24"/>
          <w:szCs w:val="24"/>
        </w:rPr>
      </w:pPr>
    </w:p>
    <w:p w:rsidR="00BA111F" w:rsidRDefault="00BA111F" w:rsidP="00BA111F">
      <w:pPr>
        <w:pStyle w:val="Prrafodelista"/>
        <w:ind w:left="1080"/>
        <w:jc w:val="both"/>
        <w:rPr>
          <w:rFonts w:ascii="Arial" w:hAnsi="Arial" w:cs="Arial"/>
          <w:b/>
          <w:sz w:val="24"/>
          <w:szCs w:val="24"/>
        </w:rPr>
      </w:pPr>
    </w:p>
    <w:p w:rsidR="00BA111F" w:rsidRDefault="00BA111F" w:rsidP="00BA111F">
      <w:pPr>
        <w:pStyle w:val="Prrafodelista"/>
        <w:ind w:left="1080"/>
        <w:jc w:val="both"/>
        <w:rPr>
          <w:rFonts w:ascii="Arial" w:hAnsi="Arial" w:cs="Arial"/>
          <w:b/>
          <w:sz w:val="24"/>
          <w:szCs w:val="24"/>
        </w:rPr>
      </w:pPr>
    </w:p>
    <w:p w:rsidR="00BA111F" w:rsidRDefault="00BA111F" w:rsidP="00BA111F">
      <w:pPr>
        <w:pStyle w:val="Prrafodelista"/>
        <w:ind w:left="1080"/>
        <w:jc w:val="both"/>
        <w:rPr>
          <w:rFonts w:ascii="Arial" w:hAnsi="Arial" w:cs="Arial"/>
          <w:b/>
          <w:sz w:val="24"/>
          <w:szCs w:val="24"/>
        </w:rPr>
      </w:pPr>
    </w:p>
    <w:p w:rsidR="00BA111F" w:rsidRDefault="00BA111F" w:rsidP="00BA111F">
      <w:pPr>
        <w:pStyle w:val="Prrafodelista"/>
        <w:ind w:left="1080"/>
        <w:jc w:val="both"/>
        <w:rPr>
          <w:rFonts w:ascii="Arial" w:hAnsi="Arial" w:cs="Arial"/>
          <w:b/>
          <w:sz w:val="24"/>
          <w:szCs w:val="24"/>
        </w:rPr>
      </w:pPr>
    </w:p>
    <w:p w:rsidR="00BA111F" w:rsidRDefault="00BA111F" w:rsidP="00BA111F">
      <w:pPr>
        <w:pStyle w:val="Prrafodelista"/>
        <w:ind w:left="1080"/>
        <w:jc w:val="both"/>
        <w:rPr>
          <w:rFonts w:ascii="Arial" w:hAnsi="Arial" w:cs="Arial"/>
          <w:b/>
          <w:sz w:val="24"/>
          <w:szCs w:val="24"/>
        </w:rPr>
      </w:pPr>
    </w:p>
    <w:p w:rsidR="00BA111F" w:rsidRDefault="00BA111F" w:rsidP="00BA111F">
      <w:pPr>
        <w:pStyle w:val="Prrafodelista"/>
        <w:ind w:left="1080"/>
        <w:jc w:val="both"/>
        <w:rPr>
          <w:rFonts w:ascii="Arial" w:hAnsi="Arial" w:cs="Arial"/>
          <w:b/>
          <w:sz w:val="24"/>
          <w:szCs w:val="24"/>
        </w:rPr>
      </w:pPr>
    </w:p>
    <w:p w:rsidR="00BA111F" w:rsidRDefault="00BA111F" w:rsidP="00BA111F">
      <w:pPr>
        <w:pStyle w:val="Prrafodelista"/>
        <w:ind w:left="1080"/>
        <w:jc w:val="both"/>
        <w:rPr>
          <w:rFonts w:ascii="Arial" w:hAnsi="Arial" w:cs="Arial"/>
          <w:b/>
          <w:sz w:val="24"/>
          <w:szCs w:val="24"/>
        </w:rPr>
      </w:pPr>
    </w:p>
    <w:p w:rsidR="00BA111F" w:rsidRDefault="00BA111F" w:rsidP="00BA111F">
      <w:pPr>
        <w:pStyle w:val="Prrafodelista"/>
        <w:ind w:left="1080"/>
        <w:jc w:val="both"/>
        <w:rPr>
          <w:rFonts w:ascii="Arial" w:hAnsi="Arial" w:cs="Arial"/>
          <w:b/>
          <w:sz w:val="24"/>
          <w:szCs w:val="24"/>
        </w:rPr>
      </w:pPr>
    </w:p>
    <w:p w:rsidR="00BA111F" w:rsidRDefault="00BA111F" w:rsidP="00BA111F">
      <w:pPr>
        <w:pStyle w:val="Prrafodelista"/>
        <w:ind w:left="1080"/>
        <w:jc w:val="both"/>
        <w:rPr>
          <w:rFonts w:ascii="Arial" w:hAnsi="Arial" w:cs="Arial"/>
          <w:b/>
          <w:sz w:val="24"/>
          <w:szCs w:val="24"/>
        </w:rPr>
      </w:pPr>
    </w:p>
    <w:p w:rsidR="00BA111F" w:rsidRDefault="00BA111F" w:rsidP="00BA111F">
      <w:pPr>
        <w:pStyle w:val="Prrafodelista"/>
        <w:ind w:left="1080"/>
        <w:jc w:val="both"/>
        <w:rPr>
          <w:rFonts w:ascii="Arial" w:hAnsi="Arial" w:cs="Arial"/>
          <w:b/>
          <w:sz w:val="24"/>
          <w:szCs w:val="24"/>
        </w:rPr>
      </w:pPr>
    </w:p>
    <w:p w:rsidR="00BA111F" w:rsidRDefault="00BA111F" w:rsidP="00BA111F">
      <w:pPr>
        <w:pStyle w:val="Prrafodelista"/>
        <w:ind w:left="1080"/>
        <w:jc w:val="both"/>
        <w:rPr>
          <w:rFonts w:ascii="Arial" w:hAnsi="Arial" w:cs="Arial"/>
          <w:b/>
          <w:sz w:val="24"/>
          <w:szCs w:val="24"/>
        </w:rPr>
      </w:pPr>
    </w:p>
    <w:p w:rsidR="00BA111F" w:rsidRDefault="00BA111F" w:rsidP="00BA111F">
      <w:pPr>
        <w:pStyle w:val="Prrafodelista"/>
        <w:ind w:left="1080"/>
        <w:jc w:val="both"/>
        <w:rPr>
          <w:rFonts w:ascii="Arial" w:hAnsi="Arial" w:cs="Arial"/>
          <w:b/>
          <w:sz w:val="24"/>
          <w:szCs w:val="24"/>
        </w:rPr>
      </w:pPr>
    </w:p>
    <w:p w:rsidR="00BA111F" w:rsidRDefault="00BA111F" w:rsidP="00BA111F">
      <w:pPr>
        <w:pStyle w:val="Prrafodelista"/>
        <w:ind w:left="1080"/>
        <w:jc w:val="both"/>
        <w:rPr>
          <w:rFonts w:ascii="Arial" w:hAnsi="Arial" w:cs="Arial"/>
          <w:b/>
          <w:sz w:val="24"/>
          <w:szCs w:val="24"/>
        </w:rPr>
      </w:pPr>
    </w:p>
    <w:p w:rsidR="00BA111F" w:rsidRDefault="00BA111F" w:rsidP="00BA111F">
      <w:pPr>
        <w:pStyle w:val="Prrafodelista"/>
        <w:ind w:left="1080"/>
        <w:jc w:val="both"/>
        <w:rPr>
          <w:rFonts w:ascii="Arial" w:hAnsi="Arial" w:cs="Arial"/>
          <w:b/>
          <w:sz w:val="24"/>
          <w:szCs w:val="24"/>
        </w:rPr>
      </w:pPr>
    </w:p>
    <w:p w:rsidR="00BA111F" w:rsidRDefault="00BA111F" w:rsidP="00BA111F">
      <w:pPr>
        <w:pStyle w:val="Prrafodelista"/>
        <w:ind w:left="1080"/>
        <w:jc w:val="both"/>
        <w:rPr>
          <w:rFonts w:ascii="Arial" w:hAnsi="Arial" w:cs="Arial"/>
          <w:b/>
          <w:sz w:val="24"/>
          <w:szCs w:val="24"/>
        </w:rPr>
      </w:pPr>
    </w:p>
    <w:p w:rsidR="00BA111F" w:rsidRDefault="00BA111F" w:rsidP="00BA111F">
      <w:pPr>
        <w:pStyle w:val="Prrafodelista"/>
        <w:ind w:left="1080"/>
        <w:jc w:val="both"/>
        <w:rPr>
          <w:rFonts w:ascii="Arial" w:hAnsi="Arial" w:cs="Arial"/>
          <w:b/>
          <w:sz w:val="24"/>
          <w:szCs w:val="24"/>
        </w:rPr>
      </w:pPr>
    </w:p>
    <w:p w:rsidR="00BA111F" w:rsidRDefault="00BA111F" w:rsidP="00BA111F">
      <w:pPr>
        <w:pStyle w:val="Prrafodelista"/>
        <w:ind w:left="1080"/>
        <w:jc w:val="both"/>
        <w:rPr>
          <w:rFonts w:ascii="Arial" w:hAnsi="Arial" w:cs="Arial"/>
          <w:b/>
          <w:sz w:val="24"/>
          <w:szCs w:val="24"/>
        </w:rPr>
      </w:pPr>
    </w:p>
    <w:p w:rsidR="00BA111F" w:rsidRDefault="00BA111F" w:rsidP="00BA111F">
      <w:pPr>
        <w:pStyle w:val="Prrafodelista"/>
        <w:numPr>
          <w:ilvl w:val="0"/>
          <w:numId w:val="1"/>
        </w:numPr>
        <w:jc w:val="both"/>
        <w:rPr>
          <w:rFonts w:ascii="Arial" w:hAnsi="Arial" w:cs="Arial"/>
          <w:b/>
          <w:sz w:val="24"/>
          <w:szCs w:val="24"/>
        </w:rPr>
      </w:pPr>
      <w:r>
        <w:rPr>
          <w:rFonts w:ascii="Arial" w:hAnsi="Arial" w:cs="Arial"/>
          <w:b/>
          <w:sz w:val="24"/>
          <w:szCs w:val="24"/>
        </w:rPr>
        <w:t>Problemática actual del impuesto predial unificado en Colombia.</w:t>
      </w:r>
    </w:p>
    <w:p w:rsidR="00BA111F" w:rsidRDefault="00BA111F" w:rsidP="00BA111F">
      <w:pPr>
        <w:jc w:val="both"/>
        <w:rPr>
          <w:rFonts w:ascii="Arial" w:hAnsi="Arial" w:cs="Arial"/>
          <w:sz w:val="24"/>
          <w:szCs w:val="24"/>
        </w:rPr>
      </w:pPr>
      <w:r w:rsidRPr="00F25215">
        <w:rPr>
          <w:rFonts w:ascii="Arial" w:hAnsi="Arial" w:cs="Arial"/>
          <w:sz w:val="24"/>
          <w:szCs w:val="24"/>
        </w:rPr>
        <w:t xml:space="preserve">La problemática actual </w:t>
      </w:r>
      <w:r>
        <w:rPr>
          <w:rFonts w:ascii="Arial" w:hAnsi="Arial" w:cs="Arial"/>
          <w:sz w:val="24"/>
          <w:szCs w:val="24"/>
        </w:rPr>
        <w:t>del valor del impuesto predial unificado a nivel nacional se puede dividir en dos.</w:t>
      </w:r>
      <w:r w:rsidRPr="004F04BD">
        <w:rPr>
          <w:rFonts w:ascii="Arial" w:hAnsi="Arial" w:cs="Arial"/>
          <w:b/>
          <w:sz w:val="24"/>
          <w:szCs w:val="24"/>
        </w:rPr>
        <w:t xml:space="preserve"> Primero</w:t>
      </w:r>
      <w:r>
        <w:rPr>
          <w:rFonts w:ascii="Arial" w:hAnsi="Arial" w:cs="Arial"/>
          <w:sz w:val="24"/>
          <w:szCs w:val="24"/>
        </w:rPr>
        <w:t xml:space="preserve">, al incremento desproporcionado del valor del impuesto predial en algunas ciudades del país como Bogotá D.C., sin consideración alguna con la capacidad económica de los sujetos pasivos del mismo, del crecimiento económico, del crecimiento del salario mínimo o de la variación de la tasa de inflación del país y </w:t>
      </w:r>
      <w:r w:rsidRPr="008C044E">
        <w:rPr>
          <w:rFonts w:ascii="Arial" w:hAnsi="Arial" w:cs="Arial"/>
          <w:b/>
          <w:sz w:val="24"/>
          <w:szCs w:val="24"/>
        </w:rPr>
        <w:t>segundo</w:t>
      </w:r>
      <w:r>
        <w:rPr>
          <w:rFonts w:ascii="Arial" w:hAnsi="Arial" w:cs="Arial"/>
          <w:sz w:val="24"/>
          <w:szCs w:val="24"/>
        </w:rPr>
        <w:t xml:space="preserve"> a l</w:t>
      </w:r>
      <w:r w:rsidRPr="005463AD">
        <w:rPr>
          <w:rFonts w:ascii="Arial" w:hAnsi="Arial" w:cs="Arial"/>
          <w:sz w:val="24"/>
          <w:szCs w:val="24"/>
        </w:rPr>
        <w:t>a falta de actualización del 32.4% de predios</w:t>
      </w:r>
      <w:r>
        <w:rPr>
          <w:rFonts w:ascii="Arial" w:hAnsi="Arial" w:cs="Arial"/>
          <w:sz w:val="24"/>
          <w:szCs w:val="24"/>
        </w:rPr>
        <w:t xml:space="preserve"> del país que equivale a 4.846.728 predios, de un total de 10.082.295 predios, a diciembre 31 de 2013</w:t>
      </w:r>
      <w:r>
        <w:rPr>
          <w:rStyle w:val="Refdenotaalpie"/>
          <w:rFonts w:ascii="Arial" w:hAnsi="Arial" w:cs="Arial"/>
          <w:sz w:val="24"/>
          <w:szCs w:val="24"/>
        </w:rPr>
        <w:footnoteReference w:id="13"/>
      </w:r>
      <w:r>
        <w:rPr>
          <w:rFonts w:ascii="Arial" w:hAnsi="Arial" w:cs="Arial"/>
          <w:sz w:val="24"/>
          <w:szCs w:val="24"/>
        </w:rPr>
        <w:t xml:space="preserve">. </w:t>
      </w:r>
    </w:p>
    <w:p w:rsidR="00BA111F" w:rsidRDefault="00BA111F" w:rsidP="00BA111F">
      <w:pPr>
        <w:jc w:val="both"/>
        <w:rPr>
          <w:rFonts w:ascii="Arial" w:hAnsi="Arial" w:cs="Arial"/>
          <w:sz w:val="24"/>
          <w:szCs w:val="24"/>
        </w:rPr>
      </w:pPr>
      <w:r>
        <w:rPr>
          <w:rFonts w:ascii="Arial" w:hAnsi="Arial" w:cs="Arial"/>
          <w:sz w:val="24"/>
          <w:szCs w:val="24"/>
        </w:rPr>
        <w:t>El primer problema se puede decir que ha hecho del impuesto predial un impuesto más regresivo</w:t>
      </w:r>
      <w:r>
        <w:rPr>
          <w:rStyle w:val="Refdenotaalpie"/>
          <w:rFonts w:ascii="Arial" w:hAnsi="Arial" w:cs="Arial"/>
          <w:sz w:val="24"/>
          <w:szCs w:val="24"/>
        </w:rPr>
        <w:footnoteReference w:id="14"/>
      </w:r>
      <w:r>
        <w:rPr>
          <w:rFonts w:ascii="Arial" w:hAnsi="Arial" w:cs="Arial"/>
          <w:sz w:val="24"/>
          <w:szCs w:val="24"/>
        </w:rPr>
        <w:t xml:space="preserve"> en los últimos años. Lo anterior es cierto si se tiene en cuenta que la tasa efectiva de tributación de los propietarios que devenguen un salario mínimo o su pensión, se ha incrementado en una mayor proporción de lo que lo hacen precisamente sus salarios o pensiones.</w:t>
      </w:r>
    </w:p>
    <w:p w:rsidR="00BA111F" w:rsidRPr="00C24EBB" w:rsidRDefault="00BA111F" w:rsidP="00BA111F">
      <w:pPr>
        <w:jc w:val="both"/>
        <w:rPr>
          <w:rFonts w:ascii="Arial" w:hAnsi="Arial" w:cs="Arial"/>
          <w:sz w:val="24"/>
          <w:szCs w:val="24"/>
        </w:rPr>
      </w:pPr>
      <w:r>
        <w:rPr>
          <w:rFonts w:ascii="Arial" w:hAnsi="Arial" w:cs="Arial"/>
          <w:sz w:val="24"/>
          <w:szCs w:val="24"/>
        </w:rPr>
        <w:t xml:space="preserve">De igual forma el incremento desproporcionado del impuesto predial se suma a la ya desproporcionada carga impositiva que tienen que soportar los colombianos y a un malestar generalizado de la sociedad dada la estructura tanto de impuestos </w:t>
      </w:r>
      <w:r w:rsidRPr="00C24EBB">
        <w:rPr>
          <w:rFonts w:ascii="Arial" w:hAnsi="Arial" w:cs="Arial"/>
          <w:sz w:val="24"/>
          <w:szCs w:val="24"/>
        </w:rPr>
        <w:t>nacionales como locales.</w:t>
      </w:r>
    </w:p>
    <w:p w:rsidR="00BA111F" w:rsidRPr="00C24EBB" w:rsidRDefault="00BA111F" w:rsidP="00BA111F">
      <w:pPr>
        <w:jc w:val="both"/>
        <w:rPr>
          <w:rFonts w:ascii="Arial" w:hAnsi="Arial" w:cs="Arial"/>
          <w:sz w:val="24"/>
          <w:szCs w:val="24"/>
        </w:rPr>
      </w:pPr>
    </w:p>
    <w:p w:rsidR="00BA111F" w:rsidRPr="00235EB5" w:rsidRDefault="00BA111F" w:rsidP="00BA111F">
      <w:pPr>
        <w:jc w:val="both"/>
        <w:rPr>
          <w:rFonts w:ascii="Arial" w:hAnsi="Arial" w:cs="Arial"/>
          <w:b/>
          <w:sz w:val="24"/>
          <w:szCs w:val="24"/>
        </w:rPr>
      </w:pPr>
      <w:r w:rsidRPr="00C24EBB">
        <w:rPr>
          <w:rFonts w:ascii="Arial" w:hAnsi="Arial" w:cs="Arial"/>
          <w:b/>
          <w:sz w:val="24"/>
          <w:szCs w:val="24"/>
        </w:rPr>
        <w:t>4.1. Fluctuaciones desproporcionadas del valor del impuesto predial en algunas ciudades del país.</w:t>
      </w:r>
    </w:p>
    <w:p w:rsidR="00BA111F" w:rsidRDefault="00BA111F" w:rsidP="00BA111F">
      <w:pPr>
        <w:pStyle w:val="Prrafodelista"/>
        <w:ind w:left="0"/>
        <w:jc w:val="both"/>
        <w:rPr>
          <w:rFonts w:ascii="Arial" w:hAnsi="Arial" w:cs="Arial"/>
          <w:sz w:val="24"/>
          <w:szCs w:val="24"/>
        </w:rPr>
      </w:pPr>
      <w:r>
        <w:rPr>
          <w:rFonts w:ascii="Arial" w:hAnsi="Arial" w:cs="Arial"/>
          <w:sz w:val="24"/>
          <w:szCs w:val="24"/>
        </w:rPr>
        <w:t xml:space="preserve">En algunas ciudades del país el valor del impuesto predial unificado ha crecido de manera desproporcionada si se compara con </w:t>
      </w:r>
      <w:r w:rsidRPr="00C57A96">
        <w:rPr>
          <w:rFonts w:ascii="Arial" w:hAnsi="Arial" w:cs="Arial"/>
          <w:b/>
          <w:sz w:val="24"/>
          <w:szCs w:val="24"/>
        </w:rPr>
        <w:t>el crecimiento económico en general</w:t>
      </w:r>
      <w:r>
        <w:rPr>
          <w:rFonts w:ascii="Arial" w:hAnsi="Arial" w:cs="Arial"/>
          <w:sz w:val="24"/>
          <w:szCs w:val="24"/>
        </w:rPr>
        <w:t xml:space="preserve">, </w:t>
      </w:r>
      <w:r w:rsidRPr="00C57A96">
        <w:rPr>
          <w:rFonts w:ascii="Arial" w:hAnsi="Arial" w:cs="Arial"/>
          <w:b/>
          <w:sz w:val="24"/>
          <w:szCs w:val="24"/>
        </w:rPr>
        <w:t>el incremento del salario mínimo mensual</w:t>
      </w:r>
      <w:r>
        <w:rPr>
          <w:rFonts w:ascii="Arial" w:hAnsi="Arial" w:cs="Arial"/>
          <w:sz w:val="24"/>
          <w:szCs w:val="24"/>
        </w:rPr>
        <w:t xml:space="preserve"> de los colombianos o el </w:t>
      </w:r>
      <w:r w:rsidRPr="00C57A96">
        <w:rPr>
          <w:rFonts w:ascii="Arial" w:hAnsi="Arial" w:cs="Arial"/>
          <w:b/>
          <w:sz w:val="24"/>
          <w:szCs w:val="24"/>
        </w:rPr>
        <w:t>crecimiento de la inflación</w:t>
      </w:r>
      <w:r>
        <w:rPr>
          <w:rFonts w:ascii="Arial" w:hAnsi="Arial" w:cs="Arial"/>
          <w:sz w:val="24"/>
          <w:szCs w:val="24"/>
        </w:rPr>
        <w:t xml:space="preserve">. </w:t>
      </w:r>
    </w:p>
    <w:p w:rsidR="00BA111F" w:rsidRDefault="00BA111F" w:rsidP="00BA111F">
      <w:pPr>
        <w:pStyle w:val="Prrafodelista"/>
        <w:ind w:left="0"/>
        <w:jc w:val="both"/>
        <w:rPr>
          <w:rFonts w:ascii="Arial" w:hAnsi="Arial" w:cs="Arial"/>
          <w:sz w:val="24"/>
          <w:szCs w:val="24"/>
        </w:rPr>
      </w:pPr>
    </w:p>
    <w:p w:rsidR="00BA111F" w:rsidRPr="004A2411" w:rsidRDefault="00BA111F" w:rsidP="00BA111F">
      <w:pPr>
        <w:pStyle w:val="Prrafodelista"/>
        <w:ind w:left="0"/>
        <w:jc w:val="both"/>
        <w:rPr>
          <w:rFonts w:ascii="Arial" w:hAnsi="Arial" w:cs="Arial"/>
          <w:b/>
          <w:sz w:val="24"/>
          <w:szCs w:val="24"/>
        </w:rPr>
      </w:pPr>
      <w:r>
        <w:rPr>
          <w:rFonts w:ascii="Arial" w:hAnsi="Arial" w:cs="Arial"/>
          <w:sz w:val="24"/>
          <w:szCs w:val="24"/>
        </w:rPr>
        <w:t xml:space="preserve">No hay que olvidar que aunque el impuesto predial es un impuesto eminentemente territorial, este hace parte del sistema impositivo colombiano y </w:t>
      </w:r>
      <w:r w:rsidRPr="004A2411">
        <w:rPr>
          <w:rFonts w:ascii="Arial" w:hAnsi="Arial" w:cs="Arial"/>
          <w:b/>
          <w:sz w:val="24"/>
          <w:szCs w:val="24"/>
        </w:rPr>
        <w:t xml:space="preserve">su desbordado crecimiento está coadyuvando a la ya alta tasa total impositiva que tiene el país de conformidad con el informe </w:t>
      </w:r>
      <w:proofErr w:type="spellStart"/>
      <w:r w:rsidRPr="004A2411">
        <w:rPr>
          <w:rFonts w:ascii="Arial" w:hAnsi="Arial" w:cs="Arial"/>
          <w:b/>
          <w:sz w:val="24"/>
          <w:szCs w:val="24"/>
        </w:rPr>
        <w:t>Paying</w:t>
      </w:r>
      <w:proofErr w:type="spellEnd"/>
      <w:r w:rsidRPr="004A2411">
        <w:rPr>
          <w:rFonts w:ascii="Arial" w:hAnsi="Arial" w:cs="Arial"/>
          <w:b/>
          <w:sz w:val="24"/>
          <w:szCs w:val="24"/>
        </w:rPr>
        <w:t xml:space="preserve"> </w:t>
      </w:r>
      <w:proofErr w:type="spellStart"/>
      <w:r w:rsidRPr="004A2411">
        <w:rPr>
          <w:rFonts w:ascii="Arial" w:hAnsi="Arial" w:cs="Arial"/>
          <w:b/>
          <w:sz w:val="24"/>
          <w:szCs w:val="24"/>
        </w:rPr>
        <w:t>Tax</w:t>
      </w:r>
      <w:r>
        <w:rPr>
          <w:rFonts w:ascii="Arial" w:hAnsi="Arial" w:cs="Arial"/>
          <w:b/>
          <w:sz w:val="24"/>
          <w:szCs w:val="24"/>
        </w:rPr>
        <w:t>es</w:t>
      </w:r>
      <w:proofErr w:type="spellEnd"/>
      <w:r w:rsidRPr="004A2411">
        <w:rPr>
          <w:rFonts w:ascii="Arial" w:hAnsi="Arial" w:cs="Arial"/>
          <w:b/>
          <w:sz w:val="24"/>
          <w:szCs w:val="24"/>
        </w:rPr>
        <w:t xml:space="preserve"> 201</w:t>
      </w:r>
      <w:r>
        <w:rPr>
          <w:rFonts w:ascii="Arial" w:hAnsi="Arial" w:cs="Arial"/>
          <w:b/>
          <w:sz w:val="24"/>
          <w:szCs w:val="24"/>
        </w:rPr>
        <w:t>8</w:t>
      </w:r>
      <w:r w:rsidRPr="004A2411">
        <w:rPr>
          <w:rFonts w:ascii="Arial" w:hAnsi="Arial" w:cs="Arial"/>
          <w:b/>
          <w:sz w:val="24"/>
          <w:szCs w:val="24"/>
        </w:rPr>
        <w:t xml:space="preserve"> realizado por </w:t>
      </w:r>
      <w:proofErr w:type="spellStart"/>
      <w:r w:rsidRPr="004A2411">
        <w:rPr>
          <w:rFonts w:ascii="Arial" w:hAnsi="Arial" w:cs="Arial"/>
          <w:b/>
          <w:sz w:val="24"/>
          <w:szCs w:val="24"/>
        </w:rPr>
        <w:t>PricewaterhouseCoopers</w:t>
      </w:r>
      <w:proofErr w:type="spellEnd"/>
      <w:r w:rsidRPr="004A2411">
        <w:rPr>
          <w:rFonts w:ascii="Arial" w:hAnsi="Arial" w:cs="Arial"/>
          <w:b/>
          <w:sz w:val="24"/>
          <w:szCs w:val="24"/>
        </w:rPr>
        <w:t xml:space="preserve"> y el Banco Mundial, documento que hace parte a su vez del proyecto </w:t>
      </w:r>
      <w:proofErr w:type="spellStart"/>
      <w:r w:rsidRPr="004A2411">
        <w:rPr>
          <w:rFonts w:ascii="Arial" w:hAnsi="Arial" w:cs="Arial"/>
          <w:b/>
          <w:sz w:val="24"/>
          <w:szCs w:val="24"/>
        </w:rPr>
        <w:t>Doing</w:t>
      </w:r>
      <w:proofErr w:type="spellEnd"/>
      <w:r w:rsidRPr="004A2411">
        <w:rPr>
          <w:rFonts w:ascii="Arial" w:hAnsi="Arial" w:cs="Arial"/>
          <w:b/>
          <w:sz w:val="24"/>
          <w:szCs w:val="24"/>
        </w:rPr>
        <w:t xml:space="preserve"> Business de esta entidad multilateral.</w:t>
      </w:r>
    </w:p>
    <w:p w:rsidR="00BA111F" w:rsidRDefault="00BA111F" w:rsidP="00BA111F">
      <w:pPr>
        <w:pStyle w:val="Prrafodelista"/>
        <w:ind w:left="0"/>
        <w:jc w:val="both"/>
        <w:rPr>
          <w:rFonts w:ascii="Arial" w:hAnsi="Arial" w:cs="Arial"/>
          <w:sz w:val="24"/>
          <w:szCs w:val="24"/>
        </w:rPr>
      </w:pPr>
    </w:p>
    <w:p w:rsidR="00BA111F" w:rsidRDefault="00BA111F" w:rsidP="00BA111F">
      <w:pPr>
        <w:pStyle w:val="Prrafodelista"/>
        <w:ind w:left="0"/>
        <w:jc w:val="both"/>
        <w:rPr>
          <w:rFonts w:ascii="Arial" w:hAnsi="Arial" w:cs="Arial"/>
          <w:sz w:val="24"/>
          <w:szCs w:val="24"/>
        </w:rPr>
      </w:pPr>
      <w:r>
        <w:rPr>
          <w:rFonts w:ascii="Arial" w:hAnsi="Arial" w:cs="Arial"/>
          <w:sz w:val="24"/>
          <w:szCs w:val="24"/>
        </w:rPr>
        <w:t xml:space="preserve">Lo anterior, también ha sido reconocido por destacados analistas económicos como el </w:t>
      </w:r>
      <w:proofErr w:type="spellStart"/>
      <w:r>
        <w:rPr>
          <w:rFonts w:ascii="Arial" w:hAnsi="Arial" w:cs="Arial"/>
          <w:sz w:val="24"/>
          <w:szCs w:val="24"/>
        </w:rPr>
        <w:t>exministro</w:t>
      </w:r>
      <w:proofErr w:type="spellEnd"/>
      <w:r>
        <w:rPr>
          <w:rFonts w:ascii="Arial" w:hAnsi="Arial" w:cs="Arial"/>
          <w:sz w:val="24"/>
          <w:szCs w:val="24"/>
        </w:rPr>
        <w:t xml:space="preserve"> de Agricultura, Hacienda y de Minas Juan Camilo Restrepo Salazar</w:t>
      </w:r>
      <w:r>
        <w:rPr>
          <w:rStyle w:val="Refdenotaalpie"/>
          <w:rFonts w:ascii="Arial" w:hAnsi="Arial" w:cs="Arial"/>
          <w:sz w:val="24"/>
          <w:szCs w:val="24"/>
        </w:rPr>
        <w:footnoteReference w:id="15"/>
      </w:r>
      <w:r>
        <w:rPr>
          <w:rFonts w:ascii="Arial" w:hAnsi="Arial" w:cs="Arial"/>
          <w:sz w:val="24"/>
          <w:szCs w:val="24"/>
        </w:rPr>
        <w:t xml:space="preserve"> quien manifestó que “</w:t>
      </w:r>
      <w:r w:rsidRPr="007104A5">
        <w:rPr>
          <w:rFonts w:ascii="Arial" w:hAnsi="Arial" w:cs="Arial"/>
          <w:i/>
          <w:sz w:val="24"/>
          <w:szCs w:val="24"/>
        </w:rPr>
        <w:t>entre predial e impuesto a la riqueza, las clases medias soportan un doble y costoso tributo sobre su patrimonio inmobiliario</w:t>
      </w:r>
      <w:r>
        <w:rPr>
          <w:rFonts w:ascii="Arial" w:hAnsi="Arial" w:cs="Arial"/>
          <w:sz w:val="24"/>
          <w:szCs w:val="24"/>
        </w:rPr>
        <w:t xml:space="preserve">” y el </w:t>
      </w:r>
      <w:proofErr w:type="spellStart"/>
      <w:r>
        <w:rPr>
          <w:rFonts w:ascii="Arial" w:hAnsi="Arial" w:cs="Arial"/>
          <w:sz w:val="24"/>
          <w:szCs w:val="24"/>
        </w:rPr>
        <w:t>exministro</w:t>
      </w:r>
      <w:proofErr w:type="spellEnd"/>
      <w:r>
        <w:rPr>
          <w:rFonts w:ascii="Arial" w:hAnsi="Arial" w:cs="Arial"/>
          <w:sz w:val="24"/>
          <w:szCs w:val="24"/>
        </w:rPr>
        <w:t xml:space="preserve"> de Trabajo y Seguridad Social Jaime Pinzón López</w:t>
      </w:r>
      <w:r>
        <w:rPr>
          <w:rStyle w:val="Refdenotaalpie"/>
          <w:rFonts w:ascii="Arial" w:hAnsi="Arial" w:cs="Arial"/>
          <w:sz w:val="24"/>
          <w:szCs w:val="24"/>
        </w:rPr>
        <w:footnoteReference w:id="16"/>
      </w:r>
      <w:r>
        <w:rPr>
          <w:rFonts w:ascii="Arial" w:hAnsi="Arial" w:cs="Arial"/>
          <w:sz w:val="24"/>
          <w:szCs w:val="24"/>
        </w:rPr>
        <w:t xml:space="preserve"> quien a su turno opino que “</w:t>
      </w:r>
      <w:r w:rsidRPr="007104A5">
        <w:rPr>
          <w:rFonts w:ascii="Arial" w:hAnsi="Arial" w:cs="Arial"/>
          <w:i/>
          <w:sz w:val="24"/>
          <w:szCs w:val="24"/>
        </w:rPr>
        <w:t>el impuesto predial que afecta el patrimonio se ha vuelto impagable, confiscatorio…</w:t>
      </w:r>
      <w:r>
        <w:rPr>
          <w:rFonts w:ascii="Arial" w:hAnsi="Arial" w:cs="Arial"/>
          <w:sz w:val="24"/>
          <w:szCs w:val="24"/>
        </w:rPr>
        <w:t xml:space="preserve">”. </w:t>
      </w:r>
    </w:p>
    <w:p w:rsidR="00BA111F" w:rsidRDefault="00BA111F" w:rsidP="00BA111F">
      <w:pPr>
        <w:pStyle w:val="Prrafodelista"/>
        <w:ind w:left="0"/>
        <w:jc w:val="both"/>
        <w:rPr>
          <w:rFonts w:ascii="Arial" w:hAnsi="Arial" w:cs="Arial"/>
          <w:sz w:val="24"/>
          <w:szCs w:val="24"/>
        </w:rPr>
      </w:pPr>
    </w:p>
    <w:p w:rsidR="00BA111F" w:rsidRDefault="00BA111F" w:rsidP="00BA111F">
      <w:pPr>
        <w:pStyle w:val="Prrafodelista"/>
        <w:ind w:left="0"/>
        <w:jc w:val="both"/>
        <w:rPr>
          <w:rFonts w:ascii="Arial" w:hAnsi="Arial" w:cs="Arial"/>
          <w:sz w:val="24"/>
          <w:szCs w:val="24"/>
        </w:rPr>
      </w:pPr>
    </w:p>
    <w:p w:rsidR="00BA111F" w:rsidRDefault="00BA111F" w:rsidP="00BA111F">
      <w:pPr>
        <w:pStyle w:val="Prrafodelista"/>
        <w:ind w:left="0"/>
        <w:jc w:val="both"/>
        <w:rPr>
          <w:rFonts w:ascii="Arial" w:hAnsi="Arial" w:cs="Arial"/>
          <w:sz w:val="24"/>
          <w:szCs w:val="24"/>
        </w:rPr>
      </w:pPr>
    </w:p>
    <w:p w:rsidR="00BA111F" w:rsidRDefault="00BA111F" w:rsidP="00BA111F">
      <w:pPr>
        <w:pStyle w:val="Prrafodelista"/>
        <w:ind w:left="0"/>
        <w:jc w:val="both"/>
        <w:rPr>
          <w:rFonts w:ascii="Arial" w:hAnsi="Arial" w:cs="Arial"/>
          <w:sz w:val="24"/>
          <w:szCs w:val="24"/>
        </w:rPr>
      </w:pPr>
    </w:p>
    <w:p w:rsidR="00BA111F" w:rsidRPr="005B3B8B" w:rsidRDefault="00BA111F" w:rsidP="00BA111F">
      <w:pPr>
        <w:pStyle w:val="Prrafodelista"/>
        <w:ind w:left="0"/>
        <w:jc w:val="both"/>
        <w:rPr>
          <w:rFonts w:ascii="Arial" w:hAnsi="Arial" w:cs="Arial"/>
          <w:b/>
          <w:sz w:val="24"/>
          <w:szCs w:val="24"/>
        </w:rPr>
      </w:pPr>
      <w:r w:rsidRPr="005B3B8B">
        <w:rPr>
          <w:rFonts w:ascii="Arial" w:hAnsi="Arial" w:cs="Arial"/>
          <w:b/>
          <w:sz w:val="24"/>
          <w:szCs w:val="24"/>
        </w:rPr>
        <w:t xml:space="preserve">EL IMPUESTO PREDIAL </w:t>
      </w:r>
      <w:r>
        <w:rPr>
          <w:rFonts w:ascii="Arial" w:hAnsi="Arial" w:cs="Arial"/>
          <w:b/>
          <w:sz w:val="24"/>
          <w:szCs w:val="24"/>
        </w:rPr>
        <w:t xml:space="preserve">EN BOGOTÁ D.C. </w:t>
      </w:r>
      <w:r w:rsidRPr="005B3B8B">
        <w:rPr>
          <w:rFonts w:ascii="Arial" w:hAnsi="Arial" w:cs="Arial"/>
          <w:b/>
          <w:sz w:val="24"/>
          <w:szCs w:val="24"/>
        </w:rPr>
        <w:t>COMPARADO CON EL CRECIMIENTO ECONÓMICO EN GENERAL, EL INCREME</w:t>
      </w:r>
      <w:r>
        <w:rPr>
          <w:rFonts w:ascii="Arial" w:hAnsi="Arial" w:cs="Arial"/>
          <w:b/>
          <w:sz w:val="24"/>
          <w:szCs w:val="24"/>
        </w:rPr>
        <w:t>NTO DEL SALARIO MÍNIMO MENSUAL Y</w:t>
      </w:r>
      <w:r w:rsidRPr="005B3B8B">
        <w:rPr>
          <w:rFonts w:ascii="Arial" w:hAnsi="Arial" w:cs="Arial"/>
          <w:b/>
          <w:sz w:val="24"/>
          <w:szCs w:val="24"/>
        </w:rPr>
        <w:t xml:space="preserve"> EL CRECIMIENTO DE LA INFLACIÓN. </w:t>
      </w:r>
    </w:p>
    <w:p w:rsidR="00BA111F" w:rsidRDefault="00BA111F" w:rsidP="00BA111F">
      <w:pPr>
        <w:pStyle w:val="Prrafodelista"/>
        <w:ind w:left="0"/>
        <w:jc w:val="both"/>
        <w:rPr>
          <w:rFonts w:ascii="Arial" w:hAnsi="Arial" w:cs="Arial"/>
          <w:sz w:val="24"/>
          <w:szCs w:val="24"/>
        </w:rPr>
      </w:pPr>
    </w:p>
    <w:p w:rsidR="00BA111F" w:rsidRDefault="00BA111F" w:rsidP="00BA111F">
      <w:pPr>
        <w:pStyle w:val="Prrafodelista"/>
        <w:ind w:left="0"/>
        <w:jc w:val="both"/>
        <w:rPr>
          <w:rFonts w:ascii="Arial" w:hAnsi="Arial" w:cs="Arial"/>
          <w:sz w:val="24"/>
          <w:szCs w:val="24"/>
        </w:rPr>
      </w:pPr>
      <w:r>
        <w:rPr>
          <w:rFonts w:ascii="Arial" w:hAnsi="Arial" w:cs="Arial"/>
          <w:sz w:val="24"/>
          <w:szCs w:val="24"/>
        </w:rPr>
        <w:t>Un claro ejemplo del desproporcionado incremento del impuesto predial unificado en los últimos años lo representa el caso de la ciudad de Bogotá D.C. Así por ejemplo mientras para el año 2000 el recaudo del impuesto predial unificado en la ciudad alcanzaba los COP$ 372.922.015.000, para el año 2015 este recaudo se había multiplicado por 6 hasta alcanzar COP$2.287.179.263.000</w:t>
      </w:r>
    </w:p>
    <w:p w:rsidR="00BA111F" w:rsidRDefault="00BA111F" w:rsidP="00BA111F">
      <w:pPr>
        <w:pStyle w:val="Prrafodelista"/>
        <w:ind w:left="0"/>
        <w:jc w:val="both"/>
        <w:rPr>
          <w:rFonts w:ascii="Arial" w:hAnsi="Arial" w:cs="Arial"/>
          <w:sz w:val="24"/>
          <w:szCs w:val="24"/>
        </w:rPr>
      </w:pPr>
    </w:p>
    <w:p w:rsidR="00BA111F" w:rsidRDefault="00BA111F" w:rsidP="00BA111F">
      <w:pPr>
        <w:pStyle w:val="Prrafodelista"/>
        <w:ind w:left="0"/>
        <w:jc w:val="center"/>
        <w:rPr>
          <w:noProof/>
          <w:lang w:eastAsia="es-CO"/>
        </w:rPr>
      </w:pPr>
      <w:r>
        <w:rPr>
          <w:noProof/>
          <w:lang w:eastAsia="es-CO"/>
        </w:rPr>
        <w:lastRenderedPageBreak/>
        <w:drawing>
          <wp:inline distT="0" distB="0" distL="0" distR="0" wp14:anchorId="4EEE5F6A" wp14:editId="29CF3B3A">
            <wp:extent cx="4320000" cy="2340000"/>
            <wp:effectExtent l="0" t="0" r="0"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noProof/>
          <w:lang w:eastAsia="es-CO"/>
        </w:rPr>
        <w:t xml:space="preserve"> </w:t>
      </w:r>
    </w:p>
    <w:p w:rsidR="00BA111F" w:rsidRDefault="00BA111F" w:rsidP="00BA111F">
      <w:pPr>
        <w:pStyle w:val="Prrafodelista"/>
        <w:ind w:left="0"/>
        <w:jc w:val="center"/>
        <w:rPr>
          <w:rFonts w:ascii="Arial" w:hAnsi="Arial" w:cs="Arial"/>
          <w:sz w:val="24"/>
          <w:szCs w:val="24"/>
        </w:rPr>
      </w:pPr>
    </w:p>
    <w:p w:rsidR="00BA111F" w:rsidRDefault="00BA111F" w:rsidP="00BA111F">
      <w:pPr>
        <w:pStyle w:val="Prrafodelista"/>
        <w:ind w:left="0"/>
        <w:jc w:val="both"/>
        <w:rPr>
          <w:rFonts w:ascii="Arial" w:hAnsi="Arial" w:cs="Arial"/>
          <w:sz w:val="16"/>
          <w:szCs w:val="16"/>
        </w:rPr>
      </w:pPr>
      <w:r>
        <w:rPr>
          <w:rFonts w:ascii="Arial" w:hAnsi="Arial" w:cs="Arial"/>
          <w:sz w:val="16"/>
          <w:szCs w:val="16"/>
        </w:rPr>
        <w:t xml:space="preserve">            Fuente: Cálculos propios con base en información de la Secretaria de Hacienda de Bogotá D.C. </w:t>
      </w:r>
    </w:p>
    <w:p w:rsidR="00BA111F" w:rsidRPr="00B73AEC" w:rsidRDefault="00BA111F" w:rsidP="00BA111F">
      <w:pPr>
        <w:pStyle w:val="Prrafodelista"/>
        <w:ind w:left="0"/>
        <w:jc w:val="both"/>
        <w:rPr>
          <w:rFonts w:ascii="Arial" w:hAnsi="Arial" w:cs="Arial"/>
          <w:sz w:val="16"/>
          <w:szCs w:val="16"/>
        </w:rPr>
      </w:pPr>
    </w:p>
    <w:p w:rsidR="00BA111F" w:rsidRDefault="00BA111F" w:rsidP="00BA111F">
      <w:pPr>
        <w:pStyle w:val="Prrafodelista"/>
        <w:ind w:left="0"/>
        <w:jc w:val="both"/>
        <w:rPr>
          <w:rFonts w:ascii="Arial" w:hAnsi="Arial" w:cs="Arial"/>
          <w:sz w:val="24"/>
          <w:szCs w:val="24"/>
        </w:rPr>
      </w:pPr>
      <w:r>
        <w:rPr>
          <w:rFonts w:ascii="Arial" w:hAnsi="Arial" w:cs="Arial"/>
          <w:sz w:val="24"/>
          <w:szCs w:val="24"/>
        </w:rPr>
        <w:t xml:space="preserve">En la siguientes graficas se puede apreciar el comportamiento del recaudo del </w:t>
      </w:r>
      <w:r w:rsidRPr="00C24EBB">
        <w:rPr>
          <w:rFonts w:ascii="Arial" w:hAnsi="Arial" w:cs="Arial"/>
          <w:sz w:val="24"/>
          <w:szCs w:val="24"/>
        </w:rPr>
        <w:t>impuesto predial unificado en Bogotá D.C., desde el año 2008 hasta el año 2015, comparado con el crecimiento del Producto Interno Bruto nominal de la economía nacional, el crecimiento del salario mínimo legal mensual vigente y la inflación nacional</w:t>
      </w:r>
      <w:r w:rsidRPr="00C24EBB">
        <w:rPr>
          <w:rStyle w:val="Refdenotaalpie"/>
          <w:rFonts w:ascii="Arial" w:hAnsi="Arial" w:cs="Arial"/>
          <w:sz w:val="24"/>
          <w:szCs w:val="24"/>
        </w:rPr>
        <w:footnoteReference w:id="17"/>
      </w:r>
      <w:r w:rsidRPr="00C24EBB">
        <w:rPr>
          <w:rFonts w:ascii="Arial" w:hAnsi="Arial" w:cs="Arial"/>
          <w:sz w:val="24"/>
          <w:szCs w:val="24"/>
        </w:rPr>
        <w:t>.</w:t>
      </w:r>
    </w:p>
    <w:p w:rsidR="00BA111F" w:rsidRDefault="00BA111F" w:rsidP="00BA111F">
      <w:pPr>
        <w:pStyle w:val="Prrafodelista"/>
        <w:ind w:left="0"/>
        <w:jc w:val="both"/>
        <w:rPr>
          <w:rFonts w:ascii="Arial" w:hAnsi="Arial" w:cs="Arial"/>
          <w:sz w:val="24"/>
          <w:szCs w:val="24"/>
        </w:rPr>
      </w:pPr>
    </w:p>
    <w:p w:rsidR="00BA111F" w:rsidRDefault="00BA111F" w:rsidP="00BA111F">
      <w:pPr>
        <w:pStyle w:val="Prrafodelista"/>
        <w:ind w:left="0"/>
        <w:jc w:val="center"/>
        <w:rPr>
          <w:rFonts w:ascii="Arial" w:hAnsi="Arial" w:cs="Arial"/>
          <w:sz w:val="24"/>
          <w:szCs w:val="24"/>
        </w:rPr>
      </w:pPr>
      <w:r>
        <w:rPr>
          <w:noProof/>
          <w:lang w:eastAsia="es-CO"/>
        </w:rPr>
        <w:drawing>
          <wp:inline distT="0" distB="0" distL="0" distR="0" wp14:anchorId="0E1FF21F" wp14:editId="7A983EC3">
            <wp:extent cx="4320000" cy="2341058"/>
            <wp:effectExtent l="0" t="0" r="4445" b="2540"/>
            <wp:docPr id="29" name="Gráfico 29">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FF871D73-1EA1-4C73-AD61-46EB210D0D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A111F" w:rsidRDefault="00BA111F" w:rsidP="00BA111F">
      <w:pPr>
        <w:pStyle w:val="Prrafodelista"/>
        <w:ind w:left="0"/>
        <w:jc w:val="both"/>
        <w:rPr>
          <w:rFonts w:ascii="Arial" w:hAnsi="Arial" w:cs="Arial"/>
          <w:sz w:val="24"/>
          <w:szCs w:val="24"/>
        </w:rPr>
      </w:pPr>
      <w:r>
        <w:rPr>
          <w:rFonts w:ascii="Arial" w:hAnsi="Arial" w:cs="Arial"/>
          <w:sz w:val="16"/>
          <w:szCs w:val="16"/>
        </w:rPr>
        <w:t xml:space="preserve">                       Fuente: Cálculos propios con base en información de la Secretaria de Hacienda de Bogotá D.C., DANE.</w:t>
      </w:r>
    </w:p>
    <w:p w:rsidR="00BA111F" w:rsidRDefault="00BA111F" w:rsidP="00BA111F">
      <w:pPr>
        <w:jc w:val="both"/>
        <w:rPr>
          <w:rFonts w:ascii="Arial" w:hAnsi="Arial" w:cs="Arial"/>
          <w:sz w:val="24"/>
          <w:szCs w:val="24"/>
        </w:rPr>
      </w:pPr>
      <w:r>
        <w:rPr>
          <w:rFonts w:ascii="Arial" w:hAnsi="Arial" w:cs="Arial"/>
          <w:sz w:val="24"/>
          <w:szCs w:val="24"/>
        </w:rPr>
        <w:t xml:space="preserve">Como se puede apreciar en la gráfica anterior, </w:t>
      </w:r>
      <w:r w:rsidRPr="009354CE">
        <w:rPr>
          <w:rFonts w:ascii="Arial" w:hAnsi="Arial" w:cs="Arial"/>
          <w:b/>
          <w:sz w:val="24"/>
          <w:szCs w:val="24"/>
        </w:rPr>
        <w:t>mientras la tas</w:t>
      </w:r>
      <w:r>
        <w:rPr>
          <w:rFonts w:ascii="Arial" w:hAnsi="Arial" w:cs="Arial"/>
          <w:b/>
          <w:sz w:val="24"/>
          <w:szCs w:val="24"/>
        </w:rPr>
        <w:t>a</w:t>
      </w:r>
      <w:r w:rsidRPr="009354CE">
        <w:rPr>
          <w:rFonts w:ascii="Arial" w:hAnsi="Arial" w:cs="Arial"/>
          <w:b/>
          <w:sz w:val="24"/>
          <w:szCs w:val="24"/>
        </w:rPr>
        <w:t xml:space="preserve"> de crecimiento promedio 2008-201</w:t>
      </w:r>
      <w:r>
        <w:rPr>
          <w:rFonts w:ascii="Arial" w:hAnsi="Arial" w:cs="Arial"/>
          <w:b/>
          <w:sz w:val="24"/>
          <w:szCs w:val="24"/>
        </w:rPr>
        <w:t>5</w:t>
      </w:r>
      <w:r w:rsidRPr="009354CE">
        <w:rPr>
          <w:rFonts w:ascii="Arial" w:hAnsi="Arial" w:cs="Arial"/>
          <w:b/>
          <w:sz w:val="24"/>
          <w:szCs w:val="24"/>
        </w:rPr>
        <w:t xml:space="preserve"> del recaudo del impuesto predial e</w:t>
      </w:r>
      <w:r>
        <w:rPr>
          <w:rFonts w:ascii="Arial" w:hAnsi="Arial" w:cs="Arial"/>
          <w:b/>
          <w:sz w:val="24"/>
          <w:szCs w:val="24"/>
        </w:rPr>
        <w:t xml:space="preserve">n Bogotá D.C. fue de </w:t>
      </w:r>
      <w:r>
        <w:rPr>
          <w:rFonts w:ascii="Arial" w:hAnsi="Arial" w:cs="Arial"/>
          <w:b/>
          <w:sz w:val="24"/>
          <w:szCs w:val="24"/>
        </w:rPr>
        <w:lastRenderedPageBreak/>
        <w:t>un 17.44</w:t>
      </w:r>
      <w:r w:rsidRPr="009354CE">
        <w:rPr>
          <w:rFonts w:ascii="Arial" w:hAnsi="Arial" w:cs="Arial"/>
          <w:b/>
          <w:sz w:val="24"/>
          <w:szCs w:val="24"/>
        </w:rPr>
        <w:t xml:space="preserve">%, la tasa de crecimiento </w:t>
      </w:r>
      <w:r>
        <w:rPr>
          <w:rFonts w:ascii="Arial" w:hAnsi="Arial" w:cs="Arial"/>
          <w:b/>
          <w:sz w:val="24"/>
          <w:szCs w:val="24"/>
        </w:rPr>
        <w:t xml:space="preserve">promedio </w:t>
      </w:r>
      <w:r w:rsidRPr="009354CE">
        <w:rPr>
          <w:rFonts w:ascii="Arial" w:hAnsi="Arial" w:cs="Arial"/>
          <w:b/>
          <w:sz w:val="24"/>
          <w:szCs w:val="24"/>
        </w:rPr>
        <w:t xml:space="preserve">del Salario Mínimo Legal Mensual Vigente </w:t>
      </w:r>
      <w:r>
        <w:rPr>
          <w:rFonts w:ascii="Arial" w:hAnsi="Arial" w:cs="Arial"/>
          <w:b/>
          <w:sz w:val="24"/>
          <w:szCs w:val="24"/>
        </w:rPr>
        <w:t>fue de tan solo un 5,08</w:t>
      </w:r>
      <w:r w:rsidRPr="009354CE">
        <w:rPr>
          <w:rFonts w:ascii="Arial" w:hAnsi="Arial" w:cs="Arial"/>
          <w:b/>
          <w:sz w:val="24"/>
          <w:szCs w:val="24"/>
        </w:rPr>
        <w:t>%</w:t>
      </w:r>
      <w:r>
        <w:rPr>
          <w:rFonts w:ascii="Arial" w:hAnsi="Arial" w:cs="Arial"/>
          <w:sz w:val="24"/>
          <w:szCs w:val="24"/>
        </w:rPr>
        <w:t>. Como se puede observar, la tendencia del recaudo del impuesto predial es al alza, mientras la del crecimiento del salario mínimo mensual es a la baja.</w:t>
      </w:r>
    </w:p>
    <w:p w:rsidR="00BA111F" w:rsidRDefault="00BA111F" w:rsidP="00BA111F">
      <w:pPr>
        <w:pStyle w:val="Prrafodelista"/>
        <w:ind w:left="0"/>
        <w:jc w:val="center"/>
        <w:rPr>
          <w:rFonts w:ascii="Arial" w:hAnsi="Arial" w:cs="Arial"/>
          <w:sz w:val="24"/>
          <w:szCs w:val="24"/>
        </w:rPr>
      </w:pPr>
      <w:r>
        <w:rPr>
          <w:noProof/>
          <w:lang w:eastAsia="es-CO"/>
        </w:rPr>
        <w:drawing>
          <wp:inline distT="0" distB="0" distL="0" distR="0" wp14:anchorId="3DACC530" wp14:editId="28159024">
            <wp:extent cx="4320000" cy="2340000"/>
            <wp:effectExtent l="0" t="0" r="4445" b="3175"/>
            <wp:docPr id="27" name="Gráfico 2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FF871D73-1EA1-4C73-AD61-46EB210D0D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A111F" w:rsidRDefault="00BA111F" w:rsidP="00BA111F">
      <w:pPr>
        <w:jc w:val="both"/>
        <w:rPr>
          <w:rFonts w:ascii="Arial" w:hAnsi="Arial" w:cs="Arial"/>
          <w:sz w:val="24"/>
          <w:szCs w:val="24"/>
        </w:rPr>
      </w:pPr>
      <w:r>
        <w:rPr>
          <w:rFonts w:ascii="Arial" w:hAnsi="Arial" w:cs="Arial"/>
          <w:sz w:val="16"/>
          <w:szCs w:val="16"/>
        </w:rPr>
        <w:t xml:space="preserve">                        Fuente: Cálculos propios con base en información de la Secretaria de Hacienda de Bogotá D.C., DANE.</w:t>
      </w:r>
    </w:p>
    <w:p w:rsidR="00BA111F" w:rsidRDefault="00BA111F" w:rsidP="00BA111F">
      <w:pPr>
        <w:jc w:val="both"/>
        <w:rPr>
          <w:rFonts w:ascii="Arial" w:hAnsi="Arial" w:cs="Arial"/>
          <w:sz w:val="24"/>
          <w:szCs w:val="24"/>
        </w:rPr>
      </w:pPr>
      <w:r w:rsidRPr="00343FF1">
        <w:rPr>
          <w:rFonts w:ascii="Arial" w:hAnsi="Arial" w:cs="Arial"/>
          <w:sz w:val="24"/>
          <w:szCs w:val="24"/>
        </w:rPr>
        <w:t xml:space="preserve">Si se compara con el crecimiento nominal del Producto Interno Bruto Nacional, </w:t>
      </w:r>
      <w:r w:rsidRPr="00343FF1">
        <w:rPr>
          <w:rFonts w:ascii="Arial" w:hAnsi="Arial" w:cs="Arial"/>
          <w:b/>
          <w:sz w:val="24"/>
          <w:szCs w:val="24"/>
        </w:rPr>
        <w:t>mientras la tasa de crecimiento promedio 2008-201</w:t>
      </w:r>
      <w:r>
        <w:rPr>
          <w:rFonts w:ascii="Arial" w:hAnsi="Arial" w:cs="Arial"/>
          <w:b/>
          <w:sz w:val="24"/>
          <w:szCs w:val="24"/>
        </w:rPr>
        <w:t>5</w:t>
      </w:r>
      <w:r w:rsidRPr="00343FF1">
        <w:rPr>
          <w:rFonts w:ascii="Arial" w:hAnsi="Arial" w:cs="Arial"/>
          <w:b/>
          <w:sz w:val="24"/>
          <w:szCs w:val="24"/>
        </w:rPr>
        <w:t xml:space="preserve"> del recaudo del impuesto predial en Bogotá D.C. fue de un 17.44%, el del PIB nominal fue de tan solo un 8,</w:t>
      </w:r>
      <w:r>
        <w:rPr>
          <w:rFonts w:ascii="Arial" w:hAnsi="Arial" w:cs="Arial"/>
          <w:b/>
          <w:sz w:val="24"/>
          <w:szCs w:val="24"/>
        </w:rPr>
        <w:t>06</w:t>
      </w:r>
      <w:r w:rsidRPr="00343FF1">
        <w:rPr>
          <w:rFonts w:ascii="Arial" w:hAnsi="Arial" w:cs="Arial"/>
          <w:b/>
          <w:sz w:val="24"/>
          <w:szCs w:val="24"/>
        </w:rPr>
        <w:t>% (la mitad)</w:t>
      </w:r>
      <w:r w:rsidRPr="00343FF1">
        <w:rPr>
          <w:rFonts w:ascii="Arial" w:hAnsi="Arial" w:cs="Arial"/>
          <w:sz w:val="24"/>
          <w:szCs w:val="24"/>
        </w:rPr>
        <w:t>, además de las tendencias opuestas que también se repiten en cada una de las series por separado.</w:t>
      </w:r>
      <w:r>
        <w:rPr>
          <w:rFonts w:ascii="Arial" w:hAnsi="Arial" w:cs="Arial"/>
          <w:sz w:val="24"/>
          <w:szCs w:val="24"/>
        </w:rPr>
        <w:t xml:space="preserve"> </w:t>
      </w:r>
    </w:p>
    <w:p w:rsidR="00BA111F" w:rsidRDefault="00BA111F" w:rsidP="00BA111F">
      <w:pPr>
        <w:jc w:val="center"/>
        <w:rPr>
          <w:rFonts w:ascii="Arial" w:hAnsi="Arial" w:cs="Arial"/>
          <w:sz w:val="24"/>
          <w:szCs w:val="24"/>
        </w:rPr>
      </w:pPr>
      <w:r>
        <w:rPr>
          <w:noProof/>
          <w:lang w:eastAsia="es-CO"/>
        </w:rPr>
        <w:drawing>
          <wp:inline distT="0" distB="0" distL="0" distR="0" wp14:anchorId="5E47766A" wp14:editId="7696A954">
            <wp:extent cx="4320000" cy="2350584"/>
            <wp:effectExtent l="0" t="0" r="4445" b="0"/>
            <wp:docPr id="30" name="Gráfico 30">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F09B7EE1-BCE7-46B0-AA64-8AEE5F3191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A111F" w:rsidRDefault="00BA111F" w:rsidP="00BA111F">
      <w:pPr>
        <w:jc w:val="both"/>
        <w:rPr>
          <w:rFonts w:ascii="Arial" w:hAnsi="Arial" w:cs="Arial"/>
          <w:sz w:val="24"/>
          <w:szCs w:val="24"/>
        </w:rPr>
      </w:pPr>
      <w:r>
        <w:rPr>
          <w:rFonts w:ascii="Arial" w:hAnsi="Arial" w:cs="Arial"/>
          <w:sz w:val="16"/>
          <w:szCs w:val="16"/>
        </w:rPr>
        <w:t xml:space="preserve">                    Fuente: Cálculos propios con base en información de la Secretaria de Hacienda de Bogotá D.C., DANE.</w:t>
      </w:r>
    </w:p>
    <w:p w:rsidR="00BA111F" w:rsidRDefault="00BA111F" w:rsidP="00BA111F">
      <w:pPr>
        <w:jc w:val="both"/>
        <w:rPr>
          <w:rFonts w:ascii="Arial" w:hAnsi="Arial" w:cs="Arial"/>
          <w:b/>
          <w:sz w:val="24"/>
          <w:szCs w:val="24"/>
        </w:rPr>
      </w:pPr>
      <w:r>
        <w:rPr>
          <w:rFonts w:ascii="Arial" w:hAnsi="Arial" w:cs="Arial"/>
          <w:sz w:val="24"/>
          <w:szCs w:val="24"/>
        </w:rPr>
        <w:lastRenderedPageBreak/>
        <w:t xml:space="preserve">Por último, si se compara el comportamiento del recaudo del impuesto predial en Bogotá D.C., del año 2008 al año 2015 con el comportamiento de la inflación nacional, se puede observar que </w:t>
      </w:r>
      <w:r w:rsidRPr="009354CE">
        <w:rPr>
          <w:rFonts w:ascii="Arial" w:hAnsi="Arial" w:cs="Arial"/>
          <w:b/>
          <w:sz w:val="24"/>
          <w:szCs w:val="24"/>
        </w:rPr>
        <w:t>mientras la tase de crecimiento promedio 2008-2013 del recaudo del impuesto</w:t>
      </w:r>
      <w:r>
        <w:rPr>
          <w:rFonts w:ascii="Arial" w:hAnsi="Arial" w:cs="Arial"/>
          <w:b/>
          <w:sz w:val="24"/>
          <w:szCs w:val="24"/>
        </w:rPr>
        <w:t xml:space="preserve"> predial en Bogotá D.C. fue de</w:t>
      </w:r>
      <w:r w:rsidRPr="009354CE">
        <w:rPr>
          <w:rFonts w:ascii="Arial" w:hAnsi="Arial" w:cs="Arial"/>
          <w:b/>
          <w:sz w:val="24"/>
          <w:szCs w:val="24"/>
        </w:rPr>
        <w:t xml:space="preserve"> un 1</w:t>
      </w:r>
      <w:r>
        <w:rPr>
          <w:rFonts w:ascii="Arial" w:hAnsi="Arial" w:cs="Arial"/>
          <w:b/>
          <w:sz w:val="24"/>
          <w:szCs w:val="24"/>
        </w:rPr>
        <w:t>7.44</w:t>
      </w:r>
      <w:r w:rsidRPr="009354CE">
        <w:rPr>
          <w:rFonts w:ascii="Arial" w:hAnsi="Arial" w:cs="Arial"/>
          <w:b/>
          <w:sz w:val="24"/>
          <w:szCs w:val="24"/>
        </w:rPr>
        <w:t>%</w:t>
      </w:r>
      <w:r>
        <w:rPr>
          <w:rFonts w:ascii="Arial" w:hAnsi="Arial" w:cs="Arial"/>
          <w:b/>
          <w:sz w:val="24"/>
          <w:szCs w:val="24"/>
        </w:rPr>
        <w:t xml:space="preserve">, </w:t>
      </w:r>
      <w:r w:rsidRPr="009354CE">
        <w:rPr>
          <w:rFonts w:ascii="Arial" w:hAnsi="Arial" w:cs="Arial"/>
          <w:b/>
          <w:sz w:val="24"/>
          <w:szCs w:val="24"/>
        </w:rPr>
        <w:t xml:space="preserve">la tasa de inflación promedio del país medida por la variación en el IPC </w:t>
      </w:r>
      <w:r>
        <w:rPr>
          <w:rFonts w:ascii="Arial" w:hAnsi="Arial" w:cs="Arial"/>
          <w:b/>
          <w:sz w:val="24"/>
          <w:szCs w:val="24"/>
        </w:rPr>
        <w:t>fue de únicamente un 3,92 %.</w:t>
      </w:r>
    </w:p>
    <w:p w:rsidR="00BA111F" w:rsidRDefault="00BA111F" w:rsidP="00BA111F">
      <w:pPr>
        <w:jc w:val="both"/>
        <w:rPr>
          <w:rFonts w:ascii="Arial" w:hAnsi="Arial" w:cs="Arial"/>
          <w:sz w:val="24"/>
          <w:szCs w:val="24"/>
        </w:rPr>
      </w:pPr>
      <w:r>
        <w:rPr>
          <w:rFonts w:ascii="Arial" w:hAnsi="Arial" w:cs="Arial"/>
          <w:sz w:val="24"/>
          <w:szCs w:val="24"/>
        </w:rPr>
        <w:t xml:space="preserve">Aunque se pueda aducir que el mayor incremento del recaudo del impuesto predial pueda obedecer a la incorporación de nuevo predios en el catastro distrital, si se realiza un análisis del valor promedio del pago por declaración y del número de predios año a año, se encuentra que, </w:t>
      </w:r>
      <w:r w:rsidRPr="001301EB">
        <w:rPr>
          <w:rFonts w:ascii="Arial" w:hAnsi="Arial" w:cs="Arial"/>
          <w:b/>
          <w:sz w:val="24"/>
          <w:szCs w:val="24"/>
        </w:rPr>
        <w:t>la mayor proporción del incremento del recaudo del predial unificado, se explica por la tasa de crec</w:t>
      </w:r>
      <w:r>
        <w:rPr>
          <w:rFonts w:ascii="Arial" w:hAnsi="Arial" w:cs="Arial"/>
          <w:b/>
          <w:sz w:val="24"/>
          <w:szCs w:val="24"/>
        </w:rPr>
        <w:t>imiento del pago promedio por predio</w:t>
      </w:r>
      <w:r w:rsidRPr="001301EB">
        <w:rPr>
          <w:rFonts w:ascii="Arial" w:hAnsi="Arial" w:cs="Arial"/>
          <w:b/>
          <w:sz w:val="24"/>
          <w:szCs w:val="24"/>
        </w:rPr>
        <w:t xml:space="preserve"> y no al incremen</w:t>
      </w:r>
      <w:r>
        <w:rPr>
          <w:rFonts w:ascii="Arial" w:hAnsi="Arial" w:cs="Arial"/>
          <w:b/>
          <w:sz w:val="24"/>
          <w:szCs w:val="24"/>
        </w:rPr>
        <w:t>to en el número de predios</w:t>
      </w:r>
      <w:r>
        <w:rPr>
          <w:rFonts w:ascii="Arial" w:hAnsi="Arial" w:cs="Arial"/>
          <w:sz w:val="24"/>
          <w:szCs w:val="24"/>
        </w:rPr>
        <w:t>, como se puede observar en la siguiente gráfica, donde por ejemplo para el año 2015, del total del incremento del 21% en el recaudo del impuesto predial en dicho año (al pasar de un recaudo de COP$1.890.258.443.000 en 2014 a COP$2.287.179.263.000 en 2015) , un 22.5% es explicado por el crecimiento de pago por declaración nominal, mientras el número de predios cayó en un 1.2%, al pasar estos últimos de 2.325.606 en 2014 a 2.297.204 para 2015.</w:t>
      </w:r>
    </w:p>
    <w:p w:rsidR="00BA111F" w:rsidRDefault="00BA111F" w:rsidP="00BA111F">
      <w:pPr>
        <w:jc w:val="both"/>
        <w:rPr>
          <w:rFonts w:ascii="Arial" w:hAnsi="Arial" w:cs="Arial"/>
          <w:sz w:val="24"/>
          <w:szCs w:val="24"/>
        </w:rPr>
      </w:pPr>
    </w:p>
    <w:p w:rsidR="00BA111F" w:rsidRDefault="00BA111F" w:rsidP="00BA111F">
      <w:pPr>
        <w:jc w:val="center"/>
        <w:rPr>
          <w:rFonts w:ascii="Arial" w:hAnsi="Arial" w:cs="Arial"/>
          <w:sz w:val="24"/>
          <w:szCs w:val="24"/>
        </w:rPr>
      </w:pPr>
      <w:r>
        <w:rPr>
          <w:noProof/>
          <w:lang w:eastAsia="es-CO"/>
        </w:rPr>
        <w:drawing>
          <wp:inline distT="0" distB="0" distL="0" distR="0" wp14:anchorId="0CEB0024" wp14:editId="2E712BE3">
            <wp:extent cx="4320000" cy="2340000"/>
            <wp:effectExtent l="0" t="0" r="0" b="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A111F" w:rsidRDefault="00BA111F" w:rsidP="00BA111F">
      <w:pPr>
        <w:jc w:val="both"/>
        <w:rPr>
          <w:rFonts w:ascii="Arial" w:hAnsi="Arial" w:cs="Arial"/>
          <w:sz w:val="24"/>
          <w:szCs w:val="24"/>
        </w:rPr>
      </w:pPr>
      <w:r>
        <w:rPr>
          <w:rFonts w:ascii="Arial" w:hAnsi="Arial" w:cs="Arial"/>
          <w:sz w:val="16"/>
          <w:szCs w:val="16"/>
        </w:rPr>
        <w:t xml:space="preserve">                Fuente: Cálculos propios con base en información de la Secretaria de Hacienda de Bogotá D.C.</w:t>
      </w:r>
    </w:p>
    <w:p w:rsidR="00BA111F" w:rsidRDefault="00BA111F" w:rsidP="00BA111F">
      <w:pPr>
        <w:jc w:val="both"/>
        <w:rPr>
          <w:rFonts w:ascii="Arial" w:hAnsi="Arial" w:cs="Arial"/>
          <w:b/>
          <w:sz w:val="24"/>
          <w:szCs w:val="24"/>
        </w:rPr>
      </w:pPr>
    </w:p>
    <w:p w:rsidR="00C24EBB" w:rsidRDefault="00C24EBB" w:rsidP="00BA111F">
      <w:pPr>
        <w:jc w:val="both"/>
        <w:rPr>
          <w:rFonts w:ascii="Arial" w:hAnsi="Arial" w:cs="Arial"/>
          <w:b/>
          <w:sz w:val="24"/>
          <w:szCs w:val="24"/>
        </w:rPr>
      </w:pPr>
    </w:p>
    <w:p w:rsidR="00BA111F" w:rsidRPr="0053354C" w:rsidRDefault="00BA111F" w:rsidP="00BA111F">
      <w:pPr>
        <w:jc w:val="both"/>
        <w:rPr>
          <w:rFonts w:ascii="Arial" w:hAnsi="Arial" w:cs="Arial"/>
          <w:b/>
          <w:sz w:val="24"/>
          <w:szCs w:val="24"/>
        </w:rPr>
      </w:pPr>
      <w:r>
        <w:rPr>
          <w:rFonts w:ascii="Arial" w:hAnsi="Arial" w:cs="Arial"/>
          <w:b/>
          <w:sz w:val="24"/>
          <w:szCs w:val="24"/>
        </w:rPr>
        <w:lastRenderedPageBreak/>
        <w:t>4.2</w:t>
      </w:r>
      <w:r w:rsidRPr="0053354C">
        <w:rPr>
          <w:rFonts w:ascii="Arial" w:hAnsi="Arial" w:cs="Arial"/>
          <w:b/>
          <w:sz w:val="24"/>
          <w:szCs w:val="24"/>
        </w:rPr>
        <w:t xml:space="preserve">. El impuesto predial </w:t>
      </w:r>
      <w:r>
        <w:rPr>
          <w:rFonts w:ascii="Arial" w:hAnsi="Arial" w:cs="Arial"/>
          <w:b/>
          <w:sz w:val="24"/>
          <w:szCs w:val="24"/>
        </w:rPr>
        <w:t xml:space="preserve">unificado como carga </w:t>
      </w:r>
      <w:r w:rsidRPr="0053354C">
        <w:rPr>
          <w:rFonts w:ascii="Arial" w:hAnsi="Arial" w:cs="Arial"/>
          <w:b/>
          <w:sz w:val="24"/>
          <w:szCs w:val="24"/>
        </w:rPr>
        <w:t>adicional en el sistema impositivo colombiano.</w:t>
      </w:r>
    </w:p>
    <w:p w:rsidR="00BA111F" w:rsidRDefault="00BA111F" w:rsidP="00BA111F">
      <w:pPr>
        <w:jc w:val="both"/>
        <w:rPr>
          <w:rFonts w:ascii="Arial" w:hAnsi="Arial" w:cs="Arial"/>
          <w:sz w:val="24"/>
          <w:szCs w:val="24"/>
        </w:rPr>
      </w:pPr>
      <w:r>
        <w:rPr>
          <w:rFonts w:ascii="Arial" w:hAnsi="Arial" w:cs="Arial"/>
          <w:sz w:val="24"/>
          <w:szCs w:val="24"/>
        </w:rPr>
        <w:t xml:space="preserve">Los impuestos en el sistema tributario colombiano se pueden dividir en 2 tipos: impuestos del orden nacional e impuestos del orden territorial. Los impuestos del orden territorial a su vez se pueden catalogar como impuestos del orden departamental e impuestos del orden municipal. </w:t>
      </w:r>
    </w:p>
    <w:p w:rsidR="00BA111F" w:rsidRDefault="00BA111F" w:rsidP="00BA111F">
      <w:pPr>
        <w:jc w:val="both"/>
        <w:rPr>
          <w:rFonts w:ascii="Arial" w:hAnsi="Arial" w:cs="Arial"/>
          <w:sz w:val="24"/>
          <w:szCs w:val="24"/>
        </w:rPr>
      </w:pPr>
      <w:r w:rsidRPr="001E4D69">
        <w:rPr>
          <w:rFonts w:ascii="Arial" w:hAnsi="Arial" w:cs="Arial"/>
          <w:sz w:val="24"/>
          <w:szCs w:val="24"/>
        </w:rPr>
        <w:t>De conformidad con el Informe Final de la Comisión de Expertos para la Equidad y la Competitividad Tributaria en diciembre 2015</w:t>
      </w:r>
      <w:r w:rsidRPr="001E4D69">
        <w:rPr>
          <w:rStyle w:val="Refdenotaalpie"/>
          <w:rFonts w:ascii="Arial" w:hAnsi="Arial" w:cs="Arial"/>
          <w:sz w:val="24"/>
          <w:szCs w:val="24"/>
        </w:rPr>
        <w:footnoteReference w:id="18"/>
      </w:r>
      <w:r w:rsidRPr="001E4D69">
        <w:rPr>
          <w:rFonts w:ascii="Arial" w:hAnsi="Arial" w:cs="Arial"/>
          <w:sz w:val="24"/>
          <w:szCs w:val="24"/>
        </w:rPr>
        <w:t xml:space="preserve"> son 13 los impuestos departamentales existentes actualmente, 20 los impuestos municipales y aproximadamente 24 tributos sin sustento de ley. Esto sin contar con las cerca de 60 estampillas que existen a nivel regional</w:t>
      </w:r>
    </w:p>
    <w:p w:rsidR="00BA111F" w:rsidRDefault="00BA111F" w:rsidP="00BA111F">
      <w:pPr>
        <w:jc w:val="both"/>
        <w:rPr>
          <w:rFonts w:ascii="Arial" w:hAnsi="Arial" w:cs="Arial"/>
          <w:sz w:val="24"/>
          <w:szCs w:val="24"/>
        </w:rPr>
      </w:pPr>
      <w:r>
        <w:rPr>
          <w:rFonts w:ascii="Arial" w:hAnsi="Arial" w:cs="Arial"/>
          <w:sz w:val="24"/>
          <w:szCs w:val="24"/>
        </w:rPr>
        <w:t xml:space="preserve">Como se enuncio anteriormente, el impuesto predial unificado hace parte de la gran cascada de impuestos territoriales a nivel municipal que tiene Colombia, además del impuesto de industria y comercio, avisos y tableros, publicidad exterior visual, sobretasa a la gasolina, impuesto de circulación y transito vehículos de servicio público, impuesto municipal y nacional de espectáculos públicos, impuesto de delineación, impuesto sobre el servicio del alumbrado público, </w:t>
      </w:r>
      <w:proofErr w:type="spellStart"/>
      <w:r>
        <w:rPr>
          <w:rFonts w:ascii="Arial" w:hAnsi="Arial" w:cs="Arial"/>
          <w:sz w:val="24"/>
          <w:szCs w:val="24"/>
        </w:rPr>
        <w:t>desgüello</w:t>
      </w:r>
      <w:proofErr w:type="spellEnd"/>
      <w:r>
        <w:rPr>
          <w:rFonts w:ascii="Arial" w:hAnsi="Arial" w:cs="Arial"/>
          <w:sz w:val="24"/>
          <w:szCs w:val="24"/>
        </w:rPr>
        <w:t xml:space="preserve"> de ganado mayor y menor, impuesto de casinos, impuesto a las ventas por el sistema de clubes, impuesto sobre apuestas mutuas, contribución especial sobre contratos de obra pública, contribución de valorización, participación en la plusvalía, contribuciones, gravámenes y otros cobros para la infraestructura vial, rural y urbana, impuesto al transporte de hidrocarburos, sobretasa </w:t>
      </w:r>
      <w:proofErr w:type="spellStart"/>
      <w:r>
        <w:rPr>
          <w:rFonts w:ascii="Arial" w:hAnsi="Arial" w:cs="Arial"/>
          <w:sz w:val="24"/>
          <w:szCs w:val="24"/>
        </w:rPr>
        <w:t>bomberil</w:t>
      </w:r>
      <w:proofErr w:type="spellEnd"/>
      <w:r>
        <w:rPr>
          <w:rFonts w:ascii="Arial" w:hAnsi="Arial" w:cs="Arial"/>
          <w:sz w:val="24"/>
          <w:szCs w:val="24"/>
        </w:rPr>
        <w:t xml:space="preserve">, estampilla </w:t>
      </w:r>
      <w:proofErr w:type="spellStart"/>
      <w:r>
        <w:rPr>
          <w:rFonts w:ascii="Arial" w:hAnsi="Arial" w:cs="Arial"/>
          <w:sz w:val="24"/>
          <w:szCs w:val="24"/>
        </w:rPr>
        <w:t>prodotación</w:t>
      </w:r>
      <w:proofErr w:type="spellEnd"/>
      <w:r>
        <w:rPr>
          <w:rFonts w:ascii="Arial" w:hAnsi="Arial" w:cs="Arial"/>
          <w:sz w:val="24"/>
          <w:szCs w:val="24"/>
        </w:rPr>
        <w:t xml:space="preserve"> y funcionamiento de los centros de bienestar al anciano y la estampilla pro cultura.</w:t>
      </w:r>
    </w:p>
    <w:p w:rsidR="00BA111F" w:rsidRDefault="00BA111F" w:rsidP="00BA111F">
      <w:pPr>
        <w:jc w:val="center"/>
        <w:rPr>
          <w:rFonts w:ascii="Arial" w:hAnsi="Arial" w:cs="Arial"/>
          <w:sz w:val="24"/>
          <w:szCs w:val="24"/>
        </w:rPr>
      </w:pPr>
      <w:r>
        <w:rPr>
          <w:noProof/>
          <w:lang w:eastAsia="es-CO"/>
        </w:rPr>
        <w:lastRenderedPageBreak/>
        <w:drawing>
          <wp:inline distT="0" distB="0" distL="0" distR="0" wp14:anchorId="46AD6FE4" wp14:editId="06AA6229">
            <wp:extent cx="4722126" cy="617430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6400" t="15376" r="27100" b="8620"/>
                    <a:stretch/>
                  </pic:blipFill>
                  <pic:spPr bwMode="auto">
                    <a:xfrm>
                      <a:off x="0" y="0"/>
                      <a:ext cx="4727412" cy="6181218"/>
                    </a:xfrm>
                    <a:prstGeom prst="rect">
                      <a:avLst/>
                    </a:prstGeom>
                    <a:ln>
                      <a:noFill/>
                    </a:ln>
                    <a:extLst>
                      <a:ext uri="{53640926-AAD7-44D8-BBD7-CCE9431645EC}">
                        <a14:shadowObscured xmlns:a14="http://schemas.microsoft.com/office/drawing/2010/main"/>
                      </a:ext>
                    </a:extLst>
                  </pic:spPr>
                </pic:pic>
              </a:graphicData>
            </a:graphic>
          </wp:inline>
        </w:drawing>
      </w:r>
    </w:p>
    <w:p w:rsidR="00BA111F" w:rsidRPr="0056477B" w:rsidRDefault="00BA111F" w:rsidP="00BA111F">
      <w:pPr>
        <w:rPr>
          <w:rFonts w:ascii="Arial" w:hAnsi="Arial" w:cs="Arial"/>
          <w:sz w:val="16"/>
          <w:szCs w:val="16"/>
        </w:rPr>
      </w:pPr>
      <w:r w:rsidRPr="0056477B">
        <w:rPr>
          <w:rFonts w:ascii="Arial" w:hAnsi="Arial" w:cs="Arial"/>
          <w:sz w:val="16"/>
          <w:szCs w:val="16"/>
        </w:rPr>
        <w:t xml:space="preserve">Fuente: Tomado del Informe Final presentado al Ministro de Hacienda y Crédito Público por parte de </w:t>
      </w:r>
      <w:r>
        <w:rPr>
          <w:rFonts w:ascii="Arial" w:hAnsi="Arial" w:cs="Arial"/>
          <w:sz w:val="16"/>
          <w:szCs w:val="16"/>
        </w:rPr>
        <w:t>la Comisión de Expertos para la Equidad y la Competitividad Tributaria en diciembre 2015.</w:t>
      </w:r>
    </w:p>
    <w:p w:rsidR="00BA111F" w:rsidRDefault="00BA111F" w:rsidP="00BA111F">
      <w:pPr>
        <w:jc w:val="both"/>
        <w:rPr>
          <w:rFonts w:ascii="Arial" w:hAnsi="Arial" w:cs="Arial"/>
          <w:b/>
          <w:sz w:val="24"/>
          <w:szCs w:val="24"/>
        </w:rPr>
      </w:pPr>
      <w:r>
        <w:rPr>
          <w:rFonts w:ascii="Arial" w:hAnsi="Arial" w:cs="Arial"/>
          <w:sz w:val="24"/>
          <w:szCs w:val="24"/>
        </w:rPr>
        <w:t xml:space="preserve">Por lo tanto, el impuesto predial por ser el impuesto territorial municipal más representativo dentro de las finanzas municipales, junto con el impuesto de industria y comercio, hace parte integral del sistema impositivo colombiano y como tal, es un elemento a considerar en las cargas impositivas nacionales a la hora de </w:t>
      </w:r>
      <w:r>
        <w:rPr>
          <w:rFonts w:ascii="Arial" w:hAnsi="Arial" w:cs="Arial"/>
          <w:sz w:val="24"/>
          <w:szCs w:val="24"/>
        </w:rPr>
        <w:lastRenderedPageBreak/>
        <w:t>toma de decisiones de inversión. En los últimos años este nivel impositivo sobre los sujetos pasivos del sistema colombiano, ha representado una pérdida de competitividad considerable en comparación con otras economías latinoamericanas</w:t>
      </w:r>
      <w:r w:rsidRPr="004946A4">
        <w:rPr>
          <w:rFonts w:ascii="Arial" w:hAnsi="Arial" w:cs="Arial"/>
          <w:sz w:val="24"/>
          <w:szCs w:val="24"/>
        </w:rPr>
        <w:t xml:space="preserve">. Así por ejemplo, si se compara la Tasa Total de Impuestos de Colombia con otros países latinoamericanos, entendida esta como la medida del monto de impuestos y contribuciones estatutarias impuestas a los negocios en su segundo año de operaciones, expresadas como una proporción de sus beneficios comerciales, </w:t>
      </w:r>
      <w:r w:rsidRPr="004946A4">
        <w:rPr>
          <w:rFonts w:ascii="Arial" w:hAnsi="Arial" w:cs="Arial"/>
          <w:b/>
          <w:sz w:val="24"/>
          <w:szCs w:val="24"/>
        </w:rPr>
        <w:t>para el caso colombiano esta asciende a 69.8%, la tercera más alta de América del Sur, únicamente inferior a la tasa de Argentina (106%) y a la de Bolivia (83.7%), y muy superior a la de países como Chile (33%) y Perú (35.6%) e inclusive a la de Venezuela que es de un (65%).</w:t>
      </w:r>
      <w:r>
        <w:rPr>
          <w:rFonts w:ascii="Arial" w:hAnsi="Arial" w:cs="Arial"/>
          <w:b/>
          <w:sz w:val="24"/>
          <w:szCs w:val="24"/>
        </w:rPr>
        <w:t xml:space="preserve"> </w:t>
      </w:r>
    </w:p>
    <w:p w:rsidR="00BA111F" w:rsidRDefault="00BA111F" w:rsidP="00BA111F">
      <w:pPr>
        <w:jc w:val="both"/>
        <w:rPr>
          <w:rFonts w:ascii="Arial" w:hAnsi="Arial" w:cs="Arial"/>
          <w:b/>
          <w:sz w:val="24"/>
          <w:szCs w:val="24"/>
        </w:rPr>
      </w:pPr>
      <w:r>
        <w:rPr>
          <w:noProof/>
          <w:lang w:eastAsia="es-CO"/>
        </w:rPr>
        <w:drawing>
          <wp:inline distT="0" distB="0" distL="0" distR="0" wp14:anchorId="51847AB0" wp14:editId="626389D4">
            <wp:extent cx="5689449" cy="267940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1035" t="28638" r="20239" b="22191"/>
                    <a:stretch/>
                  </pic:blipFill>
                  <pic:spPr bwMode="auto">
                    <a:xfrm>
                      <a:off x="0" y="0"/>
                      <a:ext cx="5702760" cy="2685674"/>
                    </a:xfrm>
                    <a:prstGeom prst="rect">
                      <a:avLst/>
                    </a:prstGeom>
                    <a:ln>
                      <a:noFill/>
                    </a:ln>
                    <a:extLst>
                      <a:ext uri="{53640926-AAD7-44D8-BBD7-CCE9431645EC}">
                        <a14:shadowObscured xmlns:a14="http://schemas.microsoft.com/office/drawing/2010/main"/>
                      </a:ext>
                    </a:extLst>
                  </pic:spPr>
                </pic:pic>
              </a:graphicData>
            </a:graphic>
          </wp:inline>
        </w:drawing>
      </w:r>
    </w:p>
    <w:p w:rsidR="00BA111F" w:rsidRPr="004215A3" w:rsidRDefault="00BA111F" w:rsidP="00BA111F">
      <w:pPr>
        <w:jc w:val="both"/>
        <w:rPr>
          <w:rFonts w:ascii="Arial" w:hAnsi="Arial" w:cs="Arial"/>
          <w:sz w:val="16"/>
          <w:szCs w:val="16"/>
        </w:rPr>
      </w:pPr>
      <w:r w:rsidRPr="004215A3">
        <w:rPr>
          <w:rFonts w:ascii="Arial" w:hAnsi="Arial" w:cs="Arial"/>
          <w:sz w:val="16"/>
          <w:szCs w:val="16"/>
        </w:rPr>
        <w:t xml:space="preserve">FUENTE: </w:t>
      </w:r>
      <w:proofErr w:type="spellStart"/>
      <w:r w:rsidRPr="004215A3">
        <w:rPr>
          <w:rFonts w:ascii="Arial" w:hAnsi="Arial" w:cs="Arial"/>
          <w:sz w:val="16"/>
          <w:szCs w:val="16"/>
        </w:rPr>
        <w:t>PricewaterhouseCoopers</w:t>
      </w:r>
      <w:proofErr w:type="spellEnd"/>
      <w:r w:rsidRPr="004215A3">
        <w:rPr>
          <w:rFonts w:ascii="Arial" w:hAnsi="Arial" w:cs="Arial"/>
          <w:sz w:val="16"/>
          <w:szCs w:val="16"/>
        </w:rPr>
        <w:t xml:space="preserve"> - </w:t>
      </w:r>
      <w:proofErr w:type="spellStart"/>
      <w:r w:rsidRPr="004215A3">
        <w:rPr>
          <w:rFonts w:ascii="Arial" w:hAnsi="Arial" w:cs="Arial"/>
          <w:sz w:val="16"/>
          <w:szCs w:val="16"/>
        </w:rPr>
        <w:t>Paying</w:t>
      </w:r>
      <w:proofErr w:type="spellEnd"/>
      <w:r w:rsidRPr="004215A3">
        <w:rPr>
          <w:rFonts w:ascii="Arial" w:hAnsi="Arial" w:cs="Arial"/>
          <w:sz w:val="16"/>
          <w:szCs w:val="16"/>
        </w:rPr>
        <w:t xml:space="preserve"> </w:t>
      </w:r>
      <w:proofErr w:type="spellStart"/>
      <w:r w:rsidRPr="004215A3">
        <w:rPr>
          <w:rFonts w:ascii="Arial" w:hAnsi="Arial" w:cs="Arial"/>
          <w:sz w:val="16"/>
          <w:szCs w:val="16"/>
        </w:rPr>
        <w:t>Tax</w:t>
      </w:r>
      <w:r>
        <w:rPr>
          <w:rFonts w:ascii="Arial" w:hAnsi="Arial" w:cs="Arial"/>
          <w:sz w:val="16"/>
          <w:szCs w:val="16"/>
        </w:rPr>
        <w:t>es</w:t>
      </w:r>
      <w:proofErr w:type="spellEnd"/>
      <w:r w:rsidRPr="004215A3">
        <w:rPr>
          <w:rFonts w:ascii="Arial" w:hAnsi="Arial" w:cs="Arial"/>
          <w:sz w:val="16"/>
          <w:szCs w:val="16"/>
        </w:rPr>
        <w:t xml:space="preserve"> 201</w:t>
      </w:r>
      <w:r>
        <w:rPr>
          <w:rFonts w:ascii="Arial" w:hAnsi="Arial" w:cs="Arial"/>
          <w:sz w:val="16"/>
          <w:szCs w:val="16"/>
        </w:rPr>
        <w:t>8</w:t>
      </w:r>
      <w:r w:rsidRPr="004215A3">
        <w:rPr>
          <w:rFonts w:ascii="Arial" w:hAnsi="Arial" w:cs="Arial"/>
          <w:sz w:val="16"/>
          <w:szCs w:val="16"/>
        </w:rPr>
        <w:t>.</w:t>
      </w:r>
    </w:p>
    <w:p w:rsidR="00BA111F" w:rsidRDefault="00BA111F" w:rsidP="00BA111F">
      <w:pPr>
        <w:jc w:val="both"/>
        <w:rPr>
          <w:rFonts w:ascii="Arial" w:hAnsi="Arial" w:cs="Arial"/>
          <w:sz w:val="24"/>
          <w:szCs w:val="24"/>
        </w:rPr>
      </w:pPr>
    </w:p>
    <w:p w:rsidR="00BA111F" w:rsidRDefault="00BA111F" w:rsidP="00BA111F">
      <w:pPr>
        <w:jc w:val="both"/>
        <w:rPr>
          <w:rFonts w:ascii="Arial" w:hAnsi="Arial" w:cs="Arial"/>
          <w:sz w:val="24"/>
          <w:szCs w:val="24"/>
        </w:rPr>
      </w:pPr>
      <w:r w:rsidRPr="00271E97">
        <w:rPr>
          <w:rFonts w:ascii="Arial" w:hAnsi="Arial" w:cs="Arial"/>
          <w:sz w:val="24"/>
          <w:szCs w:val="24"/>
        </w:rPr>
        <w:t xml:space="preserve">Cabe resaltar </w:t>
      </w:r>
      <w:r>
        <w:rPr>
          <w:rFonts w:ascii="Arial" w:hAnsi="Arial" w:cs="Arial"/>
          <w:sz w:val="24"/>
          <w:szCs w:val="24"/>
        </w:rPr>
        <w:t xml:space="preserve">que la Tasa Total de Impuestos en Colombia de </w:t>
      </w:r>
      <w:r>
        <w:rPr>
          <w:rFonts w:ascii="Arial" w:hAnsi="Arial" w:cs="Arial"/>
          <w:b/>
          <w:sz w:val="24"/>
          <w:szCs w:val="24"/>
        </w:rPr>
        <w:t>69.8</w:t>
      </w:r>
      <w:r w:rsidRPr="006765BA">
        <w:rPr>
          <w:rFonts w:ascii="Arial" w:hAnsi="Arial" w:cs="Arial"/>
          <w:b/>
          <w:sz w:val="24"/>
          <w:szCs w:val="24"/>
        </w:rPr>
        <w:t>%</w:t>
      </w:r>
      <w:r>
        <w:rPr>
          <w:rFonts w:ascii="Arial" w:hAnsi="Arial" w:cs="Arial"/>
          <w:sz w:val="24"/>
          <w:szCs w:val="24"/>
        </w:rPr>
        <w:t>, también es superior a la media de tasas regionales de todo el mundo tal como se muestra a continuación:</w:t>
      </w:r>
    </w:p>
    <w:p w:rsidR="00BA111F" w:rsidRDefault="00BA111F" w:rsidP="00BA111F">
      <w:pPr>
        <w:jc w:val="both"/>
        <w:rPr>
          <w:rFonts w:ascii="Arial" w:hAnsi="Arial" w:cs="Arial"/>
          <w:sz w:val="24"/>
          <w:szCs w:val="24"/>
        </w:rPr>
      </w:pPr>
    </w:p>
    <w:tbl>
      <w:tblPr>
        <w:tblStyle w:val="Tablaconcuadrcula"/>
        <w:tblW w:w="0" w:type="auto"/>
        <w:jc w:val="center"/>
        <w:tblLook w:val="04A0" w:firstRow="1" w:lastRow="0" w:firstColumn="1" w:lastColumn="0" w:noHBand="0" w:noVBand="1"/>
      </w:tblPr>
      <w:tblGrid>
        <w:gridCol w:w="4414"/>
        <w:gridCol w:w="4414"/>
      </w:tblGrid>
      <w:tr w:rsidR="00BA111F" w:rsidRPr="006800B4" w:rsidTr="005201EB">
        <w:trPr>
          <w:jc w:val="center"/>
        </w:trPr>
        <w:tc>
          <w:tcPr>
            <w:tcW w:w="4414" w:type="dxa"/>
          </w:tcPr>
          <w:p w:rsidR="00BA111F" w:rsidRPr="006800B4" w:rsidRDefault="00BA111F" w:rsidP="005201EB">
            <w:pPr>
              <w:jc w:val="center"/>
              <w:rPr>
                <w:rFonts w:ascii="Arial" w:hAnsi="Arial" w:cs="Arial"/>
                <w:b/>
                <w:sz w:val="16"/>
                <w:szCs w:val="16"/>
              </w:rPr>
            </w:pPr>
            <w:r w:rsidRPr="006800B4">
              <w:rPr>
                <w:rFonts w:ascii="Arial" w:hAnsi="Arial" w:cs="Arial"/>
                <w:b/>
                <w:sz w:val="16"/>
                <w:szCs w:val="16"/>
              </w:rPr>
              <w:t>REGIÓN</w:t>
            </w:r>
          </w:p>
        </w:tc>
        <w:tc>
          <w:tcPr>
            <w:tcW w:w="4414" w:type="dxa"/>
          </w:tcPr>
          <w:p w:rsidR="00BA111F" w:rsidRPr="006800B4" w:rsidRDefault="00BA111F" w:rsidP="005201EB">
            <w:pPr>
              <w:jc w:val="center"/>
              <w:rPr>
                <w:rFonts w:ascii="Arial" w:hAnsi="Arial" w:cs="Arial"/>
                <w:b/>
                <w:sz w:val="16"/>
                <w:szCs w:val="16"/>
              </w:rPr>
            </w:pPr>
            <w:r w:rsidRPr="006800B4">
              <w:rPr>
                <w:rFonts w:ascii="Arial" w:hAnsi="Arial" w:cs="Arial"/>
                <w:b/>
                <w:sz w:val="16"/>
                <w:szCs w:val="16"/>
              </w:rPr>
              <w:t>MEDIA TASA TOTAL DE IMPUESTOS</w:t>
            </w:r>
          </w:p>
        </w:tc>
      </w:tr>
      <w:tr w:rsidR="00BA111F" w:rsidRPr="006800B4" w:rsidTr="005201EB">
        <w:trPr>
          <w:jc w:val="center"/>
        </w:trPr>
        <w:tc>
          <w:tcPr>
            <w:tcW w:w="4414" w:type="dxa"/>
          </w:tcPr>
          <w:p w:rsidR="00BA111F" w:rsidRPr="006800B4" w:rsidRDefault="00BA111F" w:rsidP="005201EB">
            <w:pPr>
              <w:jc w:val="center"/>
              <w:rPr>
                <w:rFonts w:ascii="Arial" w:hAnsi="Arial" w:cs="Arial"/>
                <w:sz w:val="16"/>
                <w:szCs w:val="16"/>
              </w:rPr>
            </w:pPr>
            <w:r w:rsidRPr="006800B4">
              <w:rPr>
                <w:rFonts w:ascii="Arial" w:hAnsi="Arial" w:cs="Arial"/>
                <w:sz w:val="16"/>
                <w:szCs w:val="16"/>
              </w:rPr>
              <w:t>África</w:t>
            </w:r>
          </w:p>
        </w:tc>
        <w:tc>
          <w:tcPr>
            <w:tcW w:w="4414" w:type="dxa"/>
          </w:tcPr>
          <w:p w:rsidR="00BA111F" w:rsidRPr="006800B4" w:rsidRDefault="00BA111F" w:rsidP="005201EB">
            <w:pPr>
              <w:jc w:val="center"/>
              <w:rPr>
                <w:rFonts w:ascii="Arial" w:hAnsi="Arial" w:cs="Arial"/>
                <w:sz w:val="16"/>
                <w:szCs w:val="16"/>
              </w:rPr>
            </w:pPr>
            <w:r w:rsidRPr="006800B4">
              <w:rPr>
                <w:rFonts w:ascii="Arial" w:hAnsi="Arial" w:cs="Arial"/>
                <w:sz w:val="16"/>
                <w:szCs w:val="16"/>
              </w:rPr>
              <w:t>4</w:t>
            </w:r>
            <w:r>
              <w:rPr>
                <w:rFonts w:ascii="Arial" w:hAnsi="Arial" w:cs="Arial"/>
                <w:sz w:val="16"/>
                <w:szCs w:val="16"/>
              </w:rPr>
              <w:t>7.1</w:t>
            </w:r>
            <w:r w:rsidRPr="006800B4">
              <w:rPr>
                <w:rFonts w:ascii="Arial" w:hAnsi="Arial" w:cs="Arial"/>
                <w:sz w:val="16"/>
                <w:szCs w:val="16"/>
              </w:rPr>
              <w:t>%</w:t>
            </w:r>
          </w:p>
        </w:tc>
      </w:tr>
      <w:tr w:rsidR="00BA111F" w:rsidRPr="006800B4" w:rsidTr="005201EB">
        <w:trPr>
          <w:jc w:val="center"/>
        </w:trPr>
        <w:tc>
          <w:tcPr>
            <w:tcW w:w="4414" w:type="dxa"/>
          </w:tcPr>
          <w:p w:rsidR="00BA111F" w:rsidRPr="006800B4" w:rsidRDefault="00BA111F" w:rsidP="005201EB">
            <w:pPr>
              <w:jc w:val="center"/>
              <w:rPr>
                <w:rFonts w:ascii="Arial" w:hAnsi="Arial" w:cs="Arial"/>
                <w:sz w:val="16"/>
                <w:szCs w:val="16"/>
              </w:rPr>
            </w:pPr>
            <w:r w:rsidRPr="006800B4">
              <w:rPr>
                <w:rFonts w:ascii="Arial" w:hAnsi="Arial" w:cs="Arial"/>
                <w:sz w:val="16"/>
                <w:szCs w:val="16"/>
              </w:rPr>
              <w:t>Asia Pacifico</w:t>
            </w:r>
          </w:p>
        </w:tc>
        <w:tc>
          <w:tcPr>
            <w:tcW w:w="4414" w:type="dxa"/>
          </w:tcPr>
          <w:p w:rsidR="00BA111F" w:rsidRPr="006800B4" w:rsidRDefault="00BA111F" w:rsidP="005201EB">
            <w:pPr>
              <w:jc w:val="center"/>
              <w:rPr>
                <w:rFonts w:ascii="Arial" w:hAnsi="Arial" w:cs="Arial"/>
                <w:sz w:val="16"/>
                <w:szCs w:val="16"/>
              </w:rPr>
            </w:pPr>
            <w:r>
              <w:rPr>
                <w:rFonts w:ascii="Arial" w:hAnsi="Arial" w:cs="Arial"/>
                <w:sz w:val="16"/>
                <w:szCs w:val="16"/>
              </w:rPr>
              <w:t>22.1</w:t>
            </w:r>
            <w:r w:rsidRPr="006800B4">
              <w:rPr>
                <w:rFonts w:ascii="Arial" w:hAnsi="Arial" w:cs="Arial"/>
                <w:sz w:val="16"/>
                <w:szCs w:val="16"/>
              </w:rPr>
              <w:t>%</w:t>
            </w:r>
          </w:p>
        </w:tc>
      </w:tr>
      <w:tr w:rsidR="00BA111F" w:rsidRPr="006800B4" w:rsidTr="005201EB">
        <w:trPr>
          <w:jc w:val="center"/>
        </w:trPr>
        <w:tc>
          <w:tcPr>
            <w:tcW w:w="4414" w:type="dxa"/>
          </w:tcPr>
          <w:p w:rsidR="00BA111F" w:rsidRPr="006800B4" w:rsidRDefault="00BA111F" w:rsidP="005201EB">
            <w:pPr>
              <w:jc w:val="center"/>
              <w:rPr>
                <w:rFonts w:ascii="Arial" w:hAnsi="Arial" w:cs="Arial"/>
                <w:sz w:val="16"/>
                <w:szCs w:val="16"/>
              </w:rPr>
            </w:pPr>
            <w:r w:rsidRPr="006800B4">
              <w:rPr>
                <w:rFonts w:ascii="Arial" w:hAnsi="Arial" w:cs="Arial"/>
                <w:sz w:val="16"/>
                <w:szCs w:val="16"/>
              </w:rPr>
              <w:t>Centro  América y el Caribe</w:t>
            </w:r>
          </w:p>
        </w:tc>
        <w:tc>
          <w:tcPr>
            <w:tcW w:w="4414" w:type="dxa"/>
          </w:tcPr>
          <w:p w:rsidR="00BA111F" w:rsidRPr="006800B4" w:rsidRDefault="00BA111F" w:rsidP="005201EB">
            <w:pPr>
              <w:jc w:val="center"/>
              <w:rPr>
                <w:rFonts w:ascii="Arial" w:hAnsi="Arial" w:cs="Arial"/>
                <w:sz w:val="16"/>
                <w:szCs w:val="16"/>
              </w:rPr>
            </w:pPr>
            <w:r w:rsidRPr="006800B4">
              <w:rPr>
                <w:rFonts w:ascii="Arial" w:hAnsi="Arial" w:cs="Arial"/>
                <w:sz w:val="16"/>
                <w:szCs w:val="16"/>
              </w:rPr>
              <w:t>42.</w:t>
            </w:r>
            <w:r>
              <w:rPr>
                <w:rFonts w:ascii="Arial" w:hAnsi="Arial" w:cs="Arial"/>
                <w:sz w:val="16"/>
                <w:szCs w:val="16"/>
              </w:rPr>
              <w:t>1</w:t>
            </w:r>
            <w:r w:rsidRPr="006800B4">
              <w:rPr>
                <w:rFonts w:ascii="Arial" w:hAnsi="Arial" w:cs="Arial"/>
                <w:sz w:val="16"/>
                <w:szCs w:val="16"/>
              </w:rPr>
              <w:t>%</w:t>
            </w:r>
          </w:p>
        </w:tc>
      </w:tr>
      <w:tr w:rsidR="00BA111F" w:rsidRPr="006800B4" w:rsidTr="005201EB">
        <w:trPr>
          <w:jc w:val="center"/>
        </w:trPr>
        <w:tc>
          <w:tcPr>
            <w:tcW w:w="4414" w:type="dxa"/>
          </w:tcPr>
          <w:p w:rsidR="00BA111F" w:rsidRPr="006800B4" w:rsidRDefault="00BA111F" w:rsidP="005201EB">
            <w:pPr>
              <w:jc w:val="center"/>
              <w:rPr>
                <w:rFonts w:ascii="Arial" w:hAnsi="Arial" w:cs="Arial"/>
                <w:sz w:val="16"/>
                <w:szCs w:val="16"/>
              </w:rPr>
            </w:pPr>
            <w:r w:rsidRPr="006800B4">
              <w:rPr>
                <w:rFonts w:ascii="Arial" w:hAnsi="Arial" w:cs="Arial"/>
                <w:sz w:val="16"/>
                <w:szCs w:val="16"/>
              </w:rPr>
              <w:t>Asia Central y Este de Europa</w:t>
            </w:r>
          </w:p>
        </w:tc>
        <w:tc>
          <w:tcPr>
            <w:tcW w:w="4414" w:type="dxa"/>
          </w:tcPr>
          <w:p w:rsidR="00BA111F" w:rsidRPr="006800B4" w:rsidRDefault="00BA111F" w:rsidP="005201EB">
            <w:pPr>
              <w:jc w:val="center"/>
              <w:rPr>
                <w:rFonts w:ascii="Arial" w:hAnsi="Arial" w:cs="Arial"/>
                <w:sz w:val="16"/>
                <w:szCs w:val="16"/>
              </w:rPr>
            </w:pPr>
            <w:r w:rsidRPr="006800B4">
              <w:rPr>
                <w:rFonts w:ascii="Arial" w:hAnsi="Arial" w:cs="Arial"/>
                <w:sz w:val="16"/>
                <w:szCs w:val="16"/>
              </w:rPr>
              <w:t>3</w:t>
            </w:r>
            <w:r>
              <w:rPr>
                <w:rFonts w:ascii="Arial" w:hAnsi="Arial" w:cs="Arial"/>
                <w:sz w:val="16"/>
                <w:szCs w:val="16"/>
              </w:rPr>
              <w:t>3.4</w:t>
            </w:r>
            <w:r w:rsidRPr="006800B4">
              <w:rPr>
                <w:rFonts w:ascii="Arial" w:hAnsi="Arial" w:cs="Arial"/>
                <w:sz w:val="16"/>
                <w:szCs w:val="16"/>
              </w:rPr>
              <w:t>%</w:t>
            </w:r>
          </w:p>
        </w:tc>
      </w:tr>
      <w:tr w:rsidR="00BA111F" w:rsidRPr="006800B4" w:rsidTr="005201EB">
        <w:trPr>
          <w:jc w:val="center"/>
        </w:trPr>
        <w:tc>
          <w:tcPr>
            <w:tcW w:w="4414" w:type="dxa"/>
          </w:tcPr>
          <w:p w:rsidR="00BA111F" w:rsidRPr="006800B4" w:rsidRDefault="00BA111F" w:rsidP="005201EB">
            <w:pPr>
              <w:jc w:val="center"/>
              <w:rPr>
                <w:rFonts w:ascii="Arial" w:hAnsi="Arial" w:cs="Arial"/>
                <w:sz w:val="16"/>
                <w:szCs w:val="16"/>
              </w:rPr>
            </w:pPr>
            <w:r w:rsidRPr="006800B4">
              <w:rPr>
                <w:rFonts w:ascii="Arial" w:hAnsi="Arial" w:cs="Arial"/>
                <w:sz w:val="16"/>
                <w:szCs w:val="16"/>
              </w:rPr>
              <w:t>Unión Europea y EFTA</w:t>
            </w:r>
          </w:p>
        </w:tc>
        <w:tc>
          <w:tcPr>
            <w:tcW w:w="4414" w:type="dxa"/>
          </w:tcPr>
          <w:p w:rsidR="00BA111F" w:rsidRPr="006800B4" w:rsidRDefault="00BA111F" w:rsidP="005201EB">
            <w:pPr>
              <w:jc w:val="center"/>
              <w:rPr>
                <w:rFonts w:ascii="Arial" w:hAnsi="Arial" w:cs="Arial"/>
                <w:sz w:val="16"/>
                <w:szCs w:val="16"/>
              </w:rPr>
            </w:pPr>
            <w:r>
              <w:rPr>
                <w:rFonts w:ascii="Arial" w:hAnsi="Arial" w:cs="Arial"/>
                <w:sz w:val="16"/>
                <w:szCs w:val="16"/>
              </w:rPr>
              <w:t>39.6</w:t>
            </w:r>
            <w:r w:rsidRPr="006800B4">
              <w:rPr>
                <w:rFonts w:ascii="Arial" w:hAnsi="Arial" w:cs="Arial"/>
                <w:sz w:val="16"/>
                <w:szCs w:val="16"/>
              </w:rPr>
              <w:t>%</w:t>
            </w:r>
          </w:p>
        </w:tc>
      </w:tr>
      <w:tr w:rsidR="00BA111F" w:rsidRPr="006800B4" w:rsidTr="005201EB">
        <w:trPr>
          <w:jc w:val="center"/>
        </w:trPr>
        <w:tc>
          <w:tcPr>
            <w:tcW w:w="4414" w:type="dxa"/>
          </w:tcPr>
          <w:p w:rsidR="00BA111F" w:rsidRPr="006800B4" w:rsidRDefault="00BA111F" w:rsidP="005201EB">
            <w:pPr>
              <w:jc w:val="center"/>
              <w:rPr>
                <w:rFonts w:ascii="Arial" w:hAnsi="Arial" w:cs="Arial"/>
                <w:sz w:val="16"/>
                <w:szCs w:val="16"/>
              </w:rPr>
            </w:pPr>
            <w:r w:rsidRPr="006800B4">
              <w:rPr>
                <w:rFonts w:ascii="Arial" w:hAnsi="Arial" w:cs="Arial"/>
                <w:sz w:val="16"/>
                <w:szCs w:val="16"/>
              </w:rPr>
              <w:t>Medio Este</w:t>
            </w:r>
          </w:p>
        </w:tc>
        <w:tc>
          <w:tcPr>
            <w:tcW w:w="4414" w:type="dxa"/>
          </w:tcPr>
          <w:p w:rsidR="00BA111F" w:rsidRPr="006800B4" w:rsidRDefault="00BA111F" w:rsidP="005201EB">
            <w:pPr>
              <w:jc w:val="center"/>
              <w:rPr>
                <w:rFonts w:ascii="Arial" w:hAnsi="Arial" w:cs="Arial"/>
                <w:sz w:val="16"/>
                <w:szCs w:val="16"/>
              </w:rPr>
            </w:pPr>
            <w:r w:rsidRPr="006800B4">
              <w:rPr>
                <w:rFonts w:ascii="Arial" w:hAnsi="Arial" w:cs="Arial"/>
                <w:sz w:val="16"/>
                <w:szCs w:val="16"/>
              </w:rPr>
              <w:t>24%</w:t>
            </w:r>
          </w:p>
        </w:tc>
      </w:tr>
      <w:tr w:rsidR="00BA111F" w:rsidRPr="006800B4" w:rsidTr="005201EB">
        <w:trPr>
          <w:jc w:val="center"/>
        </w:trPr>
        <w:tc>
          <w:tcPr>
            <w:tcW w:w="4414" w:type="dxa"/>
          </w:tcPr>
          <w:p w:rsidR="00BA111F" w:rsidRPr="006800B4" w:rsidRDefault="00BA111F" w:rsidP="005201EB">
            <w:pPr>
              <w:jc w:val="center"/>
              <w:rPr>
                <w:rFonts w:ascii="Arial" w:hAnsi="Arial" w:cs="Arial"/>
                <w:sz w:val="16"/>
                <w:szCs w:val="16"/>
              </w:rPr>
            </w:pPr>
            <w:r w:rsidRPr="006800B4">
              <w:rPr>
                <w:rFonts w:ascii="Arial" w:hAnsi="Arial" w:cs="Arial"/>
                <w:sz w:val="16"/>
                <w:szCs w:val="16"/>
              </w:rPr>
              <w:t>América del Norte</w:t>
            </w:r>
          </w:p>
        </w:tc>
        <w:tc>
          <w:tcPr>
            <w:tcW w:w="4414" w:type="dxa"/>
          </w:tcPr>
          <w:p w:rsidR="00BA111F" w:rsidRPr="006800B4" w:rsidRDefault="00BA111F" w:rsidP="005201EB">
            <w:pPr>
              <w:jc w:val="center"/>
              <w:rPr>
                <w:rFonts w:ascii="Arial" w:hAnsi="Arial" w:cs="Arial"/>
                <w:sz w:val="16"/>
                <w:szCs w:val="16"/>
              </w:rPr>
            </w:pPr>
            <w:r w:rsidRPr="006800B4">
              <w:rPr>
                <w:rFonts w:ascii="Arial" w:hAnsi="Arial" w:cs="Arial"/>
                <w:sz w:val="16"/>
                <w:szCs w:val="16"/>
              </w:rPr>
              <w:t>38.9%</w:t>
            </w:r>
          </w:p>
        </w:tc>
      </w:tr>
    </w:tbl>
    <w:p w:rsidR="00BA111F" w:rsidRPr="006800B4" w:rsidRDefault="00BA111F" w:rsidP="00BA111F">
      <w:pPr>
        <w:jc w:val="both"/>
        <w:rPr>
          <w:rFonts w:ascii="Arial" w:hAnsi="Arial" w:cs="Arial"/>
          <w:sz w:val="16"/>
          <w:szCs w:val="16"/>
        </w:rPr>
      </w:pPr>
      <w:r w:rsidRPr="006800B4">
        <w:rPr>
          <w:rFonts w:ascii="Arial" w:hAnsi="Arial" w:cs="Arial"/>
          <w:sz w:val="16"/>
          <w:szCs w:val="16"/>
        </w:rPr>
        <w:lastRenderedPageBreak/>
        <w:t xml:space="preserve">FUENTE: </w:t>
      </w:r>
      <w:proofErr w:type="spellStart"/>
      <w:r w:rsidRPr="006800B4">
        <w:rPr>
          <w:rFonts w:ascii="Arial" w:hAnsi="Arial" w:cs="Arial"/>
          <w:sz w:val="16"/>
          <w:szCs w:val="16"/>
        </w:rPr>
        <w:t>PricewaterhouseCoopers</w:t>
      </w:r>
      <w:proofErr w:type="spellEnd"/>
      <w:r w:rsidRPr="006800B4">
        <w:rPr>
          <w:rFonts w:ascii="Arial" w:hAnsi="Arial" w:cs="Arial"/>
          <w:sz w:val="16"/>
          <w:szCs w:val="16"/>
        </w:rPr>
        <w:t xml:space="preserve"> - </w:t>
      </w:r>
      <w:proofErr w:type="spellStart"/>
      <w:r w:rsidRPr="006800B4">
        <w:rPr>
          <w:rFonts w:ascii="Arial" w:hAnsi="Arial" w:cs="Arial"/>
          <w:sz w:val="16"/>
          <w:szCs w:val="16"/>
        </w:rPr>
        <w:t>Paying</w:t>
      </w:r>
      <w:proofErr w:type="spellEnd"/>
      <w:r w:rsidRPr="006800B4">
        <w:rPr>
          <w:rFonts w:ascii="Arial" w:hAnsi="Arial" w:cs="Arial"/>
          <w:sz w:val="16"/>
          <w:szCs w:val="16"/>
        </w:rPr>
        <w:t xml:space="preserve"> </w:t>
      </w:r>
      <w:proofErr w:type="spellStart"/>
      <w:r w:rsidRPr="006800B4">
        <w:rPr>
          <w:rFonts w:ascii="Arial" w:hAnsi="Arial" w:cs="Arial"/>
          <w:sz w:val="16"/>
          <w:szCs w:val="16"/>
        </w:rPr>
        <w:t>Tax</w:t>
      </w:r>
      <w:r>
        <w:rPr>
          <w:rFonts w:ascii="Arial" w:hAnsi="Arial" w:cs="Arial"/>
          <w:sz w:val="16"/>
          <w:szCs w:val="16"/>
        </w:rPr>
        <w:t>es</w:t>
      </w:r>
      <w:proofErr w:type="spellEnd"/>
      <w:r w:rsidRPr="006800B4">
        <w:rPr>
          <w:rFonts w:ascii="Arial" w:hAnsi="Arial" w:cs="Arial"/>
          <w:sz w:val="16"/>
          <w:szCs w:val="16"/>
        </w:rPr>
        <w:t xml:space="preserve"> 201</w:t>
      </w:r>
      <w:r>
        <w:rPr>
          <w:rFonts w:ascii="Arial" w:hAnsi="Arial" w:cs="Arial"/>
          <w:sz w:val="16"/>
          <w:szCs w:val="16"/>
        </w:rPr>
        <w:t>8</w:t>
      </w:r>
      <w:r w:rsidRPr="006800B4">
        <w:rPr>
          <w:rFonts w:ascii="Arial" w:hAnsi="Arial" w:cs="Arial"/>
          <w:sz w:val="16"/>
          <w:szCs w:val="16"/>
        </w:rPr>
        <w:t>.</w:t>
      </w:r>
    </w:p>
    <w:p w:rsidR="00BA111F" w:rsidRDefault="00BA111F" w:rsidP="00BA111F">
      <w:pPr>
        <w:jc w:val="both"/>
        <w:rPr>
          <w:rFonts w:ascii="Arial" w:hAnsi="Arial" w:cs="Arial"/>
          <w:sz w:val="24"/>
          <w:szCs w:val="24"/>
        </w:rPr>
      </w:pPr>
      <w:r>
        <w:rPr>
          <w:rFonts w:ascii="Arial" w:hAnsi="Arial" w:cs="Arial"/>
          <w:sz w:val="24"/>
          <w:szCs w:val="24"/>
        </w:rPr>
        <w:t>Así por ejemplo, a</w:t>
      </w:r>
      <w:r w:rsidRPr="00E73DEF">
        <w:rPr>
          <w:rFonts w:ascii="Arial" w:hAnsi="Arial" w:cs="Arial"/>
          <w:sz w:val="24"/>
          <w:szCs w:val="24"/>
        </w:rPr>
        <w:t xml:space="preserve">lgunos reportes </w:t>
      </w:r>
      <w:r>
        <w:rPr>
          <w:rFonts w:ascii="Arial" w:hAnsi="Arial" w:cs="Arial"/>
          <w:sz w:val="24"/>
          <w:szCs w:val="24"/>
        </w:rPr>
        <w:t xml:space="preserve">como el elaborado por </w:t>
      </w:r>
      <w:proofErr w:type="spellStart"/>
      <w:r>
        <w:rPr>
          <w:rFonts w:ascii="Arial" w:hAnsi="Arial" w:cs="Arial"/>
          <w:sz w:val="24"/>
          <w:szCs w:val="24"/>
        </w:rPr>
        <w:t>Kantar</w:t>
      </w:r>
      <w:proofErr w:type="spellEnd"/>
      <w:r>
        <w:rPr>
          <w:rFonts w:ascii="Arial" w:hAnsi="Arial" w:cs="Arial"/>
          <w:sz w:val="24"/>
          <w:szCs w:val="24"/>
        </w:rPr>
        <w:t xml:space="preserve"> </w:t>
      </w:r>
      <w:proofErr w:type="spellStart"/>
      <w:r>
        <w:rPr>
          <w:rFonts w:ascii="Arial" w:hAnsi="Arial" w:cs="Arial"/>
          <w:sz w:val="24"/>
          <w:szCs w:val="24"/>
        </w:rPr>
        <w:t>Worldpanel</w:t>
      </w:r>
      <w:proofErr w:type="spellEnd"/>
      <w:r>
        <w:rPr>
          <w:rStyle w:val="Refdenotaalpie"/>
          <w:rFonts w:ascii="Arial" w:hAnsi="Arial" w:cs="Arial"/>
          <w:sz w:val="24"/>
          <w:szCs w:val="24"/>
        </w:rPr>
        <w:footnoteReference w:id="19"/>
      </w:r>
      <w:r>
        <w:rPr>
          <w:rFonts w:ascii="Arial" w:hAnsi="Arial" w:cs="Arial"/>
          <w:sz w:val="24"/>
          <w:szCs w:val="24"/>
        </w:rPr>
        <w:t xml:space="preserve"> indican que una persona en Colombia paga en promedio COP$14.600 diarios en impuestos, incluidas las cargas provenientes de IVA, ICA, sobretasa a la gasolina, predial, rodamiento, seguridad social y retención en la fuente, entre otros.</w:t>
      </w:r>
    </w:p>
    <w:p w:rsidR="00BA111F" w:rsidRDefault="00BA111F" w:rsidP="00BA111F">
      <w:pPr>
        <w:jc w:val="both"/>
        <w:rPr>
          <w:rFonts w:ascii="Arial" w:hAnsi="Arial" w:cs="Arial"/>
          <w:sz w:val="24"/>
          <w:szCs w:val="24"/>
        </w:rPr>
      </w:pPr>
    </w:p>
    <w:p w:rsidR="00BA111F" w:rsidRPr="00235EB5" w:rsidRDefault="00BA111F" w:rsidP="00BA111F">
      <w:pPr>
        <w:jc w:val="both"/>
        <w:rPr>
          <w:rFonts w:ascii="Arial" w:hAnsi="Arial" w:cs="Arial"/>
          <w:b/>
          <w:sz w:val="24"/>
          <w:szCs w:val="24"/>
        </w:rPr>
      </w:pPr>
      <w:r>
        <w:rPr>
          <w:rFonts w:ascii="Arial" w:hAnsi="Arial" w:cs="Arial"/>
          <w:b/>
          <w:sz w:val="24"/>
          <w:szCs w:val="24"/>
        </w:rPr>
        <w:t xml:space="preserve">4.3. </w:t>
      </w:r>
      <w:r w:rsidRPr="00235EB5">
        <w:rPr>
          <w:rFonts w:ascii="Arial" w:hAnsi="Arial" w:cs="Arial"/>
          <w:b/>
          <w:sz w:val="24"/>
          <w:szCs w:val="24"/>
        </w:rPr>
        <w:t>Falta de actualización catastral del 32.4% de predios del país.</w:t>
      </w:r>
    </w:p>
    <w:p w:rsidR="00BA111F" w:rsidRDefault="00BA111F" w:rsidP="00BA111F">
      <w:pPr>
        <w:jc w:val="both"/>
        <w:rPr>
          <w:rFonts w:ascii="Arial" w:hAnsi="Arial" w:cs="Arial"/>
          <w:sz w:val="24"/>
          <w:szCs w:val="24"/>
        </w:rPr>
      </w:pPr>
      <w:r>
        <w:rPr>
          <w:rFonts w:ascii="Arial" w:hAnsi="Arial" w:cs="Arial"/>
          <w:sz w:val="24"/>
          <w:szCs w:val="24"/>
        </w:rPr>
        <w:t>El segundo de los problemas referente a la falta de actualización del 32.4% de predios del país que equivalen a 4.846.728</w:t>
      </w:r>
      <w:r>
        <w:rPr>
          <w:rStyle w:val="Refdenotaalpie"/>
          <w:rFonts w:ascii="Arial" w:hAnsi="Arial" w:cs="Arial"/>
          <w:sz w:val="24"/>
          <w:szCs w:val="24"/>
        </w:rPr>
        <w:footnoteReference w:id="20"/>
      </w:r>
      <w:r>
        <w:rPr>
          <w:rFonts w:ascii="Arial" w:hAnsi="Arial" w:cs="Arial"/>
          <w:sz w:val="24"/>
          <w:szCs w:val="24"/>
        </w:rPr>
        <w:t xml:space="preserve"> predios, se analiza en más detalle en la siguiente tabla, donde se puede observar que la mayoría de los predios desactualizados corresponden a predios sujetos de actualización por parte del Instituto Geográfico Agustín Codazzi (IGAC) y a los catastros de Antioquia y Cali respectivamente. De  otra parte los catastros más actualizados corresponden a los de las ciudades de Medellín y Bogotá D.C. respectivamente, donde el porcentaje de predios actualizados asciende respectivamente al 100% y 99.4%.</w:t>
      </w:r>
    </w:p>
    <w:p w:rsidR="00BA111F" w:rsidRDefault="00BA111F" w:rsidP="00BA111F">
      <w:pPr>
        <w:jc w:val="center"/>
        <w:rPr>
          <w:rFonts w:ascii="Arial" w:hAnsi="Arial" w:cs="Arial"/>
          <w:sz w:val="24"/>
          <w:szCs w:val="24"/>
        </w:rPr>
      </w:pPr>
      <w:r>
        <w:rPr>
          <w:noProof/>
          <w:lang w:eastAsia="es-CO"/>
        </w:rPr>
        <w:lastRenderedPageBreak/>
        <w:drawing>
          <wp:inline distT="0" distB="0" distL="0" distR="0" wp14:anchorId="1FAB6654" wp14:editId="0D8175F7">
            <wp:extent cx="5666293" cy="456012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l="29871" t="27158" r="27529" b="11889"/>
                    <a:stretch/>
                  </pic:blipFill>
                  <pic:spPr bwMode="auto">
                    <a:xfrm>
                      <a:off x="0" y="0"/>
                      <a:ext cx="5666293" cy="4560124"/>
                    </a:xfrm>
                    <a:prstGeom prst="rect">
                      <a:avLst/>
                    </a:prstGeom>
                    <a:ln>
                      <a:noFill/>
                    </a:ln>
                    <a:extLst>
                      <a:ext uri="{53640926-AAD7-44D8-BBD7-CCE9431645EC}">
                        <a14:shadowObscured xmlns:a14="http://schemas.microsoft.com/office/drawing/2010/main"/>
                      </a:ext>
                    </a:extLst>
                  </pic:spPr>
                </pic:pic>
              </a:graphicData>
            </a:graphic>
          </wp:inline>
        </w:drawing>
      </w:r>
    </w:p>
    <w:p w:rsidR="00BA111F" w:rsidRPr="00AD2C01" w:rsidRDefault="00BA111F" w:rsidP="00BA111F">
      <w:pPr>
        <w:jc w:val="both"/>
        <w:rPr>
          <w:rFonts w:ascii="Arial" w:hAnsi="Arial" w:cs="Arial"/>
          <w:b/>
          <w:sz w:val="16"/>
          <w:szCs w:val="16"/>
        </w:rPr>
      </w:pPr>
      <w:r>
        <w:rPr>
          <w:sz w:val="16"/>
          <w:szCs w:val="16"/>
        </w:rPr>
        <w:t xml:space="preserve">FUENTE: Tomado del </w:t>
      </w:r>
      <w:r w:rsidRPr="00AD2C01">
        <w:rPr>
          <w:sz w:val="16"/>
          <w:szCs w:val="16"/>
        </w:rPr>
        <w:t>Instituto Geográfico Agustín Codazzi. (2015). Informe al Congreso de la República</w:t>
      </w:r>
      <w:r>
        <w:rPr>
          <w:sz w:val="16"/>
          <w:szCs w:val="16"/>
        </w:rPr>
        <w:t>.</w:t>
      </w:r>
    </w:p>
    <w:p w:rsidR="00BA111F" w:rsidRPr="00C03AB2" w:rsidRDefault="00BA111F" w:rsidP="00BA111F">
      <w:pPr>
        <w:jc w:val="both"/>
        <w:rPr>
          <w:rFonts w:ascii="Arial" w:hAnsi="Arial" w:cs="Arial"/>
          <w:b/>
          <w:sz w:val="24"/>
          <w:szCs w:val="24"/>
        </w:rPr>
      </w:pPr>
    </w:p>
    <w:p w:rsidR="00BA111F" w:rsidRPr="003001E7" w:rsidRDefault="00BA111F" w:rsidP="00BA111F">
      <w:pPr>
        <w:jc w:val="both"/>
        <w:rPr>
          <w:rFonts w:ascii="Arial" w:hAnsi="Arial" w:cs="Arial"/>
          <w:sz w:val="24"/>
          <w:szCs w:val="24"/>
        </w:rPr>
      </w:pPr>
      <w:r>
        <w:rPr>
          <w:rFonts w:ascii="Arial" w:hAnsi="Arial" w:cs="Arial"/>
          <w:b/>
          <w:sz w:val="24"/>
          <w:szCs w:val="24"/>
        </w:rPr>
        <w:t>4.4. Incremento generalizado del valor de la propiedad raíz en Colombia.</w:t>
      </w:r>
    </w:p>
    <w:p w:rsidR="00BA111F" w:rsidRDefault="00BA111F" w:rsidP="00BA111F">
      <w:pPr>
        <w:jc w:val="both"/>
        <w:rPr>
          <w:rFonts w:ascii="Arial" w:hAnsi="Arial" w:cs="Arial"/>
          <w:sz w:val="24"/>
          <w:szCs w:val="24"/>
        </w:rPr>
      </w:pPr>
      <w:r>
        <w:rPr>
          <w:rFonts w:ascii="Arial" w:hAnsi="Arial" w:cs="Arial"/>
          <w:sz w:val="24"/>
          <w:szCs w:val="24"/>
        </w:rPr>
        <w:t>Parte de la problemática de las amplias variaciones en el cobro del impuesto predial unificado, se originan en las variaciones del valor comercial de la propiedad raíz en el país, este no es un hecho exclusivo de la ciudad de Bogotá D.C.</w:t>
      </w:r>
    </w:p>
    <w:p w:rsidR="00BA111F" w:rsidRDefault="00BA111F" w:rsidP="00BA111F">
      <w:pPr>
        <w:jc w:val="both"/>
        <w:rPr>
          <w:rFonts w:ascii="Arial" w:hAnsi="Arial" w:cs="Arial"/>
          <w:sz w:val="24"/>
          <w:szCs w:val="24"/>
        </w:rPr>
      </w:pPr>
      <w:r>
        <w:rPr>
          <w:rFonts w:ascii="Arial" w:hAnsi="Arial" w:cs="Arial"/>
          <w:sz w:val="24"/>
          <w:szCs w:val="24"/>
        </w:rPr>
        <w:t>Empleando la variación del Índice de Valoración Predial del Departamento Administrativo Nacional de Estadística DANE para 22 ciudades del país</w:t>
      </w:r>
      <w:r>
        <w:rPr>
          <w:rStyle w:val="Refdenotaalpie"/>
          <w:rFonts w:ascii="Arial" w:hAnsi="Arial" w:cs="Arial"/>
          <w:sz w:val="24"/>
          <w:szCs w:val="24"/>
        </w:rPr>
        <w:footnoteReference w:id="21"/>
      </w:r>
      <w:r>
        <w:rPr>
          <w:rFonts w:ascii="Arial" w:hAnsi="Arial" w:cs="Arial"/>
          <w:sz w:val="24"/>
          <w:szCs w:val="24"/>
        </w:rPr>
        <w:t xml:space="preserve"> y el </w:t>
      </w:r>
      <w:r w:rsidRPr="006D666C">
        <w:rPr>
          <w:rFonts w:ascii="Arial" w:hAnsi="Arial" w:cs="Arial"/>
          <w:sz w:val="24"/>
          <w:szCs w:val="24"/>
        </w:rPr>
        <w:t>Índice del Precio del Suelo Urbano Residencial en Bogotá IPSB</w:t>
      </w:r>
      <w:r>
        <w:rPr>
          <w:rFonts w:ascii="Arial" w:hAnsi="Arial" w:cs="Arial"/>
          <w:sz w:val="24"/>
          <w:szCs w:val="24"/>
        </w:rPr>
        <w:t xml:space="preserve"> del Banco de la </w:t>
      </w:r>
      <w:r>
        <w:rPr>
          <w:rFonts w:ascii="Arial" w:hAnsi="Arial" w:cs="Arial"/>
          <w:sz w:val="24"/>
          <w:szCs w:val="24"/>
        </w:rPr>
        <w:lastRenderedPageBreak/>
        <w:t>República para el caso de la capital, desde el año 2003 hasta el año 2016, se puede observar que un predio que para el año 2003 costaba COP$100.000.000 en las diferentes ciudades del país, para el año 2016 costaba COP$ 384.732.806 pesos en la Ciudad de Bogotá D.C., COP$252.315.864 en la ciudad de Tunja, COP$ 227.790.785 en la ciudad de Santa Marta, COP$ 221.956.768 en Riohacha, COP$ 220.578.565 en Popayán, COP$ 210.942.373 en Neiva y COP$ 209.784.733 en Manizales.</w:t>
      </w:r>
    </w:p>
    <w:p w:rsidR="00BA111F" w:rsidRDefault="00BA111F" w:rsidP="00BA111F">
      <w:pPr>
        <w:jc w:val="both"/>
        <w:rPr>
          <w:rFonts w:ascii="Arial" w:hAnsi="Arial" w:cs="Arial"/>
          <w:sz w:val="24"/>
          <w:szCs w:val="24"/>
        </w:rPr>
      </w:pPr>
    </w:p>
    <w:p w:rsidR="00BA111F" w:rsidRDefault="00BA111F" w:rsidP="00BA111F">
      <w:pPr>
        <w:jc w:val="both"/>
        <w:rPr>
          <w:rFonts w:ascii="Arial" w:hAnsi="Arial" w:cs="Arial"/>
          <w:sz w:val="24"/>
          <w:szCs w:val="24"/>
        </w:rPr>
        <w:sectPr w:rsidR="00BA111F" w:rsidSect="00BC5C25">
          <w:headerReference w:type="default" r:id="rId21"/>
          <w:footerReference w:type="default" r:id="rId22"/>
          <w:pgSz w:w="12240" w:h="15840"/>
          <w:pgMar w:top="2381" w:right="1701" w:bottom="1418" w:left="1701" w:header="709" w:footer="709" w:gutter="0"/>
          <w:cols w:space="708"/>
          <w:docGrid w:linePitch="360"/>
        </w:sectPr>
      </w:pPr>
    </w:p>
    <w:p w:rsidR="00BA111F" w:rsidRDefault="00BA111F" w:rsidP="00BA111F">
      <w:pPr>
        <w:jc w:val="both"/>
        <w:rPr>
          <w:rFonts w:ascii="Arial" w:hAnsi="Arial" w:cs="Arial"/>
          <w:sz w:val="24"/>
          <w:szCs w:val="24"/>
        </w:rPr>
      </w:pPr>
    </w:p>
    <w:p w:rsidR="00BA111F" w:rsidRDefault="00BA111F" w:rsidP="00BA111F">
      <w:pPr>
        <w:jc w:val="both"/>
        <w:rPr>
          <w:rFonts w:ascii="Arial" w:hAnsi="Arial" w:cs="Arial"/>
          <w:sz w:val="24"/>
          <w:szCs w:val="24"/>
        </w:rPr>
      </w:pPr>
    </w:p>
    <w:p w:rsidR="00BA111F" w:rsidRDefault="00BA111F" w:rsidP="00BA111F">
      <w:pPr>
        <w:jc w:val="both"/>
        <w:rPr>
          <w:rFonts w:ascii="Arial" w:hAnsi="Arial" w:cs="Arial"/>
          <w:sz w:val="24"/>
          <w:szCs w:val="24"/>
        </w:rPr>
      </w:pPr>
      <w:r w:rsidRPr="007109CC">
        <w:rPr>
          <w:noProof/>
          <w:lang w:eastAsia="es-CO"/>
        </w:rPr>
        <w:drawing>
          <wp:inline distT="0" distB="0" distL="0" distR="0" wp14:anchorId="3A974937" wp14:editId="58E09D91">
            <wp:extent cx="7825563" cy="286015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826817" cy="2860616"/>
                    </a:xfrm>
                    <a:prstGeom prst="rect">
                      <a:avLst/>
                    </a:prstGeom>
                    <a:noFill/>
                    <a:ln>
                      <a:noFill/>
                    </a:ln>
                  </pic:spPr>
                </pic:pic>
              </a:graphicData>
            </a:graphic>
          </wp:inline>
        </w:drawing>
      </w:r>
    </w:p>
    <w:p w:rsidR="00BA111F" w:rsidRDefault="00BA111F" w:rsidP="00BA111F">
      <w:pPr>
        <w:jc w:val="both"/>
        <w:rPr>
          <w:rFonts w:ascii="Arial" w:hAnsi="Arial" w:cs="Arial"/>
          <w:sz w:val="24"/>
          <w:szCs w:val="24"/>
        </w:rPr>
      </w:pPr>
    </w:p>
    <w:p w:rsidR="00BA111F" w:rsidRDefault="00BA111F" w:rsidP="00BA111F">
      <w:pPr>
        <w:jc w:val="both"/>
        <w:rPr>
          <w:rFonts w:ascii="Arial" w:hAnsi="Arial" w:cs="Arial"/>
          <w:sz w:val="24"/>
          <w:szCs w:val="24"/>
        </w:rPr>
        <w:sectPr w:rsidR="00BA111F" w:rsidSect="008E1CAE">
          <w:pgSz w:w="15840" w:h="12240" w:orient="landscape"/>
          <w:pgMar w:top="1701" w:right="1418" w:bottom="1701" w:left="2381" w:header="709" w:footer="709" w:gutter="0"/>
          <w:cols w:space="708"/>
          <w:docGrid w:linePitch="360"/>
        </w:sectPr>
      </w:pPr>
    </w:p>
    <w:p w:rsidR="00BA111F" w:rsidRDefault="00BA111F" w:rsidP="00BA111F">
      <w:pPr>
        <w:jc w:val="both"/>
        <w:rPr>
          <w:rFonts w:ascii="Arial" w:hAnsi="Arial" w:cs="Arial"/>
          <w:sz w:val="24"/>
          <w:szCs w:val="24"/>
        </w:rPr>
      </w:pPr>
      <w:r>
        <w:rPr>
          <w:rFonts w:ascii="Arial" w:hAnsi="Arial" w:cs="Arial"/>
          <w:sz w:val="24"/>
          <w:szCs w:val="24"/>
        </w:rPr>
        <w:lastRenderedPageBreak/>
        <w:t xml:space="preserve">El </w:t>
      </w:r>
      <w:r w:rsidRPr="003001E7">
        <w:rPr>
          <w:rFonts w:ascii="Arial" w:hAnsi="Arial" w:cs="Arial"/>
          <w:sz w:val="24"/>
          <w:szCs w:val="24"/>
        </w:rPr>
        <w:t xml:space="preserve">incremento </w:t>
      </w:r>
      <w:r>
        <w:rPr>
          <w:rFonts w:ascii="Arial" w:hAnsi="Arial" w:cs="Arial"/>
          <w:sz w:val="24"/>
          <w:szCs w:val="24"/>
        </w:rPr>
        <w:t>en el impuesto predial unificado en varias regiones del país, ha estado acompañado de múltiples protestas de la sociedad en general. Lo anterior ha sido referenciado por diferentes medios de comunicación en distintos lugares de territorio colombiano así:</w:t>
      </w:r>
    </w:p>
    <w:p w:rsidR="00BA111F" w:rsidRDefault="00BA111F" w:rsidP="00BA111F">
      <w:pPr>
        <w:jc w:val="both"/>
        <w:rPr>
          <w:rFonts w:ascii="Arial" w:hAnsi="Arial" w:cs="Arial"/>
          <w:sz w:val="24"/>
          <w:szCs w:val="24"/>
        </w:rPr>
      </w:pPr>
    </w:p>
    <w:p w:rsidR="00BA111F" w:rsidRPr="002F5908" w:rsidRDefault="00BA111F" w:rsidP="00BA111F">
      <w:pPr>
        <w:pStyle w:val="Prrafodelista"/>
        <w:numPr>
          <w:ilvl w:val="0"/>
          <w:numId w:val="19"/>
        </w:numPr>
        <w:jc w:val="both"/>
        <w:rPr>
          <w:rFonts w:ascii="Arial" w:hAnsi="Arial" w:cs="Arial"/>
          <w:sz w:val="24"/>
          <w:szCs w:val="24"/>
        </w:rPr>
      </w:pPr>
      <w:r>
        <w:rPr>
          <w:rFonts w:ascii="Arial" w:hAnsi="Arial" w:cs="Arial"/>
          <w:sz w:val="24"/>
          <w:szCs w:val="24"/>
        </w:rPr>
        <w:t xml:space="preserve">Caracol. 2 de septiembre de 2018. </w:t>
      </w:r>
      <w:r w:rsidRPr="002F5908">
        <w:rPr>
          <w:rFonts w:ascii="Arial" w:hAnsi="Arial" w:cs="Arial"/>
          <w:sz w:val="24"/>
          <w:szCs w:val="24"/>
        </w:rPr>
        <w:t>IGAC revisará actualización catastral tras polémica por predial en Tunja</w:t>
      </w:r>
      <w:r>
        <w:rPr>
          <w:rFonts w:ascii="Arial" w:hAnsi="Arial" w:cs="Arial"/>
          <w:sz w:val="24"/>
          <w:szCs w:val="24"/>
        </w:rPr>
        <w:t>. “..</w:t>
      </w:r>
      <w:r w:rsidRPr="002F5908">
        <w:rPr>
          <w:rFonts w:ascii="Arial" w:hAnsi="Arial" w:cs="Arial"/>
          <w:i/>
          <w:sz w:val="24"/>
          <w:szCs w:val="24"/>
        </w:rPr>
        <w:t>El pasado 2 de febrero el alcalde de Tunja, Pablo Emilio Cepeda, formuló solicitud al Instituto Geográfico Agustín Codazzi (IGAC) para que revisara la actualización catastral en Tunja que generó el aumento del cobro del impuesto predial en más de un 300% para la mayoría de los predios, y a su vez un inconformismo en la ciudad que se demostró en cacerolazos y manifestaciones…</w:t>
      </w:r>
      <w:r>
        <w:rPr>
          <w:rFonts w:ascii="Arial" w:hAnsi="Arial" w:cs="Arial"/>
          <w:sz w:val="24"/>
          <w:szCs w:val="24"/>
        </w:rPr>
        <w:t>”</w:t>
      </w:r>
    </w:p>
    <w:p w:rsidR="00BA111F" w:rsidRPr="00E145DC" w:rsidRDefault="00BA111F" w:rsidP="00BA111F">
      <w:pPr>
        <w:pStyle w:val="Prrafodelista"/>
        <w:numPr>
          <w:ilvl w:val="0"/>
          <w:numId w:val="5"/>
        </w:numPr>
        <w:jc w:val="both"/>
        <w:rPr>
          <w:rFonts w:ascii="Roboto" w:eastAsia="Times New Roman" w:hAnsi="Roboto" w:cs="Times New Roman"/>
          <w:i/>
          <w:iCs/>
          <w:color w:val="333333"/>
          <w:sz w:val="24"/>
          <w:szCs w:val="24"/>
          <w:lang w:eastAsia="es-CO"/>
        </w:rPr>
      </w:pPr>
      <w:r>
        <w:rPr>
          <w:rFonts w:ascii="Arial" w:hAnsi="Arial" w:cs="Arial"/>
          <w:sz w:val="24"/>
          <w:szCs w:val="24"/>
        </w:rPr>
        <w:t>El Espectador. 8 de Abril de 2015. ¿Un predial por las nubes?</w:t>
      </w:r>
      <w:r w:rsidRPr="00E145DC">
        <w:rPr>
          <w:rFonts w:ascii="Arial" w:hAnsi="Arial" w:cs="Arial"/>
          <w:i/>
          <w:sz w:val="24"/>
          <w:szCs w:val="24"/>
        </w:rPr>
        <w:t xml:space="preserve">.... </w:t>
      </w:r>
      <w:r w:rsidRPr="00780CCD">
        <w:rPr>
          <w:rFonts w:ascii="Arial" w:hAnsi="Arial" w:cs="Arial"/>
          <w:i/>
          <w:sz w:val="24"/>
          <w:szCs w:val="24"/>
        </w:rPr>
        <w:t>“..</w:t>
      </w:r>
      <w:r w:rsidRPr="00780CCD">
        <w:rPr>
          <w:rFonts w:ascii="Arial" w:eastAsia="Times New Roman" w:hAnsi="Arial" w:cs="Arial"/>
          <w:i/>
          <w:iCs/>
          <w:color w:val="333333"/>
          <w:sz w:val="24"/>
          <w:szCs w:val="24"/>
          <w:lang w:eastAsia="es-CO"/>
        </w:rPr>
        <w:t>Protestas de los habitantes de Normandía por el cobro del predial……</w:t>
      </w:r>
      <w:r w:rsidRPr="00780CCD">
        <w:rPr>
          <w:rFonts w:ascii="Arial" w:eastAsia="Times New Roman" w:hAnsi="Arial" w:cs="Arial"/>
          <w:color w:val="333333"/>
          <w:sz w:val="24"/>
          <w:szCs w:val="24"/>
          <w:lang w:eastAsia="es-CO"/>
        </w:rPr>
        <w:t xml:space="preserve"> </w:t>
      </w:r>
      <w:r w:rsidRPr="00780CCD">
        <w:rPr>
          <w:rFonts w:ascii="Arial" w:eastAsia="Times New Roman" w:hAnsi="Arial" w:cs="Arial"/>
          <w:i/>
          <w:iCs/>
          <w:color w:val="333333"/>
          <w:sz w:val="24"/>
          <w:szCs w:val="24"/>
          <w:lang w:eastAsia="es-CO"/>
        </w:rPr>
        <w:t>El contralor distrital, Diego Ardila, dijo que entre 2011 y 2015 el avalúo de los predios bogotanos ha tenido un incremento del 84%. Según él, los reparos por el cobro no sólo provienen de estratos 4 o 5. “Llama la atención que en Tunjuelito, en el barrio Artillería el aumento fue de 130,61%. Lo propio sucede en Engativá en el barrio Santa Cecilia, donde hubo un incremento de 61,14%, y en la localidad de Suba en el barrio Las Villas fue del 15,57%. Se esperaría que el aumento atienda el incremento de los salarios, pero esto no sucede así”</w:t>
      </w:r>
      <w:r w:rsidRPr="00E145DC">
        <w:rPr>
          <w:rFonts w:ascii="Roboto" w:eastAsia="Times New Roman" w:hAnsi="Roboto" w:cs="Times New Roman"/>
          <w:i/>
          <w:iCs/>
          <w:color w:val="333333"/>
          <w:sz w:val="24"/>
          <w:szCs w:val="24"/>
          <w:lang w:eastAsia="es-CO"/>
        </w:rPr>
        <w:t>.</w:t>
      </w:r>
      <w:r>
        <w:rPr>
          <w:rFonts w:ascii="Roboto" w:eastAsia="Times New Roman" w:hAnsi="Roboto" w:cs="Times New Roman"/>
          <w:i/>
          <w:iCs/>
          <w:color w:val="333333"/>
          <w:sz w:val="24"/>
          <w:szCs w:val="24"/>
          <w:lang w:eastAsia="es-CO"/>
        </w:rPr>
        <w:t>”</w:t>
      </w:r>
    </w:p>
    <w:p w:rsidR="00BA111F" w:rsidRPr="00780CCD" w:rsidRDefault="00BA111F" w:rsidP="00BA111F">
      <w:pPr>
        <w:pStyle w:val="Prrafodelista"/>
        <w:numPr>
          <w:ilvl w:val="0"/>
          <w:numId w:val="5"/>
        </w:numPr>
        <w:jc w:val="both"/>
        <w:rPr>
          <w:rFonts w:ascii="Arial" w:hAnsi="Arial" w:cs="Arial"/>
          <w:i/>
          <w:sz w:val="24"/>
          <w:szCs w:val="24"/>
        </w:rPr>
      </w:pPr>
      <w:r w:rsidRPr="00780CCD">
        <w:rPr>
          <w:rFonts w:ascii="Arial" w:hAnsi="Arial" w:cs="Arial"/>
          <w:sz w:val="24"/>
          <w:szCs w:val="24"/>
        </w:rPr>
        <w:t>El Espectador. 8 de Abril de 2015. ¿Un predial inhumano?</w:t>
      </w:r>
      <w:r w:rsidRPr="00780CCD">
        <w:rPr>
          <w:rFonts w:ascii="Arial" w:hAnsi="Arial" w:cs="Arial"/>
          <w:i/>
          <w:sz w:val="24"/>
          <w:szCs w:val="24"/>
        </w:rPr>
        <w:t>.... “Indignación ha producido en Bogotá la facturación del impuesto predial y en especial el aplicado al sector residencial. La queja generalizada es que dicho impuesto está superando la capacidad de pago de la población….Hay razón para la denuncia. El recaudo del impuesto predial en 2011 fue de $1 billón y en 2014 alcanzó $1,7 billones, es decir, 70% más, y si se suma el 28% que el Distrito aspira a recoger según el presupuesto vigente para 2015, llegaría a $2 billones, con lo que el alza para estos cuatro años fiscales superará el 98%.</w:t>
      </w:r>
    </w:p>
    <w:p w:rsidR="00BA111F" w:rsidRPr="00A8758F" w:rsidRDefault="00BA111F" w:rsidP="00BA111F">
      <w:pPr>
        <w:pStyle w:val="Prrafodelista"/>
        <w:numPr>
          <w:ilvl w:val="0"/>
          <w:numId w:val="5"/>
        </w:numPr>
        <w:jc w:val="both"/>
        <w:rPr>
          <w:rFonts w:ascii="Arial" w:hAnsi="Arial" w:cs="Arial"/>
          <w:i/>
          <w:sz w:val="24"/>
          <w:szCs w:val="24"/>
        </w:rPr>
      </w:pPr>
      <w:r w:rsidRPr="00C42F76">
        <w:rPr>
          <w:rFonts w:ascii="Arial" w:hAnsi="Arial" w:cs="Arial"/>
          <w:sz w:val="24"/>
          <w:szCs w:val="24"/>
        </w:rPr>
        <w:t xml:space="preserve">El Heraldo. 16 de Enero de 2013. Quejas en Cartagena por aumento del predial. …. </w:t>
      </w:r>
      <w:r w:rsidRPr="00C42F76">
        <w:rPr>
          <w:rFonts w:ascii="Arial" w:hAnsi="Arial" w:cs="Arial"/>
          <w:i/>
          <w:sz w:val="24"/>
          <w:szCs w:val="24"/>
        </w:rPr>
        <w:t>“A las quejas ciudadanas por un exagerado incremento en el valor del impuesto predial, se le sumó ayer la del Consejo Gremial de Bolívar…Según la agremiación, este año se observa aumentos a los avalúos de gran consideración, los cuales impactaron la base de liquidación</w:t>
      </w:r>
      <w:r w:rsidRPr="00A8758F">
        <w:rPr>
          <w:rFonts w:ascii="Arial" w:hAnsi="Arial" w:cs="Arial"/>
          <w:i/>
          <w:sz w:val="24"/>
          <w:szCs w:val="24"/>
        </w:rPr>
        <w:t xml:space="preserve"> </w:t>
      </w:r>
      <w:r w:rsidRPr="00A8758F">
        <w:rPr>
          <w:rFonts w:ascii="Arial" w:hAnsi="Arial" w:cs="Arial"/>
          <w:i/>
          <w:sz w:val="24"/>
          <w:szCs w:val="24"/>
        </w:rPr>
        <w:lastRenderedPageBreak/>
        <w:t xml:space="preserve">del predial hasta el punto que estaría por encima de la cifra que autorizó el Gobierno nacional mediante el Decreto 2783…. Los gremios denunciaron un trato desigual para los sectores no residenciales, los cuales registraron aumentos significativos de los avalúos. “Recordemos que sectores como el comercial sufrieron incrementos promedio del 55%, y el industrial del 104 % desde el 2009 y en el mismo sentido los lotes y los institucionales y ahora han sido sometidos al proceso de actualización”, dijo Mónica </w:t>
      </w:r>
      <w:proofErr w:type="spellStart"/>
      <w:r w:rsidRPr="00A8758F">
        <w:rPr>
          <w:rFonts w:ascii="Arial" w:hAnsi="Arial" w:cs="Arial"/>
          <w:i/>
          <w:sz w:val="24"/>
          <w:szCs w:val="24"/>
        </w:rPr>
        <w:t>Fadul</w:t>
      </w:r>
      <w:proofErr w:type="spellEnd"/>
      <w:r w:rsidRPr="00A8758F">
        <w:rPr>
          <w:rFonts w:ascii="Arial" w:hAnsi="Arial" w:cs="Arial"/>
          <w:i/>
          <w:sz w:val="24"/>
          <w:szCs w:val="24"/>
        </w:rPr>
        <w:t>, vocera del Consejo Gremial. EM</w:t>
      </w:r>
      <w:r>
        <w:rPr>
          <w:rFonts w:ascii="Arial" w:hAnsi="Arial" w:cs="Arial"/>
          <w:i/>
          <w:sz w:val="24"/>
          <w:szCs w:val="24"/>
        </w:rPr>
        <w:t>”</w:t>
      </w:r>
    </w:p>
    <w:p w:rsidR="00BA111F" w:rsidRPr="005E4AF5" w:rsidRDefault="00BA111F" w:rsidP="00BA111F">
      <w:pPr>
        <w:pStyle w:val="Prrafodelista"/>
        <w:numPr>
          <w:ilvl w:val="0"/>
          <w:numId w:val="5"/>
        </w:numPr>
        <w:jc w:val="both"/>
        <w:rPr>
          <w:rFonts w:ascii="Arial" w:hAnsi="Arial" w:cs="Arial"/>
          <w:i/>
          <w:sz w:val="24"/>
          <w:szCs w:val="24"/>
        </w:rPr>
      </w:pPr>
      <w:r>
        <w:rPr>
          <w:rFonts w:ascii="Arial" w:hAnsi="Arial" w:cs="Arial"/>
          <w:sz w:val="24"/>
          <w:szCs w:val="24"/>
        </w:rPr>
        <w:t xml:space="preserve">El Meridiano de Córdoba. 28 de Febrero de </w:t>
      </w:r>
      <w:r w:rsidRPr="007D1537">
        <w:rPr>
          <w:rFonts w:ascii="Arial" w:hAnsi="Arial" w:cs="Arial"/>
          <w:sz w:val="24"/>
          <w:szCs w:val="24"/>
        </w:rPr>
        <w:t>2013….</w:t>
      </w:r>
      <w:r w:rsidRPr="007D1537">
        <w:rPr>
          <w:rFonts w:ascii="Arial" w:hAnsi="Arial" w:cs="Arial"/>
          <w:i/>
          <w:sz w:val="24"/>
          <w:szCs w:val="24"/>
        </w:rPr>
        <w:t xml:space="preserve"> “</w:t>
      </w:r>
      <w:r w:rsidRPr="007D1537">
        <w:rPr>
          <w:rFonts w:ascii="Arial" w:hAnsi="Arial" w:cs="Arial"/>
          <w:b/>
          <w:bCs/>
          <w:i/>
          <w:sz w:val="24"/>
          <w:szCs w:val="24"/>
        </w:rPr>
        <w:t>Montería.</w:t>
      </w:r>
      <w:r w:rsidRPr="007D1537">
        <w:rPr>
          <w:rFonts w:ascii="Arial" w:hAnsi="Arial" w:cs="Arial"/>
          <w:i/>
          <w:sz w:val="24"/>
          <w:szCs w:val="24"/>
        </w:rPr>
        <w:t> El exagerado incremento de los avalúos catastrales por parte del Instituto Geográfico Agustín Codazzi (</w:t>
      </w:r>
      <w:proofErr w:type="spellStart"/>
      <w:r w:rsidRPr="007D1537">
        <w:rPr>
          <w:rFonts w:ascii="Arial" w:hAnsi="Arial" w:cs="Arial"/>
          <w:i/>
          <w:sz w:val="24"/>
          <w:szCs w:val="24"/>
        </w:rPr>
        <w:t>Igac</w:t>
      </w:r>
      <w:proofErr w:type="spellEnd"/>
      <w:r w:rsidRPr="007D1537">
        <w:rPr>
          <w:rFonts w:ascii="Arial" w:hAnsi="Arial" w:cs="Arial"/>
          <w:i/>
          <w:sz w:val="24"/>
          <w:szCs w:val="24"/>
        </w:rPr>
        <w:t>) tiene a los propietarios de predios en esta capital desconcertados, pues las explicaciones de la entidad no subsanan el daño causado</w:t>
      </w:r>
      <w:r w:rsidRPr="007D1537">
        <w:rPr>
          <w:rFonts w:ascii="Arial" w:hAnsi="Arial" w:cs="Arial"/>
          <w:i/>
          <w:iCs/>
          <w:sz w:val="24"/>
          <w:szCs w:val="24"/>
        </w:rPr>
        <w:t>.”</w:t>
      </w:r>
    </w:p>
    <w:p w:rsidR="00BA111F" w:rsidRPr="00444DC2" w:rsidRDefault="00BA111F" w:rsidP="00BA111F">
      <w:pPr>
        <w:pStyle w:val="Prrafodelista"/>
        <w:numPr>
          <w:ilvl w:val="0"/>
          <w:numId w:val="5"/>
        </w:numPr>
        <w:jc w:val="both"/>
        <w:rPr>
          <w:rFonts w:ascii="Arial" w:hAnsi="Arial" w:cs="Arial"/>
          <w:b/>
          <w:i/>
          <w:sz w:val="24"/>
          <w:szCs w:val="24"/>
        </w:rPr>
      </w:pPr>
      <w:r w:rsidRPr="005E4AF5">
        <w:rPr>
          <w:rFonts w:ascii="Arial" w:hAnsi="Arial" w:cs="Arial"/>
          <w:iCs/>
          <w:sz w:val="24"/>
          <w:szCs w:val="24"/>
        </w:rPr>
        <w:t>Vanguardia. 10 de enero de 2015. Voces de inconformismo por alzas en el Impuesto Predial en Bucaramanga…</w:t>
      </w:r>
      <w:proofErr w:type="gramStart"/>
      <w:r w:rsidRPr="005E4AF5">
        <w:rPr>
          <w:rFonts w:ascii="Arial" w:hAnsi="Arial" w:cs="Arial"/>
          <w:iCs/>
          <w:sz w:val="24"/>
          <w:szCs w:val="24"/>
        </w:rPr>
        <w:t>..</w:t>
      </w:r>
      <w:proofErr w:type="gramEnd"/>
      <w:r w:rsidRPr="005E4AF5">
        <w:rPr>
          <w:rFonts w:ascii="Arial" w:hAnsi="Arial" w:cs="Arial"/>
          <w:iCs/>
          <w:sz w:val="24"/>
          <w:szCs w:val="24"/>
        </w:rPr>
        <w:t xml:space="preserve"> “</w:t>
      </w:r>
      <w:r w:rsidRPr="005E4AF5">
        <w:rPr>
          <w:rFonts w:ascii="Arial" w:hAnsi="Arial" w:cs="Arial"/>
          <w:i/>
          <w:iCs/>
          <w:sz w:val="24"/>
          <w:szCs w:val="24"/>
        </w:rPr>
        <w:t>Hay dudas por el inusitado aumento del Impuesto Predial. Se sabe de dueños a quienes se les subió por encima del 10% y no saben por qué. Hacienda Municipal habla sobre este tema…….</w:t>
      </w:r>
      <w:r w:rsidRPr="005E4AF5">
        <w:rPr>
          <w:rFonts w:ascii="Arial" w:hAnsi="Arial" w:cs="Arial"/>
          <w:iCs/>
          <w:sz w:val="24"/>
          <w:szCs w:val="24"/>
        </w:rPr>
        <w:t>”</w:t>
      </w:r>
    </w:p>
    <w:p w:rsidR="00BA111F" w:rsidRPr="00101243" w:rsidRDefault="00BA111F" w:rsidP="00BA111F">
      <w:pPr>
        <w:pStyle w:val="Prrafodelista"/>
        <w:numPr>
          <w:ilvl w:val="0"/>
          <w:numId w:val="5"/>
        </w:numPr>
        <w:jc w:val="both"/>
        <w:rPr>
          <w:rFonts w:ascii="Arial" w:hAnsi="Arial" w:cs="Arial"/>
          <w:b/>
          <w:i/>
          <w:sz w:val="24"/>
          <w:szCs w:val="24"/>
        </w:rPr>
      </w:pPr>
      <w:r>
        <w:rPr>
          <w:rFonts w:ascii="Arial" w:hAnsi="Arial" w:cs="Arial"/>
          <w:sz w:val="24"/>
          <w:szCs w:val="24"/>
        </w:rPr>
        <w:t>La opinión. 8 de marzo de 2012. …. “</w:t>
      </w:r>
      <w:r w:rsidRPr="00444DC2">
        <w:rPr>
          <w:rFonts w:ascii="Arial" w:hAnsi="Arial" w:cs="Arial"/>
          <w:i/>
          <w:sz w:val="24"/>
          <w:szCs w:val="24"/>
        </w:rPr>
        <w:t>El aumento del impuesto predial en Cúcuta tiene en ascuas a los contribuyentes, quienes consideran que  esa contribución  que se cobrará a partir de este año, basada en la actualización que se hizo en el avalúo  catastral  y las tarifas dispuestas por el Concejo, sobrepasa en mucho su capacidad económica…..</w:t>
      </w:r>
      <w:r>
        <w:rPr>
          <w:rFonts w:ascii="Arial" w:hAnsi="Arial" w:cs="Arial"/>
          <w:sz w:val="24"/>
          <w:szCs w:val="24"/>
        </w:rPr>
        <w:t>”</w:t>
      </w:r>
    </w:p>
    <w:p w:rsidR="00BA111F" w:rsidRPr="005E4AF5" w:rsidRDefault="00BA111F" w:rsidP="00BA111F">
      <w:pPr>
        <w:pStyle w:val="Prrafodelista"/>
        <w:jc w:val="both"/>
        <w:rPr>
          <w:rFonts w:ascii="Arial" w:hAnsi="Arial" w:cs="Arial"/>
          <w:b/>
          <w:i/>
          <w:sz w:val="24"/>
          <w:szCs w:val="24"/>
        </w:rPr>
      </w:pPr>
    </w:p>
    <w:p w:rsidR="00BA111F" w:rsidRDefault="00BA111F" w:rsidP="00BA111F">
      <w:pPr>
        <w:jc w:val="both"/>
        <w:rPr>
          <w:rFonts w:ascii="Arial" w:hAnsi="Arial" w:cs="Arial"/>
          <w:sz w:val="24"/>
          <w:szCs w:val="24"/>
        </w:rPr>
      </w:pPr>
      <w:r>
        <w:rPr>
          <w:rFonts w:ascii="Arial" w:hAnsi="Arial" w:cs="Arial"/>
          <w:sz w:val="24"/>
          <w:szCs w:val="24"/>
        </w:rPr>
        <w:t>Para el caso particular de Bogotá D.C., la Contraloría Distrital manifestó</w:t>
      </w:r>
      <w:r>
        <w:rPr>
          <w:rStyle w:val="Refdenotaalpie"/>
          <w:rFonts w:ascii="Arial" w:hAnsi="Arial" w:cs="Arial"/>
          <w:sz w:val="24"/>
          <w:szCs w:val="24"/>
        </w:rPr>
        <w:footnoteReference w:id="22"/>
      </w:r>
      <w:r>
        <w:rPr>
          <w:rFonts w:ascii="Arial" w:hAnsi="Arial" w:cs="Arial"/>
          <w:sz w:val="24"/>
          <w:szCs w:val="24"/>
        </w:rPr>
        <w:t>:</w:t>
      </w:r>
    </w:p>
    <w:p w:rsidR="00BA111F" w:rsidRPr="007C0B88" w:rsidRDefault="00BA111F" w:rsidP="00BA111F">
      <w:pPr>
        <w:jc w:val="both"/>
        <w:rPr>
          <w:rFonts w:ascii="Arial" w:hAnsi="Arial" w:cs="Arial"/>
          <w:i/>
          <w:sz w:val="24"/>
          <w:szCs w:val="24"/>
        </w:rPr>
      </w:pPr>
      <w:r w:rsidRPr="007C0B88">
        <w:rPr>
          <w:rFonts w:ascii="Arial" w:hAnsi="Arial" w:cs="Arial"/>
          <w:i/>
          <w:sz w:val="24"/>
          <w:szCs w:val="24"/>
        </w:rPr>
        <w:t>“…</w:t>
      </w:r>
      <w:r>
        <w:rPr>
          <w:rFonts w:ascii="Arial" w:hAnsi="Arial" w:cs="Arial"/>
          <w:i/>
          <w:sz w:val="24"/>
          <w:szCs w:val="24"/>
        </w:rPr>
        <w:t xml:space="preserve"> </w:t>
      </w:r>
      <w:r w:rsidRPr="007C0B88">
        <w:rPr>
          <w:rFonts w:ascii="Arial" w:hAnsi="Arial" w:cs="Arial"/>
          <w:i/>
          <w:sz w:val="24"/>
          <w:szCs w:val="24"/>
        </w:rPr>
        <w:t xml:space="preserve">Según el organismo de control fiscal varios factores pueden estar incidiendo en el aumento del pago del impuesto predial, como el </w:t>
      </w:r>
      <w:r w:rsidRPr="007C0B88">
        <w:rPr>
          <w:rFonts w:ascii="Arial" w:hAnsi="Arial" w:cs="Arial"/>
          <w:b/>
          <w:bCs/>
          <w:i/>
          <w:sz w:val="24"/>
          <w:szCs w:val="24"/>
        </w:rPr>
        <w:t>que año tras año ha subido y sigue subiendo el avalúo catastral</w:t>
      </w:r>
      <w:r w:rsidRPr="007C0B88">
        <w:rPr>
          <w:rFonts w:ascii="Arial" w:hAnsi="Arial" w:cs="Arial"/>
          <w:i/>
          <w:sz w:val="24"/>
          <w:szCs w:val="24"/>
        </w:rPr>
        <w:t xml:space="preserve">. Es así como el avalúo catastral RESIDENCIAL durante ese mismo período, se incrementó en un </w:t>
      </w:r>
      <w:r w:rsidRPr="007C0B88">
        <w:rPr>
          <w:rFonts w:ascii="Arial" w:hAnsi="Arial" w:cs="Arial"/>
          <w:b/>
          <w:bCs/>
          <w:i/>
          <w:sz w:val="24"/>
          <w:szCs w:val="24"/>
        </w:rPr>
        <w:t xml:space="preserve">84%, </w:t>
      </w:r>
      <w:r w:rsidRPr="007C0B88">
        <w:rPr>
          <w:rFonts w:ascii="Arial" w:hAnsi="Arial" w:cs="Arial"/>
          <w:i/>
          <w:sz w:val="24"/>
          <w:szCs w:val="24"/>
        </w:rPr>
        <w:t xml:space="preserve">pasando de $129 billones a $239 BILLONES, y en un solo año, 2014 a 2015, aumentó en un </w:t>
      </w:r>
      <w:r w:rsidRPr="007C0B88">
        <w:rPr>
          <w:rFonts w:ascii="Arial" w:hAnsi="Arial" w:cs="Arial"/>
          <w:b/>
          <w:bCs/>
          <w:i/>
          <w:sz w:val="24"/>
          <w:szCs w:val="24"/>
        </w:rPr>
        <w:t xml:space="preserve">13,76%. </w:t>
      </w:r>
    </w:p>
    <w:p w:rsidR="00BA111F" w:rsidRDefault="00BA111F" w:rsidP="00BA111F">
      <w:pPr>
        <w:jc w:val="both"/>
        <w:rPr>
          <w:rFonts w:ascii="Arial" w:hAnsi="Arial" w:cs="Arial"/>
          <w:i/>
          <w:sz w:val="24"/>
          <w:szCs w:val="24"/>
        </w:rPr>
      </w:pPr>
      <w:r w:rsidRPr="007C0B88">
        <w:rPr>
          <w:rFonts w:ascii="Arial" w:hAnsi="Arial" w:cs="Arial"/>
          <w:i/>
          <w:sz w:val="24"/>
          <w:szCs w:val="24"/>
        </w:rPr>
        <w:t xml:space="preserve">Un ejemplo de ello fue el que se presentó en sectores del estrato 4 como Normandía, donde el avalúo catastral aumentó en un 80% en los últimos 5 años, y </w:t>
      </w:r>
      <w:r w:rsidRPr="007C0B88">
        <w:rPr>
          <w:rFonts w:ascii="Arial" w:hAnsi="Arial" w:cs="Arial"/>
          <w:i/>
          <w:sz w:val="24"/>
          <w:szCs w:val="24"/>
        </w:rPr>
        <w:lastRenderedPageBreak/>
        <w:t>entre 2014 y 2015, en un 30,67%. Situación que también afectó a sectores de estratos más bajos como el de Área Artillería de Tunjuelito, donde en el último año, el avalúo catastral se incrementó en 130,61%. O en Cerro Colorado de Ciudad Bolívar en 79,93%. En Segundo Contador de Usaquén, en 72,25%. En Santa Cecilia, Engativá, en 61,14%</w:t>
      </w:r>
      <w:proofErr w:type="gramStart"/>
      <w:r w:rsidRPr="007C0B88">
        <w:rPr>
          <w:rFonts w:ascii="Arial" w:hAnsi="Arial" w:cs="Arial"/>
          <w:i/>
          <w:sz w:val="24"/>
          <w:szCs w:val="24"/>
        </w:rPr>
        <w:t>..”</w:t>
      </w:r>
      <w:proofErr w:type="gramEnd"/>
    </w:p>
    <w:p w:rsidR="00BA111F" w:rsidRPr="007C0B88" w:rsidRDefault="00BA111F" w:rsidP="00BA111F">
      <w:pPr>
        <w:jc w:val="both"/>
        <w:rPr>
          <w:rFonts w:ascii="Arial" w:hAnsi="Arial" w:cs="Arial"/>
          <w:i/>
          <w:sz w:val="24"/>
          <w:szCs w:val="24"/>
        </w:rPr>
      </w:pPr>
    </w:p>
    <w:p w:rsidR="00BA111F" w:rsidRDefault="00BA111F" w:rsidP="00BA111F">
      <w:pPr>
        <w:jc w:val="both"/>
        <w:rPr>
          <w:rFonts w:ascii="Arial" w:hAnsi="Arial" w:cs="Arial"/>
          <w:sz w:val="24"/>
          <w:szCs w:val="24"/>
        </w:rPr>
      </w:pPr>
      <w:r w:rsidRPr="007C0B88">
        <w:rPr>
          <w:rFonts w:ascii="Arial" w:hAnsi="Arial" w:cs="Arial"/>
          <w:sz w:val="24"/>
          <w:szCs w:val="24"/>
        </w:rPr>
        <w:t xml:space="preserve">Y </w:t>
      </w:r>
      <w:r>
        <w:rPr>
          <w:rFonts w:ascii="Arial" w:hAnsi="Arial" w:cs="Arial"/>
          <w:sz w:val="24"/>
          <w:szCs w:val="24"/>
        </w:rPr>
        <w:t xml:space="preserve">finaliza el pronunciamiento de la Contraloría afirmando: </w:t>
      </w:r>
    </w:p>
    <w:p w:rsidR="00BA111F" w:rsidRDefault="00BA111F" w:rsidP="00BA111F">
      <w:pPr>
        <w:jc w:val="both"/>
        <w:rPr>
          <w:rFonts w:ascii="Arial" w:hAnsi="Arial" w:cs="Arial"/>
          <w:sz w:val="24"/>
          <w:szCs w:val="24"/>
        </w:rPr>
      </w:pPr>
    </w:p>
    <w:p w:rsidR="00BA111F" w:rsidRPr="007C0B88" w:rsidRDefault="00BA111F" w:rsidP="00BA111F">
      <w:pPr>
        <w:jc w:val="both"/>
        <w:rPr>
          <w:rFonts w:ascii="Arial" w:hAnsi="Arial" w:cs="Arial"/>
          <w:i/>
          <w:sz w:val="24"/>
          <w:szCs w:val="24"/>
        </w:rPr>
      </w:pPr>
      <w:r w:rsidRPr="007C0B88">
        <w:rPr>
          <w:rFonts w:ascii="Arial" w:hAnsi="Arial" w:cs="Arial"/>
          <w:i/>
          <w:sz w:val="24"/>
          <w:szCs w:val="24"/>
        </w:rPr>
        <w:t>“…aunque no hay que desconocer que el impuesto predial representa una de las principales fuentes de financiación del presupuesto con cerca del 23% de los ingresos corrientes, también lo es que el incremento del impuesto no es justo con el bolsillo de los bogotanos, no se compadece con la capacidad de pago de los contribuyentes y puede estar afectando las finanzas del Distrito por el aumento de la cartera morosa….”</w:t>
      </w:r>
    </w:p>
    <w:p w:rsidR="00BA111F" w:rsidRDefault="00BA111F" w:rsidP="00BA111F">
      <w:pPr>
        <w:tabs>
          <w:tab w:val="left" w:pos="1350"/>
        </w:tabs>
        <w:jc w:val="both"/>
        <w:rPr>
          <w:rFonts w:ascii="Arial" w:hAnsi="Arial" w:cs="Arial"/>
          <w:b/>
          <w:sz w:val="24"/>
          <w:szCs w:val="24"/>
        </w:rPr>
      </w:pPr>
    </w:p>
    <w:p w:rsidR="00BA111F" w:rsidRDefault="00BA111F" w:rsidP="00BA111F">
      <w:pPr>
        <w:tabs>
          <w:tab w:val="left" w:pos="1350"/>
        </w:tabs>
        <w:jc w:val="both"/>
        <w:rPr>
          <w:rFonts w:ascii="Arial" w:hAnsi="Arial" w:cs="Arial"/>
          <w:b/>
          <w:sz w:val="24"/>
          <w:szCs w:val="24"/>
        </w:rPr>
      </w:pPr>
    </w:p>
    <w:p w:rsidR="00BA111F" w:rsidRDefault="00BA111F" w:rsidP="00BA111F">
      <w:pPr>
        <w:tabs>
          <w:tab w:val="left" w:pos="1350"/>
        </w:tabs>
        <w:jc w:val="both"/>
        <w:rPr>
          <w:rFonts w:ascii="Arial" w:hAnsi="Arial" w:cs="Arial"/>
          <w:b/>
          <w:sz w:val="24"/>
          <w:szCs w:val="24"/>
        </w:rPr>
      </w:pPr>
    </w:p>
    <w:p w:rsidR="00BA111F" w:rsidRDefault="00BA111F" w:rsidP="00BA111F">
      <w:pPr>
        <w:tabs>
          <w:tab w:val="left" w:pos="1350"/>
        </w:tabs>
        <w:jc w:val="both"/>
        <w:rPr>
          <w:rFonts w:ascii="Arial" w:hAnsi="Arial" w:cs="Arial"/>
          <w:b/>
          <w:sz w:val="24"/>
          <w:szCs w:val="24"/>
        </w:rPr>
      </w:pPr>
    </w:p>
    <w:p w:rsidR="00BA111F" w:rsidRDefault="00BA111F" w:rsidP="00BA111F">
      <w:pPr>
        <w:tabs>
          <w:tab w:val="left" w:pos="1350"/>
        </w:tabs>
        <w:jc w:val="both"/>
        <w:rPr>
          <w:rFonts w:ascii="Arial" w:hAnsi="Arial" w:cs="Arial"/>
          <w:b/>
          <w:sz w:val="24"/>
          <w:szCs w:val="24"/>
        </w:rPr>
      </w:pPr>
    </w:p>
    <w:p w:rsidR="00BA111F" w:rsidRDefault="00BA111F" w:rsidP="00BA111F">
      <w:pPr>
        <w:tabs>
          <w:tab w:val="left" w:pos="1350"/>
        </w:tabs>
        <w:jc w:val="both"/>
        <w:rPr>
          <w:rFonts w:ascii="Arial" w:hAnsi="Arial" w:cs="Arial"/>
          <w:b/>
          <w:sz w:val="24"/>
          <w:szCs w:val="24"/>
        </w:rPr>
      </w:pPr>
    </w:p>
    <w:p w:rsidR="00BA111F" w:rsidRDefault="00BA111F" w:rsidP="00BA111F">
      <w:pPr>
        <w:tabs>
          <w:tab w:val="left" w:pos="1350"/>
        </w:tabs>
        <w:jc w:val="both"/>
        <w:rPr>
          <w:rFonts w:ascii="Arial" w:hAnsi="Arial" w:cs="Arial"/>
          <w:b/>
          <w:sz w:val="24"/>
          <w:szCs w:val="24"/>
        </w:rPr>
      </w:pPr>
    </w:p>
    <w:p w:rsidR="00BA111F" w:rsidRDefault="00BA111F" w:rsidP="00BA111F">
      <w:pPr>
        <w:tabs>
          <w:tab w:val="left" w:pos="1350"/>
        </w:tabs>
        <w:jc w:val="both"/>
        <w:rPr>
          <w:rFonts w:ascii="Arial" w:hAnsi="Arial" w:cs="Arial"/>
          <w:b/>
          <w:sz w:val="24"/>
          <w:szCs w:val="24"/>
        </w:rPr>
      </w:pPr>
    </w:p>
    <w:p w:rsidR="00BA111F" w:rsidRDefault="00BA111F" w:rsidP="00BA111F">
      <w:pPr>
        <w:tabs>
          <w:tab w:val="left" w:pos="1350"/>
        </w:tabs>
        <w:jc w:val="both"/>
        <w:rPr>
          <w:rFonts w:ascii="Arial" w:hAnsi="Arial" w:cs="Arial"/>
          <w:b/>
          <w:sz w:val="24"/>
          <w:szCs w:val="24"/>
        </w:rPr>
      </w:pPr>
    </w:p>
    <w:p w:rsidR="00BA111F" w:rsidRDefault="00BA111F" w:rsidP="00BA111F">
      <w:pPr>
        <w:tabs>
          <w:tab w:val="left" w:pos="1350"/>
        </w:tabs>
        <w:jc w:val="both"/>
        <w:rPr>
          <w:rFonts w:ascii="Arial" w:hAnsi="Arial" w:cs="Arial"/>
          <w:b/>
          <w:sz w:val="24"/>
          <w:szCs w:val="24"/>
        </w:rPr>
      </w:pPr>
    </w:p>
    <w:p w:rsidR="00BA111F" w:rsidRDefault="00BA111F" w:rsidP="00BA111F">
      <w:pPr>
        <w:tabs>
          <w:tab w:val="left" w:pos="1350"/>
        </w:tabs>
        <w:jc w:val="both"/>
        <w:rPr>
          <w:rFonts w:ascii="Arial" w:hAnsi="Arial" w:cs="Arial"/>
          <w:b/>
          <w:sz w:val="24"/>
          <w:szCs w:val="24"/>
        </w:rPr>
      </w:pPr>
    </w:p>
    <w:p w:rsidR="00BA111F" w:rsidRDefault="00BA111F" w:rsidP="00BA111F">
      <w:pPr>
        <w:tabs>
          <w:tab w:val="left" w:pos="1350"/>
        </w:tabs>
        <w:jc w:val="both"/>
        <w:rPr>
          <w:rFonts w:ascii="Arial" w:hAnsi="Arial" w:cs="Arial"/>
          <w:b/>
          <w:sz w:val="24"/>
          <w:szCs w:val="24"/>
        </w:rPr>
      </w:pPr>
    </w:p>
    <w:p w:rsidR="00BA111F" w:rsidRDefault="00BA111F" w:rsidP="00BA111F">
      <w:pPr>
        <w:tabs>
          <w:tab w:val="left" w:pos="1350"/>
        </w:tabs>
        <w:jc w:val="both"/>
        <w:rPr>
          <w:rFonts w:ascii="Arial" w:hAnsi="Arial" w:cs="Arial"/>
          <w:b/>
          <w:sz w:val="24"/>
          <w:szCs w:val="24"/>
        </w:rPr>
      </w:pPr>
    </w:p>
    <w:p w:rsidR="00BA111F" w:rsidRDefault="00BA111F" w:rsidP="00BA111F">
      <w:pPr>
        <w:tabs>
          <w:tab w:val="left" w:pos="1350"/>
        </w:tabs>
        <w:jc w:val="both"/>
        <w:rPr>
          <w:rFonts w:ascii="Arial" w:hAnsi="Arial" w:cs="Arial"/>
          <w:b/>
          <w:sz w:val="24"/>
          <w:szCs w:val="24"/>
        </w:rPr>
      </w:pPr>
    </w:p>
    <w:p w:rsidR="00BA111F" w:rsidRPr="00235EB5" w:rsidRDefault="00BA111F" w:rsidP="00BA111F">
      <w:pPr>
        <w:pStyle w:val="Prrafodelista"/>
        <w:ind w:left="708"/>
        <w:jc w:val="both"/>
        <w:rPr>
          <w:rFonts w:ascii="Arial" w:hAnsi="Arial" w:cs="Arial"/>
          <w:b/>
          <w:sz w:val="24"/>
          <w:szCs w:val="24"/>
        </w:rPr>
      </w:pPr>
      <w:r>
        <w:rPr>
          <w:rFonts w:ascii="Arial" w:hAnsi="Arial" w:cs="Arial"/>
          <w:b/>
          <w:sz w:val="24"/>
          <w:szCs w:val="24"/>
        </w:rPr>
        <w:lastRenderedPageBreak/>
        <w:t>V. Contenido</w:t>
      </w:r>
      <w:r w:rsidRPr="00235EB5">
        <w:rPr>
          <w:rFonts w:ascii="Arial" w:hAnsi="Arial" w:cs="Arial"/>
          <w:b/>
          <w:sz w:val="24"/>
          <w:szCs w:val="24"/>
        </w:rPr>
        <w:t xml:space="preserve"> del proyecto de ley.</w:t>
      </w:r>
    </w:p>
    <w:p w:rsidR="00BA111F" w:rsidRDefault="00BA111F" w:rsidP="00BA111F">
      <w:pPr>
        <w:jc w:val="both"/>
        <w:rPr>
          <w:rFonts w:ascii="Arial" w:hAnsi="Arial" w:cs="Arial"/>
          <w:sz w:val="24"/>
          <w:szCs w:val="24"/>
        </w:rPr>
      </w:pPr>
      <w:r w:rsidRPr="007917CC">
        <w:rPr>
          <w:rFonts w:ascii="Arial" w:hAnsi="Arial" w:cs="Arial"/>
          <w:sz w:val="24"/>
          <w:szCs w:val="24"/>
        </w:rPr>
        <w:t xml:space="preserve">El </w:t>
      </w:r>
      <w:r>
        <w:rPr>
          <w:rFonts w:ascii="Arial" w:hAnsi="Arial" w:cs="Arial"/>
          <w:sz w:val="24"/>
          <w:szCs w:val="24"/>
        </w:rPr>
        <w:t>proyecto de ley consta de 7 artículos distribuidos en 2 capítulos. El capítulo I “</w:t>
      </w:r>
      <w:r w:rsidRPr="008270E2">
        <w:rPr>
          <w:rFonts w:ascii="Arial" w:hAnsi="Arial" w:cs="Arial"/>
          <w:i/>
          <w:sz w:val="24"/>
          <w:szCs w:val="24"/>
        </w:rPr>
        <w:t>DISPOSICIONES GENERALES</w:t>
      </w:r>
      <w:r>
        <w:rPr>
          <w:rFonts w:ascii="Arial" w:hAnsi="Arial" w:cs="Arial"/>
          <w:sz w:val="24"/>
          <w:szCs w:val="24"/>
        </w:rPr>
        <w:t xml:space="preserve">” consta de dos artículos y tratan sobre el objetivo de la ley y el ámbito de aplicación de la misma, de donde se resalta que lo establecido allí, aplica para </w:t>
      </w:r>
      <w:r w:rsidRPr="001A72E5">
        <w:rPr>
          <w:rFonts w:ascii="Arial" w:hAnsi="Arial" w:cs="Arial"/>
          <w:sz w:val="24"/>
          <w:szCs w:val="24"/>
        </w:rPr>
        <w:t>todo el territorio nacional incluidos todos los distritos y municipios del país</w:t>
      </w:r>
      <w:r>
        <w:rPr>
          <w:rFonts w:ascii="Arial" w:hAnsi="Arial" w:cs="Arial"/>
          <w:sz w:val="24"/>
          <w:szCs w:val="24"/>
        </w:rPr>
        <w:t>.</w:t>
      </w:r>
    </w:p>
    <w:p w:rsidR="00BA111F" w:rsidRDefault="00BA111F" w:rsidP="00BA111F">
      <w:pPr>
        <w:jc w:val="both"/>
        <w:rPr>
          <w:rFonts w:ascii="Arial" w:hAnsi="Arial" w:cs="Arial"/>
          <w:sz w:val="24"/>
          <w:szCs w:val="24"/>
          <w:lang w:val="es-ES"/>
        </w:rPr>
      </w:pPr>
      <w:r>
        <w:rPr>
          <w:rFonts w:ascii="Arial" w:hAnsi="Arial" w:cs="Arial"/>
          <w:sz w:val="24"/>
          <w:szCs w:val="24"/>
        </w:rPr>
        <w:t>El capítulo II “</w:t>
      </w:r>
      <w:r w:rsidRPr="008270E2">
        <w:rPr>
          <w:rFonts w:ascii="Arial" w:hAnsi="Arial" w:cs="Arial"/>
          <w:i/>
          <w:sz w:val="24"/>
          <w:szCs w:val="24"/>
        </w:rPr>
        <w:t>DE LA FORMACIÓN, ACTUALIZACION, LIMITES Y AJUSTE DE LOS AVALUOS CATASTRALES.</w:t>
      </w:r>
      <w:r>
        <w:rPr>
          <w:rFonts w:ascii="Arial" w:hAnsi="Arial" w:cs="Arial"/>
          <w:sz w:val="24"/>
          <w:szCs w:val="24"/>
        </w:rPr>
        <w:t xml:space="preserve">”, consta de 5 artículos. El artículo 3° </w:t>
      </w:r>
      <w:r w:rsidRPr="008270E2">
        <w:rPr>
          <w:rFonts w:ascii="Arial" w:hAnsi="Arial" w:cs="Arial"/>
          <w:i/>
          <w:sz w:val="24"/>
          <w:szCs w:val="24"/>
        </w:rPr>
        <w:t>“FORMACIÓN Y ACTUALIZACIÓN DE LOS CATASTROS”</w:t>
      </w:r>
      <w:r>
        <w:rPr>
          <w:rFonts w:ascii="Arial" w:hAnsi="Arial" w:cs="Arial"/>
          <w:i/>
          <w:sz w:val="24"/>
          <w:szCs w:val="24"/>
        </w:rPr>
        <w:t xml:space="preserve">, </w:t>
      </w:r>
      <w:r>
        <w:rPr>
          <w:rFonts w:ascii="Arial" w:hAnsi="Arial" w:cs="Arial"/>
          <w:sz w:val="24"/>
          <w:szCs w:val="24"/>
        </w:rPr>
        <w:t xml:space="preserve">modifica el artículo 24 de la Ley 1450 de 2011 </w:t>
      </w:r>
      <w:r w:rsidRPr="003E21F2">
        <w:rPr>
          <w:rFonts w:ascii="Arial" w:hAnsi="Arial" w:cs="Arial"/>
          <w:i/>
          <w:sz w:val="24"/>
          <w:szCs w:val="24"/>
        </w:rPr>
        <w:t>“</w:t>
      </w:r>
      <w:r w:rsidRPr="003E21F2">
        <w:rPr>
          <w:rFonts w:ascii="Arial" w:hAnsi="Arial" w:cs="Arial"/>
          <w:i/>
          <w:sz w:val="24"/>
          <w:szCs w:val="24"/>
          <w:lang w:val="es-ES"/>
        </w:rPr>
        <w:t>Por la cual se expide el Plan Nacional de Desarrollo, 2010-2014.”</w:t>
      </w:r>
      <w:r>
        <w:rPr>
          <w:rFonts w:ascii="Arial" w:hAnsi="Arial" w:cs="Arial"/>
          <w:sz w:val="24"/>
          <w:szCs w:val="24"/>
          <w:lang w:val="es-ES"/>
        </w:rPr>
        <w:t xml:space="preserve">, ampliando los periodos máximos que tienen las autoridades catastrales para formar y actualizar los catastros de cinco (5) años a nueve (9) años y estableciendo un mínimo para su formación o actualización de tres (3) años. </w:t>
      </w:r>
    </w:p>
    <w:p w:rsidR="00BA111F" w:rsidRDefault="00BA111F" w:rsidP="00BA111F">
      <w:pPr>
        <w:jc w:val="both"/>
        <w:rPr>
          <w:rFonts w:ascii="Arial" w:hAnsi="Arial" w:cs="Arial"/>
          <w:sz w:val="24"/>
          <w:szCs w:val="24"/>
          <w:lang w:val="es-ES"/>
        </w:rPr>
      </w:pPr>
      <w:r>
        <w:rPr>
          <w:rFonts w:ascii="Arial" w:hAnsi="Arial" w:cs="Arial"/>
          <w:sz w:val="24"/>
          <w:szCs w:val="24"/>
          <w:lang w:val="es-ES"/>
        </w:rPr>
        <w:t>El establecimiento de un periodo minino para la formación o actualización de los catastros es de vital importancia. Lo anterior, por cuanto los ajustes anuales a la base ligados a la variación del Índice de Precios al Consumidor establecidos en el artículo 8° de la Ley 44 de 1990, no se aplican a los predios cuyo avaluó catastral hubiese sido formado o reajustado durante el respectivo año, y lo anterior ha llevado a que algunos entres territoriales actualicen anualmente sus respectivos catastros y de esta forma puedan ajustar el avaluó por encima de la variación del IPC. Tal es el caso de Bogotá D.C</w:t>
      </w:r>
      <w:r>
        <w:rPr>
          <w:rStyle w:val="Refdenotaalpie"/>
          <w:rFonts w:ascii="Arial" w:hAnsi="Arial" w:cs="Arial"/>
          <w:sz w:val="24"/>
          <w:szCs w:val="24"/>
          <w:lang w:val="es-ES"/>
        </w:rPr>
        <w:footnoteReference w:id="23"/>
      </w:r>
      <w:r>
        <w:rPr>
          <w:rFonts w:ascii="Arial" w:hAnsi="Arial" w:cs="Arial"/>
          <w:sz w:val="24"/>
          <w:szCs w:val="24"/>
          <w:lang w:val="es-ES"/>
        </w:rPr>
        <w:t>. El mínimo de tres (3) años, corresponde a una actualización por administración local.</w:t>
      </w:r>
    </w:p>
    <w:p w:rsidR="00BA111F" w:rsidRDefault="00BA111F" w:rsidP="00BA111F">
      <w:pPr>
        <w:jc w:val="both"/>
        <w:rPr>
          <w:rFonts w:ascii="Arial" w:hAnsi="Arial" w:cs="Arial"/>
          <w:sz w:val="24"/>
          <w:szCs w:val="24"/>
        </w:rPr>
      </w:pPr>
      <w:r>
        <w:rPr>
          <w:rFonts w:ascii="Arial" w:hAnsi="Arial" w:cs="Arial"/>
          <w:sz w:val="24"/>
          <w:szCs w:val="24"/>
          <w:lang w:val="es-ES"/>
        </w:rPr>
        <w:t xml:space="preserve">Como se anotó en la parte IV de la presente exposición de motivos, </w:t>
      </w:r>
      <w:r>
        <w:rPr>
          <w:rFonts w:ascii="Arial" w:hAnsi="Arial" w:cs="Arial"/>
          <w:sz w:val="24"/>
          <w:szCs w:val="24"/>
        </w:rPr>
        <w:t xml:space="preserve">aunque se pueda alegar que el mayor incremento del recaudo del impuesto predial pueda obedecer a la incorporación de nuevo predios en el catastro distrital y no al incremento de su avaluó, si se realiza un análisis del valor promedio del pago por declaración y del número de predios año a año, se encuentra que, </w:t>
      </w:r>
      <w:r w:rsidRPr="001301EB">
        <w:rPr>
          <w:rFonts w:ascii="Arial" w:hAnsi="Arial" w:cs="Arial"/>
          <w:b/>
          <w:sz w:val="24"/>
          <w:szCs w:val="24"/>
        </w:rPr>
        <w:t xml:space="preserve">la mayor proporción del incremento del recaudo del predial unificado, se explica por </w:t>
      </w:r>
      <w:r w:rsidRPr="001301EB">
        <w:rPr>
          <w:rFonts w:ascii="Arial" w:hAnsi="Arial" w:cs="Arial"/>
          <w:b/>
          <w:sz w:val="24"/>
          <w:szCs w:val="24"/>
        </w:rPr>
        <w:lastRenderedPageBreak/>
        <w:t xml:space="preserve">la tasa de crecimiento del pago por declaración </w:t>
      </w:r>
      <w:r>
        <w:rPr>
          <w:rFonts w:ascii="Arial" w:hAnsi="Arial" w:cs="Arial"/>
          <w:b/>
          <w:sz w:val="24"/>
          <w:szCs w:val="24"/>
        </w:rPr>
        <w:t xml:space="preserve">(barras de color rojo) </w:t>
      </w:r>
      <w:r w:rsidRPr="001301EB">
        <w:rPr>
          <w:rFonts w:ascii="Arial" w:hAnsi="Arial" w:cs="Arial"/>
          <w:b/>
          <w:sz w:val="24"/>
          <w:szCs w:val="24"/>
        </w:rPr>
        <w:t>y no al incremen</w:t>
      </w:r>
      <w:r>
        <w:rPr>
          <w:rFonts w:ascii="Arial" w:hAnsi="Arial" w:cs="Arial"/>
          <w:b/>
          <w:sz w:val="24"/>
          <w:szCs w:val="24"/>
        </w:rPr>
        <w:t>to en el número de predios (barras de color verde)</w:t>
      </w:r>
      <w:r>
        <w:rPr>
          <w:rFonts w:ascii="Arial" w:hAnsi="Arial" w:cs="Arial"/>
          <w:sz w:val="24"/>
          <w:szCs w:val="24"/>
        </w:rPr>
        <w:t xml:space="preserve">, lo que indica que es el avaluó catastral el que se está incrementando en una mayor proporción de lo que lo hacen la incorporación  de nuevos predios al catastro. </w:t>
      </w:r>
    </w:p>
    <w:p w:rsidR="00BA111F" w:rsidRDefault="00BA111F" w:rsidP="00BA111F">
      <w:pPr>
        <w:jc w:val="center"/>
        <w:rPr>
          <w:rFonts w:ascii="Arial" w:hAnsi="Arial" w:cs="Arial"/>
          <w:sz w:val="24"/>
          <w:szCs w:val="24"/>
        </w:rPr>
      </w:pPr>
      <w:r>
        <w:rPr>
          <w:noProof/>
          <w:lang w:eastAsia="es-CO"/>
        </w:rPr>
        <w:drawing>
          <wp:inline distT="0" distB="0" distL="0" distR="0" wp14:anchorId="3CAAF0CB" wp14:editId="04E46AF3">
            <wp:extent cx="4320000" cy="2340000"/>
            <wp:effectExtent l="0" t="0" r="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A111F" w:rsidRPr="007917CC" w:rsidRDefault="00BA111F" w:rsidP="00BA111F">
      <w:pPr>
        <w:jc w:val="both"/>
        <w:rPr>
          <w:rFonts w:ascii="Arial" w:hAnsi="Arial" w:cs="Arial"/>
          <w:sz w:val="24"/>
          <w:szCs w:val="24"/>
        </w:rPr>
      </w:pPr>
      <w:r>
        <w:rPr>
          <w:rFonts w:ascii="Arial" w:hAnsi="Arial" w:cs="Arial"/>
          <w:sz w:val="16"/>
          <w:szCs w:val="16"/>
        </w:rPr>
        <w:t xml:space="preserve">                   Fuente: Cálculos propios con base en información de la Secretaria de Hacienda de Bogotá D.C., DANE.</w:t>
      </w:r>
    </w:p>
    <w:p w:rsidR="00BA111F" w:rsidRPr="003101B1" w:rsidRDefault="00BA111F" w:rsidP="00BA111F">
      <w:pPr>
        <w:jc w:val="both"/>
        <w:rPr>
          <w:rFonts w:ascii="Arial" w:hAnsi="Arial" w:cs="Arial"/>
          <w:sz w:val="24"/>
          <w:szCs w:val="24"/>
        </w:rPr>
      </w:pPr>
      <w:r>
        <w:rPr>
          <w:rFonts w:ascii="Arial" w:hAnsi="Arial" w:cs="Arial"/>
          <w:sz w:val="24"/>
          <w:szCs w:val="24"/>
        </w:rPr>
        <w:t xml:space="preserve">El tercer inciso del artículo 3° </w:t>
      </w:r>
      <w:r w:rsidRPr="00C24EBB">
        <w:rPr>
          <w:rFonts w:ascii="Arial" w:hAnsi="Arial" w:cs="Arial"/>
          <w:sz w:val="24"/>
          <w:szCs w:val="24"/>
        </w:rPr>
        <w:t xml:space="preserve">establece que el incremento del avaluó catastral como resultado de la actualización de que trata la ley, no pueda ser superior al promedio móvil de los últimos 5 años de la variación del Índice </w:t>
      </w:r>
      <w:r w:rsidR="00C24EBB">
        <w:rPr>
          <w:rFonts w:ascii="Arial" w:hAnsi="Arial" w:cs="Arial"/>
          <w:sz w:val="24"/>
          <w:szCs w:val="24"/>
        </w:rPr>
        <w:t>de Precios al C</w:t>
      </w:r>
      <w:r w:rsidRPr="00C24EBB">
        <w:rPr>
          <w:rFonts w:ascii="Arial" w:hAnsi="Arial" w:cs="Arial"/>
          <w:sz w:val="24"/>
          <w:szCs w:val="24"/>
        </w:rPr>
        <w:t>onsumidor a diciembre de cada vigencia.</w:t>
      </w:r>
    </w:p>
    <w:p w:rsidR="00BA111F" w:rsidRDefault="00BA111F" w:rsidP="00BA111F">
      <w:pPr>
        <w:jc w:val="both"/>
        <w:rPr>
          <w:rFonts w:ascii="Arial" w:hAnsi="Arial" w:cs="Arial"/>
          <w:sz w:val="24"/>
          <w:szCs w:val="24"/>
        </w:rPr>
      </w:pPr>
      <w:r w:rsidRPr="006A2DBF">
        <w:rPr>
          <w:rFonts w:ascii="Arial" w:hAnsi="Arial" w:cs="Arial"/>
          <w:sz w:val="24"/>
          <w:szCs w:val="24"/>
        </w:rPr>
        <w:t xml:space="preserve">Cabe resaltar que el uso del promedio móvil se realiza principalmente con el objetivo de </w:t>
      </w:r>
      <w:r>
        <w:rPr>
          <w:rFonts w:ascii="Arial" w:hAnsi="Arial" w:cs="Arial"/>
          <w:sz w:val="24"/>
          <w:szCs w:val="24"/>
        </w:rPr>
        <w:t>obtener el componente de tendencia de una serie de tiempo, que se diferencia de los otros 2 componentes que pueden tener las mismas a saber: un componente irregular y un componente estacional. De esta forma lo que se propone en el tercer inciso del artículo 4 es que el incremento del avaluó catastral, cuando a este hubiere lugar, se fundamente no en comportamientos irregulares o estacionales del valor comercial de los predios, sino en su tendencia considerando el comportamiento de los 10 años anteriores.</w:t>
      </w:r>
    </w:p>
    <w:p w:rsidR="00BA111F" w:rsidRDefault="00BA111F" w:rsidP="00BA111F">
      <w:pPr>
        <w:jc w:val="both"/>
        <w:rPr>
          <w:rFonts w:ascii="Arial" w:hAnsi="Arial" w:cs="Arial"/>
          <w:sz w:val="24"/>
          <w:szCs w:val="24"/>
        </w:rPr>
      </w:pPr>
      <w:r>
        <w:rPr>
          <w:rFonts w:ascii="Arial" w:hAnsi="Arial" w:cs="Arial"/>
          <w:sz w:val="24"/>
          <w:szCs w:val="24"/>
        </w:rPr>
        <w:t>El uso del promedio móvil en la legislación colombiana no es nuevo. Es así como el artículo 357 de la Constitución Política, que establece el incremento anual del Sistema General de Participaciones establece:</w:t>
      </w:r>
    </w:p>
    <w:p w:rsidR="00BA111F" w:rsidRDefault="00BA111F" w:rsidP="00BA111F">
      <w:pPr>
        <w:jc w:val="both"/>
        <w:rPr>
          <w:rFonts w:ascii="Arial" w:hAnsi="Arial" w:cs="Arial"/>
          <w:i/>
          <w:sz w:val="24"/>
          <w:szCs w:val="24"/>
        </w:rPr>
      </w:pPr>
      <w:r w:rsidRPr="00A64108">
        <w:rPr>
          <w:rFonts w:ascii="Arial" w:hAnsi="Arial" w:cs="Arial"/>
          <w:i/>
          <w:sz w:val="24"/>
          <w:szCs w:val="24"/>
        </w:rPr>
        <w:t>“</w:t>
      </w:r>
      <w:r w:rsidRPr="00A64108">
        <w:rPr>
          <w:rFonts w:ascii="Arial" w:hAnsi="Arial" w:cs="Arial"/>
          <w:bCs/>
          <w:i/>
          <w:sz w:val="24"/>
          <w:szCs w:val="24"/>
        </w:rPr>
        <w:t>ARTICULO 357.</w:t>
      </w:r>
      <w:r w:rsidRPr="00A64108">
        <w:rPr>
          <w:rFonts w:ascii="Arial" w:hAnsi="Arial" w:cs="Arial"/>
          <w:b/>
          <w:bCs/>
          <w:i/>
          <w:sz w:val="24"/>
          <w:szCs w:val="24"/>
          <w:u w:val="single"/>
        </w:rPr>
        <w:t> </w:t>
      </w:r>
      <w:r w:rsidRPr="00A64108">
        <w:rPr>
          <w:rFonts w:ascii="Arial" w:hAnsi="Arial" w:cs="Arial"/>
          <w:i/>
          <w:sz w:val="24"/>
          <w:szCs w:val="24"/>
        </w:rPr>
        <w:t>&lt;Artículo modificado por el artículo </w:t>
      </w:r>
      <w:hyperlink r:id="rId25" w:anchor="4" w:history="1">
        <w:r w:rsidRPr="00A64108">
          <w:rPr>
            <w:rStyle w:val="Hipervnculo"/>
            <w:rFonts w:ascii="Arial" w:hAnsi="Arial" w:cs="Arial"/>
            <w:i/>
            <w:sz w:val="24"/>
            <w:szCs w:val="24"/>
          </w:rPr>
          <w:t>4</w:t>
        </w:r>
      </w:hyperlink>
      <w:r w:rsidRPr="00A64108">
        <w:rPr>
          <w:rFonts w:ascii="Arial" w:hAnsi="Arial" w:cs="Arial"/>
          <w:i/>
          <w:sz w:val="24"/>
          <w:szCs w:val="24"/>
        </w:rPr>
        <w:t xml:space="preserve"> del Acto Legislativo 4 de 2007. El nuevo texto es el siguiente:&gt; El Sistema General de Participaciones de </w:t>
      </w:r>
      <w:r w:rsidRPr="00A64108">
        <w:rPr>
          <w:rFonts w:ascii="Arial" w:hAnsi="Arial" w:cs="Arial"/>
          <w:i/>
          <w:sz w:val="24"/>
          <w:szCs w:val="24"/>
        </w:rPr>
        <w:lastRenderedPageBreak/>
        <w:t xml:space="preserve">los Departamentos, Distritos y Municipios se incrementará anualmente en un porcentaje igual al </w:t>
      </w:r>
      <w:r w:rsidRPr="00BA5257">
        <w:rPr>
          <w:rFonts w:ascii="Arial" w:hAnsi="Arial" w:cs="Arial"/>
          <w:b/>
          <w:i/>
          <w:sz w:val="24"/>
          <w:szCs w:val="24"/>
        </w:rPr>
        <w:t>promedio de la variación porcentual que hayan tenido los ingresos corrientes de la Nación durante los cuatro (4) años anteriores, incluido el correspondiente al aforo del presupuesto en ejecución</w:t>
      </w:r>
      <w:r w:rsidRPr="00A64108">
        <w:rPr>
          <w:rFonts w:ascii="Arial" w:hAnsi="Arial" w:cs="Arial"/>
          <w:i/>
          <w:sz w:val="24"/>
          <w:szCs w:val="24"/>
        </w:rPr>
        <w:t>…..”</w:t>
      </w:r>
    </w:p>
    <w:p w:rsidR="00BA111F" w:rsidRDefault="00BA111F" w:rsidP="00BA111F">
      <w:pPr>
        <w:jc w:val="both"/>
        <w:rPr>
          <w:rFonts w:ascii="Arial" w:hAnsi="Arial" w:cs="Arial"/>
          <w:sz w:val="24"/>
          <w:szCs w:val="24"/>
        </w:rPr>
      </w:pPr>
      <w:r>
        <w:rPr>
          <w:rFonts w:ascii="Arial" w:hAnsi="Arial" w:cs="Arial"/>
          <w:sz w:val="24"/>
          <w:szCs w:val="24"/>
        </w:rPr>
        <w:t xml:space="preserve">De igual forma en desarrollo de la Ley 1473 </w:t>
      </w:r>
      <w:r w:rsidRPr="00BA5257">
        <w:rPr>
          <w:rFonts w:ascii="Arial" w:hAnsi="Arial" w:cs="Arial"/>
          <w:i/>
          <w:sz w:val="24"/>
          <w:szCs w:val="24"/>
        </w:rPr>
        <w:t>“Por medio de la cual se establece una regla fiscal y se dictan otras disposiciones.”</w:t>
      </w:r>
      <w:r>
        <w:rPr>
          <w:rFonts w:ascii="Arial" w:hAnsi="Arial" w:cs="Arial"/>
          <w:i/>
          <w:sz w:val="24"/>
          <w:szCs w:val="24"/>
        </w:rPr>
        <w:t xml:space="preserve">, </w:t>
      </w:r>
      <w:r>
        <w:rPr>
          <w:rFonts w:ascii="Arial" w:hAnsi="Arial" w:cs="Arial"/>
          <w:sz w:val="24"/>
          <w:szCs w:val="24"/>
        </w:rPr>
        <w:t>el Comité Consultivo de Regla Fiscal para la determinación del precio de largo plazo del petróleo Brent, utiliza un promedio móvil centrado de orden 9, tal como se informó al Congreso de la República en el Marco Fiscal de Mediano Plazo 2015, página 105.</w:t>
      </w:r>
    </w:p>
    <w:p w:rsidR="00BA111F" w:rsidRDefault="00BA111F" w:rsidP="00BA111F">
      <w:pPr>
        <w:jc w:val="both"/>
        <w:rPr>
          <w:rFonts w:ascii="Arial" w:hAnsi="Arial" w:cs="Arial"/>
          <w:sz w:val="24"/>
          <w:szCs w:val="24"/>
        </w:rPr>
      </w:pPr>
      <w:r w:rsidRPr="00E260EC">
        <w:rPr>
          <w:rFonts w:ascii="Arial" w:hAnsi="Arial" w:cs="Arial"/>
          <w:sz w:val="24"/>
          <w:szCs w:val="24"/>
        </w:rPr>
        <w:t xml:space="preserve">El </w:t>
      </w:r>
      <w:r>
        <w:rPr>
          <w:rFonts w:ascii="Arial" w:hAnsi="Arial" w:cs="Arial"/>
          <w:sz w:val="24"/>
          <w:szCs w:val="24"/>
        </w:rPr>
        <w:t>artículo 4° del proyecto de ley establece límites superiores e inferiores al primer avaluó catastral que se realice a partir de la expedición de la presente ley y limita el incremento de los mismos cuando a ello hubiere lugar. Al respecto, cabe anotar que en la normatividad vigente (Articulo 24 Ley 1450 de 2011) únicamente se establece un límite inferior a los avalúos catastrales de un 60% de su valor comercial, sin establecer techo alguno. Por lo anterior, el proyecto de ley propone que el límite superior de los avalúos catastrales sea de un 70% del valor comercial, y de esta forma los avalúos catastrales oscilen entre un 60 y un 70% del valor comercial de los inmuebles para el primer avaluó catastral a partir de la expedición de la ley.</w:t>
      </w:r>
    </w:p>
    <w:p w:rsidR="00BA111F" w:rsidRDefault="00BA111F" w:rsidP="00BA111F">
      <w:pPr>
        <w:jc w:val="both"/>
        <w:rPr>
          <w:rFonts w:ascii="Arial" w:hAnsi="Arial" w:cs="Arial"/>
          <w:sz w:val="24"/>
          <w:szCs w:val="24"/>
        </w:rPr>
      </w:pPr>
      <w:r w:rsidRPr="001E16DA">
        <w:rPr>
          <w:rFonts w:ascii="Arial" w:hAnsi="Arial" w:cs="Arial"/>
          <w:sz w:val="24"/>
          <w:szCs w:val="24"/>
        </w:rPr>
        <w:t>Como resultado de la anterior disposición por ejemplo, para el año 2016</w:t>
      </w:r>
      <w:r>
        <w:rPr>
          <w:rFonts w:ascii="Arial" w:hAnsi="Arial" w:cs="Arial"/>
          <w:sz w:val="24"/>
          <w:szCs w:val="24"/>
        </w:rPr>
        <w:t xml:space="preserve">, </w:t>
      </w:r>
      <w:r w:rsidRPr="001E16DA">
        <w:rPr>
          <w:rFonts w:ascii="Arial" w:hAnsi="Arial" w:cs="Arial"/>
          <w:sz w:val="24"/>
          <w:szCs w:val="24"/>
        </w:rPr>
        <w:t>el avaluó catastral de una casa que en el año 2003 era de COP$ 100.000.000, hubiese sido de COP$ 188.404.508</w:t>
      </w:r>
      <w:r>
        <w:rPr>
          <w:rFonts w:ascii="Arial" w:hAnsi="Arial" w:cs="Arial"/>
          <w:sz w:val="24"/>
          <w:szCs w:val="24"/>
        </w:rPr>
        <w:t xml:space="preserve">, valor muy inferior a casi la totalidad de avalúos ajustados por el Índice de Valoración Predial o el IPSB en el caso de Bogotá D.C. tal como se puede observar a continuación. </w:t>
      </w:r>
    </w:p>
    <w:p w:rsidR="00BA111F" w:rsidRDefault="00BA111F" w:rsidP="00BA111F">
      <w:pPr>
        <w:jc w:val="both"/>
        <w:rPr>
          <w:rFonts w:ascii="Arial" w:hAnsi="Arial" w:cs="Arial"/>
          <w:sz w:val="24"/>
          <w:szCs w:val="24"/>
        </w:rPr>
      </w:pPr>
    </w:p>
    <w:p w:rsidR="00BA111F" w:rsidRDefault="00BA111F" w:rsidP="00BA111F">
      <w:pPr>
        <w:jc w:val="both"/>
        <w:rPr>
          <w:rFonts w:ascii="Arial" w:hAnsi="Arial" w:cs="Arial"/>
          <w:sz w:val="24"/>
          <w:szCs w:val="24"/>
        </w:rPr>
      </w:pPr>
    </w:p>
    <w:p w:rsidR="00BA111F" w:rsidRPr="001E16DA" w:rsidRDefault="00BA111F" w:rsidP="00BA111F">
      <w:pPr>
        <w:jc w:val="center"/>
        <w:rPr>
          <w:rFonts w:ascii="Arial" w:hAnsi="Arial" w:cs="Arial"/>
          <w:sz w:val="24"/>
          <w:szCs w:val="24"/>
        </w:rPr>
      </w:pPr>
      <w:r w:rsidRPr="001E16DA">
        <w:rPr>
          <w:noProof/>
          <w:lang w:eastAsia="es-CO"/>
        </w:rPr>
        <w:lastRenderedPageBreak/>
        <w:drawing>
          <wp:inline distT="0" distB="0" distL="0" distR="0" wp14:anchorId="49E79F87" wp14:editId="55DFE12C">
            <wp:extent cx="3327991" cy="403717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28099" cy="4037310"/>
                    </a:xfrm>
                    <a:prstGeom prst="rect">
                      <a:avLst/>
                    </a:prstGeom>
                    <a:noFill/>
                    <a:ln>
                      <a:noFill/>
                    </a:ln>
                  </pic:spPr>
                </pic:pic>
              </a:graphicData>
            </a:graphic>
          </wp:inline>
        </w:drawing>
      </w:r>
    </w:p>
    <w:p w:rsidR="00BA111F" w:rsidRDefault="00BA111F" w:rsidP="00BA111F">
      <w:pPr>
        <w:jc w:val="both"/>
        <w:rPr>
          <w:rFonts w:ascii="Arial" w:hAnsi="Arial" w:cs="Arial"/>
          <w:sz w:val="24"/>
          <w:szCs w:val="24"/>
          <w:highlight w:val="green"/>
        </w:rPr>
      </w:pPr>
    </w:p>
    <w:p w:rsidR="00BA111F" w:rsidRDefault="00BA111F" w:rsidP="00BA111F">
      <w:pPr>
        <w:jc w:val="both"/>
        <w:rPr>
          <w:rFonts w:ascii="Arial" w:hAnsi="Arial" w:cs="Arial"/>
          <w:sz w:val="24"/>
          <w:szCs w:val="24"/>
        </w:rPr>
      </w:pPr>
      <w:r>
        <w:rPr>
          <w:rFonts w:ascii="Arial" w:hAnsi="Arial" w:cs="Arial"/>
          <w:sz w:val="24"/>
          <w:szCs w:val="24"/>
        </w:rPr>
        <w:t>El artículo 5° del proyecto de ley adiciona un parágrafo al artículo 8° de la Ley 44 de 1990, con el objetivo que el ajuste anual de la base de los avalúos catastrales establecido en dicha disposición, aplique para todos los catastros del país sin excepción, esto es, que “</w:t>
      </w:r>
      <w:r w:rsidRPr="004F6D1D">
        <w:rPr>
          <w:rFonts w:ascii="Arial" w:hAnsi="Arial" w:cs="Arial"/>
          <w:i/>
          <w:sz w:val="24"/>
          <w:szCs w:val="24"/>
        </w:rPr>
        <w:t>El porcentaje de incremento no será inferior al 70% ni superior al 100% del incremento del índice nacional promedio de precios al consumidor, determinado por el Departamento Administrativo Nacional de Estadística (DANE), para el período comprendido entre el 1 de septiembre del respectivo año y la misma fecha del año anterior…</w:t>
      </w:r>
      <w:r>
        <w:rPr>
          <w:rFonts w:ascii="Arial" w:hAnsi="Arial" w:cs="Arial"/>
          <w:sz w:val="24"/>
          <w:szCs w:val="24"/>
        </w:rPr>
        <w:t xml:space="preserve">”. De esta manera el incremento de los avalúos estaría guardando una relación directa con la variación del nivel generalizado de precios al consumidor, que a su vez es el elemento constitutivo principal de los incrementos en el salario mínimo legal mensual vigente. </w:t>
      </w:r>
    </w:p>
    <w:p w:rsidR="00BA111F" w:rsidRDefault="00BA111F" w:rsidP="00BA111F">
      <w:pPr>
        <w:jc w:val="both"/>
        <w:rPr>
          <w:rFonts w:ascii="Arial" w:hAnsi="Arial" w:cs="Arial"/>
          <w:sz w:val="24"/>
          <w:szCs w:val="24"/>
        </w:rPr>
      </w:pPr>
      <w:r>
        <w:rPr>
          <w:rFonts w:ascii="Arial" w:hAnsi="Arial" w:cs="Arial"/>
          <w:sz w:val="24"/>
          <w:szCs w:val="24"/>
        </w:rPr>
        <w:t xml:space="preserve">El artículo 6° del proyecto de ley establece que las autoridades municipales y distritales del país serán autónomas para determinar si se otorga o no plazo </w:t>
      </w:r>
      <w:r>
        <w:rPr>
          <w:rFonts w:ascii="Arial" w:hAnsi="Arial" w:cs="Arial"/>
          <w:sz w:val="24"/>
          <w:szCs w:val="24"/>
        </w:rPr>
        <w:lastRenderedPageBreak/>
        <w:t>alguno para la cancelación del impuesto predial, o si el mismo se realiza en cuotas periódicas a determinar por las respectivas alcaldías. Creo que tanto el plazo como la periodicidad de los pagos del tributo, dada la importancia relativa de los recaudos del impuesto predial como proporción del total de los ingresos tributarios de las entidades territoriales, es un elemento sobre el cual dependiendo del flujo de recursos de las mismas, se debe dar plena autonomía a sus mandatarios para su determinación y de esta forma evitar cualquier desfinanciamiento temporal de programas vitales de las entidades territoriales.</w:t>
      </w:r>
    </w:p>
    <w:p w:rsidR="00BA111F" w:rsidRDefault="00BA111F" w:rsidP="00BA111F">
      <w:pPr>
        <w:jc w:val="both"/>
        <w:rPr>
          <w:rFonts w:ascii="Arial" w:hAnsi="Arial" w:cs="Arial"/>
          <w:sz w:val="24"/>
          <w:szCs w:val="24"/>
        </w:rPr>
      </w:pPr>
      <w:r>
        <w:rPr>
          <w:rFonts w:ascii="Arial" w:hAnsi="Arial" w:cs="Arial"/>
          <w:sz w:val="24"/>
          <w:szCs w:val="24"/>
        </w:rPr>
        <w:t>Por último, el artículo 7° trata sobre la vigencia y derogatorias de la ley.</w:t>
      </w:r>
    </w:p>
    <w:p w:rsidR="00BA111F" w:rsidRDefault="00BA111F" w:rsidP="00BA111F">
      <w:pPr>
        <w:jc w:val="both"/>
        <w:rPr>
          <w:rFonts w:ascii="Arial" w:hAnsi="Arial" w:cs="Arial"/>
          <w:sz w:val="24"/>
          <w:szCs w:val="24"/>
        </w:rPr>
      </w:pPr>
    </w:p>
    <w:p w:rsidR="00BA111F" w:rsidRDefault="00BA111F" w:rsidP="00BA111F">
      <w:pPr>
        <w:jc w:val="both"/>
        <w:rPr>
          <w:rFonts w:ascii="Arial" w:hAnsi="Arial" w:cs="Arial"/>
          <w:sz w:val="24"/>
          <w:szCs w:val="24"/>
        </w:rPr>
      </w:pPr>
    </w:p>
    <w:p w:rsidR="005B2B89" w:rsidRDefault="005B2B89" w:rsidP="005B2B89">
      <w:pPr>
        <w:spacing w:after="0"/>
        <w:jc w:val="both"/>
        <w:rPr>
          <w:rFonts w:ascii="Arial" w:hAnsi="Arial" w:cs="Arial"/>
          <w:b/>
          <w:sz w:val="24"/>
          <w:szCs w:val="24"/>
        </w:rPr>
      </w:pPr>
      <w:r>
        <w:rPr>
          <w:rFonts w:ascii="Arial" w:hAnsi="Arial" w:cs="Arial"/>
          <w:b/>
          <w:sz w:val="24"/>
          <w:szCs w:val="24"/>
        </w:rPr>
        <w:t>SANDRA ORTIZ NOVA.                                ____________________________</w:t>
      </w:r>
    </w:p>
    <w:p w:rsidR="005B2B89" w:rsidRDefault="005B2B89" w:rsidP="005B2B89">
      <w:pPr>
        <w:spacing w:after="0"/>
        <w:jc w:val="both"/>
        <w:rPr>
          <w:rFonts w:ascii="Arial" w:hAnsi="Arial" w:cs="Arial"/>
          <w:sz w:val="24"/>
          <w:szCs w:val="24"/>
        </w:rPr>
      </w:pPr>
      <w:r>
        <w:rPr>
          <w:rFonts w:ascii="Arial" w:hAnsi="Arial" w:cs="Arial"/>
          <w:sz w:val="24"/>
          <w:szCs w:val="24"/>
        </w:rPr>
        <w:t>Senadora de la República.</w:t>
      </w:r>
    </w:p>
    <w:p w:rsidR="005B2B89" w:rsidRDefault="005B2B89" w:rsidP="005B2B89">
      <w:pPr>
        <w:spacing w:after="0"/>
        <w:jc w:val="both"/>
        <w:rPr>
          <w:rFonts w:ascii="Arial" w:hAnsi="Arial" w:cs="Arial"/>
          <w:sz w:val="24"/>
          <w:szCs w:val="24"/>
        </w:rPr>
      </w:pPr>
    </w:p>
    <w:p w:rsidR="005B2B89" w:rsidRDefault="005B2B89" w:rsidP="005B2B89">
      <w:pPr>
        <w:spacing w:after="0"/>
        <w:jc w:val="both"/>
        <w:rPr>
          <w:rFonts w:ascii="Arial" w:hAnsi="Arial" w:cs="Arial"/>
          <w:sz w:val="24"/>
          <w:szCs w:val="24"/>
        </w:rPr>
      </w:pPr>
    </w:p>
    <w:p w:rsidR="005B2B89" w:rsidRDefault="005B2B89" w:rsidP="005B2B89">
      <w:pPr>
        <w:spacing w:after="0"/>
        <w:jc w:val="both"/>
        <w:rPr>
          <w:rFonts w:ascii="Arial" w:hAnsi="Arial" w:cs="Arial"/>
          <w:sz w:val="24"/>
          <w:szCs w:val="24"/>
        </w:rPr>
      </w:pPr>
    </w:p>
    <w:p w:rsidR="00BA111F" w:rsidRPr="000B0A5E" w:rsidRDefault="00BA111F" w:rsidP="00C01B15">
      <w:pPr>
        <w:jc w:val="both"/>
        <w:rPr>
          <w:rFonts w:ascii="Arial" w:hAnsi="Arial" w:cs="Arial"/>
          <w:sz w:val="24"/>
          <w:szCs w:val="24"/>
        </w:rPr>
      </w:pPr>
    </w:p>
    <w:sectPr w:rsidR="00BA111F" w:rsidRPr="000B0A5E" w:rsidSect="00DB7043">
      <w:headerReference w:type="default" r:id="rId27"/>
      <w:footerReference w:type="default" r:id="rId28"/>
      <w:pgSz w:w="12240" w:h="15840"/>
      <w:pgMar w:top="2381"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6577" w:rsidRDefault="00596577" w:rsidP="00CF0074">
      <w:pPr>
        <w:spacing w:after="0" w:line="240" w:lineRule="auto"/>
      </w:pPr>
      <w:r>
        <w:separator/>
      </w:r>
    </w:p>
  </w:endnote>
  <w:endnote w:type="continuationSeparator" w:id="0">
    <w:p w:rsidR="00596577" w:rsidRDefault="00596577" w:rsidP="00CF00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Roboto">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111F" w:rsidRPr="00841648" w:rsidRDefault="00BA111F" w:rsidP="00BA111F">
    <w:pPr>
      <w:pStyle w:val="Piedepgina"/>
      <w:jc w:val="center"/>
      <w:rPr>
        <w:rFonts w:ascii="Times New Roman" w:hAnsi="Times New Roman" w:cs="Times New Roman"/>
        <w:color w:val="000000" w:themeColor="text1"/>
        <w:sz w:val="20"/>
        <w:szCs w:val="20"/>
      </w:rPr>
    </w:pPr>
    <w:r w:rsidRPr="00841648">
      <w:rPr>
        <w:rFonts w:ascii="Times New Roman" w:hAnsi="Times New Roman" w:cs="Times New Roman"/>
        <w:b/>
        <w:color w:val="000000" w:themeColor="text1"/>
        <w:sz w:val="20"/>
        <w:szCs w:val="20"/>
      </w:rPr>
      <w:t xml:space="preserve">Congreso de la República </w:t>
    </w:r>
    <w:proofErr w:type="spellStart"/>
    <w:r w:rsidRPr="00841648">
      <w:rPr>
        <w:rFonts w:ascii="Times New Roman" w:hAnsi="Times New Roman" w:cs="Times New Roman"/>
        <w:b/>
        <w:color w:val="000000" w:themeColor="text1"/>
        <w:sz w:val="20"/>
        <w:szCs w:val="20"/>
      </w:rPr>
      <w:t>Cra</w:t>
    </w:r>
    <w:proofErr w:type="spellEnd"/>
    <w:r w:rsidRPr="00841648">
      <w:rPr>
        <w:rFonts w:ascii="Times New Roman" w:hAnsi="Times New Roman" w:cs="Times New Roman"/>
        <w:b/>
        <w:color w:val="000000" w:themeColor="text1"/>
        <w:sz w:val="20"/>
        <w:szCs w:val="20"/>
      </w:rPr>
      <w:t>. 7 N°</w:t>
    </w:r>
    <w:r>
      <w:rPr>
        <w:rFonts w:ascii="Times New Roman" w:hAnsi="Times New Roman" w:cs="Times New Roman"/>
        <w:b/>
        <w:color w:val="000000" w:themeColor="text1"/>
        <w:sz w:val="20"/>
        <w:szCs w:val="20"/>
      </w:rPr>
      <w:t xml:space="preserve"> </w:t>
    </w:r>
    <w:r w:rsidRPr="00841648">
      <w:rPr>
        <w:rFonts w:ascii="Times New Roman" w:hAnsi="Times New Roman" w:cs="Times New Roman"/>
        <w:b/>
        <w:color w:val="000000" w:themeColor="text1"/>
        <w:sz w:val="20"/>
        <w:szCs w:val="20"/>
      </w:rPr>
      <w:t xml:space="preserve">8 </w:t>
    </w:r>
    <w:r>
      <w:rPr>
        <w:rFonts w:ascii="Times New Roman" w:hAnsi="Times New Roman" w:cs="Times New Roman"/>
        <w:b/>
        <w:color w:val="000000" w:themeColor="text1"/>
        <w:sz w:val="20"/>
        <w:szCs w:val="20"/>
      </w:rPr>
      <w:t>–</w:t>
    </w:r>
    <w:r w:rsidRPr="00841648">
      <w:rPr>
        <w:rFonts w:ascii="Times New Roman" w:hAnsi="Times New Roman" w:cs="Times New Roman"/>
        <w:b/>
        <w:color w:val="000000" w:themeColor="text1"/>
        <w:sz w:val="20"/>
        <w:szCs w:val="20"/>
      </w:rPr>
      <w:t xml:space="preserve"> 68</w:t>
    </w:r>
    <w:r>
      <w:rPr>
        <w:rFonts w:ascii="Times New Roman" w:hAnsi="Times New Roman" w:cs="Times New Roman"/>
        <w:b/>
        <w:color w:val="000000" w:themeColor="text1"/>
        <w:sz w:val="20"/>
        <w:szCs w:val="20"/>
      </w:rPr>
      <w:t xml:space="preserve"> Bogotá D.C., </w:t>
    </w:r>
    <w:r w:rsidRPr="00841648">
      <w:rPr>
        <w:rFonts w:ascii="Times New Roman" w:hAnsi="Times New Roman" w:cs="Times New Roman"/>
        <w:b/>
        <w:color w:val="000000" w:themeColor="text1"/>
        <w:sz w:val="20"/>
        <w:szCs w:val="20"/>
      </w:rPr>
      <w:t xml:space="preserve">Oficina </w:t>
    </w:r>
    <w:r>
      <w:rPr>
        <w:rFonts w:ascii="Times New Roman" w:hAnsi="Times New Roman" w:cs="Times New Roman"/>
        <w:b/>
        <w:color w:val="000000" w:themeColor="text1"/>
        <w:sz w:val="20"/>
        <w:szCs w:val="20"/>
      </w:rPr>
      <w:t xml:space="preserve">327 Edificio Nuevo del Congreso. </w:t>
    </w:r>
  </w:p>
  <w:p w:rsidR="00BA111F" w:rsidRDefault="00BA111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A6C" w:rsidRPr="00841648" w:rsidRDefault="00C91A6C" w:rsidP="00C91A6C">
    <w:pPr>
      <w:pStyle w:val="Piedepgina"/>
      <w:jc w:val="center"/>
      <w:rPr>
        <w:rFonts w:ascii="Times New Roman" w:hAnsi="Times New Roman" w:cs="Times New Roman"/>
        <w:color w:val="000000" w:themeColor="text1"/>
        <w:sz w:val="20"/>
        <w:szCs w:val="20"/>
      </w:rPr>
    </w:pPr>
    <w:r w:rsidRPr="00841648">
      <w:rPr>
        <w:rFonts w:ascii="Times New Roman" w:hAnsi="Times New Roman" w:cs="Times New Roman"/>
        <w:b/>
        <w:color w:val="000000" w:themeColor="text1"/>
        <w:sz w:val="20"/>
        <w:szCs w:val="20"/>
      </w:rPr>
      <w:t xml:space="preserve">Congreso de la República </w:t>
    </w:r>
    <w:proofErr w:type="spellStart"/>
    <w:r w:rsidRPr="00841648">
      <w:rPr>
        <w:rFonts w:ascii="Times New Roman" w:hAnsi="Times New Roman" w:cs="Times New Roman"/>
        <w:b/>
        <w:color w:val="000000" w:themeColor="text1"/>
        <w:sz w:val="20"/>
        <w:szCs w:val="20"/>
      </w:rPr>
      <w:t>Cra</w:t>
    </w:r>
    <w:proofErr w:type="spellEnd"/>
    <w:r w:rsidRPr="00841648">
      <w:rPr>
        <w:rFonts w:ascii="Times New Roman" w:hAnsi="Times New Roman" w:cs="Times New Roman"/>
        <w:b/>
        <w:color w:val="000000" w:themeColor="text1"/>
        <w:sz w:val="20"/>
        <w:szCs w:val="20"/>
      </w:rPr>
      <w:t>. 7 N°</w:t>
    </w:r>
    <w:r w:rsidR="00B90E66">
      <w:rPr>
        <w:rFonts w:ascii="Times New Roman" w:hAnsi="Times New Roman" w:cs="Times New Roman"/>
        <w:b/>
        <w:color w:val="000000" w:themeColor="text1"/>
        <w:sz w:val="20"/>
        <w:szCs w:val="20"/>
      </w:rPr>
      <w:t xml:space="preserve"> </w:t>
    </w:r>
    <w:r w:rsidRPr="00841648">
      <w:rPr>
        <w:rFonts w:ascii="Times New Roman" w:hAnsi="Times New Roman" w:cs="Times New Roman"/>
        <w:b/>
        <w:color w:val="000000" w:themeColor="text1"/>
        <w:sz w:val="20"/>
        <w:szCs w:val="20"/>
      </w:rPr>
      <w:t xml:space="preserve">8 </w:t>
    </w:r>
    <w:r>
      <w:rPr>
        <w:rFonts w:ascii="Times New Roman" w:hAnsi="Times New Roman" w:cs="Times New Roman"/>
        <w:b/>
        <w:color w:val="000000" w:themeColor="text1"/>
        <w:sz w:val="20"/>
        <w:szCs w:val="20"/>
      </w:rPr>
      <w:t>–</w:t>
    </w:r>
    <w:r w:rsidRPr="00841648">
      <w:rPr>
        <w:rFonts w:ascii="Times New Roman" w:hAnsi="Times New Roman" w:cs="Times New Roman"/>
        <w:b/>
        <w:color w:val="000000" w:themeColor="text1"/>
        <w:sz w:val="20"/>
        <w:szCs w:val="20"/>
      </w:rPr>
      <w:t xml:space="preserve"> 68</w:t>
    </w:r>
    <w:r>
      <w:rPr>
        <w:rFonts w:ascii="Times New Roman" w:hAnsi="Times New Roman" w:cs="Times New Roman"/>
        <w:b/>
        <w:color w:val="000000" w:themeColor="text1"/>
        <w:sz w:val="20"/>
        <w:szCs w:val="20"/>
      </w:rPr>
      <w:t xml:space="preserve"> Bogotá D.C., </w:t>
    </w:r>
    <w:r w:rsidRPr="00841648">
      <w:rPr>
        <w:rFonts w:ascii="Times New Roman" w:hAnsi="Times New Roman" w:cs="Times New Roman"/>
        <w:b/>
        <w:color w:val="000000" w:themeColor="text1"/>
        <w:sz w:val="20"/>
        <w:szCs w:val="20"/>
      </w:rPr>
      <w:t xml:space="preserve">Oficina </w:t>
    </w:r>
    <w:r>
      <w:rPr>
        <w:rFonts w:ascii="Times New Roman" w:hAnsi="Times New Roman" w:cs="Times New Roman"/>
        <w:b/>
        <w:color w:val="000000" w:themeColor="text1"/>
        <w:sz w:val="20"/>
        <w:szCs w:val="20"/>
      </w:rPr>
      <w:t xml:space="preserve">327 Edificio Nuevo del Congreso. </w:t>
    </w:r>
  </w:p>
  <w:p w:rsidR="00C91A6C" w:rsidRDefault="00C91A6C">
    <w:pPr>
      <w:pStyle w:val="Piedepgina"/>
    </w:pPr>
  </w:p>
  <w:p w:rsidR="003C3E16" w:rsidRDefault="003C3E1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6577" w:rsidRDefault="00596577" w:rsidP="00CF0074">
      <w:pPr>
        <w:spacing w:after="0" w:line="240" w:lineRule="auto"/>
      </w:pPr>
      <w:r>
        <w:separator/>
      </w:r>
    </w:p>
  </w:footnote>
  <w:footnote w:type="continuationSeparator" w:id="0">
    <w:p w:rsidR="00596577" w:rsidRDefault="00596577" w:rsidP="00CF0074">
      <w:pPr>
        <w:spacing w:after="0" w:line="240" w:lineRule="auto"/>
      </w:pPr>
      <w:r>
        <w:continuationSeparator/>
      </w:r>
    </w:p>
  </w:footnote>
  <w:footnote w:id="1">
    <w:p w:rsidR="00BA111F" w:rsidRPr="006A1C9C" w:rsidRDefault="00BA111F" w:rsidP="00BA111F">
      <w:pPr>
        <w:pStyle w:val="Textonotapie"/>
        <w:rPr>
          <w:lang w:val="es-ES"/>
        </w:rPr>
      </w:pPr>
      <w:r>
        <w:rPr>
          <w:rStyle w:val="Refdenotaalpie"/>
        </w:rPr>
        <w:footnoteRef/>
      </w:r>
      <w:r>
        <w:t xml:space="preserve"> </w:t>
      </w:r>
      <w:r w:rsidRPr="006A1C9C">
        <w:rPr>
          <w:rFonts w:cs="Arial"/>
        </w:rPr>
        <w:t>Comisión de Expertos Para la Equidad y la Competitividad Tributaria</w:t>
      </w:r>
      <w:r>
        <w:rPr>
          <w:rFonts w:cs="Arial"/>
        </w:rPr>
        <w:t xml:space="preserve">. (2015). </w:t>
      </w:r>
      <w:r w:rsidRPr="006A1C9C">
        <w:rPr>
          <w:rFonts w:cs="Arial"/>
          <w:i/>
        </w:rPr>
        <w:t>Diagnóstico de los problemas que afectan al sistema tributario colombiano</w:t>
      </w:r>
      <w:r>
        <w:rPr>
          <w:rFonts w:cs="Arial"/>
          <w:i/>
        </w:rPr>
        <w:t xml:space="preserve">. </w:t>
      </w:r>
      <w:r>
        <w:rPr>
          <w:rFonts w:cs="Arial"/>
        </w:rPr>
        <w:t xml:space="preserve">Disponible en </w:t>
      </w:r>
      <w:r w:rsidRPr="006A1C9C">
        <w:rPr>
          <w:rFonts w:cs="Arial"/>
        </w:rPr>
        <w:t>http://www.minhacienda.gov.co/portal/pls/portal/docs/1/39576622.PDF</w:t>
      </w:r>
    </w:p>
  </w:footnote>
  <w:footnote w:id="2">
    <w:p w:rsidR="00BA111F" w:rsidRDefault="00BA111F" w:rsidP="00BA111F">
      <w:pPr>
        <w:pStyle w:val="Textonotapie"/>
        <w:jc w:val="both"/>
      </w:pPr>
      <w:r>
        <w:rPr>
          <w:rStyle w:val="Refdenotaalpie"/>
        </w:rPr>
        <w:footnoteRef/>
      </w:r>
      <w:r>
        <w:t xml:space="preserve"> </w:t>
      </w:r>
      <w:proofErr w:type="spellStart"/>
      <w:r>
        <w:t>Iregui</w:t>
      </w:r>
      <w:proofErr w:type="spellEnd"/>
      <w:r>
        <w:t xml:space="preserve"> A. M., Melo L., &amp; Ramos J. (2003). El impuesto predial en Colombia: evolución reciente, comportamiento de las tarifas y potencial de recaudo. Bogotá D.C., Colombia. Banco de la República, Subgerencia de estudios económicos. </w:t>
      </w:r>
    </w:p>
  </w:footnote>
  <w:footnote w:id="3">
    <w:p w:rsidR="00BA111F" w:rsidRDefault="00BA111F" w:rsidP="00BA111F">
      <w:pPr>
        <w:pStyle w:val="Textonotapie"/>
      </w:pPr>
      <w:r>
        <w:rPr>
          <w:rStyle w:val="Refdenotaalpie"/>
        </w:rPr>
        <w:footnoteRef/>
      </w:r>
      <w:r>
        <w:t xml:space="preserve"> Ibíd.</w:t>
      </w:r>
    </w:p>
  </w:footnote>
  <w:footnote w:id="4">
    <w:p w:rsidR="00BA111F" w:rsidRDefault="00BA111F" w:rsidP="00BA111F">
      <w:pPr>
        <w:pStyle w:val="Textonotapie"/>
      </w:pPr>
      <w:r>
        <w:rPr>
          <w:rStyle w:val="Refdenotaalpie"/>
        </w:rPr>
        <w:footnoteRef/>
      </w:r>
      <w:r>
        <w:t xml:space="preserve"> Ministerio de Hacienda y Crédito Público. (2014). Estimación de los Recaudos Tributarios Territoriales a Diciembre de 2013. Disponible en </w:t>
      </w:r>
      <w:r w:rsidRPr="003E41D8">
        <w:t>http://www.minhacienda.gov.co/HomeMinhacienda/asistenciaentidadesterritoriales/Publicaciones</w:t>
      </w:r>
    </w:p>
  </w:footnote>
  <w:footnote w:id="5">
    <w:p w:rsidR="00BA111F" w:rsidRPr="009761B3" w:rsidRDefault="00BA111F" w:rsidP="00BA111F">
      <w:pPr>
        <w:rPr>
          <w:lang w:val="en-US"/>
        </w:rPr>
      </w:pPr>
      <w:r>
        <w:rPr>
          <w:rStyle w:val="Refdenotaalpie"/>
        </w:rPr>
        <w:footnoteRef/>
      </w:r>
      <w:r>
        <w:t xml:space="preserve"> Secretaria Distrital de Hacienda. (2015). Series históricas de impuestos distritales (Archivo de datos, Recaudo de Ingresos Corrientes). </w:t>
      </w:r>
      <w:proofErr w:type="spellStart"/>
      <w:r w:rsidRPr="009761B3">
        <w:rPr>
          <w:lang w:val="en-US"/>
        </w:rPr>
        <w:t>Disponible</w:t>
      </w:r>
      <w:proofErr w:type="spellEnd"/>
      <w:r w:rsidRPr="009761B3">
        <w:rPr>
          <w:lang w:val="en-US"/>
        </w:rPr>
        <w:t xml:space="preserve"> en http://www.shd.gov.co/shd/menu-bit</w:t>
      </w:r>
    </w:p>
    <w:p w:rsidR="00BA111F" w:rsidRPr="009761B3" w:rsidRDefault="00BA111F" w:rsidP="00BA111F">
      <w:pPr>
        <w:pStyle w:val="Textonotapie"/>
        <w:rPr>
          <w:lang w:val="en-US"/>
        </w:rPr>
      </w:pPr>
    </w:p>
  </w:footnote>
  <w:footnote w:id="6">
    <w:p w:rsidR="00BA111F" w:rsidRPr="00BA18D2" w:rsidRDefault="00BA111F" w:rsidP="00BA111F">
      <w:pPr>
        <w:pStyle w:val="Textonotapie"/>
        <w:rPr>
          <w:lang w:val="en-US"/>
        </w:rPr>
      </w:pPr>
      <w:r w:rsidRPr="00606E88">
        <w:rPr>
          <w:rStyle w:val="Refdenotaalpie"/>
        </w:rPr>
        <w:footnoteRef/>
      </w:r>
      <w:r w:rsidRPr="00606E88">
        <w:rPr>
          <w:lang w:val="en-US"/>
        </w:rPr>
        <w:t xml:space="preserve"> </w:t>
      </w:r>
      <w:proofErr w:type="gramStart"/>
      <w:r w:rsidRPr="00606E88">
        <w:rPr>
          <w:lang w:val="en-US"/>
        </w:rPr>
        <w:t>U.S. Department of Commerce –Bureau of Economic Analysis.</w:t>
      </w:r>
      <w:proofErr w:type="gramEnd"/>
      <w:r w:rsidRPr="00606E88">
        <w:rPr>
          <w:lang w:val="en-US"/>
        </w:rPr>
        <w:t xml:space="preserve"> (2018)</w:t>
      </w:r>
      <w:proofErr w:type="gramStart"/>
      <w:r w:rsidRPr="00606E88">
        <w:rPr>
          <w:lang w:val="en-US"/>
        </w:rPr>
        <w:t>.  State</w:t>
      </w:r>
      <w:proofErr w:type="gramEnd"/>
      <w:r w:rsidRPr="00606E88">
        <w:rPr>
          <w:lang w:val="en-US"/>
        </w:rPr>
        <w:t xml:space="preserve"> and Local Government Current Receipts and Expenditures. </w:t>
      </w:r>
      <w:proofErr w:type="spellStart"/>
      <w:r w:rsidRPr="00606E88">
        <w:rPr>
          <w:lang w:val="en-US"/>
        </w:rPr>
        <w:t>Disponible</w:t>
      </w:r>
      <w:proofErr w:type="spellEnd"/>
      <w:r w:rsidRPr="00606E88">
        <w:rPr>
          <w:lang w:val="en-US"/>
        </w:rPr>
        <w:t xml:space="preserve"> en https://www.bea.gov/national/pdf/SNTables.pdf</w:t>
      </w:r>
    </w:p>
  </w:footnote>
  <w:footnote w:id="7">
    <w:p w:rsidR="00BA111F" w:rsidRPr="009761B3" w:rsidRDefault="00BA111F" w:rsidP="00BA111F">
      <w:pPr>
        <w:pStyle w:val="Textonotapie"/>
        <w:rPr>
          <w:lang w:val="en-US"/>
        </w:rPr>
      </w:pPr>
      <w:r>
        <w:rPr>
          <w:rStyle w:val="Refdenotaalpie"/>
        </w:rPr>
        <w:footnoteRef/>
      </w:r>
      <w:r w:rsidRPr="009761B3">
        <w:rPr>
          <w:lang w:val="en-US"/>
        </w:rPr>
        <w:t xml:space="preserve"> </w:t>
      </w:r>
      <w:proofErr w:type="gramStart"/>
      <w:r w:rsidRPr="009761B3">
        <w:rPr>
          <w:lang w:val="en-US"/>
        </w:rPr>
        <w:t>Center for Urban Policy and the Environment Indiana University.</w:t>
      </w:r>
      <w:proofErr w:type="gramEnd"/>
      <w:r w:rsidRPr="009761B3">
        <w:rPr>
          <w:lang w:val="en-US"/>
        </w:rPr>
        <w:t xml:space="preserve"> (1995). Tax and expendit</w:t>
      </w:r>
      <w:r>
        <w:rPr>
          <w:lang w:val="en-US"/>
        </w:rPr>
        <w:t>u</w:t>
      </w:r>
      <w:r w:rsidRPr="009761B3">
        <w:rPr>
          <w:lang w:val="en-US"/>
        </w:rPr>
        <w:t xml:space="preserve">re limits on local governments.  </w:t>
      </w:r>
      <w:proofErr w:type="gramStart"/>
      <w:r w:rsidRPr="009761B3">
        <w:rPr>
          <w:lang w:val="en-US"/>
        </w:rPr>
        <w:t>(Advisory Commission on Intergovernmental relations March 1995, M-1994.</w:t>
      </w:r>
      <w:proofErr w:type="gramEnd"/>
    </w:p>
  </w:footnote>
  <w:footnote w:id="8">
    <w:p w:rsidR="00BA111F" w:rsidRPr="009761B3" w:rsidRDefault="00BA111F" w:rsidP="00BA111F">
      <w:pPr>
        <w:rPr>
          <w:rFonts w:ascii="Calibri" w:eastAsia="Times New Roman" w:hAnsi="Calibri" w:cs="Times New Roman"/>
          <w:lang w:val="en-US" w:eastAsia="es-CO"/>
        </w:rPr>
      </w:pPr>
      <w:r>
        <w:rPr>
          <w:rStyle w:val="Refdenotaalpie"/>
        </w:rPr>
        <w:footnoteRef/>
      </w:r>
      <w:r w:rsidRPr="009761B3">
        <w:rPr>
          <w:lang w:val="en-US"/>
        </w:rPr>
        <w:t xml:space="preserve"> </w:t>
      </w:r>
      <w:proofErr w:type="gramStart"/>
      <w:r w:rsidRPr="00A50ACF">
        <w:rPr>
          <w:lang w:val="en-US"/>
        </w:rPr>
        <w:t>Lincoln Institute of Land Policy and George Washington Institute of Public Policy.</w:t>
      </w:r>
      <w:proofErr w:type="gramEnd"/>
      <w:r w:rsidRPr="00A50ACF">
        <w:rPr>
          <w:lang w:val="en-US"/>
        </w:rPr>
        <w:t xml:space="preserve"> (Tax Limits; accessed: 8/9/2018 1:24:44 PM) </w:t>
      </w:r>
      <w:proofErr w:type="spellStart"/>
      <w:r w:rsidRPr="009761B3">
        <w:rPr>
          <w:rFonts w:ascii="Calibri" w:eastAsia="Times New Roman" w:hAnsi="Calibri" w:cs="Times New Roman"/>
          <w:lang w:val="en-US" w:eastAsia="es-CO"/>
        </w:rPr>
        <w:t>Disponible</w:t>
      </w:r>
      <w:proofErr w:type="spellEnd"/>
      <w:r w:rsidRPr="009761B3">
        <w:rPr>
          <w:rFonts w:ascii="Calibri" w:eastAsia="Times New Roman" w:hAnsi="Calibri" w:cs="Times New Roman"/>
          <w:lang w:val="en-US" w:eastAsia="es-CO"/>
        </w:rPr>
        <w:t xml:space="preserve"> en http://www.lincolninst.edu/subcenters/significant-features-property-tax/Report_Tax_Limits.aspx</w:t>
      </w:r>
    </w:p>
    <w:p w:rsidR="00BA111F" w:rsidRPr="009761B3" w:rsidRDefault="00BA111F" w:rsidP="00BA111F">
      <w:pPr>
        <w:rPr>
          <w:rFonts w:ascii="Calibri" w:eastAsia="Times New Roman" w:hAnsi="Calibri" w:cs="Times New Roman"/>
          <w:lang w:val="en-US" w:eastAsia="es-CO"/>
        </w:rPr>
      </w:pPr>
    </w:p>
    <w:p w:rsidR="00BA111F" w:rsidRPr="009761B3" w:rsidRDefault="00BA111F" w:rsidP="00BA111F">
      <w:pPr>
        <w:pStyle w:val="Textonotapie"/>
        <w:rPr>
          <w:lang w:val="en-US"/>
        </w:rPr>
      </w:pPr>
    </w:p>
  </w:footnote>
  <w:footnote w:id="9">
    <w:p w:rsidR="00BA111F" w:rsidRPr="009761B3" w:rsidRDefault="00BA111F" w:rsidP="00BA111F">
      <w:pPr>
        <w:pStyle w:val="Textonotapie"/>
        <w:rPr>
          <w:lang w:val="en-US"/>
        </w:rPr>
      </w:pPr>
      <w:r>
        <w:rPr>
          <w:rStyle w:val="Refdenotaalpie"/>
        </w:rPr>
        <w:footnoteRef/>
      </w:r>
      <w:r w:rsidRPr="009761B3">
        <w:rPr>
          <w:lang w:val="en-US"/>
        </w:rPr>
        <w:t xml:space="preserve"> </w:t>
      </w:r>
      <w:proofErr w:type="spellStart"/>
      <w:proofErr w:type="gramStart"/>
      <w:r w:rsidRPr="009761B3">
        <w:rPr>
          <w:lang w:val="en-US"/>
        </w:rPr>
        <w:t>Ibíd</w:t>
      </w:r>
      <w:proofErr w:type="spellEnd"/>
      <w:r w:rsidRPr="009761B3">
        <w:rPr>
          <w:lang w:val="en-US"/>
        </w:rPr>
        <w:t>.</w:t>
      </w:r>
      <w:proofErr w:type="gramEnd"/>
    </w:p>
  </w:footnote>
  <w:footnote w:id="10">
    <w:p w:rsidR="00BA111F" w:rsidRPr="009761B3" w:rsidRDefault="00BA111F" w:rsidP="00BA111F">
      <w:pPr>
        <w:pStyle w:val="Textonotapie"/>
        <w:rPr>
          <w:lang w:val="en-US"/>
        </w:rPr>
      </w:pPr>
      <w:r>
        <w:rPr>
          <w:rStyle w:val="Refdenotaalpie"/>
        </w:rPr>
        <w:footnoteRef/>
      </w:r>
      <w:r w:rsidRPr="009761B3">
        <w:rPr>
          <w:lang w:val="en-US"/>
        </w:rPr>
        <w:t xml:space="preserve"> </w:t>
      </w:r>
      <w:r>
        <w:rPr>
          <w:lang w:val="en-US"/>
        </w:rPr>
        <w:t xml:space="preserve">PricewaterhouseCoopers IL. </w:t>
      </w:r>
      <w:proofErr w:type="gramStart"/>
      <w:r>
        <w:rPr>
          <w:lang w:val="en-US"/>
        </w:rPr>
        <w:t>(2016</w:t>
      </w:r>
      <w:r w:rsidRPr="009761B3">
        <w:rPr>
          <w:lang w:val="en-US"/>
        </w:rPr>
        <w:t xml:space="preserve">). </w:t>
      </w:r>
      <w:r w:rsidRPr="009761B3">
        <w:rPr>
          <w:i/>
          <w:lang w:val="en-US"/>
        </w:rPr>
        <w:t>Real estate Going Global.</w:t>
      </w:r>
      <w:proofErr w:type="gramEnd"/>
      <w:r w:rsidRPr="009761B3">
        <w:rPr>
          <w:i/>
          <w:lang w:val="en-US"/>
        </w:rPr>
        <w:t xml:space="preserve"> Netherlands. </w:t>
      </w:r>
      <w:proofErr w:type="gramStart"/>
      <w:r w:rsidRPr="009761B3">
        <w:rPr>
          <w:i/>
          <w:lang w:val="en-US"/>
        </w:rPr>
        <w:t>Tax and legal aspects of real estate investments around the globe.</w:t>
      </w:r>
      <w:proofErr w:type="gramEnd"/>
    </w:p>
  </w:footnote>
  <w:footnote w:id="11">
    <w:p w:rsidR="00BA111F" w:rsidRPr="009761B3" w:rsidRDefault="00BA111F" w:rsidP="00BA111F">
      <w:pPr>
        <w:pStyle w:val="Textonotapie"/>
        <w:rPr>
          <w:i/>
          <w:lang w:val="en-US"/>
        </w:rPr>
      </w:pPr>
      <w:r>
        <w:rPr>
          <w:rStyle w:val="Refdenotaalpie"/>
        </w:rPr>
        <w:footnoteRef/>
      </w:r>
      <w:r>
        <w:t xml:space="preserve"> Agencia Sueca de Impuestos (2012). </w:t>
      </w:r>
      <w:proofErr w:type="spellStart"/>
      <w:r>
        <w:rPr>
          <w:i/>
        </w:rPr>
        <w:t>Taxes</w:t>
      </w:r>
      <w:proofErr w:type="spellEnd"/>
      <w:r>
        <w:rPr>
          <w:i/>
        </w:rPr>
        <w:t xml:space="preserve"> in </w:t>
      </w:r>
      <w:proofErr w:type="spellStart"/>
      <w:r>
        <w:rPr>
          <w:i/>
        </w:rPr>
        <w:t>Sweden</w:t>
      </w:r>
      <w:proofErr w:type="spellEnd"/>
      <w:r>
        <w:rPr>
          <w:i/>
        </w:rPr>
        <w:t xml:space="preserve"> 2012. </w:t>
      </w:r>
      <w:r w:rsidRPr="009761B3">
        <w:rPr>
          <w:i/>
          <w:lang w:val="en-US"/>
        </w:rPr>
        <w:t>An English Summary of tax Statistical Yearbook of Sweden.</w:t>
      </w:r>
    </w:p>
  </w:footnote>
  <w:footnote w:id="12">
    <w:p w:rsidR="00BA111F" w:rsidRDefault="00BA111F" w:rsidP="00BA111F">
      <w:pPr>
        <w:pStyle w:val="Textonotapie"/>
      </w:pPr>
      <w:r>
        <w:rPr>
          <w:rStyle w:val="Refdenotaalpie"/>
        </w:rPr>
        <w:footnoteRef/>
      </w:r>
      <w:r w:rsidRPr="009761B3">
        <w:rPr>
          <w:lang w:val="en-US"/>
        </w:rPr>
        <w:t xml:space="preserve"> </w:t>
      </w:r>
      <w:proofErr w:type="gramStart"/>
      <w:r w:rsidRPr="009761B3">
        <w:rPr>
          <w:lang w:val="en-US"/>
        </w:rPr>
        <w:t>Deloitte.</w:t>
      </w:r>
      <w:proofErr w:type="gramEnd"/>
      <w:r w:rsidRPr="009761B3">
        <w:rPr>
          <w:lang w:val="en-US"/>
        </w:rPr>
        <w:t xml:space="preserve"> </w:t>
      </w:r>
      <w:proofErr w:type="gramStart"/>
      <w:r w:rsidRPr="009761B3">
        <w:rPr>
          <w:lang w:val="en-US"/>
        </w:rPr>
        <w:t xml:space="preserve">(2015). </w:t>
      </w:r>
      <w:r w:rsidRPr="009761B3">
        <w:rPr>
          <w:i/>
          <w:lang w:val="en-US"/>
        </w:rPr>
        <w:t>Taxation and Investment in Sweden 2015.</w:t>
      </w:r>
      <w:proofErr w:type="gramEnd"/>
      <w:r w:rsidRPr="009761B3">
        <w:rPr>
          <w:i/>
          <w:lang w:val="en-US"/>
        </w:rPr>
        <w:t xml:space="preserve"> </w:t>
      </w:r>
      <w:proofErr w:type="spellStart"/>
      <w:r w:rsidRPr="004A773B">
        <w:rPr>
          <w:i/>
        </w:rPr>
        <w:t>Reach</w:t>
      </w:r>
      <w:proofErr w:type="spellEnd"/>
      <w:r w:rsidRPr="004A773B">
        <w:rPr>
          <w:i/>
        </w:rPr>
        <w:t xml:space="preserve">, </w:t>
      </w:r>
      <w:proofErr w:type="spellStart"/>
      <w:r w:rsidRPr="004A773B">
        <w:rPr>
          <w:i/>
        </w:rPr>
        <w:t>relevance</w:t>
      </w:r>
      <w:proofErr w:type="spellEnd"/>
      <w:r w:rsidRPr="004A773B">
        <w:rPr>
          <w:i/>
        </w:rPr>
        <w:t xml:space="preserve"> and </w:t>
      </w:r>
      <w:proofErr w:type="spellStart"/>
      <w:r w:rsidRPr="004A773B">
        <w:rPr>
          <w:i/>
        </w:rPr>
        <w:t>reliability</w:t>
      </w:r>
      <w:proofErr w:type="spellEnd"/>
      <w:r w:rsidRPr="004A773B">
        <w:rPr>
          <w:i/>
        </w:rPr>
        <w:t>.</w:t>
      </w:r>
    </w:p>
  </w:footnote>
  <w:footnote w:id="13">
    <w:p w:rsidR="00BA111F" w:rsidRDefault="00BA111F" w:rsidP="00BA111F">
      <w:pPr>
        <w:pStyle w:val="Textonotapie"/>
        <w:jc w:val="both"/>
      </w:pPr>
      <w:r>
        <w:rPr>
          <w:rStyle w:val="Refdenotaalpie"/>
        </w:rPr>
        <w:footnoteRef/>
      </w:r>
      <w:r>
        <w:t xml:space="preserve"> Instituto Geográfico Agustín Codazzi. (2015). Informe al Congreso de la República. Disponible en </w:t>
      </w:r>
      <w:r w:rsidRPr="00F4417E">
        <w:t>http://www.igac.gov.co/wps/portal/igac/raiz/iniciohome/GestionInstitucional/!ut/p/c5/04_SB8K8xLLM9MSSzPy8xBz9CP0os3hHT3d_JydDRwN3t0BXA0_vUKMwf28PIwNHI30v_aj0nPwkoMpwkF7caj1NIfIGOICjgb6fR35uqn5BdnCQhaOiIgDx-NPO/dl3/d3/L3dDb0EvUU5RTGtBISEvWUZSdndBISEvNl9BSUdPQkIxQTBHRlFFMElLVTJWT0tIMjBRMQ!!/</w:t>
      </w:r>
    </w:p>
  </w:footnote>
  <w:footnote w:id="14">
    <w:p w:rsidR="00BA111F" w:rsidRPr="001D3D8B" w:rsidRDefault="00BA111F" w:rsidP="00BA111F">
      <w:pPr>
        <w:pStyle w:val="Textonotapie"/>
        <w:jc w:val="both"/>
        <w:rPr>
          <w:lang w:val="es-ES"/>
        </w:rPr>
      </w:pPr>
      <w:r>
        <w:rPr>
          <w:rStyle w:val="Refdenotaalpie"/>
        </w:rPr>
        <w:footnoteRef/>
      </w:r>
      <w:r>
        <w:t xml:space="preserve"> </w:t>
      </w:r>
      <w:r>
        <w:rPr>
          <w:lang w:val="es-ES"/>
        </w:rPr>
        <w:t xml:space="preserve">Un sistema impositivo regresivo se define como aquel en donde la tasa promedio efectiva de tributación decrece en la medida que crece el ingreso. Como lo recuerdan </w:t>
      </w:r>
      <w:proofErr w:type="spellStart"/>
      <w:r>
        <w:t>Iregui</w:t>
      </w:r>
      <w:proofErr w:type="spellEnd"/>
      <w:r>
        <w:t xml:space="preserve"> A. M., Melo L., &amp; Ramos J. (2004), </w:t>
      </w:r>
      <w:r>
        <w:rPr>
          <w:lang w:val="es-ES"/>
        </w:rPr>
        <w:t>al analizar la incidencia del impuesto predial, de conformidad al enfoque tradicional, el impuesto predial es regresivo “</w:t>
      </w:r>
      <w:r w:rsidRPr="001D3D8B">
        <w:rPr>
          <w:i/>
          <w:lang w:val="es-ES"/>
        </w:rPr>
        <w:t>por cuanto los dueños de propiedades de alto precio pagan un porcentaje menor que los propietarios de viviendas de menor valor</w:t>
      </w:r>
      <w:r>
        <w:rPr>
          <w:lang w:val="es-ES"/>
        </w:rPr>
        <w:t>”. El impuesto predial en Colombia: Factores explicativos del recaudo. Subgerencia de estudios económicos. Banco de la República.</w:t>
      </w:r>
    </w:p>
  </w:footnote>
  <w:footnote w:id="15">
    <w:p w:rsidR="00BA111F" w:rsidRDefault="00BA111F" w:rsidP="00BA111F">
      <w:pPr>
        <w:pStyle w:val="Textonotapie"/>
      </w:pPr>
      <w:r>
        <w:rPr>
          <w:rStyle w:val="Refdenotaalpie"/>
        </w:rPr>
        <w:footnoteRef/>
      </w:r>
      <w:r>
        <w:t xml:space="preserve"> Restrepo J. C. (2015, 8 de abril). Predial y catastro. La República, pp.30.</w:t>
      </w:r>
    </w:p>
  </w:footnote>
  <w:footnote w:id="16">
    <w:p w:rsidR="00BA111F" w:rsidRDefault="00BA111F" w:rsidP="00BA111F">
      <w:pPr>
        <w:pStyle w:val="Textonotapie"/>
      </w:pPr>
      <w:r>
        <w:rPr>
          <w:rStyle w:val="Refdenotaalpie"/>
        </w:rPr>
        <w:footnoteRef/>
      </w:r>
      <w:r>
        <w:t xml:space="preserve"> Pinzón J. (2015, 29 de abril). Predial impagable. El Nuevo Siglo, pp. 11ª.</w:t>
      </w:r>
    </w:p>
  </w:footnote>
  <w:footnote w:id="17">
    <w:p w:rsidR="00BA111F" w:rsidRDefault="00BA111F" w:rsidP="00BA111F">
      <w:pPr>
        <w:pStyle w:val="Textonotapie"/>
      </w:pPr>
      <w:r>
        <w:rPr>
          <w:rStyle w:val="Refdenotaalpie"/>
        </w:rPr>
        <w:footnoteRef/>
      </w:r>
      <w:r>
        <w:t xml:space="preserve"> Para estadísticas de catastro distrital: Secretaria Distrital de Hacienda. (2015). Series históricas de impuestos distritales (Archivo de datos). Disponible en </w:t>
      </w:r>
      <w:r w:rsidRPr="00C93C20">
        <w:t>http://www.shd.gov.co/shd/menu-bit</w:t>
      </w:r>
    </w:p>
  </w:footnote>
  <w:footnote w:id="18">
    <w:p w:rsidR="00BA111F" w:rsidRDefault="00BA111F" w:rsidP="00BA111F">
      <w:pPr>
        <w:pStyle w:val="Textonotapie"/>
      </w:pPr>
      <w:r>
        <w:rPr>
          <w:rStyle w:val="Refdenotaalpie"/>
        </w:rPr>
        <w:footnoteRef/>
      </w:r>
      <w:r>
        <w:t xml:space="preserve"> </w:t>
      </w:r>
      <w:proofErr w:type="spellStart"/>
      <w:r>
        <w:t>Ibid</w:t>
      </w:r>
      <w:proofErr w:type="spellEnd"/>
      <w:r>
        <w:t>.</w:t>
      </w:r>
    </w:p>
  </w:footnote>
  <w:footnote w:id="19">
    <w:p w:rsidR="00BA111F" w:rsidRDefault="00BA111F" w:rsidP="00BA111F">
      <w:pPr>
        <w:pStyle w:val="Textonotapie"/>
      </w:pPr>
      <w:r>
        <w:rPr>
          <w:rStyle w:val="Refdenotaalpie"/>
        </w:rPr>
        <w:footnoteRef/>
      </w:r>
      <w:r>
        <w:t xml:space="preserve">  Chávez-Restrepo, M. (2015, Mayo 25). Una persona en Colombia paga en promedio $14.600 diarios en impuestos. La República, pág. 28.</w:t>
      </w:r>
    </w:p>
  </w:footnote>
  <w:footnote w:id="20">
    <w:p w:rsidR="00BA111F" w:rsidRDefault="00BA111F" w:rsidP="00BA111F">
      <w:pPr>
        <w:pStyle w:val="Textonotapie"/>
      </w:pPr>
      <w:r>
        <w:rPr>
          <w:rStyle w:val="Refdenotaalpie"/>
        </w:rPr>
        <w:footnoteRef/>
      </w:r>
      <w:r>
        <w:t xml:space="preserve"> Ibíd.</w:t>
      </w:r>
    </w:p>
  </w:footnote>
  <w:footnote w:id="21">
    <w:p w:rsidR="00BA111F" w:rsidRDefault="00BA111F" w:rsidP="00BA111F">
      <w:pPr>
        <w:pStyle w:val="Textonotapie"/>
        <w:jc w:val="both"/>
      </w:pPr>
      <w:r>
        <w:rPr>
          <w:rStyle w:val="Refdenotaalpie"/>
        </w:rPr>
        <w:footnoteRef/>
      </w:r>
      <w:r>
        <w:t xml:space="preserve"> El objetivo de este índice de conformidad con la Ficha Metodológica Índice de Valoración Predial – IVP del DANE es estimar la variación porcentual anual del avaluó comercial de los predios urbanos con destino económico habitacional.</w:t>
      </w:r>
    </w:p>
  </w:footnote>
  <w:footnote w:id="22">
    <w:p w:rsidR="00BA111F" w:rsidRDefault="00BA111F" w:rsidP="00BA111F">
      <w:pPr>
        <w:pStyle w:val="Textonotapie"/>
      </w:pPr>
      <w:r>
        <w:rPr>
          <w:rStyle w:val="Refdenotaalpie"/>
        </w:rPr>
        <w:footnoteRef/>
      </w:r>
      <w:r>
        <w:t xml:space="preserve"> Contraloría Distrital de Bogotá. (2015). Contraloría de Bogotá se pronuncia sobre incremento del impuesto predial. (Oficina Asesora de Comunicaciones). Bogotá D.C. </w:t>
      </w:r>
    </w:p>
  </w:footnote>
  <w:footnote w:id="23">
    <w:p w:rsidR="00BA111F" w:rsidRPr="00632EA7" w:rsidRDefault="00BA111F" w:rsidP="00BA111F">
      <w:pPr>
        <w:pStyle w:val="Textonotapie"/>
        <w:jc w:val="both"/>
        <w:rPr>
          <w:b/>
          <w:bCs/>
        </w:rPr>
      </w:pPr>
      <w:r>
        <w:rPr>
          <w:rStyle w:val="Refdenotaalpie"/>
        </w:rPr>
        <w:footnoteRef/>
      </w:r>
      <w:r>
        <w:t xml:space="preserve"> En noticia titulada </w:t>
      </w:r>
      <w:r w:rsidRPr="00F26008">
        <w:t>“</w:t>
      </w:r>
      <w:r w:rsidRPr="00F26008">
        <w:rPr>
          <w:bCs/>
          <w:i/>
        </w:rPr>
        <w:t>Dinero del predial está dirigido a educación y salud: Secretario de Hacienda de Bogotá</w:t>
      </w:r>
      <w:r w:rsidRPr="00F26008">
        <w:rPr>
          <w:bCs/>
        </w:rPr>
        <w:t>”</w:t>
      </w:r>
      <w:r>
        <w:rPr>
          <w:bCs/>
        </w:rPr>
        <w:t xml:space="preserve"> publicada en el diario El Espectador el 19 de marzo de 2015, en referencia al Secretario de Hacienda de Bogotá, se indica “</w:t>
      </w:r>
      <w:r w:rsidRPr="00F26008">
        <w:rPr>
          <w:bCs/>
          <w:i/>
        </w:rPr>
        <w:t>Bonilla manifestó que, por norma, el avalúo se debe actualizar todos los años</w:t>
      </w:r>
      <w:r>
        <w:rPr>
          <w:bCs/>
          <w:i/>
        </w:rPr>
        <w:t xml:space="preserve"> ….”. </w:t>
      </w:r>
      <w:r>
        <w:rPr>
          <w:bCs/>
        </w:rPr>
        <w:t xml:space="preserve">Adicionalmente en presentación del Catastro de Bogotá titulada </w:t>
      </w:r>
      <w:r w:rsidRPr="00632EA7">
        <w:rPr>
          <w:bCs/>
          <w:i/>
        </w:rPr>
        <w:t>“Censo inmobiliario 2014”</w:t>
      </w:r>
      <w:r>
        <w:rPr>
          <w:bCs/>
        </w:rPr>
        <w:t>, se indica que del año 2009 al año 2014 en Bogotá se han ejecutado 2 actualizaciones (2009 y 2010), 3 censos inmobiliarios (2011, 2012 y 2013) y una incorporación de predios nuevos (2014).</w:t>
      </w:r>
    </w:p>
    <w:p w:rsidR="00BA111F" w:rsidRDefault="00BA111F" w:rsidP="00BA111F">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111F" w:rsidRDefault="00BA111F" w:rsidP="00BA111F">
    <w:pPr>
      <w:pStyle w:val="Encabezado"/>
      <w:jc w:val="center"/>
      <w:rPr>
        <w:b/>
        <w:i/>
      </w:rPr>
    </w:pPr>
    <w:r w:rsidRPr="00F22FE0">
      <w:rPr>
        <w:b/>
        <w:i/>
        <w:noProof/>
        <w:color w:val="BF8F00" w:themeColor="accent4" w:themeShade="BF"/>
        <w:lang w:eastAsia="es-CO"/>
      </w:rPr>
      <w:drawing>
        <wp:anchor distT="0" distB="0" distL="114300" distR="114300" simplePos="0" relativeHeight="251661312" behindDoc="1" locked="0" layoutInCell="1" allowOverlap="1" wp14:anchorId="502E4E96" wp14:editId="1B89B712">
          <wp:simplePos x="0" y="0"/>
          <wp:positionH relativeFrom="margin">
            <wp:align>center</wp:align>
          </wp:positionH>
          <wp:positionV relativeFrom="paragraph">
            <wp:posOffset>-143510</wp:posOffset>
          </wp:positionV>
          <wp:extent cx="2673350" cy="120015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greso.png"/>
                  <pic:cNvPicPr/>
                </pic:nvPicPr>
                <pic:blipFill>
                  <a:blip r:embed="rId1">
                    <a:extLst>
                      <a:ext uri="{28A0092B-C50C-407E-A947-70E740481C1C}">
                        <a14:useLocalDpi xmlns:a14="http://schemas.microsoft.com/office/drawing/2010/main" val="0"/>
                      </a:ext>
                    </a:extLst>
                  </a:blip>
                  <a:stretch>
                    <a:fillRect/>
                  </a:stretch>
                </pic:blipFill>
                <pic:spPr>
                  <a:xfrm>
                    <a:off x="0" y="0"/>
                    <a:ext cx="2673350" cy="1200150"/>
                  </a:xfrm>
                  <a:prstGeom prst="rect">
                    <a:avLst/>
                  </a:prstGeom>
                </pic:spPr>
              </pic:pic>
            </a:graphicData>
          </a:graphic>
          <wp14:sizeRelH relativeFrom="margin">
            <wp14:pctWidth>0</wp14:pctWidth>
          </wp14:sizeRelH>
          <wp14:sizeRelV relativeFrom="margin">
            <wp14:pctHeight>0</wp14:pctHeight>
          </wp14:sizeRelV>
        </wp:anchor>
      </w:drawing>
    </w:r>
  </w:p>
  <w:p w:rsidR="00BA111F" w:rsidRDefault="00BA111F" w:rsidP="00BA111F">
    <w:pPr>
      <w:pStyle w:val="Encabezado"/>
      <w:jc w:val="center"/>
      <w:rPr>
        <w:b/>
        <w:i/>
      </w:rPr>
    </w:pPr>
  </w:p>
  <w:p w:rsidR="00BA111F" w:rsidRDefault="00BA111F" w:rsidP="00BA111F">
    <w:pPr>
      <w:pStyle w:val="Encabezado"/>
      <w:tabs>
        <w:tab w:val="clear" w:pos="8838"/>
      </w:tabs>
      <w:rPr>
        <w:b/>
        <w:i/>
      </w:rPr>
    </w:pPr>
    <w:r>
      <w:rPr>
        <w:b/>
        <w:i/>
      </w:rPr>
      <w:tab/>
    </w:r>
    <w:r>
      <w:rPr>
        <w:b/>
        <w:i/>
      </w:rPr>
      <w:tab/>
    </w:r>
  </w:p>
  <w:p w:rsidR="00BA111F" w:rsidRDefault="00BA111F" w:rsidP="00BA111F">
    <w:pPr>
      <w:pStyle w:val="Encabezado"/>
      <w:jc w:val="center"/>
      <w:rPr>
        <w:b/>
        <w:i/>
      </w:rPr>
    </w:pPr>
  </w:p>
  <w:p w:rsidR="00BA111F" w:rsidRDefault="00BA111F" w:rsidP="00BA111F">
    <w:pPr>
      <w:pStyle w:val="Encabezado"/>
      <w:jc w:val="center"/>
      <w:rPr>
        <w:b/>
        <w:i/>
      </w:rPr>
    </w:pPr>
  </w:p>
  <w:p w:rsidR="00BA111F" w:rsidRDefault="00BA111F" w:rsidP="00BA111F">
    <w:pPr>
      <w:pStyle w:val="Encabezado"/>
      <w:jc w:val="center"/>
      <w:rPr>
        <w:b/>
        <w:i/>
      </w:rPr>
    </w:pPr>
  </w:p>
  <w:p w:rsidR="00BA111F" w:rsidRPr="00F22FE0" w:rsidRDefault="00BA111F" w:rsidP="00BA111F">
    <w:pPr>
      <w:pStyle w:val="Encabezado"/>
      <w:jc w:val="center"/>
      <w:rPr>
        <w:b/>
        <w:i/>
      </w:rPr>
    </w:pPr>
    <w:r w:rsidRPr="00F22FE0">
      <w:rPr>
        <w:b/>
        <w:i/>
      </w:rPr>
      <w:t>HONORABLE SENADORA SANDRA ORTIZ NOVA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111F" w:rsidRDefault="00BA111F" w:rsidP="00F22FE0">
    <w:pPr>
      <w:pStyle w:val="Encabezado"/>
      <w:jc w:val="center"/>
      <w:rPr>
        <w:b/>
        <w:i/>
      </w:rPr>
    </w:pPr>
    <w:r w:rsidRPr="00F22FE0">
      <w:rPr>
        <w:b/>
        <w:i/>
        <w:noProof/>
        <w:color w:val="BF8F00" w:themeColor="accent4" w:themeShade="BF"/>
        <w:lang w:eastAsia="es-CO"/>
      </w:rPr>
      <w:drawing>
        <wp:anchor distT="0" distB="0" distL="114300" distR="114300" simplePos="0" relativeHeight="251659264" behindDoc="1" locked="0" layoutInCell="1" allowOverlap="1" wp14:anchorId="54A32F38" wp14:editId="1357523C">
          <wp:simplePos x="0" y="0"/>
          <wp:positionH relativeFrom="margin">
            <wp:align>center</wp:align>
          </wp:positionH>
          <wp:positionV relativeFrom="paragraph">
            <wp:posOffset>-143510</wp:posOffset>
          </wp:positionV>
          <wp:extent cx="2673350" cy="1200150"/>
          <wp:effectExtent l="0" t="0" r="0" b="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greso.png"/>
                  <pic:cNvPicPr/>
                </pic:nvPicPr>
                <pic:blipFill>
                  <a:blip r:embed="rId1">
                    <a:extLst>
                      <a:ext uri="{28A0092B-C50C-407E-A947-70E740481C1C}">
                        <a14:useLocalDpi xmlns:a14="http://schemas.microsoft.com/office/drawing/2010/main" val="0"/>
                      </a:ext>
                    </a:extLst>
                  </a:blip>
                  <a:stretch>
                    <a:fillRect/>
                  </a:stretch>
                </pic:blipFill>
                <pic:spPr>
                  <a:xfrm>
                    <a:off x="0" y="0"/>
                    <a:ext cx="2673350" cy="1200150"/>
                  </a:xfrm>
                  <a:prstGeom prst="rect">
                    <a:avLst/>
                  </a:prstGeom>
                </pic:spPr>
              </pic:pic>
            </a:graphicData>
          </a:graphic>
          <wp14:sizeRelH relativeFrom="margin">
            <wp14:pctWidth>0</wp14:pctWidth>
          </wp14:sizeRelH>
          <wp14:sizeRelV relativeFrom="margin">
            <wp14:pctHeight>0</wp14:pctHeight>
          </wp14:sizeRelV>
        </wp:anchor>
      </w:drawing>
    </w:r>
  </w:p>
  <w:p w:rsidR="00BA111F" w:rsidRDefault="00BA111F" w:rsidP="00F22FE0">
    <w:pPr>
      <w:pStyle w:val="Encabezado"/>
      <w:jc w:val="center"/>
      <w:rPr>
        <w:b/>
        <w:i/>
      </w:rPr>
    </w:pPr>
  </w:p>
  <w:p w:rsidR="00BA111F" w:rsidRDefault="00BA111F" w:rsidP="00BA111F">
    <w:pPr>
      <w:pStyle w:val="Encabezado"/>
      <w:tabs>
        <w:tab w:val="clear" w:pos="8838"/>
      </w:tabs>
      <w:rPr>
        <w:b/>
        <w:i/>
      </w:rPr>
    </w:pPr>
    <w:r>
      <w:rPr>
        <w:b/>
        <w:i/>
      </w:rPr>
      <w:tab/>
    </w:r>
    <w:r>
      <w:rPr>
        <w:b/>
        <w:i/>
      </w:rPr>
      <w:tab/>
    </w:r>
  </w:p>
  <w:p w:rsidR="00BA111F" w:rsidRDefault="00BA111F" w:rsidP="00F22FE0">
    <w:pPr>
      <w:pStyle w:val="Encabezado"/>
      <w:jc w:val="center"/>
      <w:rPr>
        <w:b/>
        <w:i/>
      </w:rPr>
    </w:pPr>
  </w:p>
  <w:p w:rsidR="00BA111F" w:rsidRDefault="00BA111F" w:rsidP="00F22FE0">
    <w:pPr>
      <w:pStyle w:val="Encabezado"/>
      <w:jc w:val="center"/>
      <w:rPr>
        <w:b/>
        <w:i/>
      </w:rPr>
    </w:pPr>
  </w:p>
  <w:p w:rsidR="00BA111F" w:rsidRDefault="00BA111F" w:rsidP="00F22FE0">
    <w:pPr>
      <w:pStyle w:val="Encabezado"/>
      <w:jc w:val="center"/>
      <w:rPr>
        <w:b/>
        <w:i/>
      </w:rPr>
    </w:pPr>
  </w:p>
  <w:p w:rsidR="00C91A6C" w:rsidRPr="00F22FE0" w:rsidRDefault="00F22FE0" w:rsidP="00F22FE0">
    <w:pPr>
      <w:pStyle w:val="Encabezado"/>
      <w:jc w:val="center"/>
      <w:rPr>
        <w:b/>
        <w:i/>
      </w:rPr>
    </w:pPr>
    <w:r w:rsidRPr="00F22FE0">
      <w:rPr>
        <w:b/>
        <w:i/>
      </w:rPr>
      <w:t>HONORABLE SENADORA SANDRA ORTIZ NOVA</w:t>
    </w:r>
  </w:p>
  <w:p w:rsidR="00C91A6C" w:rsidRDefault="00C91A6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B3D0E"/>
    <w:multiLevelType w:val="hybridMultilevel"/>
    <w:tmpl w:val="0E3EA0D0"/>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CD4311A"/>
    <w:multiLevelType w:val="hybridMultilevel"/>
    <w:tmpl w:val="D034D470"/>
    <w:lvl w:ilvl="0" w:tplc="240A000F">
      <w:start w:val="1"/>
      <w:numFmt w:val="decimal"/>
      <w:lvlText w:val="%1."/>
      <w:lvlJc w:val="left"/>
      <w:pPr>
        <w:ind w:left="1428" w:hanging="360"/>
      </w:p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2">
    <w:nsid w:val="27965440"/>
    <w:multiLevelType w:val="hybridMultilevel"/>
    <w:tmpl w:val="EB1AE67C"/>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28DB1C64"/>
    <w:multiLevelType w:val="hybridMultilevel"/>
    <w:tmpl w:val="FAB8FBE4"/>
    <w:lvl w:ilvl="0" w:tplc="EB2C802A">
      <w:start w:val="1"/>
      <w:numFmt w:val="upperRoman"/>
      <w:lvlText w:val="%1."/>
      <w:lvlJc w:val="left"/>
      <w:pPr>
        <w:ind w:left="1080" w:hanging="720"/>
      </w:pPr>
      <w:rPr>
        <w:rFonts w:hint="default"/>
      </w:rPr>
    </w:lvl>
    <w:lvl w:ilvl="1" w:tplc="240A000F">
      <w:start w:val="1"/>
      <w:numFmt w:val="decimal"/>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339D4548"/>
    <w:multiLevelType w:val="hybridMultilevel"/>
    <w:tmpl w:val="9E8E5EB6"/>
    <w:lvl w:ilvl="0" w:tplc="EB2C802A">
      <w:start w:val="1"/>
      <w:numFmt w:val="upperRoman"/>
      <w:lvlText w:val="%1."/>
      <w:lvlJc w:val="left"/>
      <w:pPr>
        <w:ind w:left="1080" w:hanging="720"/>
      </w:pPr>
      <w:rPr>
        <w:rFonts w:hint="default"/>
      </w:rPr>
    </w:lvl>
    <w:lvl w:ilvl="1" w:tplc="240A000F">
      <w:start w:val="1"/>
      <w:numFmt w:val="decimal"/>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3B2B1C3B"/>
    <w:multiLevelType w:val="hybridMultilevel"/>
    <w:tmpl w:val="69F099A6"/>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3FCC42A4"/>
    <w:multiLevelType w:val="hybridMultilevel"/>
    <w:tmpl w:val="C0F611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40942404"/>
    <w:multiLevelType w:val="hybridMultilevel"/>
    <w:tmpl w:val="370E5F7E"/>
    <w:lvl w:ilvl="0" w:tplc="240A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
    <w:nsid w:val="421573C7"/>
    <w:multiLevelType w:val="hybridMultilevel"/>
    <w:tmpl w:val="C02279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4AB40E90"/>
    <w:multiLevelType w:val="hybridMultilevel"/>
    <w:tmpl w:val="FAB8FBE4"/>
    <w:lvl w:ilvl="0" w:tplc="EB2C802A">
      <w:start w:val="1"/>
      <w:numFmt w:val="upperRoman"/>
      <w:lvlText w:val="%1."/>
      <w:lvlJc w:val="left"/>
      <w:pPr>
        <w:ind w:left="1080" w:hanging="720"/>
      </w:pPr>
      <w:rPr>
        <w:rFonts w:hint="default"/>
      </w:rPr>
    </w:lvl>
    <w:lvl w:ilvl="1" w:tplc="240A000F">
      <w:start w:val="1"/>
      <w:numFmt w:val="decimal"/>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4EC81982"/>
    <w:multiLevelType w:val="hybridMultilevel"/>
    <w:tmpl w:val="A8847A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4F7207E7"/>
    <w:multiLevelType w:val="hybridMultilevel"/>
    <w:tmpl w:val="CACC82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55544E61"/>
    <w:multiLevelType w:val="hybridMultilevel"/>
    <w:tmpl w:val="6988F93A"/>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5F8078D2"/>
    <w:multiLevelType w:val="hybridMultilevel"/>
    <w:tmpl w:val="D690D7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6E266CF0"/>
    <w:multiLevelType w:val="hybridMultilevel"/>
    <w:tmpl w:val="154667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775D0B87"/>
    <w:multiLevelType w:val="hybridMultilevel"/>
    <w:tmpl w:val="E2A2EC2C"/>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6">
    <w:nsid w:val="77CD4DF9"/>
    <w:multiLevelType w:val="hybridMultilevel"/>
    <w:tmpl w:val="398642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7A8646CA"/>
    <w:multiLevelType w:val="hybridMultilevel"/>
    <w:tmpl w:val="C77C6E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7DE9302E"/>
    <w:multiLevelType w:val="hybridMultilevel"/>
    <w:tmpl w:val="FAB8FBE4"/>
    <w:lvl w:ilvl="0" w:tplc="EB2C802A">
      <w:start w:val="1"/>
      <w:numFmt w:val="upperRoman"/>
      <w:lvlText w:val="%1."/>
      <w:lvlJc w:val="left"/>
      <w:pPr>
        <w:ind w:left="1080" w:hanging="720"/>
      </w:pPr>
      <w:rPr>
        <w:rFonts w:hint="default"/>
      </w:rPr>
    </w:lvl>
    <w:lvl w:ilvl="1" w:tplc="240A000F">
      <w:start w:val="1"/>
      <w:numFmt w:val="decimal"/>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4"/>
  </w:num>
  <w:num w:numId="2">
    <w:abstractNumId w:val="1"/>
  </w:num>
  <w:num w:numId="3">
    <w:abstractNumId w:val="15"/>
  </w:num>
  <w:num w:numId="4">
    <w:abstractNumId w:val="9"/>
  </w:num>
  <w:num w:numId="5">
    <w:abstractNumId w:val="11"/>
  </w:num>
  <w:num w:numId="6">
    <w:abstractNumId w:val="7"/>
  </w:num>
  <w:num w:numId="7">
    <w:abstractNumId w:val="18"/>
  </w:num>
  <w:num w:numId="8">
    <w:abstractNumId w:val="16"/>
  </w:num>
  <w:num w:numId="9">
    <w:abstractNumId w:val="6"/>
  </w:num>
  <w:num w:numId="10">
    <w:abstractNumId w:val="13"/>
  </w:num>
  <w:num w:numId="11">
    <w:abstractNumId w:val="14"/>
  </w:num>
  <w:num w:numId="12">
    <w:abstractNumId w:val="10"/>
  </w:num>
  <w:num w:numId="13">
    <w:abstractNumId w:val="8"/>
  </w:num>
  <w:num w:numId="14">
    <w:abstractNumId w:val="12"/>
  </w:num>
  <w:num w:numId="15">
    <w:abstractNumId w:val="5"/>
  </w:num>
  <w:num w:numId="16">
    <w:abstractNumId w:val="2"/>
  </w:num>
  <w:num w:numId="17">
    <w:abstractNumId w:val="3"/>
  </w:num>
  <w:num w:numId="18">
    <w:abstractNumId w:val="0"/>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8D3"/>
    <w:rsid w:val="00000EFE"/>
    <w:rsid w:val="00000F78"/>
    <w:rsid w:val="0000144A"/>
    <w:rsid w:val="000020DA"/>
    <w:rsid w:val="00003DBE"/>
    <w:rsid w:val="00003DD3"/>
    <w:rsid w:val="00004AC5"/>
    <w:rsid w:val="00006F4C"/>
    <w:rsid w:val="00007BD3"/>
    <w:rsid w:val="00011765"/>
    <w:rsid w:val="00015CD5"/>
    <w:rsid w:val="00021482"/>
    <w:rsid w:val="00022E24"/>
    <w:rsid w:val="00023CA3"/>
    <w:rsid w:val="00024267"/>
    <w:rsid w:val="00027F71"/>
    <w:rsid w:val="00031F23"/>
    <w:rsid w:val="00032DEC"/>
    <w:rsid w:val="00037182"/>
    <w:rsid w:val="000426C9"/>
    <w:rsid w:val="00042FE3"/>
    <w:rsid w:val="00044834"/>
    <w:rsid w:val="00044D74"/>
    <w:rsid w:val="000525F5"/>
    <w:rsid w:val="00053A59"/>
    <w:rsid w:val="00056ACE"/>
    <w:rsid w:val="00060542"/>
    <w:rsid w:val="00060B77"/>
    <w:rsid w:val="00062E6B"/>
    <w:rsid w:val="00062EEF"/>
    <w:rsid w:val="00063C4A"/>
    <w:rsid w:val="0006525C"/>
    <w:rsid w:val="000656CC"/>
    <w:rsid w:val="00065F03"/>
    <w:rsid w:val="0006655E"/>
    <w:rsid w:val="00066808"/>
    <w:rsid w:val="00070199"/>
    <w:rsid w:val="00070543"/>
    <w:rsid w:val="000805E7"/>
    <w:rsid w:val="00080895"/>
    <w:rsid w:val="000835F5"/>
    <w:rsid w:val="000856A3"/>
    <w:rsid w:val="0008729D"/>
    <w:rsid w:val="000875B5"/>
    <w:rsid w:val="00087F48"/>
    <w:rsid w:val="00090438"/>
    <w:rsid w:val="00090E55"/>
    <w:rsid w:val="00090F5F"/>
    <w:rsid w:val="000918C5"/>
    <w:rsid w:val="00093A22"/>
    <w:rsid w:val="0009491F"/>
    <w:rsid w:val="00096327"/>
    <w:rsid w:val="0009657C"/>
    <w:rsid w:val="0009664F"/>
    <w:rsid w:val="00096B1C"/>
    <w:rsid w:val="000A225C"/>
    <w:rsid w:val="000A25FC"/>
    <w:rsid w:val="000A7BDB"/>
    <w:rsid w:val="000A7C3F"/>
    <w:rsid w:val="000B0A5E"/>
    <w:rsid w:val="000B0BB4"/>
    <w:rsid w:val="000B1D41"/>
    <w:rsid w:val="000B2766"/>
    <w:rsid w:val="000B2DAD"/>
    <w:rsid w:val="000B4240"/>
    <w:rsid w:val="000B4492"/>
    <w:rsid w:val="000B7C32"/>
    <w:rsid w:val="000C1B83"/>
    <w:rsid w:val="000C1CA7"/>
    <w:rsid w:val="000C383F"/>
    <w:rsid w:val="000C398C"/>
    <w:rsid w:val="000C54E0"/>
    <w:rsid w:val="000C7E86"/>
    <w:rsid w:val="000D07D6"/>
    <w:rsid w:val="000D2BD6"/>
    <w:rsid w:val="000D2DC7"/>
    <w:rsid w:val="000D35B6"/>
    <w:rsid w:val="000D3D60"/>
    <w:rsid w:val="000D5463"/>
    <w:rsid w:val="000D6B9E"/>
    <w:rsid w:val="000D7828"/>
    <w:rsid w:val="000E23AB"/>
    <w:rsid w:val="000E2C67"/>
    <w:rsid w:val="000E3235"/>
    <w:rsid w:val="000E3F55"/>
    <w:rsid w:val="000E4926"/>
    <w:rsid w:val="000E7844"/>
    <w:rsid w:val="000F05CD"/>
    <w:rsid w:val="000F21DB"/>
    <w:rsid w:val="000F29A1"/>
    <w:rsid w:val="000F59C3"/>
    <w:rsid w:val="00101E83"/>
    <w:rsid w:val="00103FEE"/>
    <w:rsid w:val="00107646"/>
    <w:rsid w:val="00111E48"/>
    <w:rsid w:val="00111F04"/>
    <w:rsid w:val="00113DCD"/>
    <w:rsid w:val="0011627C"/>
    <w:rsid w:val="001170DE"/>
    <w:rsid w:val="001218E7"/>
    <w:rsid w:val="00121C7D"/>
    <w:rsid w:val="00124E6D"/>
    <w:rsid w:val="00127DA6"/>
    <w:rsid w:val="001301EB"/>
    <w:rsid w:val="00130A48"/>
    <w:rsid w:val="001313D9"/>
    <w:rsid w:val="00131541"/>
    <w:rsid w:val="00131AD3"/>
    <w:rsid w:val="00133873"/>
    <w:rsid w:val="001352AF"/>
    <w:rsid w:val="00141736"/>
    <w:rsid w:val="001424EF"/>
    <w:rsid w:val="00143759"/>
    <w:rsid w:val="001507D0"/>
    <w:rsid w:val="001512B8"/>
    <w:rsid w:val="00152507"/>
    <w:rsid w:val="0015259F"/>
    <w:rsid w:val="00154903"/>
    <w:rsid w:val="001570C0"/>
    <w:rsid w:val="001604B9"/>
    <w:rsid w:val="00161757"/>
    <w:rsid w:val="0016270F"/>
    <w:rsid w:val="00165A05"/>
    <w:rsid w:val="00166FAF"/>
    <w:rsid w:val="0017031F"/>
    <w:rsid w:val="00171F63"/>
    <w:rsid w:val="0017268C"/>
    <w:rsid w:val="00183E63"/>
    <w:rsid w:val="00184BB6"/>
    <w:rsid w:val="00186291"/>
    <w:rsid w:val="00191CEA"/>
    <w:rsid w:val="00192299"/>
    <w:rsid w:val="0019280A"/>
    <w:rsid w:val="00195A04"/>
    <w:rsid w:val="00196D6F"/>
    <w:rsid w:val="001A10AE"/>
    <w:rsid w:val="001A176D"/>
    <w:rsid w:val="001A265D"/>
    <w:rsid w:val="001A346A"/>
    <w:rsid w:val="001A4DD3"/>
    <w:rsid w:val="001A5F9A"/>
    <w:rsid w:val="001A72E5"/>
    <w:rsid w:val="001B0959"/>
    <w:rsid w:val="001B4BF0"/>
    <w:rsid w:val="001B555C"/>
    <w:rsid w:val="001B69BE"/>
    <w:rsid w:val="001B7911"/>
    <w:rsid w:val="001C1B48"/>
    <w:rsid w:val="001C2453"/>
    <w:rsid w:val="001C3EC8"/>
    <w:rsid w:val="001C419C"/>
    <w:rsid w:val="001C5E87"/>
    <w:rsid w:val="001D0AA3"/>
    <w:rsid w:val="001D2FB8"/>
    <w:rsid w:val="001D3D8B"/>
    <w:rsid w:val="001D4CFE"/>
    <w:rsid w:val="001D5931"/>
    <w:rsid w:val="001E0002"/>
    <w:rsid w:val="001E23B4"/>
    <w:rsid w:val="001E26EA"/>
    <w:rsid w:val="001E3121"/>
    <w:rsid w:val="001E3A86"/>
    <w:rsid w:val="001E4495"/>
    <w:rsid w:val="001E4861"/>
    <w:rsid w:val="001E48CF"/>
    <w:rsid w:val="001E67C8"/>
    <w:rsid w:val="001F2C71"/>
    <w:rsid w:val="001F3C8C"/>
    <w:rsid w:val="001F40D8"/>
    <w:rsid w:val="001F48D3"/>
    <w:rsid w:val="001F4CB0"/>
    <w:rsid w:val="001F52A8"/>
    <w:rsid w:val="001F5C44"/>
    <w:rsid w:val="001F7E6D"/>
    <w:rsid w:val="00201153"/>
    <w:rsid w:val="00204A57"/>
    <w:rsid w:val="00206EB2"/>
    <w:rsid w:val="00206ED9"/>
    <w:rsid w:val="00210109"/>
    <w:rsid w:val="002122AD"/>
    <w:rsid w:val="0021767A"/>
    <w:rsid w:val="00217BB5"/>
    <w:rsid w:val="00224F98"/>
    <w:rsid w:val="00226ADC"/>
    <w:rsid w:val="00231A4A"/>
    <w:rsid w:val="00235EB5"/>
    <w:rsid w:val="00236E32"/>
    <w:rsid w:val="00241C44"/>
    <w:rsid w:val="002446B7"/>
    <w:rsid w:val="00245BCB"/>
    <w:rsid w:val="00245DFE"/>
    <w:rsid w:val="00250598"/>
    <w:rsid w:val="00252073"/>
    <w:rsid w:val="002546E9"/>
    <w:rsid w:val="002575F9"/>
    <w:rsid w:val="00257B13"/>
    <w:rsid w:val="00260251"/>
    <w:rsid w:val="002611F9"/>
    <w:rsid w:val="002624E2"/>
    <w:rsid w:val="00262C72"/>
    <w:rsid w:val="00262DF5"/>
    <w:rsid w:val="0026356C"/>
    <w:rsid w:val="00265490"/>
    <w:rsid w:val="002661EE"/>
    <w:rsid w:val="00267CA6"/>
    <w:rsid w:val="002702BA"/>
    <w:rsid w:val="00270947"/>
    <w:rsid w:val="00271E97"/>
    <w:rsid w:val="00272C26"/>
    <w:rsid w:val="00273C49"/>
    <w:rsid w:val="00274A01"/>
    <w:rsid w:val="00274D50"/>
    <w:rsid w:val="002756AA"/>
    <w:rsid w:val="00275A7D"/>
    <w:rsid w:val="00282EF5"/>
    <w:rsid w:val="00282F28"/>
    <w:rsid w:val="00287DBF"/>
    <w:rsid w:val="0029268B"/>
    <w:rsid w:val="00292AE9"/>
    <w:rsid w:val="0029330A"/>
    <w:rsid w:val="00294294"/>
    <w:rsid w:val="00294795"/>
    <w:rsid w:val="002955C1"/>
    <w:rsid w:val="002960F0"/>
    <w:rsid w:val="00296773"/>
    <w:rsid w:val="002A315B"/>
    <w:rsid w:val="002A6744"/>
    <w:rsid w:val="002A7D5B"/>
    <w:rsid w:val="002B0173"/>
    <w:rsid w:val="002B2A65"/>
    <w:rsid w:val="002B2A83"/>
    <w:rsid w:val="002B577D"/>
    <w:rsid w:val="002B7AE5"/>
    <w:rsid w:val="002B7F9D"/>
    <w:rsid w:val="002C08F0"/>
    <w:rsid w:val="002C1701"/>
    <w:rsid w:val="002C1FED"/>
    <w:rsid w:val="002C45F8"/>
    <w:rsid w:val="002D1148"/>
    <w:rsid w:val="002D282A"/>
    <w:rsid w:val="002D29BA"/>
    <w:rsid w:val="002D3CAC"/>
    <w:rsid w:val="002D44E2"/>
    <w:rsid w:val="002D4947"/>
    <w:rsid w:val="002D6DB3"/>
    <w:rsid w:val="002E046C"/>
    <w:rsid w:val="002E3BA4"/>
    <w:rsid w:val="002E4449"/>
    <w:rsid w:val="002E5093"/>
    <w:rsid w:val="002E5BBE"/>
    <w:rsid w:val="002E72EB"/>
    <w:rsid w:val="002F0377"/>
    <w:rsid w:val="002F2722"/>
    <w:rsid w:val="002F4758"/>
    <w:rsid w:val="002F4807"/>
    <w:rsid w:val="002F5BBB"/>
    <w:rsid w:val="002F5E4E"/>
    <w:rsid w:val="003001E7"/>
    <w:rsid w:val="00302691"/>
    <w:rsid w:val="003042AA"/>
    <w:rsid w:val="003061FA"/>
    <w:rsid w:val="00306E42"/>
    <w:rsid w:val="00307808"/>
    <w:rsid w:val="003101B1"/>
    <w:rsid w:val="00312B7E"/>
    <w:rsid w:val="00314BFA"/>
    <w:rsid w:val="003152BA"/>
    <w:rsid w:val="00316691"/>
    <w:rsid w:val="00321A0C"/>
    <w:rsid w:val="003235A8"/>
    <w:rsid w:val="00324B60"/>
    <w:rsid w:val="003262A3"/>
    <w:rsid w:val="003308A1"/>
    <w:rsid w:val="003311F8"/>
    <w:rsid w:val="003354F7"/>
    <w:rsid w:val="00335DCE"/>
    <w:rsid w:val="00337225"/>
    <w:rsid w:val="00337D81"/>
    <w:rsid w:val="00337DC6"/>
    <w:rsid w:val="00341377"/>
    <w:rsid w:val="00352A0A"/>
    <w:rsid w:val="00353422"/>
    <w:rsid w:val="00355287"/>
    <w:rsid w:val="00356164"/>
    <w:rsid w:val="00357AAC"/>
    <w:rsid w:val="003605F5"/>
    <w:rsid w:val="00361815"/>
    <w:rsid w:val="00367129"/>
    <w:rsid w:val="00370BF5"/>
    <w:rsid w:val="00371A4D"/>
    <w:rsid w:val="00372AEF"/>
    <w:rsid w:val="00372F7A"/>
    <w:rsid w:val="00374DD4"/>
    <w:rsid w:val="00377907"/>
    <w:rsid w:val="00381517"/>
    <w:rsid w:val="00382AE6"/>
    <w:rsid w:val="00383832"/>
    <w:rsid w:val="0039071E"/>
    <w:rsid w:val="003915C8"/>
    <w:rsid w:val="00393DAD"/>
    <w:rsid w:val="003958D9"/>
    <w:rsid w:val="003A161B"/>
    <w:rsid w:val="003A17AF"/>
    <w:rsid w:val="003A4AF5"/>
    <w:rsid w:val="003B103A"/>
    <w:rsid w:val="003B413B"/>
    <w:rsid w:val="003B5E3A"/>
    <w:rsid w:val="003B6665"/>
    <w:rsid w:val="003B6863"/>
    <w:rsid w:val="003C2015"/>
    <w:rsid w:val="003C3E16"/>
    <w:rsid w:val="003C50DB"/>
    <w:rsid w:val="003C65DE"/>
    <w:rsid w:val="003D0607"/>
    <w:rsid w:val="003D39BC"/>
    <w:rsid w:val="003D5AF0"/>
    <w:rsid w:val="003E21F2"/>
    <w:rsid w:val="003E2208"/>
    <w:rsid w:val="003E2919"/>
    <w:rsid w:val="003E3C4F"/>
    <w:rsid w:val="003E41D8"/>
    <w:rsid w:val="003F33FE"/>
    <w:rsid w:val="003F4861"/>
    <w:rsid w:val="003F5989"/>
    <w:rsid w:val="00402078"/>
    <w:rsid w:val="00402DAE"/>
    <w:rsid w:val="00402F2E"/>
    <w:rsid w:val="00403E9B"/>
    <w:rsid w:val="00404884"/>
    <w:rsid w:val="004059D8"/>
    <w:rsid w:val="00406E3E"/>
    <w:rsid w:val="004109FE"/>
    <w:rsid w:val="00413BC5"/>
    <w:rsid w:val="00413D26"/>
    <w:rsid w:val="004142CC"/>
    <w:rsid w:val="004145BA"/>
    <w:rsid w:val="00415406"/>
    <w:rsid w:val="00415622"/>
    <w:rsid w:val="00417206"/>
    <w:rsid w:val="00420D9C"/>
    <w:rsid w:val="004211B1"/>
    <w:rsid w:val="004215A3"/>
    <w:rsid w:val="00422EFB"/>
    <w:rsid w:val="00425C47"/>
    <w:rsid w:val="00426461"/>
    <w:rsid w:val="00430ACB"/>
    <w:rsid w:val="00430F23"/>
    <w:rsid w:val="0043407B"/>
    <w:rsid w:val="0043419B"/>
    <w:rsid w:val="00435CFF"/>
    <w:rsid w:val="00435E74"/>
    <w:rsid w:val="004361D7"/>
    <w:rsid w:val="0043733D"/>
    <w:rsid w:val="00440632"/>
    <w:rsid w:val="00441B8B"/>
    <w:rsid w:val="00443D31"/>
    <w:rsid w:val="00444DC2"/>
    <w:rsid w:val="00447777"/>
    <w:rsid w:val="0045281C"/>
    <w:rsid w:val="00456E81"/>
    <w:rsid w:val="004617B3"/>
    <w:rsid w:val="004619DA"/>
    <w:rsid w:val="0047411A"/>
    <w:rsid w:val="004775DB"/>
    <w:rsid w:val="0048032B"/>
    <w:rsid w:val="00483A5B"/>
    <w:rsid w:val="0048778B"/>
    <w:rsid w:val="00490650"/>
    <w:rsid w:val="00492043"/>
    <w:rsid w:val="00492335"/>
    <w:rsid w:val="00492551"/>
    <w:rsid w:val="00493502"/>
    <w:rsid w:val="004936A2"/>
    <w:rsid w:val="00494361"/>
    <w:rsid w:val="004946A4"/>
    <w:rsid w:val="00494D1E"/>
    <w:rsid w:val="00496C9A"/>
    <w:rsid w:val="00497ACE"/>
    <w:rsid w:val="004A1752"/>
    <w:rsid w:val="004A1F6F"/>
    <w:rsid w:val="004A2411"/>
    <w:rsid w:val="004A3BAA"/>
    <w:rsid w:val="004A74D2"/>
    <w:rsid w:val="004A773B"/>
    <w:rsid w:val="004A7A1D"/>
    <w:rsid w:val="004A7C98"/>
    <w:rsid w:val="004B04E5"/>
    <w:rsid w:val="004B1203"/>
    <w:rsid w:val="004B59EB"/>
    <w:rsid w:val="004B6FC4"/>
    <w:rsid w:val="004C6A6D"/>
    <w:rsid w:val="004C6A79"/>
    <w:rsid w:val="004D10BA"/>
    <w:rsid w:val="004D36A2"/>
    <w:rsid w:val="004D566B"/>
    <w:rsid w:val="004D594B"/>
    <w:rsid w:val="004D7B12"/>
    <w:rsid w:val="004E44B5"/>
    <w:rsid w:val="004E4688"/>
    <w:rsid w:val="004E64FE"/>
    <w:rsid w:val="004E71F0"/>
    <w:rsid w:val="004E74F4"/>
    <w:rsid w:val="004F04BD"/>
    <w:rsid w:val="004F0CED"/>
    <w:rsid w:val="004F0D2D"/>
    <w:rsid w:val="004F2F1C"/>
    <w:rsid w:val="004F54E1"/>
    <w:rsid w:val="004F67BD"/>
    <w:rsid w:val="004F6D1D"/>
    <w:rsid w:val="005002EC"/>
    <w:rsid w:val="00501DEF"/>
    <w:rsid w:val="00502D45"/>
    <w:rsid w:val="00506019"/>
    <w:rsid w:val="00507C9C"/>
    <w:rsid w:val="00511979"/>
    <w:rsid w:val="00516F5D"/>
    <w:rsid w:val="0052049C"/>
    <w:rsid w:val="00521F04"/>
    <w:rsid w:val="0052311C"/>
    <w:rsid w:val="00523A94"/>
    <w:rsid w:val="00523FA1"/>
    <w:rsid w:val="0052689C"/>
    <w:rsid w:val="00527D0C"/>
    <w:rsid w:val="0053354C"/>
    <w:rsid w:val="005343D5"/>
    <w:rsid w:val="00534B7E"/>
    <w:rsid w:val="00535138"/>
    <w:rsid w:val="005441F5"/>
    <w:rsid w:val="0054597D"/>
    <w:rsid w:val="005463AD"/>
    <w:rsid w:val="0055020E"/>
    <w:rsid w:val="005504BC"/>
    <w:rsid w:val="00554BC7"/>
    <w:rsid w:val="00554FE7"/>
    <w:rsid w:val="00556758"/>
    <w:rsid w:val="0055735A"/>
    <w:rsid w:val="0056174E"/>
    <w:rsid w:val="00561FD3"/>
    <w:rsid w:val="0056294D"/>
    <w:rsid w:val="00563FC9"/>
    <w:rsid w:val="00564356"/>
    <w:rsid w:val="00566FCB"/>
    <w:rsid w:val="00567E09"/>
    <w:rsid w:val="005756C1"/>
    <w:rsid w:val="0058293E"/>
    <w:rsid w:val="0058607C"/>
    <w:rsid w:val="00586A9B"/>
    <w:rsid w:val="00587CFE"/>
    <w:rsid w:val="0059138D"/>
    <w:rsid w:val="00592379"/>
    <w:rsid w:val="005947E4"/>
    <w:rsid w:val="00596577"/>
    <w:rsid w:val="005A1F8E"/>
    <w:rsid w:val="005A4D20"/>
    <w:rsid w:val="005A6A35"/>
    <w:rsid w:val="005A6E01"/>
    <w:rsid w:val="005A6ED8"/>
    <w:rsid w:val="005B26B8"/>
    <w:rsid w:val="005B2B89"/>
    <w:rsid w:val="005B3B8B"/>
    <w:rsid w:val="005B5CE7"/>
    <w:rsid w:val="005B5FB5"/>
    <w:rsid w:val="005B6DD4"/>
    <w:rsid w:val="005C063F"/>
    <w:rsid w:val="005C0F4B"/>
    <w:rsid w:val="005C3BCA"/>
    <w:rsid w:val="005C64FA"/>
    <w:rsid w:val="005D022C"/>
    <w:rsid w:val="005D2594"/>
    <w:rsid w:val="005D3EB8"/>
    <w:rsid w:val="005D4FB3"/>
    <w:rsid w:val="005D610A"/>
    <w:rsid w:val="005E20E6"/>
    <w:rsid w:val="005E301D"/>
    <w:rsid w:val="005E4AF5"/>
    <w:rsid w:val="005E4FFE"/>
    <w:rsid w:val="005E631A"/>
    <w:rsid w:val="005E7775"/>
    <w:rsid w:val="005F0F23"/>
    <w:rsid w:val="005F266B"/>
    <w:rsid w:val="005F3159"/>
    <w:rsid w:val="005F38FD"/>
    <w:rsid w:val="005F4061"/>
    <w:rsid w:val="005F4A4B"/>
    <w:rsid w:val="005F4BC1"/>
    <w:rsid w:val="00604387"/>
    <w:rsid w:val="00612A45"/>
    <w:rsid w:val="0061405A"/>
    <w:rsid w:val="006237AF"/>
    <w:rsid w:val="00625715"/>
    <w:rsid w:val="00627D98"/>
    <w:rsid w:val="00632956"/>
    <w:rsid w:val="00632EA7"/>
    <w:rsid w:val="006342AC"/>
    <w:rsid w:val="0063670B"/>
    <w:rsid w:val="00643CAD"/>
    <w:rsid w:val="0064610C"/>
    <w:rsid w:val="00646195"/>
    <w:rsid w:val="00646D6A"/>
    <w:rsid w:val="006547ED"/>
    <w:rsid w:val="0065520A"/>
    <w:rsid w:val="00655968"/>
    <w:rsid w:val="00655D71"/>
    <w:rsid w:val="00656356"/>
    <w:rsid w:val="00657B40"/>
    <w:rsid w:val="00663C5D"/>
    <w:rsid w:val="00665D03"/>
    <w:rsid w:val="0066635D"/>
    <w:rsid w:val="00666D09"/>
    <w:rsid w:val="00670801"/>
    <w:rsid w:val="00670C9E"/>
    <w:rsid w:val="00670FCF"/>
    <w:rsid w:val="006720B4"/>
    <w:rsid w:val="00672842"/>
    <w:rsid w:val="00675300"/>
    <w:rsid w:val="00675D43"/>
    <w:rsid w:val="006765BA"/>
    <w:rsid w:val="006800B4"/>
    <w:rsid w:val="00685E40"/>
    <w:rsid w:val="00686011"/>
    <w:rsid w:val="00687C6C"/>
    <w:rsid w:val="00690D1A"/>
    <w:rsid w:val="0069228C"/>
    <w:rsid w:val="0069396C"/>
    <w:rsid w:val="00693FA1"/>
    <w:rsid w:val="00694062"/>
    <w:rsid w:val="006956AD"/>
    <w:rsid w:val="006A1C9C"/>
    <w:rsid w:val="006A24D3"/>
    <w:rsid w:val="006A2667"/>
    <w:rsid w:val="006A2DBF"/>
    <w:rsid w:val="006A30B5"/>
    <w:rsid w:val="006A71A1"/>
    <w:rsid w:val="006B087B"/>
    <w:rsid w:val="006B1EF5"/>
    <w:rsid w:val="006B26F1"/>
    <w:rsid w:val="006B3CA3"/>
    <w:rsid w:val="006B4EC3"/>
    <w:rsid w:val="006C1738"/>
    <w:rsid w:val="006C370E"/>
    <w:rsid w:val="006C5684"/>
    <w:rsid w:val="006C673A"/>
    <w:rsid w:val="006C7A85"/>
    <w:rsid w:val="006C7BAD"/>
    <w:rsid w:val="006D0B0A"/>
    <w:rsid w:val="006D3E4F"/>
    <w:rsid w:val="006D666C"/>
    <w:rsid w:val="006D776D"/>
    <w:rsid w:val="006E1D3B"/>
    <w:rsid w:val="006E1F8C"/>
    <w:rsid w:val="006E2470"/>
    <w:rsid w:val="006E2B7C"/>
    <w:rsid w:val="006E44A2"/>
    <w:rsid w:val="006E4C93"/>
    <w:rsid w:val="006E6925"/>
    <w:rsid w:val="006E6F6E"/>
    <w:rsid w:val="006F2823"/>
    <w:rsid w:val="006F2EB4"/>
    <w:rsid w:val="006F3F86"/>
    <w:rsid w:val="006F4284"/>
    <w:rsid w:val="006F6CF5"/>
    <w:rsid w:val="006F7DFB"/>
    <w:rsid w:val="00700431"/>
    <w:rsid w:val="0070290B"/>
    <w:rsid w:val="00704156"/>
    <w:rsid w:val="00704E45"/>
    <w:rsid w:val="007104A5"/>
    <w:rsid w:val="00711981"/>
    <w:rsid w:val="007139E0"/>
    <w:rsid w:val="00715E95"/>
    <w:rsid w:val="00721225"/>
    <w:rsid w:val="007217CB"/>
    <w:rsid w:val="007227BD"/>
    <w:rsid w:val="0072291D"/>
    <w:rsid w:val="00724C47"/>
    <w:rsid w:val="00724FF2"/>
    <w:rsid w:val="007266F1"/>
    <w:rsid w:val="00731459"/>
    <w:rsid w:val="00736B23"/>
    <w:rsid w:val="007417CB"/>
    <w:rsid w:val="0074220D"/>
    <w:rsid w:val="007438EA"/>
    <w:rsid w:val="007449FC"/>
    <w:rsid w:val="00744A59"/>
    <w:rsid w:val="007452F9"/>
    <w:rsid w:val="007514D5"/>
    <w:rsid w:val="00752E87"/>
    <w:rsid w:val="007535B8"/>
    <w:rsid w:val="007579AB"/>
    <w:rsid w:val="00760E26"/>
    <w:rsid w:val="007610CA"/>
    <w:rsid w:val="007630B8"/>
    <w:rsid w:val="00764518"/>
    <w:rsid w:val="0076500A"/>
    <w:rsid w:val="00765D21"/>
    <w:rsid w:val="007707F0"/>
    <w:rsid w:val="00771DD6"/>
    <w:rsid w:val="0077605D"/>
    <w:rsid w:val="007770A9"/>
    <w:rsid w:val="00780CCD"/>
    <w:rsid w:val="00781192"/>
    <w:rsid w:val="00781FA5"/>
    <w:rsid w:val="00782168"/>
    <w:rsid w:val="00784AFF"/>
    <w:rsid w:val="00784FF7"/>
    <w:rsid w:val="00786540"/>
    <w:rsid w:val="007867BC"/>
    <w:rsid w:val="0078759C"/>
    <w:rsid w:val="0079040C"/>
    <w:rsid w:val="00791299"/>
    <w:rsid w:val="00791704"/>
    <w:rsid w:val="007917CC"/>
    <w:rsid w:val="007931CB"/>
    <w:rsid w:val="007945A4"/>
    <w:rsid w:val="00795C91"/>
    <w:rsid w:val="007970B5"/>
    <w:rsid w:val="007A02F7"/>
    <w:rsid w:val="007A2F3A"/>
    <w:rsid w:val="007A3ECE"/>
    <w:rsid w:val="007A50E5"/>
    <w:rsid w:val="007B3C46"/>
    <w:rsid w:val="007B58BA"/>
    <w:rsid w:val="007B58F1"/>
    <w:rsid w:val="007B77F5"/>
    <w:rsid w:val="007C0427"/>
    <w:rsid w:val="007C0B88"/>
    <w:rsid w:val="007C13C8"/>
    <w:rsid w:val="007C1B69"/>
    <w:rsid w:val="007C2489"/>
    <w:rsid w:val="007C2F3C"/>
    <w:rsid w:val="007C4261"/>
    <w:rsid w:val="007C56B3"/>
    <w:rsid w:val="007C5D2A"/>
    <w:rsid w:val="007C6A99"/>
    <w:rsid w:val="007D0FF1"/>
    <w:rsid w:val="007D1537"/>
    <w:rsid w:val="007D29C6"/>
    <w:rsid w:val="007D4B76"/>
    <w:rsid w:val="007D53CB"/>
    <w:rsid w:val="007D67B6"/>
    <w:rsid w:val="007D72E5"/>
    <w:rsid w:val="007E16A8"/>
    <w:rsid w:val="007E71C8"/>
    <w:rsid w:val="007F00D3"/>
    <w:rsid w:val="007F0B08"/>
    <w:rsid w:val="007F2902"/>
    <w:rsid w:val="007F43DD"/>
    <w:rsid w:val="007F6FB4"/>
    <w:rsid w:val="007F73A5"/>
    <w:rsid w:val="00800C36"/>
    <w:rsid w:val="008051F0"/>
    <w:rsid w:val="00805F60"/>
    <w:rsid w:val="008168DE"/>
    <w:rsid w:val="00817670"/>
    <w:rsid w:val="00821D6B"/>
    <w:rsid w:val="00822AF1"/>
    <w:rsid w:val="00825C38"/>
    <w:rsid w:val="008270E2"/>
    <w:rsid w:val="00830F9B"/>
    <w:rsid w:val="008346F2"/>
    <w:rsid w:val="00834B17"/>
    <w:rsid w:val="00837538"/>
    <w:rsid w:val="00842603"/>
    <w:rsid w:val="00842A25"/>
    <w:rsid w:val="00847B06"/>
    <w:rsid w:val="0085079F"/>
    <w:rsid w:val="0085460B"/>
    <w:rsid w:val="00855DDB"/>
    <w:rsid w:val="008560D4"/>
    <w:rsid w:val="0085644F"/>
    <w:rsid w:val="00857941"/>
    <w:rsid w:val="0086145C"/>
    <w:rsid w:val="00862C31"/>
    <w:rsid w:val="00863F98"/>
    <w:rsid w:val="00866204"/>
    <w:rsid w:val="008664F8"/>
    <w:rsid w:val="00870A02"/>
    <w:rsid w:val="00871995"/>
    <w:rsid w:val="00873DBC"/>
    <w:rsid w:val="00875935"/>
    <w:rsid w:val="00875BBD"/>
    <w:rsid w:val="00877919"/>
    <w:rsid w:val="00877D46"/>
    <w:rsid w:val="00881E6F"/>
    <w:rsid w:val="0088233E"/>
    <w:rsid w:val="0088387E"/>
    <w:rsid w:val="008908AC"/>
    <w:rsid w:val="00891687"/>
    <w:rsid w:val="0089254C"/>
    <w:rsid w:val="00893413"/>
    <w:rsid w:val="008949E3"/>
    <w:rsid w:val="0089697B"/>
    <w:rsid w:val="008A12A9"/>
    <w:rsid w:val="008A1422"/>
    <w:rsid w:val="008A26AC"/>
    <w:rsid w:val="008A280D"/>
    <w:rsid w:val="008A474A"/>
    <w:rsid w:val="008A57ED"/>
    <w:rsid w:val="008A5D78"/>
    <w:rsid w:val="008B0B07"/>
    <w:rsid w:val="008B299B"/>
    <w:rsid w:val="008B2CF0"/>
    <w:rsid w:val="008B2EBA"/>
    <w:rsid w:val="008B43C4"/>
    <w:rsid w:val="008B5607"/>
    <w:rsid w:val="008B7DE9"/>
    <w:rsid w:val="008C044E"/>
    <w:rsid w:val="008C3213"/>
    <w:rsid w:val="008C36DF"/>
    <w:rsid w:val="008C6552"/>
    <w:rsid w:val="008C7512"/>
    <w:rsid w:val="008C7583"/>
    <w:rsid w:val="008D1DBB"/>
    <w:rsid w:val="008D2F15"/>
    <w:rsid w:val="008E0250"/>
    <w:rsid w:val="008E0C74"/>
    <w:rsid w:val="008E1CAE"/>
    <w:rsid w:val="008E3320"/>
    <w:rsid w:val="008F754A"/>
    <w:rsid w:val="008F76DB"/>
    <w:rsid w:val="008F7B9A"/>
    <w:rsid w:val="009021E5"/>
    <w:rsid w:val="00902E08"/>
    <w:rsid w:val="00903378"/>
    <w:rsid w:val="0090343A"/>
    <w:rsid w:val="00905F23"/>
    <w:rsid w:val="00906134"/>
    <w:rsid w:val="009073EE"/>
    <w:rsid w:val="00912559"/>
    <w:rsid w:val="0091681E"/>
    <w:rsid w:val="00916E7A"/>
    <w:rsid w:val="00917F2D"/>
    <w:rsid w:val="00920143"/>
    <w:rsid w:val="00920E52"/>
    <w:rsid w:val="0092371D"/>
    <w:rsid w:val="0092386B"/>
    <w:rsid w:val="00927B00"/>
    <w:rsid w:val="00932CED"/>
    <w:rsid w:val="00934334"/>
    <w:rsid w:val="00934B69"/>
    <w:rsid w:val="009354CE"/>
    <w:rsid w:val="0093683C"/>
    <w:rsid w:val="009415B9"/>
    <w:rsid w:val="009423B0"/>
    <w:rsid w:val="00942811"/>
    <w:rsid w:val="00943E01"/>
    <w:rsid w:val="00944109"/>
    <w:rsid w:val="0094446E"/>
    <w:rsid w:val="009467EA"/>
    <w:rsid w:val="00946926"/>
    <w:rsid w:val="009502F6"/>
    <w:rsid w:val="00965A6C"/>
    <w:rsid w:val="00965D1D"/>
    <w:rsid w:val="00966895"/>
    <w:rsid w:val="00966B24"/>
    <w:rsid w:val="0097103D"/>
    <w:rsid w:val="00971894"/>
    <w:rsid w:val="009734F3"/>
    <w:rsid w:val="009735C2"/>
    <w:rsid w:val="009747A4"/>
    <w:rsid w:val="009761B3"/>
    <w:rsid w:val="00981010"/>
    <w:rsid w:val="009869D1"/>
    <w:rsid w:val="0098771B"/>
    <w:rsid w:val="009900B6"/>
    <w:rsid w:val="009911EB"/>
    <w:rsid w:val="0099469C"/>
    <w:rsid w:val="0099564C"/>
    <w:rsid w:val="0099650F"/>
    <w:rsid w:val="0099658F"/>
    <w:rsid w:val="009A0CDE"/>
    <w:rsid w:val="009A1B5D"/>
    <w:rsid w:val="009A35D1"/>
    <w:rsid w:val="009A7628"/>
    <w:rsid w:val="009B0A0D"/>
    <w:rsid w:val="009B0DB3"/>
    <w:rsid w:val="009B42E1"/>
    <w:rsid w:val="009B47F2"/>
    <w:rsid w:val="009C1655"/>
    <w:rsid w:val="009C2C8D"/>
    <w:rsid w:val="009C3430"/>
    <w:rsid w:val="009C6993"/>
    <w:rsid w:val="009C77AF"/>
    <w:rsid w:val="009D23B7"/>
    <w:rsid w:val="009D5247"/>
    <w:rsid w:val="009D57AE"/>
    <w:rsid w:val="009E5035"/>
    <w:rsid w:val="009E53C1"/>
    <w:rsid w:val="009E5CC4"/>
    <w:rsid w:val="009E6181"/>
    <w:rsid w:val="009F1254"/>
    <w:rsid w:val="009F2131"/>
    <w:rsid w:val="009F3E9B"/>
    <w:rsid w:val="009F545F"/>
    <w:rsid w:val="009F5BE8"/>
    <w:rsid w:val="009F5E8C"/>
    <w:rsid w:val="00A00367"/>
    <w:rsid w:val="00A00DE9"/>
    <w:rsid w:val="00A01C2F"/>
    <w:rsid w:val="00A0438F"/>
    <w:rsid w:val="00A055A1"/>
    <w:rsid w:val="00A05E36"/>
    <w:rsid w:val="00A1047B"/>
    <w:rsid w:val="00A1215A"/>
    <w:rsid w:val="00A12D7F"/>
    <w:rsid w:val="00A156EE"/>
    <w:rsid w:val="00A168DA"/>
    <w:rsid w:val="00A27756"/>
    <w:rsid w:val="00A30AC5"/>
    <w:rsid w:val="00A3294C"/>
    <w:rsid w:val="00A3332B"/>
    <w:rsid w:val="00A34559"/>
    <w:rsid w:val="00A37EAD"/>
    <w:rsid w:val="00A46040"/>
    <w:rsid w:val="00A51BC6"/>
    <w:rsid w:val="00A51D32"/>
    <w:rsid w:val="00A53A42"/>
    <w:rsid w:val="00A54265"/>
    <w:rsid w:val="00A6243A"/>
    <w:rsid w:val="00A63093"/>
    <w:rsid w:val="00A63C56"/>
    <w:rsid w:val="00A64108"/>
    <w:rsid w:val="00A65919"/>
    <w:rsid w:val="00A67220"/>
    <w:rsid w:val="00A67371"/>
    <w:rsid w:val="00A72766"/>
    <w:rsid w:val="00A75C4B"/>
    <w:rsid w:val="00A765F3"/>
    <w:rsid w:val="00A85F45"/>
    <w:rsid w:val="00A8646C"/>
    <w:rsid w:val="00A8758F"/>
    <w:rsid w:val="00A875DB"/>
    <w:rsid w:val="00A8789D"/>
    <w:rsid w:val="00A87A1D"/>
    <w:rsid w:val="00A900D2"/>
    <w:rsid w:val="00A9141E"/>
    <w:rsid w:val="00A93A15"/>
    <w:rsid w:val="00A97795"/>
    <w:rsid w:val="00AA0FA0"/>
    <w:rsid w:val="00AB0D06"/>
    <w:rsid w:val="00AB1BFB"/>
    <w:rsid w:val="00AB32C0"/>
    <w:rsid w:val="00AB7EB9"/>
    <w:rsid w:val="00AC016E"/>
    <w:rsid w:val="00AC02F3"/>
    <w:rsid w:val="00AC03F4"/>
    <w:rsid w:val="00AC05BC"/>
    <w:rsid w:val="00AC06DD"/>
    <w:rsid w:val="00AC2D9D"/>
    <w:rsid w:val="00AC32E2"/>
    <w:rsid w:val="00AC375A"/>
    <w:rsid w:val="00AC50AB"/>
    <w:rsid w:val="00AC5B48"/>
    <w:rsid w:val="00AC6B19"/>
    <w:rsid w:val="00AD06D3"/>
    <w:rsid w:val="00AD168F"/>
    <w:rsid w:val="00AD2C01"/>
    <w:rsid w:val="00AD357A"/>
    <w:rsid w:val="00AD3B62"/>
    <w:rsid w:val="00AD721A"/>
    <w:rsid w:val="00AD7E6E"/>
    <w:rsid w:val="00AE2BAD"/>
    <w:rsid w:val="00AE2FD2"/>
    <w:rsid w:val="00AE3BC4"/>
    <w:rsid w:val="00AE4B3B"/>
    <w:rsid w:val="00AE4F3E"/>
    <w:rsid w:val="00AF32A4"/>
    <w:rsid w:val="00AF448D"/>
    <w:rsid w:val="00AF61F9"/>
    <w:rsid w:val="00B0045E"/>
    <w:rsid w:val="00B01769"/>
    <w:rsid w:val="00B05541"/>
    <w:rsid w:val="00B05799"/>
    <w:rsid w:val="00B0598C"/>
    <w:rsid w:val="00B05F89"/>
    <w:rsid w:val="00B12356"/>
    <w:rsid w:val="00B14D0D"/>
    <w:rsid w:val="00B20059"/>
    <w:rsid w:val="00B224C7"/>
    <w:rsid w:val="00B22B9B"/>
    <w:rsid w:val="00B22D7D"/>
    <w:rsid w:val="00B22EDA"/>
    <w:rsid w:val="00B23A1B"/>
    <w:rsid w:val="00B25D3C"/>
    <w:rsid w:val="00B30B1D"/>
    <w:rsid w:val="00B30DCB"/>
    <w:rsid w:val="00B318C3"/>
    <w:rsid w:val="00B32690"/>
    <w:rsid w:val="00B328FE"/>
    <w:rsid w:val="00B36612"/>
    <w:rsid w:val="00B36B3B"/>
    <w:rsid w:val="00B41C48"/>
    <w:rsid w:val="00B41D46"/>
    <w:rsid w:val="00B43034"/>
    <w:rsid w:val="00B50F92"/>
    <w:rsid w:val="00B51F1A"/>
    <w:rsid w:val="00B577EA"/>
    <w:rsid w:val="00B57894"/>
    <w:rsid w:val="00B651C9"/>
    <w:rsid w:val="00B6599F"/>
    <w:rsid w:val="00B71975"/>
    <w:rsid w:val="00B71BDA"/>
    <w:rsid w:val="00B72E57"/>
    <w:rsid w:val="00B73AEC"/>
    <w:rsid w:val="00B755AE"/>
    <w:rsid w:val="00B77EAF"/>
    <w:rsid w:val="00B80F4F"/>
    <w:rsid w:val="00B811D1"/>
    <w:rsid w:val="00B82C6D"/>
    <w:rsid w:val="00B8334A"/>
    <w:rsid w:val="00B83BE0"/>
    <w:rsid w:val="00B84F0D"/>
    <w:rsid w:val="00B8742F"/>
    <w:rsid w:val="00B87956"/>
    <w:rsid w:val="00B90E66"/>
    <w:rsid w:val="00B913DD"/>
    <w:rsid w:val="00B9240F"/>
    <w:rsid w:val="00B968F1"/>
    <w:rsid w:val="00BA111F"/>
    <w:rsid w:val="00BA1F67"/>
    <w:rsid w:val="00BA4F52"/>
    <w:rsid w:val="00BA5257"/>
    <w:rsid w:val="00BA735F"/>
    <w:rsid w:val="00BB4C15"/>
    <w:rsid w:val="00BB62B4"/>
    <w:rsid w:val="00BB6B33"/>
    <w:rsid w:val="00BB770C"/>
    <w:rsid w:val="00BB7DDC"/>
    <w:rsid w:val="00BC0799"/>
    <w:rsid w:val="00BC3028"/>
    <w:rsid w:val="00BC3E58"/>
    <w:rsid w:val="00BC4AB4"/>
    <w:rsid w:val="00BC4BF1"/>
    <w:rsid w:val="00BC5C25"/>
    <w:rsid w:val="00BC7AAC"/>
    <w:rsid w:val="00BD10E2"/>
    <w:rsid w:val="00BD2C03"/>
    <w:rsid w:val="00BE254B"/>
    <w:rsid w:val="00BE2D58"/>
    <w:rsid w:val="00BE4C1E"/>
    <w:rsid w:val="00BF1CD9"/>
    <w:rsid w:val="00BF210B"/>
    <w:rsid w:val="00BF57FC"/>
    <w:rsid w:val="00C007EC"/>
    <w:rsid w:val="00C0119C"/>
    <w:rsid w:val="00C01B15"/>
    <w:rsid w:val="00C01D9E"/>
    <w:rsid w:val="00C03AB2"/>
    <w:rsid w:val="00C04C6E"/>
    <w:rsid w:val="00C05D0F"/>
    <w:rsid w:val="00C061BD"/>
    <w:rsid w:val="00C07EAC"/>
    <w:rsid w:val="00C12BEC"/>
    <w:rsid w:val="00C15D20"/>
    <w:rsid w:val="00C15F2C"/>
    <w:rsid w:val="00C20CE8"/>
    <w:rsid w:val="00C21C6F"/>
    <w:rsid w:val="00C2322F"/>
    <w:rsid w:val="00C240CB"/>
    <w:rsid w:val="00C24D52"/>
    <w:rsid w:val="00C24EBB"/>
    <w:rsid w:val="00C26971"/>
    <w:rsid w:val="00C33B0B"/>
    <w:rsid w:val="00C36E3F"/>
    <w:rsid w:val="00C37586"/>
    <w:rsid w:val="00C415F3"/>
    <w:rsid w:val="00C42BC6"/>
    <w:rsid w:val="00C42F76"/>
    <w:rsid w:val="00C433BE"/>
    <w:rsid w:val="00C44954"/>
    <w:rsid w:val="00C44E57"/>
    <w:rsid w:val="00C46198"/>
    <w:rsid w:val="00C53DA7"/>
    <w:rsid w:val="00C55E5B"/>
    <w:rsid w:val="00C56922"/>
    <w:rsid w:val="00C57A96"/>
    <w:rsid w:val="00C607D0"/>
    <w:rsid w:val="00C6478C"/>
    <w:rsid w:val="00C64DD3"/>
    <w:rsid w:val="00C65A60"/>
    <w:rsid w:val="00C66E8B"/>
    <w:rsid w:val="00C66F44"/>
    <w:rsid w:val="00C7190D"/>
    <w:rsid w:val="00C75362"/>
    <w:rsid w:val="00C77651"/>
    <w:rsid w:val="00C84515"/>
    <w:rsid w:val="00C86AF1"/>
    <w:rsid w:val="00C86ED4"/>
    <w:rsid w:val="00C90080"/>
    <w:rsid w:val="00C91A6C"/>
    <w:rsid w:val="00C9351E"/>
    <w:rsid w:val="00CA466B"/>
    <w:rsid w:val="00CA4E1F"/>
    <w:rsid w:val="00CB5834"/>
    <w:rsid w:val="00CB7B78"/>
    <w:rsid w:val="00CC0188"/>
    <w:rsid w:val="00CC10FC"/>
    <w:rsid w:val="00CC32A9"/>
    <w:rsid w:val="00CC379D"/>
    <w:rsid w:val="00CC3BD7"/>
    <w:rsid w:val="00CC4859"/>
    <w:rsid w:val="00CC71BD"/>
    <w:rsid w:val="00CC7399"/>
    <w:rsid w:val="00CC7F9E"/>
    <w:rsid w:val="00CD1167"/>
    <w:rsid w:val="00CD15B7"/>
    <w:rsid w:val="00CD1B81"/>
    <w:rsid w:val="00CD3FF2"/>
    <w:rsid w:val="00CD40C4"/>
    <w:rsid w:val="00CD5E2A"/>
    <w:rsid w:val="00CD63A7"/>
    <w:rsid w:val="00CD7270"/>
    <w:rsid w:val="00CD73F2"/>
    <w:rsid w:val="00CE0B75"/>
    <w:rsid w:val="00CE5CDD"/>
    <w:rsid w:val="00CF0074"/>
    <w:rsid w:val="00CF13C8"/>
    <w:rsid w:val="00CF2076"/>
    <w:rsid w:val="00CF2316"/>
    <w:rsid w:val="00CF7174"/>
    <w:rsid w:val="00CF7ADC"/>
    <w:rsid w:val="00D04CDC"/>
    <w:rsid w:val="00D054BD"/>
    <w:rsid w:val="00D114F3"/>
    <w:rsid w:val="00D118AE"/>
    <w:rsid w:val="00D12862"/>
    <w:rsid w:val="00D12DD5"/>
    <w:rsid w:val="00D133E3"/>
    <w:rsid w:val="00D1485B"/>
    <w:rsid w:val="00D15284"/>
    <w:rsid w:val="00D15482"/>
    <w:rsid w:val="00D15BBD"/>
    <w:rsid w:val="00D17BA5"/>
    <w:rsid w:val="00D2031A"/>
    <w:rsid w:val="00D20AA7"/>
    <w:rsid w:val="00D20EC3"/>
    <w:rsid w:val="00D22F65"/>
    <w:rsid w:val="00D23964"/>
    <w:rsid w:val="00D2610A"/>
    <w:rsid w:val="00D26286"/>
    <w:rsid w:val="00D26819"/>
    <w:rsid w:val="00D31641"/>
    <w:rsid w:val="00D37A12"/>
    <w:rsid w:val="00D37F63"/>
    <w:rsid w:val="00D40D63"/>
    <w:rsid w:val="00D42421"/>
    <w:rsid w:val="00D4337C"/>
    <w:rsid w:val="00D4444A"/>
    <w:rsid w:val="00D46A52"/>
    <w:rsid w:val="00D504B2"/>
    <w:rsid w:val="00D51E31"/>
    <w:rsid w:val="00D60BFE"/>
    <w:rsid w:val="00D62D92"/>
    <w:rsid w:val="00D63B03"/>
    <w:rsid w:val="00D66AE4"/>
    <w:rsid w:val="00D728DC"/>
    <w:rsid w:val="00D7396F"/>
    <w:rsid w:val="00D75AFC"/>
    <w:rsid w:val="00D75B37"/>
    <w:rsid w:val="00D82143"/>
    <w:rsid w:val="00D83E77"/>
    <w:rsid w:val="00D85947"/>
    <w:rsid w:val="00D91B4A"/>
    <w:rsid w:val="00D91FF1"/>
    <w:rsid w:val="00D953F5"/>
    <w:rsid w:val="00DA202A"/>
    <w:rsid w:val="00DA32C2"/>
    <w:rsid w:val="00DA3B2B"/>
    <w:rsid w:val="00DA4E57"/>
    <w:rsid w:val="00DA67A5"/>
    <w:rsid w:val="00DB4C71"/>
    <w:rsid w:val="00DB4F4F"/>
    <w:rsid w:val="00DB4F93"/>
    <w:rsid w:val="00DB516D"/>
    <w:rsid w:val="00DB5AD0"/>
    <w:rsid w:val="00DB644E"/>
    <w:rsid w:val="00DB6EEA"/>
    <w:rsid w:val="00DB7043"/>
    <w:rsid w:val="00DB786F"/>
    <w:rsid w:val="00DC28DA"/>
    <w:rsid w:val="00DC2CA9"/>
    <w:rsid w:val="00DC6AB0"/>
    <w:rsid w:val="00DC6D16"/>
    <w:rsid w:val="00DD1465"/>
    <w:rsid w:val="00DD5594"/>
    <w:rsid w:val="00DD5D8B"/>
    <w:rsid w:val="00DD6F2A"/>
    <w:rsid w:val="00DD72A7"/>
    <w:rsid w:val="00DD7C44"/>
    <w:rsid w:val="00DE1719"/>
    <w:rsid w:val="00DE19E9"/>
    <w:rsid w:val="00DE4B1D"/>
    <w:rsid w:val="00DE6CEC"/>
    <w:rsid w:val="00DF0D0D"/>
    <w:rsid w:val="00DF31A3"/>
    <w:rsid w:val="00DF4714"/>
    <w:rsid w:val="00DF77DD"/>
    <w:rsid w:val="00E006EA"/>
    <w:rsid w:val="00E016C0"/>
    <w:rsid w:val="00E02D5E"/>
    <w:rsid w:val="00E031D4"/>
    <w:rsid w:val="00E12A14"/>
    <w:rsid w:val="00E12F76"/>
    <w:rsid w:val="00E13D8D"/>
    <w:rsid w:val="00E145DC"/>
    <w:rsid w:val="00E146EA"/>
    <w:rsid w:val="00E15B00"/>
    <w:rsid w:val="00E16502"/>
    <w:rsid w:val="00E20FB9"/>
    <w:rsid w:val="00E21E21"/>
    <w:rsid w:val="00E21E46"/>
    <w:rsid w:val="00E22515"/>
    <w:rsid w:val="00E239EA"/>
    <w:rsid w:val="00E260EC"/>
    <w:rsid w:val="00E33189"/>
    <w:rsid w:val="00E354F7"/>
    <w:rsid w:val="00E367ED"/>
    <w:rsid w:val="00E36E05"/>
    <w:rsid w:val="00E375E3"/>
    <w:rsid w:val="00E40A98"/>
    <w:rsid w:val="00E412EC"/>
    <w:rsid w:val="00E4612D"/>
    <w:rsid w:val="00E464DB"/>
    <w:rsid w:val="00E4685D"/>
    <w:rsid w:val="00E50DBC"/>
    <w:rsid w:val="00E52F11"/>
    <w:rsid w:val="00E53D86"/>
    <w:rsid w:val="00E54AD2"/>
    <w:rsid w:val="00E54E6D"/>
    <w:rsid w:val="00E55B90"/>
    <w:rsid w:val="00E56523"/>
    <w:rsid w:val="00E56691"/>
    <w:rsid w:val="00E56EEF"/>
    <w:rsid w:val="00E57309"/>
    <w:rsid w:val="00E61795"/>
    <w:rsid w:val="00E63CBA"/>
    <w:rsid w:val="00E65A55"/>
    <w:rsid w:val="00E65E94"/>
    <w:rsid w:val="00E66610"/>
    <w:rsid w:val="00E67E0D"/>
    <w:rsid w:val="00E73DEF"/>
    <w:rsid w:val="00E749F8"/>
    <w:rsid w:val="00E7708A"/>
    <w:rsid w:val="00E77600"/>
    <w:rsid w:val="00E87073"/>
    <w:rsid w:val="00E870A2"/>
    <w:rsid w:val="00E912D3"/>
    <w:rsid w:val="00E951DB"/>
    <w:rsid w:val="00E95915"/>
    <w:rsid w:val="00E971A9"/>
    <w:rsid w:val="00E97A4A"/>
    <w:rsid w:val="00EA2EC1"/>
    <w:rsid w:val="00EA64F2"/>
    <w:rsid w:val="00EA7F45"/>
    <w:rsid w:val="00EB0A60"/>
    <w:rsid w:val="00EB2EAC"/>
    <w:rsid w:val="00EB37C2"/>
    <w:rsid w:val="00EB4A5A"/>
    <w:rsid w:val="00EB6D43"/>
    <w:rsid w:val="00EC1EE7"/>
    <w:rsid w:val="00EC416B"/>
    <w:rsid w:val="00ED071D"/>
    <w:rsid w:val="00ED08EA"/>
    <w:rsid w:val="00ED36F2"/>
    <w:rsid w:val="00ED44FA"/>
    <w:rsid w:val="00ED5ABD"/>
    <w:rsid w:val="00ED7E0F"/>
    <w:rsid w:val="00EE1431"/>
    <w:rsid w:val="00EE188E"/>
    <w:rsid w:val="00EE1AED"/>
    <w:rsid w:val="00EE1F34"/>
    <w:rsid w:val="00EE43FB"/>
    <w:rsid w:val="00EE4E93"/>
    <w:rsid w:val="00EE52AA"/>
    <w:rsid w:val="00EE73EC"/>
    <w:rsid w:val="00EF4F6D"/>
    <w:rsid w:val="00EF5B87"/>
    <w:rsid w:val="00EF79E6"/>
    <w:rsid w:val="00F02426"/>
    <w:rsid w:val="00F0328D"/>
    <w:rsid w:val="00F03845"/>
    <w:rsid w:val="00F07E26"/>
    <w:rsid w:val="00F121D0"/>
    <w:rsid w:val="00F13607"/>
    <w:rsid w:val="00F159B4"/>
    <w:rsid w:val="00F17E2F"/>
    <w:rsid w:val="00F209AE"/>
    <w:rsid w:val="00F22FE0"/>
    <w:rsid w:val="00F24052"/>
    <w:rsid w:val="00F24B92"/>
    <w:rsid w:val="00F24BCF"/>
    <w:rsid w:val="00F25215"/>
    <w:rsid w:val="00F26008"/>
    <w:rsid w:val="00F27A8F"/>
    <w:rsid w:val="00F27AF2"/>
    <w:rsid w:val="00F32066"/>
    <w:rsid w:val="00F3407F"/>
    <w:rsid w:val="00F34ABB"/>
    <w:rsid w:val="00F36AE3"/>
    <w:rsid w:val="00F40F43"/>
    <w:rsid w:val="00F41442"/>
    <w:rsid w:val="00F4170E"/>
    <w:rsid w:val="00F417A0"/>
    <w:rsid w:val="00F4203A"/>
    <w:rsid w:val="00F4255D"/>
    <w:rsid w:val="00F4417E"/>
    <w:rsid w:val="00F4749F"/>
    <w:rsid w:val="00F47B71"/>
    <w:rsid w:val="00F52063"/>
    <w:rsid w:val="00F530E0"/>
    <w:rsid w:val="00F53849"/>
    <w:rsid w:val="00F561A5"/>
    <w:rsid w:val="00F56C3E"/>
    <w:rsid w:val="00F572A0"/>
    <w:rsid w:val="00F6157C"/>
    <w:rsid w:val="00F61EC9"/>
    <w:rsid w:val="00F62A5B"/>
    <w:rsid w:val="00F62F4F"/>
    <w:rsid w:val="00F6406E"/>
    <w:rsid w:val="00F652C9"/>
    <w:rsid w:val="00F66801"/>
    <w:rsid w:val="00F67093"/>
    <w:rsid w:val="00F67467"/>
    <w:rsid w:val="00F72E08"/>
    <w:rsid w:val="00F73402"/>
    <w:rsid w:val="00F7592F"/>
    <w:rsid w:val="00F81223"/>
    <w:rsid w:val="00F819D5"/>
    <w:rsid w:val="00F83F42"/>
    <w:rsid w:val="00F922C5"/>
    <w:rsid w:val="00F938FD"/>
    <w:rsid w:val="00F93A76"/>
    <w:rsid w:val="00F93BD4"/>
    <w:rsid w:val="00F956C4"/>
    <w:rsid w:val="00F95E00"/>
    <w:rsid w:val="00FA011E"/>
    <w:rsid w:val="00FA248F"/>
    <w:rsid w:val="00FA3442"/>
    <w:rsid w:val="00FA3C8F"/>
    <w:rsid w:val="00FA47FF"/>
    <w:rsid w:val="00FA5233"/>
    <w:rsid w:val="00FA56F5"/>
    <w:rsid w:val="00FB0CC4"/>
    <w:rsid w:val="00FB0E2F"/>
    <w:rsid w:val="00FB2041"/>
    <w:rsid w:val="00FB22B4"/>
    <w:rsid w:val="00FB23E0"/>
    <w:rsid w:val="00FB408D"/>
    <w:rsid w:val="00FC2CF1"/>
    <w:rsid w:val="00FC6340"/>
    <w:rsid w:val="00FC6AC8"/>
    <w:rsid w:val="00FC76F1"/>
    <w:rsid w:val="00FD03AD"/>
    <w:rsid w:val="00FD3049"/>
    <w:rsid w:val="00FD3805"/>
    <w:rsid w:val="00FE178A"/>
    <w:rsid w:val="00FE3F76"/>
    <w:rsid w:val="00FE5AFB"/>
    <w:rsid w:val="00FE5D24"/>
    <w:rsid w:val="00FE76B1"/>
    <w:rsid w:val="00FF01C2"/>
    <w:rsid w:val="00FF04A0"/>
    <w:rsid w:val="00FF18FF"/>
    <w:rsid w:val="00FF2515"/>
    <w:rsid w:val="00FF539B"/>
    <w:rsid w:val="00FF5DE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2C03"/>
  </w:style>
  <w:style w:type="paragraph" w:styleId="Ttulo1">
    <w:name w:val="heading 1"/>
    <w:basedOn w:val="Normal"/>
    <w:next w:val="Normal"/>
    <w:link w:val="Ttulo1Car"/>
    <w:uiPriority w:val="9"/>
    <w:qFormat/>
    <w:rsid w:val="00F2600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A6ED8"/>
    <w:pPr>
      <w:ind w:left="720"/>
      <w:contextualSpacing/>
    </w:pPr>
  </w:style>
  <w:style w:type="paragraph" w:styleId="Textonotapie">
    <w:name w:val="footnote text"/>
    <w:basedOn w:val="Normal"/>
    <w:link w:val="TextonotapieCar"/>
    <w:uiPriority w:val="99"/>
    <w:semiHidden/>
    <w:unhideWhenUsed/>
    <w:rsid w:val="00CF0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F0074"/>
    <w:rPr>
      <w:sz w:val="20"/>
      <w:szCs w:val="20"/>
    </w:rPr>
  </w:style>
  <w:style w:type="character" w:styleId="Refdenotaalpie">
    <w:name w:val="footnote reference"/>
    <w:basedOn w:val="Fuentedeprrafopredeter"/>
    <w:uiPriority w:val="99"/>
    <w:semiHidden/>
    <w:unhideWhenUsed/>
    <w:rsid w:val="00CF0074"/>
    <w:rPr>
      <w:vertAlign w:val="superscript"/>
    </w:rPr>
  </w:style>
  <w:style w:type="character" w:styleId="nfasis">
    <w:name w:val="Emphasis"/>
    <w:basedOn w:val="Fuentedeprrafopredeter"/>
    <w:uiPriority w:val="20"/>
    <w:qFormat/>
    <w:rsid w:val="004F54E1"/>
    <w:rPr>
      <w:i/>
      <w:iCs/>
    </w:rPr>
  </w:style>
  <w:style w:type="table" w:styleId="Tablaconcuadrcula">
    <w:name w:val="Table Grid"/>
    <w:basedOn w:val="Tablanormal"/>
    <w:uiPriority w:val="39"/>
    <w:rsid w:val="00271E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A8758F"/>
    <w:rPr>
      <w:rFonts w:ascii="Times New Roman" w:hAnsi="Times New Roman" w:cs="Times New Roman"/>
      <w:sz w:val="24"/>
      <w:szCs w:val="24"/>
    </w:rPr>
  </w:style>
  <w:style w:type="character" w:styleId="Hipervnculo">
    <w:name w:val="Hyperlink"/>
    <w:basedOn w:val="Fuentedeprrafopredeter"/>
    <w:uiPriority w:val="99"/>
    <w:unhideWhenUsed/>
    <w:rsid w:val="005E4AF5"/>
    <w:rPr>
      <w:color w:val="0563C1" w:themeColor="hyperlink"/>
      <w:u w:val="single"/>
    </w:rPr>
  </w:style>
  <w:style w:type="character" w:customStyle="1" w:styleId="Ttulo1Car">
    <w:name w:val="Título 1 Car"/>
    <w:basedOn w:val="Fuentedeprrafopredeter"/>
    <w:link w:val="Ttulo1"/>
    <w:uiPriority w:val="9"/>
    <w:rsid w:val="00F26008"/>
    <w:rPr>
      <w:rFonts w:asciiTheme="majorHAnsi" w:eastAsiaTheme="majorEastAsia" w:hAnsiTheme="majorHAnsi" w:cstheme="majorBidi"/>
      <w:color w:val="2E74B5" w:themeColor="accent1" w:themeShade="BF"/>
      <w:sz w:val="32"/>
      <w:szCs w:val="32"/>
    </w:rPr>
  </w:style>
  <w:style w:type="paragraph" w:styleId="Textodeglobo">
    <w:name w:val="Balloon Text"/>
    <w:basedOn w:val="Normal"/>
    <w:link w:val="TextodegloboCar"/>
    <w:uiPriority w:val="99"/>
    <w:semiHidden/>
    <w:unhideWhenUsed/>
    <w:rsid w:val="006A2DB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2DBF"/>
    <w:rPr>
      <w:rFonts w:ascii="Tahoma" w:hAnsi="Tahoma" w:cs="Tahoma"/>
      <w:sz w:val="16"/>
      <w:szCs w:val="16"/>
    </w:rPr>
  </w:style>
  <w:style w:type="paragraph" w:styleId="Encabezado">
    <w:name w:val="header"/>
    <w:basedOn w:val="Normal"/>
    <w:link w:val="EncabezadoCar"/>
    <w:uiPriority w:val="99"/>
    <w:unhideWhenUsed/>
    <w:rsid w:val="003C3E1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C3E16"/>
  </w:style>
  <w:style w:type="paragraph" w:styleId="Piedepgina">
    <w:name w:val="footer"/>
    <w:basedOn w:val="Normal"/>
    <w:link w:val="PiedepginaCar"/>
    <w:uiPriority w:val="99"/>
    <w:unhideWhenUsed/>
    <w:rsid w:val="003C3E1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C3E16"/>
  </w:style>
  <w:style w:type="character" w:customStyle="1" w:styleId="Mencinsinresolver1">
    <w:name w:val="Mención sin resolver1"/>
    <w:basedOn w:val="Fuentedeprrafopredeter"/>
    <w:uiPriority w:val="99"/>
    <w:semiHidden/>
    <w:unhideWhenUsed/>
    <w:rsid w:val="008D2F1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2C03"/>
  </w:style>
  <w:style w:type="paragraph" w:styleId="Ttulo1">
    <w:name w:val="heading 1"/>
    <w:basedOn w:val="Normal"/>
    <w:next w:val="Normal"/>
    <w:link w:val="Ttulo1Car"/>
    <w:uiPriority w:val="9"/>
    <w:qFormat/>
    <w:rsid w:val="00F2600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A6ED8"/>
    <w:pPr>
      <w:ind w:left="720"/>
      <w:contextualSpacing/>
    </w:pPr>
  </w:style>
  <w:style w:type="paragraph" w:styleId="Textonotapie">
    <w:name w:val="footnote text"/>
    <w:basedOn w:val="Normal"/>
    <w:link w:val="TextonotapieCar"/>
    <w:uiPriority w:val="99"/>
    <w:semiHidden/>
    <w:unhideWhenUsed/>
    <w:rsid w:val="00CF0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F0074"/>
    <w:rPr>
      <w:sz w:val="20"/>
      <w:szCs w:val="20"/>
    </w:rPr>
  </w:style>
  <w:style w:type="character" w:styleId="Refdenotaalpie">
    <w:name w:val="footnote reference"/>
    <w:basedOn w:val="Fuentedeprrafopredeter"/>
    <w:uiPriority w:val="99"/>
    <w:semiHidden/>
    <w:unhideWhenUsed/>
    <w:rsid w:val="00CF0074"/>
    <w:rPr>
      <w:vertAlign w:val="superscript"/>
    </w:rPr>
  </w:style>
  <w:style w:type="character" w:styleId="nfasis">
    <w:name w:val="Emphasis"/>
    <w:basedOn w:val="Fuentedeprrafopredeter"/>
    <w:uiPriority w:val="20"/>
    <w:qFormat/>
    <w:rsid w:val="004F54E1"/>
    <w:rPr>
      <w:i/>
      <w:iCs/>
    </w:rPr>
  </w:style>
  <w:style w:type="table" w:styleId="Tablaconcuadrcula">
    <w:name w:val="Table Grid"/>
    <w:basedOn w:val="Tablanormal"/>
    <w:uiPriority w:val="39"/>
    <w:rsid w:val="00271E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A8758F"/>
    <w:rPr>
      <w:rFonts w:ascii="Times New Roman" w:hAnsi="Times New Roman" w:cs="Times New Roman"/>
      <w:sz w:val="24"/>
      <w:szCs w:val="24"/>
    </w:rPr>
  </w:style>
  <w:style w:type="character" w:styleId="Hipervnculo">
    <w:name w:val="Hyperlink"/>
    <w:basedOn w:val="Fuentedeprrafopredeter"/>
    <w:uiPriority w:val="99"/>
    <w:unhideWhenUsed/>
    <w:rsid w:val="005E4AF5"/>
    <w:rPr>
      <w:color w:val="0563C1" w:themeColor="hyperlink"/>
      <w:u w:val="single"/>
    </w:rPr>
  </w:style>
  <w:style w:type="character" w:customStyle="1" w:styleId="Ttulo1Car">
    <w:name w:val="Título 1 Car"/>
    <w:basedOn w:val="Fuentedeprrafopredeter"/>
    <w:link w:val="Ttulo1"/>
    <w:uiPriority w:val="9"/>
    <w:rsid w:val="00F26008"/>
    <w:rPr>
      <w:rFonts w:asciiTheme="majorHAnsi" w:eastAsiaTheme="majorEastAsia" w:hAnsiTheme="majorHAnsi" w:cstheme="majorBidi"/>
      <w:color w:val="2E74B5" w:themeColor="accent1" w:themeShade="BF"/>
      <w:sz w:val="32"/>
      <w:szCs w:val="32"/>
    </w:rPr>
  </w:style>
  <w:style w:type="paragraph" w:styleId="Textodeglobo">
    <w:name w:val="Balloon Text"/>
    <w:basedOn w:val="Normal"/>
    <w:link w:val="TextodegloboCar"/>
    <w:uiPriority w:val="99"/>
    <w:semiHidden/>
    <w:unhideWhenUsed/>
    <w:rsid w:val="006A2DB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2DBF"/>
    <w:rPr>
      <w:rFonts w:ascii="Tahoma" w:hAnsi="Tahoma" w:cs="Tahoma"/>
      <w:sz w:val="16"/>
      <w:szCs w:val="16"/>
    </w:rPr>
  </w:style>
  <w:style w:type="paragraph" w:styleId="Encabezado">
    <w:name w:val="header"/>
    <w:basedOn w:val="Normal"/>
    <w:link w:val="EncabezadoCar"/>
    <w:uiPriority w:val="99"/>
    <w:unhideWhenUsed/>
    <w:rsid w:val="003C3E1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C3E16"/>
  </w:style>
  <w:style w:type="paragraph" w:styleId="Piedepgina">
    <w:name w:val="footer"/>
    <w:basedOn w:val="Normal"/>
    <w:link w:val="PiedepginaCar"/>
    <w:uiPriority w:val="99"/>
    <w:unhideWhenUsed/>
    <w:rsid w:val="003C3E1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C3E16"/>
  </w:style>
  <w:style w:type="character" w:customStyle="1" w:styleId="Mencinsinresolver1">
    <w:name w:val="Mención sin resolver1"/>
    <w:basedOn w:val="Fuentedeprrafopredeter"/>
    <w:uiPriority w:val="99"/>
    <w:semiHidden/>
    <w:unhideWhenUsed/>
    <w:rsid w:val="008D2F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30825">
      <w:bodyDiv w:val="1"/>
      <w:marLeft w:val="0"/>
      <w:marRight w:val="0"/>
      <w:marTop w:val="0"/>
      <w:marBottom w:val="0"/>
      <w:divBdr>
        <w:top w:val="none" w:sz="0" w:space="0" w:color="auto"/>
        <w:left w:val="none" w:sz="0" w:space="0" w:color="auto"/>
        <w:bottom w:val="none" w:sz="0" w:space="0" w:color="auto"/>
        <w:right w:val="none" w:sz="0" w:space="0" w:color="auto"/>
      </w:divBdr>
    </w:div>
    <w:div w:id="51464403">
      <w:bodyDiv w:val="1"/>
      <w:marLeft w:val="0"/>
      <w:marRight w:val="0"/>
      <w:marTop w:val="0"/>
      <w:marBottom w:val="0"/>
      <w:divBdr>
        <w:top w:val="none" w:sz="0" w:space="0" w:color="auto"/>
        <w:left w:val="none" w:sz="0" w:space="0" w:color="auto"/>
        <w:bottom w:val="none" w:sz="0" w:space="0" w:color="auto"/>
        <w:right w:val="none" w:sz="0" w:space="0" w:color="auto"/>
      </w:divBdr>
    </w:div>
    <w:div w:id="143275635">
      <w:bodyDiv w:val="1"/>
      <w:marLeft w:val="0"/>
      <w:marRight w:val="0"/>
      <w:marTop w:val="0"/>
      <w:marBottom w:val="0"/>
      <w:divBdr>
        <w:top w:val="none" w:sz="0" w:space="0" w:color="auto"/>
        <w:left w:val="none" w:sz="0" w:space="0" w:color="auto"/>
        <w:bottom w:val="none" w:sz="0" w:space="0" w:color="auto"/>
        <w:right w:val="none" w:sz="0" w:space="0" w:color="auto"/>
      </w:divBdr>
    </w:div>
    <w:div w:id="237642211">
      <w:bodyDiv w:val="1"/>
      <w:marLeft w:val="0"/>
      <w:marRight w:val="0"/>
      <w:marTop w:val="0"/>
      <w:marBottom w:val="0"/>
      <w:divBdr>
        <w:top w:val="none" w:sz="0" w:space="0" w:color="auto"/>
        <w:left w:val="none" w:sz="0" w:space="0" w:color="auto"/>
        <w:bottom w:val="none" w:sz="0" w:space="0" w:color="auto"/>
        <w:right w:val="none" w:sz="0" w:space="0" w:color="auto"/>
      </w:divBdr>
    </w:div>
    <w:div w:id="282154938">
      <w:bodyDiv w:val="1"/>
      <w:marLeft w:val="0"/>
      <w:marRight w:val="0"/>
      <w:marTop w:val="0"/>
      <w:marBottom w:val="0"/>
      <w:divBdr>
        <w:top w:val="none" w:sz="0" w:space="0" w:color="auto"/>
        <w:left w:val="none" w:sz="0" w:space="0" w:color="auto"/>
        <w:bottom w:val="none" w:sz="0" w:space="0" w:color="auto"/>
        <w:right w:val="none" w:sz="0" w:space="0" w:color="auto"/>
      </w:divBdr>
    </w:div>
    <w:div w:id="306714128">
      <w:bodyDiv w:val="1"/>
      <w:marLeft w:val="0"/>
      <w:marRight w:val="0"/>
      <w:marTop w:val="0"/>
      <w:marBottom w:val="0"/>
      <w:divBdr>
        <w:top w:val="none" w:sz="0" w:space="0" w:color="auto"/>
        <w:left w:val="none" w:sz="0" w:space="0" w:color="auto"/>
        <w:bottom w:val="none" w:sz="0" w:space="0" w:color="auto"/>
        <w:right w:val="none" w:sz="0" w:space="0" w:color="auto"/>
      </w:divBdr>
    </w:div>
    <w:div w:id="370613288">
      <w:bodyDiv w:val="1"/>
      <w:marLeft w:val="0"/>
      <w:marRight w:val="0"/>
      <w:marTop w:val="0"/>
      <w:marBottom w:val="0"/>
      <w:divBdr>
        <w:top w:val="none" w:sz="0" w:space="0" w:color="auto"/>
        <w:left w:val="none" w:sz="0" w:space="0" w:color="auto"/>
        <w:bottom w:val="none" w:sz="0" w:space="0" w:color="auto"/>
        <w:right w:val="none" w:sz="0" w:space="0" w:color="auto"/>
      </w:divBdr>
    </w:div>
    <w:div w:id="471102158">
      <w:bodyDiv w:val="1"/>
      <w:marLeft w:val="0"/>
      <w:marRight w:val="0"/>
      <w:marTop w:val="0"/>
      <w:marBottom w:val="0"/>
      <w:divBdr>
        <w:top w:val="none" w:sz="0" w:space="0" w:color="auto"/>
        <w:left w:val="none" w:sz="0" w:space="0" w:color="auto"/>
        <w:bottom w:val="none" w:sz="0" w:space="0" w:color="auto"/>
        <w:right w:val="none" w:sz="0" w:space="0" w:color="auto"/>
      </w:divBdr>
    </w:div>
    <w:div w:id="750781737">
      <w:bodyDiv w:val="1"/>
      <w:marLeft w:val="0"/>
      <w:marRight w:val="0"/>
      <w:marTop w:val="0"/>
      <w:marBottom w:val="0"/>
      <w:divBdr>
        <w:top w:val="none" w:sz="0" w:space="0" w:color="auto"/>
        <w:left w:val="none" w:sz="0" w:space="0" w:color="auto"/>
        <w:bottom w:val="none" w:sz="0" w:space="0" w:color="auto"/>
        <w:right w:val="none" w:sz="0" w:space="0" w:color="auto"/>
      </w:divBdr>
    </w:div>
    <w:div w:id="792139975">
      <w:bodyDiv w:val="1"/>
      <w:marLeft w:val="0"/>
      <w:marRight w:val="0"/>
      <w:marTop w:val="0"/>
      <w:marBottom w:val="0"/>
      <w:divBdr>
        <w:top w:val="none" w:sz="0" w:space="0" w:color="auto"/>
        <w:left w:val="none" w:sz="0" w:space="0" w:color="auto"/>
        <w:bottom w:val="none" w:sz="0" w:space="0" w:color="auto"/>
        <w:right w:val="none" w:sz="0" w:space="0" w:color="auto"/>
      </w:divBdr>
    </w:div>
    <w:div w:id="855507070">
      <w:bodyDiv w:val="1"/>
      <w:marLeft w:val="0"/>
      <w:marRight w:val="0"/>
      <w:marTop w:val="0"/>
      <w:marBottom w:val="0"/>
      <w:divBdr>
        <w:top w:val="none" w:sz="0" w:space="0" w:color="auto"/>
        <w:left w:val="none" w:sz="0" w:space="0" w:color="auto"/>
        <w:bottom w:val="none" w:sz="0" w:space="0" w:color="auto"/>
        <w:right w:val="none" w:sz="0" w:space="0" w:color="auto"/>
      </w:divBdr>
    </w:div>
    <w:div w:id="889420293">
      <w:bodyDiv w:val="1"/>
      <w:marLeft w:val="0"/>
      <w:marRight w:val="0"/>
      <w:marTop w:val="0"/>
      <w:marBottom w:val="0"/>
      <w:divBdr>
        <w:top w:val="none" w:sz="0" w:space="0" w:color="auto"/>
        <w:left w:val="none" w:sz="0" w:space="0" w:color="auto"/>
        <w:bottom w:val="none" w:sz="0" w:space="0" w:color="auto"/>
        <w:right w:val="none" w:sz="0" w:space="0" w:color="auto"/>
      </w:divBdr>
    </w:div>
    <w:div w:id="933435625">
      <w:bodyDiv w:val="1"/>
      <w:marLeft w:val="0"/>
      <w:marRight w:val="0"/>
      <w:marTop w:val="0"/>
      <w:marBottom w:val="0"/>
      <w:divBdr>
        <w:top w:val="none" w:sz="0" w:space="0" w:color="auto"/>
        <w:left w:val="none" w:sz="0" w:space="0" w:color="auto"/>
        <w:bottom w:val="none" w:sz="0" w:space="0" w:color="auto"/>
        <w:right w:val="none" w:sz="0" w:space="0" w:color="auto"/>
      </w:divBdr>
    </w:div>
    <w:div w:id="1033189511">
      <w:bodyDiv w:val="1"/>
      <w:marLeft w:val="0"/>
      <w:marRight w:val="0"/>
      <w:marTop w:val="0"/>
      <w:marBottom w:val="0"/>
      <w:divBdr>
        <w:top w:val="none" w:sz="0" w:space="0" w:color="auto"/>
        <w:left w:val="none" w:sz="0" w:space="0" w:color="auto"/>
        <w:bottom w:val="none" w:sz="0" w:space="0" w:color="auto"/>
        <w:right w:val="none" w:sz="0" w:space="0" w:color="auto"/>
      </w:divBdr>
    </w:div>
    <w:div w:id="1245644389">
      <w:bodyDiv w:val="1"/>
      <w:marLeft w:val="0"/>
      <w:marRight w:val="0"/>
      <w:marTop w:val="0"/>
      <w:marBottom w:val="0"/>
      <w:divBdr>
        <w:top w:val="none" w:sz="0" w:space="0" w:color="auto"/>
        <w:left w:val="none" w:sz="0" w:space="0" w:color="auto"/>
        <w:bottom w:val="none" w:sz="0" w:space="0" w:color="auto"/>
        <w:right w:val="none" w:sz="0" w:space="0" w:color="auto"/>
      </w:divBdr>
    </w:div>
    <w:div w:id="1456605136">
      <w:bodyDiv w:val="1"/>
      <w:marLeft w:val="0"/>
      <w:marRight w:val="0"/>
      <w:marTop w:val="0"/>
      <w:marBottom w:val="0"/>
      <w:divBdr>
        <w:top w:val="none" w:sz="0" w:space="0" w:color="auto"/>
        <w:left w:val="none" w:sz="0" w:space="0" w:color="auto"/>
        <w:bottom w:val="none" w:sz="0" w:space="0" w:color="auto"/>
        <w:right w:val="none" w:sz="0" w:space="0" w:color="auto"/>
      </w:divBdr>
    </w:div>
    <w:div w:id="1506164979">
      <w:bodyDiv w:val="1"/>
      <w:marLeft w:val="0"/>
      <w:marRight w:val="0"/>
      <w:marTop w:val="0"/>
      <w:marBottom w:val="0"/>
      <w:divBdr>
        <w:top w:val="none" w:sz="0" w:space="0" w:color="auto"/>
        <w:left w:val="none" w:sz="0" w:space="0" w:color="auto"/>
        <w:bottom w:val="none" w:sz="0" w:space="0" w:color="auto"/>
        <w:right w:val="none" w:sz="0" w:space="0" w:color="auto"/>
      </w:divBdr>
    </w:div>
    <w:div w:id="1581139721">
      <w:bodyDiv w:val="1"/>
      <w:marLeft w:val="0"/>
      <w:marRight w:val="0"/>
      <w:marTop w:val="0"/>
      <w:marBottom w:val="0"/>
      <w:divBdr>
        <w:top w:val="none" w:sz="0" w:space="0" w:color="auto"/>
        <w:left w:val="none" w:sz="0" w:space="0" w:color="auto"/>
        <w:bottom w:val="none" w:sz="0" w:space="0" w:color="auto"/>
        <w:right w:val="none" w:sz="0" w:space="0" w:color="auto"/>
      </w:divBdr>
    </w:div>
    <w:div w:id="1656299704">
      <w:bodyDiv w:val="1"/>
      <w:marLeft w:val="0"/>
      <w:marRight w:val="0"/>
      <w:marTop w:val="0"/>
      <w:marBottom w:val="0"/>
      <w:divBdr>
        <w:top w:val="none" w:sz="0" w:space="0" w:color="auto"/>
        <w:left w:val="none" w:sz="0" w:space="0" w:color="auto"/>
        <w:bottom w:val="none" w:sz="0" w:space="0" w:color="auto"/>
        <w:right w:val="none" w:sz="0" w:space="0" w:color="auto"/>
      </w:divBdr>
    </w:div>
    <w:div w:id="1776561540">
      <w:bodyDiv w:val="1"/>
      <w:marLeft w:val="0"/>
      <w:marRight w:val="0"/>
      <w:marTop w:val="0"/>
      <w:marBottom w:val="0"/>
      <w:divBdr>
        <w:top w:val="none" w:sz="0" w:space="0" w:color="auto"/>
        <w:left w:val="none" w:sz="0" w:space="0" w:color="auto"/>
        <w:bottom w:val="none" w:sz="0" w:space="0" w:color="auto"/>
        <w:right w:val="none" w:sz="0" w:space="0" w:color="auto"/>
      </w:divBdr>
    </w:div>
    <w:div w:id="1842621794">
      <w:bodyDiv w:val="1"/>
      <w:marLeft w:val="0"/>
      <w:marRight w:val="0"/>
      <w:marTop w:val="0"/>
      <w:marBottom w:val="0"/>
      <w:divBdr>
        <w:top w:val="none" w:sz="0" w:space="0" w:color="auto"/>
        <w:left w:val="none" w:sz="0" w:space="0" w:color="auto"/>
        <w:bottom w:val="none" w:sz="0" w:space="0" w:color="auto"/>
        <w:right w:val="none" w:sz="0" w:space="0" w:color="auto"/>
      </w:divBdr>
    </w:div>
    <w:div w:id="1917939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5.png"/><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chart" Target="charts/chart5.xml"/><Relationship Id="rId25" Type="http://schemas.openxmlformats.org/officeDocument/2006/relationships/hyperlink" Target="http://www.secretariasenado.gov.co/senado/basedoc/acto_legislativo_04_2007.html" TargetMode="Externa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chart" Target="charts/chart6.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image" Target="media/image9.emf"/><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2.xml"/><Relationship Id="rId22" Type="http://schemas.openxmlformats.org/officeDocument/2006/relationships/footer" Target="footer1.xml"/><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ricardo.castiblanco\Desktop\HS%20Sandra%20Ortiz\Predial%20HS%20Sandra%20Ortiz\Unificado.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ricardo.castiblanco\Desktop\HS%20Sandra%20Ortiz\Predial%20HS%20Sandra%20Ortiz\Unificado.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ricardo.castiblanco\Desktop\HS%20Sandra%20Ortiz\Predial%20HS%20Sandra%20Ortiz\Unificado.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ricardo.castiblanco\Desktop\HS%20Sandra%20Ortiz\Predial%20HS%20Sandra%20Ortiz\Unificado.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ricardo.castiblanco\Desktop\HS%20Sandra%20Ortiz\Predial%20HS%20Sandra%20Ortiz\Unificado.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ricardo.castiblanco\Desktop\HS%20Sandra%20Ortiz\Predial%20HS%20Sandra%20Ortiz\Unificad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RECAUDO PREDIAL BOGOTA 2000-2015 </a:t>
            </a:r>
            <a:r>
              <a:rPr lang="en-US" sz="1400" b="0"/>
              <a:t>(COP$ Billones)</a:t>
            </a:r>
          </a:p>
        </c:rich>
      </c:tx>
      <c:overlay val="0"/>
    </c:title>
    <c:autoTitleDeleted val="0"/>
    <c:plotArea>
      <c:layout/>
      <c:lineChart>
        <c:grouping val="standard"/>
        <c:varyColors val="0"/>
        <c:ser>
          <c:idx val="0"/>
          <c:order val="0"/>
          <c:tx>
            <c:strRef>
              <c:f>UNIFICADO!$I$5</c:f>
              <c:strCache>
                <c:ptCount val="1"/>
                <c:pt idx="0">
                  <c:v>RECAUDO PREDIAL BOGOTA</c:v>
                </c:pt>
              </c:strCache>
            </c:strRef>
          </c:tx>
          <c:marker>
            <c:symbol val="none"/>
          </c:marker>
          <c:dLbls>
            <c:dLbl>
              <c:idx val="0"/>
              <c:layout>
                <c:manualLayout>
                  <c:x val="-3.5277777777777804E-2"/>
                  <c:y val="-4.3418803418803421E-2"/>
                </c:manualLayout>
              </c:layout>
              <c:numFmt formatCode="#,##0.00" sourceLinked="0"/>
              <c:spPr/>
              <c:txPr>
                <a:bodyPr/>
                <a:lstStyle/>
                <a:p>
                  <a:pPr>
                    <a:defRPr b="1"/>
                  </a:pPr>
                  <a:endParaRPr lang="es-CO"/>
                </a:p>
              </c:txPr>
              <c:showLegendKey val="0"/>
              <c:showVal val="1"/>
              <c:showCatName val="0"/>
              <c:showSerName val="0"/>
              <c:showPercent val="0"/>
              <c:showBubbleSize val="0"/>
            </c:dLbl>
            <c:dLbl>
              <c:idx val="15"/>
              <c:layout>
                <c:manualLayout>
                  <c:x val="-2.0578703703703703E-2"/>
                  <c:y val="-4.8846153846153845E-2"/>
                </c:manualLayout>
              </c:layout>
              <c:numFmt formatCode="#,##0.00" sourceLinked="0"/>
              <c:spPr/>
              <c:txPr>
                <a:bodyPr/>
                <a:lstStyle/>
                <a:p>
                  <a:pPr>
                    <a:defRPr b="1"/>
                  </a:pPr>
                  <a:endParaRPr lang="es-CO"/>
                </a:p>
              </c:txPr>
              <c:showLegendKey val="0"/>
              <c:showVal val="1"/>
              <c:showCatName val="0"/>
              <c:showSerName val="0"/>
              <c:showPercent val="0"/>
              <c:showBubbleSize val="0"/>
            </c:dLbl>
            <c:numFmt formatCode="#,##0.00" sourceLinked="0"/>
            <c:showLegendKey val="0"/>
            <c:showVal val="0"/>
            <c:showCatName val="0"/>
            <c:showSerName val="0"/>
            <c:showPercent val="0"/>
            <c:showBubbleSize val="0"/>
          </c:dLbls>
          <c:cat>
            <c:numRef>
              <c:f>UNIFICADO!$C$6:$C$21</c:f>
              <c:numCache>
                <c:formatCode>yyyy</c:formatCode>
                <c:ptCount val="16"/>
                <c:pt idx="0">
                  <c:v>36526</c:v>
                </c:pt>
                <c:pt idx="1">
                  <c:v>36892</c:v>
                </c:pt>
                <c:pt idx="2">
                  <c:v>37257</c:v>
                </c:pt>
                <c:pt idx="3">
                  <c:v>37622</c:v>
                </c:pt>
                <c:pt idx="4">
                  <c:v>37987</c:v>
                </c:pt>
                <c:pt idx="5">
                  <c:v>38353</c:v>
                </c:pt>
                <c:pt idx="6">
                  <c:v>38718</c:v>
                </c:pt>
                <c:pt idx="7">
                  <c:v>39083</c:v>
                </c:pt>
                <c:pt idx="8">
                  <c:v>39448</c:v>
                </c:pt>
                <c:pt idx="9">
                  <c:v>39814</c:v>
                </c:pt>
                <c:pt idx="10">
                  <c:v>40179</c:v>
                </c:pt>
                <c:pt idx="11">
                  <c:v>40544</c:v>
                </c:pt>
                <c:pt idx="12">
                  <c:v>40909</c:v>
                </c:pt>
                <c:pt idx="13">
                  <c:v>41275</c:v>
                </c:pt>
                <c:pt idx="14">
                  <c:v>41640</c:v>
                </c:pt>
                <c:pt idx="15">
                  <c:v>42005</c:v>
                </c:pt>
              </c:numCache>
            </c:numRef>
          </c:cat>
          <c:val>
            <c:numRef>
              <c:f>UNIFICADO!$I$6:$I$21</c:f>
              <c:numCache>
                <c:formatCode>#,##0</c:formatCode>
                <c:ptCount val="16"/>
                <c:pt idx="0">
                  <c:v>372922015000</c:v>
                </c:pt>
                <c:pt idx="1">
                  <c:v>392654195000</c:v>
                </c:pt>
                <c:pt idx="2">
                  <c:v>418026651000</c:v>
                </c:pt>
                <c:pt idx="3">
                  <c:v>466705006000</c:v>
                </c:pt>
                <c:pt idx="4">
                  <c:v>523592391000</c:v>
                </c:pt>
                <c:pt idx="5">
                  <c:v>551642521000</c:v>
                </c:pt>
                <c:pt idx="6">
                  <c:v>586930557000</c:v>
                </c:pt>
                <c:pt idx="7">
                  <c:v>641474470000</c:v>
                </c:pt>
                <c:pt idx="8">
                  <c:v>652754266000</c:v>
                </c:pt>
                <c:pt idx="9">
                  <c:v>772396024000</c:v>
                </c:pt>
                <c:pt idx="10">
                  <c:v>998032121000</c:v>
                </c:pt>
                <c:pt idx="11">
                  <c:v>1166539912000</c:v>
                </c:pt>
                <c:pt idx="12">
                  <c:v>1359489710000</c:v>
                </c:pt>
                <c:pt idx="13">
                  <c:v>1610907820000</c:v>
                </c:pt>
                <c:pt idx="14">
                  <c:v>1890258443000</c:v>
                </c:pt>
                <c:pt idx="15">
                  <c:v>2287179263000</c:v>
                </c:pt>
              </c:numCache>
            </c:numRef>
          </c:val>
          <c:smooth val="0"/>
        </c:ser>
        <c:dLbls>
          <c:showLegendKey val="0"/>
          <c:showVal val="0"/>
          <c:showCatName val="0"/>
          <c:showSerName val="0"/>
          <c:showPercent val="0"/>
          <c:showBubbleSize val="0"/>
        </c:dLbls>
        <c:marker val="1"/>
        <c:smooth val="0"/>
        <c:axId val="73369088"/>
        <c:axId val="73370624"/>
      </c:lineChart>
      <c:dateAx>
        <c:axId val="73369088"/>
        <c:scaling>
          <c:orientation val="minMax"/>
        </c:scaling>
        <c:delete val="0"/>
        <c:axPos val="b"/>
        <c:numFmt formatCode="yyyy" sourceLinked="1"/>
        <c:majorTickMark val="out"/>
        <c:minorTickMark val="none"/>
        <c:tickLblPos val="nextTo"/>
        <c:crossAx val="73370624"/>
        <c:crosses val="autoZero"/>
        <c:auto val="1"/>
        <c:lblOffset val="100"/>
        <c:baseTimeUnit val="years"/>
      </c:dateAx>
      <c:valAx>
        <c:axId val="73370624"/>
        <c:scaling>
          <c:orientation val="minMax"/>
        </c:scaling>
        <c:delete val="0"/>
        <c:axPos val="l"/>
        <c:numFmt formatCode="#,##0.000" sourceLinked="0"/>
        <c:majorTickMark val="out"/>
        <c:minorTickMark val="none"/>
        <c:tickLblPos val="nextTo"/>
        <c:crossAx val="73369088"/>
        <c:crosses val="autoZero"/>
        <c:crossBetween val="between"/>
        <c:dispUnits>
          <c:builtInUnit val="trillions"/>
          <c:dispUnitsLbl>
            <c:layout>
              <c:manualLayout>
                <c:xMode val="edge"/>
                <c:yMode val="edge"/>
                <c:x val="2.2222222222222223E-2"/>
                <c:y val="0.40776647710702829"/>
              </c:manualLayout>
            </c:layout>
          </c:dispUnitsLbl>
        </c:dispUnits>
      </c:valAx>
    </c:plotArea>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400" b="1"/>
              <a:t>VAR</a:t>
            </a:r>
            <a:r>
              <a:rPr lang="es-ES" sz="1400" b="1" baseline="0"/>
              <a:t> (%) SMLMV VS. VAR (%) RECAUDO PREDIAL BOGOTÁ D.C.</a:t>
            </a:r>
            <a:endParaRPr lang="es-ES" sz="1400" b="1"/>
          </a:p>
        </c:rich>
      </c:tx>
      <c:layout>
        <c:manualLayout>
          <c:xMode val="edge"/>
          <c:yMode val="edge"/>
          <c:x val="0.18035393518518519"/>
          <c:y val="5.4273504273504277E-3"/>
        </c:manualLayout>
      </c:layout>
      <c:overlay val="0"/>
      <c:spPr>
        <a:noFill/>
        <a:ln>
          <a:noFill/>
        </a:ln>
        <a:effectLst/>
      </c:spPr>
    </c:title>
    <c:autoTitleDeleted val="0"/>
    <c:plotArea>
      <c:layout>
        <c:manualLayout>
          <c:layoutTarget val="inner"/>
          <c:xMode val="edge"/>
          <c:yMode val="edge"/>
          <c:x val="8.9382638888888893E-2"/>
          <c:y val="0.26756837606837608"/>
          <c:w val="0.87827939814814815"/>
          <c:h val="0.58738931623931623"/>
        </c:manualLayout>
      </c:layout>
      <c:barChart>
        <c:barDir val="col"/>
        <c:grouping val="clustered"/>
        <c:varyColors val="0"/>
        <c:ser>
          <c:idx val="0"/>
          <c:order val="0"/>
          <c:tx>
            <c:strRef>
              <c:f>UNIFICADO!$G$5</c:f>
              <c:strCache>
                <c:ptCount val="1"/>
                <c:pt idx="0">
                  <c:v>Var (%) SMLMV</c:v>
                </c:pt>
              </c:strCache>
            </c:strRef>
          </c:tx>
          <c:spPr>
            <a:solidFill>
              <a:srgbClr val="00B050"/>
            </a:solidFill>
            <a:ln>
              <a:solidFill>
                <a:srgbClr val="00B050"/>
              </a:solid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a:prstDash val="sysDash"/>
              </a:ln>
            </c:spPr>
            <c:trendlineType val="linear"/>
            <c:dispRSqr val="0"/>
            <c:dispEq val="0"/>
          </c:trendline>
          <c:cat>
            <c:numRef>
              <c:f>UNIFICADO!$C$7:$C$23</c:f>
              <c:numCache>
                <c:formatCode>yyyy</c:formatCode>
                <c:ptCount val="17"/>
                <c:pt idx="0">
                  <c:v>36892</c:v>
                </c:pt>
                <c:pt idx="1">
                  <c:v>37257</c:v>
                </c:pt>
                <c:pt idx="2">
                  <c:v>37622</c:v>
                </c:pt>
                <c:pt idx="3">
                  <c:v>37987</c:v>
                </c:pt>
                <c:pt idx="4">
                  <c:v>38353</c:v>
                </c:pt>
                <c:pt idx="5">
                  <c:v>38718</c:v>
                </c:pt>
                <c:pt idx="6">
                  <c:v>39083</c:v>
                </c:pt>
                <c:pt idx="7">
                  <c:v>39448</c:v>
                </c:pt>
                <c:pt idx="8">
                  <c:v>39814</c:v>
                </c:pt>
                <c:pt idx="9">
                  <c:v>40179</c:v>
                </c:pt>
                <c:pt idx="10">
                  <c:v>40544</c:v>
                </c:pt>
                <c:pt idx="11">
                  <c:v>40909</c:v>
                </c:pt>
                <c:pt idx="12">
                  <c:v>41275</c:v>
                </c:pt>
                <c:pt idx="13">
                  <c:v>41640</c:v>
                </c:pt>
                <c:pt idx="14">
                  <c:v>42005</c:v>
                </c:pt>
                <c:pt idx="15">
                  <c:v>42370</c:v>
                </c:pt>
                <c:pt idx="16">
                  <c:v>42736</c:v>
                </c:pt>
              </c:numCache>
            </c:numRef>
          </c:cat>
          <c:val>
            <c:numRef>
              <c:f>UNIFICADO!$G$7:$G$23</c:f>
              <c:numCache>
                <c:formatCode>0.00%</c:formatCode>
                <c:ptCount val="17"/>
                <c:pt idx="0">
                  <c:v>9.9577085736255289E-2</c:v>
                </c:pt>
                <c:pt idx="1">
                  <c:v>8.0419580419580416E-2</c:v>
                </c:pt>
                <c:pt idx="2">
                  <c:v>7.4433656957928807E-2</c:v>
                </c:pt>
                <c:pt idx="3">
                  <c:v>7.8313253012048195E-2</c:v>
                </c:pt>
                <c:pt idx="4">
                  <c:v>6.5642458100558659E-2</c:v>
                </c:pt>
                <c:pt idx="5">
                  <c:v>6.9462647444298822E-2</c:v>
                </c:pt>
                <c:pt idx="6">
                  <c:v>6.2990196078431371E-2</c:v>
                </c:pt>
                <c:pt idx="7">
                  <c:v>6.4099608023979709E-2</c:v>
                </c:pt>
                <c:pt idx="8">
                  <c:v>7.6706392199349951E-2</c:v>
                </c:pt>
                <c:pt idx="9">
                  <c:v>3.6425840209297643E-2</c:v>
                </c:pt>
                <c:pt idx="10">
                  <c:v>0.04</c:v>
                </c:pt>
                <c:pt idx="11">
                  <c:v>5.8065720687079908E-2</c:v>
                </c:pt>
                <c:pt idx="12">
                  <c:v>4.0232927474854421E-2</c:v>
                </c:pt>
                <c:pt idx="13">
                  <c:v>4.4953350296861747E-2</c:v>
                </c:pt>
                <c:pt idx="14">
                  <c:v>4.6022727272727271E-2</c:v>
                </c:pt>
                <c:pt idx="15">
                  <c:v>7.0000775975789561E-2</c:v>
                </c:pt>
                <c:pt idx="16">
                  <c:v>7.0000217563147699E-2</c:v>
                </c:pt>
              </c:numCache>
            </c:numRef>
          </c:val>
          <c:extLst xmlns:c16r2="http://schemas.microsoft.com/office/drawing/2015/06/chart">
            <c:ext xmlns:c16="http://schemas.microsoft.com/office/drawing/2014/chart" uri="{C3380CC4-5D6E-409C-BE32-E72D297353CC}">
              <c16:uniqueId val="{00000000-5B70-4EA7-8589-9AE6F705B083}"/>
            </c:ext>
          </c:extLst>
        </c:ser>
        <c:ser>
          <c:idx val="1"/>
          <c:order val="1"/>
          <c:tx>
            <c:strRef>
              <c:f>UNIFICADO!$J$5</c:f>
              <c:strCache>
                <c:ptCount val="1"/>
                <c:pt idx="0">
                  <c:v>Var (%) recaudo predial Btá</c:v>
                </c:pt>
              </c:strCache>
            </c:strRef>
          </c:tx>
          <c:spPr>
            <a:solidFill>
              <a:srgbClr val="FF0000"/>
            </a:solidFill>
            <a:ln>
              <a:solidFill>
                <a:srgbClr val="FF0000"/>
              </a:solid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a:prstDash val="sysDash"/>
              </a:ln>
            </c:spPr>
            <c:trendlineType val="linear"/>
            <c:dispRSqr val="0"/>
            <c:dispEq val="0"/>
          </c:trendline>
          <c:cat>
            <c:numRef>
              <c:f>UNIFICADO!$C$7:$C$23</c:f>
              <c:numCache>
                <c:formatCode>yyyy</c:formatCode>
                <c:ptCount val="17"/>
                <c:pt idx="0">
                  <c:v>36892</c:v>
                </c:pt>
                <c:pt idx="1">
                  <c:v>37257</c:v>
                </c:pt>
                <c:pt idx="2">
                  <c:v>37622</c:v>
                </c:pt>
                <c:pt idx="3">
                  <c:v>37987</c:v>
                </c:pt>
                <c:pt idx="4">
                  <c:v>38353</c:v>
                </c:pt>
                <c:pt idx="5">
                  <c:v>38718</c:v>
                </c:pt>
                <c:pt idx="6">
                  <c:v>39083</c:v>
                </c:pt>
                <c:pt idx="7">
                  <c:v>39448</c:v>
                </c:pt>
                <c:pt idx="8">
                  <c:v>39814</c:v>
                </c:pt>
                <c:pt idx="9">
                  <c:v>40179</c:v>
                </c:pt>
                <c:pt idx="10">
                  <c:v>40544</c:v>
                </c:pt>
                <c:pt idx="11">
                  <c:v>40909</c:v>
                </c:pt>
                <c:pt idx="12">
                  <c:v>41275</c:v>
                </c:pt>
                <c:pt idx="13">
                  <c:v>41640</c:v>
                </c:pt>
                <c:pt idx="14">
                  <c:v>42005</c:v>
                </c:pt>
                <c:pt idx="15">
                  <c:v>42370</c:v>
                </c:pt>
                <c:pt idx="16">
                  <c:v>42736</c:v>
                </c:pt>
              </c:numCache>
            </c:numRef>
          </c:cat>
          <c:val>
            <c:numRef>
              <c:f>UNIFICADO!$J$7:$J$23</c:f>
              <c:numCache>
                <c:formatCode>0.00%</c:formatCode>
                <c:ptCount val="17"/>
                <c:pt idx="0">
                  <c:v>5.2912349516292298E-2</c:v>
                </c:pt>
                <c:pt idx="1">
                  <c:v>6.461781466514066E-2</c:v>
                </c:pt>
                <c:pt idx="2">
                  <c:v>0.11644797020369881</c:v>
                </c:pt>
                <c:pt idx="3">
                  <c:v>0.12189152520039608</c:v>
                </c:pt>
                <c:pt idx="4">
                  <c:v>5.3572455372064412E-2</c:v>
                </c:pt>
                <c:pt idx="5">
                  <c:v>6.3969028232325115E-2</c:v>
                </c:pt>
                <c:pt idx="6">
                  <c:v>9.2930777499117323E-2</c:v>
                </c:pt>
                <c:pt idx="7">
                  <c:v>1.7584169795564895E-2</c:v>
                </c:pt>
                <c:pt idx="8">
                  <c:v>0.18328759263903455</c:v>
                </c:pt>
                <c:pt idx="9">
                  <c:v>0.29212488152321198</c:v>
                </c:pt>
                <c:pt idx="10">
                  <c:v>0.1688400477843939</c:v>
                </c:pt>
                <c:pt idx="11">
                  <c:v>0.16540351171456533</c:v>
                </c:pt>
                <c:pt idx="12">
                  <c:v>0.18493564765561926</c:v>
                </c:pt>
                <c:pt idx="13">
                  <c:v>0.17341192309811992</c:v>
                </c:pt>
                <c:pt idx="14">
                  <c:v>0.20998230240413746</c:v>
                </c:pt>
                <c:pt idx="15">
                  <c:v>-2.6402062192446521E-2</c:v>
                </c:pt>
                <c:pt idx="16">
                  <c:v>8.5481128729895384E-2</c:v>
                </c:pt>
              </c:numCache>
            </c:numRef>
          </c:val>
          <c:extLst xmlns:c16r2="http://schemas.microsoft.com/office/drawing/2015/06/chart">
            <c:ext xmlns:c16="http://schemas.microsoft.com/office/drawing/2014/chart" uri="{C3380CC4-5D6E-409C-BE32-E72D297353CC}">
              <c16:uniqueId val="{00000001-5B70-4EA7-8589-9AE6F705B083}"/>
            </c:ext>
          </c:extLst>
        </c:ser>
        <c:dLbls>
          <c:showLegendKey val="0"/>
          <c:showVal val="0"/>
          <c:showCatName val="0"/>
          <c:showSerName val="0"/>
          <c:showPercent val="0"/>
          <c:showBubbleSize val="0"/>
        </c:dLbls>
        <c:gapWidth val="75"/>
        <c:overlap val="-25"/>
        <c:axId val="74009984"/>
        <c:axId val="74028160"/>
      </c:barChart>
      <c:dateAx>
        <c:axId val="74009984"/>
        <c:scaling>
          <c:orientation val="minMax"/>
          <c:max val="42005"/>
          <c:min val="39448"/>
        </c:scaling>
        <c:delete val="0"/>
        <c:axPos val="b"/>
        <c:numFmt formatCode="yyyy" sourceLinked="0"/>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74028160"/>
        <c:crosses val="autoZero"/>
        <c:auto val="1"/>
        <c:lblOffset val="100"/>
        <c:baseTimeUnit val="years"/>
      </c:dateAx>
      <c:valAx>
        <c:axId val="74028160"/>
        <c:scaling>
          <c:orientation val="minMax"/>
          <c:max val="0.30000000000000004"/>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74009984"/>
        <c:crosses val="autoZero"/>
        <c:crossBetween val="between"/>
      </c:valAx>
      <c:spPr>
        <a:noFill/>
        <a:ln>
          <a:noFill/>
        </a:ln>
        <a:effectLst/>
      </c:spPr>
    </c:plotArea>
    <c:legend>
      <c:legendPos val="b"/>
      <c:legendEntry>
        <c:idx val="2"/>
        <c:delete val="1"/>
      </c:legendEntry>
      <c:legendEntry>
        <c:idx val="3"/>
        <c:delete val="1"/>
      </c:legendEntry>
      <c:layout>
        <c:manualLayout>
          <c:xMode val="edge"/>
          <c:yMode val="edge"/>
          <c:x val="2.3597937522945322E-2"/>
          <c:y val="0.90841282051282046"/>
          <c:w val="0.94723697116148586"/>
          <c:h val="9.15871794871794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C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400" b="1"/>
              <a:t>VAR</a:t>
            </a:r>
            <a:r>
              <a:rPr lang="es-ES" sz="1400" b="1" baseline="0"/>
              <a:t> (%) PIB NOMINAL VS. VAR (%) RECAUDO PREDIAL BOGOTÁ D.C.</a:t>
            </a:r>
            <a:endParaRPr lang="es-ES" sz="1400" b="1"/>
          </a:p>
        </c:rich>
      </c:tx>
      <c:layout>
        <c:manualLayout>
          <c:xMode val="edge"/>
          <c:yMode val="edge"/>
          <c:x val="0.12743726851851853"/>
          <c:y val="5.4273504273504277E-3"/>
        </c:manualLayout>
      </c:layout>
      <c:overlay val="0"/>
      <c:spPr>
        <a:noFill/>
        <a:ln>
          <a:noFill/>
        </a:ln>
        <a:effectLst/>
      </c:spPr>
    </c:title>
    <c:autoTitleDeleted val="0"/>
    <c:plotArea>
      <c:layout>
        <c:manualLayout>
          <c:layoutTarget val="inner"/>
          <c:xMode val="edge"/>
          <c:yMode val="edge"/>
          <c:x val="8.9382638888888893E-2"/>
          <c:y val="0.26756837606837608"/>
          <c:w val="0.87827939814814815"/>
          <c:h val="0.58738931623931623"/>
        </c:manualLayout>
      </c:layout>
      <c:barChart>
        <c:barDir val="col"/>
        <c:grouping val="clustered"/>
        <c:varyColors val="0"/>
        <c:ser>
          <c:idx val="0"/>
          <c:order val="0"/>
          <c:tx>
            <c:strRef>
              <c:f>UNIFICADO!$E$5</c:f>
              <c:strCache>
                <c:ptCount val="1"/>
                <c:pt idx="0">
                  <c:v>Var (%) PIB Nom.</c:v>
                </c:pt>
              </c:strCache>
            </c:strRef>
          </c:tx>
          <c:spPr>
            <a:solidFill>
              <a:srgbClr val="00B050"/>
            </a:solidFill>
            <a:ln>
              <a:solidFill>
                <a:srgbClr val="00B050"/>
              </a:solid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trendlineType val="linear"/>
            <c:dispRSqr val="0"/>
            <c:dispEq val="0"/>
          </c:trendline>
          <c:cat>
            <c:numRef>
              <c:f>UNIFICADO!$C$7:$C$23</c:f>
              <c:numCache>
                <c:formatCode>yyyy</c:formatCode>
                <c:ptCount val="17"/>
                <c:pt idx="0">
                  <c:v>36892</c:v>
                </c:pt>
                <c:pt idx="1">
                  <c:v>37257</c:v>
                </c:pt>
                <c:pt idx="2">
                  <c:v>37622</c:v>
                </c:pt>
                <c:pt idx="3">
                  <c:v>37987</c:v>
                </c:pt>
                <c:pt idx="4">
                  <c:v>38353</c:v>
                </c:pt>
                <c:pt idx="5">
                  <c:v>38718</c:v>
                </c:pt>
                <c:pt idx="6">
                  <c:v>39083</c:v>
                </c:pt>
                <c:pt idx="7">
                  <c:v>39448</c:v>
                </c:pt>
                <c:pt idx="8">
                  <c:v>39814</c:v>
                </c:pt>
                <c:pt idx="9">
                  <c:v>40179</c:v>
                </c:pt>
                <c:pt idx="10">
                  <c:v>40544</c:v>
                </c:pt>
                <c:pt idx="11">
                  <c:v>40909</c:v>
                </c:pt>
                <c:pt idx="12">
                  <c:v>41275</c:v>
                </c:pt>
                <c:pt idx="13">
                  <c:v>41640</c:v>
                </c:pt>
                <c:pt idx="14">
                  <c:v>42005</c:v>
                </c:pt>
                <c:pt idx="15">
                  <c:v>42370</c:v>
                </c:pt>
                <c:pt idx="16">
                  <c:v>42736</c:v>
                </c:pt>
              </c:numCache>
            </c:numRef>
          </c:cat>
          <c:val>
            <c:numRef>
              <c:f>UNIFICADO!$E$7:$E$23</c:f>
              <c:numCache>
                <c:formatCode>0.00%</c:formatCode>
                <c:ptCount val="17"/>
                <c:pt idx="0">
                  <c:v>8.305719533306799E-2</c:v>
                </c:pt>
                <c:pt idx="1">
                  <c:v>8.621613364563363E-2</c:v>
                </c:pt>
                <c:pt idx="2">
                  <c:v>0.11014866115284747</c:v>
                </c:pt>
                <c:pt idx="3">
                  <c:v>0.13004461253189889</c:v>
                </c:pt>
                <c:pt idx="4">
                  <c:v>0.10525665936665345</c:v>
                </c:pt>
                <c:pt idx="5">
                  <c:v>0.12859393925140231</c:v>
                </c:pt>
                <c:pt idx="6">
                  <c:v>0.12288159875800343</c:v>
                </c:pt>
                <c:pt idx="7">
                  <c:v>0.11370490312523197</c:v>
                </c:pt>
                <c:pt idx="8">
                  <c:v>5.1157394388933672E-2</c:v>
                </c:pt>
                <c:pt idx="9">
                  <c:v>7.9812225179184654E-2</c:v>
                </c:pt>
                <c:pt idx="10">
                  <c:v>0.1375788183306296</c:v>
                </c:pt>
                <c:pt idx="11">
                  <c:v>7.1538037148286646E-2</c:v>
                </c:pt>
                <c:pt idx="12">
                  <c:v>6.9638985908707693E-2</c:v>
                </c:pt>
                <c:pt idx="13">
                  <c:v>6.5542852397687812E-2</c:v>
                </c:pt>
                <c:pt idx="14">
                  <c:v>5.5803662829479635E-2</c:v>
                </c:pt>
                <c:pt idx="15">
                  <c:v>7.9271923854514884E-2</c:v>
                </c:pt>
                <c:pt idx="16">
                  <c:v>5.9361950405000002E-2</c:v>
                </c:pt>
              </c:numCache>
            </c:numRef>
          </c:val>
          <c:extLst xmlns:c16r2="http://schemas.microsoft.com/office/drawing/2015/06/chart">
            <c:ext xmlns:c16="http://schemas.microsoft.com/office/drawing/2014/chart" uri="{C3380CC4-5D6E-409C-BE32-E72D297353CC}">
              <c16:uniqueId val="{00000000-5B70-4EA7-8589-9AE6F705B083}"/>
            </c:ext>
          </c:extLst>
        </c:ser>
        <c:ser>
          <c:idx val="1"/>
          <c:order val="1"/>
          <c:tx>
            <c:strRef>
              <c:f>UNIFICADO!$J$5</c:f>
              <c:strCache>
                <c:ptCount val="1"/>
                <c:pt idx="0">
                  <c:v>Var (%) recaudo predial Btá</c:v>
                </c:pt>
              </c:strCache>
            </c:strRef>
          </c:tx>
          <c:spPr>
            <a:solidFill>
              <a:srgbClr val="FF0000"/>
            </a:solidFill>
            <a:ln>
              <a:solidFill>
                <a:srgbClr val="FF0000"/>
              </a:solid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trendlineType val="linear"/>
            <c:dispRSqr val="0"/>
            <c:dispEq val="0"/>
          </c:trendline>
          <c:cat>
            <c:numRef>
              <c:f>UNIFICADO!$C$7:$C$23</c:f>
              <c:numCache>
                <c:formatCode>yyyy</c:formatCode>
                <c:ptCount val="17"/>
                <c:pt idx="0">
                  <c:v>36892</c:v>
                </c:pt>
                <c:pt idx="1">
                  <c:v>37257</c:v>
                </c:pt>
                <c:pt idx="2">
                  <c:v>37622</c:v>
                </c:pt>
                <c:pt idx="3">
                  <c:v>37987</c:v>
                </c:pt>
                <c:pt idx="4">
                  <c:v>38353</c:v>
                </c:pt>
                <c:pt idx="5">
                  <c:v>38718</c:v>
                </c:pt>
                <c:pt idx="6">
                  <c:v>39083</c:v>
                </c:pt>
                <c:pt idx="7">
                  <c:v>39448</c:v>
                </c:pt>
                <c:pt idx="8">
                  <c:v>39814</c:v>
                </c:pt>
                <c:pt idx="9">
                  <c:v>40179</c:v>
                </c:pt>
                <c:pt idx="10">
                  <c:v>40544</c:v>
                </c:pt>
                <c:pt idx="11">
                  <c:v>40909</c:v>
                </c:pt>
                <c:pt idx="12">
                  <c:v>41275</c:v>
                </c:pt>
                <c:pt idx="13">
                  <c:v>41640</c:v>
                </c:pt>
                <c:pt idx="14">
                  <c:v>42005</c:v>
                </c:pt>
                <c:pt idx="15">
                  <c:v>42370</c:v>
                </c:pt>
                <c:pt idx="16">
                  <c:v>42736</c:v>
                </c:pt>
              </c:numCache>
            </c:numRef>
          </c:cat>
          <c:val>
            <c:numRef>
              <c:f>UNIFICADO!$J$7:$J$23</c:f>
              <c:numCache>
                <c:formatCode>0.00%</c:formatCode>
                <c:ptCount val="17"/>
                <c:pt idx="0">
                  <c:v>5.2912349516292298E-2</c:v>
                </c:pt>
                <c:pt idx="1">
                  <c:v>6.461781466514066E-2</c:v>
                </c:pt>
                <c:pt idx="2">
                  <c:v>0.11644797020369881</c:v>
                </c:pt>
                <c:pt idx="3">
                  <c:v>0.12189152520039608</c:v>
                </c:pt>
                <c:pt idx="4">
                  <c:v>5.3572455372064412E-2</c:v>
                </c:pt>
                <c:pt idx="5">
                  <c:v>6.3969028232325115E-2</c:v>
                </c:pt>
                <c:pt idx="6">
                  <c:v>9.2930777499117323E-2</c:v>
                </c:pt>
                <c:pt idx="7">
                  <c:v>1.7584169795564895E-2</c:v>
                </c:pt>
                <c:pt idx="8">
                  <c:v>0.18328759263903455</c:v>
                </c:pt>
                <c:pt idx="9">
                  <c:v>0.29212488152321198</c:v>
                </c:pt>
                <c:pt idx="10">
                  <c:v>0.1688400477843939</c:v>
                </c:pt>
                <c:pt idx="11">
                  <c:v>0.16540351171456533</c:v>
                </c:pt>
                <c:pt idx="12">
                  <c:v>0.18493564765561926</c:v>
                </c:pt>
                <c:pt idx="13">
                  <c:v>0.17341192309811992</c:v>
                </c:pt>
                <c:pt idx="14">
                  <c:v>0.20998230240413746</c:v>
                </c:pt>
                <c:pt idx="15">
                  <c:v>-2.6402062192446521E-2</c:v>
                </c:pt>
                <c:pt idx="16">
                  <c:v>8.5481128729895384E-2</c:v>
                </c:pt>
              </c:numCache>
            </c:numRef>
          </c:val>
          <c:extLst xmlns:c16r2="http://schemas.microsoft.com/office/drawing/2015/06/chart">
            <c:ext xmlns:c16="http://schemas.microsoft.com/office/drawing/2014/chart" uri="{C3380CC4-5D6E-409C-BE32-E72D297353CC}">
              <c16:uniqueId val="{00000001-5B70-4EA7-8589-9AE6F705B083}"/>
            </c:ext>
          </c:extLst>
        </c:ser>
        <c:dLbls>
          <c:showLegendKey val="0"/>
          <c:showVal val="0"/>
          <c:showCatName val="0"/>
          <c:showSerName val="0"/>
          <c:showPercent val="0"/>
          <c:showBubbleSize val="0"/>
        </c:dLbls>
        <c:gapWidth val="75"/>
        <c:overlap val="-25"/>
        <c:axId val="73811840"/>
        <c:axId val="73813376"/>
      </c:barChart>
      <c:dateAx>
        <c:axId val="73811840"/>
        <c:scaling>
          <c:orientation val="minMax"/>
          <c:max val="42005"/>
          <c:min val="39448"/>
        </c:scaling>
        <c:delete val="0"/>
        <c:axPos val="b"/>
        <c:numFmt formatCode="yyyy" sourceLinked="0"/>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73813376"/>
        <c:crosses val="autoZero"/>
        <c:auto val="1"/>
        <c:lblOffset val="100"/>
        <c:baseTimeUnit val="years"/>
      </c:dateAx>
      <c:valAx>
        <c:axId val="73813376"/>
        <c:scaling>
          <c:orientation val="minMax"/>
          <c:max val="0.30000000000000004"/>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73811840"/>
        <c:crosses val="autoZero"/>
        <c:crossBetween val="between"/>
      </c:valAx>
      <c:spPr>
        <a:noFill/>
        <a:ln>
          <a:noFill/>
        </a:ln>
        <a:effectLst/>
      </c:spPr>
    </c:plotArea>
    <c:legend>
      <c:legendPos val="b"/>
      <c:legendEntry>
        <c:idx val="2"/>
        <c:delete val="1"/>
      </c:legendEntry>
      <c:legendEntry>
        <c:idx val="3"/>
        <c:delete val="1"/>
      </c:legendEntry>
      <c:layout>
        <c:manualLayout>
          <c:xMode val="edge"/>
          <c:yMode val="edge"/>
          <c:x val="2.3597937522945322E-2"/>
          <c:y val="0.90841282051282046"/>
          <c:w val="0.94723697116148586"/>
          <c:h val="9.15871794871794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CO"/>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400" b="1"/>
              <a:t>VARIACIÓN</a:t>
            </a:r>
            <a:r>
              <a:rPr lang="es-ES" sz="1400" b="1" baseline="0"/>
              <a:t> (%) IPC VS. VAR (%) RECAUDO PREDIAL BOGOTÁ D.C.</a:t>
            </a:r>
            <a:endParaRPr lang="es-ES" sz="1400" b="1"/>
          </a:p>
        </c:rich>
      </c:tx>
      <c:layout>
        <c:manualLayout>
          <c:xMode val="edge"/>
          <c:yMode val="edge"/>
          <c:x val="0.13020787037037038"/>
          <c:y val="1.621604366840106E-2"/>
        </c:manualLayout>
      </c:layout>
      <c:overlay val="0"/>
      <c:spPr>
        <a:noFill/>
        <a:ln>
          <a:noFill/>
        </a:ln>
        <a:effectLst/>
      </c:spPr>
    </c:title>
    <c:autoTitleDeleted val="0"/>
    <c:plotArea>
      <c:layout>
        <c:manualLayout>
          <c:layoutTarget val="inner"/>
          <c:xMode val="edge"/>
          <c:yMode val="edge"/>
          <c:x val="9.7481944444444441E-2"/>
          <c:y val="0.24961896553558699"/>
          <c:w val="0.87018009259259255"/>
          <c:h val="0.63754375884487291"/>
        </c:manualLayout>
      </c:layout>
      <c:barChart>
        <c:barDir val="col"/>
        <c:grouping val="clustered"/>
        <c:varyColors val="0"/>
        <c:ser>
          <c:idx val="0"/>
          <c:order val="0"/>
          <c:tx>
            <c:strRef>
              <c:f>UNIFICADO!$R$5</c:f>
              <c:strCache>
                <c:ptCount val="1"/>
                <c:pt idx="0">
                  <c:v>Variación IPC</c:v>
                </c:pt>
              </c:strCache>
            </c:strRef>
          </c:tx>
          <c:spPr>
            <a:solidFill>
              <a:srgbClr val="00B050"/>
            </a:solidFill>
            <a:ln>
              <a:solidFill>
                <a:srgbClr val="00B050"/>
              </a:solid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UNIFICADO!$C$7:$C$23</c:f>
              <c:numCache>
                <c:formatCode>yyyy</c:formatCode>
                <c:ptCount val="17"/>
                <c:pt idx="0">
                  <c:v>36892</c:v>
                </c:pt>
                <c:pt idx="1">
                  <c:v>37257</c:v>
                </c:pt>
                <c:pt idx="2">
                  <c:v>37622</c:v>
                </c:pt>
                <c:pt idx="3">
                  <c:v>37987</c:v>
                </c:pt>
                <c:pt idx="4">
                  <c:v>38353</c:v>
                </c:pt>
                <c:pt idx="5">
                  <c:v>38718</c:v>
                </c:pt>
                <c:pt idx="6">
                  <c:v>39083</c:v>
                </c:pt>
                <c:pt idx="7">
                  <c:v>39448</c:v>
                </c:pt>
                <c:pt idx="8">
                  <c:v>39814</c:v>
                </c:pt>
                <c:pt idx="9">
                  <c:v>40179</c:v>
                </c:pt>
                <c:pt idx="10">
                  <c:v>40544</c:v>
                </c:pt>
                <c:pt idx="11">
                  <c:v>40909</c:v>
                </c:pt>
                <c:pt idx="12">
                  <c:v>41275</c:v>
                </c:pt>
                <c:pt idx="13">
                  <c:v>41640</c:v>
                </c:pt>
                <c:pt idx="14">
                  <c:v>42005</c:v>
                </c:pt>
                <c:pt idx="15">
                  <c:v>42370</c:v>
                </c:pt>
                <c:pt idx="16">
                  <c:v>42736</c:v>
                </c:pt>
              </c:numCache>
            </c:numRef>
          </c:cat>
          <c:val>
            <c:numRef>
              <c:f>UNIFICADO!$R$7:$R$23</c:f>
              <c:numCache>
                <c:formatCode>0.00%</c:formatCode>
                <c:ptCount val="17"/>
                <c:pt idx="0">
                  <c:v>7.6464000000000004E-2</c:v>
                </c:pt>
                <c:pt idx="1">
                  <c:v>6.9928000000000004E-2</c:v>
                </c:pt>
                <c:pt idx="2">
                  <c:v>6.4906000000000005E-2</c:v>
                </c:pt>
                <c:pt idx="3">
                  <c:v>5.4975000000000003E-2</c:v>
                </c:pt>
                <c:pt idx="4">
                  <c:v>4.8549000000000002E-2</c:v>
                </c:pt>
                <c:pt idx="5">
                  <c:v>4.4778999999999999E-2</c:v>
                </c:pt>
                <c:pt idx="6">
                  <c:v>5.6940999999999999E-2</c:v>
                </c:pt>
                <c:pt idx="7">
                  <c:v>7.6747999999999997E-2</c:v>
                </c:pt>
                <c:pt idx="8">
                  <c:v>2.0018080000000001E-2</c:v>
                </c:pt>
                <c:pt idx="9">
                  <c:v>3.1712219999999999E-2</c:v>
                </c:pt>
                <c:pt idx="10">
                  <c:v>3.7257869999999998E-2</c:v>
                </c:pt>
                <c:pt idx="11">
                  <c:v>2.4353449999999999E-2</c:v>
                </c:pt>
                <c:pt idx="12">
                  <c:v>1.937815E-2</c:v>
                </c:pt>
                <c:pt idx="13">
                  <c:v>3.65768E-2</c:v>
                </c:pt>
                <c:pt idx="14">
                  <c:v>6.7690890000000004E-2</c:v>
                </c:pt>
                <c:pt idx="15">
                  <c:v>5.7474079999999997E-2</c:v>
                </c:pt>
                <c:pt idx="16">
                  <c:v>4.0886220000000001E-2</c:v>
                </c:pt>
              </c:numCache>
            </c:numRef>
          </c:val>
          <c:extLst xmlns:c16r2="http://schemas.microsoft.com/office/drawing/2015/06/chart">
            <c:ext xmlns:c16="http://schemas.microsoft.com/office/drawing/2014/chart" uri="{C3380CC4-5D6E-409C-BE32-E72D297353CC}">
              <c16:uniqueId val="{00000001-298B-4E15-8485-425CAF5B9DC7}"/>
            </c:ext>
          </c:extLst>
        </c:ser>
        <c:ser>
          <c:idx val="1"/>
          <c:order val="1"/>
          <c:tx>
            <c:strRef>
              <c:f>UNIFICADO!$J$5</c:f>
              <c:strCache>
                <c:ptCount val="1"/>
                <c:pt idx="0">
                  <c:v>Var (%) recaudo predial Btá</c:v>
                </c:pt>
              </c:strCache>
            </c:strRef>
          </c:tx>
          <c:spPr>
            <a:solidFill>
              <a:srgbClr val="FF0000"/>
            </a:solidFill>
            <a:ln>
              <a:solidFill>
                <a:srgbClr val="FF0000"/>
              </a:solid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UNIFICADO!$C$7:$C$23</c:f>
              <c:numCache>
                <c:formatCode>yyyy</c:formatCode>
                <c:ptCount val="17"/>
                <c:pt idx="0">
                  <c:v>36892</c:v>
                </c:pt>
                <c:pt idx="1">
                  <c:v>37257</c:v>
                </c:pt>
                <c:pt idx="2">
                  <c:v>37622</c:v>
                </c:pt>
                <c:pt idx="3">
                  <c:v>37987</c:v>
                </c:pt>
                <c:pt idx="4">
                  <c:v>38353</c:v>
                </c:pt>
                <c:pt idx="5">
                  <c:v>38718</c:v>
                </c:pt>
                <c:pt idx="6">
                  <c:v>39083</c:v>
                </c:pt>
                <c:pt idx="7">
                  <c:v>39448</c:v>
                </c:pt>
                <c:pt idx="8">
                  <c:v>39814</c:v>
                </c:pt>
                <c:pt idx="9">
                  <c:v>40179</c:v>
                </c:pt>
                <c:pt idx="10">
                  <c:v>40544</c:v>
                </c:pt>
                <c:pt idx="11">
                  <c:v>40909</c:v>
                </c:pt>
                <c:pt idx="12">
                  <c:v>41275</c:v>
                </c:pt>
                <c:pt idx="13">
                  <c:v>41640</c:v>
                </c:pt>
                <c:pt idx="14">
                  <c:v>42005</c:v>
                </c:pt>
                <c:pt idx="15">
                  <c:v>42370</c:v>
                </c:pt>
                <c:pt idx="16">
                  <c:v>42736</c:v>
                </c:pt>
              </c:numCache>
            </c:numRef>
          </c:cat>
          <c:val>
            <c:numRef>
              <c:f>UNIFICADO!$J$7:$J$23</c:f>
              <c:numCache>
                <c:formatCode>0.00%</c:formatCode>
                <c:ptCount val="17"/>
                <c:pt idx="0">
                  <c:v>5.2912349516292298E-2</c:v>
                </c:pt>
                <c:pt idx="1">
                  <c:v>6.461781466514066E-2</c:v>
                </c:pt>
                <c:pt idx="2">
                  <c:v>0.11644797020369881</c:v>
                </c:pt>
                <c:pt idx="3">
                  <c:v>0.12189152520039608</c:v>
                </c:pt>
                <c:pt idx="4">
                  <c:v>5.3572455372064412E-2</c:v>
                </c:pt>
                <c:pt idx="5">
                  <c:v>6.3969028232325115E-2</c:v>
                </c:pt>
                <c:pt idx="6">
                  <c:v>9.2930777499117323E-2</c:v>
                </c:pt>
                <c:pt idx="7">
                  <c:v>1.7584169795564895E-2</c:v>
                </c:pt>
                <c:pt idx="8">
                  <c:v>0.18328759263903455</c:v>
                </c:pt>
                <c:pt idx="9">
                  <c:v>0.29212488152321198</c:v>
                </c:pt>
                <c:pt idx="10">
                  <c:v>0.1688400477843939</c:v>
                </c:pt>
                <c:pt idx="11">
                  <c:v>0.16540351171456533</c:v>
                </c:pt>
                <c:pt idx="12">
                  <c:v>0.18493564765561926</c:v>
                </c:pt>
                <c:pt idx="13">
                  <c:v>0.17341192309811992</c:v>
                </c:pt>
                <c:pt idx="14">
                  <c:v>0.20998230240413746</c:v>
                </c:pt>
                <c:pt idx="15">
                  <c:v>-2.6402062192446521E-2</c:v>
                </c:pt>
                <c:pt idx="16">
                  <c:v>8.5481128729895384E-2</c:v>
                </c:pt>
              </c:numCache>
            </c:numRef>
          </c:val>
          <c:extLst xmlns:c16r2="http://schemas.microsoft.com/office/drawing/2015/06/chart">
            <c:ext xmlns:c16="http://schemas.microsoft.com/office/drawing/2014/chart" uri="{C3380CC4-5D6E-409C-BE32-E72D297353CC}">
              <c16:uniqueId val="{00000003-298B-4E15-8485-425CAF5B9DC7}"/>
            </c:ext>
          </c:extLst>
        </c:ser>
        <c:dLbls>
          <c:showLegendKey val="0"/>
          <c:showVal val="0"/>
          <c:showCatName val="0"/>
          <c:showSerName val="0"/>
          <c:showPercent val="0"/>
          <c:showBubbleSize val="0"/>
        </c:dLbls>
        <c:gapWidth val="75"/>
        <c:overlap val="-25"/>
        <c:axId val="73849472"/>
        <c:axId val="112927104"/>
      </c:barChart>
      <c:dateAx>
        <c:axId val="73849472"/>
        <c:scaling>
          <c:orientation val="minMax"/>
          <c:max val="42005"/>
          <c:min val="39448"/>
        </c:scaling>
        <c:delete val="0"/>
        <c:axPos val="b"/>
        <c:numFmt formatCode="yyyy" sourceLinked="0"/>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12927104"/>
        <c:crosses val="autoZero"/>
        <c:auto val="1"/>
        <c:lblOffset val="100"/>
        <c:baseTimeUnit val="years"/>
      </c:dateAx>
      <c:valAx>
        <c:axId val="112927104"/>
        <c:scaling>
          <c:orientation val="minMax"/>
          <c:max val="0.30000000000000004"/>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73849472"/>
        <c:crosses val="autoZero"/>
        <c:crossBetween val="between"/>
      </c:valAx>
      <c:spPr>
        <a:noFill/>
        <a:ln>
          <a:noFill/>
        </a:ln>
        <a:effectLst/>
      </c:spPr>
    </c:plotArea>
    <c:legend>
      <c:legendPos val="b"/>
      <c:layout>
        <c:manualLayout>
          <c:xMode val="edge"/>
          <c:yMode val="edge"/>
          <c:x val="0.20353657407407405"/>
          <c:y val="0.89797342015939396"/>
          <c:w val="0.5929268518518519"/>
          <c:h val="9.12158840616720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CO"/>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CO" sz="1200"/>
              <a:t>Var</a:t>
            </a:r>
            <a:r>
              <a:rPr lang="es-CO" sz="1200" baseline="0"/>
              <a:t> (%) RECAUDO TOTAL, PROMEDIO Y # DE PREDIOS</a:t>
            </a:r>
            <a:endParaRPr lang="es-CO" sz="1200"/>
          </a:p>
        </c:rich>
      </c:tx>
      <c:layout>
        <c:manualLayout>
          <c:xMode val="edge"/>
          <c:yMode val="edge"/>
          <c:x val="0.11856610420407021"/>
          <c:y val="0"/>
        </c:manualLayout>
      </c:layout>
      <c:overlay val="0"/>
    </c:title>
    <c:autoTitleDeleted val="0"/>
    <c:plotArea>
      <c:layout>
        <c:manualLayout>
          <c:layoutTarget val="inner"/>
          <c:xMode val="edge"/>
          <c:yMode val="edge"/>
          <c:x val="0.10620324074074074"/>
          <c:y val="0.21208760683760683"/>
          <c:w val="0.86145879629629629"/>
          <c:h val="0.59179743589743594"/>
        </c:manualLayout>
      </c:layout>
      <c:barChart>
        <c:barDir val="col"/>
        <c:grouping val="clustered"/>
        <c:varyColors val="0"/>
        <c:ser>
          <c:idx val="1"/>
          <c:order val="0"/>
          <c:tx>
            <c:strRef>
              <c:f>UNIFICADO!$O$5</c:f>
              <c:strCache>
                <c:ptCount val="1"/>
                <c:pt idx="0">
                  <c:v>Var(%) Predios</c:v>
                </c:pt>
              </c:strCache>
            </c:strRef>
          </c:tx>
          <c:spPr>
            <a:solidFill>
              <a:srgbClr val="92D050"/>
            </a:solidFill>
          </c:spPr>
          <c:invertIfNegative val="0"/>
          <c:dLbls>
            <c:numFmt formatCode="0%" sourceLinked="0"/>
            <c:txPr>
              <a:bodyPr/>
              <a:lstStyle/>
              <a:p>
                <a:pPr>
                  <a:defRPr sz="800"/>
                </a:pPr>
                <a:endParaRPr lang="es-CO"/>
              </a:p>
            </c:txPr>
            <c:showLegendKey val="0"/>
            <c:showVal val="1"/>
            <c:showCatName val="0"/>
            <c:showSerName val="0"/>
            <c:showPercent val="0"/>
            <c:showBubbleSize val="0"/>
            <c:showLeaderLines val="0"/>
          </c:dLbls>
          <c:trendline>
            <c:spPr>
              <a:ln>
                <a:solidFill>
                  <a:srgbClr val="92D050"/>
                </a:solidFill>
                <a:prstDash val="sysDash"/>
              </a:ln>
            </c:spPr>
            <c:trendlineType val="linear"/>
            <c:dispRSqr val="0"/>
            <c:dispEq val="0"/>
          </c:trendline>
          <c:cat>
            <c:numRef>
              <c:f>UNIFICADO!$C$16:$C$21</c:f>
              <c:numCache>
                <c:formatCode>yyyy</c:formatCode>
                <c:ptCount val="6"/>
                <c:pt idx="0">
                  <c:v>40179</c:v>
                </c:pt>
                <c:pt idx="1">
                  <c:v>40544</c:v>
                </c:pt>
                <c:pt idx="2">
                  <c:v>40909</c:v>
                </c:pt>
                <c:pt idx="3">
                  <c:v>41275</c:v>
                </c:pt>
                <c:pt idx="4">
                  <c:v>41640</c:v>
                </c:pt>
                <c:pt idx="5">
                  <c:v>42005</c:v>
                </c:pt>
              </c:numCache>
            </c:numRef>
          </c:cat>
          <c:val>
            <c:numRef>
              <c:f>UNIFICADO!$O$16:$O$21</c:f>
              <c:numCache>
                <c:formatCode>0.0%</c:formatCode>
                <c:ptCount val="6"/>
                <c:pt idx="0">
                  <c:v>2.8141035146569838E-2</c:v>
                </c:pt>
                <c:pt idx="1">
                  <c:v>3.6579930770670045E-2</c:v>
                </c:pt>
                <c:pt idx="2">
                  <c:v>0.39093734585910572</c:v>
                </c:pt>
                <c:pt idx="3">
                  <c:v>6.1992743631752827E-2</c:v>
                </c:pt>
                <c:pt idx="4">
                  <c:v>-1.326588800749468E-2</c:v>
                </c:pt>
                <c:pt idx="5">
                  <c:v>-1.2212730789308249E-2</c:v>
                </c:pt>
              </c:numCache>
            </c:numRef>
          </c:val>
        </c:ser>
        <c:ser>
          <c:idx val="2"/>
          <c:order val="1"/>
          <c:tx>
            <c:strRef>
              <c:f>UNIFICADO!$Q$5</c:f>
              <c:strCache>
                <c:ptCount val="1"/>
                <c:pt idx="0">
                  <c:v>Var(%) Pago Promedio</c:v>
                </c:pt>
              </c:strCache>
            </c:strRef>
          </c:tx>
          <c:spPr>
            <a:solidFill>
              <a:srgbClr val="FF0000"/>
            </a:solidFill>
          </c:spPr>
          <c:invertIfNegative val="0"/>
          <c:dLbls>
            <c:numFmt formatCode="0%" sourceLinked="0"/>
            <c:txPr>
              <a:bodyPr/>
              <a:lstStyle/>
              <a:p>
                <a:pPr>
                  <a:defRPr sz="700"/>
                </a:pPr>
                <a:endParaRPr lang="es-CO"/>
              </a:p>
            </c:txPr>
            <c:showLegendKey val="0"/>
            <c:showVal val="1"/>
            <c:showCatName val="0"/>
            <c:showSerName val="0"/>
            <c:showPercent val="0"/>
            <c:showBubbleSize val="0"/>
            <c:showLeaderLines val="0"/>
          </c:dLbls>
          <c:trendline>
            <c:spPr>
              <a:ln>
                <a:solidFill>
                  <a:srgbClr val="FF0000"/>
                </a:solidFill>
                <a:prstDash val="sysDash"/>
              </a:ln>
            </c:spPr>
            <c:trendlineType val="linear"/>
            <c:dispRSqr val="0"/>
            <c:dispEq val="0"/>
          </c:trendline>
          <c:cat>
            <c:numRef>
              <c:f>UNIFICADO!$C$16:$C$21</c:f>
              <c:numCache>
                <c:formatCode>yyyy</c:formatCode>
                <c:ptCount val="6"/>
                <c:pt idx="0">
                  <c:v>40179</c:v>
                </c:pt>
                <c:pt idx="1">
                  <c:v>40544</c:v>
                </c:pt>
                <c:pt idx="2">
                  <c:v>40909</c:v>
                </c:pt>
                <c:pt idx="3">
                  <c:v>41275</c:v>
                </c:pt>
                <c:pt idx="4">
                  <c:v>41640</c:v>
                </c:pt>
                <c:pt idx="5">
                  <c:v>42005</c:v>
                </c:pt>
              </c:numCache>
            </c:numRef>
          </c:cat>
          <c:val>
            <c:numRef>
              <c:f>UNIFICADO!$Q$16:$Q$21</c:f>
              <c:numCache>
                <c:formatCode>0.0%</c:formatCode>
                <c:ptCount val="6"/>
                <c:pt idx="0">
                  <c:v>0.25675839923946714</c:v>
                </c:pt>
                <c:pt idx="1">
                  <c:v>0.12759278188551457</c:v>
                </c:pt>
                <c:pt idx="2">
                  <c:v>-0.16214521438795679</c:v>
                </c:pt>
                <c:pt idx="3">
                  <c:v>0.1157662373505793</c:v>
                </c:pt>
                <c:pt idx="4">
                  <c:v>0.18918755198262807</c:v>
                </c:pt>
                <c:pt idx="5">
                  <c:v>0.22494219162289317</c:v>
                </c:pt>
              </c:numCache>
            </c:numRef>
          </c:val>
        </c:ser>
        <c:ser>
          <c:idx val="0"/>
          <c:order val="2"/>
          <c:tx>
            <c:strRef>
              <c:f>UNIFICADO!$M$5</c:f>
              <c:strCache>
                <c:ptCount val="1"/>
                <c:pt idx="0">
                  <c:v>Var(%) Recaudo Total</c:v>
                </c:pt>
              </c:strCache>
            </c:strRef>
          </c:tx>
          <c:invertIfNegative val="0"/>
          <c:dLbls>
            <c:numFmt formatCode="0%" sourceLinked="0"/>
            <c:txPr>
              <a:bodyPr/>
              <a:lstStyle/>
              <a:p>
                <a:pPr>
                  <a:defRPr sz="700"/>
                </a:pPr>
                <a:endParaRPr lang="es-CO"/>
              </a:p>
            </c:txPr>
            <c:showLegendKey val="0"/>
            <c:showVal val="1"/>
            <c:showCatName val="0"/>
            <c:showSerName val="0"/>
            <c:showPercent val="0"/>
            <c:showBubbleSize val="0"/>
            <c:showLeaderLines val="0"/>
          </c:dLbls>
          <c:cat>
            <c:numRef>
              <c:f>UNIFICADO!$C$16:$C$21</c:f>
              <c:numCache>
                <c:formatCode>yyyy</c:formatCode>
                <c:ptCount val="6"/>
                <c:pt idx="0">
                  <c:v>40179</c:v>
                </c:pt>
                <c:pt idx="1">
                  <c:v>40544</c:v>
                </c:pt>
                <c:pt idx="2">
                  <c:v>40909</c:v>
                </c:pt>
                <c:pt idx="3">
                  <c:v>41275</c:v>
                </c:pt>
                <c:pt idx="4">
                  <c:v>41640</c:v>
                </c:pt>
                <c:pt idx="5">
                  <c:v>42005</c:v>
                </c:pt>
              </c:numCache>
            </c:numRef>
          </c:cat>
          <c:val>
            <c:numRef>
              <c:f>UNIFICADO!$M$16:$M$21</c:f>
              <c:numCache>
                <c:formatCode>0.0%</c:formatCode>
                <c:ptCount val="6"/>
                <c:pt idx="0">
                  <c:v>0.29212488152321198</c:v>
                </c:pt>
                <c:pt idx="1">
                  <c:v>0.1688400477843939</c:v>
                </c:pt>
                <c:pt idx="2">
                  <c:v>0.16540351171456533</c:v>
                </c:pt>
                <c:pt idx="3">
                  <c:v>0.18493564765561926</c:v>
                </c:pt>
                <c:pt idx="4">
                  <c:v>0.17341192309811992</c:v>
                </c:pt>
                <c:pt idx="5">
                  <c:v>0.20998230240413746</c:v>
                </c:pt>
              </c:numCache>
            </c:numRef>
          </c:val>
        </c:ser>
        <c:dLbls>
          <c:showLegendKey val="0"/>
          <c:showVal val="0"/>
          <c:showCatName val="0"/>
          <c:showSerName val="0"/>
          <c:showPercent val="0"/>
          <c:showBubbleSize val="0"/>
        </c:dLbls>
        <c:gapWidth val="150"/>
        <c:axId val="112976640"/>
        <c:axId val="112978176"/>
      </c:barChart>
      <c:dateAx>
        <c:axId val="112976640"/>
        <c:scaling>
          <c:orientation val="minMax"/>
        </c:scaling>
        <c:delete val="0"/>
        <c:axPos val="b"/>
        <c:numFmt formatCode="yyyy" sourceLinked="1"/>
        <c:majorTickMark val="none"/>
        <c:minorTickMark val="none"/>
        <c:tickLblPos val="low"/>
        <c:crossAx val="112978176"/>
        <c:crosses val="autoZero"/>
        <c:auto val="1"/>
        <c:lblOffset val="100"/>
        <c:baseTimeUnit val="years"/>
      </c:dateAx>
      <c:valAx>
        <c:axId val="112978176"/>
        <c:scaling>
          <c:orientation val="minMax"/>
          <c:max val="0.4"/>
        </c:scaling>
        <c:delete val="0"/>
        <c:axPos val="l"/>
        <c:numFmt formatCode="0%" sourceLinked="0"/>
        <c:majorTickMark val="none"/>
        <c:minorTickMark val="none"/>
        <c:tickLblPos val="nextTo"/>
        <c:crossAx val="112976640"/>
        <c:crosses val="autoZero"/>
        <c:crossBetween val="between"/>
      </c:valAx>
    </c:plotArea>
    <c:legend>
      <c:legendPos val="b"/>
      <c:legendEntry>
        <c:idx val="3"/>
        <c:delete val="1"/>
      </c:legendEntry>
      <c:legendEntry>
        <c:idx val="4"/>
        <c:delete val="1"/>
      </c:legendEntry>
      <c:layout>
        <c:manualLayout>
          <c:xMode val="edge"/>
          <c:yMode val="edge"/>
          <c:x val="5.000000000000001E-2"/>
          <c:y val="0.89643034188034187"/>
          <c:w val="0.90000000000000013"/>
          <c:h val="9.8142307692307695E-2"/>
        </c:manualLayout>
      </c:layout>
      <c:overlay val="0"/>
    </c:legend>
    <c:plotVisOnly val="1"/>
    <c:dispBlanksAs val="gap"/>
    <c:showDLblsOverMax val="0"/>
  </c:chart>
  <c:spPr>
    <a:noFill/>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CO" sz="1200"/>
              <a:t>Var</a:t>
            </a:r>
            <a:r>
              <a:rPr lang="es-CO" sz="1200" baseline="0"/>
              <a:t> (%) RECAUDO TOTAL, PROMEDIO Y # DE PREDIOS</a:t>
            </a:r>
            <a:endParaRPr lang="es-CO" sz="1200"/>
          </a:p>
        </c:rich>
      </c:tx>
      <c:layout>
        <c:manualLayout>
          <c:xMode val="edge"/>
          <c:yMode val="edge"/>
          <c:x val="0.11856610420407021"/>
          <c:y val="0"/>
        </c:manualLayout>
      </c:layout>
      <c:overlay val="0"/>
    </c:title>
    <c:autoTitleDeleted val="0"/>
    <c:plotArea>
      <c:layout>
        <c:manualLayout>
          <c:layoutTarget val="inner"/>
          <c:xMode val="edge"/>
          <c:yMode val="edge"/>
          <c:x val="0.10620324074074074"/>
          <c:y val="0.21208760683760683"/>
          <c:w val="0.86145879629629629"/>
          <c:h val="0.59179743589743594"/>
        </c:manualLayout>
      </c:layout>
      <c:barChart>
        <c:barDir val="col"/>
        <c:grouping val="clustered"/>
        <c:varyColors val="0"/>
        <c:ser>
          <c:idx val="1"/>
          <c:order val="0"/>
          <c:tx>
            <c:strRef>
              <c:f>UNIFICADO!$O$5</c:f>
              <c:strCache>
                <c:ptCount val="1"/>
                <c:pt idx="0">
                  <c:v>Var(%) Predios</c:v>
                </c:pt>
              </c:strCache>
            </c:strRef>
          </c:tx>
          <c:spPr>
            <a:solidFill>
              <a:srgbClr val="92D050"/>
            </a:solidFill>
          </c:spPr>
          <c:invertIfNegative val="0"/>
          <c:dLbls>
            <c:numFmt formatCode="0%" sourceLinked="0"/>
            <c:txPr>
              <a:bodyPr/>
              <a:lstStyle/>
              <a:p>
                <a:pPr>
                  <a:defRPr sz="800"/>
                </a:pPr>
                <a:endParaRPr lang="es-CO"/>
              </a:p>
            </c:txPr>
            <c:showLegendKey val="0"/>
            <c:showVal val="1"/>
            <c:showCatName val="0"/>
            <c:showSerName val="0"/>
            <c:showPercent val="0"/>
            <c:showBubbleSize val="0"/>
            <c:showLeaderLines val="0"/>
          </c:dLbls>
          <c:trendline>
            <c:spPr>
              <a:ln>
                <a:solidFill>
                  <a:srgbClr val="92D050"/>
                </a:solidFill>
                <a:prstDash val="sysDash"/>
              </a:ln>
            </c:spPr>
            <c:trendlineType val="linear"/>
            <c:dispRSqr val="0"/>
            <c:dispEq val="0"/>
          </c:trendline>
          <c:cat>
            <c:numRef>
              <c:f>UNIFICADO!$C$16:$C$21</c:f>
              <c:numCache>
                <c:formatCode>yyyy</c:formatCode>
                <c:ptCount val="6"/>
                <c:pt idx="0">
                  <c:v>40179</c:v>
                </c:pt>
                <c:pt idx="1">
                  <c:v>40544</c:v>
                </c:pt>
                <c:pt idx="2">
                  <c:v>40909</c:v>
                </c:pt>
                <c:pt idx="3">
                  <c:v>41275</c:v>
                </c:pt>
                <c:pt idx="4">
                  <c:v>41640</c:v>
                </c:pt>
                <c:pt idx="5">
                  <c:v>42005</c:v>
                </c:pt>
              </c:numCache>
            </c:numRef>
          </c:cat>
          <c:val>
            <c:numRef>
              <c:f>UNIFICADO!$O$16:$O$21</c:f>
              <c:numCache>
                <c:formatCode>0.0%</c:formatCode>
                <c:ptCount val="6"/>
                <c:pt idx="0">
                  <c:v>2.8141035146569838E-2</c:v>
                </c:pt>
                <c:pt idx="1">
                  <c:v>3.6579930770670045E-2</c:v>
                </c:pt>
                <c:pt idx="2">
                  <c:v>0.39093734585910572</c:v>
                </c:pt>
                <c:pt idx="3">
                  <c:v>6.1992743631752827E-2</c:v>
                </c:pt>
                <c:pt idx="4">
                  <c:v>-1.326588800749468E-2</c:v>
                </c:pt>
                <c:pt idx="5">
                  <c:v>-1.2212730789308249E-2</c:v>
                </c:pt>
              </c:numCache>
            </c:numRef>
          </c:val>
        </c:ser>
        <c:ser>
          <c:idx val="2"/>
          <c:order val="1"/>
          <c:tx>
            <c:strRef>
              <c:f>UNIFICADO!$Q$5</c:f>
              <c:strCache>
                <c:ptCount val="1"/>
                <c:pt idx="0">
                  <c:v>Var(%) Pago Promedio</c:v>
                </c:pt>
              </c:strCache>
            </c:strRef>
          </c:tx>
          <c:spPr>
            <a:solidFill>
              <a:srgbClr val="FF0000"/>
            </a:solidFill>
          </c:spPr>
          <c:invertIfNegative val="0"/>
          <c:dLbls>
            <c:numFmt formatCode="0%" sourceLinked="0"/>
            <c:txPr>
              <a:bodyPr/>
              <a:lstStyle/>
              <a:p>
                <a:pPr>
                  <a:defRPr sz="700"/>
                </a:pPr>
                <a:endParaRPr lang="es-CO"/>
              </a:p>
            </c:txPr>
            <c:showLegendKey val="0"/>
            <c:showVal val="1"/>
            <c:showCatName val="0"/>
            <c:showSerName val="0"/>
            <c:showPercent val="0"/>
            <c:showBubbleSize val="0"/>
            <c:showLeaderLines val="0"/>
          </c:dLbls>
          <c:trendline>
            <c:spPr>
              <a:ln>
                <a:solidFill>
                  <a:srgbClr val="FF0000"/>
                </a:solidFill>
                <a:prstDash val="sysDash"/>
              </a:ln>
            </c:spPr>
            <c:trendlineType val="linear"/>
            <c:dispRSqr val="0"/>
            <c:dispEq val="0"/>
          </c:trendline>
          <c:cat>
            <c:numRef>
              <c:f>UNIFICADO!$C$16:$C$21</c:f>
              <c:numCache>
                <c:formatCode>yyyy</c:formatCode>
                <c:ptCount val="6"/>
                <c:pt idx="0">
                  <c:v>40179</c:v>
                </c:pt>
                <c:pt idx="1">
                  <c:v>40544</c:v>
                </c:pt>
                <c:pt idx="2">
                  <c:v>40909</c:v>
                </c:pt>
                <c:pt idx="3">
                  <c:v>41275</c:v>
                </c:pt>
                <c:pt idx="4">
                  <c:v>41640</c:v>
                </c:pt>
                <c:pt idx="5">
                  <c:v>42005</c:v>
                </c:pt>
              </c:numCache>
            </c:numRef>
          </c:cat>
          <c:val>
            <c:numRef>
              <c:f>UNIFICADO!$Q$16:$Q$21</c:f>
              <c:numCache>
                <c:formatCode>0.0%</c:formatCode>
                <c:ptCount val="6"/>
                <c:pt idx="0">
                  <c:v>0.25675839923946714</c:v>
                </c:pt>
                <c:pt idx="1">
                  <c:v>0.12759278188551457</c:v>
                </c:pt>
                <c:pt idx="2">
                  <c:v>-0.16214521438795679</c:v>
                </c:pt>
                <c:pt idx="3">
                  <c:v>0.1157662373505793</c:v>
                </c:pt>
                <c:pt idx="4">
                  <c:v>0.18918755198262807</c:v>
                </c:pt>
                <c:pt idx="5">
                  <c:v>0.22494219162289317</c:v>
                </c:pt>
              </c:numCache>
            </c:numRef>
          </c:val>
        </c:ser>
        <c:ser>
          <c:idx val="0"/>
          <c:order val="2"/>
          <c:tx>
            <c:strRef>
              <c:f>UNIFICADO!$M$5</c:f>
              <c:strCache>
                <c:ptCount val="1"/>
                <c:pt idx="0">
                  <c:v>Var(%) Recaudo Total</c:v>
                </c:pt>
              </c:strCache>
            </c:strRef>
          </c:tx>
          <c:invertIfNegative val="0"/>
          <c:dLbls>
            <c:numFmt formatCode="0%" sourceLinked="0"/>
            <c:txPr>
              <a:bodyPr/>
              <a:lstStyle/>
              <a:p>
                <a:pPr>
                  <a:defRPr sz="700"/>
                </a:pPr>
                <a:endParaRPr lang="es-CO"/>
              </a:p>
            </c:txPr>
            <c:showLegendKey val="0"/>
            <c:showVal val="1"/>
            <c:showCatName val="0"/>
            <c:showSerName val="0"/>
            <c:showPercent val="0"/>
            <c:showBubbleSize val="0"/>
            <c:showLeaderLines val="0"/>
          </c:dLbls>
          <c:cat>
            <c:numRef>
              <c:f>UNIFICADO!$C$16:$C$21</c:f>
              <c:numCache>
                <c:formatCode>yyyy</c:formatCode>
                <c:ptCount val="6"/>
                <c:pt idx="0">
                  <c:v>40179</c:v>
                </c:pt>
                <c:pt idx="1">
                  <c:v>40544</c:v>
                </c:pt>
                <c:pt idx="2">
                  <c:v>40909</c:v>
                </c:pt>
                <c:pt idx="3">
                  <c:v>41275</c:v>
                </c:pt>
                <c:pt idx="4">
                  <c:v>41640</c:v>
                </c:pt>
                <c:pt idx="5">
                  <c:v>42005</c:v>
                </c:pt>
              </c:numCache>
            </c:numRef>
          </c:cat>
          <c:val>
            <c:numRef>
              <c:f>UNIFICADO!$M$16:$M$21</c:f>
              <c:numCache>
                <c:formatCode>0.0%</c:formatCode>
                <c:ptCount val="6"/>
                <c:pt idx="0">
                  <c:v>0.29212488152321198</c:v>
                </c:pt>
                <c:pt idx="1">
                  <c:v>0.1688400477843939</c:v>
                </c:pt>
                <c:pt idx="2">
                  <c:v>0.16540351171456533</c:v>
                </c:pt>
                <c:pt idx="3">
                  <c:v>0.18493564765561926</c:v>
                </c:pt>
                <c:pt idx="4">
                  <c:v>0.17341192309811992</c:v>
                </c:pt>
                <c:pt idx="5">
                  <c:v>0.20998230240413746</c:v>
                </c:pt>
              </c:numCache>
            </c:numRef>
          </c:val>
        </c:ser>
        <c:dLbls>
          <c:showLegendKey val="0"/>
          <c:showVal val="0"/>
          <c:showCatName val="0"/>
          <c:showSerName val="0"/>
          <c:showPercent val="0"/>
          <c:showBubbleSize val="0"/>
        </c:dLbls>
        <c:gapWidth val="150"/>
        <c:axId val="113163648"/>
        <c:axId val="113173632"/>
      </c:barChart>
      <c:dateAx>
        <c:axId val="113163648"/>
        <c:scaling>
          <c:orientation val="minMax"/>
        </c:scaling>
        <c:delete val="0"/>
        <c:axPos val="b"/>
        <c:numFmt formatCode="yyyy" sourceLinked="1"/>
        <c:majorTickMark val="none"/>
        <c:minorTickMark val="none"/>
        <c:tickLblPos val="low"/>
        <c:crossAx val="113173632"/>
        <c:crosses val="autoZero"/>
        <c:auto val="1"/>
        <c:lblOffset val="100"/>
        <c:baseTimeUnit val="years"/>
      </c:dateAx>
      <c:valAx>
        <c:axId val="113173632"/>
        <c:scaling>
          <c:orientation val="minMax"/>
          <c:max val="0.4"/>
        </c:scaling>
        <c:delete val="0"/>
        <c:axPos val="l"/>
        <c:numFmt formatCode="0%" sourceLinked="0"/>
        <c:majorTickMark val="none"/>
        <c:minorTickMark val="none"/>
        <c:tickLblPos val="nextTo"/>
        <c:crossAx val="113163648"/>
        <c:crosses val="autoZero"/>
        <c:crossBetween val="between"/>
      </c:valAx>
    </c:plotArea>
    <c:legend>
      <c:legendPos val="b"/>
      <c:legendEntry>
        <c:idx val="3"/>
        <c:delete val="1"/>
      </c:legendEntry>
      <c:legendEntry>
        <c:idx val="4"/>
        <c:delete val="1"/>
      </c:legendEntry>
      <c:layout>
        <c:manualLayout>
          <c:xMode val="edge"/>
          <c:yMode val="edge"/>
          <c:x val="5.000000000000001E-2"/>
          <c:y val="0.89643034188034187"/>
          <c:w val="0.90000000000000013"/>
          <c:h val="9.8142307692307695E-2"/>
        </c:manualLayout>
      </c:layout>
      <c:overlay val="0"/>
    </c:legend>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8CBE88-C00D-41EB-BCFE-C370D7AB2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35</Pages>
  <Words>6779</Words>
  <Characters>37289</Characters>
  <Application>Microsoft Office Word</Application>
  <DocSecurity>0</DocSecurity>
  <Lines>310</Lines>
  <Paragraphs>87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Ricardo Castiblanco Ramirez</cp:lastModifiedBy>
  <cp:revision>20</cp:revision>
  <cp:lastPrinted>2018-08-16T19:42:00Z</cp:lastPrinted>
  <dcterms:created xsi:type="dcterms:W3CDTF">2018-08-14T00:28:00Z</dcterms:created>
  <dcterms:modified xsi:type="dcterms:W3CDTF">2018-08-16T23:20:00Z</dcterms:modified>
</cp:coreProperties>
</file>