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36D" w:rsidRPr="00E8636D" w:rsidRDefault="00E8636D" w:rsidP="00E8636D">
      <w:pPr>
        <w:pStyle w:val="Predeterminado"/>
        <w:spacing w:after="0" w:line="240" w:lineRule="auto"/>
        <w:jc w:val="both"/>
        <w:rPr>
          <w:rFonts w:ascii="Arial" w:hAnsi="Arial" w:cs="Arial"/>
          <w:b/>
          <w:bCs/>
        </w:rPr>
      </w:pPr>
      <w:r w:rsidRPr="00E8636D">
        <w:rPr>
          <w:rFonts w:ascii="Arial" w:hAnsi="Arial" w:cs="Arial"/>
          <w:b/>
          <w:bCs/>
        </w:rPr>
        <w:t>INFORME DE PONENCIA POSITIVA PARA PRIMER DEBATE AL PROYECTO DE LEY 134 de 2017 “Por medio de la cual se establece la protección de los derechos a la salud y al medio ambiente sano imponiendo restricciones a las emisiones contaminantes de fuentes móviles y se dictan otras disposiciones”</w:t>
      </w:r>
    </w:p>
    <w:p w:rsidR="00E8636D" w:rsidRPr="00E8636D" w:rsidRDefault="00E8636D" w:rsidP="00E8636D">
      <w:pPr>
        <w:pStyle w:val="Predeterminado"/>
        <w:spacing w:after="0" w:line="240" w:lineRule="auto"/>
        <w:jc w:val="center"/>
        <w:rPr>
          <w:rFonts w:ascii="Arial" w:hAnsi="Arial" w:cs="Arial"/>
        </w:rPr>
      </w:pP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Doctor</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ÁNGEL MARÍA GAITAN PULIDO</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Presidente</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Cámara de Representantes</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 xml:space="preserve">E. </w:t>
      </w:r>
      <w:r w:rsidRPr="00E8636D">
        <w:rPr>
          <w:rFonts w:ascii="Arial" w:hAnsi="Arial" w:cs="Arial"/>
          <w:b/>
          <w:bCs/>
        </w:rPr>
        <w:tab/>
        <w:t>S.</w:t>
      </w:r>
      <w:r w:rsidRPr="00E8636D">
        <w:rPr>
          <w:rFonts w:ascii="Arial" w:hAnsi="Arial" w:cs="Arial"/>
          <w:b/>
          <w:bCs/>
        </w:rPr>
        <w:tab/>
        <w:t xml:space="preserve"> D.</w:t>
      </w:r>
    </w:p>
    <w:p w:rsidR="00E8636D" w:rsidRPr="00E8636D" w:rsidRDefault="00E8636D" w:rsidP="00E8636D">
      <w:pPr>
        <w:pStyle w:val="Predeterminado"/>
        <w:spacing w:after="0" w:line="240" w:lineRule="auto"/>
        <w:rPr>
          <w:rFonts w:ascii="Arial" w:hAnsi="Arial" w:cs="Arial"/>
          <w:b/>
          <w:bCs/>
        </w:rPr>
      </w:pP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Doctor</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NICOLÁS ALBEIRO ECHEVERRY ALVARÁN</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Secretario</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Cámara de Representantes</w:t>
      </w:r>
    </w:p>
    <w:p w:rsidR="00E8636D" w:rsidRPr="00E8636D" w:rsidRDefault="00E8636D" w:rsidP="00E8636D">
      <w:pPr>
        <w:pStyle w:val="Predeterminado"/>
        <w:spacing w:after="0" w:line="240" w:lineRule="auto"/>
        <w:rPr>
          <w:rFonts w:ascii="Arial" w:hAnsi="Arial" w:cs="Arial"/>
          <w:b/>
          <w:bCs/>
        </w:rPr>
      </w:pPr>
      <w:r w:rsidRPr="00E8636D">
        <w:rPr>
          <w:rFonts w:ascii="Arial" w:hAnsi="Arial" w:cs="Arial"/>
          <w:b/>
          <w:bCs/>
        </w:rPr>
        <w:t>E.</w:t>
      </w:r>
      <w:r w:rsidRPr="00E8636D">
        <w:rPr>
          <w:rFonts w:ascii="Arial" w:hAnsi="Arial" w:cs="Arial"/>
          <w:b/>
          <w:bCs/>
        </w:rPr>
        <w:tab/>
        <w:t>S.</w:t>
      </w:r>
      <w:r w:rsidRPr="00E8636D">
        <w:rPr>
          <w:rFonts w:ascii="Arial" w:hAnsi="Arial" w:cs="Arial"/>
          <w:b/>
          <w:bCs/>
        </w:rPr>
        <w:tab/>
        <w:t>D.</w:t>
      </w:r>
    </w:p>
    <w:p w:rsidR="00E8636D" w:rsidRPr="00E8636D" w:rsidRDefault="00E8636D" w:rsidP="00E8636D">
      <w:pPr>
        <w:pStyle w:val="Predeterminado"/>
        <w:spacing w:after="0" w:line="240" w:lineRule="auto"/>
        <w:ind w:left="2124"/>
        <w:jc w:val="both"/>
        <w:rPr>
          <w:rFonts w:ascii="Arial" w:hAnsi="Arial" w:cs="Arial"/>
          <w:bCs/>
        </w:rPr>
      </w:pPr>
    </w:p>
    <w:p w:rsidR="00E8636D" w:rsidRPr="00E8636D" w:rsidRDefault="00E8636D" w:rsidP="00E8636D">
      <w:pPr>
        <w:spacing w:after="0"/>
        <w:ind w:left="2160"/>
        <w:jc w:val="both"/>
        <w:rPr>
          <w:rFonts w:ascii="Arial" w:eastAsia="Times New Roman" w:hAnsi="Arial" w:cs="Arial"/>
          <w:i/>
          <w:sz w:val="24"/>
          <w:szCs w:val="24"/>
        </w:rPr>
      </w:pPr>
      <w:r w:rsidRPr="00E8636D">
        <w:rPr>
          <w:rFonts w:ascii="Arial" w:hAnsi="Arial" w:cs="Arial"/>
          <w:b/>
          <w:bCs/>
          <w:sz w:val="24"/>
          <w:szCs w:val="24"/>
        </w:rPr>
        <w:t>Asunto:</w:t>
      </w:r>
      <w:r w:rsidRPr="00E8636D">
        <w:rPr>
          <w:rFonts w:ascii="Arial" w:hAnsi="Arial" w:cs="Arial"/>
          <w:bCs/>
          <w:sz w:val="24"/>
          <w:szCs w:val="24"/>
        </w:rPr>
        <w:t xml:space="preserve"> Informe de ponencia para el Primer Debate Al Proyecto De Ley </w:t>
      </w:r>
      <w:r w:rsidRPr="00E8636D">
        <w:rPr>
          <w:rFonts w:ascii="Arial" w:eastAsia="Times New Roman" w:hAnsi="Arial" w:cs="Arial"/>
          <w:b/>
          <w:sz w:val="24"/>
          <w:szCs w:val="24"/>
        </w:rPr>
        <w:t xml:space="preserve">al proyecto de ley 134 de 2017 </w:t>
      </w:r>
      <w:r w:rsidRPr="00E8636D">
        <w:rPr>
          <w:rFonts w:ascii="Arial" w:eastAsia="Times New Roman" w:hAnsi="Arial" w:cs="Arial"/>
          <w:i/>
          <w:sz w:val="24"/>
          <w:szCs w:val="24"/>
        </w:rPr>
        <w:t>“Por medio de la cual se establece la protección de los derechos a la salud y al medio ambiente sano imponiendo restricciones a las emisiones contaminantes de fuentes móviles y se dictan otras disposiciones”</w:t>
      </w:r>
    </w:p>
    <w:p w:rsidR="00E8636D" w:rsidRPr="00E8636D" w:rsidRDefault="00E8636D" w:rsidP="00E8636D">
      <w:pPr>
        <w:pStyle w:val="Predeterminado"/>
        <w:spacing w:after="0" w:line="240" w:lineRule="auto"/>
        <w:ind w:left="2124"/>
        <w:jc w:val="both"/>
        <w:rPr>
          <w:rFonts w:ascii="Arial" w:hAnsi="Arial" w:cs="Arial"/>
          <w:bCs/>
        </w:rPr>
      </w:pPr>
    </w:p>
    <w:p w:rsidR="00E8636D" w:rsidRPr="00E8636D" w:rsidRDefault="00E8636D" w:rsidP="00E8636D">
      <w:pPr>
        <w:pStyle w:val="Predeterminado"/>
        <w:spacing w:after="0" w:line="240" w:lineRule="auto"/>
        <w:jc w:val="both"/>
        <w:rPr>
          <w:rFonts w:ascii="Arial" w:hAnsi="Arial" w:cs="Arial"/>
          <w:bCs/>
        </w:rPr>
      </w:pPr>
    </w:p>
    <w:p w:rsidR="00E8636D" w:rsidRPr="00E8636D" w:rsidRDefault="00E8636D" w:rsidP="00E8636D">
      <w:pPr>
        <w:spacing w:after="0"/>
        <w:jc w:val="both"/>
        <w:rPr>
          <w:rFonts w:ascii="Arial" w:eastAsia="Times New Roman" w:hAnsi="Arial" w:cs="Arial"/>
          <w:i/>
          <w:sz w:val="24"/>
          <w:szCs w:val="24"/>
        </w:rPr>
      </w:pPr>
      <w:r w:rsidRPr="00E8636D">
        <w:rPr>
          <w:rFonts w:ascii="Arial" w:hAnsi="Arial" w:cs="Arial"/>
          <w:bCs/>
          <w:sz w:val="24"/>
          <w:szCs w:val="24"/>
        </w:rPr>
        <w:t xml:space="preserve">De conformidad con lo dispuesto en el artículo 156 de la Ley 5ª de 1992, me permito presentar informe de ponencia para primer debate al </w:t>
      </w:r>
      <w:r w:rsidRPr="00E8636D">
        <w:rPr>
          <w:rFonts w:ascii="Arial" w:hAnsi="Arial" w:cs="Arial"/>
          <w:b/>
          <w:bCs/>
          <w:sz w:val="24"/>
          <w:szCs w:val="24"/>
        </w:rPr>
        <w:t xml:space="preserve">Proyecto De Ley </w:t>
      </w:r>
      <w:r w:rsidRPr="00E8636D">
        <w:rPr>
          <w:rFonts w:ascii="Arial" w:eastAsia="Times New Roman" w:hAnsi="Arial" w:cs="Arial"/>
          <w:b/>
          <w:sz w:val="24"/>
          <w:szCs w:val="24"/>
        </w:rPr>
        <w:t xml:space="preserve">al proyecto de ley 134 de 2017 </w:t>
      </w:r>
      <w:r w:rsidRPr="00E8636D">
        <w:rPr>
          <w:rFonts w:ascii="Arial" w:eastAsia="Times New Roman" w:hAnsi="Arial" w:cs="Arial"/>
          <w:i/>
          <w:sz w:val="24"/>
          <w:szCs w:val="24"/>
        </w:rPr>
        <w:t>“Por medio de la cual se establece la protección de los derechos a la salud y al medio ambiente sano imponiendo restricciones a las emisiones contaminantes de fuentes móviles y se dictan otras disposiciones”</w:t>
      </w:r>
      <w:r>
        <w:rPr>
          <w:rFonts w:ascii="Arial" w:eastAsia="Times New Roman" w:hAnsi="Arial" w:cs="Arial"/>
          <w:i/>
          <w:sz w:val="24"/>
          <w:szCs w:val="24"/>
        </w:rPr>
        <w:t xml:space="preserve"> </w:t>
      </w:r>
      <w:r w:rsidRPr="00E8636D">
        <w:rPr>
          <w:rFonts w:ascii="Arial" w:hAnsi="Arial" w:cs="Arial"/>
          <w:bCs/>
          <w:sz w:val="24"/>
          <w:szCs w:val="24"/>
        </w:rPr>
        <w:t>para lo cual fui designado por la Honorable Mesa Directiva de la Comisión Quinta Constitucional Permanente de la Cámara de Representantes, ponencia que se sustenta en los siguientes términos:</w:t>
      </w:r>
    </w:p>
    <w:p w:rsidR="00E8636D" w:rsidRPr="00E8636D" w:rsidRDefault="00E8636D">
      <w:pPr>
        <w:spacing w:before="100" w:after="0" w:line="240" w:lineRule="auto"/>
        <w:jc w:val="both"/>
        <w:rPr>
          <w:rFonts w:ascii="Arial" w:eastAsia="Times New Roman" w:hAnsi="Arial" w:cs="Arial"/>
          <w:sz w:val="24"/>
          <w:szCs w:val="24"/>
        </w:rPr>
      </w:pPr>
    </w:p>
    <w:p w:rsidR="00E8636D" w:rsidRPr="00E8636D" w:rsidRDefault="00E8636D" w:rsidP="00E8636D">
      <w:pPr>
        <w:pStyle w:val="Prrafodelista"/>
        <w:numPr>
          <w:ilvl w:val="0"/>
          <w:numId w:val="3"/>
        </w:numPr>
        <w:spacing w:before="100" w:after="0" w:line="240" w:lineRule="auto"/>
        <w:jc w:val="both"/>
        <w:rPr>
          <w:rFonts w:ascii="Arial" w:eastAsia="Times New Roman" w:hAnsi="Arial" w:cs="Arial"/>
          <w:b/>
          <w:sz w:val="24"/>
          <w:szCs w:val="24"/>
          <w:u w:val="single"/>
        </w:rPr>
      </w:pPr>
      <w:r>
        <w:rPr>
          <w:rFonts w:ascii="Arial" w:eastAsia="Times New Roman" w:hAnsi="Arial" w:cs="Arial"/>
          <w:b/>
          <w:sz w:val="24"/>
          <w:szCs w:val="24"/>
          <w:u w:val="single"/>
        </w:rPr>
        <w:t>INTRODUCCIÓN</w:t>
      </w:r>
    </w:p>
    <w:p w:rsidR="0099217F" w:rsidRPr="00E8636D" w:rsidRDefault="0033743D" w:rsidP="00E8636D">
      <w:pPr>
        <w:spacing w:before="100" w:after="0" w:line="240" w:lineRule="auto"/>
        <w:jc w:val="both"/>
        <w:rPr>
          <w:rFonts w:ascii="Arial" w:eastAsia="Times New Roman" w:hAnsi="Arial" w:cs="Arial"/>
          <w:sz w:val="24"/>
          <w:szCs w:val="24"/>
        </w:rPr>
      </w:pPr>
      <w:r w:rsidRPr="00E8636D">
        <w:rPr>
          <w:rFonts w:ascii="Arial" w:eastAsia="Times New Roman" w:hAnsi="Arial" w:cs="Arial"/>
          <w:sz w:val="24"/>
          <w:szCs w:val="24"/>
        </w:rPr>
        <w:t>El presente proyecto de ley tiene como objetivo la protección de los derechos a la salud y al medio ambiente sano reglamentando los niveles máximos de emisiones para vehículos con motor de ciclo diésel que circulan por el territorio nacional.</w:t>
      </w:r>
    </w:p>
    <w:p w:rsidR="0017249B" w:rsidRDefault="0033743D">
      <w:pPr>
        <w:spacing w:before="100" w:after="0" w:line="240" w:lineRule="auto"/>
        <w:jc w:val="both"/>
        <w:rPr>
          <w:rFonts w:ascii="Arial" w:eastAsia="Times New Roman" w:hAnsi="Arial" w:cs="Arial"/>
          <w:sz w:val="24"/>
          <w:szCs w:val="24"/>
        </w:rPr>
      </w:pPr>
      <w:r w:rsidRPr="00E8636D">
        <w:rPr>
          <w:rFonts w:ascii="Arial" w:eastAsia="Times New Roman" w:hAnsi="Arial" w:cs="Arial"/>
          <w:sz w:val="24"/>
          <w:szCs w:val="24"/>
        </w:rPr>
        <w:t xml:space="preserve">Con este fin, planteamos el Proyecto de Ley 134 de 2017, porque la calidad del aire, y en particular los altos niveles de concentración de Material Particulado -PM, en </w:t>
      </w:r>
      <w:r w:rsidR="00E8636D" w:rsidRPr="00E8636D">
        <w:rPr>
          <w:rFonts w:ascii="Arial" w:eastAsia="Times New Roman" w:hAnsi="Arial" w:cs="Arial"/>
          <w:sz w:val="24"/>
          <w:szCs w:val="24"/>
        </w:rPr>
        <w:t>los diferentes</w:t>
      </w:r>
      <w:r w:rsidRPr="00E8636D">
        <w:rPr>
          <w:rFonts w:ascii="Arial" w:eastAsia="Times New Roman" w:hAnsi="Arial" w:cs="Arial"/>
          <w:sz w:val="24"/>
          <w:szCs w:val="24"/>
        </w:rPr>
        <w:t xml:space="preserve"> tamaños de partícula, PM10, PM2,5 y PM1, afectan la salud humana. En este sentido, la Organización Mundial de la Salud -OMS, en 2012 declaró como carcinogénicas a las emisiones </w:t>
      </w:r>
      <w:r w:rsidRPr="00E8636D">
        <w:rPr>
          <w:rFonts w:ascii="Arial" w:eastAsia="Times New Roman" w:hAnsi="Arial" w:cs="Arial"/>
          <w:sz w:val="24"/>
          <w:szCs w:val="24"/>
        </w:rPr>
        <w:lastRenderedPageBreak/>
        <w:t>de vehículos diésel.</w:t>
      </w:r>
      <w:r w:rsidR="002D71F8">
        <w:rPr>
          <w:rStyle w:val="Refdenotaalpie"/>
          <w:rFonts w:ascii="Arial" w:eastAsia="Times New Roman" w:hAnsi="Arial" w:cs="Arial"/>
          <w:sz w:val="24"/>
          <w:szCs w:val="24"/>
        </w:rPr>
        <w:footnoteReference w:id="1"/>
      </w:r>
      <w:r w:rsidR="0017249B">
        <w:rPr>
          <w:rFonts w:ascii="Arial" w:eastAsia="Times New Roman" w:hAnsi="Arial" w:cs="Arial"/>
          <w:sz w:val="24"/>
          <w:szCs w:val="24"/>
        </w:rPr>
        <w:t xml:space="preserve">, esto a partir de un estudio efectuado por </w:t>
      </w:r>
      <w:r w:rsidR="0017249B" w:rsidRPr="0017249B">
        <w:rPr>
          <w:rFonts w:ascii="Arial" w:eastAsia="Times New Roman" w:hAnsi="Arial" w:cs="Arial"/>
          <w:sz w:val="24"/>
          <w:szCs w:val="24"/>
        </w:rPr>
        <w:t>la Agencia Internacional para la Investigación del Cáncer (IARC)</w:t>
      </w:r>
      <w:r w:rsidR="0017249B">
        <w:rPr>
          <w:rFonts w:ascii="Arial" w:eastAsia="Times New Roman" w:hAnsi="Arial" w:cs="Arial"/>
          <w:sz w:val="24"/>
          <w:szCs w:val="24"/>
        </w:rPr>
        <w:t>, que describe las problemáticas en salud que sufren 12.315 empleados de ocho minas en Estados Unidos. Sin embargo, a pesar de que los estudios realizados se centran en trabajadores altamente expuestos, las investigadoras afirman:</w:t>
      </w:r>
    </w:p>
    <w:p w:rsidR="0099217F" w:rsidRPr="0017249B" w:rsidRDefault="0017249B">
      <w:pPr>
        <w:spacing w:before="100" w:after="0" w:line="240" w:lineRule="auto"/>
        <w:jc w:val="both"/>
        <w:rPr>
          <w:rFonts w:ascii="Arial" w:eastAsia="Times New Roman" w:hAnsi="Arial" w:cs="Arial"/>
          <w:i/>
          <w:sz w:val="24"/>
          <w:szCs w:val="24"/>
        </w:rPr>
      </w:pPr>
      <w:r w:rsidRPr="0017249B">
        <w:rPr>
          <w:rFonts w:ascii="Arial" w:eastAsia="Times New Roman" w:hAnsi="Arial" w:cs="Arial"/>
          <w:i/>
          <w:sz w:val="24"/>
          <w:szCs w:val="24"/>
        </w:rPr>
        <w:t>“El riesgo depende de la exposición. La gente muy expuesta tiene más riesgo, pero quien recibe menos dosis también, aunque en menor medida. Es un problema de salud pública que los Gobiernos deben abordar”.</w:t>
      </w:r>
      <w:r>
        <w:rPr>
          <w:rStyle w:val="Refdenotaalpie"/>
          <w:rFonts w:ascii="Arial" w:eastAsia="Times New Roman" w:hAnsi="Arial" w:cs="Arial"/>
          <w:i/>
          <w:sz w:val="24"/>
          <w:szCs w:val="24"/>
        </w:rPr>
        <w:footnoteReference w:id="2"/>
      </w:r>
    </w:p>
    <w:p w:rsidR="0099217F" w:rsidRPr="00E8636D" w:rsidRDefault="0033743D">
      <w:pPr>
        <w:spacing w:before="100" w:after="0" w:line="240" w:lineRule="auto"/>
        <w:jc w:val="both"/>
        <w:rPr>
          <w:rFonts w:ascii="Arial" w:eastAsia="Times New Roman" w:hAnsi="Arial" w:cs="Arial"/>
          <w:sz w:val="24"/>
          <w:szCs w:val="24"/>
        </w:rPr>
      </w:pPr>
      <w:r w:rsidRPr="00E8636D">
        <w:rPr>
          <w:rFonts w:ascii="Arial" w:eastAsia="Times New Roman" w:hAnsi="Arial" w:cs="Arial"/>
          <w:sz w:val="24"/>
          <w:szCs w:val="24"/>
        </w:rPr>
        <w:t xml:space="preserve">Las fuentes de emisión como los vehículos con motores diésel, motores a gasolina e industrias, exponen a la población a altas concentraciones de material particulado, siendo este contaminante uno de los precursores en la aparición de enfermedades respiratorias agudas -ERA, y cardiovasculares en las personas. </w:t>
      </w:r>
    </w:p>
    <w:p w:rsidR="0099217F" w:rsidRPr="00E8636D" w:rsidRDefault="0033743D">
      <w:pPr>
        <w:spacing w:before="100" w:after="0" w:line="240" w:lineRule="auto"/>
        <w:jc w:val="both"/>
        <w:rPr>
          <w:rFonts w:ascii="Arial" w:eastAsia="Times New Roman" w:hAnsi="Arial" w:cs="Arial"/>
          <w:sz w:val="24"/>
          <w:szCs w:val="24"/>
        </w:rPr>
      </w:pPr>
      <w:r w:rsidRPr="00E8636D">
        <w:rPr>
          <w:rFonts w:ascii="Arial" w:eastAsia="Times New Roman" w:hAnsi="Arial" w:cs="Arial"/>
          <w:sz w:val="24"/>
          <w:szCs w:val="24"/>
        </w:rPr>
        <w:t>En 2015, según la OCDE, a la contaminación del aire urbano se le atribuyeron 8,2 millones de muertes anuales. Para este mismo año, el costo estimado asociado a las muertes prematuras por contaminación del aire ascendió a 3,5 billones de dólares americanos.</w:t>
      </w:r>
    </w:p>
    <w:p w:rsidR="0099217F" w:rsidRPr="00E8636D" w:rsidRDefault="0033743D">
      <w:pPr>
        <w:spacing w:before="100" w:after="0" w:line="240" w:lineRule="auto"/>
        <w:jc w:val="both"/>
        <w:rPr>
          <w:rFonts w:ascii="Arial" w:eastAsia="Times New Roman" w:hAnsi="Arial" w:cs="Arial"/>
          <w:sz w:val="24"/>
          <w:szCs w:val="24"/>
        </w:rPr>
      </w:pPr>
      <w:r w:rsidRPr="00E8636D">
        <w:rPr>
          <w:rFonts w:ascii="Arial" w:eastAsia="Times New Roman" w:hAnsi="Arial" w:cs="Arial"/>
          <w:sz w:val="24"/>
          <w:szCs w:val="24"/>
        </w:rPr>
        <w:t>En este sentido, este proyecto de ley propone que:</w:t>
      </w:r>
    </w:p>
    <w:p w:rsidR="0099217F" w:rsidRPr="00E8636D" w:rsidRDefault="0033743D">
      <w:pPr>
        <w:numPr>
          <w:ilvl w:val="0"/>
          <w:numId w:val="1"/>
        </w:numPr>
        <w:spacing w:before="100" w:after="0" w:line="240" w:lineRule="auto"/>
        <w:jc w:val="both"/>
        <w:rPr>
          <w:rFonts w:ascii="Arial" w:hAnsi="Arial" w:cs="Arial"/>
          <w:sz w:val="24"/>
          <w:szCs w:val="24"/>
        </w:rPr>
      </w:pPr>
      <w:r w:rsidRPr="00E8636D">
        <w:rPr>
          <w:rFonts w:ascii="Arial" w:eastAsia="Times New Roman" w:hAnsi="Arial" w:cs="Arial"/>
          <w:sz w:val="24"/>
          <w:szCs w:val="24"/>
        </w:rPr>
        <w:t xml:space="preserve">A partir del 1° de enero de 2020, todos los vehículos de carga nuevos con motor de ciclo diésel, que se importen o ensamblen en el país, deben cumplir con los límites máximos de emisiones permisibles evaluados mediante ciclos de la Unión Europea (ESC - ETC) o evaluados mediante ciclos de Estados Unidos (FTP), Euro IV o EPA 98, respectivamente. Se adiciona el límite de emisión de material particulado </w:t>
      </w:r>
      <w:proofErr w:type="spellStart"/>
      <w:r w:rsidRPr="00E8636D">
        <w:rPr>
          <w:rFonts w:ascii="Arial" w:eastAsia="Times New Roman" w:hAnsi="Arial" w:cs="Arial"/>
          <w:sz w:val="24"/>
          <w:szCs w:val="24"/>
        </w:rPr>
        <w:t>ultrafino</w:t>
      </w:r>
      <w:proofErr w:type="spellEnd"/>
      <w:r w:rsidRPr="00E8636D">
        <w:rPr>
          <w:rFonts w:ascii="Arial" w:eastAsia="Times New Roman" w:hAnsi="Arial" w:cs="Arial"/>
          <w:sz w:val="24"/>
          <w:szCs w:val="24"/>
        </w:rPr>
        <w:t xml:space="preserve"> expresado en número de nano partículas para que los nuevos vehículos reduzcan drásticamente las emisiones contaminantes que más afectan la salud de las personas.</w:t>
      </w:r>
    </w:p>
    <w:p w:rsidR="0099217F" w:rsidRPr="00E8636D" w:rsidRDefault="0033743D">
      <w:pPr>
        <w:numPr>
          <w:ilvl w:val="0"/>
          <w:numId w:val="1"/>
        </w:numPr>
        <w:spacing w:before="100" w:after="0" w:line="240" w:lineRule="auto"/>
        <w:jc w:val="both"/>
        <w:rPr>
          <w:rFonts w:ascii="Arial" w:hAnsi="Arial" w:cs="Arial"/>
          <w:sz w:val="24"/>
          <w:szCs w:val="24"/>
        </w:rPr>
      </w:pPr>
      <w:r w:rsidRPr="00E8636D">
        <w:rPr>
          <w:rFonts w:ascii="Arial" w:eastAsia="Times New Roman" w:hAnsi="Arial" w:cs="Arial"/>
          <w:sz w:val="24"/>
          <w:szCs w:val="24"/>
        </w:rPr>
        <w:t>Para los vehículos pesados con motores diésel se establece que, a partir del 1° de enero de 2030, deberán cumplir con los límites máximos de emisiones permisibles evaluados mediante ciclos de la Unión Europea (ESC - ETC) o evaluados mediante ciclos de Estados Unidos (FTP), tipo Euro VI o EPA 2010, respectivamente. Lo anterior con el propósito de cumplir los límites establecidos por la Organización Mundial de la S</w:t>
      </w:r>
      <w:r w:rsidR="0017249B">
        <w:rPr>
          <w:rFonts w:ascii="Arial" w:eastAsia="Times New Roman" w:hAnsi="Arial" w:cs="Arial"/>
          <w:sz w:val="24"/>
          <w:szCs w:val="24"/>
        </w:rPr>
        <w:t xml:space="preserve">alud, además de mejorar la </w:t>
      </w:r>
      <w:r w:rsidRPr="00E8636D">
        <w:rPr>
          <w:rFonts w:ascii="Arial" w:eastAsia="Times New Roman" w:hAnsi="Arial" w:cs="Arial"/>
          <w:sz w:val="24"/>
          <w:szCs w:val="24"/>
        </w:rPr>
        <w:t xml:space="preserve">calidad de aire de las ciudades, </w:t>
      </w:r>
      <w:proofErr w:type="gramStart"/>
      <w:r w:rsidRPr="00E8636D">
        <w:rPr>
          <w:rFonts w:ascii="Arial" w:eastAsia="Times New Roman" w:hAnsi="Arial" w:cs="Arial"/>
          <w:sz w:val="24"/>
          <w:szCs w:val="24"/>
        </w:rPr>
        <w:t>evitando  muertes</w:t>
      </w:r>
      <w:proofErr w:type="gramEnd"/>
      <w:r w:rsidRPr="00E8636D">
        <w:rPr>
          <w:rFonts w:ascii="Arial" w:eastAsia="Times New Roman" w:hAnsi="Arial" w:cs="Arial"/>
          <w:sz w:val="24"/>
          <w:szCs w:val="24"/>
        </w:rPr>
        <w:t xml:space="preserve"> y enfermedades causadas por este fenómeno.</w:t>
      </w:r>
    </w:p>
    <w:p w:rsidR="0099217F" w:rsidRPr="00E8636D" w:rsidRDefault="0033743D">
      <w:pPr>
        <w:numPr>
          <w:ilvl w:val="0"/>
          <w:numId w:val="1"/>
        </w:numPr>
        <w:spacing w:before="100" w:after="0" w:line="240" w:lineRule="auto"/>
        <w:jc w:val="both"/>
        <w:rPr>
          <w:rFonts w:ascii="Arial" w:hAnsi="Arial" w:cs="Arial"/>
          <w:sz w:val="24"/>
          <w:szCs w:val="24"/>
        </w:rPr>
      </w:pPr>
      <w:r w:rsidRPr="00E8636D">
        <w:rPr>
          <w:rFonts w:ascii="Arial" w:eastAsia="Times New Roman" w:hAnsi="Arial" w:cs="Arial"/>
          <w:sz w:val="24"/>
          <w:szCs w:val="24"/>
        </w:rPr>
        <w:t>Los vehículos medianos y livianos con motor de ciclo diésel, que se importen o ensamblen en el país, deberán cumplir con los nuevos límites máximos a partir del 1° de enero de 2030.</w:t>
      </w:r>
    </w:p>
    <w:p w:rsidR="0099217F" w:rsidRPr="00E8636D" w:rsidRDefault="0033743D">
      <w:pPr>
        <w:numPr>
          <w:ilvl w:val="0"/>
          <w:numId w:val="1"/>
        </w:numPr>
        <w:spacing w:before="100" w:after="0" w:line="240" w:lineRule="auto"/>
        <w:jc w:val="both"/>
        <w:rPr>
          <w:rFonts w:ascii="Arial" w:hAnsi="Arial" w:cs="Arial"/>
          <w:sz w:val="24"/>
          <w:szCs w:val="24"/>
        </w:rPr>
      </w:pPr>
      <w:r w:rsidRPr="00E8636D">
        <w:rPr>
          <w:rFonts w:ascii="Arial" w:eastAsia="Times New Roman" w:hAnsi="Arial" w:cs="Arial"/>
          <w:sz w:val="24"/>
          <w:szCs w:val="24"/>
        </w:rPr>
        <w:t xml:space="preserve">La regulación y control de la presente ley estará a cargo de los Ministerios de Ambiente y Desarrollo Sostenible y de Transporte, con el fin de que realicen estudios </w:t>
      </w:r>
      <w:r w:rsidRPr="00E8636D">
        <w:rPr>
          <w:rFonts w:ascii="Arial" w:eastAsia="Times New Roman" w:hAnsi="Arial" w:cs="Arial"/>
          <w:sz w:val="24"/>
          <w:szCs w:val="24"/>
        </w:rPr>
        <w:lastRenderedPageBreak/>
        <w:t>técnicos necesarios que permitan establecer el marco regulatorio y de control y vigilancia para realizar la evaluación de emisiones contaminantes de los vehículos en uso, en pruebas sobre rodillos con cargas simuladas o prueba dinámica simple. De igual forma, deberán establecer el mecanismo de verificación para vehículos de carga pesada, de servicio público, de transporte terrestre de pasajeros y de transporte terrestre automotor de carga en uso, con prueba dinámica simple, según los parámetros establecidos en esta norma.</w:t>
      </w:r>
    </w:p>
    <w:p w:rsidR="0099217F" w:rsidRPr="00E8636D" w:rsidRDefault="0099217F">
      <w:pPr>
        <w:spacing w:after="0"/>
        <w:jc w:val="both"/>
        <w:rPr>
          <w:rFonts w:ascii="Arial" w:eastAsia="Times New Roman" w:hAnsi="Arial" w:cs="Arial"/>
          <w:b/>
          <w:sz w:val="24"/>
          <w:szCs w:val="24"/>
        </w:rPr>
      </w:pPr>
    </w:p>
    <w:p w:rsidR="0099217F" w:rsidRPr="00E8636D" w:rsidRDefault="0033743D" w:rsidP="00E8636D">
      <w:pPr>
        <w:pStyle w:val="Prrafodelista"/>
        <w:numPr>
          <w:ilvl w:val="0"/>
          <w:numId w:val="3"/>
        </w:numPr>
        <w:spacing w:before="100" w:after="100"/>
        <w:rPr>
          <w:rFonts w:ascii="Arial" w:eastAsia="Times New Roman" w:hAnsi="Arial" w:cs="Arial"/>
          <w:sz w:val="24"/>
          <w:szCs w:val="24"/>
          <w:u w:val="single"/>
        </w:rPr>
      </w:pPr>
      <w:r w:rsidRPr="00E8636D">
        <w:rPr>
          <w:rFonts w:ascii="Arial" w:eastAsia="Times New Roman" w:hAnsi="Arial" w:cs="Arial"/>
          <w:b/>
          <w:sz w:val="24"/>
          <w:szCs w:val="24"/>
          <w:u w:val="single"/>
        </w:rPr>
        <w:t>ANTECEDENTES</w:t>
      </w:r>
    </w:p>
    <w:p w:rsidR="0099217F" w:rsidRPr="00E8636D" w:rsidRDefault="0033743D">
      <w:pPr>
        <w:spacing w:before="100" w:after="100"/>
        <w:jc w:val="both"/>
        <w:rPr>
          <w:rFonts w:ascii="Arial" w:eastAsia="Times New Roman" w:hAnsi="Arial" w:cs="Arial"/>
          <w:sz w:val="24"/>
          <w:szCs w:val="24"/>
        </w:rPr>
      </w:pPr>
      <w:r w:rsidRPr="00E8636D">
        <w:rPr>
          <w:rFonts w:ascii="Arial" w:eastAsia="Times New Roman" w:hAnsi="Arial" w:cs="Arial"/>
          <w:sz w:val="24"/>
          <w:szCs w:val="24"/>
        </w:rPr>
        <w:t xml:space="preserve">El presente proyecto de </w:t>
      </w:r>
      <w:r w:rsidR="001D0EA3">
        <w:rPr>
          <w:rFonts w:ascii="Arial" w:eastAsia="Times New Roman" w:hAnsi="Arial" w:cs="Arial"/>
          <w:sz w:val="24"/>
          <w:szCs w:val="24"/>
        </w:rPr>
        <w:t>Ley</w:t>
      </w:r>
      <w:r w:rsidRPr="00E8636D">
        <w:rPr>
          <w:rFonts w:ascii="Arial" w:eastAsia="Times New Roman" w:hAnsi="Arial" w:cs="Arial"/>
          <w:sz w:val="24"/>
          <w:szCs w:val="24"/>
        </w:rPr>
        <w:t xml:space="preserve"> fue radicado ante la Secretaria General de la Cámara de Representantes por los congresistas Angélica Lisbeth Lozano Correa, Claudia López Hernández, Carlos Fernando Galán Pachón, Maritza Martínez </w:t>
      </w:r>
      <w:proofErr w:type="spellStart"/>
      <w:r w:rsidRPr="00E8636D">
        <w:rPr>
          <w:rFonts w:ascii="Arial" w:eastAsia="Times New Roman" w:hAnsi="Arial" w:cs="Arial"/>
          <w:sz w:val="24"/>
          <w:szCs w:val="24"/>
        </w:rPr>
        <w:t>Aristizábal</w:t>
      </w:r>
      <w:proofErr w:type="spellEnd"/>
      <w:r w:rsidRPr="00E8636D">
        <w:rPr>
          <w:rFonts w:ascii="Arial" w:eastAsia="Times New Roman" w:hAnsi="Arial" w:cs="Arial"/>
          <w:sz w:val="24"/>
          <w:szCs w:val="24"/>
        </w:rPr>
        <w:t>, Rodrigo Lara Restrepo, Federico Eduardo Hoyos Salazar, Víctor Javier Correa Vélez y Jorge Prieto Riveros.</w:t>
      </w:r>
    </w:p>
    <w:p w:rsidR="0099217F" w:rsidRPr="00E8636D" w:rsidRDefault="0033743D" w:rsidP="00E8636D">
      <w:pPr>
        <w:numPr>
          <w:ilvl w:val="0"/>
          <w:numId w:val="3"/>
        </w:numPr>
        <w:spacing w:before="100" w:after="100"/>
        <w:jc w:val="both"/>
        <w:rPr>
          <w:rFonts w:ascii="Arial" w:eastAsia="Times New Roman" w:hAnsi="Arial" w:cs="Arial"/>
          <w:sz w:val="24"/>
          <w:szCs w:val="24"/>
          <w:u w:val="single"/>
        </w:rPr>
      </w:pPr>
      <w:r w:rsidRPr="00E8636D">
        <w:rPr>
          <w:rFonts w:ascii="Arial" w:eastAsia="Times New Roman" w:hAnsi="Arial" w:cs="Arial"/>
          <w:b/>
          <w:sz w:val="24"/>
          <w:szCs w:val="24"/>
          <w:u w:val="single"/>
        </w:rPr>
        <w:t>TRÁMITE LEGISLATIVO</w:t>
      </w:r>
    </w:p>
    <w:p w:rsidR="0099217F" w:rsidRPr="00E8636D" w:rsidRDefault="0033743D">
      <w:pPr>
        <w:spacing w:before="100" w:after="100"/>
        <w:jc w:val="both"/>
        <w:rPr>
          <w:rFonts w:ascii="Arial" w:eastAsia="Times New Roman" w:hAnsi="Arial" w:cs="Arial"/>
          <w:sz w:val="24"/>
          <w:szCs w:val="24"/>
        </w:rPr>
      </w:pPr>
      <w:r w:rsidRPr="00E8636D">
        <w:rPr>
          <w:rFonts w:ascii="Arial" w:eastAsia="Times New Roman" w:hAnsi="Arial" w:cs="Arial"/>
          <w:sz w:val="24"/>
          <w:szCs w:val="24"/>
        </w:rPr>
        <w:t>El proyecto en consideración fue radicado el día 13 de septiembre de 2017 y publicado en la Gaceta del Congreso N° 790 de 2017. Para dar inicio al primer debate del proyecto en Comisión Quinta de la Cámara de Representantes fui designado para rendir el informe de ponencia.</w:t>
      </w:r>
    </w:p>
    <w:p w:rsidR="0099217F" w:rsidRPr="00E8636D" w:rsidRDefault="0099217F">
      <w:pPr>
        <w:spacing w:before="100" w:after="100"/>
        <w:jc w:val="both"/>
        <w:rPr>
          <w:rFonts w:ascii="Arial" w:eastAsia="Times New Roman" w:hAnsi="Arial" w:cs="Arial"/>
          <w:sz w:val="24"/>
          <w:szCs w:val="24"/>
        </w:rPr>
      </w:pPr>
    </w:p>
    <w:p w:rsidR="0099217F" w:rsidRPr="00E8636D" w:rsidRDefault="0033743D" w:rsidP="00E8636D">
      <w:pPr>
        <w:numPr>
          <w:ilvl w:val="0"/>
          <w:numId w:val="3"/>
        </w:numPr>
        <w:spacing w:before="100" w:after="100"/>
        <w:jc w:val="both"/>
        <w:rPr>
          <w:rFonts w:ascii="Arial" w:eastAsia="Times New Roman" w:hAnsi="Arial" w:cs="Arial"/>
          <w:sz w:val="24"/>
          <w:szCs w:val="24"/>
          <w:u w:val="single"/>
        </w:rPr>
      </w:pPr>
      <w:r w:rsidRPr="00E8636D">
        <w:rPr>
          <w:rFonts w:ascii="Arial" w:eastAsia="Times New Roman" w:hAnsi="Arial" w:cs="Arial"/>
          <w:b/>
          <w:sz w:val="24"/>
          <w:szCs w:val="24"/>
          <w:u w:val="single"/>
        </w:rPr>
        <w:t>OBJETO DEL PROYECTO</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El presente proyecto de ley tiene por objeto reglamentar los niveles máximos de emisiones para vehículos con motor de ciclo diésel que circulan por el territorio nacional, con el fin de resguardar los derechos fundamentales a la vida, a la salud y al medio ambiente sano.</w:t>
      </w:r>
    </w:p>
    <w:p w:rsidR="0099217F" w:rsidRPr="00E8636D" w:rsidRDefault="0033743D" w:rsidP="00E8636D">
      <w:pPr>
        <w:numPr>
          <w:ilvl w:val="0"/>
          <w:numId w:val="3"/>
        </w:numPr>
        <w:spacing w:after="0"/>
        <w:contextualSpacing/>
        <w:jc w:val="both"/>
        <w:rPr>
          <w:rFonts w:ascii="Arial" w:eastAsia="Times New Roman" w:hAnsi="Arial" w:cs="Arial"/>
          <w:sz w:val="24"/>
          <w:szCs w:val="24"/>
          <w:u w:val="single"/>
        </w:rPr>
      </w:pPr>
      <w:r w:rsidRPr="00E8636D">
        <w:rPr>
          <w:rFonts w:ascii="Arial" w:eastAsia="Times New Roman" w:hAnsi="Arial" w:cs="Arial"/>
          <w:b/>
          <w:sz w:val="24"/>
          <w:szCs w:val="24"/>
          <w:u w:val="single"/>
        </w:rPr>
        <w:t>IMPORTANCIA DEL PROYECTO DE LEY</w:t>
      </w:r>
    </w:p>
    <w:p w:rsidR="0099217F" w:rsidRPr="00E8636D" w:rsidRDefault="0099217F">
      <w:pPr>
        <w:ind w:left="720"/>
        <w:jc w:val="both"/>
        <w:rPr>
          <w:rFonts w:ascii="Arial" w:eastAsia="Times New Roman" w:hAnsi="Arial" w:cs="Arial"/>
          <w:b/>
          <w:sz w:val="24"/>
          <w:szCs w:val="24"/>
          <w:u w:val="single"/>
        </w:rPr>
      </w:pP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La calidad del aire representa uno de los retos más grandes del país en términos de contaminación; el progresivo empeoramiento de las condiciones ha provocado que se vea comprometida la salud de los colombianos, especialmente con la proliferación y aumento de enfermedades respiratorias.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Por efecto del consumo de energía de los combustibles fósiles principalmente, se producen emisiones de material particulado y gases contaminantes, la atmósfera se carga de tales sustancias en concentraciones que son mayores en las áreas urbanas.  La condición del aire para respirar deja de ser óptima y los efectos se manifiestan en enfermedades respiratorias, que en muchos casos se traducen en discapacidad por enfermedad y en algunos otros en muertes prematuras. </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lastRenderedPageBreak/>
        <w:t xml:space="preserve">La magnitud del fenómeno se cuantifica finalmente en costos económicos que se podrían evitar a través de la aplicación de medidas gestionadas desde diferentes sectores: control de las emisiones, desarrollo de espacios públicos y arborización y desarrollo de sistemas de información, migración a tecnologías limpias en el transporte y sistemas de alerta entre otras. </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Durante el 2012, en Colombia se presentaron 6502 muertes asociadas a causas relacionadas con la contaminación del aire, según datos de la Organización Mundial de la Salud. La situación no es extraña si se tiene en cuenta </w:t>
      </w:r>
      <w:r w:rsidR="001D0EA3" w:rsidRPr="00E8636D">
        <w:rPr>
          <w:rFonts w:ascii="Arial" w:eastAsia="Times New Roman" w:hAnsi="Arial" w:cs="Arial"/>
          <w:sz w:val="24"/>
          <w:szCs w:val="24"/>
        </w:rPr>
        <w:t>que,</w:t>
      </w:r>
      <w:r w:rsidRPr="00E8636D">
        <w:rPr>
          <w:rFonts w:ascii="Arial" w:eastAsia="Times New Roman" w:hAnsi="Arial" w:cs="Arial"/>
          <w:sz w:val="24"/>
          <w:szCs w:val="24"/>
        </w:rPr>
        <w:t xml:space="preserve"> según el mi</w:t>
      </w:r>
      <w:r w:rsidR="001D0EA3">
        <w:rPr>
          <w:rFonts w:ascii="Arial" w:eastAsia="Times New Roman" w:hAnsi="Arial" w:cs="Arial"/>
          <w:sz w:val="24"/>
          <w:szCs w:val="24"/>
        </w:rPr>
        <w:t xml:space="preserve">smo organismo, en el 2014 el 92% </w:t>
      </w:r>
      <w:r w:rsidRPr="00E8636D">
        <w:rPr>
          <w:rFonts w:ascii="Arial" w:eastAsia="Times New Roman" w:hAnsi="Arial" w:cs="Arial"/>
          <w:sz w:val="24"/>
          <w:szCs w:val="24"/>
        </w:rPr>
        <w:t>de la población del mundo vivía en lugares que superaban los niveles fijados como aceptables para la calidad del aire.</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En particular, en el Valle de </w:t>
      </w:r>
      <w:proofErr w:type="spellStart"/>
      <w:r w:rsidRPr="00E8636D">
        <w:rPr>
          <w:rFonts w:ascii="Arial" w:eastAsia="Times New Roman" w:hAnsi="Arial" w:cs="Arial"/>
          <w:sz w:val="24"/>
          <w:szCs w:val="24"/>
        </w:rPr>
        <w:t>Aburrá</w:t>
      </w:r>
      <w:proofErr w:type="spellEnd"/>
      <w:r w:rsidRPr="00E8636D">
        <w:rPr>
          <w:rFonts w:ascii="Arial" w:eastAsia="Times New Roman" w:hAnsi="Arial" w:cs="Arial"/>
          <w:sz w:val="24"/>
          <w:szCs w:val="24"/>
        </w:rPr>
        <w:t xml:space="preserve">, el 9,2 </w:t>
      </w:r>
      <w:r w:rsidR="001D0EA3">
        <w:rPr>
          <w:rFonts w:ascii="Arial" w:eastAsia="Times New Roman" w:hAnsi="Arial" w:cs="Arial"/>
          <w:sz w:val="24"/>
          <w:szCs w:val="24"/>
        </w:rPr>
        <w:t>%</w:t>
      </w:r>
      <w:r w:rsidRPr="00E8636D">
        <w:rPr>
          <w:rFonts w:ascii="Arial" w:eastAsia="Times New Roman" w:hAnsi="Arial" w:cs="Arial"/>
          <w:sz w:val="24"/>
          <w:szCs w:val="24"/>
        </w:rPr>
        <w:t xml:space="preserve"> de las muertes naturales se relacionan con la contaminación del aire, según datos de Área Metropolitana. Esta contaminación tiene efectos agudos y crónicos sobre la salud; “</w:t>
      </w:r>
      <w:r w:rsidRPr="00A93FD8">
        <w:rPr>
          <w:rFonts w:ascii="Arial" w:eastAsia="Times New Roman" w:hAnsi="Arial" w:cs="Arial"/>
          <w:i/>
          <w:sz w:val="24"/>
          <w:szCs w:val="24"/>
        </w:rPr>
        <w:t>Los más frecuentes probablemente sean los f</w:t>
      </w:r>
      <w:bookmarkStart w:id="0" w:name="_GoBack"/>
      <w:r w:rsidRPr="00A93FD8">
        <w:rPr>
          <w:rFonts w:ascii="Arial" w:eastAsia="Times New Roman" w:hAnsi="Arial" w:cs="Arial"/>
          <w:i/>
          <w:sz w:val="24"/>
          <w:szCs w:val="24"/>
        </w:rPr>
        <w:t>acto</w:t>
      </w:r>
      <w:bookmarkEnd w:id="0"/>
      <w:r w:rsidRPr="00A93FD8">
        <w:rPr>
          <w:rFonts w:ascii="Arial" w:eastAsia="Times New Roman" w:hAnsi="Arial" w:cs="Arial"/>
          <w:i/>
          <w:sz w:val="24"/>
          <w:szCs w:val="24"/>
        </w:rPr>
        <w:t>res irritativos que causan conjuntivitis o alteraciones nasales, pero adicional a eso, en enfermedades agudas incrementa el riesgo por infección respiratoria, aumenta la frecuencia de tos y la producción de flema, y pueden aumentar las exacerbaciones agudas de enfermedades crónicas como el asma y la enfermedad pulmonar obstructiva crónica</w:t>
      </w:r>
      <w:r w:rsidRPr="00E8636D">
        <w:rPr>
          <w:rFonts w:ascii="Arial" w:eastAsia="Times New Roman" w:hAnsi="Arial" w:cs="Arial"/>
          <w:sz w:val="24"/>
          <w:szCs w:val="24"/>
        </w:rPr>
        <w:t>”</w:t>
      </w:r>
      <w:r w:rsidR="00A93FD8">
        <w:rPr>
          <w:rStyle w:val="Refdenotaalpie"/>
          <w:rFonts w:ascii="Arial" w:eastAsia="Times New Roman" w:hAnsi="Arial" w:cs="Arial"/>
          <w:sz w:val="24"/>
          <w:szCs w:val="24"/>
        </w:rPr>
        <w:footnoteReference w:id="3"/>
      </w:r>
      <w:r w:rsidRPr="00E8636D">
        <w:rPr>
          <w:rFonts w:ascii="Arial" w:eastAsia="Times New Roman" w:hAnsi="Arial" w:cs="Arial"/>
          <w:sz w:val="24"/>
          <w:szCs w:val="24"/>
        </w:rPr>
        <w:t>.</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Por otro lado, la contaminación atmosférica puede ser </w:t>
      </w:r>
      <w:r w:rsidR="00A93FD8">
        <w:rPr>
          <w:rFonts w:ascii="Arial" w:eastAsia="Times New Roman" w:hAnsi="Arial" w:cs="Arial"/>
          <w:sz w:val="24"/>
          <w:szCs w:val="24"/>
        </w:rPr>
        <w:t xml:space="preserve">la </w:t>
      </w:r>
      <w:r w:rsidRPr="00E8636D">
        <w:rPr>
          <w:rFonts w:ascii="Arial" w:eastAsia="Times New Roman" w:hAnsi="Arial" w:cs="Arial"/>
          <w:sz w:val="24"/>
          <w:szCs w:val="24"/>
        </w:rPr>
        <w:t>causa de afectaciones crónicas graves como el cáncer de pulmón o enfermedades cardiovasculares. Las personas más vulnerables a un aire contaminado son los niños y los ancianos, debido a que en esas edades los sistemas de defensa están más inmaduros o menos funcionales.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Según datos de la OMS, unos 4,3 millones de defunciones prematuras ocurridas en 2012 son atribuibles a la contaminación del aire en los hogares, y casi todas se produjeron en países de ingresos económicos bajos y medianos.</w:t>
      </w:r>
      <w:r w:rsidR="00A93FD8">
        <w:rPr>
          <w:rStyle w:val="Refdenotaalpie"/>
          <w:rFonts w:ascii="Arial" w:eastAsia="Times New Roman" w:hAnsi="Arial" w:cs="Arial"/>
          <w:sz w:val="24"/>
          <w:szCs w:val="24"/>
        </w:rPr>
        <w:footnoteReference w:id="4"/>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Para el PM10 (que incluye partículas finas y gruesas, de tamaño menor de 10 micrómetros), la OMS recomendó fijar la concentración de referencia en 20 µg/m3 (microgramos por cada metro cúbico de aire) como promedio de las mediciones de un año. Para el PM2,5, que solo incluye las partículas finas (aquellas de tamaño menor de 2,5 micras), recomendó un promedio anual de 10 µg/m3.</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lastRenderedPageBreak/>
        <w:t>Estos niveles están relacionados con los efectos crónicos de este contaminante, es decir, con los efectos que se presentan tras largos tiempos de exposición. El propósito de estos límites es tener una buena calidad del aire para la mayoría de la población (no se ha encontrado un nivel completamente seguro) y reducir los riesgos de morbilidad y mortalidad por enfermedades respiratorias, cardiovasculares, cáncer y otras. La adopción de estos nuevos niveles motivaría el mejoramiento y fortalecimiento de las actividades rutinarias de seguimiento a fuentes de contaminación y la adopción de planes de prevención y reducción de emisiones a largo plazo.</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Por otro lado, la OMS también fijó los niveles máximos de concentración que podrían alcanzarse en un periodo de 24 horas, relacionados con los impactos de los episodios de alta o muy alta contaminación que se presentan especialmente sobre las personas más sensibles (niños, ancianos, mujeres embarazadas, pacientes con condiciones o enfermedades respiratorias o cardiovasculares ya existentes), en 50 µg/m3 para PM10 y 25 µg/m3 para PM2,5.</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Estos episodios no deberían presentarse con frecuencia y </w:t>
      </w:r>
      <w:r w:rsidR="001138D7">
        <w:rPr>
          <w:rFonts w:ascii="Arial" w:eastAsia="Times New Roman" w:hAnsi="Arial" w:cs="Arial"/>
          <w:sz w:val="24"/>
          <w:szCs w:val="24"/>
        </w:rPr>
        <w:t>además se sugiere la existencia de</w:t>
      </w:r>
      <w:r w:rsidRPr="00E8636D">
        <w:rPr>
          <w:rFonts w:ascii="Arial" w:eastAsia="Times New Roman" w:hAnsi="Arial" w:cs="Arial"/>
          <w:sz w:val="24"/>
          <w:szCs w:val="24"/>
        </w:rPr>
        <w:t xml:space="preserve"> un número límite de excedencias, como ocurre en la legislación europea, donde, por ejemplo, el número de días con excedencia de este tipo de norma debe ser inferior a 35 cada año. La ocurrencia de excedencias debería llevar a medidas inmediatas de precaución por parte de los pobladores, y en casos críticos, daría pie a situaciones de alerta o emergencia, bajo las cuales las autoridades podrían detener la operación de las fuentes de emisiones más importantes.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Los efectos del material particulado sobre la salud tanto en tiempos de exposición cortos como prolongados incluyen: </w:t>
      </w:r>
      <w:r w:rsidR="001138D7">
        <w:rPr>
          <w:rFonts w:ascii="Arial" w:eastAsia="Times New Roman" w:hAnsi="Arial" w:cs="Arial"/>
          <w:sz w:val="24"/>
          <w:szCs w:val="24"/>
        </w:rPr>
        <w:t>a</w:t>
      </w:r>
      <w:r w:rsidRPr="00E8636D">
        <w:rPr>
          <w:rFonts w:ascii="Arial" w:eastAsia="Times New Roman" w:hAnsi="Arial" w:cs="Arial"/>
          <w:sz w:val="24"/>
          <w:szCs w:val="24"/>
        </w:rPr>
        <w:t xml:space="preserve">umento en los índices de morbilidad respiratoria y cardiovascular; por </w:t>
      </w:r>
      <w:r w:rsidR="001138D7" w:rsidRPr="00E8636D">
        <w:rPr>
          <w:rFonts w:ascii="Arial" w:eastAsia="Times New Roman" w:hAnsi="Arial" w:cs="Arial"/>
          <w:sz w:val="24"/>
          <w:szCs w:val="24"/>
        </w:rPr>
        <w:t>ejemplo,</w:t>
      </w:r>
      <w:r w:rsidRPr="00E8636D">
        <w:rPr>
          <w:rFonts w:ascii="Arial" w:eastAsia="Times New Roman" w:hAnsi="Arial" w:cs="Arial"/>
          <w:sz w:val="24"/>
          <w:szCs w:val="24"/>
        </w:rPr>
        <w:t xml:space="preserve"> severidad de asma y de síntomas respiratorios e incremento en ingresos hospitalarios.  Además, aumento en los índices de mortalidad por enfermedades respiratorias y cardiovasculares y cáncer de pulmón.</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Hay evidencia sólida sobre los efectos a tiempos de exposición corto para PM10 sobre las vías respiratorias; sin embargo, para mortalidad, el PM2.5 es el principal factor de riesgo, especialmente a exposiciones prolongadas. Se estima que </w:t>
      </w:r>
      <w:r w:rsidR="00440F32" w:rsidRPr="00E8636D">
        <w:rPr>
          <w:rFonts w:ascii="Arial" w:eastAsia="Times New Roman" w:hAnsi="Arial" w:cs="Arial"/>
          <w:sz w:val="24"/>
          <w:szCs w:val="24"/>
        </w:rPr>
        <w:t>el índice de mortalidad diaria aumenta</w:t>
      </w:r>
      <w:r w:rsidRPr="00E8636D">
        <w:rPr>
          <w:rFonts w:ascii="Arial" w:eastAsia="Times New Roman" w:hAnsi="Arial" w:cs="Arial"/>
          <w:sz w:val="24"/>
          <w:szCs w:val="24"/>
        </w:rPr>
        <w:t xml:space="preserve"> entre 0,2 y 0,6% por cada 10µg/m3 de PM10 (WHO, 2006; </w:t>
      </w:r>
      <w:proofErr w:type="spellStart"/>
      <w:r w:rsidRPr="00E8636D">
        <w:rPr>
          <w:rFonts w:ascii="Arial" w:eastAsia="Times New Roman" w:hAnsi="Arial" w:cs="Arial"/>
          <w:sz w:val="24"/>
          <w:szCs w:val="24"/>
        </w:rPr>
        <w:t>Samoli</w:t>
      </w:r>
      <w:proofErr w:type="spellEnd"/>
      <w:r w:rsidRPr="00E8636D">
        <w:rPr>
          <w:rFonts w:ascii="Arial" w:eastAsia="Times New Roman" w:hAnsi="Arial" w:cs="Arial"/>
          <w:sz w:val="24"/>
          <w:szCs w:val="24"/>
        </w:rPr>
        <w:t>, et al., 2008). Respecto a exposición prolongada a PM2.5, se calcula un aumento en los índices de mortalidad cardiopulmonar entre 6 y 13% por cada 10 µg/m3 de PM2.5 (</w:t>
      </w:r>
      <w:proofErr w:type="spellStart"/>
      <w:r w:rsidRPr="00E8636D">
        <w:rPr>
          <w:rFonts w:ascii="Arial" w:eastAsia="Times New Roman" w:hAnsi="Arial" w:cs="Arial"/>
          <w:sz w:val="24"/>
          <w:szCs w:val="24"/>
        </w:rPr>
        <w:t>Krewski</w:t>
      </w:r>
      <w:proofErr w:type="spellEnd"/>
      <w:r w:rsidRPr="00E8636D">
        <w:rPr>
          <w:rFonts w:ascii="Arial" w:eastAsia="Times New Roman" w:hAnsi="Arial" w:cs="Arial"/>
          <w:sz w:val="24"/>
          <w:szCs w:val="24"/>
        </w:rPr>
        <w:t>, et al., 2009; Pope III, et al., 2002).</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Las poblaciones más susceptibles involucran a los niños, a las personas de la tercera edad y a quienes sufren enfermedades cardíacas o pulmonares. Por ejemplo, la exposición a material particulado afecta el desarrollo pulmonar en los niños y ejerce efectos en la tasa de crecimiento</w:t>
      </w:r>
      <w:r w:rsidR="00440F32">
        <w:rPr>
          <w:rFonts w:ascii="Arial" w:eastAsia="Times New Roman" w:hAnsi="Arial" w:cs="Arial"/>
          <w:sz w:val="24"/>
          <w:szCs w:val="24"/>
        </w:rPr>
        <w:t xml:space="preserve"> </w:t>
      </w:r>
      <w:r w:rsidR="00440F32">
        <w:rPr>
          <w:rFonts w:ascii="Arial" w:eastAsia="Times New Roman" w:hAnsi="Arial" w:cs="Arial"/>
          <w:sz w:val="24"/>
          <w:szCs w:val="24"/>
        </w:rPr>
        <w:lastRenderedPageBreak/>
        <w:t>y funcionamiento a largo plazo</w:t>
      </w:r>
      <w:r w:rsidR="00440F32">
        <w:rPr>
          <w:rStyle w:val="Refdenotaalpie"/>
          <w:rFonts w:ascii="Arial" w:eastAsia="Times New Roman" w:hAnsi="Arial" w:cs="Arial"/>
          <w:sz w:val="24"/>
          <w:szCs w:val="24"/>
        </w:rPr>
        <w:footnoteReference w:id="5"/>
      </w:r>
      <w:r w:rsidR="00440F32">
        <w:rPr>
          <w:rFonts w:ascii="Arial" w:eastAsia="Times New Roman" w:hAnsi="Arial" w:cs="Arial"/>
          <w:sz w:val="24"/>
          <w:szCs w:val="24"/>
        </w:rPr>
        <w:t>.</w:t>
      </w:r>
      <w:r w:rsidRPr="00E8636D">
        <w:rPr>
          <w:rFonts w:ascii="Arial" w:eastAsia="Times New Roman" w:hAnsi="Arial" w:cs="Arial"/>
          <w:sz w:val="24"/>
          <w:szCs w:val="24"/>
        </w:rPr>
        <w:t xml:space="preserve"> Cabe resaltar que no hay evidencia de niveles de exposición mínimos que tengan un efecto adverso nulo sobre la salud; además, la exposición a los contaminantes del aire es inevitable, lo cual le otorga un papel determinante en la salud pública. </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Por otra parte, el contaminante denominado “</w:t>
      </w:r>
      <w:proofErr w:type="spellStart"/>
      <w:r w:rsidRPr="00E8636D">
        <w:rPr>
          <w:rFonts w:ascii="Arial" w:eastAsia="Times New Roman" w:hAnsi="Arial" w:cs="Arial"/>
          <w:sz w:val="24"/>
          <w:szCs w:val="24"/>
        </w:rPr>
        <w:t>black</w:t>
      </w:r>
      <w:proofErr w:type="spellEnd"/>
      <w:r w:rsidRPr="00E8636D">
        <w:rPr>
          <w:rFonts w:ascii="Arial" w:eastAsia="Times New Roman" w:hAnsi="Arial" w:cs="Arial"/>
          <w:sz w:val="24"/>
          <w:szCs w:val="24"/>
        </w:rPr>
        <w:t xml:space="preserve"> </w:t>
      </w:r>
      <w:proofErr w:type="spellStart"/>
      <w:r w:rsidRPr="00E8636D">
        <w:rPr>
          <w:rFonts w:ascii="Arial" w:eastAsia="Times New Roman" w:hAnsi="Arial" w:cs="Arial"/>
          <w:sz w:val="24"/>
          <w:szCs w:val="24"/>
        </w:rPr>
        <w:t>carbon</w:t>
      </w:r>
      <w:proofErr w:type="spellEnd"/>
      <w:r w:rsidRPr="00E8636D">
        <w:rPr>
          <w:rFonts w:ascii="Arial" w:eastAsia="Times New Roman" w:hAnsi="Arial" w:cs="Arial"/>
          <w:sz w:val="24"/>
          <w:szCs w:val="24"/>
        </w:rPr>
        <w:t>”,</w:t>
      </w:r>
      <w:r w:rsidR="005B3AD6">
        <w:rPr>
          <w:rStyle w:val="Refdenotaalpie"/>
          <w:rFonts w:ascii="Arial" w:eastAsia="Times New Roman" w:hAnsi="Arial" w:cs="Arial"/>
          <w:sz w:val="24"/>
          <w:szCs w:val="24"/>
        </w:rPr>
        <w:footnoteReference w:id="6"/>
      </w:r>
      <w:r w:rsidRPr="00E8636D">
        <w:rPr>
          <w:rFonts w:ascii="Arial" w:eastAsia="Times New Roman" w:hAnsi="Arial" w:cs="Arial"/>
          <w:sz w:val="24"/>
          <w:szCs w:val="24"/>
        </w:rPr>
        <w:t xml:space="preserve"> resultante de la combustión incompleta y que es fracción del PM2.5, ha ganado relevancia en el análisis de calidad del aire debido a que existe evidencia de sus efectos negativos tanto en salud como a nivel climático, ya que contienen hidrocarburos aromáticos policíclicos (conocidos por sus propiedades carcinogénicas y tóxicas), así como metales y sales inorgánicas.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En estos casos, adoptar las recomendaciones de la OMS significa que las autoridades deberían aumentar su capacidad de comunicación masiva, respuesta rápida y claridad en la identificación de las fuentes que más contribuyen a la contaminación del aire, para reducir o detener su operación si resulta ser necesario.</w:t>
      </w:r>
    </w:p>
    <w:p w:rsidR="0099217F" w:rsidRPr="00E8636D" w:rsidRDefault="0099217F">
      <w:pPr>
        <w:spacing w:after="0"/>
        <w:ind w:left="720"/>
        <w:jc w:val="both"/>
        <w:rPr>
          <w:rFonts w:ascii="Arial" w:eastAsia="Times New Roman" w:hAnsi="Arial" w:cs="Arial"/>
          <w:b/>
          <w:sz w:val="24"/>
          <w:szCs w:val="24"/>
          <w:u w:val="single"/>
        </w:rPr>
      </w:pPr>
    </w:p>
    <w:p w:rsidR="0099217F" w:rsidRPr="00E8636D" w:rsidRDefault="0033743D" w:rsidP="00E8636D">
      <w:pPr>
        <w:numPr>
          <w:ilvl w:val="0"/>
          <w:numId w:val="3"/>
        </w:numPr>
        <w:spacing w:after="0"/>
        <w:contextualSpacing/>
        <w:jc w:val="both"/>
        <w:rPr>
          <w:rFonts w:ascii="Arial" w:eastAsia="Times New Roman" w:hAnsi="Arial" w:cs="Arial"/>
          <w:sz w:val="24"/>
          <w:szCs w:val="24"/>
          <w:u w:val="single"/>
        </w:rPr>
      </w:pPr>
      <w:r w:rsidRPr="00E8636D">
        <w:rPr>
          <w:rFonts w:ascii="Arial" w:eastAsia="Times New Roman" w:hAnsi="Arial" w:cs="Arial"/>
          <w:b/>
          <w:sz w:val="24"/>
          <w:szCs w:val="24"/>
          <w:u w:val="single"/>
        </w:rPr>
        <w:t>CONTENIDO DEL PROYECTO</w:t>
      </w:r>
    </w:p>
    <w:p w:rsidR="0099217F" w:rsidRPr="00E8636D" w:rsidRDefault="0099217F">
      <w:pPr>
        <w:ind w:left="720"/>
        <w:jc w:val="both"/>
        <w:rPr>
          <w:rFonts w:ascii="Arial" w:eastAsia="Times New Roman" w:hAnsi="Arial" w:cs="Arial"/>
          <w:b/>
          <w:sz w:val="24"/>
          <w:szCs w:val="24"/>
          <w:u w:val="single"/>
        </w:rPr>
      </w:pP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En general, el proyecto de ley busca reglamentar a partir de las fechas definidas, límites de emisión más estrictos tanto para los vehículos nuevos como para aquellos que se encuentran en circulación y que emplean motores diésel. En particular reglamenta la reducción de las emisiones de material particulado </w:t>
      </w:r>
      <w:proofErr w:type="spellStart"/>
      <w:r w:rsidRPr="00E8636D">
        <w:rPr>
          <w:rFonts w:ascii="Arial" w:eastAsia="Times New Roman" w:hAnsi="Arial" w:cs="Arial"/>
          <w:sz w:val="24"/>
          <w:szCs w:val="24"/>
        </w:rPr>
        <w:t>ultrafino</w:t>
      </w:r>
      <w:proofErr w:type="spellEnd"/>
      <w:r w:rsidRPr="00E8636D">
        <w:rPr>
          <w:rFonts w:ascii="Arial" w:eastAsia="Times New Roman" w:hAnsi="Arial" w:cs="Arial"/>
          <w:sz w:val="24"/>
          <w:szCs w:val="24"/>
        </w:rPr>
        <w:t>, expresado en número de partículas –NP.</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El articulado define límites de emisión para dos categorías de vehículos, los pesados, y los medianos y livianos. Del mismo modo subdivide estas categorías según las metodologías o ciclos de prueba que emplee el fabricante, para demostrar el cumplimiento de los límites de emisión establecidos. Estos pueden ser ciclos de la Unión Europea o ciclos de Estados Unidos, que definen los límites de emisiones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Adicionalmente, y teniendo en cuenta que establecer límites de emisión más estrictos requiere también de ciertas condiciones asociadas a la calidad del combustible, en particular de su contenido de azufre, la reglamentación de los límites de emisión de material particulado </w:t>
      </w:r>
      <w:proofErr w:type="spellStart"/>
      <w:r w:rsidRPr="00E8636D">
        <w:rPr>
          <w:rFonts w:ascii="Arial" w:eastAsia="Times New Roman" w:hAnsi="Arial" w:cs="Arial"/>
          <w:sz w:val="24"/>
          <w:szCs w:val="24"/>
        </w:rPr>
        <w:t>ultrafino</w:t>
      </w:r>
      <w:proofErr w:type="spellEnd"/>
      <w:r w:rsidRPr="00E8636D">
        <w:rPr>
          <w:rFonts w:ascii="Arial" w:eastAsia="Times New Roman" w:hAnsi="Arial" w:cs="Arial"/>
          <w:sz w:val="24"/>
          <w:szCs w:val="24"/>
        </w:rPr>
        <w:t xml:space="preserve"> se realiza en dos etapas: la primera a partir de 2020, para la cual no se requieren ajustes en la </w:t>
      </w:r>
      <w:r w:rsidRPr="00E8636D">
        <w:rPr>
          <w:rFonts w:ascii="Arial" w:eastAsia="Times New Roman" w:hAnsi="Arial" w:cs="Arial"/>
          <w:sz w:val="24"/>
          <w:szCs w:val="24"/>
        </w:rPr>
        <w:lastRenderedPageBreak/>
        <w:t>calidad del combustible, y una segunda etapa a partir de 2030, para la cual sí se considera una reducción en el contenido de azufre en el diésel.</w:t>
      </w:r>
    </w:p>
    <w:p w:rsidR="0099217F" w:rsidRPr="00E8636D" w:rsidRDefault="0033743D">
      <w:pPr>
        <w:jc w:val="both"/>
        <w:rPr>
          <w:rFonts w:ascii="Arial" w:eastAsia="Times New Roman" w:hAnsi="Arial" w:cs="Arial"/>
          <w:i/>
          <w:sz w:val="24"/>
          <w:szCs w:val="24"/>
        </w:rPr>
      </w:pPr>
      <w:r w:rsidRPr="00E8636D">
        <w:rPr>
          <w:rFonts w:ascii="Arial" w:eastAsia="Times New Roman" w:hAnsi="Arial" w:cs="Arial"/>
          <w:i/>
          <w:sz w:val="24"/>
          <w:szCs w:val="24"/>
        </w:rPr>
        <w:t>Artículo 3°.</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Este artículo define los límites de emisión para vehículos pesados con motor diésel que entren al país o se ensamblen en el mismo a partir de primero de enero de 2020, y en particular, respecto de la normativa vigente para los ciclos europeos, adiciona el límite de emisión de número de partículas. Para los ciclos de Estados Unidos se actualizan completamente los límites de emisión respecto de la norma nacional vigente para estos.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Su primer parágrafo hace énfasis en los vehículos para transporte de carga y pasajeros, y su segundo parágrafo establece el mecanismo de verificación del cumplimiento de dichos límites.</w:t>
      </w:r>
    </w:p>
    <w:p w:rsidR="0099217F" w:rsidRPr="00E8636D" w:rsidRDefault="0033743D">
      <w:pPr>
        <w:jc w:val="both"/>
        <w:rPr>
          <w:rFonts w:ascii="Arial" w:eastAsia="Times New Roman" w:hAnsi="Arial" w:cs="Arial"/>
          <w:i/>
          <w:sz w:val="24"/>
          <w:szCs w:val="24"/>
        </w:rPr>
      </w:pPr>
      <w:r w:rsidRPr="00E8636D">
        <w:rPr>
          <w:rFonts w:ascii="Arial" w:eastAsia="Times New Roman" w:hAnsi="Arial" w:cs="Arial"/>
          <w:i/>
          <w:sz w:val="24"/>
          <w:szCs w:val="24"/>
        </w:rPr>
        <w:t>Artículo 4°</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Actualiza los límites de emisión, gases y material particulado, para vehículos pesados tanto para ciclos europeos como de Estados Unidos. </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Su primer parágrafo hace énfasis en los vehículos para transporte de carga y pasajeros, y su segundo parágrafo establece el mecanismo de verificación del cumplimiento de dichos límites.</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El parágrafo 3 establece el mecanismo de control y vigilancia en uso, es decir, como se verificará el comportamiento de dichos motores y vehículos una vez estén operando en el territorio nacional.</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El parágrafo 4 busca promover las acciones necesarias para disponer del combustible con la calidad requerida para operar los nuevos automotores.</w:t>
      </w:r>
    </w:p>
    <w:p w:rsidR="0099217F" w:rsidRPr="00E8636D" w:rsidRDefault="0033743D">
      <w:pPr>
        <w:jc w:val="both"/>
        <w:rPr>
          <w:rFonts w:ascii="Arial" w:eastAsia="Times New Roman" w:hAnsi="Arial" w:cs="Arial"/>
          <w:i/>
          <w:sz w:val="24"/>
          <w:szCs w:val="24"/>
        </w:rPr>
      </w:pPr>
      <w:r w:rsidRPr="00E8636D">
        <w:rPr>
          <w:rFonts w:ascii="Arial" w:eastAsia="Times New Roman" w:hAnsi="Arial" w:cs="Arial"/>
          <w:i/>
          <w:sz w:val="24"/>
          <w:szCs w:val="24"/>
        </w:rPr>
        <w:t>Artículo 5°</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Actualiza los límites de emisión, gases y material particulado, para vehículos medianos y livianos, tanto para ciclos europeos como de Estados Unidos, incluyendo límites de emisión para el material particulado </w:t>
      </w:r>
      <w:proofErr w:type="spellStart"/>
      <w:r w:rsidRPr="00E8636D">
        <w:rPr>
          <w:rFonts w:ascii="Arial" w:eastAsia="Times New Roman" w:hAnsi="Arial" w:cs="Arial"/>
          <w:sz w:val="24"/>
          <w:szCs w:val="24"/>
        </w:rPr>
        <w:t>ultrafino</w:t>
      </w:r>
      <w:proofErr w:type="spellEnd"/>
      <w:r w:rsidRPr="00E8636D">
        <w:rPr>
          <w:rFonts w:ascii="Arial" w:eastAsia="Times New Roman" w:hAnsi="Arial" w:cs="Arial"/>
          <w:sz w:val="24"/>
          <w:szCs w:val="24"/>
        </w:rPr>
        <w:t>.</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Su primer parágrafo establece el mecanismo de verificación del cumplimiento de dichos límites.</w:t>
      </w:r>
    </w:p>
    <w:p w:rsidR="0099217F" w:rsidRPr="00E8636D" w:rsidRDefault="0033743D">
      <w:pPr>
        <w:jc w:val="both"/>
        <w:rPr>
          <w:rFonts w:ascii="Arial" w:eastAsia="Times New Roman" w:hAnsi="Arial" w:cs="Arial"/>
          <w:i/>
          <w:sz w:val="24"/>
          <w:szCs w:val="24"/>
        </w:rPr>
      </w:pPr>
      <w:r w:rsidRPr="00E8636D">
        <w:rPr>
          <w:rFonts w:ascii="Arial" w:eastAsia="Times New Roman" w:hAnsi="Arial" w:cs="Arial"/>
          <w:i/>
          <w:sz w:val="24"/>
          <w:szCs w:val="24"/>
        </w:rPr>
        <w:t>Artículo 6°</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Este artículo busca fortalecer el marco de vigilancia y control de las autoridades ambientales del país, definiendo la necesidad de actualizar el método de evaluación de emisiones de los vehículos en uso, pasando de una prueba estática, actual, a una prueba dinámica, propuesta.</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lastRenderedPageBreak/>
        <w:t>Es importante aclarar que esta prueba dinámica simple, no hace referencia a pruebas de homologación de estándares, sino que es exclusiva para realizar el control y vigilancia de las fuentes móviles en uso en el territorio nacional, y le define un plazo de 2 años a los ministerios para que realicen los estudios correspondientes.</w:t>
      </w:r>
    </w:p>
    <w:p w:rsidR="0099217F" w:rsidRPr="00E8636D" w:rsidRDefault="0099217F">
      <w:pPr>
        <w:jc w:val="both"/>
        <w:rPr>
          <w:rFonts w:ascii="Arial" w:eastAsia="Times New Roman" w:hAnsi="Arial" w:cs="Arial"/>
          <w:sz w:val="24"/>
          <w:szCs w:val="24"/>
        </w:rPr>
      </w:pPr>
    </w:p>
    <w:p w:rsidR="0099217F" w:rsidRPr="00E8636D" w:rsidRDefault="0033743D" w:rsidP="00E8636D">
      <w:pPr>
        <w:numPr>
          <w:ilvl w:val="0"/>
          <w:numId w:val="3"/>
        </w:numPr>
        <w:spacing w:after="0"/>
        <w:contextualSpacing/>
        <w:jc w:val="both"/>
        <w:rPr>
          <w:rFonts w:ascii="Arial" w:eastAsia="Times New Roman" w:hAnsi="Arial" w:cs="Arial"/>
          <w:sz w:val="24"/>
          <w:szCs w:val="24"/>
          <w:u w:val="single"/>
        </w:rPr>
      </w:pPr>
      <w:r w:rsidRPr="00E8636D">
        <w:rPr>
          <w:rFonts w:ascii="Arial" w:eastAsia="Times New Roman" w:hAnsi="Arial" w:cs="Arial"/>
          <w:b/>
          <w:sz w:val="24"/>
          <w:szCs w:val="24"/>
          <w:u w:val="single"/>
        </w:rPr>
        <w:t>CONSIDERACIONES DEL PONENTE</w:t>
      </w:r>
    </w:p>
    <w:p w:rsidR="0099217F" w:rsidRPr="002B4E00" w:rsidRDefault="0033743D">
      <w:pPr>
        <w:jc w:val="both"/>
        <w:rPr>
          <w:rFonts w:ascii="Arial" w:eastAsia="Times New Roman" w:hAnsi="Arial" w:cs="Arial"/>
          <w:sz w:val="24"/>
          <w:szCs w:val="24"/>
        </w:rPr>
      </w:pPr>
      <w:r w:rsidRPr="00E8636D">
        <w:rPr>
          <w:rFonts w:ascii="Arial" w:eastAsia="Times New Roman" w:hAnsi="Arial" w:cs="Arial"/>
          <w:sz w:val="24"/>
          <w:szCs w:val="24"/>
        </w:rPr>
        <w:t>Son varias las razones por la</w:t>
      </w:r>
      <w:r w:rsidR="00605ABD">
        <w:rPr>
          <w:rFonts w:ascii="Arial" w:eastAsia="Times New Roman" w:hAnsi="Arial" w:cs="Arial"/>
          <w:sz w:val="24"/>
          <w:szCs w:val="24"/>
        </w:rPr>
        <w:t>s</w:t>
      </w:r>
      <w:r w:rsidRPr="00E8636D">
        <w:rPr>
          <w:rFonts w:ascii="Arial" w:eastAsia="Times New Roman" w:hAnsi="Arial" w:cs="Arial"/>
          <w:sz w:val="24"/>
          <w:szCs w:val="24"/>
        </w:rPr>
        <w:t xml:space="preserve"> cual</w:t>
      </w:r>
      <w:r w:rsidR="00605ABD">
        <w:rPr>
          <w:rFonts w:ascii="Arial" w:eastAsia="Times New Roman" w:hAnsi="Arial" w:cs="Arial"/>
          <w:sz w:val="24"/>
          <w:szCs w:val="24"/>
        </w:rPr>
        <w:t>es</w:t>
      </w:r>
      <w:r w:rsidRPr="00E8636D">
        <w:rPr>
          <w:rFonts w:ascii="Arial" w:eastAsia="Times New Roman" w:hAnsi="Arial" w:cs="Arial"/>
          <w:sz w:val="24"/>
          <w:szCs w:val="24"/>
        </w:rPr>
        <w:t xml:space="preserve"> considero pertinente y conveniente la aprobación del proyecto de ley presentado a consideración de la Comisión Quinta Constitucional. En primer lugar, con la aprobación de este proyecto se lograría reglamentar los niveles de emisión de las partículas </w:t>
      </w:r>
      <w:proofErr w:type="spellStart"/>
      <w:r w:rsidRPr="00E8636D">
        <w:rPr>
          <w:rFonts w:ascii="Arial" w:eastAsia="Times New Roman" w:hAnsi="Arial" w:cs="Arial"/>
          <w:sz w:val="24"/>
          <w:szCs w:val="24"/>
        </w:rPr>
        <w:t>ultrafinas</w:t>
      </w:r>
      <w:proofErr w:type="spellEnd"/>
      <w:r w:rsidRPr="00E8636D">
        <w:rPr>
          <w:rFonts w:ascii="Arial" w:eastAsia="Times New Roman" w:hAnsi="Arial" w:cs="Arial"/>
          <w:sz w:val="24"/>
          <w:szCs w:val="24"/>
        </w:rPr>
        <w:t xml:space="preserve">, aquellas que causan los problemas más serios de enfermedad y muerte por contaminación </w:t>
      </w:r>
      <w:r w:rsidRPr="002B4E00">
        <w:rPr>
          <w:rFonts w:ascii="Arial" w:eastAsia="Times New Roman" w:hAnsi="Arial" w:cs="Arial"/>
          <w:sz w:val="24"/>
          <w:szCs w:val="24"/>
        </w:rPr>
        <w:t>del aire</w:t>
      </w:r>
      <w:r w:rsidR="002B4E00" w:rsidRPr="002B4E00">
        <w:rPr>
          <w:rFonts w:ascii="Arial" w:eastAsia="Times New Roman" w:hAnsi="Arial" w:cs="Arial"/>
          <w:sz w:val="24"/>
          <w:szCs w:val="24"/>
        </w:rPr>
        <w:t xml:space="preserve">. </w:t>
      </w:r>
      <w:r w:rsidRPr="002B4E00">
        <w:rPr>
          <w:rFonts w:ascii="Arial" w:eastAsia="Times New Roman" w:hAnsi="Arial" w:cs="Arial"/>
          <w:sz w:val="24"/>
          <w:szCs w:val="24"/>
        </w:rPr>
        <w:t>Esta es una práctica de tendencia mundial, cuyo objeto es salvaguardar la vida de las personas. Colombia necesita con urgencia intensificar sus esfuerzos en el desarrollo del monitoreo que permita conocer la totalidad del fenómeno en los dife</w:t>
      </w:r>
      <w:r w:rsidR="002B4E00">
        <w:rPr>
          <w:rFonts w:ascii="Arial" w:eastAsia="Times New Roman" w:hAnsi="Arial" w:cs="Arial"/>
          <w:sz w:val="24"/>
          <w:szCs w:val="24"/>
        </w:rPr>
        <w:t>rentes centros urbanos del país.</w:t>
      </w:r>
      <w:r w:rsidRPr="002B4E00">
        <w:rPr>
          <w:rFonts w:ascii="Arial" w:eastAsia="Times New Roman" w:hAnsi="Arial" w:cs="Arial"/>
          <w:sz w:val="24"/>
          <w:szCs w:val="24"/>
        </w:rPr>
        <w:t xml:space="preserve"> </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La contaminación del aire en las ciudades en Colombia lleva una vulneración de los derechos a la salud y al medio ambiente consagrados en los artículos 49, 79, 80 y 366 de la Constitución Política de 1991, la cual genera una nueva aproximación entre la sociedad y la naturaleza, con la llamada Constitución ecológica. </w:t>
      </w:r>
    </w:p>
    <w:p w:rsidR="007B1213" w:rsidRDefault="0033743D">
      <w:pPr>
        <w:jc w:val="both"/>
        <w:rPr>
          <w:rFonts w:ascii="Arial" w:eastAsia="Times New Roman" w:hAnsi="Arial" w:cs="Arial"/>
          <w:sz w:val="24"/>
          <w:szCs w:val="24"/>
        </w:rPr>
      </w:pPr>
      <w:r w:rsidRPr="00E8636D">
        <w:rPr>
          <w:rFonts w:ascii="Arial" w:eastAsia="Times New Roman" w:hAnsi="Arial" w:cs="Arial"/>
          <w:sz w:val="24"/>
          <w:szCs w:val="24"/>
        </w:rPr>
        <w:t>La calidad del aire, como elemento determinante de un medio ambiente sano se convierte, por esta vía, en una preocupación que es necesario afrontar desde el ámbito legislativo. La Corte Constitucional ha reconocido que la defensa del medio ambiente es un bien jurídico que contiene una triple dimensión en el ordenamiento colombiano, como</w:t>
      </w:r>
      <w:r w:rsidR="007B1213">
        <w:rPr>
          <w:rFonts w:ascii="Arial" w:eastAsia="Times New Roman" w:hAnsi="Arial" w:cs="Arial"/>
          <w:sz w:val="24"/>
          <w:szCs w:val="24"/>
        </w:rPr>
        <w:t>:</w:t>
      </w:r>
    </w:p>
    <w:p w:rsidR="0099217F" w:rsidRPr="00E8636D" w:rsidRDefault="0033743D" w:rsidP="007B1213">
      <w:pPr>
        <w:ind w:left="720"/>
        <w:jc w:val="both"/>
        <w:rPr>
          <w:rFonts w:ascii="Arial" w:eastAsia="Times New Roman" w:hAnsi="Arial" w:cs="Arial"/>
          <w:i/>
          <w:sz w:val="24"/>
          <w:szCs w:val="24"/>
        </w:rPr>
      </w:pPr>
      <w:r w:rsidRPr="00E8636D">
        <w:rPr>
          <w:rFonts w:ascii="Arial" w:eastAsia="Times New Roman" w:hAnsi="Arial" w:cs="Arial"/>
          <w:i/>
          <w:sz w:val="24"/>
          <w:szCs w:val="24"/>
        </w:rPr>
        <w:t>“(i) principio que irradia todo el orden jurídico correspondiendo al Estado proteger las riquezas naturales de la Nación; (ii) es un derecho constitucional (fundamental y colectivo) exigible por todas las personas a través de diversas vías judiciales; y (iii) es una obligación en cabeza de las autoridades, la sociedad y los particulares, al implicar deberes calificados de protección. Además, la Constitución establece el “saneamiento ambiental” como servicio público y propósito fundamental de la actividad estatal (arts. 49 y 366 Superiores)”</w:t>
      </w:r>
      <w:r w:rsidR="007B1213">
        <w:rPr>
          <w:rStyle w:val="Refdenotaalpie"/>
          <w:rFonts w:ascii="Arial" w:eastAsia="Times New Roman" w:hAnsi="Arial" w:cs="Arial"/>
          <w:i/>
          <w:sz w:val="24"/>
          <w:szCs w:val="24"/>
        </w:rPr>
        <w:footnoteReference w:id="7"/>
      </w:r>
      <w:r w:rsidRPr="00E8636D">
        <w:rPr>
          <w:rFonts w:ascii="Arial" w:eastAsia="Times New Roman" w:hAnsi="Arial" w:cs="Arial"/>
          <w:i/>
          <w:sz w:val="24"/>
          <w:szCs w:val="24"/>
        </w:rPr>
        <w:t>.</w:t>
      </w:r>
    </w:p>
    <w:p w:rsidR="0099217F" w:rsidRPr="00E8636D" w:rsidRDefault="0033743D">
      <w:pPr>
        <w:jc w:val="both"/>
        <w:rPr>
          <w:rFonts w:ascii="Arial" w:eastAsia="Times New Roman" w:hAnsi="Arial" w:cs="Arial"/>
          <w:sz w:val="24"/>
          <w:szCs w:val="24"/>
        </w:rPr>
      </w:pPr>
      <w:r w:rsidRPr="00E8636D">
        <w:rPr>
          <w:rFonts w:ascii="Arial" w:eastAsia="Times New Roman" w:hAnsi="Arial" w:cs="Arial"/>
          <w:sz w:val="24"/>
          <w:szCs w:val="24"/>
        </w:rPr>
        <w:t xml:space="preserve">En consecuencia, son deberes del Estado, entre otras, </w:t>
      </w:r>
      <w:r w:rsidRPr="00E8636D">
        <w:rPr>
          <w:rFonts w:ascii="Arial" w:eastAsia="Times New Roman" w:hAnsi="Arial" w:cs="Arial"/>
          <w:i/>
          <w:sz w:val="24"/>
          <w:szCs w:val="24"/>
        </w:rPr>
        <w:t>“prevenir y controlar los factores de deterioro ambiental”</w:t>
      </w:r>
      <w:r w:rsidRPr="00E8636D">
        <w:rPr>
          <w:rFonts w:ascii="Arial" w:eastAsia="Times New Roman" w:hAnsi="Arial" w:cs="Arial"/>
          <w:sz w:val="24"/>
          <w:szCs w:val="24"/>
        </w:rPr>
        <w:t xml:space="preserve"> tal y como se lo propone el presente proyecto de ley, al establecer unos límites máximos de emisiones para vehículos con motor de ciclo diésel, con el fin de disminuir </w:t>
      </w:r>
      <w:r w:rsidRPr="00E8636D">
        <w:rPr>
          <w:rFonts w:ascii="Arial" w:eastAsia="Times New Roman" w:hAnsi="Arial" w:cs="Arial"/>
          <w:sz w:val="24"/>
          <w:szCs w:val="24"/>
        </w:rPr>
        <w:lastRenderedPageBreak/>
        <w:t>los riesgos asociados a la salud y por consiguiente a la vida de los colombianos.  Tal como lo reconoció la Corte Constitucional en la sentencia C-671 de 2001:</w:t>
      </w:r>
    </w:p>
    <w:p w:rsidR="0099217F" w:rsidRPr="00E8636D" w:rsidRDefault="0033743D">
      <w:pPr>
        <w:ind w:left="708"/>
        <w:jc w:val="both"/>
        <w:rPr>
          <w:rFonts w:ascii="Arial" w:eastAsia="Times New Roman" w:hAnsi="Arial" w:cs="Arial"/>
          <w:i/>
          <w:sz w:val="24"/>
          <w:szCs w:val="24"/>
        </w:rPr>
      </w:pPr>
      <w:r w:rsidRPr="00E8636D">
        <w:rPr>
          <w:rFonts w:ascii="Arial" w:eastAsia="Times New Roman" w:hAnsi="Arial" w:cs="Arial"/>
          <w:i/>
          <w:sz w:val="24"/>
          <w:szCs w:val="24"/>
        </w:rPr>
        <w:t>“La defensa del medio ambiente constituye un objetivo de principio dentro de la actual estructura de nuestro Estado Social de Derecho. En cuanto hace parte del entorno vital del hombre, indispensable para su supervivencia y la de las generaciones futuras, el medio ambiente se encuentra al amparo de lo que la jurisprudencia ha denominado ‘Constitución ecológica’, conformada por el conjunto de disposiciones superiores que fijan los presupuestos a partir de los cuales deben regularse las relaciones de la comunidad con la naturaleza y que, en gran medida, propugnan por su conservación y protección.”</w:t>
      </w:r>
    </w:p>
    <w:p w:rsidR="0099217F" w:rsidRPr="00E8636D" w:rsidRDefault="0033743D">
      <w:pPr>
        <w:ind w:left="708"/>
        <w:jc w:val="both"/>
        <w:rPr>
          <w:rFonts w:ascii="Arial" w:eastAsia="Times New Roman" w:hAnsi="Arial" w:cs="Arial"/>
          <w:i/>
          <w:sz w:val="24"/>
          <w:szCs w:val="24"/>
        </w:rPr>
      </w:pPr>
      <w:r w:rsidRPr="00E8636D">
        <w:rPr>
          <w:rFonts w:ascii="Arial" w:eastAsia="Times New Roman" w:hAnsi="Arial" w:cs="Arial"/>
          <w:i/>
          <w:sz w:val="24"/>
          <w:szCs w:val="24"/>
        </w:rPr>
        <w:t xml:space="preserve">“El derecho al medio ambiente no se puede desligar del derecho a la vida y a la salud de las personas. De hecho, los factores perturbadores del medio ambiente causan daños irreparables en los seres humanos y si ello es así habrá que decirse que el medio ambiente es un derecho fundamental para la existencia de la humanidad. A esta conclusión se ha llegado cuando esta Corte ha evaluado la incidencia del medio ambiente en la vida de los hombres y por ello en sentencias anteriores de tutelas, se ha afirmado que el derecho al medio ambiente es un derecho fundamental.” </w:t>
      </w:r>
    </w:p>
    <w:p w:rsidR="0099217F" w:rsidRPr="007B1213" w:rsidRDefault="007B1213">
      <w:pPr>
        <w:jc w:val="both"/>
        <w:rPr>
          <w:rFonts w:ascii="Arial" w:eastAsia="Times New Roman" w:hAnsi="Arial" w:cs="Arial"/>
          <w:sz w:val="24"/>
          <w:szCs w:val="24"/>
        </w:rPr>
      </w:pPr>
      <w:r>
        <w:rPr>
          <w:rFonts w:ascii="Arial" w:eastAsia="Times New Roman" w:hAnsi="Arial" w:cs="Arial"/>
          <w:sz w:val="24"/>
          <w:szCs w:val="24"/>
        </w:rPr>
        <w:t xml:space="preserve">Atendiendo lo expuesto por la Corte Constitucional, se reitera la importancia del proyecto de ley que pasa a primer debate. Por tanto, se plantea la siguiente, </w:t>
      </w:r>
    </w:p>
    <w:p w:rsidR="0099217F" w:rsidRPr="00E8636D" w:rsidRDefault="0033743D">
      <w:pPr>
        <w:spacing w:before="100" w:after="100"/>
        <w:rPr>
          <w:rFonts w:ascii="Arial" w:eastAsia="Times New Roman" w:hAnsi="Arial" w:cs="Arial"/>
          <w:b/>
          <w:sz w:val="24"/>
          <w:szCs w:val="24"/>
          <w:u w:val="single"/>
        </w:rPr>
      </w:pPr>
      <w:r w:rsidRPr="00E8636D">
        <w:rPr>
          <w:rFonts w:ascii="Arial" w:eastAsia="Times New Roman" w:hAnsi="Arial" w:cs="Arial"/>
          <w:b/>
          <w:sz w:val="24"/>
          <w:szCs w:val="24"/>
        </w:rPr>
        <w:t>VI</w:t>
      </w:r>
      <w:r w:rsidRPr="00E8636D">
        <w:rPr>
          <w:rFonts w:ascii="Arial" w:eastAsia="Times New Roman" w:hAnsi="Arial" w:cs="Arial"/>
          <w:sz w:val="24"/>
          <w:szCs w:val="24"/>
        </w:rPr>
        <w:t xml:space="preserve">. </w:t>
      </w:r>
      <w:r w:rsidRPr="00E8636D">
        <w:rPr>
          <w:rFonts w:ascii="Arial" w:eastAsia="Times New Roman" w:hAnsi="Arial" w:cs="Arial"/>
          <w:b/>
          <w:sz w:val="24"/>
          <w:szCs w:val="24"/>
          <w:u w:val="single"/>
        </w:rPr>
        <w:t xml:space="preserve">PROPOSICIÓN </w:t>
      </w:r>
    </w:p>
    <w:p w:rsidR="0099217F" w:rsidRPr="00E8636D" w:rsidRDefault="0099217F">
      <w:pPr>
        <w:spacing w:before="100" w:after="100"/>
        <w:rPr>
          <w:rFonts w:ascii="Arial" w:eastAsia="Times New Roman" w:hAnsi="Arial" w:cs="Arial"/>
          <w:b/>
          <w:sz w:val="24"/>
          <w:szCs w:val="24"/>
          <w:u w:val="single"/>
        </w:rPr>
      </w:pP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 xml:space="preserve">Con fundamento en las anteriores consideraciones, de manera respetuosa solicito a la Comisión </w:t>
      </w:r>
      <w:r w:rsidR="0076269E">
        <w:rPr>
          <w:rFonts w:ascii="Arial" w:eastAsia="Times New Roman" w:hAnsi="Arial" w:cs="Arial"/>
          <w:sz w:val="24"/>
          <w:szCs w:val="24"/>
        </w:rPr>
        <w:t>Quinta</w:t>
      </w:r>
      <w:r w:rsidRPr="00E8636D">
        <w:rPr>
          <w:rFonts w:ascii="Arial" w:eastAsia="Times New Roman" w:hAnsi="Arial" w:cs="Arial"/>
          <w:sz w:val="24"/>
          <w:szCs w:val="24"/>
        </w:rPr>
        <w:t xml:space="preserve"> de la Cámara de Representantes, dar primer debate al proyecto </w:t>
      </w:r>
      <w:r w:rsidR="00E572DD">
        <w:rPr>
          <w:rFonts w:ascii="Arial" w:eastAsia="Times New Roman" w:hAnsi="Arial" w:cs="Arial"/>
          <w:sz w:val="24"/>
          <w:szCs w:val="24"/>
        </w:rPr>
        <w:t>ley</w:t>
      </w:r>
      <w:r w:rsidRPr="00E8636D">
        <w:rPr>
          <w:rFonts w:ascii="Arial" w:eastAsia="Times New Roman" w:hAnsi="Arial" w:cs="Arial"/>
          <w:sz w:val="24"/>
          <w:szCs w:val="24"/>
        </w:rPr>
        <w:t xml:space="preserve"> No</w:t>
      </w:r>
      <w:r w:rsidRPr="00E8636D">
        <w:rPr>
          <w:rFonts w:ascii="Arial" w:eastAsia="Times New Roman" w:hAnsi="Arial" w:cs="Arial"/>
          <w:b/>
          <w:sz w:val="24"/>
          <w:szCs w:val="24"/>
        </w:rPr>
        <w:t xml:space="preserve">. </w:t>
      </w:r>
      <w:r w:rsidRPr="00E8636D">
        <w:rPr>
          <w:rFonts w:ascii="Arial" w:eastAsia="Times New Roman" w:hAnsi="Arial" w:cs="Arial"/>
          <w:sz w:val="24"/>
          <w:szCs w:val="24"/>
        </w:rPr>
        <w:t xml:space="preserve">134 de 2017 </w:t>
      </w:r>
      <w:r w:rsidRPr="00E8636D">
        <w:rPr>
          <w:rFonts w:ascii="Arial" w:eastAsia="Times New Roman" w:hAnsi="Arial" w:cs="Arial"/>
          <w:i/>
          <w:sz w:val="24"/>
          <w:szCs w:val="24"/>
        </w:rPr>
        <w:t>“Por medio de la cual se establece la protección de los derechos a la salud y al medio ambiente sano imponiendo restricciones a las emisiones contaminantes de fuentes móviles y se dictan otras disposiciones”.</w:t>
      </w: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Cordialmente,</w:t>
      </w: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7B1213" w:rsidRDefault="0033743D">
      <w:pPr>
        <w:spacing w:after="0"/>
        <w:jc w:val="both"/>
        <w:rPr>
          <w:rFonts w:ascii="Arial" w:eastAsia="Times New Roman" w:hAnsi="Arial" w:cs="Arial"/>
          <w:b/>
          <w:sz w:val="24"/>
          <w:szCs w:val="24"/>
        </w:rPr>
      </w:pPr>
      <w:r w:rsidRPr="00E8636D">
        <w:rPr>
          <w:rFonts w:ascii="Arial" w:eastAsia="Times New Roman" w:hAnsi="Arial" w:cs="Arial"/>
          <w:b/>
          <w:sz w:val="24"/>
          <w:szCs w:val="24"/>
        </w:rPr>
        <w:t xml:space="preserve">INTI RAÚL ASPRILLA </w:t>
      </w:r>
      <w:r w:rsidR="007B1213">
        <w:rPr>
          <w:rFonts w:ascii="Arial" w:eastAsia="Times New Roman" w:hAnsi="Arial" w:cs="Arial"/>
          <w:b/>
          <w:sz w:val="24"/>
          <w:szCs w:val="24"/>
        </w:rPr>
        <w:t>REYES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 xml:space="preserve">Representante a la Cámara </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Partido Alianza Verde</w:t>
      </w:r>
    </w:p>
    <w:p w:rsidR="0099217F" w:rsidRPr="00E8636D" w:rsidRDefault="0099217F">
      <w:pPr>
        <w:spacing w:after="0"/>
        <w:jc w:val="both"/>
        <w:rPr>
          <w:rFonts w:ascii="Arial" w:eastAsia="Times New Roman" w:hAnsi="Arial" w:cs="Arial"/>
          <w:sz w:val="24"/>
          <w:szCs w:val="24"/>
        </w:rPr>
      </w:pPr>
    </w:p>
    <w:p w:rsidR="0099217F" w:rsidRPr="00E8636D" w:rsidRDefault="0033743D">
      <w:pPr>
        <w:jc w:val="center"/>
        <w:rPr>
          <w:rFonts w:ascii="Arial" w:eastAsia="Times New Roman" w:hAnsi="Arial" w:cs="Arial"/>
          <w:b/>
          <w:sz w:val="24"/>
          <w:szCs w:val="24"/>
          <w:highlight w:val="yellow"/>
        </w:rPr>
      </w:pPr>
      <w:r w:rsidRPr="00E8636D">
        <w:rPr>
          <w:rFonts w:ascii="Arial" w:eastAsia="Times New Roman" w:hAnsi="Arial" w:cs="Arial"/>
          <w:b/>
          <w:sz w:val="24"/>
          <w:szCs w:val="24"/>
        </w:rPr>
        <w:t xml:space="preserve">TEXTO PROPUESTO PARA PRIMER DEBATE AL PROYECTO DE </w:t>
      </w:r>
      <w:r w:rsidR="0076269E">
        <w:rPr>
          <w:rFonts w:ascii="Arial" w:eastAsia="Times New Roman" w:hAnsi="Arial" w:cs="Arial"/>
          <w:b/>
          <w:sz w:val="24"/>
          <w:szCs w:val="24"/>
        </w:rPr>
        <w:t>LEY</w:t>
      </w:r>
      <w:r w:rsidRPr="00E8636D">
        <w:rPr>
          <w:rFonts w:ascii="Arial" w:eastAsia="Times New Roman" w:hAnsi="Arial" w:cs="Arial"/>
          <w:b/>
          <w:sz w:val="24"/>
          <w:szCs w:val="24"/>
        </w:rPr>
        <w:t xml:space="preserve"> 134 DE 2017</w:t>
      </w:r>
    </w:p>
    <w:p w:rsidR="0099217F" w:rsidRPr="00E8636D" w:rsidRDefault="0033743D">
      <w:pPr>
        <w:widowControl w:val="0"/>
        <w:spacing w:after="0"/>
        <w:jc w:val="center"/>
        <w:rPr>
          <w:rFonts w:ascii="Arial" w:eastAsia="Times New Roman" w:hAnsi="Arial" w:cs="Arial"/>
          <w:b/>
          <w:i/>
          <w:sz w:val="24"/>
          <w:szCs w:val="24"/>
        </w:rPr>
      </w:pPr>
      <w:r w:rsidRPr="00E8636D">
        <w:rPr>
          <w:rFonts w:ascii="Arial" w:eastAsia="Times New Roman" w:hAnsi="Arial" w:cs="Arial"/>
          <w:b/>
          <w:i/>
          <w:sz w:val="24"/>
          <w:szCs w:val="24"/>
        </w:rPr>
        <w:t>“Por medio de la cual se establece la protección de los derechos a la salud y al medio ambiente sano imponiendo restricciones a las emisiones contaminantes de fuentes móviles y se dictan otras disposiciones”.</w:t>
      </w:r>
    </w:p>
    <w:p w:rsidR="0099217F" w:rsidRPr="00E8636D" w:rsidRDefault="0033743D">
      <w:pPr>
        <w:spacing w:after="0" w:line="240" w:lineRule="auto"/>
        <w:jc w:val="center"/>
        <w:rPr>
          <w:rFonts w:ascii="Arial" w:eastAsia="Times New Roman" w:hAnsi="Arial" w:cs="Arial"/>
          <w:b/>
          <w:sz w:val="24"/>
          <w:szCs w:val="24"/>
        </w:rPr>
      </w:pPr>
      <w:r w:rsidRPr="00E8636D">
        <w:rPr>
          <w:rFonts w:ascii="Arial" w:eastAsia="Times New Roman" w:hAnsi="Arial" w:cs="Arial"/>
          <w:b/>
          <w:sz w:val="24"/>
          <w:szCs w:val="24"/>
        </w:rPr>
        <w:t>* * *</w:t>
      </w:r>
    </w:p>
    <w:p w:rsidR="0099217F" w:rsidRPr="00E8636D" w:rsidRDefault="0099217F">
      <w:pPr>
        <w:spacing w:after="0" w:line="240" w:lineRule="auto"/>
        <w:jc w:val="center"/>
        <w:rPr>
          <w:rFonts w:ascii="Arial" w:eastAsia="Times New Roman" w:hAnsi="Arial" w:cs="Arial"/>
          <w:b/>
          <w:sz w:val="24"/>
          <w:szCs w:val="24"/>
        </w:rPr>
      </w:pPr>
    </w:p>
    <w:p w:rsidR="0099217F" w:rsidRPr="00E8636D" w:rsidRDefault="0033743D">
      <w:pPr>
        <w:spacing w:after="0" w:line="240" w:lineRule="auto"/>
        <w:jc w:val="center"/>
        <w:rPr>
          <w:rFonts w:ascii="Arial" w:eastAsia="Times New Roman" w:hAnsi="Arial" w:cs="Arial"/>
          <w:b/>
          <w:sz w:val="24"/>
          <w:szCs w:val="24"/>
        </w:rPr>
      </w:pPr>
      <w:r w:rsidRPr="00E8636D">
        <w:rPr>
          <w:rFonts w:ascii="Arial" w:eastAsia="Times New Roman" w:hAnsi="Arial" w:cs="Arial"/>
          <w:b/>
          <w:sz w:val="24"/>
          <w:szCs w:val="24"/>
        </w:rPr>
        <w:t>El Congreso de la República de Colombia</w:t>
      </w:r>
    </w:p>
    <w:p w:rsidR="0099217F" w:rsidRPr="00E8636D" w:rsidRDefault="0099217F">
      <w:pPr>
        <w:spacing w:after="0" w:line="240" w:lineRule="auto"/>
        <w:jc w:val="center"/>
        <w:rPr>
          <w:rFonts w:ascii="Arial" w:eastAsia="Times New Roman" w:hAnsi="Arial" w:cs="Arial"/>
          <w:b/>
          <w:sz w:val="24"/>
          <w:szCs w:val="24"/>
        </w:rPr>
      </w:pPr>
    </w:p>
    <w:p w:rsidR="0099217F" w:rsidRPr="00E8636D" w:rsidRDefault="0033743D">
      <w:pPr>
        <w:spacing w:after="0" w:line="240" w:lineRule="auto"/>
        <w:jc w:val="center"/>
        <w:rPr>
          <w:rFonts w:ascii="Arial" w:eastAsia="Times New Roman" w:hAnsi="Arial" w:cs="Arial"/>
          <w:b/>
          <w:sz w:val="24"/>
          <w:szCs w:val="24"/>
          <w:highlight w:val="white"/>
        </w:rPr>
      </w:pPr>
      <w:r w:rsidRPr="00E8636D">
        <w:rPr>
          <w:rFonts w:ascii="Arial" w:eastAsia="Times New Roman" w:hAnsi="Arial" w:cs="Arial"/>
          <w:b/>
          <w:sz w:val="24"/>
          <w:szCs w:val="24"/>
        </w:rPr>
        <w:t>DECRETA:</w:t>
      </w:r>
    </w:p>
    <w:p w:rsidR="0099217F" w:rsidRPr="00E8636D" w:rsidRDefault="0099217F">
      <w:pPr>
        <w:pStyle w:val="Ttulo1"/>
        <w:widowControl w:val="0"/>
        <w:spacing w:before="70" w:after="120" w:line="276" w:lineRule="auto"/>
        <w:ind w:left="35" w:right="55"/>
        <w:jc w:val="center"/>
        <w:rPr>
          <w:rFonts w:ascii="Arial" w:eastAsia="Times New Roman" w:hAnsi="Arial" w:cs="Arial"/>
          <w:color w:val="000000"/>
          <w:sz w:val="24"/>
          <w:szCs w:val="24"/>
        </w:rPr>
      </w:pPr>
      <w:bookmarkStart w:id="1" w:name="_gjdgxs" w:colFirst="0" w:colLast="0"/>
      <w:bookmarkEnd w:id="1"/>
    </w:p>
    <w:p w:rsidR="0099217F" w:rsidRPr="00E8636D" w:rsidRDefault="0033743D">
      <w:pPr>
        <w:spacing w:after="0"/>
        <w:jc w:val="both"/>
        <w:rPr>
          <w:rFonts w:ascii="Arial" w:eastAsia="Times New Roman" w:hAnsi="Arial" w:cs="Arial"/>
          <w:sz w:val="24"/>
          <w:szCs w:val="24"/>
        </w:rPr>
      </w:pPr>
      <w:bookmarkStart w:id="2" w:name="_30j0zll" w:colFirst="0" w:colLast="0"/>
      <w:bookmarkEnd w:id="2"/>
      <w:r w:rsidRPr="00E8636D">
        <w:rPr>
          <w:rFonts w:ascii="Arial" w:eastAsia="Times New Roman" w:hAnsi="Arial" w:cs="Arial"/>
          <w:b/>
          <w:sz w:val="24"/>
          <w:szCs w:val="24"/>
        </w:rPr>
        <w:t>Artículo 1°.</w:t>
      </w:r>
      <w:r w:rsidRPr="00E8636D">
        <w:rPr>
          <w:rFonts w:ascii="Arial" w:eastAsia="Times New Roman" w:hAnsi="Arial" w:cs="Arial"/>
          <w:sz w:val="24"/>
          <w:szCs w:val="24"/>
        </w:rPr>
        <w:t xml:space="preserve"> </w:t>
      </w:r>
      <w:r w:rsidRPr="00E8636D">
        <w:rPr>
          <w:rFonts w:ascii="Arial" w:eastAsia="Times New Roman" w:hAnsi="Arial" w:cs="Arial"/>
          <w:b/>
          <w:i/>
          <w:sz w:val="24"/>
          <w:szCs w:val="24"/>
        </w:rPr>
        <w:t xml:space="preserve">Objeto. </w:t>
      </w:r>
      <w:r w:rsidRPr="00E8636D">
        <w:rPr>
          <w:rFonts w:ascii="Arial" w:eastAsia="Times New Roman" w:hAnsi="Arial" w:cs="Arial"/>
          <w:sz w:val="24"/>
          <w:szCs w:val="24"/>
        </w:rPr>
        <w:t>La presente ley tiene por objeto reglamentar los niveles máximos de emisiones para vehículos con motor de ciclo diésel que circulan por el territorio nacional, con el fin de resguardar los derechos fundamentales a la vida, salud y al medio ambiente sano.</w:t>
      </w:r>
    </w:p>
    <w:p w:rsidR="0099217F" w:rsidRPr="00E8636D" w:rsidRDefault="0099217F">
      <w:pPr>
        <w:spacing w:after="0"/>
        <w:jc w:val="both"/>
        <w:rPr>
          <w:rFonts w:ascii="Arial" w:eastAsia="Times New Roman" w:hAnsi="Arial" w:cs="Arial"/>
          <w:sz w:val="24"/>
          <w:szCs w:val="24"/>
        </w:rPr>
      </w:pPr>
    </w:p>
    <w:p w:rsidR="0099217F" w:rsidRPr="00E8636D" w:rsidRDefault="0033743D">
      <w:pPr>
        <w:spacing w:after="0"/>
        <w:jc w:val="both"/>
        <w:rPr>
          <w:rFonts w:ascii="Arial" w:eastAsia="Times New Roman" w:hAnsi="Arial" w:cs="Arial"/>
          <w:b/>
          <w:i/>
          <w:sz w:val="24"/>
          <w:szCs w:val="24"/>
        </w:rPr>
      </w:pPr>
      <w:r w:rsidRPr="00E8636D">
        <w:rPr>
          <w:rFonts w:ascii="Arial" w:eastAsia="Times New Roman" w:hAnsi="Arial" w:cs="Arial"/>
          <w:b/>
          <w:sz w:val="24"/>
          <w:szCs w:val="24"/>
        </w:rPr>
        <w:t xml:space="preserve">Artículo 2º. </w:t>
      </w:r>
      <w:r w:rsidRPr="00E8636D">
        <w:rPr>
          <w:rFonts w:ascii="Arial" w:eastAsia="Times New Roman" w:hAnsi="Arial" w:cs="Arial"/>
          <w:b/>
          <w:i/>
          <w:sz w:val="24"/>
          <w:szCs w:val="24"/>
        </w:rPr>
        <w:t>Definiciones.</w:t>
      </w:r>
    </w:p>
    <w:p w:rsidR="0099217F" w:rsidRPr="00E8636D" w:rsidRDefault="0099217F">
      <w:pPr>
        <w:spacing w:after="0"/>
        <w:jc w:val="both"/>
        <w:rPr>
          <w:rFonts w:ascii="Arial" w:eastAsia="Times New Roman" w:hAnsi="Arial" w:cs="Arial"/>
          <w:sz w:val="24"/>
          <w:szCs w:val="24"/>
        </w:rPr>
      </w:pP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ALVW: </w:t>
      </w:r>
      <w:proofErr w:type="spellStart"/>
      <w:r w:rsidRPr="00E8636D">
        <w:rPr>
          <w:rFonts w:ascii="Arial" w:eastAsia="Times New Roman" w:hAnsi="Arial" w:cs="Arial"/>
          <w:b/>
          <w:sz w:val="24"/>
          <w:szCs w:val="24"/>
        </w:rPr>
        <w:t>Adjusted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Loaded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Vehicle</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Weight</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Promedio numérico del peso neto vehicular y el peso bruto vehicular.</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Categoría M:</w:t>
      </w:r>
      <w:r w:rsidRPr="00E8636D">
        <w:rPr>
          <w:rFonts w:ascii="Arial" w:eastAsia="Times New Roman" w:hAnsi="Arial" w:cs="Arial"/>
          <w:sz w:val="24"/>
          <w:szCs w:val="24"/>
        </w:rPr>
        <w:t xml:space="preserve"> Vehículo automotor con al menos cuatro ruedas, diseñado y construido para el transporte de pasajeros. Está dividido en tres categorías: M1, M2 y M3.</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Categoría M1:</w:t>
      </w:r>
      <w:r w:rsidRPr="00E8636D">
        <w:rPr>
          <w:rFonts w:ascii="Arial" w:eastAsia="Times New Roman" w:hAnsi="Arial" w:cs="Arial"/>
          <w:sz w:val="24"/>
          <w:szCs w:val="24"/>
        </w:rPr>
        <w:t xml:space="preserve"> Vehículo diseñado y construido para transportar hasta 8 pasajeros más el conductor.</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Categoría M2: </w:t>
      </w:r>
      <w:r w:rsidRPr="00E8636D">
        <w:rPr>
          <w:rFonts w:ascii="Arial" w:eastAsia="Times New Roman" w:hAnsi="Arial" w:cs="Arial"/>
          <w:sz w:val="24"/>
          <w:szCs w:val="24"/>
        </w:rPr>
        <w:t>Vehículo diseñado y construido para transportar más de 8 pasajeros más el conductor y cuyo peso bruto vehicular no supere las 5 toneladas.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Categoría M3: </w:t>
      </w:r>
      <w:r w:rsidRPr="00E8636D">
        <w:rPr>
          <w:rFonts w:ascii="Arial" w:eastAsia="Times New Roman" w:hAnsi="Arial" w:cs="Arial"/>
          <w:sz w:val="24"/>
          <w:szCs w:val="24"/>
        </w:rPr>
        <w:t>Vehículo diseñado y construido para transportar más de 8 pasajeros más el conductor y cuyo peso bruto vehicular supere las 5 toneladas.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Categoría N:</w:t>
      </w:r>
      <w:r w:rsidRPr="00E8636D">
        <w:rPr>
          <w:rFonts w:ascii="Arial" w:eastAsia="Times New Roman" w:hAnsi="Arial" w:cs="Arial"/>
          <w:sz w:val="24"/>
          <w:szCs w:val="24"/>
        </w:rPr>
        <w:t xml:space="preserve"> Vehículo automotor con al menos cuatro ruedas, diseñado y construido para el transporte de carga. Está dividido en tres categorías: N1, N2 y N3.</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Categoría N1: </w:t>
      </w:r>
      <w:r w:rsidRPr="00E8636D">
        <w:rPr>
          <w:rFonts w:ascii="Arial" w:eastAsia="Times New Roman" w:hAnsi="Arial" w:cs="Arial"/>
          <w:sz w:val="24"/>
          <w:szCs w:val="24"/>
        </w:rPr>
        <w:t>Vehículo diseñado y construido para transportar carga, con un peso bruto vehicular no superior a 3,5 toneladas. Esta categoría se divide en tres clases de acuerdo al peso de referencia.</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Categoría N2:</w:t>
      </w:r>
      <w:r w:rsidRPr="00E8636D">
        <w:rPr>
          <w:rFonts w:ascii="Arial" w:eastAsia="Times New Roman" w:hAnsi="Arial" w:cs="Arial"/>
          <w:sz w:val="24"/>
          <w:szCs w:val="24"/>
        </w:rPr>
        <w:t xml:space="preserve"> Vehículo diseñado y construido para transportar carga, con un peso bruto vehicular superior a 3,5 toneladas y que no exceda 12 toneladas.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Categoría N3: </w:t>
      </w:r>
      <w:r w:rsidRPr="00E8636D">
        <w:rPr>
          <w:rFonts w:ascii="Arial" w:eastAsia="Times New Roman" w:hAnsi="Arial" w:cs="Arial"/>
          <w:sz w:val="24"/>
          <w:szCs w:val="24"/>
        </w:rPr>
        <w:t>Vehículo diseñado y construido para transportar carga, con un peso bruto vehicular superior a 12 toneladas.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Ciclo:</w:t>
      </w:r>
      <w:r w:rsidRPr="00E8636D">
        <w:rPr>
          <w:rFonts w:ascii="Arial" w:eastAsia="Times New Roman" w:hAnsi="Arial" w:cs="Arial"/>
          <w:sz w:val="24"/>
          <w:szCs w:val="24"/>
        </w:rPr>
        <w:t xml:space="preserve"> Es el tiempo necesario para que el vehículo alcance la temperatura normal de operación en condiciones de marcha mínima o ralentí. Para las fuentes móviles equipadas con </w:t>
      </w:r>
      <w:proofErr w:type="spellStart"/>
      <w:r w:rsidRPr="00E8636D">
        <w:rPr>
          <w:rFonts w:ascii="Arial" w:eastAsia="Times New Roman" w:hAnsi="Arial" w:cs="Arial"/>
          <w:sz w:val="24"/>
          <w:szCs w:val="24"/>
        </w:rPr>
        <w:lastRenderedPageBreak/>
        <w:t>electroventilador</w:t>
      </w:r>
      <w:proofErr w:type="spellEnd"/>
      <w:r w:rsidRPr="00E8636D">
        <w:rPr>
          <w:rFonts w:ascii="Arial" w:eastAsia="Times New Roman" w:hAnsi="Arial" w:cs="Arial"/>
          <w:sz w:val="24"/>
          <w:szCs w:val="24"/>
        </w:rPr>
        <w:t>, es el período que transcurre entre el encendido del ventilador del sistema de enfriamiento y el momento en que el ventilador se detiene.</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Ciclo ESC: Ciclo Europeo de Estado Continuo. </w:t>
      </w:r>
      <w:r w:rsidRPr="00E8636D">
        <w:rPr>
          <w:rFonts w:ascii="Arial" w:eastAsia="Times New Roman" w:hAnsi="Arial" w:cs="Arial"/>
          <w:sz w:val="24"/>
          <w:szCs w:val="24"/>
        </w:rPr>
        <w:t xml:space="preserve">Ciclo de prueba dinámico establecido por la Unión Europea con el fin de certificar emisiones de vehículos pesados. </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Ciclo ETC: Ciclo Europeo de Transición.</w:t>
      </w:r>
      <w:r w:rsidRPr="00E8636D">
        <w:rPr>
          <w:rFonts w:ascii="Arial" w:eastAsia="Times New Roman" w:hAnsi="Arial" w:cs="Arial"/>
          <w:sz w:val="24"/>
          <w:szCs w:val="24"/>
        </w:rPr>
        <w:t xml:space="preserve"> Ciclo de prueba dinámico establecido por la Unión Europea con el fin de certificar emisiones de vehículos pesados.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Ciclo FTP:</w:t>
      </w:r>
      <w:r w:rsidRPr="00E8636D">
        <w:rPr>
          <w:rFonts w:ascii="Arial" w:eastAsia="Times New Roman" w:hAnsi="Arial" w:cs="Arial"/>
          <w:sz w:val="24"/>
          <w:szCs w:val="24"/>
        </w:rPr>
        <w:t xml:space="preserve"> Ciclo de prueba dinámico establecido por la Agencia de Protección Ambiental de los Estados Unidos (EPA), para los vehículos livianos y medianos y especificado en el Código Federal de Regulaciones, partes 86 a 99.</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CO: </w:t>
      </w:r>
      <w:r w:rsidRPr="00E8636D">
        <w:rPr>
          <w:rFonts w:ascii="Arial" w:eastAsia="Times New Roman" w:hAnsi="Arial" w:cs="Arial"/>
          <w:sz w:val="24"/>
          <w:szCs w:val="24"/>
        </w:rPr>
        <w:t>Monóxido de Carbono.</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EPA:</w:t>
      </w:r>
      <w:r w:rsidRPr="00E8636D">
        <w:rPr>
          <w:rFonts w:ascii="Arial" w:eastAsia="Times New Roman" w:hAnsi="Arial" w:cs="Arial"/>
          <w:sz w:val="24"/>
          <w:szCs w:val="24"/>
        </w:rPr>
        <w:t xml:space="preserve"> Agencia de Protección Ambiental de los Estados Unidos.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HC:</w:t>
      </w:r>
      <w:r w:rsidRPr="00E8636D">
        <w:rPr>
          <w:rFonts w:ascii="Arial" w:eastAsia="Times New Roman" w:hAnsi="Arial" w:cs="Arial"/>
          <w:sz w:val="24"/>
          <w:szCs w:val="24"/>
        </w:rPr>
        <w:t xml:space="preserve"> Hidrocarburos.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HCNM:</w:t>
      </w:r>
      <w:r w:rsidRPr="00E8636D">
        <w:rPr>
          <w:rFonts w:ascii="Arial" w:eastAsia="Times New Roman" w:hAnsi="Arial" w:cs="Arial"/>
          <w:sz w:val="24"/>
          <w:szCs w:val="24"/>
        </w:rPr>
        <w:t xml:space="preserve"> Hidrocarburos diferentes al metano.</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HDV: Heavy-</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Vehicle</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vehículo automotor con un peso bruto vehicular superior a 3.856 kg o con un peso neto vehicular superior a 2.722 kg o con un área frontal básica superior a 4,18 m</w:t>
      </w:r>
      <w:r w:rsidRPr="00E8636D">
        <w:rPr>
          <w:rFonts w:ascii="Arial" w:eastAsia="Times New Roman" w:hAnsi="Arial" w:cs="Arial"/>
          <w:sz w:val="24"/>
          <w:szCs w:val="24"/>
          <w:vertAlign w:val="superscript"/>
        </w:rPr>
        <w:t>2</w:t>
      </w:r>
      <w:r w:rsidRPr="00E8636D">
        <w:rPr>
          <w:rFonts w:ascii="Arial" w:eastAsia="Times New Roman" w:hAnsi="Arial" w:cs="Arial"/>
          <w:sz w:val="24"/>
          <w:szCs w:val="24"/>
        </w:rPr>
        <w:t>. Los motores diésel usados en estos vehículos se dividen en tres clases de servicio llamados LHDDE, MHDDE y HHDDE, de acuerdo con el peso bruto vehicular. Los motores Otto usados en estos vehículos se dividen en dos clases de servicio llamados LHDGE y HHDGE, de acuerdo con el peso bruto vehicular. También pertenecen a esta categoría los MDPV.</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HHDDE: Heavy Heavy-</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Diésel </w:t>
      </w:r>
      <w:proofErr w:type="spellStart"/>
      <w:r w:rsidRPr="00E8636D">
        <w:rPr>
          <w:rFonts w:ascii="Arial" w:eastAsia="Times New Roman" w:hAnsi="Arial" w:cs="Arial"/>
          <w:b/>
          <w:sz w:val="24"/>
          <w:szCs w:val="24"/>
        </w:rPr>
        <w:t>Engines</w:t>
      </w:r>
      <w:proofErr w:type="spellEnd"/>
      <w:r w:rsidRPr="00E8636D">
        <w:rPr>
          <w:rFonts w:ascii="Arial" w:eastAsia="Times New Roman" w:hAnsi="Arial" w:cs="Arial"/>
          <w:b/>
          <w:sz w:val="24"/>
          <w:szCs w:val="24"/>
        </w:rPr>
        <w:t xml:space="preserve"> (Incluye </w:t>
      </w:r>
      <w:proofErr w:type="spellStart"/>
      <w:r w:rsidRPr="00E8636D">
        <w:rPr>
          <w:rFonts w:ascii="Arial" w:eastAsia="Times New Roman" w:hAnsi="Arial" w:cs="Arial"/>
          <w:b/>
          <w:sz w:val="24"/>
          <w:szCs w:val="24"/>
        </w:rPr>
        <w:t>Urban</w:t>
      </w:r>
      <w:proofErr w:type="spellEnd"/>
      <w:r w:rsidRPr="00E8636D">
        <w:rPr>
          <w:rFonts w:ascii="Arial" w:eastAsia="Times New Roman" w:hAnsi="Arial" w:cs="Arial"/>
          <w:b/>
          <w:sz w:val="24"/>
          <w:szCs w:val="24"/>
        </w:rPr>
        <w:t xml:space="preserve"> Bus).</w:t>
      </w:r>
      <w:r w:rsidRPr="00E8636D">
        <w:rPr>
          <w:rFonts w:ascii="Arial" w:eastAsia="Times New Roman" w:hAnsi="Arial" w:cs="Arial"/>
          <w:sz w:val="24"/>
          <w:szCs w:val="24"/>
        </w:rPr>
        <w:t xml:space="preserve"> Cualquier motor diésel instalado en un HDV cuyo peso bruto vehicular sea superior a 14.969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HHDGE: Heavy Heavy-</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Gasoline</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Engines</w:t>
      </w:r>
      <w:proofErr w:type="spellEnd"/>
      <w:r w:rsidRPr="00E8636D">
        <w:rPr>
          <w:rFonts w:ascii="Arial" w:eastAsia="Times New Roman" w:hAnsi="Arial" w:cs="Arial"/>
          <w:b/>
          <w:sz w:val="24"/>
          <w:szCs w:val="24"/>
        </w:rPr>
        <w:t xml:space="preserve"> (Incluye </w:t>
      </w:r>
      <w:proofErr w:type="spellStart"/>
      <w:r w:rsidRPr="00E8636D">
        <w:rPr>
          <w:rFonts w:ascii="Arial" w:eastAsia="Times New Roman" w:hAnsi="Arial" w:cs="Arial"/>
          <w:b/>
          <w:sz w:val="24"/>
          <w:szCs w:val="24"/>
        </w:rPr>
        <w:t>Urban</w:t>
      </w:r>
      <w:proofErr w:type="spellEnd"/>
      <w:r w:rsidRPr="00E8636D">
        <w:rPr>
          <w:rFonts w:ascii="Arial" w:eastAsia="Times New Roman" w:hAnsi="Arial" w:cs="Arial"/>
          <w:b/>
          <w:sz w:val="24"/>
          <w:szCs w:val="24"/>
        </w:rPr>
        <w:t xml:space="preserve"> Bus).</w:t>
      </w:r>
      <w:r w:rsidRPr="00E8636D">
        <w:rPr>
          <w:rFonts w:ascii="Arial" w:eastAsia="Times New Roman" w:hAnsi="Arial" w:cs="Arial"/>
          <w:sz w:val="24"/>
          <w:szCs w:val="24"/>
        </w:rPr>
        <w:t xml:space="preserve"> Cualquier motor a gasolina instalado en un HDV cuyo peso bruto vehicular sea superior a 6.350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HLDT: Heavy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LDT con un peso bruto vehicular superior a 2.722 kg. Se divide en dos categorías, LDT3 y LDT4, dependiendo del peso ALVW.</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LDT: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vehículo automotor con un peso bruto vehicular de 3.856 kg o menos, con un peso neto de 2.722 kg o menos y con un área frontal básica de 4,18 m2 o menos, que está diseñado principalmente para transporte de carga y de pasajeros, o es una derivación de este vehículo, o está diseñado principalmente para el transporte de pasajeros con una capacidad de más de 12 personas, o que se consigue con elementos adicionales que permiten su operación y uso fuera de las carreteras o autopistas. Se divide en dos categorías, LLDT y HLDT, dependiendo del peso bruto vehicular.</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LDT1: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 xml:space="preserve"> 1. </w:t>
      </w:r>
      <w:r w:rsidRPr="00E8636D">
        <w:rPr>
          <w:rFonts w:ascii="Arial" w:eastAsia="Times New Roman" w:hAnsi="Arial" w:cs="Arial"/>
          <w:sz w:val="24"/>
          <w:szCs w:val="24"/>
        </w:rPr>
        <w:t>Cualquier vehículo LLDT con un peso LVW hasta de 1.701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LDT2: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 xml:space="preserve"> 2. </w:t>
      </w:r>
      <w:r w:rsidRPr="00E8636D">
        <w:rPr>
          <w:rFonts w:ascii="Arial" w:eastAsia="Times New Roman" w:hAnsi="Arial" w:cs="Arial"/>
          <w:sz w:val="24"/>
          <w:szCs w:val="24"/>
        </w:rPr>
        <w:t>Cualquier vehículo LLDT con un peso LVW superior a 1.701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LDT3: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 xml:space="preserve"> 3. </w:t>
      </w:r>
      <w:r w:rsidRPr="00E8636D">
        <w:rPr>
          <w:rFonts w:ascii="Arial" w:eastAsia="Times New Roman" w:hAnsi="Arial" w:cs="Arial"/>
          <w:sz w:val="24"/>
          <w:szCs w:val="24"/>
        </w:rPr>
        <w:t>Cualquier vehículo HLDT con un peso ALVW hasta de 2.608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LDT4: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 xml:space="preserve"> 4. </w:t>
      </w:r>
      <w:r w:rsidRPr="00E8636D">
        <w:rPr>
          <w:rFonts w:ascii="Arial" w:eastAsia="Times New Roman" w:hAnsi="Arial" w:cs="Arial"/>
          <w:sz w:val="24"/>
          <w:szCs w:val="24"/>
        </w:rPr>
        <w:t>Cualquier vehículo HLDT con un peso ALVW superior a 2.608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LDV: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Vehicle</w:t>
      </w:r>
      <w:proofErr w:type="spellEnd"/>
      <w:r w:rsidRPr="00E8636D">
        <w:rPr>
          <w:rFonts w:ascii="Arial" w:eastAsia="Times New Roman" w:hAnsi="Arial" w:cs="Arial"/>
          <w:b/>
          <w:sz w:val="24"/>
          <w:szCs w:val="24"/>
        </w:rPr>
        <w:t xml:space="preserve">: </w:t>
      </w:r>
      <w:r w:rsidRPr="00E8636D">
        <w:rPr>
          <w:rFonts w:ascii="Arial" w:eastAsia="Times New Roman" w:hAnsi="Arial" w:cs="Arial"/>
          <w:sz w:val="24"/>
          <w:szCs w:val="24"/>
        </w:rPr>
        <w:t>Vehículo de pasajeros o una derivación de este, con capacidad hasta de 12 pasajeros y un peso bruto vehicular menor o igual a 3.856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lastRenderedPageBreak/>
        <w:t>LHDDE: Light Heavy-</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Diesel</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Engines</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motor diésel instalado en un HDV cuyo peso bruto vehicular sea superior a 3.856 kg y que no supere 8.845 kg. </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LHDGE: Light Heavy-</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Gasoline</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Engines</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motor a gasolina instalado en un HDV cuyo peso bruto vehicular sea superior a 3.856 kg y menor o igual a 6.350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LLDT:</w:t>
      </w:r>
      <w:r w:rsidRPr="00E8636D">
        <w:rPr>
          <w:rFonts w:ascii="Arial" w:eastAsia="Times New Roman" w:hAnsi="Arial" w:cs="Arial"/>
          <w:sz w:val="24"/>
          <w:szCs w:val="24"/>
        </w:rPr>
        <w:t xml:space="preserve"> </w:t>
      </w:r>
      <w:r w:rsidRPr="00E8636D">
        <w:rPr>
          <w:rFonts w:ascii="Arial" w:eastAsia="Times New Roman" w:hAnsi="Arial" w:cs="Arial"/>
          <w:b/>
          <w:sz w:val="24"/>
          <w:szCs w:val="24"/>
        </w:rPr>
        <w:t>Light Light-</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Truck</w:t>
      </w:r>
      <w:proofErr w:type="spellEnd"/>
      <w:r w:rsidRPr="00E8636D">
        <w:rPr>
          <w:rFonts w:ascii="Arial" w:eastAsia="Times New Roman" w:hAnsi="Arial" w:cs="Arial"/>
          <w:b/>
          <w:sz w:val="24"/>
          <w:szCs w:val="24"/>
        </w:rPr>
        <w:t xml:space="preserve">. </w:t>
      </w:r>
      <w:r w:rsidRPr="00E8636D">
        <w:rPr>
          <w:rFonts w:ascii="Arial" w:eastAsia="Times New Roman" w:hAnsi="Arial" w:cs="Arial"/>
          <w:sz w:val="24"/>
          <w:szCs w:val="24"/>
        </w:rPr>
        <w:t>Cualquier LDT con un peso bruto vehicular hasta 2.722 kg. Se divide en dos categorías, LDT1 y LDT2, dependiendo del peso LVW.</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LVW: </w:t>
      </w:r>
      <w:proofErr w:type="spellStart"/>
      <w:r w:rsidRPr="00E8636D">
        <w:rPr>
          <w:rFonts w:ascii="Arial" w:eastAsia="Times New Roman" w:hAnsi="Arial" w:cs="Arial"/>
          <w:b/>
          <w:sz w:val="24"/>
          <w:szCs w:val="24"/>
        </w:rPr>
        <w:t>Loaded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Vehicle</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Weigth</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Peso neto vehicular más 136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Marcha Mínima o Ralentí:</w:t>
      </w:r>
      <w:r w:rsidRPr="00E8636D">
        <w:rPr>
          <w:rFonts w:ascii="Arial" w:eastAsia="Times New Roman" w:hAnsi="Arial" w:cs="Arial"/>
          <w:sz w:val="24"/>
          <w:szCs w:val="24"/>
        </w:rPr>
        <w:t xml:space="preserve"> Son las especificaciones de velocidad del motor establecidas por el fabricante o ensamblador del vehículo, requeridas para mantenerlo funcionando sin carga y en neutro (para cajas manuales) y en parqueo (para cajas automáticas). Cuando no se disponga de la especificación del fabricante o ensamblador del vehículo, la condición de marcha mínima o ralentí se establecerá a un máximo de 900 revoluciones por minuto del motor.</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MDPV: Medium-</w:t>
      </w:r>
      <w:proofErr w:type="spellStart"/>
      <w:r w:rsidRPr="00E8636D">
        <w:rPr>
          <w:rFonts w:ascii="Arial" w:eastAsia="Times New Roman" w:hAnsi="Arial" w:cs="Arial"/>
          <w:b/>
          <w:sz w:val="24"/>
          <w:szCs w:val="24"/>
        </w:rPr>
        <w:t>Duty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Passenger</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Vehicle</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Cualquier HDV con un peso vehicular inferior a 4.537 kg y diseñado principalmente para transporte de pasajeros. Esta definición no incluye: vehículos que no tengan su unidad de carga adjunta (cabezotes), vehículos con capacidad superior a 12 personas, vehículos cuyo diseño tenga atrás del conductor capacidad para más de 9 personas, vehículos equipados con un área de carga abierta de 1,83 metros o más (por </w:t>
      </w:r>
      <w:proofErr w:type="gramStart"/>
      <w:r w:rsidRPr="00E8636D">
        <w:rPr>
          <w:rFonts w:ascii="Arial" w:eastAsia="Times New Roman" w:hAnsi="Arial" w:cs="Arial"/>
          <w:sz w:val="24"/>
          <w:szCs w:val="24"/>
        </w:rPr>
        <w:t>ejemplo</w:t>
      </w:r>
      <w:proofErr w:type="gramEnd"/>
      <w:r w:rsidRPr="00E8636D">
        <w:rPr>
          <w:rFonts w:ascii="Arial" w:eastAsia="Times New Roman" w:hAnsi="Arial" w:cs="Arial"/>
          <w:sz w:val="24"/>
          <w:szCs w:val="24"/>
        </w:rPr>
        <w:t xml:space="preserve"> pick-up). Una cabina cubierta sin acceso al compartimiento de los pasajeros será considerada “área de carga abierta” para propósitos de esta definición.</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MHDDE: </w:t>
      </w:r>
      <w:r w:rsidRPr="00E8636D">
        <w:rPr>
          <w:rFonts w:ascii="Arial" w:eastAsia="Times New Roman" w:hAnsi="Arial" w:cs="Arial"/>
          <w:sz w:val="24"/>
          <w:szCs w:val="24"/>
        </w:rPr>
        <w:t>Medium Heavy-</w:t>
      </w:r>
      <w:proofErr w:type="spellStart"/>
      <w:r w:rsidRPr="00E8636D">
        <w:rPr>
          <w:rFonts w:ascii="Arial" w:eastAsia="Times New Roman" w:hAnsi="Arial" w:cs="Arial"/>
          <w:sz w:val="24"/>
          <w:szCs w:val="24"/>
        </w:rPr>
        <w:t>Duty</w:t>
      </w:r>
      <w:proofErr w:type="spellEnd"/>
      <w:r w:rsidRPr="00E8636D">
        <w:rPr>
          <w:rFonts w:ascii="Arial" w:eastAsia="Times New Roman" w:hAnsi="Arial" w:cs="Arial"/>
          <w:sz w:val="24"/>
          <w:szCs w:val="24"/>
        </w:rPr>
        <w:t xml:space="preserve"> </w:t>
      </w:r>
      <w:proofErr w:type="spellStart"/>
      <w:r w:rsidRPr="00E8636D">
        <w:rPr>
          <w:rFonts w:ascii="Arial" w:eastAsia="Times New Roman" w:hAnsi="Arial" w:cs="Arial"/>
          <w:sz w:val="24"/>
          <w:szCs w:val="24"/>
        </w:rPr>
        <w:t>Diesel</w:t>
      </w:r>
      <w:proofErr w:type="spellEnd"/>
      <w:r w:rsidRPr="00E8636D">
        <w:rPr>
          <w:rFonts w:ascii="Arial" w:eastAsia="Times New Roman" w:hAnsi="Arial" w:cs="Arial"/>
          <w:sz w:val="24"/>
          <w:szCs w:val="24"/>
        </w:rPr>
        <w:t xml:space="preserve"> </w:t>
      </w:r>
      <w:proofErr w:type="spellStart"/>
      <w:r w:rsidRPr="00E8636D">
        <w:rPr>
          <w:rFonts w:ascii="Arial" w:eastAsia="Times New Roman" w:hAnsi="Arial" w:cs="Arial"/>
          <w:sz w:val="24"/>
          <w:szCs w:val="24"/>
        </w:rPr>
        <w:t>Engines</w:t>
      </w:r>
      <w:proofErr w:type="spellEnd"/>
      <w:r w:rsidRPr="00E8636D">
        <w:rPr>
          <w:rFonts w:ascii="Arial" w:eastAsia="Times New Roman" w:hAnsi="Arial" w:cs="Arial"/>
          <w:sz w:val="24"/>
          <w:szCs w:val="24"/>
        </w:rPr>
        <w:t>. Cualquier motor diésel instalado en un HDV cuyo peso bruto vehicular sea superior a 8.845 kg y que no supere 14.969 kg.</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MP:</w:t>
      </w:r>
      <w:r w:rsidRPr="00E8636D">
        <w:rPr>
          <w:rFonts w:ascii="Arial" w:eastAsia="Times New Roman" w:hAnsi="Arial" w:cs="Arial"/>
          <w:sz w:val="24"/>
          <w:szCs w:val="24"/>
        </w:rPr>
        <w:t xml:space="preserve"> Material Particulado.</w:t>
      </w:r>
    </w:p>
    <w:p w:rsidR="0099217F" w:rsidRPr="00E8636D" w:rsidRDefault="0033743D">
      <w:pPr>
        <w:spacing w:after="0"/>
        <w:jc w:val="both"/>
        <w:rPr>
          <w:rFonts w:ascii="Arial" w:eastAsia="Times New Roman" w:hAnsi="Arial" w:cs="Arial"/>
          <w:sz w:val="24"/>
          <w:szCs w:val="24"/>
        </w:rPr>
      </w:pPr>
      <w:proofErr w:type="spellStart"/>
      <w:r w:rsidRPr="00E8636D">
        <w:rPr>
          <w:rFonts w:ascii="Arial" w:eastAsia="Times New Roman" w:hAnsi="Arial" w:cs="Arial"/>
          <w:b/>
          <w:sz w:val="24"/>
          <w:szCs w:val="24"/>
        </w:rPr>
        <w:t>NOx</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Óxidos de Nitrógeno</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NTE: </w:t>
      </w:r>
      <w:proofErr w:type="spellStart"/>
      <w:r w:rsidRPr="00E8636D">
        <w:rPr>
          <w:rFonts w:ascii="Arial" w:eastAsia="Times New Roman" w:hAnsi="Arial" w:cs="Arial"/>
          <w:b/>
          <w:sz w:val="24"/>
          <w:szCs w:val="24"/>
        </w:rPr>
        <w:t>Not</w:t>
      </w:r>
      <w:proofErr w:type="spellEnd"/>
      <w:r w:rsidRPr="00E8636D">
        <w:rPr>
          <w:rFonts w:ascii="Arial" w:eastAsia="Times New Roman" w:hAnsi="Arial" w:cs="Arial"/>
          <w:b/>
          <w:sz w:val="24"/>
          <w:szCs w:val="24"/>
        </w:rPr>
        <w:t>-to-</w:t>
      </w:r>
      <w:proofErr w:type="spellStart"/>
      <w:r w:rsidRPr="00E8636D">
        <w:rPr>
          <w:rFonts w:ascii="Arial" w:eastAsia="Times New Roman" w:hAnsi="Arial" w:cs="Arial"/>
          <w:b/>
          <w:sz w:val="24"/>
          <w:szCs w:val="24"/>
        </w:rPr>
        <w:t>Exceed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testing</w:t>
      </w:r>
      <w:proofErr w:type="spellEnd"/>
      <w:r w:rsidRPr="00E8636D">
        <w:rPr>
          <w:rFonts w:ascii="Arial" w:eastAsia="Times New Roman" w:hAnsi="Arial" w:cs="Arial"/>
          <w:b/>
          <w:sz w:val="24"/>
          <w:szCs w:val="24"/>
        </w:rPr>
        <w:t xml:space="preserve">. </w:t>
      </w:r>
      <w:r w:rsidRPr="00E8636D">
        <w:rPr>
          <w:rFonts w:ascii="Arial" w:eastAsia="Times New Roman" w:hAnsi="Arial" w:cs="Arial"/>
          <w:sz w:val="24"/>
          <w:szCs w:val="24"/>
        </w:rPr>
        <w:t>Conducción de cualquier tipo que pudiera ocurrir dentro de los límites de un área de control predefinida para no ser excedida, incluida la operación en condiciones estacionarias o transitorias y bajo condiciones ambientales variables. Los límites de emisión NTE son mayores que los límites FTP correspondientes.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Peso Bruto Vehicular: </w:t>
      </w:r>
      <w:r w:rsidRPr="00E8636D">
        <w:rPr>
          <w:rFonts w:ascii="Arial" w:eastAsia="Times New Roman" w:hAnsi="Arial" w:cs="Arial"/>
          <w:sz w:val="24"/>
          <w:szCs w:val="24"/>
        </w:rPr>
        <w:t>Peso máximo de diseño del vehículo cargado, especificado por el fabricante del mismo.</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SET: </w:t>
      </w:r>
      <w:proofErr w:type="spellStart"/>
      <w:r w:rsidRPr="00E8636D">
        <w:rPr>
          <w:rFonts w:ascii="Arial" w:eastAsia="Times New Roman" w:hAnsi="Arial" w:cs="Arial"/>
          <w:b/>
          <w:sz w:val="24"/>
          <w:szCs w:val="24"/>
        </w:rPr>
        <w:t>Supplemental</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Emission</w:t>
      </w:r>
      <w:proofErr w:type="spellEnd"/>
      <w:r w:rsidRPr="00E8636D">
        <w:rPr>
          <w:rFonts w:ascii="Arial" w:eastAsia="Times New Roman" w:hAnsi="Arial" w:cs="Arial"/>
          <w:b/>
          <w:sz w:val="24"/>
          <w:szCs w:val="24"/>
        </w:rPr>
        <w:t xml:space="preserve"> Test. </w:t>
      </w:r>
      <w:r w:rsidRPr="00E8636D">
        <w:rPr>
          <w:rFonts w:ascii="Arial" w:eastAsia="Times New Roman" w:hAnsi="Arial" w:cs="Arial"/>
          <w:sz w:val="24"/>
          <w:szCs w:val="24"/>
        </w:rPr>
        <w:t>Prueba de estado estacionario definida por la EPA, para asegurar que las emisiones de motores de servicio pesado son controladas durante la conducción en estado estacionario. Los límites de emisión SET son numéricamente iguales a los límites de FTP.</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Sistema de Autodiagnóstico a Bordo (OBD):</w:t>
      </w:r>
      <w:r w:rsidRPr="00E8636D">
        <w:rPr>
          <w:rFonts w:ascii="Arial" w:eastAsia="Times New Roman" w:hAnsi="Arial" w:cs="Arial"/>
          <w:sz w:val="24"/>
          <w:szCs w:val="24"/>
        </w:rPr>
        <w:t xml:space="preserve"> Dispositivos o sistemas instalados a bordo del vehículo y conectados al módulo electrónico de control, que tiene como objetivo identificar el deterioro o el mal funcionamiento de los componentes del sistema de control de emisiones, alertar al usuario del vehículo para proceder al mantenimiento o a la reparación del sistema de control de emisiones, almacenar y proveer acceso a las ocurrencias de defectos y o fallas en </w:t>
      </w:r>
      <w:r w:rsidRPr="00E8636D">
        <w:rPr>
          <w:rFonts w:ascii="Arial" w:eastAsia="Times New Roman" w:hAnsi="Arial" w:cs="Arial"/>
          <w:sz w:val="24"/>
          <w:szCs w:val="24"/>
        </w:rPr>
        <w:lastRenderedPageBreak/>
        <w:t>los sistemas de control y contar con información sobre el estado de mantenimiento y reparación de los sistemas del control de emisiones.</w:t>
      </w:r>
    </w:p>
    <w:p w:rsidR="0099217F" w:rsidRPr="00E8636D" w:rsidRDefault="0033743D">
      <w:pPr>
        <w:spacing w:after="0"/>
        <w:jc w:val="both"/>
        <w:rPr>
          <w:rFonts w:ascii="Arial" w:eastAsia="Times New Roman" w:hAnsi="Arial" w:cs="Arial"/>
          <w:sz w:val="24"/>
          <w:szCs w:val="24"/>
        </w:rPr>
      </w:pPr>
      <w:proofErr w:type="spellStart"/>
      <w:r w:rsidRPr="00E8636D">
        <w:rPr>
          <w:rFonts w:ascii="Arial" w:eastAsia="Times New Roman" w:hAnsi="Arial" w:cs="Arial"/>
          <w:b/>
          <w:sz w:val="24"/>
          <w:szCs w:val="24"/>
        </w:rPr>
        <w:t>Urban</w:t>
      </w:r>
      <w:proofErr w:type="spellEnd"/>
      <w:r w:rsidRPr="00E8636D">
        <w:rPr>
          <w:rFonts w:ascii="Arial" w:eastAsia="Times New Roman" w:hAnsi="Arial" w:cs="Arial"/>
          <w:b/>
          <w:sz w:val="24"/>
          <w:szCs w:val="24"/>
        </w:rPr>
        <w:t xml:space="preserve"> bus: </w:t>
      </w:r>
      <w:r w:rsidRPr="00E8636D">
        <w:rPr>
          <w:rFonts w:ascii="Arial" w:eastAsia="Times New Roman" w:hAnsi="Arial" w:cs="Arial"/>
          <w:sz w:val="24"/>
          <w:szCs w:val="24"/>
        </w:rPr>
        <w:t>Vehículo propulsado por un HHDV, diseñado para transportar 15 o más pasajeros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Vehículo Ciclo Diésel: </w:t>
      </w:r>
      <w:r w:rsidRPr="00E8636D">
        <w:rPr>
          <w:rFonts w:ascii="Arial" w:eastAsia="Times New Roman" w:hAnsi="Arial" w:cs="Arial"/>
          <w:sz w:val="24"/>
          <w:szCs w:val="24"/>
        </w:rPr>
        <w:t xml:space="preserve">Vehículo que opera con un motor de combustión interna cuya función se basa en un ciclo termodinámico, en el cual se inyecta en la cámara de combustión el combustible después de haberse realizado una compresión de aire por el pistón. La relación de compresión de la carga del aire es lo suficientemente alta como para encender el combustible inyectado, es decir, el calor se aporta a presión constante. Para efectos de esta Ley, se incluyen los vehículos ciclo Diésel que operen con combustible diésel y sus mezclas con </w:t>
      </w:r>
      <w:proofErr w:type="spellStart"/>
      <w:r w:rsidRPr="00E8636D">
        <w:rPr>
          <w:rFonts w:ascii="Arial" w:eastAsia="Times New Roman" w:hAnsi="Arial" w:cs="Arial"/>
          <w:sz w:val="24"/>
          <w:szCs w:val="24"/>
        </w:rPr>
        <w:t>biodiésel</w:t>
      </w:r>
      <w:proofErr w:type="spellEnd"/>
      <w:r w:rsidRPr="00E8636D">
        <w:rPr>
          <w:rFonts w:ascii="Arial" w:eastAsia="Times New Roman" w:hAnsi="Arial" w:cs="Arial"/>
          <w:sz w:val="24"/>
          <w:szCs w:val="24"/>
        </w:rPr>
        <w:t>, gas natural o gas licuado de petróleo.</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WHSC: </w:t>
      </w:r>
      <w:proofErr w:type="spellStart"/>
      <w:r w:rsidRPr="00E8636D">
        <w:rPr>
          <w:rFonts w:ascii="Arial" w:eastAsia="Times New Roman" w:hAnsi="Arial" w:cs="Arial"/>
          <w:b/>
          <w:sz w:val="24"/>
          <w:szCs w:val="24"/>
        </w:rPr>
        <w:t>World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Harmonized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Stationary</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Cycle</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Programa de pruebas dinámicas en régimen estable o estado estacionario, definido por el reglamento técnico mundial (GTR) No. 4 y desarrollado por el grupo ECPE GRPE de la ONU bajo procedimiento mundial de certificación armonizada de servicio pesado (WHDC) para las emisiones del escape del motor.</w:t>
      </w:r>
    </w:p>
    <w:p w:rsidR="0099217F" w:rsidRPr="00E8636D" w:rsidRDefault="0033743D">
      <w:pPr>
        <w:spacing w:after="0"/>
        <w:jc w:val="both"/>
        <w:rPr>
          <w:rFonts w:ascii="Arial" w:eastAsia="Times New Roman" w:hAnsi="Arial" w:cs="Arial"/>
          <w:b/>
          <w:sz w:val="24"/>
          <w:szCs w:val="24"/>
        </w:rPr>
      </w:pPr>
      <w:r w:rsidRPr="00E8636D">
        <w:rPr>
          <w:rFonts w:ascii="Arial" w:eastAsia="Times New Roman" w:hAnsi="Arial" w:cs="Arial"/>
          <w:b/>
          <w:sz w:val="24"/>
          <w:szCs w:val="24"/>
        </w:rPr>
        <w:t xml:space="preserve">WHTC: </w:t>
      </w:r>
      <w:proofErr w:type="spellStart"/>
      <w:r w:rsidRPr="00E8636D">
        <w:rPr>
          <w:rFonts w:ascii="Arial" w:eastAsia="Times New Roman" w:hAnsi="Arial" w:cs="Arial"/>
          <w:b/>
          <w:sz w:val="24"/>
          <w:szCs w:val="24"/>
        </w:rPr>
        <w:t>World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Harmonized</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Transient</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Cycle</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Programa de pruebas dinámicas en régimen transitorio o </w:t>
      </w:r>
      <w:proofErr w:type="spellStart"/>
      <w:r w:rsidRPr="00E8636D">
        <w:rPr>
          <w:rFonts w:ascii="Arial" w:eastAsia="Times New Roman" w:hAnsi="Arial" w:cs="Arial"/>
          <w:sz w:val="24"/>
          <w:szCs w:val="24"/>
        </w:rPr>
        <w:t>trasiente</w:t>
      </w:r>
      <w:proofErr w:type="spellEnd"/>
      <w:r w:rsidRPr="00E8636D">
        <w:rPr>
          <w:rFonts w:ascii="Arial" w:eastAsia="Times New Roman" w:hAnsi="Arial" w:cs="Arial"/>
          <w:sz w:val="24"/>
          <w:szCs w:val="24"/>
        </w:rPr>
        <w:t>, definido por el reglamento técnico mundial (GTR) No. 4 y desarrollado por el grupo ECPE GRPE de la ONU bajo procedimiento mundial de certificación armonizada de servicio pesado (WHDC) para las emisiones del escape del motor, y se basa en el patrón mundial de uso real de vehículos comerciales pesados.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 xml:space="preserve">WLTC: </w:t>
      </w:r>
      <w:proofErr w:type="spellStart"/>
      <w:r w:rsidRPr="00E8636D">
        <w:rPr>
          <w:rFonts w:ascii="Arial" w:eastAsia="Times New Roman" w:hAnsi="Arial" w:cs="Arial"/>
          <w:b/>
          <w:sz w:val="24"/>
          <w:szCs w:val="24"/>
        </w:rPr>
        <w:t>Worldwide</w:t>
      </w:r>
      <w:proofErr w:type="spellEnd"/>
      <w:r w:rsidRPr="00E8636D">
        <w:rPr>
          <w:rFonts w:ascii="Arial" w:eastAsia="Times New Roman" w:hAnsi="Arial" w:cs="Arial"/>
          <w:b/>
          <w:sz w:val="24"/>
          <w:szCs w:val="24"/>
        </w:rPr>
        <w:t xml:space="preserve"> </w:t>
      </w:r>
      <w:proofErr w:type="spellStart"/>
      <w:r w:rsidRPr="00E8636D">
        <w:rPr>
          <w:rFonts w:ascii="Arial" w:eastAsia="Times New Roman" w:hAnsi="Arial" w:cs="Arial"/>
          <w:b/>
          <w:sz w:val="24"/>
          <w:szCs w:val="24"/>
        </w:rPr>
        <w:t>harmonized</w:t>
      </w:r>
      <w:proofErr w:type="spellEnd"/>
      <w:r w:rsidRPr="00E8636D">
        <w:rPr>
          <w:rFonts w:ascii="Arial" w:eastAsia="Times New Roman" w:hAnsi="Arial" w:cs="Arial"/>
          <w:b/>
          <w:sz w:val="24"/>
          <w:szCs w:val="24"/>
        </w:rPr>
        <w:t xml:space="preserve"> Light vehicules Test </w:t>
      </w:r>
      <w:proofErr w:type="spellStart"/>
      <w:r w:rsidRPr="00E8636D">
        <w:rPr>
          <w:rFonts w:ascii="Arial" w:eastAsia="Times New Roman" w:hAnsi="Arial" w:cs="Arial"/>
          <w:b/>
          <w:sz w:val="24"/>
          <w:szCs w:val="24"/>
        </w:rPr>
        <w:t>Cycles</w:t>
      </w:r>
      <w:proofErr w:type="spellEnd"/>
      <w:r w:rsidRPr="00E8636D">
        <w:rPr>
          <w:rFonts w:ascii="Arial" w:eastAsia="Times New Roman" w:hAnsi="Arial" w:cs="Arial"/>
          <w:b/>
          <w:sz w:val="24"/>
          <w:szCs w:val="24"/>
        </w:rPr>
        <w:t>.</w:t>
      </w:r>
      <w:r w:rsidRPr="00E8636D">
        <w:rPr>
          <w:rFonts w:ascii="Arial" w:eastAsia="Times New Roman" w:hAnsi="Arial" w:cs="Arial"/>
          <w:sz w:val="24"/>
          <w:szCs w:val="24"/>
        </w:rPr>
        <w:t xml:space="preserve"> Prueba realizada en dinamómetro de chasis para la determinación de emisiones y consumo de combustible de vehículos ligeros.</w:t>
      </w:r>
    </w:p>
    <w:p w:rsidR="0099217F" w:rsidRPr="00E8636D" w:rsidRDefault="0099217F">
      <w:pPr>
        <w:spacing w:after="0"/>
        <w:jc w:val="both"/>
        <w:rPr>
          <w:rFonts w:ascii="Arial" w:eastAsia="Times New Roman" w:hAnsi="Arial" w:cs="Arial"/>
          <w:b/>
          <w:sz w:val="24"/>
          <w:szCs w:val="24"/>
        </w:rPr>
      </w:pP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b/>
          <w:sz w:val="24"/>
          <w:szCs w:val="24"/>
        </w:rPr>
        <w:t>Artículo 3°.</w:t>
      </w:r>
      <w:r w:rsidRPr="00E8636D">
        <w:rPr>
          <w:rFonts w:ascii="Arial" w:eastAsia="Times New Roman" w:hAnsi="Arial" w:cs="Arial"/>
          <w:sz w:val="24"/>
          <w:szCs w:val="24"/>
        </w:rPr>
        <w:t xml:space="preserve"> </w:t>
      </w:r>
      <w:r w:rsidRPr="00E8636D">
        <w:rPr>
          <w:rFonts w:ascii="Arial" w:eastAsia="Times New Roman" w:hAnsi="Arial" w:cs="Arial"/>
          <w:b/>
          <w:i/>
          <w:sz w:val="24"/>
          <w:szCs w:val="24"/>
        </w:rPr>
        <w:t xml:space="preserve">Vehículos pesados nuevos con motores diésel. </w:t>
      </w:r>
      <w:r w:rsidRPr="00E8636D">
        <w:rPr>
          <w:rFonts w:ascii="Arial" w:eastAsia="Times New Roman" w:hAnsi="Arial" w:cs="Arial"/>
          <w:sz w:val="24"/>
          <w:szCs w:val="24"/>
        </w:rPr>
        <w:t>A partir del 1° de enero de 2020, todos los vehículos de carga nuevos con motor de ciclo diésel, que se importen o ensamblen en el país, deben cumplir con los límites máximos de emisión en prueba dinámica definidos a continuación:</w:t>
      </w:r>
    </w:p>
    <w:p w:rsidR="0099217F" w:rsidRPr="00E8636D" w:rsidRDefault="0099217F">
      <w:pPr>
        <w:spacing w:after="0"/>
        <w:jc w:val="both"/>
        <w:rPr>
          <w:rFonts w:ascii="Arial" w:eastAsia="Times New Roman" w:hAnsi="Arial" w:cs="Arial"/>
          <w:sz w:val="24"/>
          <w:szCs w:val="24"/>
        </w:rPr>
      </w:pP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t xml:space="preserve">Límites máximos de emisiones permisibles para motores ciclo diésel de vehículos pesados, evaluados mediante ciclos de la Unión Europea (ESC - ETC). </w:t>
      </w:r>
    </w:p>
    <w:tbl>
      <w:tblPr>
        <w:tblStyle w:val="a"/>
        <w:tblW w:w="8820" w:type="dxa"/>
        <w:jc w:val="center"/>
        <w:tblInd w:w="0" w:type="dxa"/>
        <w:tblBorders>
          <w:top w:val="single" w:sz="8" w:space="0" w:color="000000"/>
          <w:left w:val="single" w:sz="8" w:space="0" w:color="000000"/>
          <w:bottom w:val="single" w:sz="8" w:space="0" w:color="000000"/>
          <w:right w:val="single" w:sz="8" w:space="0" w:color="000000"/>
          <w:insideH w:val="nil"/>
          <w:insideV w:val="nil"/>
        </w:tblBorders>
        <w:tblLayout w:type="fixed"/>
        <w:tblLook w:val="0400" w:firstRow="0" w:lastRow="0" w:firstColumn="0" w:lastColumn="0" w:noHBand="0" w:noVBand="1"/>
      </w:tblPr>
      <w:tblGrid>
        <w:gridCol w:w="1015"/>
        <w:gridCol w:w="1500"/>
        <w:gridCol w:w="765"/>
        <w:gridCol w:w="994"/>
        <w:gridCol w:w="1137"/>
        <w:gridCol w:w="996"/>
        <w:gridCol w:w="1137"/>
        <w:gridCol w:w="1276"/>
      </w:tblGrid>
      <w:tr w:rsidR="0099217F" w:rsidRPr="00E8636D">
        <w:trPr>
          <w:trHeight w:val="440"/>
          <w:jc w:val="center"/>
        </w:trPr>
        <w:tc>
          <w:tcPr>
            <w:tcW w:w="1015"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1500" w:type="dxa"/>
            <w:vMerge w:val="restart"/>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7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HCNM</w:t>
            </w:r>
          </w:p>
        </w:tc>
        <w:tc>
          <w:tcPr>
            <w:tcW w:w="9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NOx</w:t>
            </w:r>
            <w:proofErr w:type="spellEnd"/>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PM</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NP</w:t>
            </w:r>
          </w:p>
        </w:tc>
      </w:tr>
      <w:tr w:rsidR="0099217F" w:rsidRPr="00E8636D">
        <w:trPr>
          <w:trHeight w:val="280"/>
          <w:jc w:val="center"/>
        </w:trPr>
        <w:tc>
          <w:tcPr>
            <w:tcW w:w="1015" w:type="dxa"/>
            <w:vMerge/>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b/>
                <w:sz w:val="24"/>
                <w:szCs w:val="24"/>
              </w:rPr>
            </w:pPr>
          </w:p>
        </w:tc>
        <w:tc>
          <w:tcPr>
            <w:tcW w:w="1500" w:type="dxa"/>
            <w:vMerge/>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99217F">
            <w:pPr>
              <w:spacing w:after="0"/>
              <w:rPr>
                <w:rFonts w:ascii="Arial" w:eastAsia="Times New Roman" w:hAnsi="Arial" w:cs="Arial"/>
                <w:b/>
                <w:sz w:val="24"/>
                <w:szCs w:val="24"/>
              </w:rPr>
            </w:pPr>
          </w:p>
          <w:p w:rsidR="0099217F" w:rsidRPr="00E8636D" w:rsidRDefault="0099217F">
            <w:pPr>
              <w:spacing w:after="0"/>
              <w:rPr>
                <w:rFonts w:ascii="Arial" w:eastAsia="Times New Roman" w:hAnsi="Arial" w:cs="Arial"/>
                <w:b/>
                <w:sz w:val="24"/>
                <w:szCs w:val="24"/>
              </w:rPr>
            </w:pPr>
          </w:p>
        </w:tc>
        <w:tc>
          <w:tcPr>
            <w:tcW w:w="5029" w:type="dxa"/>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g/kW-h</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1/kW-h</w:t>
            </w:r>
          </w:p>
        </w:tc>
      </w:tr>
      <w:tr w:rsidR="0099217F" w:rsidRPr="00E8636D">
        <w:trPr>
          <w:trHeight w:val="260"/>
          <w:jc w:val="center"/>
        </w:trPr>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ESC</w:t>
            </w:r>
          </w:p>
        </w:tc>
        <w:tc>
          <w:tcPr>
            <w:tcW w:w="150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 xml:space="preserve">N2, N3, </w:t>
            </w:r>
          </w:p>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M2, M3</w:t>
            </w:r>
          </w:p>
        </w:tc>
        <w:tc>
          <w:tcPr>
            <w:tcW w:w="7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1,50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0,46</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t>
            </w:r>
          </w:p>
        </w:tc>
        <w:tc>
          <w:tcPr>
            <w:tcW w:w="9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3,50</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1x10</w:t>
            </w:r>
            <w:r w:rsidRPr="00E8636D">
              <w:rPr>
                <w:rFonts w:ascii="Arial" w:eastAsia="Times New Roman" w:hAnsi="Arial" w:cs="Arial"/>
                <w:sz w:val="24"/>
                <w:szCs w:val="24"/>
                <w:vertAlign w:val="superscript"/>
              </w:rPr>
              <w:t>12</w:t>
            </w:r>
          </w:p>
        </w:tc>
      </w:tr>
      <w:tr w:rsidR="0099217F" w:rsidRPr="00E8636D">
        <w:trPr>
          <w:trHeight w:val="260"/>
          <w:jc w:val="center"/>
        </w:trPr>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ETC</w:t>
            </w:r>
          </w:p>
        </w:tc>
        <w:tc>
          <w:tcPr>
            <w:tcW w:w="1500" w:type="dxa"/>
            <w:vMerge/>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99217F">
            <w:pPr>
              <w:spacing w:after="0"/>
              <w:rPr>
                <w:rFonts w:ascii="Arial" w:eastAsia="Times New Roman" w:hAnsi="Arial" w:cs="Arial"/>
                <w:sz w:val="24"/>
                <w:szCs w:val="24"/>
              </w:rPr>
            </w:pPr>
          </w:p>
        </w:tc>
        <w:tc>
          <w:tcPr>
            <w:tcW w:w="7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4,00</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0,55</w:t>
            </w:r>
          </w:p>
        </w:tc>
        <w:tc>
          <w:tcPr>
            <w:tcW w:w="9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3,50</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0,03</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1x10</w:t>
            </w:r>
            <w:r w:rsidRPr="00E8636D">
              <w:rPr>
                <w:rFonts w:ascii="Arial" w:eastAsia="Times New Roman" w:hAnsi="Arial" w:cs="Arial"/>
                <w:sz w:val="24"/>
                <w:szCs w:val="24"/>
                <w:vertAlign w:val="superscript"/>
              </w:rPr>
              <w:t>12</w:t>
            </w:r>
          </w:p>
        </w:tc>
      </w:tr>
    </w:tbl>
    <w:p w:rsidR="0099217F" w:rsidRPr="00E8636D" w:rsidRDefault="0099217F">
      <w:pPr>
        <w:keepNext/>
        <w:spacing w:after="0"/>
        <w:jc w:val="center"/>
        <w:rPr>
          <w:rFonts w:ascii="Arial" w:eastAsia="Times New Roman" w:hAnsi="Arial" w:cs="Arial"/>
          <w:sz w:val="24"/>
          <w:szCs w:val="24"/>
        </w:rPr>
      </w:pP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t xml:space="preserve">Límites máximos de emisiones permisibles para motores ciclo diésel de vehículos pesados, evaluados mediante ciclos de Estados Unidos (FTP). </w:t>
      </w:r>
    </w:p>
    <w:tbl>
      <w:tblPr>
        <w:tblStyle w:val="a0"/>
        <w:tblW w:w="8804" w:type="dxa"/>
        <w:jc w:val="center"/>
        <w:tblInd w:w="0" w:type="dxa"/>
        <w:tblBorders>
          <w:top w:val="single" w:sz="8" w:space="0" w:color="000000"/>
          <w:left w:val="single" w:sz="8" w:space="0" w:color="000000"/>
          <w:bottom w:val="single" w:sz="8" w:space="0" w:color="000000"/>
          <w:right w:val="single" w:sz="8" w:space="0" w:color="000000"/>
          <w:insideH w:val="nil"/>
          <w:insideV w:val="nil"/>
        </w:tblBorders>
        <w:tblLayout w:type="fixed"/>
        <w:tblLook w:val="0400" w:firstRow="0" w:lastRow="0" w:firstColumn="0" w:lastColumn="0" w:noHBand="0" w:noVBand="1"/>
      </w:tblPr>
      <w:tblGrid>
        <w:gridCol w:w="1418"/>
        <w:gridCol w:w="1439"/>
        <w:gridCol w:w="1199"/>
        <w:gridCol w:w="1324"/>
        <w:gridCol w:w="1407"/>
        <w:gridCol w:w="1008"/>
        <w:gridCol w:w="1009"/>
      </w:tblGrid>
      <w:tr w:rsidR="0099217F" w:rsidRPr="00E8636D">
        <w:trPr>
          <w:trHeight w:val="260"/>
          <w:jc w:val="center"/>
        </w:trPr>
        <w:tc>
          <w:tcPr>
            <w:tcW w:w="1419"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1439" w:type="dxa"/>
            <w:vMerge w:val="restart"/>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132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w:t>
            </w:r>
          </w:p>
        </w:tc>
        <w:tc>
          <w:tcPr>
            <w:tcW w:w="140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NOx</w:t>
            </w:r>
            <w:proofErr w:type="spellEnd"/>
          </w:p>
        </w:tc>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PM</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NP</w:t>
            </w:r>
          </w:p>
        </w:tc>
      </w:tr>
      <w:tr w:rsidR="0099217F" w:rsidRPr="00E8636D">
        <w:trPr>
          <w:trHeight w:val="260"/>
          <w:jc w:val="center"/>
        </w:trPr>
        <w:tc>
          <w:tcPr>
            <w:tcW w:w="1419" w:type="dxa"/>
            <w:vMerge/>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b/>
                <w:sz w:val="24"/>
                <w:szCs w:val="24"/>
              </w:rPr>
            </w:pPr>
          </w:p>
        </w:tc>
        <w:tc>
          <w:tcPr>
            <w:tcW w:w="1439" w:type="dxa"/>
            <w:vMerge/>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99217F">
            <w:pPr>
              <w:spacing w:after="0"/>
              <w:jc w:val="center"/>
              <w:rPr>
                <w:rFonts w:ascii="Arial" w:eastAsia="Times New Roman" w:hAnsi="Arial" w:cs="Arial"/>
                <w:b/>
                <w:sz w:val="24"/>
                <w:szCs w:val="24"/>
              </w:rPr>
            </w:pPr>
          </w:p>
          <w:p w:rsidR="0099217F" w:rsidRPr="00E8636D" w:rsidRDefault="0099217F">
            <w:pPr>
              <w:spacing w:after="0"/>
              <w:jc w:val="center"/>
              <w:rPr>
                <w:rFonts w:ascii="Arial" w:eastAsia="Times New Roman" w:hAnsi="Arial" w:cs="Arial"/>
                <w:b/>
                <w:sz w:val="24"/>
                <w:szCs w:val="24"/>
              </w:rPr>
            </w:pPr>
          </w:p>
        </w:tc>
        <w:tc>
          <w:tcPr>
            <w:tcW w:w="4938"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jc w:val="center"/>
              <w:rPr>
                <w:rFonts w:ascii="Arial" w:eastAsia="Times New Roman" w:hAnsi="Arial" w:cs="Arial"/>
                <w:b/>
                <w:sz w:val="24"/>
                <w:szCs w:val="24"/>
              </w:rPr>
            </w:pPr>
            <w:r w:rsidRPr="00E8636D">
              <w:rPr>
                <w:rFonts w:ascii="Arial" w:eastAsia="Times New Roman" w:hAnsi="Arial" w:cs="Arial"/>
                <w:b/>
                <w:sz w:val="24"/>
                <w:szCs w:val="24"/>
              </w:rPr>
              <w:t>g/</w:t>
            </w:r>
            <w:proofErr w:type="spellStart"/>
            <w:r w:rsidRPr="00E8636D">
              <w:rPr>
                <w:rFonts w:ascii="Arial" w:eastAsia="Times New Roman" w:hAnsi="Arial" w:cs="Arial"/>
                <w:b/>
                <w:sz w:val="24"/>
                <w:szCs w:val="24"/>
              </w:rPr>
              <w:t>bhp</w:t>
            </w:r>
            <w:proofErr w:type="spellEnd"/>
            <w:r w:rsidRPr="00E8636D">
              <w:rPr>
                <w:rFonts w:ascii="Arial" w:eastAsia="Times New Roman" w:hAnsi="Arial" w:cs="Arial"/>
                <w:b/>
                <w:sz w:val="24"/>
                <w:szCs w:val="24"/>
              </w:rPr>
              <w:t>-h</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1/</w:t>
            </w:r>
            <w:proofErr w:type="spellStart"/>
            <w:r w:rsidRPr="00E8636D">
              <w:rPr>
                <w:rFonts w:ascii="Arial" w:eastAsia="Times New Roman" w:hAnsi="Arial" w:cs="Arial"/>
                <w:b/>
                <w:sz w:val="24"/>
                <w:szCs w:val="24"/>
              </w:rPr>
              <w:t>bhp</w:t>
            </w:r>
            <w:proofErr w:type="spellEnd"/>
            <w:r w:rsidRPr="00E8636D">
              <w:rPr>
                <w:rFonts w:ascii="Arial" w:eastAsia="Times New Roman" w:hAnsi="Arial" w:cs="Arial"/>
                <w:b/>
                <w:sz w:val="24"/>
                <w:szCs w:val="24"/>
              </w:rPr>
              <w:t>-h</w:t>
            </w:r>
          </w:p>
        </w:tc>
      </w:tr>
      <w:tr w:rsidR="0099217F" w:rsidRPr="00E8636D">
        <w:trPr>
          <w:trHeight w:val="260"/>
          <w:jc w:val="center"/>
        </w:trPr>
        <w:tc>
          <w:tcPr>
            <w:tcW w:w="141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FTP</w:t>
            </w:r>
          </w:p>
        </w:tc>
        <w:tc>
          <w:tcPr>
            <w:tcW w:w="1439"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HDV*</w:t>
            </w:r>
          </w:p>
        </w:tc>
        <w:tc>
          <w:tcPr>
            <w:tcW w:w="11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15,50</w:t>
            </w:r>
          </w:p>
        </w:tc>
        <w:tc>
          <w:tcPr>
            <w:tcW w:w="132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1,30</w:t>
            </w:r>
          </w:p>
        </w:tc>
        <w:tc>
          <w:tcPr>
            <w:tcW w:w="140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4,00</w:t>
            </w:r>
          </w:p>
        </w:tc>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0,05</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8x10</w:t>
            </w:r>
            <w:r w:rsidRPr="00E8636D">
              <w:rPr>
                <w:rFonts w:ascii="Arial" w:eastAsia="Times New Roman" w:hAnsi="Arial" w:cs="Arial"/>
                <w:sz w:val="24"/>
                <w:szCs w:val="24"/>
                <w:vertAlign w:val="superscript"/>
              </w:rPr>
              <w:t>11</w:t>
            </w:r>
          </w:p>
        </w:tc>
      </w:tr>
    </w:tbl>
    <w:p w:rsidR="0099217F" w:rsidRPr="00E8636D" w:rsidRDefault="0099217F">
      <w:pPr>
        <w:ind w:hanging="2"/>
        <w:jc w:val="both"/>
        <w:rPr>
          <w:rFonts w:ascii="Arial" w:eastAsia="Times New Roman" w:hAnsi="Arial" w:cs="Arial"/>
          <w:sz w:val="24"/>
          <w:szCs w:val="24"/>
        </w:rPr>
      </w:pPr>
    </w:p>
    <w:p w:rsidR="0099217F" w:rsidRPr="00E8636D" w:rsidRDefault="0033743D">
      <w:pPr>
        <w:ind w:hanging="2"/>
        <w:jc w:val="both"/>
        <w:rPr>
          <w:rFonts w:ascii="Arial" w:eastAsia="Times New Roman" w:hAnsi="Arial" w:cs="Arial"/>
          <w:color w:val="FF0000"/>
          <w:sz w:val="24"/>
          <w:szCs w:val="24"/>
        </w:rPr>
      </w:pPr>
      <w:r w:rsidRPr="00E8636D">
        <w:rPr>
          <w:rFonts w:ascii="Arial" w:eastAsia="Times New Roman" w:hAnsi="Arial" w:cs="Arial"/>
          <w:b/>
          <w:sz w:val="24"/>
          <w:szCs w:val="24"/>
        </w:rPr>
        <w:t>Parágrafo 1.</w:t>
      </w:r>
      <w:r w:rsidRPr="00E8636D">
        <w:rPr>
          <w:rFonts w:ascii="Arial" w:eastAsia="Times New Roman" w:hAnsi="Arial" w:cs="Arial"/>
          <w:color w:val="FF0000"/>
          <w:sz w:val="24"/>
          <w:szCs w:val="24"/>
        </w:rPr>
        <w:t xml:space="preserve"> </w:t>
      </w:r>
      <w:r w:rsidRPr="00E8636D">
        <w:rPr>
          <w:rFonts w:ascii="Arial" w:eastAsia="Times New Roman" w:hAnsi="Arial" w:cs="Arial"/>
          <w:sz w:val="24"/>
          <w:szCs w:val="24"/>
        </w:rPr>
        <w:t xml:space="preserve">A partir del 1° de enero de 2020 los vehículos de servicio público de transporte terrestre de pasajeros y de transporte terrestre automotor de carga que se importen o ensamblen en el territorio nacional tendrán que cumplir con lo establecido en el presente artículo. </w:t>
      </w:r>
    </w:p>
    <w:p w:rsidR="0099217F" w:rsidRPr="00E8636D" w:rsidRDefault="0033743D">
      <w:pPr>
        <w:ind w:hanging="2"/>
        <w:jc w:val="both"/>
        <w:rPr>
          <w:rFonts w:ascii="Arial" w:eastAsia="Times New Roman" w:hAnsi="Arial" w:cs="Arial"/>
          <w:b/>
          <w:sz w:val="24"/>
          <w:szCs w:val="24"/>
        </w:rPr>
      </w:pPr>
      <w:r w:rsidRPr="00E8636D">
        <w:rPr>
          <w:rFonts w:ascii="Arial" w:eastAsia="Times New Roman" w:hAnsi="Arial" w:cs="Arial"/>
          <w:b/>
          <w:sz w:val="24"/>
          <w:szCs w:val="24"/>
        </w:rPr>
        <w:t>Parágrafo 2.</w:t>
      </w:r>
      <w:r w:rsidRPr="00E8636D">
        <w:rPr>
          <w:rFonts w:ascii="Arial" w:eastAsia="Times New Roman" w:hAnsi="Arial" w:cs="Arial"/>
          <w:sz w:val="24"/>
          <w:szCs w:val="24"/>
        </w:rPr>
        <w:t xml:space="preserve"> Para obtener la aprobación del Certificado de Emisiones por Prueba Dinámica, el comercializador representante de marca, importador, fabricante o ensamblador debe presentar ante la Dirección de Licencias, Permisos y Trámites Ambientales del Ministerio de Ambiente y Desarrollo Sostenible o quien haga sus veces, el formato respectivo acompañado con el reporte técnico de la prueba o ensayo. El Ministerio de Ambiente y Desarrollo Sostenible procederá a verificar que la información allegada en el formato respectivo cumple con los requisitos exigidos en la presente resolución</w:t>
      </w:r>
      <w:r w:rsidRPr="00E8636D">
        <w:rPr>
          <w:rFonts w:ascii="Arial" w:eastAsia="Times New Roman" w:hAnsi="Arial" w:cs="Arial"/>
          <w:sz w:val="24"/>
          <w:szCs w:val="24"/>
          <w:highlight w:val="white"/>
        </w:rPr>
        <w:t>.</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 xml:space="preserve">Artículo 4°. Vehículos pesados nuevos con motor diésel. </w:t>
      </w:r>
      <w:r w:rsidRPr="00E8636D">
        <w:rPr>
          <w:rFonts w:ascii="Arial" w:eastAsia="Times New Roman" w:hAnsi="Arial" w:cs="Arial"/>
          <w:sz w:val="24"/>
          <w:szCs w:val="24"/>
        </w:rPr>
        <w:t>A partir del 1º de enero de 2030, todos los vehículos de carga pesada con motor de ciclo diésel, que se importen o ensamblen en el país, deben cumplir con los límites máximos de emisión en prueba dinámica definidos a continuación:</w:t>
      </w: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t>Límites máximos de emisiones permisibles para motores ciclo diésel de vehículos pesados, evaluados mediante ciclos de la Unión Europea (WHSC - WHTC):</w:t>
      </w:r>
    </w:p>
    <w:tbl>
      <w:tblPr>
        <w:tblStyle w:val="a1"/>
        <w:tblW w:w="8820" w:type="dxa"/>
        <w:jc w:val="center"/>
        <w:tblInd w:w="0" w:type="dxa"/>
        <w:tblBorders>
          <w:top w:val="single" w:sz="8" w:space="0" w:color="000000"/>
          <w:left w:val="single" w:sz="8" w:space="0" w:color="000000"/>
          <w:bottom w:val="single" w:sz="8" w:space="0" w:color="000000"/>
          <w:right w:val="single" w:sz="8" w:space="0" w:color="000000"/>
          <w:insideH w:val="nil"/>
          <w:insideV w:val="nil"/>
        </w:tblBorders>
        <w:tblLayout w:type="fixed"/>
        <w:tblLook w:val="0400" w:firstRow="0" w:lastRow="0" w:firstColumn="0" w:lastColumn="0" w:noHBand="0" w:noVBand="1"/>
      </w:tblPr>
      <w:tblGrid>
        <w:gridCol w:w="1015"/>
        <w:gridCol w:w="1590"/>
        <w:gridCol w:w="946"/>
        <w:gridCol w:w="870"/>
        <w:gridCol w:w="1141"/>
        <w:gridCol w:w="1006"/>
        <w:gridCol w:w="976"/>
        <w:gridCol w:w="1276"/>
      </w:tblGrid>
      <w:tr w:rsidR="0099217F" w:rsidRPr="00E8636D">
        <w:trPr>
          <w:trHeight w:val="260"/>
          <w:jc w:val="center"/>
        </w:trPr>
        <w:tc>
          <w:tcPr>
            <w:tcW w:w="1015"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1590" w:type="dxa"/>
            <w:vMerge w:val="restart"/>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9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w:t>
            </w:r>
          </w:p>
        </w:tc>
        <w:tc>
          <w:tcPr>
            <w:tcW w:w="1141"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HCNM</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NOx</w:t>
            </w:r>
            <w:proofErr w:type="spellEnd"/>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PM</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NP</w:t>
            </w:r>
          </w:p>
        </w:tc>
      </w:tr>
      <w:tr w:rsidR="0099217F" w:rsidRPr="00E8636D">
        <w:trPr>
          <w:trHeight w:val="260"/>
          <w:jc w:val="center"/>
        </w:trPr>
        <w:tc>
          <w:tcPr>
            <w:tcW w:w="1015" w:type="dxa"/>
            <w:vMerge/>
            <w:tcBorders>
              <w:top w:val="single" w:sz="8" w:space="0" w:color="000000"/>
              <w:left w:val="single" w:sz="8" w:space="0" w:color="000000"/>
              <w:bottom w:val="nil"/>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b/>
                <w:sz w:val="24"/>
                <w:szCs w:val="24"/>
              </w:rPr>
            </w:pPr>
          </w:p>
        </w:tc>
        <w:tc>
          <w:tcPr>
            <w:tcW w:w="1590" w:type="dxa"/>
            <w:vMerge/>
            <w:tcBorders>
              <w:top w:val="single" w:sz="8" w:space="0" w:color="000000"/>
              <w:left w:val="single" w:sz="8" w:space="0" w:color="000000"/>
              <w:bottom w:val="nil"/>
              <w:right w:val="single" w:sz="8" w:space="0" w:color="000000"/>
            </w:tcBorders>
            <w:shd w:val="clear" w:color="auto" w:fill="FFFFFF"/>
            <w:vAlign w:val="center"/>
          </w:tcPr>
          <w:p w:rsidR="0099217F" w:rsidRPr="00E8636D" w:rsidRDefault="0099217F">
            <w:pPr>
              <w:spacing w:after="0"/>
              <w:jc w:val="center"/>
              <w:rPr>
                <w:rFonts w:ascii="Arial" w:eastAsia="Times New Roman" w:hAnsi="Arial" w:cs="Arial"/>
                <w:b/>
                <w:sz w:val="24"/>
                <w:szCs w:val="24"/>
              </w:rPr>
            </w:pPr>
          </w:p>
          <w:p w:rsidR="0099217F" w:rsidRPr="00E8636D" w:rsidRDefault="0099217F">
            <w:pPr>
              <w:spacing w:after="0"/>
              <w:jc w:val="center"/>
              <w:rPr>
                <w:rFonts w:ascii="Arial" w:eastAsia="Times New Roman" w:hAnsi="Arial" w:cs="Arial"/>
                <w:b/>
                <w:sz w:val="24"/>
                <w:szCs w:val="24"/>
              </w:rPr>
            </w:pPr>
          </w:p>
        </w:tc>
        <w:tc>
          <w:tcPr>
            <w:tcW w:w="4939" w:type="dxa"/>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jc w:val="center"/>
              <w:rPr>
                <w:rFonts w:ascii="Arial" w:eastAsia="Times New Roman" w:hAnsi="Arial" w:cs="Arial"/>
                <w:b/>
                <w:sz w:val="24"/>
                <w:szCs w:val="24"/>
              </w:rPr>
            </w:pPr>
            <w:r w:rsidRPr="00E8636D">
              <w:rPr>
                <w:rFonts w:ascii="Arial" w:eastAsia="Times New Roman" w:hAnsi="Arial" w:cs="Arial"/>
                <w:b/>
                <w:sz w:val="24"/>
                <w:szCs w:val="24"/>
              </w:rPr>
              <w:t>g/kW-h</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1/kW-h</w:t>
            </w:r>
          </w:p>
        </w:tc>
      </w:tr>
      <w:tr w:rsidR="0099217F" w:rsidRPr="00E8636D">
        <w:trPr>
          <w:trHeight w:val="260"/>
          <w:jc w:val="center"/>
        </w:trPr>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WHSC</w:t>
            </w:r>
          </w:p>
        </w:tc>
        <w:tc>
          <w:tcPr>
            <w:tcW w:w="1590"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 xml:space="preserve">N2, N3, </w:t>
            </w:r>
          </w:p>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M2, M3</w:t>
            </w:r>
          </w:p>
        </w:tc>
        <w:tc>
          <w:tcPr>
            <w:tcW w:w="9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1,50</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0,13</w:t>
            </w:r>
          </w:p>
        </w:tc>
        <w:tc>
          <w:tcPr>
            <w:tcW w:w="1141"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0,40</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8x10</w:t>
            </w:r>
            <w:r w:rsidRPr="00E8636D">
              <w:rPr>
                <w:rFonts w:ascii="Arial" w:eastAsia="Times New Roman" w:hAnsi="Arial" w:cs="Arial"/>
                <w:sz w:val="24"/>
                <w:szCs w:val="24"/>
                <w:vertAlign w:val="superscript"/>
              </w:rPr>
              <w:t>11</w:t>
            </w:r>
          </w:p>
        </w:tc>
      </w:tr>
      <w:tr w:rsidR="0099217F" w:rsidRPr="00E8636D">
        <w:trPr>
          <w:trHeight w:val="260"/>
          <w:jc w:val="center"/>
        </w:trPr>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WHTC</w:t>
            </w:r>
          </w:p>
        </w:tc>
        <w:tc>
          <w:tcPr>
            <w:tcW w:w="1590" w:type="dxa"/>
            <w:vMerge/>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99217F">
            <w:pPr>
              <w:spacing w:after="0"/>
              <w:rPr>
                <w:rFonts w:ascii="Arial" w:eastAsia="Times New Roman" w:hAnsi="Arial" w:cs="Arial"/>
                <w:sz w:val="24"/>
                <w:szCs w:val="24"/>
              </w:rPr>
            </w:pPr>
          </w:p>
        </w:tc>
        <w:tc>
          <w:tcPr>
            <w:tcW w:w="9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4,00</w:t>
            </w:r>
          </w:p>
        </w:tc>
        <w:tc>
          <w:tcPr>
            <w:tcW w:w="8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w:t>
            </w:r>
          </w:p>
        </w:tc>
        <w:tc>
          <w:tcPr>
            <w:tcW w:w="1141"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0,16</w:t>
            </w:r>
          </w:p>
        </w:tc>
        <w:tc>
          <w:tcPr>
            <w:tcW w:w="100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0,46</w:t>
            </w:r>
          </w:p>
        </w:tc>
        <w:tc>
          <w:tcPr>
            <w:tcW w:w="97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6x10</w:t>
            </w:r>
            <w:r w:rsidRPr="00E8636D">
              <w:rPr>
                <w:rFonts w:ascii="Arial" w:eastAsia="Times New Roman" w:hAnsi="Arial" w:cs="Arial"/>
                <w:sz w:val="24"/>
                <w:szCs w:val="24"/>
                <w:vertAlign w:val="superscript"/>
              </w:rPr>
              <w:t>11</w:t>
            </w:r>
          </w:p>
        </w:tc>
      </w:tr>
    </w:tbl>
    <w:p w:rsidR="0099217F" w:rsidRPr="00E8636D" w:rsidRDefault="0099217F">
      <w:pPr>
        <w:spacing w:after="0"/>
        <w:ind w:hanging="2"/>
        <w:jc w:val="both"/>
        <w:rPr>
          <w:rFonts w:ascii="Arial" w:eastAsia="Times New Roman" w:hAnsi="Arial" w:cs="Arial"/>
          <w:sz w:val="24"/>
          <w:szCs w:val="24"/>
        </w:rPr>
      </w:pP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lastRenderedPageBreak/>
        <w:t>Límites máximos de emisiones permisibles para motores ciclo diésel de vehículos pesados, evaluados mediante ciclos de Estados Unidos (SET - NET):</w:t>
      </w:r>
    </w:p>
    <w:tbl>
      <w:tblPr>
        <w:tblStyle w:val="a2"/>
        <w:tblW w:w="8835" w:type="dxa"/>
        <w:jc w:val="center"/>
        <w:tblInd w:w="0" w:type="dxa"/>
        <w:tblBorders>
          <w:top w:val="single" w:sz="8" w:space="0" w:color="000000"/>
          <w:left w:val="single" w:sz="8" w:space="0" w:color="000000"/>
          <w:bottom w:val="single" w:sz="8" w:space="0" w:color="000000"/>
          <w:right w:val="single" w:sz="8" w:space="0" w:color="000000"/>
          <w:insideH w:val="nil"/>
          <w:insideV w:val="nil"/>
        </w:tblBorders>
        <w:tblLayout w:type="fixed"/>
        <w:tblLook w:val="0400" w:firstRow="0" w:lastRow="0" w:firstColumn="0" w:lastColumn="0" w:noHBand="0" w:noVBand="1"/>
      </w:tblPr>
      <w:tblGrid>
        <w:gridCol w:w="1600"/>
        <w:gridCol w:w="1681"/>
        <w:gridCol w:w="1321"/>
        <w:gridCol w:w="1497"/>
        <w:gridCol w:w="1590"/>
        <w:gridCol w:w="1146"/>
      </w:tblGrid>
      <w:tr w:rsidR="0099217F" w:rsidRPr="00E8636D">
        <w:trPr>
          <w:trHeight w:val="360"/>
          <w:jc w:val="center"/>
        </w:trPr>
        <w:tc>
          <w:tcPr>
            <w:tcW w:w="16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14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HC</w:t>
            </w:r>
          </w:p>
        </w:tc>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NOx</w:t>
            </w:r>
            <w:proofErr w:type="spellEnd"/>
          </w:p>
        </w:tc>
        <w:tc>
          <w:tcPr>
            <w:tcW w:w="11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PM</w:t>
            </w:r>
          </w:p>
        </w:tc>
      </w:tr>
      <w:tr w:rsidR="0099217F" w:rsidRPr="00E8636D">
        <w:trPr>
          <w:trHeight w:val="260"/>
          <w:jc w:val="center"/>
        </w:trPr>
        <w:tc>
          <w:tcPr>
            <w:tcW w:w="160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b/>
                <w:sz w:val="24"/>
                <w:szCs w:val="24"/>
              </w:rPr>
            </w:pPr>
          </w:p>
        </w:tc>
        <w:tc>
          <w:tcPr>
            <w:tcW w:w="168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99217F">
            <w:pPr>
              <w:spacing w:after="0"/>
              <w:rPr>
                <w:rFonts w:ascii="Arial" w:eastAsia="Times New Roman" w:hAnsi="Arial" w:cs="Arial"/>
                <w:b/>
                <w:sz w:val="24"/>
                <w:szCs w:val="24"/>
              </w:rPr>
            </w:pPr>
          </w:p>
          <w:p w:rsidR="0099217F" w:rsidRPr="00E8636D" w:rsidRDefault="0099217F">
            <w:pPr>
              <w:spacing w:after="0"/>
              <w:rPr>
                <w:rFonts w:ascii="Arial" w:eastAsia="Times New Roman" w:hAnsi="Arial" w:cs="Arial"/>
                <w:b/>
                <w:sz w:val="24"/>
                <w:szCs w:val="24"/>
              </w:rPr>
            </w:pPr>
          </w:p>
        </w:tc>
        <w:tc>
          <w:tcPr>
            <w:tcW w:w="5554"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g/</w:t>
            </w:r>
            <w:proofErr w:type="spellStart"/>
            <w:r w:rsidRPr="00E8636D">
              <w:rPr>
                <w:rFonts w:ascii="Arial" w:eastAsia="Times New Roman" w:hAnsi="Arial" w:cs="Arial"/>
                <w:b/>
                <w:sz w:val="24"/>
                <w:szCs w:val="24"/>
              </w:rPr>
              <w:t>bhp</w:t>
            </w:r>
            <w:proofErr w:type="spellEnd"/>
            <w:r w:rsidRPr="00E8636D">
              <w:rPr>
                <w:rFonts w:ascii="Arial" w:eastAsia="Times New Roman" w:hAnsi="Arial" w:cs="Arial"/>
                <w:b/>
                <w:sz w:val="24"/>
                <w:szCs w:val="24"/>
              </w:rPr>
              <w:t>-h</w:t>
            </w:r>
          </w:p>
        </w:tc>
      </w:tr>
      <w:tr w:rsidR="0099217F" w:rsidRPr="00E8636D">
        <w:trPr>
          <w:trHeight w:val="260"/>
          <w:jc w:val="center"/>
        </w:trPr>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SET &amp; NTE</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HDV*</w:t>
            </w:r>
          </w:p>
        </w:tc>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15,50</w:t>
            </w:r>
          </w:p>
        </w:tc>
        <w:tc>
          <w:tcPr>
            <w:tcW w:w="14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0,14</w:t>
            </w:r>
          </w:p>
        </w:tc>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0,02</w:t>
            </w:r>
          </w:p>
        </w:tc>
        <w:tc>
          <w:tcPr>
            <w:tcW w:w="11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0,01</w:t>
            </w:r>
          </w:p>
        </w:tc>
      </w:tr>
      <w:tr w:rsidR="0099217F" w:rsidRPr="00E8636D">
        <w:trPr>
          <w:trHeight w:val="700"/>
          <w:jc w:val="center"/>
        </w:trPr>
        <w:tc>
          <w:tcPr>
            <w:tcW w:w="8835" w:type="dxa"/>
            <w:gridSpan w:val="6"/>
            <w:tcBorders>
              <w:top w:val="single" w:sz="8" w:space="0" w:color="000000"/>
              <w:left w:val="nil"/>
              <w:bottom w:val="nil"/>
              <w:right w:val="nil"/>
            </w:tcBorders>
            <w:shd w:val="clear" w:color="auto" w:fill="FFFFFF"/>
            <w:tcMar>
              <w:top w:w="15" w:type="dxa"/>
              <w:left w:w="15" w:type="dxa"/>
              <w:bottom w:w="15" w:type="dxa"/>
              <w:right w:w="15" w:type="dxa"/>
            </w:tcMar>
            <w:vAlign w:val="center"/>
          </w:tcPr>
          <w:p w:rsidR="0099217F" w:rsidRPr="00E8636D" w:rsidRDefault="0033743D">
            <w:pPr>
              <w:spacing w:after="0" w:line="360" w:lineRule="auto"/>
              <w:jc w:val="both"/>
              <w:rPr>
                <w:rFonts w:ascii="Arial" w:eastAsia="Times New Roman" w:hAnsi="Arial" w:cs="Arial"/>
                <w:sz w:val="24"/>
                <w:szCs w:val="24"/>
              </w:rPr>
            </w:pPr>
            <w:r w:rsidRPr="00E8636D">
              <w:rPr>
                <w:rFonts w:ascii="Arial" w:eastAsia="Times New Roman" w:hAnsi="Arial" w:cs="Arial"/>
                <w:sz w:val="24"/>
                <w:szCs w:val="24"/>
              </w:rPr>
              <w:t>*Excepto para MDPV</w:t>
            </w:r>
          </w:p>
          <w:p w:rsidR="0099217F" w:rsidRPr="00E8636D" w:rsidRDefault="0099217F">
            <w:pPr>
              <w:spacing w:after="0"/>
              <w:ind w:hanging="2"/>
              <w:jc w:val="both"/>
              <w:rPr>
                <w:rFonts w:ascii="Arial" w:eastAsia="Times New Roman" w:hAnsi="Arial" w:cs="Arial"/>
                <w:sz w:val="24"/>
                <w:szCs w:val="24"/>
              </w:rPr>
            </w:pPr>
          </w:p>
        </w:tc>
      </w:tr>
    </w:tbl>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 xml:space="preserve">Parágrafo 1. </w:t>
      </w:r>
      <w:r w:rsidRPr="00E8636D">
        <w:rPr>
          <w:rFonts w:ascii="Arial" w:eastAsia="Times New Roman" w:hAnsi="Arial" w:cs="Arial"/>
          <w:sz w:val="24"/>
          <w:szCs w:val="24"/>
        </w:rPr>
        <w:t xml:space="preserve">A partir del 1° de enero de 2030 los vehículos de servicio público de transporte terrestre de pasajeros y de transporte terrestre automotor de carga que se encuentren circulando por el territorio nacional tendrán que cumplir con lo establecido en el presente artículo. </w:t>
      </w:r>
    </w:p>
    <w:p w:rsidR="0099217F" w:rsidRPr="00E8636D" w:rsidRDefault="0033743D">
      <w:pPr>
        <w:ind w:hanging="2"/>
        <w:jc w:val="both"/>
        <w:rPr>
          <w:rFonts w:ascii="Arial" w:eastAsia="Times New Roman" w:hAnsi="Arial" w:cs="Arial"/>
          <w:b/>
          <w:sz w:val="24"/>
          <w:szCs w:val="24"/>
        </w:rPr>
      </w:pPr>
      <w:r w:rsidRPr="00E8636D">
        <w:rPr>
          <w:rFonts w:ascii="Arial" w:eastAsia="Times New Roman" w:hAnsi="Arial" w:cs="Arial"/>
          <w:b/>
          <w:sz w:val="24"/>
          <w:szCs w:val="24"/>
        </w:rPr>
        <w:t>Parágrafo 2.</w:t>
      </w:r>
      <w:r w:rsidRPr="00E8636D">
        <w:rPr>
          <w:rFonts w:ascii="Arial" w:eastAsia="Times New Roman" w:hAnsi="Arial" w:cs="Arial"/>
          <w:sz w:val="24"/>
          <w:szCs w:val="24"/>
        </w:rPr>
        <w:t xml:space="preserve"> Para obtener la aprobación del Certificado de Emisiones por Prueba Dinámica, el comercializador representante de marca, importador, fabricante o ensamblador debe presentar ante la Dirección de Licencias, Permisos y Trámites Ambientales del Ministerio de Ambiente y Desarrollo Sostenible o quien haga sus veces, el formato respectivo acompañado con el reporte técnico de la prueba o ensayo. El Ministerio de Ambiente y Desarrollo Sostenible procederá a verificar que la información allegada en el formato respectivo cumple con los requisitos exigidos en la presente resolución</w:t>
      </w:r>
      <w:r w:rsidRPr="00E8636D">
        <w:rPr>
          <w:rFonts w:ascii="Arial" w:eastAsia="Times New Roman" w:hAnsi="Arial" w:cs="Arial"/>
          <w:sz w:val="24"/>
          <w:szCs w:val="24"/>
          <w:highlight w:val="white"/>
        </w:rPr>
        <w:t>.</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 xml:space="preserve">Parágrafo 3. </w:t>
      </w:r>
      <w:r w:rsidRPr="00E8636D">
        <w:rPr>
          <w:rFonts w:ascii="Arial" w:eastAsia="Times New Roman" w:hAnsi="Arial" w:cs="Arial"/>
          <w:sz w:val="24"/>
          <w:szCs w:val="24"/>
        </w:rPr>
        <w:t>Los Ministerios de Ambiente y Desarrollo Sostenible y de Transporte reglamentarán el uso de los sistemas de autodiagnóstico a bordo para los todos los vehículos de servicio público de transporte terrestre de pasajeros y de transporte terrestre automotor de carga que utilicen motores tipo diésel.</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Parágrafo 4°.</w:t>
      </w:r>
      <w:r w:rsidRPr="00E8636D">
        <w:rPr>
          <w:rFonts w:ascii="Arial" w:eastAsia="Times New Roman" w:hAnsi="Arial" w:cs="Arial"/>
          <w:sz w:val="24"/>
          <w:szCs w:val="24"/>
        </w:rPr>
        <w:t xml:space="preserve"> El Ministerio de Minas y Energía desarrollará las acciones pertinentes para garantizar los requerimientos técnicos necesarios para operar los motores diésel homologados bajo los estándares definidos en el presente artículo.</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 xml:space="preserve">Artículo 5°. </w:t>
      </w:r>
      <w:r w:rsidRPr="00E8636D">
        <w:rPr>
          <w:rFonts w:ascii="Arial" w:eastAsia="Times New Roman" w:hAnsi="Arial" w:cs="Arial"/>
          <w:b/>
          <w:i/>
          <w:sz w:val="24"/>
          <w:szCs w:val="24"/>
        </w:rPr>
        <w:t>Vehículos medianos y livianos.</w:t>
      </w:r>
      <w:r w:rsidRPr="00E8636D">
        <w:rPr>
          <w:rFonts w:ascii="Arial" w:eastAsia="Times New Roman" w:hAnsi="Arial" w:cs="Arial"/>
          <w:b/>
          <w:sz w:val="24"/>
          <w:szCs w:val="24"/>
        </w:rPr>
        <w:t xml:space="preserve"> </w:t>
      </w:r>
      <w:r w:rsidRPr="00E8636D">
        <w:rPr>
          <w:rFonts w:ascii="Arial" w:eastAsia="Times New Roman" w:hAnsi="Arial" w:cs="Arial"/>
          <w:sz w:val="24"/>
          <w:szCs w:val="24"/>
        </w:rPr>
        <w:t>A partir del 1° de enero de 2030, todos los vehículos medianos y livianos con motor de ciclo diésel, que se importen o ensamblen en el país, deberán cumplir con los límites definidos a continuación:</w:t>
      </w: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t>Límites máximos de emisiones permisibles para motores ciclo diésel de vehículos livianos y medianos, evaluados mediante ciclos de la Unión Europea (WLTC):</w:t>
      </w:r>
    </w:p>
    <w:tbl>
      <w:tblPr>
        <w:tblStyle w:val="a3"/>
        <w:tblW w:w="945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620"/>
        <w:gridCol w:w="1074"/>
        <w:gridCol w:w="1132"/>
        <w:gridCol w:w="893"/>
        <w:gridCol w:w="965"/>
        <w:gridCol w:w="1104"/>
        <w:gridCol w:w="1148"/>
        <w:gridCol w:w="1514"/>
      </w:tblGrid>
      <w:tr w:rsidR="0099217F" w:rsidRPr="00E8636D" w:rsidTr="007B1213">
        <w:trPr>
          <w:trHeight w:val="260"/>
          <w:jc w:val="center"/>
        </w:trPr>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2206"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89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NOx</w:t>
            </w:r>
            <w:proofErr w:type="spellEnd"/>
          </w:p>
        </w:tc>
        <w:tc>
          <w:tcPr>
            <w:tcW w:w="110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proofErr w:type="spellStart"/>
            <w:r w:rsidRPr="00E8636D">
              <w:rPr>
                <w:rFonts w:ascii="Arial" w:eastAsia="Times New Roman" w:hAnsi="Arial" w:cs="Arial"/>
                <w:b/>
                <w:sz w:val="24"/>
                <w:szCs w:val="24"/>
              </w:rPr>
              <w:t>HC+NOx</w:t>
            </w:r>
            <w:proofErr w:type="spellEnd"/>
          </w:p>
        </w:tc>
        <w:tc>
          <w:tcPr>
            <w:tcW w:w="114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PM</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NP</w:t>
            </w:r>
          </w:p>
        </w:tc>
      </w:tr>
      <w:tr w:rsidR="0099217F" w:rsidRPr="00E8636D" w:rsidTr="007B1213">
        <w:trPr>
          <w:trHeight w:val="420"/>
          <w:jc w:val="center"/>
        </w:trPr>
        <w:tc>
          <w:tcPr>
            <w:tcW w:w="162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b/>
                <w:sz w:val="24"/>
                <w:szCs w:val="24"/>
              </w:rPr>
            </w:pPr>
          </w:p>
        </w:tc>
        <w:tc>
          <w:tcPr>
            <w:tcW w:w="2206"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99217F">
            <w:pPr>
              <w:spacing w:after="0"/>
              <w:rPr>
                <w:rFonts w:ascii="Arial" w:eastAsia="Times New Roman" w:hAnsi="Arial" w:cs="Arial"/>
                <w:b/>
                <w:sz w:val="24"/>
                <w:szCs w:val="24"/>
              </w:rPr>
            </w:pPr>
          </w:p>
          <w:p w:rsidR="0099217F" w:rsidRPr="00E8636D" w:rsidRDefault="0099217F">
            <w:pPr>
              <w:spacing w:after="0"/>
              <w:rPr>
                <w:rFonts w:ascii="Arial" w:eastAsia="Times New Roman" w:hAnsi="Arial" w:cs="Arial"/>
                <w:b/>
                <w:sz w:val="24"/>
                <w:szCs w:val="24"/>
              </w:rPr>
            </w:pPr>
          </w:p>
        </w:tc>
        <w:tc>
          <w:tcPr>
            <w:tcW w:w="4110"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jc w:val="center"/>
              <w:rPr>
                <w:rFonts w:ascii="Arial" w:eastAsia="Times New Roman" w:hAnsi="Arial" w:cs="Arial"/>
                <w:b/>
                <w:sz w:val="24"/>
                <w:szCs w:val="24"/>
              </w:rPr>
            </w:pPr>
            <w:r w:rsidRPr="00E8636D">
              <w:rPr>
                <w:rFonts w:ascii="Arial" w:eastAsia="Times New Roman" w:hAnsi="Arial" w:cs="Arial"/>
                <w:b/>
                <w:sz w:val="24"/>
                <w:szCs w:val="24"/>
              </w:rPr>
              <w:t>g/km</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b/>
                <w:sz w:val="24"/>
                <w:szCs w:val="24"/>
              </w:rPr>
            </w:pPr>
            <w:r w:rsidRPr="00E8636D">
              <w:rPr>
                <w:rFonts w:ascii="Arial" w:eastAsia="Times New Roman" w:hAnsi="Arial" w:cs="Arial"/>
                <w:b/>
                <w:sz w:val="24"/>
                <w:szCs w:val="24"/>
              </w:rPr>
              <w:t>#/km</w:t>
            </w:r>
          </w:p>
        </w:tc>
      </w:tr>
      <w:tr w:rsidR="0099217F" w:rsidRPr="00E8636D" w:rsidTr="007B1213">
        <w:trPr>
          <w:trHeight w:val="260"/>
          <w:jc w:val="center"/>
        </w:trPr>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lastRenderedPageBreak/>
              <w:t>WLTC</w:t>
            </w:r>
          </w:p>
        </w:tc>
        <w:tc>
          <w:tcPr>
            <w:tcW w:w="2206"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M1</w:t>
            </w:r>
          </w:p>
        </w:tc>
        <w:tc>
          <w:tcPr>
            <w:tcW w:w="89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0,50</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0,08</w:t>
            </w:r>
          </w:p>
        </w:tc>
        <w:tc>
          <w:tcPr>
            <w:tcW w:w="110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0,17</w:t>
            </w:r>
          </w:p>
        </w:tc>
        <w:tc>
          <w:tcPr>
            <w:tcW w:w="114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0,005</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6x10</w:t>
            </w:r>
            <w:r w:rsidRPr="00E8636D">
              <w:rPr>
                <w:rFonts w:ascii="Arial" w:eastAsia="Times New Roman" w:hAnsi="Arial" w:cs="Arial"/>
                <w:sz w:val="24"/>
                <w:szCs w:val="24"/>
                <w:vertAlign w:val="superscript"/>
              </w:rPr>
              <w:t>11</w:t>
            </w:r>
          </w:p>
        </w:tc>
      </w:tr>
      <w:tr w:rsidR="0099217F" w:rsidRPr="00E8636D" w:rsidTr="007B1213">
        <w:trPr>
          <w:trHeight w:val="260"/>
          <w:jc w:val="center"/>
        </w:trPr>
        <w:tc>
          <w:tcPr>
            <w:tcW w:w="162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99217F">
            <w:pPr>
              <w:spacing w:after="0"/>
              <w:rPr>
                <w:rFonts w:ascii="Arial" w:eastAsia="Times New Roman" w:hAnsi="Arial" w:cs="Arial"/>
                <w:sz w:val="24"/>
                <w:szCs w:val="24"/>
              </w:rPr>
            </w:pPr>
          </w:p>
        </w:tc>
        <w:tc>
          <w:tcPr>
            <w:tcW w:w="107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N1</w:t>
            </w:r>
          </w:p>
        </w:tc>
        <w:tc>
          <w:tcPr>
            <w:tcW w:w="11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Clase I</w:t>
            </w:r>
          </w:p>
        </w:tc>
        <w:tc>
          <w:tcPr>
            <w:tcW w:w="89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0,50</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0,08</w:t>
            </w:r>
          </w:p>
        </w:tc>
        <w:tc>
          <w:tcPr>
            <w:tcW w:w="110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0,17</w:t>
            </w:r>
          </w:p>
        </w:tc>
        <w:tc>
          <w:tcPr>
            <w:tcW w:w="114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0,005</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6x10</w:t>
            </w:r>
            <w:r w:rsidRPr="00E8636D">
              <w:rPr>
                <w:rFonts w:ascii="Arial" w:eastAsia="Times New Roman" w:hAnsi="Arial" w:cs="Arial"/>
                <w:sz w:val="24"/>
                <w:szCs w:val="24"/>
                <w:vertAlign w:val="superscript"/>
              </w:rPr>
              <w:t>11</w:t>
            </w:r>
          </w:p>
        </w:tc>
      </w:tr>
      <w:tr w:rsidR="0099217F" w:rsidRPr="00E8636D" w:rsidTr="007B1213">
        <w:trPr>
          <w:trHeight w:val="260"/>
          <w:jc w:val="center"/>
        </w:trPr>
        <w:tc>
          <w:tcPr>
            <w:tcW w:w="162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sz w:val="24"/>
                <w:szCs w:val="24"/>
              </w:rPr>
            </w:pPr>
          </w:p>
        </w:tc>
        <w:tc>
          <w:tcPr>
            <w:tcW w:w="107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99217F">
            <w:pPr>
              <w:spacing w:after="0"/>
              <w:rPr>
                <w:rFonts w:ascii="Arial" w:eastAsia="Times New Roman" w:hAnsi="Arial" w:cs="Arial"/>
                <w:sz w:val="24"/>
                <w:szCs w:val="24"/>
              </w:rPr>
            </w:pPr>
          </w:p>
          <w:p w:rsidR="0099217F" w:rsidRPr="00E8636D" w:rsidRDefault="0099217F">
            <w:pPr>
              <w:spacing w:after="0"/>
              <w:rPr>
                <w:rFonts w:ascii="Arial" w:eastAsia="Times New Roman" w:hAnsi="Arial" w:cs="Arial"/>
                <w:sz w:val="24"/>
                <w:szCs w:val="24"/>
              </w:rPr>
            </w:pPr>
          </w:p>
        </w:tc>
        <w:tc>
          <w:tcPr>
            <w:tcW w:w="11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Clase II</w:t>
            </w:r>
          </w:p>
        </w:tc>
        <w:tc>
          <w:tcPr>
            <w:tcW w:w="89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0,63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0,105</w:t>
            </w:r>
          </w:p>
        </w:tc>
        <w:tc>
          <w:tcPr>
            <w:tcW w:w="110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0,195</w:t>
            </w:r>
          </w:p>
        </w:tc>
        <w:tc>
          <w:tcPr>
            <w:tcW w:w="114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0,005</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6x10</w:t>
            </w:r>
            <w:r w:rsidRPr="00E8636D">
              <w:rPr>
                <w:rFonts w:ascii="Arial" w:eastAsia="Times New Roman" w:hAnsi="Arial" w:cs="Arial"/>
                <w:sz w:val="24"/>
                <w:szCs w:val="24"/>
                <w:vertAlign w:val="superscript"/>
              </w:rPr>
              <w:t>11</w:t>
            </w:r>
          </w:p>
        </w:tc>
      </w:tr>
      <w:tr w:rsidR="0099217F" w:rsidRPr="00E8636D" w:rsidTr="007B1213">
        <w:trPr>
          <w:trHeight w:val="260"/>
          <w:jc w:val="center"/>
        </w:trPr>
        <w:tc>
          <w:tcPr>
            <w:tcW w:w="162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99217F">
            <w:pPr>
              <w:widowControl w:val="0"/>
              <w:spacing w:after="0"/>
              <w:rPr>
                <w:rFonts w:ascii="Arial" w:eastAsia="Times New Roman" w:hAnsi="Arial" w:cs="Arial"/>
                <w:sz w:val="24"/>
                <w:szCs w:val="24"/>
              </w:rPr>
            </w:pPr>
          </w:p>
        </w:tc>
        <w:tc>
          <w:tcPr>
            <w:tcW w:w="107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99217F">
            <w:pPr>
              <w:spacing w:after="0"/>
              <w:rPr>
                <w:rFonts w:ascii="Arial" w:eastAsia="Times New Roman" w:hAnsi="Arial" w:cs="Arial"/>
                <w:sz w:val="24"/>
                <w:szCs w:val="24"/>
              </w:rPr>
            </w:pPr>
          </w:p>
          <w:p w:rsidR="0099217F" w:rsidRPr="00E8636D" w:rsidRDefault="0099217F">
            <w:pPr>
              <w:spacing w:after="0"/>
              <w:rPr>
                <w:rFonts w:ascii="Arial" w:eastAsia="Times New Roman" w:hAnsi="Arial" w:cs="Arial"/>
                <w:sz w:val="24"/>
                <w:szCs w:val="24"/>
              </w:rPr>
            </w:pPr>
          </w:p>
        </w:tc>
        <w:tc>
          <w:tcPr>
            <w:tcW w:w="11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Clase III</w:t>
            </w:r>
          </w:p>
        </w:tc>
        <w:tc>
          <w:tcPr>
            <w:tcW w:w="89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0,74</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0,125</w:t>
            </w:r>
          </w:p>
        </w:tc>
        <w:tc>
          <w:tcPr>
            <w:tcW w:w="110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0,215</w:t>
            </w:r>
          </w:p>
        </w:tc>
        <w:tc>
          <w:tcPr>
            <w:tcW w:w="114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0,005</w:t>
            </w:r>
          </w:p>
        </w:tc>
        <w:tc>
          <w:tcPr>
            <w:tcW w:w="151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9217F" w:rsidRPr="00E8636D" w:rsidRDefault="0033743D">
            <w:pPr>
              <w:spacing w:before="100" w:after="100"/>
              <w:ind w:hanging="2"/>
              <w:jc w:val="center"/>
              <w:rPr>
                <w:rFonts w:ascii="Arial" w:eastAsia="Times New Roman" w:hAnsi="Arial" w:cs="Arial"/>
                <w:sz w:val="24"/>
                <w:szCs w:val="24"/>
              </w:rPr>
            </w:pPr>
            <w:r w:rsidRPr="00E8636D">
              <w:rPr>
                <w:rFonts w:ascii="Arial" w:eastAsia="Times New Roman" w:hAnsi="Arial" w:cs="Arial"/>
                <w:sz w:val="24"/>
                <w:szCs w:val="24"/>
              </w:rPr>
              <w:t>6x10</w:t>
            </w:r>
            <w:r w:rsidRPr="00E8636D">
              <w:rPr>
                <w:rFonts w:ascii="Arial" w:eastAsia="Times New Roman" w:hAnsi="Arial" w:cs="Arial"/>
                <w:sz w:val="24"/>
                <w:szCs w:val="24"/>
                <w:vertAlign w:val="superscript"/>
              </w:rPr>
              <w:t>11</w:t>
            </w:r>
          </w:p>
        </w:tc>
      </w:tr>
    </w:tbl>
    <w:p w:rsidR="0099217F" w:rsidRPr="00E8636D" w:rsidRDefault="0099217F">
      <w:pPr>
        <w:keepNext/>
        <w:spacing w:after="0"/>
        <w:rPr>
          <w:rFonts w:ascii="Arial" w:eastAsia="Times New Roman" w:hAnsi="Arial" w:cs="Arial"/>
          <w:sz w:val="24"/>
          <w:szCs w:val="24"/>
        </w:rPr>
      </w:pPr>
    </w:p>
    <w:p w:rsidR="0099217F" w:rsidRPr="00E8636D" w:rsidRDefault="0033743D">
      <w:pPr>
        <w:keepNext/>
        <w:spacing w:after="0"/>
        <w:jc w:val="both"/>
        <w:rPr>
          <w:rFonts w:ascii="Arial" w:eastAsia="Times New Roman" w:hAnsi="Arial" w:cs="Arial"/>
          <w:sz w:val="24"/>
          <w:szCs w:val="24"/>
        </w:rPr>
      </w:pPr>
      <w:r w:rsidRPr="00E8636D">
        <w:rPr>
          <w:rFonts w:ascii="Arial" w:eastAsia="Times New Roman" w:hAnsi="Arial" w:cs="Arial"/>
          <w:sz w:val="24"/>
          <w:szCs w:val="24"/>
        </w:rPr>
        <w:t>Límites máximos de emisiones permisibles para motores ciclo diésel de vehículos livianos y medianos, evaluados mediante ciclos de Estados Unidos (FTP):</w:t>
      </w:r>
    </w:p>
    <w:tbl>
      <w:tblPr>
        <w:tblStyle w:val="a4"/>
        <w:tblW w:w="9613" w:type="dxa"/>
        <w:tblInd w:w="0" w:type="dxa"/>
        <w:tblLayout w:type="fixed"/>
        <w:tblLook w:val="0400" w:firstRow="0" w:lastRow="0" w:firstColumn="0" w:lastColumn="0" w:noHBand="0" w:noVBand="1"/>
      </w:tblPr>
      <w:tblGrid>
        <w:gridCol w:w="1854"/>
        <w:gridCol w:w="2382"/>
        <w:gridCol w:w="1147"/>
        <w:gridCol w:w="1147"/>
        <w:gridCol w:w="1147"/>
        <w:gridCol w:w="1936"/>
      </w:tblGrid>
      <w:tr w:rsidR="0099217F" w:rsidRPr="00E8636D" w:rsidTr="007B1213">
        <w:trPr>
          <w:trHeight w:val="280"/>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Ciclo</w:t>
            </w:r>
          </w:p>
        </w:tc>
        <w:tc>
          <w:tcPr>
            <w:tcW w:w="238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Subcategoría</w:t>
            </w:r>
          </w:p>
        </w:tc>
        <w:tc>
          <w:tcPr>
            <w:tcW w:w="1147" w:type="dxa"/>
            <w:tcBorders>
              <w:top w:val="single" w:sz="4" w:space="0" w:color="000000"/>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CO</w:t>
            </w:r>
          </w:p>
        </w:tc>
        <w:tc>
          <w:tcPr>
            <w:tcW w:w="1147" w:type="dxa"/>
            <w:tcBorders>
              <w:top w:val="single" w:sz="4" w:space="0" w:color="000000"/>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HCNM</w:t>
            </w:r>
          </w:p>
        </w:tc>
        <w:tc>
          <w:tcPr>
            <w:tcW w:w="1147" w:type="dxa"/>
            <w:tcBorders>
              <w:top w:val="single" w:sz="4" w:space="0" w:color="000000"/>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HCHO</w:t>
            </w:r>
          </w:p>
        </w:tc>
        <w:tc>
          <w:tcPr>
            <w:tcW w:w="1936" w:type="dxa"/>
            <w:tcBorders>
              <w:top w:val="single" w:sz="4" w:space="0" w:color="000000"/>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MP</w:t>
            </w:r>
          </w:p>
        </w:tc>
      </w:tr>
      <w:tr w:rsidR="0099217F" w:rsidRPr="00E8636D" w:rsidTr="007B1213">
        <w:trPr>
          <w:trHeight w:val="280"/>
        </w:trPr>
        <w:tc>
          <w:tcPr>
            <w:tcW w:w="185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9217F" w:rsidRPr="00E8636D" w:rsidRDefault="0099217F">
            <w:pPr>
              <w:widowControl w:val="0"/>
              <w:spacing w:after="0"/>
              <w:rPr>
                <w:rFonts w:ascii="Arial" w:eastAsia="Times New Roman" w:hAnsi="Arial" w:cs="Arial"/>
                <w:b/>
                <w:sz w:val="24"/>
                <w:szCs w:val="24"/>
              </w:rPr>
            </w:pPr>
          </w:p>
        </w:tc>
        <w:tc>
          <w:tcPr>
            <w:tcW w:w="23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217F" w:rsidRPr="00E8636D" w:rsidRDefault="0099217F">
            <w:pPr>
              <w:spacing w:after="0"/>
              <w:rPr>
                <w:rFonts w:ascii="Arial" w:eastAsia="Times New Roman" w:hAnsi="Arial" w:cs="Arial"/>
                <w:b/>
                <w:sz w:val="24"/>
                <w:szCs w:val="24"/>
              </w:rPr>
            </w:pPr>
          </w:p>
          <w:p w:rsidR="0099217F" w:rsidRPr="00E8636D" w:rsidRDefault="0099217F">
            <w:pPr>
              <w:spacing w:after="0"/>
              <w:rPr>
                <w:rFonts w:ascii="Arial" w:eastAsia="Times New Roman" w:hAnsi="Arial" w:cs="Arial"/>
                <w:b/>
                <w:sz w:val="24"/>
                <w:szCs w:val="24"/>
              </w:rPr>
            </w:pPr>
          </w:p>
        </w:tc>
        <w:tc>
          <w:tcPr>
            <w:tcW w:w="5377" w:type="dxa"/>
            <w:gridSpan w:val="4"/>
            <w:tcBorders>
              <w:top w:val="single" w:sz="4" w:space="0" w:color="000000"/>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b/>
                <w:sz w:val="24"/>
                <w:szCs w:val="24"/>
              </w:rPr>
            </w:pPr>
            <w:r w:rsidRPr="00E8636D">
              <w:rPr>
                <w:rFonts w:ascii="Arial" w:eastAsia="Times New Roman" w:hAnsi="Arial" w:cs="Arial"/>
                <w:b/>
                <w:sz w:val="24"/>
                <w:szCs w:val="24"/>
              </w:rPr>
              <w:t>g/km</w:t>
            </w:r>
          </w:p>
        </w:tc>
      </w:tr>
      <w:tr w:rsidR="0099217F" w:rsidRPr="00E8636D" w:rsidTr="007B1213">
        <w:trPr>
          <w:trHeight w:val="280"/>
        </w:trPr>
        <w:tc>
          <w:tcPr>
            <w:tcW w:w="1854" w:type="dxa"/>
            <w:tcBorders>
              <w:top w:val="nil"/>
              <w:left w:val="single" w:sz="4" w:space="0" w:color="000000"/>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FTP</w:t>
            </w:r>
          </w:p>
        </w:tc>
        <w:tc>
          <w:tcPr>
            <w:tcW w:w="2382" w:type="dxa"/>
            <w:tcBorders>
              <w:top w:val="nil"/>
              <w:left w:val="nil"/>
              <w:bottom w:val="single" w:sz="4" w:space="0" w:color="000000"/>
              <w:right w:val="single" w:sz="4" w:space="0" w:color="000000"/>
            </w:tcBorders>
            <w:shd w:val="clear" w:color="auto" w:fill="FFFFFF"/>
            <w:vAlign w:val="bottom"/>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 xml:space="preserve">LDV, LDT1, </w:t>
            </w:r>
          </w:p>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 xml:space="preserve">LDT2, LDT3, </w:t>
            </w:r>
          </w:p>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LDT4, MDPV</w:t>
            </w:r>
          </w:p>
        </w:tc>
        <w:tc>
          <w:tcPr>
            <w:tcW w:w="1147" w:type="dxa"/>
            <w:tcBorders>
              <w:top w:val="nil"/>
              <w:left w:val="nil"/>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2,61</w:t>
            </w:r>
          </w:p>
        </w:tc>
        <w:tc>
          <w:tcPr>
            <w:tcW w:w="1147" w:type="dxa"/>
            <w:tcBorders>
              <w:top w:val="nil"/>
              <w:left w:val="nil"/>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0,099</w:t>
            </w:r>
          </w:p>
        </w:tc>
        <w:tc>
          <w:tcPr>
            <w:tcW w:w="1147" w:type="dxa"/>
            <w:tcBorders>
              <w:top w:val="nil"/>
              <w:left w:val="nil"/>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0,002</w:t>
            </w:r>
          </w:p>
        </w:tc>
        <w:tc>
          <w:tcPr>
            <w:tcW w:w="1936" w:type="dxa"/>
            <w:tcBorders>
              <w:top w:val="nil"/>
              <w:left w:val="nil"/>
              <w:bottom w:val="single" w:sz="4" w:space="0" w:color="000000"/>
              <w:right w:val="single" w:sz="4" w:space="0" w:color="000000"/>
            </w:tcBorders>
            <w:shd w:val="clear" w:color="auto" w:fill="FFFFFF"/>
            <w:vAlign w:val="center"/>
          </w:tcPr>
          <w:p w:rsidR="0099217F" w:rsidRPr="00E8636D" w:rsidRDefault="0033743D">
            <w:pPr>
              <w:spacing w:before="80" w:after="80"/>
              <w:jc w:val="center"/>
              <w:rPr>
                <w:rFonts w:ascii="Arial" w:eastAsia="Times New Roman" w:hAnsi="Arial" w:cs="Arial"/>
                <w:sz w:val="24"/>
                <w:szCs w:val="24"/>
              </w:rPr>
            </w:pPr>
            <w:r w:rsidRPr="00E8636D">
              <w:rPr>
                <w:rFonts w:ascii="Arial" w:eastAsia="Times New Roman" w:hAnsi="Arial" w:cs="Arial"/>
                <w:sz w:val="24"/>
                <w:szCs w:val="24"/>
              </w:rPr>
              <w:t>0,002</w:t>
            </w:r>
          </w:p>
        </w:tc>
      </w:tr>
    </w:tbl>
    <w:p w:rsidR="0099217F" w:rsidRPr="00E8636D" w:rsidRDefault="0099217F">
      <w:pPr>
        <w:ind w:hanging="2"/>
        <w:jc w:val="both"/>
        <w:rPr>
          <w:rFonts w:ascii="Arial" w:eastAsia="Times New Roman" w:hAnsi="Arial" w:cs="Arial"/>
          <w:sz w:val="24"/>
          <w:szCs w:val="24"/>
        </w:rPr>
      </w:pPr>
    </w:p>
    <w:p w:rsidR="0099217F" w:rsidRPr="00E8636D" w:rsidRDefault="0033743D">
      <w:pPr>
        <w:ind w:hanging="2"/>
        <w:jc w:val="both"/>
        <w:rPr>
          <w:rFonts w:ascii="Arial" w:eastAsia="Times New Roman" w:hAnsi="Arial" w:cs="Arial"/>
          <w:b/>
          <w:sz w:val="24"/>
          <w:szCs w:val="24"/>
        </w:rPr>
      </w:pPr>
      <w:r w:rsidRPr="00E8636D">
        <w:rPr>
          <w:rFonts w:ascii="Arial" w:eastAsia="Times New Roman" w:hAnsi="Arial" w:cs="Arial"/>
          <w:b/>
          <w:sz w:val="24"/>
          <w:szCs w:val="24"/>
        </w:rPr>
        <w:t>Parágrafo 1.</w:t>
      </w:r>
      <w:r w:rsidRPr="00E8636D">
        <w:rPr>
          <w:rFonts w:ascii="Arial" w:eastAsia="Times New Roman" w:hAnsi="Arial" w:cs="Arial"/>
          <w:sz w:val="24"/>
          <w:szCs w:val="24"/>
        </w:rPr>
        <w:t xml:space="preserve"> Para obtener la aprobación del Certificado de Emisiones por Prueba Dinámica, el comercializador representante de marca, importador, fabricante o ensamblador debe presentar ante la Dirección de Licencias, Permisos y Trámites Ambientales del Ministerio de Ambiente y Desarrollo Sostenible o quien haga sus veces, el formato respectivo acompañado con el reporte técnico de la prueba o ensayo. El Ministerio de Ambiente y Desarrollo Sostenible procederá a verificar que la información allegada en el formato respectivo cumple con los requisitos exigidos en la presente resolución</w:t>
      </w:r>
      <w:r w:rsidRPr="00E8636D">
        <w:rPr>
          <w:rFonts w:ascii="Arial" w:eastAsia="Times New Roman" w:hAnsi="Arial" w:cs="Arial"/>
          <w:sz w:val="24"/>
          <w:szCs w:val="24"/>
          <w:highlight w:val="white"/>
        </w:rPr>
        <w:t>.</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 xml:space="preserve">Artículo 6°. </w:t>
      </w:r>
      <w:r w:rsidRPr="00E8636D">
        <w:rPr>
          <w:rFonts w:ascii="Arial" w:eastAsia="Times New Roman" w:hAnsi="Arial" w:cs="Arial"/>
          <w:b/>
          <w:i/>
          <w:sz w:val="24"/>
          <w:szCs w:val="24"/>
        </w:rPr>
        <w:t>Regulación y Control.</w:t>
      </w:r>
      <w:r w:rsidRPr="00E8636D">
        <w:rPr>
          <w:rFonts w:ascii="Arial" w:eastAsia="Times New Roman" w:hAnsi="Arial" w:cs="Arial"/>
          <w:b/>
          <w:sz w:val="24"/>
          <w:szCs w:val="24"/>
        </w:rPr>
        <w:t xml:space="preserve"> </w:t>
      </w:r>
      <w:r w:rsidRPr="00E8636D">
        <w:rPr>
          <w:rFonts w:ascii="Arial" w:eastAsia="Times New Roman" w:hAnsi="Arial" w:cs="Arial"/>
          <w:sz w:val="24"/>
          <w:szCs w:val="24"/>
        </w:rPr>
        <w:t>Los Ministerios de Ambiente y Desarrollo Sostenible y de Transporte estarán a cargo de la ejecución de los estudios técnicos necesarios que permitan establecer el marco regulatorio y de control y vigilancia para realizar la evaluación de emisiones contaminantes de los vehículos en uso, en pruebas sobre rodillos con cargas simuladas o</w:t>
      </w:r>
      <w:r w:rsidRPr="00E8636D">
        <w:rPr>
          <w:rFonts w:ascii="Arial" w:eastAsia="Times New Roman" w:hAnsi="Arial" w:cs="Arial"/>
          <w:color w:val="FF0000"/>
          <w:sz w:val="24"/>
          <w:szCs w:val="24"/>
        </w:rPr>
        <w:t xml:space="preserve"> </w:t>
      </w:r>
      <w:r w:rsidRPr="00E8636D">
        <w:rPr>
          <w:rFonts w:ascii="Arial" w:eastAsia="Times New Roman" w:hAnsi="Arial" w:cs="Arial"/>
          <w:sz w:val="24"/>
          <w:szCs w:val="24"/>
        </w:rPr>
        <w:t>prueba dinámica simple. Los resultados de estos estudios deberán presentarse en un plazo no superior a dos (2) años a partir de la entrada en vigencia de la presente Ley.</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sz w:val="24"/>
          <w:szCs w:val="24"/>
        </w:rPr>
        <w:t xml:space="preserve">En un plazo no superior a dos (2) años posterior a la entrega de los resultados de los estudios técnicos, los Ministerios de Ambiente y Desarrollo Sostenible y Transporte deberán establecer </w:t>
      </w:r>
      <w:r w:rsidRPr="00E8636D">
        <w:rPr>
          <w:rFonts w:ascii="Arial" w:eastAsia="Times New Roman" w:hAnsi="Arial" w:cs="Arial"/>
          <w:sz w:val="24"/>
          <w:szCs w:val="24"/>
        </w:rPr>
        <w:lastRenderedPageBreak/>
        <w:t>el mecanismo de verificación para vehículos de carga pesada de servicio público de transporte terrestre de pasajeros y de transporte terrestre automotor de carga en uso, con prueba dinámica simple, según los parámetros establecidos en esta norma.</w:t>
      </w:r>
    </w:p>
    <w:p w:rsidR="0099217F" w:rsidRPr="00E8636D" w:rsidRDefault="0033743D">
      <w:pPr>
        <w:ind w:hanging="2"/>
        <w:jc w:val="both"/>
        <w:rPr>
          <w:rFonts w:ascii="Arial" w:eastAsia="Times New Roman" w:hAnsi="Arial" w:cs="Arial"/>
          <w:sz w:val="24"/>
          <w:szCs w:val="24"/>
        </w:rPr>
      </w:pPr>
      <w:r w:rsidRPr="00E8636D">
        <w:rPr>
          <w:rFonts w:ascii="Arial" w:eastAsia="Times New Roman" w:hAnsi="Arial" w:cs="Arial"/>
          <w:b/>
          <w:sz w:val="24"/>
          <w:szCs w:val="24"/>
        </w:rPr>
        <w:t>Artículo 7°.</w:t>
      </w:r>
      <w:r w:rsidRPr="00E8636D">
        <w:rPr>
          <w:rFonts w:ascii="Arial" w:eastAsia="Times New Roman" w:hAnsi="Arial" w:cs="Arial"/>
          <w:sz w:val="24"/>
          <w:szCs w:val="24"/>
        </w:rPr>
        <w:t xml:space="preserve"> </w:t>
      </w:r>
      <w:r w:rsidRPr="00E8636D">
        <w:rPr>
          <w:rFonts w:ascii="Arial" w:eastAsia="Times New Roman" w:hAnsi="Arial" w:cs="Arial"/>
          <w:b/>
          <w:i/>
          <w:sz w:val="24"/>
          <w:szCs w:val="24"/>
        </w:rPr>
        <w:t>Vigencia y Derogatoria.</w:t>
      </w:r>
      <w:r w:rsidRPr="00E8636D">
        <w:rPr>
          <w:rFonts w:ascii="Arial" w:eastAsia="Times New Roman" w:hAnsi="Arial" w:cs="Arial"/>
          <w:sz w:val="24"/>
          <w:szCs w:val="24"/>
        </w:rPr>
        <w:t xml:space="preserve"> La presente ley rige a partir de la fecha de su promulgación y deroga todas las normas que le sean contrarias. </w:t>
      </w: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Cordialmente,</w:t>
      </w: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p>
    <w:p w:rsidR="0099217F" w:rsidRPr="00E8636D" w:rsidRDefault="0099217F">
      <w:pPr>
        <w:spacing w:after="0"/>
        <w:jc w:val="both"/>
        <w:rPr>
          <w:rFonts w:ascii="Arial" w:eastAsia="Times New Roman" w:hAnsi="Arial" w:cs="Arial"/>
          <w:sz w:val="24"/>
          <w:szCs w:val="24"/>
        </w:rPr>
      </w:pPr>
      <w:bookmarkStart w:id="3" w:name="_1fob9te" w:colFirst="0" w:colLast="0"/>
      <w:bookmarkEnd w:id="3"/>
    </w:p>
    <w:p w:rsidR="0099217F" w:rsidRPr="00E8636D" w:rsidRDefault="0033743D">
      <w:pPr>
        <w:spacing w:after="0"/>
        <w:jc w:val="both"/>
        <w:rPr>
          <w:rFonts w:ascii="Arial" w:eastAsia="Times New Roman" w:hAnsi="Arial" w:cs="Arial"/>
          <w:b/>
          <w:sz w:val="24"/>
          <w:szCs w:val="24"/>
        </w:rPr>
      </w:pPr>
      <w:r w:rsidRPr="00E8636D">
        <w:rPr>
          <w:rFonts w:ascii="Arial" w:eastAsia="Times New Roman" w:hAnsi="Arial" w:cs="Arial"/>
          <w:b/>
          <w:sz w:val="24"/>
          <w:szCs w:val="24"/>
        </w:rPr>
        <w:t xml:space="preserve">INTI RAÚL ASPRILLA </w:t>
      </w:r>
      <w:r w:rsidR="007B1213">
        <w:rPr>
          <w:rFonts w:ascii="Arial" w:eastAsia="Times New Roman" w:hAnsi="Arial" w:cs="Arial"/>
          <w:b/>
          <w:sz w:val="24"/>
          <w:szCs w:val="24"/>
        </w:rPr>
        <w:t>REYES</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 xml:space="preserve">Representante a la Cámara </w:t>
      </w:r>
    </w:p>
    <w:p w:rsidR="0099217F" w:rsidRPr="00E8636D" w:rsidRDefault="0033743D">
      <w:pPr>
        <w:spacing w:after="0"/>
        <w:jc w:val="both"/>
        <w:rPr>
          <w:rFonts w:ascii="Arial" w:eastAsia="Times New Roman" w:hAnsi="Arial" w:cs="Arial"/>
          <w:sz w:val="24"/>
          <w:szCs w:val="24"/>
        </w:rPr>
      </w:pPr>
      <w:r w:rsidRPr="00E8636D">
        <w:rPr>
          <w:rFonts w:ascii="Arial" w:eastAsia="Times New Roman" w:hAnsi="Arial" w:cs="Arial"/>
          <w:sz w:val="24"/>
          <w:szCs w:val="24"/>
        </w:rPr>
        <w:t>Partido Alianza Verde</w:t>
      </w:r>
    </w:p>
    <w:p w:rsidR="0099217F" w:rsidRPr="00E8636D" w:rsidRDefault="0099217F">
      <w:pPr>
        <w:spacing w:after="0"/>
        <w:jc w:val="both"/>
        <w:rPr>
          <w:rFonts w:ascii="Arial" w:eastAsia="Times New Roman" w:hAnsi="Arial" w:cs="Arial"/>
          <w:sz w:val="24"/>
          <w:szCs w:val="24"/>
        </w:rPr>
      </w:pPr>
    </w:p>
    <w:p w:rsidR="0099217F" w:rsidRPr="00E8636D" w:rsidRDefault="0099217F">
      <w:pPr>
        <w:rPr>
          <w:rFonts w:ascii="Arial" w:hAnsi="Arial" w:cs="Arial"/>
          <w:sz w:val="24"/>
          <w:szCs w:val="24"/>
        </w:rPr>
      </w:pPr>
    </w:p>
    <w:p w:rsidR="0099217F" w:rsidRPr="00E8636D" w:rsidRDefault="0099217F">
      <w:pPr>
        <w:rPr>
          <w:rFonts w:ascii="Arial" w:hAnsi="Arial" w:cs="Arial"/>
          <w:sz w:val="24"/>
          <w:szCs w:val="24"/>
        </w:rPr>
      </w:pPr>
    </w:p>
    <w:p w:rsidR="0099217F" w:rsidRPr="00E8636D" w:rsidRDefault="0099217F">
      <w:pPr>
        <w:rPr>
          <w:rFonts w:ascii="Arial" w:hAnsi="Arial" w:cs="Arial"/>
          <w:sz w:val="24"/>
          <w:szCs w:val="24"/>
        </w:rPr>
      </w:pPr>
    </w:p>
    <w:sectPr w:rsidR="0099217F" w:rsidRPr="00E8636D" w:rsidSect="00E8636D">
      <w:headerReference w:type="default" r:id="rId8"/>
      <w:pgSz w:w="12240" w:h="15840"/>
      <w:pgMar w:top="1440" w:right="1080" w:bottom="1440" w:left="108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BFD" w:rsidRDefault="00812BFD">
      <w:pPr>
        <w:spacing w:after="0" w:line="240" w:lineRule="auto"/>
      </w:pPr>
      <w:r>
        <w:separator/>
      </w:r>
    </w:p>
  </w:endnote>
  <w:endnote w:type="continuationSeparator" w:id="0">
    <w:p w:rsidR="00812BFD" w:rsidRDefault="00812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WenQuanYi Micro Hei">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BFD" w:rsidRDefault="00812BFD">
      <w:pPr>
        <w:spacing w:after="0" w:line="240" w:lineRule="auto"/>
      </w:pPr>
      <w:r>
        <w:separator/>
      </w:r>
    </w:p>
  </w:footnote>
  <w:footnote w:type="continuationSeparator" w:id="0">
    <w:p w:rsidR="00812BFD" w:rsidRDefault="00812BFD">
      <w:pPr>
        <w:spacing w:after="0" w:line="240" w:lineRule="auto"/>
      </w:pPr>
      <w:r>
        <w:continuationSeparator/>
      </w:r>
    </w:p>
  </w:footnote>
  <w:footnote w:id="1">
    <w:p w:rsidR="002D71F8" w:rsidRPr="002D71F8" w:rsidRDefault="002D71F8" w:rsidP="002D71F8">
      <w:pPr>
        <w:pStyle w:val="Textonotapie"/>
        <w:jc w:val="both"/>
      </w:pPr>
      <w:r>
        <w:rPr>
          <w:rStyle w:val="Refdenotaalpie"/>
        </w:rPr>
        <w:footnoteRef/>
      </w:r>
      <w:r>
        <w:t xml:space="preserve"> </w:t>
      </w:r>
      <w:proofErr w:type="spellStart"/>
      <w:r>
        <w:t>Debra</w:t>
      </w:r>
      <w:proofErr w:type="spellEnd"/>
      <w:r>
        <w:t xml:space="preserve"> T. </w:t>
      </w:r>
      <w:proofErr w:type="spellStart"/>
      <w:r>
        <w:t>Silverman</w:t>
      </w:r>
      <w:proofErr w:type="spellEnd"/>
      <w:r>
        <w:t xml:space="preserve"> </w:t>
      </w:r>
      <w:proofErr w:type="spellStart"/>
      <w:r>
        <w:t>Claudine</w:t>
      </w:r>
      <w:proofErr w:type="spellEnd"/>
      <w:r>
        <w:t xml:space="preserve"> M. </w:t>
      </w:r>
      <w:proofErr w:type="spellStart"/>
      <w:r>
        <w:t>Samanic</w:t>
      </w:r>
      <w:proofErr w:type="spellEnd"/>
      <w:r>
        <w:t xml:space="preserve"> </w:t>
      </w:r>
      <w:proofErr w:type="spellStart"/>
      <w:r>
        <w:t>Jay</w:t>
      </w:r>
      <w:proofErr w:type="spellEnd"/>
      <w:r>
        <w:t xml:space="preserve"> H. </w:t>
      </w:r>
      <w:proofErr w:type="spellStart"/>
      <w:r>
        <w:t>Lubin</w:t>
      </w:r>
      <w:proofErr w:type="spellEnd"/>
      <w:r>
        <w:t xml:space="preserve"> </w:t>
      </w:r>
      <w:proofErr w:type="spellStart"/>
      <w:r>
        <w:t>Aaron</w:t>
      </w:r>
      <w:proofErr w:type="spellEnd"/>
      <w:r>
        <w:t xml:space="preserve"> E. Blair Patricia A. Stewart Roel </w:t>
      </w:r>
      <w:proofErr w:type="spellStart"/>
      <w:r>
        <w:t>Vermeulen</w:t>
      </w:r>
      <w:proofErr w:type="spellEnd"/>
      <w:r>
        <w:t xml:space="preserve"> Joseph B. </w:t>
      </w:r>
      <w:proofErr w:type="spellStart"/>
      <w:r>
        <w:t>Coble</w:t>
      </w:r>
      <w:proofErr w:type="spellEnd"/>
      <w:r>
        <w:t xml:space="preserve"> Nathaniel </w:t>
      </w:r>
      <w:proofErr w:type="spellStart"/>
      <w:r>
        <w:t>Rothman</w:t>
      </w:r>
      <w:proofErr w:type="spellEnd"/>
      <w:r>
        <w:t xml:space="preserve"> Patricia L. </w:t>
      </w:r>
      <w:proofErr w:type="spellStart"/>
      <w:r>
        <w:t>Schleiff</w:t>
      </w:r>
      <w:proofErr w:type="spellEnd"/>
      <w:r>
        <w:t xml:space="preserve"> William D. </w:t>
      </w:r>
      <w:proofErr w:type="spellStart"/>
      <w:r>
        <w:t>Travis</w:t>
      </w:r>
      <w:proofErr w:type="spellEnd"/>
      <w:r>
        <w:t xml:space="preserve"> Regina G. </w:t>
      </w:r>
      <w:proofErr w:type="spellStart"/>
      <w:r>
        <w:t>Ziegler</w:t>
      </w:r>
      <w:proofErr w:type="spellEnd"/>
      <w:r>
        <w:t xml:space="preserve"> </w:t>
      </w:r>
      <w:proofErr w:type="spellStart"/>
      <w:r>
        <w:t>Sholom</w:t>
      </w:r>
      <w:proofErr w:type="spellEnd"/>
      <w:r>
        <w:t xml:space="preserve"> </w:t>
      </w:r>
      <w:proofErr w:type="spellStart"/>
      <w:r>
        <w:t>Wacholder</w:t>
      </w:r>
      <w:proofErr w:type="spellEnd"/>
      <w:r>
        <w:t xml:space="preserve"> Michael D. </w:t>
      </w:r>
      <w:proofErr w:type="spellStart"/>
      <w:r>
        <w:t>Attfield</w:t>
      </w:r>
      <w:proofErr w:type="spellEnd"/>
      <w:r>
        <w:t xml:space="preserve">, </w:t>
      </w:r>
      <w:proofErr w:type="spellStart"/>
      <w:r w:rsidRPr="002D71F8">
        <w:rPr>
          <w:i/>
        </w:rPr>
        <w:t>The</w:t>
      </w:r>
      <w:proofErr w:type="spellEnd"/>
      <w:r w:rsidRPr="002D71F8">
        <w:rPr>
          <w:i/>
        </w:rPr>
        <w:t xml:space="preserve"> </w:t>
      </w:r>
      <w:proofErr w:type="spellStart"/>
      <w:r w:rsidRPr="002D71F8">
        <w:rPr>
          <w:i/>
        </w:rPr>
        <w:t>Diesel</w:t>
      </w:r>
      <w:proofErr w:type="spellEnd"/>
      <w:r w:rsidRPr="002D71F8">
        <w:rPr>
          <w:i/>
        </w:rPr>
        <w:t xml:space="preserve"> </w:t>
      </w:r>
      <w:proofErr w:type="spellStart"/>
      <w:r w:rsidRPr="002D71F8">
        <w:rPr>
          <w:i/>
        </w:rPr>
        <w:t>Exhaust</w:t>
      </w:r>
      <w:proofErr w:type="spellEnd"/>
      <w:r w:rsidRPr="002D71F8">
        <w:rPr>
          <w:i/>
        </w:rPr>
        <w:t xml:space="preserve"> in </w:t>
      </w:r>
      <w:proofErr w:type="spellStart"/>
      <w:r w:rsidRPr="002D71F8">
        <w:rPr>
          <w:i/>
        </w:rPr>
        <w:t>Miners</w:t>
      </w:r>
      <w:proofErr w:type="spellEnd"/>
      <w:r w:rsidRPr="002D71F8">
        <w:rPr>
          <w:i/>
        </w:rPr>
        <w:t xml:space="preserve"> </w:t>
      </w:r>
      <w:proofErr w:type="spellStart"/>
      <w:r w:rsidRPr="002D71F8">
        <w:rPr>
          <w:i/>
        </w:rPr>
        <w:t>Study</w:t>
      </w:r>
      <w:proofErr w:type="spellEnd"/>
      <w:r w:rsidRPr="002D71F8">
        <w:rPr>
          <w:i/>
        </w:rPr>
        <w:t xml:space="preserve">: A </w:t>
      </w:r>
      <w:proofErr w:type="spellStart"/>
      <w:r w:rsidRPr="002D71F8">
        <w:rPr>
          <w:i/>
        </w:rPr>
        <w:t>Nested</w:t>
      </w:r>
      <w:proofErr w:type="spellEnd"/>
      <w:r w:rsidRPr="002D71F8">
        <w:rPr>
          <w:i/>
        </w:rPr>
        <w:t xml:space="preserve"> Case–Control </w:t>
      </w:r>
      <w:proofErr w:type="spellStart"/>
      <w:r w:rsidRPr="002D71F8">
        <w:rPr>
          <w:i/>
        </w:rPr>
        <w:t>Study</w:t>
      </w:r>
      <w:proofErr w:type="spellEnd"/>
      <w:r w:rsidRPr="002D71F8">
        <w:rPr>
          <w:i/>
        </w:rPr>
        <w:t xml:space="preserve"> of </w:t>
      </w:r>
      <w:proofErr w:type="spellStart"/>
      <w:r w:rsidRPr="002D71F8">
        <w:rPr>
          <w:i/>
        </w:rPr>
        <w:t>Lung</w:t>
      </w:r>
      <w:proofErr w:type="spellEnd"/>
      <w:r w:rsidRPr="002D71F8">
        <w:rPr>
          <w:i/>
        </w:rPr>
        <w:t xml:space="preserve"> </w:t>
      </w:r>
      <w:proofErr w:type="spellStart"/>
      <w:r w:rsidRPr="002D71F8">
        <w:rPr>
          <w:i/>
        </w:rPr>
        <w:t>Cancer</w:t>
      </w:r>
      <w:proofErr w:type="spellEnd"/>
      <w:r w:rsidRPr="002D71F8">
        <w:rPr>
          <w:i/>
        </w:rPr>
        <w:t xml:space="preserve"> and </w:t>
      </w:r>
      <w:proofErr w:type="spellStart"/>
      <w:r w:rsidRPr="002D71F8">
        <w:rPr>
          <w:i/>
        </w:rPr>
        <w:t>Diesel</w:t>
      </w:r>
      <w:proofErr w:type="spellEnd"/>
      <w:r w:rsidRPr="002D71F8">
        <w:rPr>
          <w:i/>
        </w:rPr>
        <w:t xml:space="preserve"> </w:t>
      </w:r>
      <w:proofErr w:type="spellStart"/>
      <w:r w:rsidRPr="002D71F8">
        <w:rPr>
          <w:i/>
        </w:rPr>
        <w:t>Exhaust</w:t>
      </w:r>
      <w:proofErr w:type="spellEnd"/>
      <w:r>
        <w:rPr>
          <w:i/>
        </w:rPr>
        <w:t xml:space="preserve">. </w:t>
      </w:r>
      <w:r>
        <w:rPr>
          <w:u w:val="single"/>
        </w:rPr>
        <w:t xml:space="preserve">En </w:t>
      </w:r>
      <w:r>
        <w:t xml:space="preserve">Méndez, Rafael &amp; Sevillano, Elena. </w:t>
      </w:r>
      <w:r w:rsidRPr="002D71F8">
        <w:rPr>
          <w:i/>
        </w:rPr>
        <w:t>La OMS concluye que el humo del diésel causa cáncer de pulmón</w:t>
      </w:r>
      <w:r>
        <w:rPr>
          <w:i/>
        </w:rPr>
        <w:t xml:space="preserve">. </w:t>
      </w:r>
      <w:hyperlink r:id="rId1" w:history="1">
        <w:r w:rsidRPr="002D71F8">
          <w:rPr>
            <w:rStyle w:val="Hipervnculo"/>
          </w:rPr>
          <w:t>https://elpais.com/sociedad/2012/06/12/actualidad/1339526675_079200.html</w:t>
        </w:r>
      </w:hyperlink>
      <w:r w:rsidRPr="002D71F8">
        <w:t xml:space="preserve">. </w:t>
      </w:r>
      <w:r>
        <w:t>23/11/17</w:t>
      </w:r>
    </w:p>
  </w:footnote>
  <w:footnote w:id="2">
    <w:p w:rsidR="0017249B" w:rsidRDefault="0017249B">
      <w:pPr>
        <w:pStyle w:val="Textonotapie"/>
      </w:pPr>
      <w:r>
        <w:rPr>
          <w:rStyle w:val="Refdenotaalpie"/>
        </w:rPr>
        <w:footnoteRef/>
      </w:r>
      <w:r>
        <w:t xml:space="preserve"> Ibídem</w:t>
      </w:r>
    </w:p>
  </w:footnote>
  <w:footnote w:id="3">
    <w:p w:rsidR="00A93FD8" w:rsidRPr="00A93FD8" w:rsidRDefault="00A93FD8" w:rsidP="00A93FD8">
      <w:pPr>
        <w:pStyle w:val="Textonotapie"/>
        <w:jc w:val="both"/>
      </w:pPr>
      <w:r>
        <w:rPr>
          <w:rStyle w:val="Refdenotaalpie"/>
        </w:rPr>
        <w:footnoteRef/>
      </w:r>
      <w:r>
        <w:t xml:space="preserve"> Ortiz </w:t>
      </w:r>
      <w:proofErr w:type="spellStart"/>
      <w:r>
        <w:t>Fonnegra</w:t>
      </w:r>
      <w:proofErr w:type="spellEnd"/>
      <w:r>
        <w:t xml:space="preserve">, María Isabel. </w:t>
      </w:r>
      <w:r w:rsidRPr="00A93FD8">
        <w:rPr>
          <w:i/>
        </w:rPr>
        <w:t>Salud, lo más afectado por la mala calidad del aire en Medellín</w:t>
      </w:r>
      <w:r>
        <w:rPr>
          <w:i/>
        </w:rPr>
        <w:t xml:space="preserve">. </w:t>
      </w:r>
      <w:hyperlink r:id="rId2" w:history="1">
        <w:r w:rsidRPr="006E2735">
          <w:rPr>
            <w:rStyle w:val="Hipervnculo"/>
          </w:rPr>
          <w:t>http://www.eltiempo.com/colombia/medellin/la-salud-lo-que-mas-se-afecta-debido-a-la-mala-calidad-del-aire-64590</w:t>
        </w:r>
      </w:hyperlink>
      <w:r>
        <w:t>. 24/11/17</w:t>
      </w:r>
    </w:p>
    <w:p w:rsidR="00A93FD8" w:rsidRPr="00A93FD8" w:rsidRDefault="00A93FD8" w:rsidP="00A93FD8">
      <w:pPr>
        <w:pStyle w:val="Textonotapie"/>
        <w:rPr>
          <w:i/>
        </w:rPr>
      </w:pPr>
    </w:p>
  </w:footnote>
  <w:footnote w:id="4">
    <w:p w:rsidR="00A93FD8" w:rsidRDefault="00A93FD8" w:rsidP="001138D7">
      <w:pPr>
        <w:pStyle w:val="Textonotapie"/>
        <w:jc w:val="both"/>
      </w:pPr>
      <w:r>
        <w:rPr>
          <w:rStyle w:val="Refdenotaalpie"/>
        </w:rPr>
        <w:footnoteRef/>
      </w:r>
      <w:r>
        <w:t xml:space="preserve"> Organización Mundial de la Salud. </w:t>
      </w:r>
      <w:r w:rsidRPr="00A93FD8">
        <w:rPr>
          <w:i/>
        </w:rPr>
        <w:t>Calidad del aire ambiente (exterior) y salud</w:t>
      </w:r>
      <w:r w:rsidRPr="00A93FD8">
        <w:t xml:space="preserve"> </w:t>
      </w:r>
      <w:hyperlink r:id="rId3" w:history="1">
        <w:r w:rsidR="001138D7" w:rsidRPr="006E2735">
          <w:rPr>
            <w:rStyle w:val="Hipervnculo"/>
          </w:rPr>
          <w:t>http://www.who.int/mediacentre/factsheets/fs313/es/</w:t>
        </w:r>
      </w:hyperlink>
      <w:r w:rsidR="001138D7">
        <w:t xml:space="preserve">. 24/11/17. </w:t>
      </w:r>
    </w:p>
  </w:footnote>
  <w:footnote w:id="5">
    <w:p w:rsidR="00440F32" w:rsidRPr="005B3AD6" w:rsidRDefault="00440F32" w:rsidP="005B3AD6">
      <w:pPr>
        <w:pStyle w:val="Textonotapie"/>
        <w:jc w:val="both"/>
      </w:pPr>
      <w:r>
        <w:rPr>
          <w:rStyle w:val="Refdenotaalpie"/>
        </w:rPr>
        <w:footnoteRef/>
      </w:r>
      <w:r>
        <w:t xml:space="preserve"> </w:t>
      </w:r>
      <w:proofErr w:type="spellStart"/>
      <w:proofErr w:type="gramStart"/>
      <w:r>
        <w:t>World</w:t>
      </w:r>
      <w:proofErr w:type="spellEnd"/>
      <w:r>
        <w:t xml:space="preserve">  </w:t>
      </w:r>
      <w:proofErr w:type="spellStart"/>
      <w:r>
        <w:t>Health</w:t>
      </w:r>
      <w:proofErr w:type="spellEnd"/>
      <w:proofErr w:type="gramEnd"/>
      <w:r>
        <w:t xml:space="preserve"> </w:t>
      </w:r>
      <w:proofErr w:type="spellStart"/>
      <w:r>
        <w:t>Organization</w:t>
      </w:r>
      <w:proofErr w:type="spellEnd"/>
      <w:r>
        <w:t xml:space="preserve"> Regional Office  </w:t>
      </w:r>
      <w:proofErr w:type="spellStart"/>
      <w:r>
        <w:t>for</w:t>
      </w:r>
      <w:proofErr w:type="spellEnd"/>
      <w:r>
        <w:t xml:space="preserve">  </w:t>
      </w:r>
      <w:proofErr w:type="spellStart"/>
      <w:r>
        <w:t>Europe</w:t>
      </w:r>
      <w:proofErr w:type="spellEnd"/>
      <w:r>
        <w:t xml:space="preserve">.  (2011). </w:t>
      </w:r>
      <w:proofErr w:type="spellStart"/>
      <w:proofErr w:type="gramStart"/>
      <w:r>
        <w:t>Exposure</w:t>
      </w:r>
      <w:proofErr w:type="spellEnd"/>
      <w:r>
        <w:t xml:space="preserve">  to</w:t>
      </w:r>
      <w:proofErr w:type="gramEnd"/>
      <w:r>
        <w:t xml:space="preserve">  air  </w:t>
      </w:r>
      <w:proofErr w:type="spellStart"/>
      <w:r>
        <w:t>pollution</w:t>
      </w:r>
      <w:proofErr w:type="spellEnd"/>
      <w:r>
        <w:t xml:space="preserve">  (</w:t>
      </w:r>
      <w:proofErr w:type="spellStart"/>
      <w:r>
        <w:t>particulate</w:t>
      </w:r>
      <w:proofErr w:type="spellEnd"/>
      <w:r>
        <w:t xml:space="preserve"> </w:t>
      </w:r>
      <w:proofErr w:type="spellStart"/>
      <w:r>
        <w:t>matter</w:t>
      </w:r>
      <w:proofErr w:type="spellEnd"/>
      <w:r>
        <w:t xml:space="preserve">)  in </w:t>
      </w:r>
      <w:proofErr w:type="spellStart"/>
      <w:r w:rsidR="005B3AD6">
        <w:t>outdoor</w:t>
      </w:r>
      <w:proofErr w:type="spellEnd"/>
      <w:r w:rsidR="005B3AD6">
        <w:t xml:space="preserve"> air. </w:t>
      </w:r>
      <w:hyperlink r:id="rId4" w:history="1">
        <w:r w:rsidR="005B3AD6" w:rsidRPr="006E2735">
          <w:rPr>
            <w:rStyle w:val="Hipervnculo"/>
          </w:rPr>
          <w:t>http://www.who.int/ipcs/assessment/public_health/ENHIS_Factsheet_3.3_July_2011.pd</w:t>
        </w:r>
      </w:hyperlink>
      <w:r w:rsidR="005B3AD6">
        <w:t xml:space="preserve">. </w:t>
      </w:r>
      <w:r w:rsidR="005B3AD6">
        <w:rPr>
          <w:u w:val="single"/>
        </w:rPr>
        <w:t xml:space="preserve">En </w:t>
      </w:r>
      <w:r w:rsidR="005B3AD6" w:rsidRPr="005B3AD6">
        <w:t>Informe del Estado de la Calidad del Aire en Colombia 2011 2015</w:t>
      </w:r>
      <w:r w:rsidR="005B3AD6">
        <w:t xml:space="preserve">. </w:t>
      </w:r>
    </w:p>
  </w:footnote>
  <w:footnote w:id="6">
    <w:p w:rsidR="005B3AD6" w:rsidRPr="005B3AD6" w:rsidRDefault="005B3AD6" w:rsidP="005B3AD6">
      <w:pPr>
        <w:pStyle w:val="Textonotapie"/>
        <w:jc w:val="both"/>
      </w:pPr>
      <w:r>
        <w:rPr>
          <w:rStyle w:val="Refdenotaalpie"/>
        </w:rPr>
        <w:footnoteRef/>
      </w:r>
      <w:r>
        <w:t xml:space="preserve"> Center </w:t>
      </w:r>
      <w:proofErr w:type="spellStart"/>
      <w:r>
        <w:t>for</w:t>
      </w:r>
      <w:proofErr w:type="spellEnd"/>
      <w:r>
        <w:t xml:space="preserve"> </w:t>
      </w:r>
      <w:proofErr w:type="spellStart"/>
      <w:r>
        <w:t>Climate</w:t>
      </w:r>
      <w:proofErr w:type="spellEnd"/>
      <w:r>
        <w:t xml:space="preserve"> and </w:t>
      </w:r>
      <w:proofErr w:type="spellStart"/>
      <w:r>
        <w:t>Energy</w:t>
      </w:r>
      <w:proofErr w:type="spellEnd"/>
      <w:r>
        <w:t xml:space="preserve"> </w:t>
      </w:r>
      <w:proofErr w:type="spellStart"/>
      <w:r>
        <w:t>Solutions</w:t>
      </w:r>
      <w:proofErr w:type="spellEnd"/>
      <w:r>
        <w:t xml:space="preserve">. </w:t>
      </w:r>
      <w:proofErr w:type="spellStart"/>
      <w:r>
        <w:rPr>
          <w:i/>
        </w:rPr>
        <w:t>What</w:t>
      </w:r>
      <w:proofErr w:type="spellEnd"/>
      <w:r>
        <w:rPr>
          <w:i/>
        </w:rPr>
        <w:t xml:space="preserve"> </w:t>
      </w:r>
      <w:proofErr w:type="spellStart"/>
      <w:r>
        <w:rPr>
          <w:i/>
        </w:rPr>
        <w:t>is</w:t>
      </w:r>
      <w:proofErr w:type="spellEnd"/>
      <w:r>
        <w:rPr>
          <w:i/>
        </w:rPr>
        <w:t xml:space="preserve"> </w:t>
      </w:r>
      <w:proofErr w:type="spellStart"/>
      <w:r>
        <w:rPr>
          <w:i/>
        </w:rPr>
        <w:t>black</w:t>
      </w:r>
      <w:proofErr w:type="spellEnd"/>
      <w:r>
        <w:rPr>
          <w:i/>
        </w:rPr>
        <w:t xml:space="preserve"> </w:t>
      </w:r>
      <w:proofErr w:type="spellStart"/>
      <w:proofErr w:type="gramStart"/>
      <w:r>
        <w:rPr>
          <w:i/>
        </w:rPr>
        <w:t>carbon</w:t>
      </w:r>
      <w:proofErr w:type="spellEnd"/>
      <w:r>
        <w:rPr>
          <w:i/>
        </w:rPr>
        <w:t>?.</w:t>
      </w:r>
      <w:proofErr w:type="gramEnd"/>
      <w:r>
        <w:rPr>
          <w:i/>
        </w:rPr>
        <w:t xml:space="preserve"> </w:t>
      </w:r>
      <w:hyperlink r:id="rId5" w:history="1">
        <w:r w:rsidRPr="006E2735">
          <w:rPr>
            <w:rStyle w:val="Hipervnculo"/>
          </w:rPr>
          <w:t>https://www.c2es.org/site/assets/uploads/2010/04/what-is-black-carbon.pdf</w:t>
        </w:r>
      </w:hyperlink>
      <w:r>
        <w:t xml:space="preserve">. 24/11/17. </w:t>
      </w:r>
    </w:p>
  </w:footnote>
  <w:footnote w:id="7">
    <w:p w:rsidR="007B1213" w:rsidRPr="007B1213" w:rsidRDefault="007B1213" w:rsidP="007B1213">
      <w:pPr>
        <w:pStyle w:val="Textonotapie"/>
        <w:jc w:val="both"/>
      </w:pPr>
      <w:r>
        <w:rPr>
          <w:rStyle w:val="Refdenotaalpie"/>
        </w:rPr>
        <w:footnoteRef/>
      </w:r>
      <w:r>
        <w:t xml:space="preserve"> Corte Constitucional. </w:t>
      </w:r>
      <w:r>
        <w:rPr>
          <w:i/>
        </w:rPr>
        <w:t>Sentencia T-095 del 25</w:t>
      </w:r>
      <w:r w:rsidRPr="007B1213">
        <w:rPr>
          <w:i/>
        </w:rPr>
        <w:t xml:space="preserve"> de febrero de 2016.</w:t>
      </w:r>
      <w:r>
        <w:t>M.P. Alejandro Linares.</w:t>
      </w:r>
      <w:r w:rsidRPr="007B1213">
        <w:t xml:space="preserve"> Referencia: expediente T- 5.193.939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17F" w:rsidRDefault="0033743D">
    <w:pPr>
      <w:tabs>
        <w:tab w:val="center" w:pos="4419"/>
        <w:tab w:val="right" w:pos="8838"/>
      </w:tabs>
      <w:spacing w:before="708" w:after="0" w:line="240" w:lineRule="auto"/>
      <w:jc w:val="center"/>
    </w:pPr>
    <w:r>
      <w:rPr>
        <w:noProof/>
      </w:rPr>
      <w:drawing>
        <wp:inline distT="0" distB="0" distL="0" distR="0">
          <wp:extent cx="2385714" cy="814922"/>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385714" cy="81492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68A9"/>
    <w:multiLevelType w:val="hybridMultilevel"/>
    <w:tmpl w:val="BEBCAA62"/>
    <w:lvl w:ilvl="0" w:tplc="CE38B4B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46612EA"/>
    <w:multiLevelType w:val="multilevel"/>
    <w:tmpl w:val="9726071A"/>
    <w:lvl w:ilvl="0">
      <w:start w:val="1"/>
      <w:numFmt w:val="bullet"/>
      <w:lvlText w:val="●"/>
      <w:lvlJc w:val="left"/>
      <w:pPr>
        <w:ind w:left="1065" w:hanging="705"/>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D070360"/>
    <w:multiLevelType w:val="multilevel"/>
    <w:tmpl w:val="3CBC6D7C"/>
    <w:lvl w:ilvl="0">
      <w:start w:val="1"/>
      <w:numFmt w:val="upperRoman"/>
      <w:lvlText w:val="%1."/>
      <w:lvlJc w:val="left"/>
      <w:pPr>
        <w:ind w:left="72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17F"/>
    <w:rsid w:val="001138D7"/>
    <w:rsid w:val="0017249B"/>
    <w:rsid w:val="001D0EA3"/>
    <w:rsid w:val="002B4E00"/>
    <w:rsid w:val="002D71F8"/>
    <w:rsid w:val="0033743D"/>
    <w:rsid w:val="00440F32"/>
    <w:rsid w:val="005B3AD6"/>
    <w:rsid w:val="00605ABD"/>
    <w:rsid w:val="0076269E"/>
    <w:rsid w:val="007B1213"/>
    <w:rsid w:val="00812BFD"/>
    <w:rsid w:val="00842F9F"/>
    <w:rsid w:val="0094542C"/>
    <w:rsid w:val="0099217F"/>
    <w:rsid w:val="00A93FD8"/>
    <w:rsid w:val="00B01DC0"/>
    <w:rsid w:val="00E572DD"/>
    <w:rsid w:val="00E863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1250A"/>
  <w15:docId w15:val="{708D0798-8A7D-4A00-B0EF-4CFB7A5C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s-CO" w:eastAsia="es-CO"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240" w:after="0" w:line="256" w:lineRule="auto"/>
      <w:outlineLvl w:val="0"/>
    </w:pPr>
    <w:rPr>
      <w:b/>
      <w:color w:val="2E75B5"/>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customStyle="1" w:styleId="Predeterminado">
    <w:name w:val="Predeterminado"/>
    <w:rsid w:val="00E8636D"/>
    <w:pPr>
      <w:pBdr>
        <w:top w:val="none" w:sz="0" w:space="0" w:color="auto"/>
        <w:left w:val="none" w:sz="0" w:space="0" w:color="auto"/>
        <w:bottom w:val="none" w:sz="0" w:space="0" w:color="auto"/>
        <w:right w:val="none" w:sz="0" w:space="0" w:color="auto"/>
        <w:between w:val="none" w:sz="0" w:space="0" w:color="auto"/>
      </w:pBdr>
      <w:tabs>
        <w:tab w:val="left" w:pos="708"/>
      </w:tabs>
      <w:suppressAutoHyphens/>
    </w:pPr>
    <w:rPr>
      <w:rFonts w:ascii="Cambria" w:eastAsia="WenQuanYi Micro Hei" w:hAnsi="Cambria" w:cs="Times New Roman"/>
      <w:color w:val="auto"/>
      <w:sz w:val="24"/>
      <w:szCs w:val="24"/>
      <w:lang w:val="es-ES" w:eastAsia="es-ES"/>
    </w:rPr>
  </w:style>
  <w:style w:type="paragraph" w:styleId="Prrafodelista">
    <w:name w:val="List Paragraph"/>
    <w:basedOn w:val="Normal"/>
    <w:uiPriority w:val="34"/>
    <w:qFormat/>
    <w:rsid w:val="00E8636D"/>
    <w:pPr>
      <w:ind w:left="720"/>
      <w:contextualSpacing/>
    </w:pPr>
  </w:style>
  <w:style w:type="paragraph" w:styleId="Textonotapie">
    <w:name w:val="footnote text"/>
    <w:basedOn w:val="Normal"/>
    <w:link w:val="TextonotapieCar"/>
    <w:uiPriority w:val="99"/>
    <w:unhideWhenUsed/>
    <w:rsid w:val="002D71F8"/>
    <w:pPr>
      <w:spacing w:after="0" w:line="240" w:lineRule="auto"/>
    </w:pPr>
    <w:rPr>
      <w:sz w:val="20"/>
      <w:szCs w:val="20"/>
    </w:rPr>
  </w:style>
  <w:style w:type="character" w:customStyle="1" w:styleId="TextonotapieCar">
    <w:name w:val="Texto nota pie Car"/>
    <w:basedOn w:val="Fuentedeprrafopredeter"/>
    <w:link w:val="Textonotapie"/>
    <w:uiPriority w:val="99"/>
    <w:rsid w:val="002D71F8"/>
    <w:rPr>
      <w:sz w:val="20"/>
      <w:szCs w:val="20"/>
    </w:rPr>
  </w:style>
  <w:style w:type="character" w:styleId="Refdenotaalpie">
    <w:name w:val="footnote reference"/>
    <w:basedOn w:val="Fuentedeprrafopredeter"/>
    <w:uiPriority w:val="99"/>
    <w:semiHidden/>
    <w:unhideWhenUsed/>
    <w:rsid w:val="002D71F8"/>
    <w:rPr>
      <w:vertAlign w:val="superscript"/>
    </w:rPr>
  </w:style>
  <w:style w:type="character" w:styleId="Hipervnculo">
    <w:name w:val="Hyperlink"/>
    <w:basedOn w:val="Fuentedeprrafopredeter"/>
    <w:uiPriority w:val="99"/>
    <w:unhideWhenUsed/>
    <w:rsid w:val="002D71F8"/>
    <w:rPr>
      <w:color w:val="0563C1" w:themeColor="hyperlink"/>
      <w:u w:val="single"/>
    </w:rPr>
  </w:style>
  <w:style w:type="paragraph" w:styleId="Textodeglobo">
    <w:name w:val="Balloon Text"/>
    <w:basedOn w:val="Normal"/>
    <w:link w:val="TextodegloboCar"/>
    <w:uiPriority w:val="99"/>
    <w:semiHidden/>
    <w:unhideWhenUsed/>
    <w:rsid w:val="00B01D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ho.int/mediacentre/factsheets/fs313/es/" TargetMode="External"/><Relationship Id="rId2" Type="http://schemas.openxmlformats.org/officeDocument/2006/relationships/hyperlink" Target="http://www.eltiempo.com/colombia/medellin/la-salud-lo-que-mas-se-afecta-debido-a-la-mala-calidad-del-aire-64590" TargetMode="External"/><Relationship Id="rId1" Type="http://schemas.openxmlformats.org/officeDocument/2006/relationships/hyperlink" Target="https://elpais.com/sociedad/2012/06/12/actualidad/1339526675_079200.html" TargetMode="External"/><Relationship Id="rId5" Type="http://schemas.openxmlformats.org/officeDocument/2006/relationships/hyperlink" Target="https://www.c2es.org/site/assets/uploads/2010/04/what-is-black-carbon.pdf" TargetMode="External"/><Relationship Id="rId4" Type="http://schemas.openxmlformats.org/officeDocument/2006/relationships/hyperlink" Target="http://www.who.int/ipcs/assessment/public_health/ENHIS_Factsheet_3.3_July_2011.p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96330-6B8F-4CAE-93BF-A7ED32C5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17</Pages>
  <Words>5741</Words>
  <Characters>31576</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Quintero</dc:creator>
  <cp:lastModifiedBy>Natalia Quintero</cp:lastModifiedBy>
  <cp:revision>4</cp:revision>
  <cp:lastPrinted>2017-11-30T19:59:00Z</cp:lastPrinted>
  <dcterms:created xsi:type="dcterms:W3CDTF">2017-11-24T20:13:00Z</dcterms:created>
  <dcterms:modified xsi:type="dcterms:W3CDTF">2017-11-30T20:13:00Z</dcterms:modified>
</cp:coreProperties>
</file>