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79C" w:rsidRPr="0066257F" w:rsidRDefault="002B279C" w:rsidP="002B279C">
      <w:pPr>
        <w:spacing w:after="0" w:line="240" w:lineRule="auto"/>
        <w:jc w:val="both"/>
        <w:rPr>
          <w:rFonts w:ascii="Century Gothic" w:hAnsi="Century Gothic" w:cs="Arial"/>
          <w:bCs/>
          <w:sz w:val="24"/>
          <w:szCs w:val="24"/>
        </w:rPr>
      </w:pPr>
      <w:bookmarkStart w:id="0" w:name="_GoBack"/>
      <w:bookmarkEnd w:id="0"/>
      <w:r w:rsidRPr="0066257F">
        <w:rPr>
          <w:rFonts w:ascii="Century Gothic" w:hAnsi="Century Gothic" w:cs="Arial"/>
          <w:bCs/>
          <w:sz w:val="24"/>
          <w:szCs w:val="24"/>
        </w:rPr>
        <w:t xml:space="preserve">Bogotá D.C., </w:t>
      </w:r>
      <w:r w:rsidR="00CB1CF3">
        <w:rPr>
          <w:rFonts w:ascii="Century Gothic" w:hAnsi="Century Gothic" w:cs="Arial"/>
          <w:bCs/>
          <w:sz w:val="24"/>
          <w:szCs w:val="24"/>
        </w:rPr>
        <w:t>Noviembre 8</w:t>
      </w:r>
      <w:r w:rsidRPr="0066257F">
        <w:rPr>
          <w:rFonts w:ascii="Century Gothic" w:hAnsi="Century Gothic" w:cs="Arial"/>
          <w:bCs/>
          <w:sz w:val="24"/>
          <w:szCs w:val="24"/>
        </w:rPr>
        <w:t xml:space="preserve"> de 2017</w:t>
      </w:r>
    </w:p>
    <w:p w:rsidR="002B279C" w:rsidRPr="0066257F" w:rsidRDefault="002B279C" w:rsidP="002B279C">
      <w:pPr>
        <w:spacing w:after="0" w:line="240" w:lineRule="auto"/>
        <w:jc w:val="both"/>
        <w:rPr>
          <w:rFonts w:ascii="Century Gothic" w:hAnsi="Century Gothic" w:cs="Arial"/>
          <w:bCs/>
          <w:sz w:val="24"/>
          <w:szCs w:val="24"/>
        </w:rPr>
      </w:pPr>
    </w:p>
    <w:p w:rsidR="002B279C" w:rsidRPr="0066257F" w:rsidRDefault="002B279C" w:rsidP="002B279C">
      <w:pPr>
        <w:spacing w:after="0" w:line="240" w:lineRule="auto"/>
        <w:jc w:val="both"/>
        <w:rPr>
          <w:rFonts w:ascii="Century Gothic" w:hAnsi="Century Gothic" w:cs="Arial"/>
          <w:bCs/>
          <w:sz w:val="24"/>
          <w:szCs w:val="24"/>
        </w:rPr>
      </w:pPr>
    </w:p>
    <w:p w:rsidR="002B279C" w:rsidRPr="0066257F" w:rsidRDefault="002B279C" w:rsidP="002B279C">
      <w:pPr>
        <w:spacing w:before="57" w:after="57" w:line="276" w:lineRule="auto"/>
        <w:textAlignment w:val="center"/>
        <w:rPr>
          <w:rFonts w:ascii="Century Gothic" w:hAnsi="Century Gothic" w:cs="Arial"/>
          <w:sz w:val="24"/>
          <w:szCs w:val="24"/>
          <w:lang w:val="es-ES_tradnl"/>
        </w:rPr>
      </w:pPr>
      <w:r w:rsidRPr="0066257F">
        <w:rPr>
          <w:rFonts w:ascii="Century Gothic" w:hAnsi="Century Gothic" w:cs="Arial"/>
          <w:sz w:val="24"/>
          <w:szCs w:val="24"/>
          <w:lang w:val="es-ES_tradnl"/>
        </w:rPr>
        <w:t>Doctor</w:t>
      </w:r>
    </w:p>
    <w:p w:rsidR="002B279C" w:rsidRPr="0066257F" w:rsidRDefault="002B279C" w:rsidP="002B279C">
      <w:pPr>
        <w:spacing w:before="57" w:after="57" w:line="276" w:lineRule="auto"/>
        <w:textAlignment w:val="center"/>
        <w:rPr>
          <w:rFonts w:ascii="Century Gothic" w:hAnsi="Century Gothic" w:cs="Arial"/>
          <w:b/>
          <w:sz w:val="24"/>
          <w:szCs w:val="24"/>
          <w:lang w:val="es-ES_tradnl"/>
        </w:rPr>
      </w:pPr>
      <w:r>
        <w:rPr>
          <w:rFonts w:ascii="Century Gothic" w:hAnsi="Century Gothic" w:cs="Arial"/>
          <w:b/>
          <w:sz w:val="24"/>
          <w:szCs w:val="24"/>
          <w:lang w:val="es-ES_tradnl"/>
        </w:rPr>
        <w:t xml:space="preserve">ÁNGEL MARIA GAITÁN PULIDO </w:t>
      </w:r>
    </w:p>
    <w:p w:rsidR="002B279C" w:rsidRPr="0066257F" w:rsidRDefault="002B279C" w:rsidP="002B279C">
      <w:pPr>
        <w:spacing w:after="0" w:line="276" w:lineRule="auto"/>
        <w:textAlignment w:val="center"/>
        <w:rPr>
          <w:rFonts w:ascii="Century Gothic" w:hAnsi="Century Gothic" w:cs="Arial"/>
          <w:sz w:val="24"/>
          <w:szCs w:val="24"/>
          <w:lang w:val="es-ES_tradnl"/>
        </w:rPr>
      </w:pPr>
      <w:r w:rsidRPr="0066257F">
        <w:rPr>
          <w:rFonts w:ascii="Century Gothic" w:hAnsi="Century Gothic" w:cs="Arial"/>
          <w:sz w:val="24"/>
          <w:szCs w:val="24"/>
          <w:lang w:val="es-ES_tradnl"/>
        </w:rPr>
        <w:t>Presidente Comisión Q</w:t>
      </w:r>
      <w:r>
        <w:rPr>
          <w:rFonts w:ascii="Century Gothic" w:hAnsi="Century Gothic" w:cs="Arial"/>
          <w:sz w:val="24"/>
          <w:szCs w:val="24"/>
          <w:lang w:val="es-ES_tradnl"/>
        </w:rPr>
        <w:t>uinta Cámara de Representantes</w:t>
      </w:r>
      <w:r w:rsidRPr="0066257F">
        <w:rPr>
          <w:rFonts w:ascii="Century Gothic" w:hAnsi="Century Gothic" w:cs="Arial"/>
          <w:sz w:val="24"/>
          <w:szCs w:val="24"/>
          <w:lang w:val="es-ES_tradnl"/>
        </w:rPr>
        <w:t xml:space="preserve"> </w:t>
      </w:r>
    </w:p>
    <w:p w:rsidR="002B279C" w:rsidRPr="002F0055" w:rsidRDefault="002B279C" w:rsidP="002B279C">
      <w:pPr>
        <w:spacing w:after="0" w:line="360" w:lineRule="auto"/>
        <w:contextualSpacing/>
        <w:jc w:val="both"/>
        <w:rPr>
          <w:rFonts w:ascii="Century Gothic" w:hAnsi="Century Gothic"/>
          <w:color w:val="000000"/>
          <w:sz w:val="24"/>
          <w:szCs w:val="24"/>
        </w:rPr>
      </w:pPr>
      <w:r w:rsidRPr="002F0055">
        <w:rPr>
          <w:rFonts w:ascii="Century Gothic" w:hAnsi="Century Gothic"/>
          <w:color w:val="000000"/>
          <w:sz w:val="24"/>
          <w:szCs w:val="24"/>
        </w:rPr>
        <w:t>Ciudad</w:t>
      </w:r>
    </w:p>
    <w:p w:rsidR="002B279C" w:rsidRPr="002F0055" w:rsidRDefault="002B279C" w:rsidP="002B279C">
      <w:pPr>
        <w:spacing w:after="0" w:line="240" w:lineRule="auto"/>
        <w:contextualSpacing/>
        <w:jc w:val="both"/>
        <w:rPr>
          <w:rFonts w:ascii="Century Gothic" w:hAnsi="Century Gothic"/>
          <w:color w:val="000000"/>
          <w:sz w:val="24"/>
          <w:szCs w:val="24"/>
        </w:rPr>
      </w:pPr>
    </w:p>
    <w:p w:rsidR="002B279C" w:rsidRPr="002F0055" w:rsidRDefault="002B279C" w:rsidP="002B279C">
      <w:pPr>
        <w:spacing w:after="0" w:line="360" w:lineRule="auto"/>
        <w:contextualSpacing/>
        <w:jc w:val="both"/>
        <w:rPr>
          <w:rFonts w:ascii="Century Gothic" w:hAnsi="Century Gothic"/>
          <w:color w:val="000000"/>
          <w:sz w:val="24"/>
          <w:szCs w:val="24"/>
        </w:rPr>
      </w:pPr>
      <w:r w:rsidRPr="002F0055">
        <w:rPr>
          <w:rFonts w:ascii="Century Gothic" w:hAnsi="Century Gothic"/>
          <w:color w:val="000000"/>
          <w:sz w:val="24"/>
          <w:szCs w:val="24"/>
        </w:rPr>
        <w:t>REF</w:t>
      </w:r>
      <w:r w:rsidRPr="007E6B45">
        <w:rPr>
          <w:rFonts w:ascii="Century Gothic" w:hAnsi="Century Gothic" w:cs="Arial"/>
          <w:b/>
          <w:bCs/>
          <w:sz w:val="24"/>
          <w:szCs w:val="24"/>
        </w:rPr>
        <w:t>:</w:t>
      </w:r>
      <w:r w:rsidRPr="0066257F">
        <w:rPr>
          <w:rFonts w:ascii="Century Gothic" w:hAnsi="Century Gothic" w:cs="Arial"/>
          <w:b/>
          <w:bCs/>
          <w:i/>
          <w:sz w:val="24"/>
          <w:szCs w:val="24"/>
        </w:rPr>
        <w:t xml:space="preserve"> PONENCIA </w:t>
      </w:r>
      <w:r>
        <w:rPr>
          <w:rFonts w:ascii="Century Gothic" w:hAnsi="Century Gothic" w:cs="Arial"/>
          <w:b/>
          <w:bCs/>
          <w:i/>
          <w:sz w:val="24"/>
          <w:szCs w:val="24"/>
        </w:rPr>
        <w:t xml:space="preserve">NEGATIVA </w:t>
      </w:r>
      <w:r w:rsidRPr="0066257F">
        <w:rPr>
          <w:rFonts w:ascii="Century Gothic" w:hAnsi="Century Gothic" w:cs="Arial"/>
          <w:b/>
          <w:bCs/>
          <w:i/>
          <w:sz w:val="24"/>
          <w:szCs w:val="24"/>
        </w:rPr>
        <w:t xml:space="preserve">PARA </w:t>
      </w:r>
      <w:r>
        <w:rPr>
          <w:rFonts w:ascii="Century Gothic" w:hAnsi="Century Gothic" w:cs="Arial"/>
          <w:b/>
          <w:bCs/>
          <w:i/>
          <w:sz w:val="24"/>
          <w:szCs w:val="24"/>
        </w:rPr>
        <w:t>PRIMER</w:t>
      </w:r>
      <w:r w:rsidRPr="002F0055">
        <w:rPr>
          <w:rFonts w:ascii="Century Gothic" w:hAnsi="Century Gothic" w:cs="Arial"/>
          <w:b/>
          <w:bCs/>
          <w:i/>
          <w:sz w:val="24"/>
          <w:szCs w:val="24"/>
        </w:rPr>
        <w:t xml:space="preserve"> DEBATE DEL PROYECTO DE LEY N°. </w:t>
      </w:r>
      <w:r>
        <w:rPr>
          <w:rFonts w:ascii="Century Gothic" w:hAnsi="Century Gothic"/>
          <w:b/>
          <w:i/>
          <w:color w:val="000000"/>
          <w:sz w:val="24"/>
          <w:szCs w:val="24"/>
        </w:rPr>
        <w:t>018 DE 2017 CÁMARA - 009 DE 2017 SENADO</w:t>
      </w:r>
      <w:r w:rsidRPr="002F0055">
        <w:rPr>
          <w:rFonts w:ascii="Century Gothic" w:hAnsi="Century Gothic"/>
          <w:b/>
          <w:i/>
          <w:color w:val="000000"/>
          <w:sz w:val="24"/>
          <w:szCs w:val="24"/>
        </w:rPr>
        <w:t>.</w:t>
      </w:r>
    </w:p>
    <w:p w:rsidR="002B279C" w:rsidRPr="002F0055" w:rsidRDefault="002B279C" w:rsidP="002B279C">
      <w:pPr>
        <w:spacing w:after="0" w:line="240" w:lineRule="auto"/>
        <w:contextualSpacing/>
        <w:jc w:val="both"/>
        <w:rPr>
          <w:rFonts w:ascii="Century Gothic" w:hAnsi="Century Gothic"/>
          <w:color w:val="000000"/>
          <w:sz w:val="24"/>
          <w:szCs w:val="24"/>
        </w:rPr>
      </w:pPr>
    </w:p>
    <w:p w:rsidR="002B279C" w:rsidRPr="002F0055" w:rsidRDefault="002B279C" w:rsidP="002B279C">
      <w:pPr>
        <w:spacing w:after="0" w:line="360" w:lineRule="auto"/>
        <w:contextualSpacing/>
        <w:jc w:val="both"/>
        <w:rPr>
          <w:rFonts w:ascii="Century Gothic" w:hAnsi="Century Gothic"/>
          <w:color w:val="000000"/>
          <w:sz w:val="24"/>
          <w:szCs w:val="24"/>
        </w:rPr>
      </w:pPr>
      <w:r w:rsidRPr="002F0055">
        <w:rPr>
          <w:rFonts w:ascii="Century Gothic" w:hAnsi="Century Gothic"/>
          <w:color w:val="000000"/>
          <w:sz w:val="24"/>
          <w:szCs w:val="24"/>
        </w:rPr>
        <w:t>Res</w:t>
      </w:r>
      <w:r w:rsidRPr="0066257F">
        <w:rPr>
          <w:rFonts w:ascii="Century Gothic" w:hAnsi="Century Gothic" w:cs="Arial"/>
          <w:sz w:val="24"/>
          <w:szCs w:val="24"/>
          <w:lang w:val="es-ES_tradnl"/>
        </w:rPr>
        <w:t xml:space="preserve">petado </w:t>
      </w:r>
      <w:r>
        <w:rPr>
          <w:rFonts w:ascii="Century Gothic" w:hAnsi="Century Gothic"/>
          <w:color w:val="000000"/>
          <w:sz w:val="24"/>
          <w:szCs w:val="24"/>
        </w:rPr>
        <w:t>Presidente</w:t>
      </w:r>
      <w:r w:rsidRPr="002F0055">
        <w:rPr>
          <w:rFonts w:ascii="Century Gothic" w:hAnsi="Century Gothic"/>
          <w:color w:val="000000"/>
          <w:sz w:val="24"/>
          <w:szCs w:val="24"/>
        </w:rPr>
        <w:t xml:space="preserve">, </w:t>
      </w:r>
    </w:p>
    <w:p w:rsidR="002B279C" w:rsidRPr="002F0055" w:rsidRDefault="002B279C" w:rsidP="002B279C">
      <w:pPr>
        <w:spacing w:after="0" w:line="240" w:lineRule="auto"/>
        <w:contextualSpacing/>
        <w:jc w:val="both"/>
        <w:rPr>
          <w:rFonts w:ascii="Century Gothic" w:hAnsi="Century Gothic"/>
          <w:color w:val="000000"/>
          <w:sz w:val="24"/>
          <w:szCs w:val="24"/>
        </w:rPr>
      </w:pPr>
    </w:p>
    <w:p w:rsidR="002B279C" w:rsidRPr="00F35AFA" w:rsidRDefault="002B279C" w:rsidP="002B279C">
      <w:pPr>
        <w:spacing w:after="0" w:line="360" w:lineRule="auto"/>
        <w:contextualSpacing/>
        <w:jc w:val="both"/>
        <w:rPr>
          <w:rFonts w:ascii="Century Gothic" w:eastAsia="Times New Roman" w:hAnsi="Century Gothic" w:cs="Arial"/>
          <w:i/>
          <w:sz w:val="24"/>
          <w:szCs w:val="24"/>
          <w:lang w:eastAsia="es-CO"/>
        </w:rPr>
      </w:pPr>
      <w:r w:rsidRPr="002F0055">
        <w:rPr>
          <w:rFonts w:ascii="Century Gothic" w:hAnsi="Century Gothic"/>
          <w:color w:val="000000"/>
          <w:sz w:val="24"/>
          <w:szCs w:val="24"/>
        </w:rPr>
        <w:t>En cumplimiento</w:t>
      </w:r>
      <w:r w:rsidRPr="007E6B45">
        <w:rPr>
          <w:rFonts w:ascii="Century Gothic" w:hAnsi="Century Gothic" w:cs="Arial"/>
          <w:sz w:val="24"/>
          <w:szCs w:val="24"/>
          <w:lang w:val="es-ES_tradnl"/>
        </w:rPr>
        <w:t xml:space="preserve"> de la designación que me hizo la Mesa Directiva de la Comisión </w:t>
      </w:r>
      <w:r>
        <w:rPr>
          <w:rFonts w:ascii="Century Gothic" w:hAnsi="Century Gothic" w:cs="Arial"/>
          <w:color w:val="000000" w:themeColor="text1"/>
          <w:sz w:val="24"/>
          <w:szCs w:val="24"/>
          <w:lang w:val="es-ES_tradnl"/>
        </w:rPr>
        <w:t>Quinta de la</w:t>
      </w:r>
      <w:r w:rsidRPr="007E6B45">
        <w:rPr>
          <w:rFonts w:ascii="Century Gothic" w:hAnsi="Century Gothic" w:cs="Arial"/>
          <w:color w:val="000000" w:themeColor="text1"/>
          <w:sz w:val="24"/>
          <w:szCs w:val="24"/>
          <w:lang w:val="es-ES_tradnl"/>
        </w:rPr>
        <w:t xml:space="preserve"> </w:t>
      </w:r>
      <w:r>
        <w:rPr>
          <w:rFonts w:ascii="Century Gothic" w:hAnsi="Century Gothic" w:cs="Arial"/>
          <w:color w:val="000000" w:themeColor="text1"/>
          <w:sz w:val="24"/>
          <w:szCs w:val="24"/>
          <w:lang w:val="es-ES_tradnl"/>
        </w:rPr>
        <w:t>Honorable Cámara de Representantes</w:t>
      </w:r>
      <w:r w:rsidRPr="007E6B45">
        <w:rPr>
          <w:rFonts w:ascii="Century Gothic" w:hAnsi="Century Gothic" w:cs="Arial"/>
          <w:color w:val="000000" w:themeColor="text1"/>
          <w:sz w:val="24"/>
          <w:szCs w:val="24"/>
          <w:lang w:val="es-ES_tradnl"/>
        </w:rPr>
        <w:t xml:space="preserve">, me permito rendir </w:t>
      </w:r>
      <w:r w:rsidRPr="007E6B45">
        <w:rPr>
          <w:rFonts w:ascii="Century Gothic" w:hAnsi="Century Gothic"/>
          <w:color w:val="000000" w:themeColor="text1"/>
          <w:sz w:val="24"/>
          <w:szCs w:val="24"/>
        </w:rPr>
        <w:t>Informe d</w:t>
      </w:r>
      <w:r>
        <w:rPr>
          <w:rFonts w:ascii="Century Gothic" w:hAnsi="Century Gothic"/>
          <w:color w:val="000000" w:themeColor="text1"/>
          <w:sz w:val="24"/>
          <w:szCs w:val="24"/>
        </w:rPr>
        <w:t xml:space="preserve">e </w:t>
      </w:r>
      <w:r w:rsidRPr="00F35AFA">
        <w:rPr>
          <w:rFonts w:ascii="Century Gothic" w:hAnsi="Century Gothic"/>
          <w:b/>
          <w:i/>
          <w:color w:val="000000" w:themeColor="text1"/>
          <w:sz w:val="24"/>
          <w:szCs w:val="24"/>
        </w:rPr>
        <w:t>Ponencia Negativa</w:t>
      </w:r>
      <w:r>
        <w:rPr>
          <w:rFonts w:ascii="Century Gothic" w:hAnsi="Century Gothic"/>
          <w:color w:val="000000" w:themeColor="text1"/>
          <w:sz w:val="24"/>
          <w:szCs w:val="24"/>
        </w:rPr>
        <w:t xml:space="preserve"> para primer</w:t>
      </w:r>
      <w:r w:rsidRPr="007E6B45">
        <w:rPr>
          <w:rFonts w:ascii="Century Gothic" w:hAnsi="Century Gothic"/>
          <w:color w:val="000000" w:themeColor="text1"/>
          <w:sz w:val="24"/>
          <w:szCs w:val="24"/>
        </w:rPr>
        <w:t xml:space="preserve"> d</w:t>
      </w:r>
      <w:r>
        <w:rPr>
          <w:rFonts w:ascii="Century Gothic" w:hAnsi="Century Gothic"/>
          <w:color w:val="000000" w:themeColor="text1"/>
          <w:sz w:val="24"/>
          <w:szCs w:val="24"/>
        </w:rPr>
        <w:t xml:space="preserve">ebate del Proyecto de </w:t>
      </w:r>
      <w:r w:rsidRPr="002B279C">
        <w:rPr>
          <w:rFonts w:ascii="Century Gothic" w:hAnsi="Century Gothic"/>
          <w:color w:val="000000" w:themeColor="text1"/>
          <w:sz w:val="24"/>
          <w:szCs w:val="24"/>
        </w:rPr>
        <w:t xml:space="preserve">Ley No. 018 de 2017 Cámara - 009 de 2017 Senado </w:t>
      </w:r>
      <w:r w:rsidRPr="00F35AFA">
        <w:rPr>
          <w:rFonts w:ascii="Century Gothic" w:hAnsi="Century Gothic"/>
          <w:i/>
          <w:color w:val="000000" w:themeColor="text1"/>
          <w:sz w:val="24"/>
          <w:szCs w:val="24"/>
        </w:rPr>
        <w:t>“</w:t>
      </w:r>
      <w:r w:rsidRPr="00F35AFA">
        <w:rPr>
          <w:rFonts w:ascii="Century Gothic" w:eastAsia="Times New Roman" w:hAnsi="Century Gothic" w:cs="Arial"/>
          <w:i/>
          <w:sz w:val="24"/>
          <w:szCs w:val="24"/>
          <w:lang w:eastAsia="es-CO"/>
        </w:rPr>
        <w:t xml:space="preserve">Por la cual se habilita la adjudicación o el otorgamiento de uso de baldíos en </w:t>
      </w:r>
      <w:r w:rsidRPr="00F35AFA">
        <w:rPr>
          <w:rFonts w:ascii="Century Gothic" w:eastAsia="Times New Roman" w:hAnsi="Century Gothic" w:cs="Arial"/>
          <w:i/>
          <w:sz w:val="24"/>
          <w:szCs w:val="24"/>
          <w:lang w:eastAsia="es-CO"/>
        </w:rPr>
        <w:lastRenderedPageBreak/>
        <w:t>reservas forestales protectoras-productoras y de reserva forestal de la Ley 2ª de 1959, sin sustracción y se dictan otras disposiciones”.</w:t>
      </w:r>
    </w:p>
    <w:p w:rsidR="002B279C" w:rsidRPr="002F0055" w:rsidRDefault="002B279C" w:rsidP="002B279C">
      <w:pPr>
        <w:spacing w:after="0" w:line="360" w:lineRule="auto"/>
        <w:contextualSpacing/>
        <w:jc w:val="both"/>
        <w:rPr>
          <w:rFonts w:ascii="Century Gothic" w:hAnsi="Century Gothic"/>
          <w:color w:val="000000"/>
          <w:sz w:val="24"/>
          <w:szCs w:val="24"/>
        </w:rPr>
      </w:pPr>
    </w:p>
    <w:p w:rsidR="002B279C" w:rsidRPr="002F0055" w:rsidRDefault="002B279C" w:rsidP="002B279C">
      <w:pPr>
        <w:pStyle w:val="Prrafodelista"/>
        <w:numPr>
          <w:ilvl w:val="0"/>
          <w:numId w:val="19"/>
        </w:numPr>
        <w:spacing w:after="0" w:line="360" w:lineRule="auto"/>
        <w:jc w:val="both"/>
        <w:rPr>
          <w:rFonts w:ascii="Century Gothic" w:hAnsi="Century Gothic"/>
          <w:b/>
          <w:color w:val="000000"/>
          <w:sz w:val="24"/>
          <w:szCs w:val="24"/>
        </w:rPr>
      </w:pPr>
      <w:r w:rsidRPr="002F0055">
        <w:rPr>
          <w:rFonts w:ascii="Century Gothic" w:hAnsi="Century Gothic"/>
          <w:b/>
          <w:color w:val="000000"/>
          <w:sz w:val="24"/>
          <w:szCs w:val="24"/>
        </w:rPr>
        <w:t>TRÁMITE LEGISLATIVO Y ANTECEDENTES DEL PROYECTO</w:t>
      </w:r>
    </w:p>
    <w:p w:rsidR="002B279C" w:rsidRPr="002F0055" w:rsidRDefault="002B279C" w:rsidP="002B279C">
      <w:pPr>
        <w:spacing w:after="0" w:line="360" w:lineRule="auto"/>
        <w:contextualSpacing/>
        <w:jc w:val="both"/>
        <w:rPr>
          <w:rFonts w:ascii="Century Gothic" w:hAnsi="Century Gothic"/>
          <w:color w:val="000000"/>
          <w:sz w:val="24"/>
          <w:szCs w:val="24"/>
        </w:rPr>
      </w:pPr>
    </w:p>
    <w:p w:rsidR="002B279C" w:rsidRDefault="002B279C" w:rsidP="002B279C">
      <w:pPr>
        <w:spacing w:after="0" w:line="360" w:lineRule="auto"/>
        <w:contextualSpacing/>
        <w:jc w:val="both"/>
        <w:rPr>
          <w:rFonts w:ascii="Century Gothic" w:eastAsia="Times New Roman" w:hAnsi="Century Gothic" w:cs="Arial"/>
          <w:sz w:val="24"/>
          <w:szCs w:val="24"/>
          <w:lang w:eastAsia="es-CO"/>
        </w:rPr>
      </w:pPr>
      <w:r>
        <w:rPr>
          <w:rFonts w:ascii="Century Gothic" w:hAnsi="Century Gothic"/>
          <w:color w:val="000000"/>
          <w:sz w:val="24"/>
          <w:szCs w:val="24"/>
        </w:rPr>
        <w:t>El día ocho (08) de agosto</w:t>
      </w:r>
      <w:r w:rsidRPr="00E57451">
        <w:rPr>
          <w:rFonts w:ascii="Century Gothic" w:hAnsi="Century Gothic"/>
          <w:color w:val="000000"/>
          <w:sz w:val="24"/>
          <w:szCs w:val="24"/>
        </w:rPr>
        <w:t xml:space="preserve"> de 2017, el Ministro de Agricultura y Desarrollo Rural, Aurelio Iragorri Val</w:t>
      </w:r>
      <w:r>
        <w:rPr>
          <w:rFonts w:ascii="Century Gothic" w:hAnsi="Century Gothic"/>
          <w:color w:val="000000"/>
          <w:sz w:val="24"/>
          <w:szCs w:val="24"/>
        </w:rPr>
        <w:t>encia y el Ministro de Ambiente y Desarrollo Sostenible, Luis Gilberto Murillo</w:t>
      </w:r>
      <w:r w:rsidRPr="00E57451">
        <w:rPr>
          <w:rFonts w:ascii="Century Gothic" w:hAnsi="Century Gothic"/>
          <w:color w:val="000000"/>
          <w:sz w:val="24"/>
          <w:szCs w:val="24"/>
        </w:rPr>
        <w:t>, radicaron ante la Secretaria General del Senado de la Rep</w:t>
      </w:r>
      <w:r>
        <w:rPr>
          <w:rFonts w:ascii="Century Gothic" w:hAnsi="Century Gothic"/>
          <w:color w:val="000000"/>
          <w:sz w:val="24"/>
          <w:szCs w:val="24"/>
        </w:rPr>
        <w:t xml:space="preserve">ública el Proyecto de Ley No. 018 de 2017 Cámara-009 de 2017 Senado </w:t>
      </w:r>
      <w:r w:rsidRPr="002B279C">
        <w:rPr>
          <w:rFonts w:ascii="Century Gothic" w:hAnsi="Century Gothic"/>
          <w:i/>
          <w:color w:val="000000" w:themeColor="text1"/>
          <w:sz w:val="24"/>
          <w:szCs w:val="24"/>
        </w:rPr>
        <w:t>“</w:t>
      </w:r>
      <w:r>
        <w:rPr>
          <w:rFonts w:ascii="Century Gothic" w:eastAsia="Times New Roman" w:hAnsi="Century Gothic" w:cs="Arial"/>
          <w:sz w:val="24"/>
          <w:szCs w:val="24"/>
          <w:lang w:eastAsia="es-CO"/>
        </w:rPr>
        <w:t>P</w:t>
      </w:r>
      <w:r w:rsidRPr="002B279C">
        <w:rPr>
          <w:rFonts w:ascii="Century Gothic" w:eastAsia="Times New Roman" w:hAnsi="Century Gothic" w:cs="Arial"/>
          <w:sz w:val="24"/>
          <w:szCs w:val="24"/>
          <w:lang w:eastAsia="es-CO"/>
        </w:rPr>
        <w:t>or la cual se habilita la adjudicación o el otorgamiento de uso de baldíos en reservas forestales protectoras-productoras y de reserva forestal de la Ley 2ª de 1959, sin sustracción y se dictan otras disposiciones</w:t>
      </w:r>
      <w:r>
        <w:rPr>
          <w:rFonts w:ascii="Century Gothic" w:eastAsia="Times New Roman" w:hAnsi="Century Gothic" w:cs="Arial"/>
          <w:sz w:val="24"/>
          <w:szCs w:val="24"/>
          <w:lang w:eastAsia="es-CO"/>
        </w:rPr>
        <w:t>”.</w:t>
      </w:r>
    </w:p>
    <w:p w:rsidR="002B279C" w:rsidRPr="00B01C6F" w:rsidRDefault="002B279C" w:rsidP="002B279C">
      <w:pPr>
        <w:spacing w:after="0" w:line="360" w:lineRule="auto"/>
        <w:contextualSpacing/>
        <w:jc w:val="both"/>
        <w:rPr>
          <w:rFonts w:ascii="Century Gothic" w:hAnsi="Century Gothic"/>
          <w:i/>
          <w:color w:val="000000"/>
          <w:sz w:val="24"/>
          <w:szCs w:val="24"/>
        </w:rPr>
      </w:pPr>
      <w:r w:rsidRPr="00E57451">
        <w:rPr>
          <w:rFonts w:ascii="Century Gothic" w:hAnsi="Century Gothic"/>
          <w:color w:val="000000"/>
          <w:sz w:val="24"/>
          <w:szCs w:val="24"/>
        </w:rPr>
        <w:t xml:space="preserve">La iniciativa fue publicada en la Gaceta No. 108 de 2017 del Congreso de la República. </w:t>
      </w:r>
    </w:p>
    <w:p w:rsidR="002B279C" w:rsidRPr="003B17C6" w:rsidRDefault="002B279C" w:rsidP="002B279C">
      <w:pPr>
        <w:pStyle w:val="Prrafodelista"/>
        <w:numPr>
          <w:ilvl w:val="0"/>
          <w:numId w:val="16"/>
        </w:numPr>
        <w:spacing w:after="0" w:line="360" w:lineRule="auto"/>
        <w:jc w:val="both"/>
        <w:rPr>
          <w:rFonts w:ascii="Century Gothic" w:hAnsi="Century Gothic"/>
          <w:b/>
          <w:color w:val="000000"/>
          <w:sz w:val="24"/>
          <w:szCs w:val="24"/>
        </w:rPr>
      </w:pPr>
      <w:r w:rsidRPr="003B17C6">
        <w:rPr>
          <w:rFonts w:ascii="Century Gothic" w:hAnsi="Century Gothic"/>
          <w:b/>
          <w:color w:val="000000"/>
          <w:sz w:val="24"/>
          <w:szCs w:val="24"/>
        </w:rPr>
        <w:t xml:space="preserve">EXPOSICIÓN DE MOTIVOS </w:t>
      </w:r>
    </w:p>
    <w:p w:rsidR="002B279C" w:rsidRPr="00E57451" w:rsidRDefault="002B279C" w:rsidP="002B279C">
      <w:pPr>
        <w:spacing w:after="0" w:line="240" w:lineRule="auto"/>
        <w:contextualSpacing/>
        <w:jc w:val="both"/>
        <w:rPr>
          <w:rFonts w:ascii="Century Gothic" w:hAnsi="Century Gothic"/>
          <w:b/>
          <w:color w:val="000000"/>
          <w:sz w:val="24"/>
          <w:szCs w:val="24"/>
        </w:rPr>
      </w:pPr>
    </w:p>
    <w:p w:rsidR="002B279C" w:rsidRPr="003B17C6" w:rsidRDefault="002B279C" w:rsidP="002B279C">
      <w:pPr>
        <w:pStyle w:val="Prrafodelista"/>
        <w:numPr>
          <w:ilvl w:val="1"/>
          <w:numId w:val="16"/>
        </w:numPr>
        <w:spacing w:after="0" w:line="360" w:lineRule="auto"/>
        <w:jc w:val="both"/>
        <w:rPr>
          <w:rFonts w:ascii="Century Gothic" w:hAnsi="Century Gothic"/>
          <w:b/>
          <w:color w:val="000000"/>
          <w:sz w:val="24"/>
          <w:szCs w:val="24"/>
        </w:rPr>
      </w:pPr>
      <w:r>
        <w:rPr>
          <w:rFonts w:ascii="Century Gothic" w:hAnsi="Century Gothic"/>
          <w:b/>
          <w:color w:val="000000"/>
          <w:sz w:val="24"/>
          <w:szCs w:val="24"/>
        </w:rPr>
        <w:t xml:space="preserve"> </w:t>
      </w:r>
      <w:r w:rsidRPr="003B17C6">
        <w:rPr>
          <w:rFonts w:ascii="Century Gothic" w:hAnsi="Century Gothic"/>
          <w:b/>
          <w:color w:val="000000"/>
          <w:sz w:val="24"/>
          <w:szCs w:val="24"/>
        </w:rPr>
        <w:t xml:space="preserve">PROCEDIMIENTO ESPECIAL  </w:t>
      </w:r>
    </w:p>
    <w:p w:rsidR="002B279C" w:rsidRPr="00E57451" w:rsidRDefault="002B279C" w:rsidP="002B279C">
      <w:pPr>
        <w:spacing w:after="0" w:line="240" w:lineRule="auto"/>
        <w:contextualSpacing/>
        <w:jc w:val="both"/>
        <w:rPr>
          <w:rFonts w:ascii="Century Gothic" w:hAnsi="Century Gothic"/>
          <w:b/>
          <w:color w:val="000000"/>
          <w:sz w:val="24"/>
          <w:szCs w:val="24"/>
        </w:rPr>
      </w:pPr>
    </w:p>
    <w:p w:rsidR="002B279C" w:rsidRPr="00E57451" w:rsidRDefault="002B279C" w:rsidP="002B279C">
      <w:pPr>
        <w:spacing w:after="0" w:line="360" w:lineRule="auto"/>
        <w:contextualSpacing/>
        <w:jc w:val="both"/>
        <w:rPr>
          <w:rFonts w:ascii="Century Gothic" w:hAnsi="Century Gothic"/>
          <w:color w:val="000000"/>
          <w:sz w:val="24"/>
          <w:szCs w:val="24"/>
        </w:rPr>
      </w:pPr>
      <w:r w:rsidRPr="00E57451">
        <w:rPr>
          <w:rFonts w:ascii="Century Gothic" w:hAnsi="Century Gothic"/>
          <w:color w:val="000000"/>
          <w:sz w:val="24"/>
          <w:szCs w:val="24"/>
        </w:rPr>
        <w:lastRenderedPageBreak/>
        <w:t xml:space="preserve">Teniendo en cuenta que el trámite que surtirá el Proyecto de Ley en referencia, se realizará de conformidad con lo establecido en el artículo 1ª del Acto Legislativo 01 de 2016, es menester traer a colación los siguientes aspectos: </w:t>
      </w:r>
    </w:p>
    <w:p w:rsidR="002B279C" w:rsidRPr="00E57451" w:rsidRDefault="002B279C" w:rsidP="002B279C">
      <w:pPr>
        <w:spacing w:after="0" w:line="240" w:lineRule="auto"/>
        <w:contextualSpacing/>
        <w:jc w:val="both"/>
        <w:rPr>
          <w:rFonts w:ascii="Century Gothic" w:hAnsi="Century Gothic"/>
          <w:color w:val="000000"/>
          <w:sz w:val="24"/>
          <w:szCs w:val="24"/>
        </w:rPr>
      </w:pPr>
    </w:p>
    <w:p w:rsidR="002B279C" w:rsidRPr="00E57451" w:rsidRDefault="002B279C" w:rsidP="002B279C">
      <w:pPr>
        <w:spacing w:after="0" w:line="360" w:lineRule="auto"/>
        <w:contextualSpacing/>
        <w:jc w:val="both"/>
        <w:rPr>
          <w:rFonts w:ascii="Century Gothic" w:hAnsi="Century Gothic"/>
          <w:sz w:val="24"/>
          <w:szCs w:val="24"/>
        </w:rPr>
      </w:pPr>
      <w:r w:rsidRPr="00E57451">
        <w:rPr>
          <w:rFonts w:ascii="Century Gothic" w:hAnsi="Century Gothic"/>
          <w:color w:val="000000"/>
          <w:sz w:val="24"/>
          <w:szCs w:val="24"/>
        </w:rPr>
        <w:t xml:space="preserve">El 7 de julio de 2016 el Congreso de la República aprobó el Acto Legislativo 01 de 2016 </w:t>
      </w:r>
      <w:r w:rsidRPr="00E57451">
        <w:rPr>
          <w:rFonts w:ascii="Century Gothic" w:hAnsi="Century Gothic"/>
          <w:i/>
          <w:color w:val="000000"/>
          <w:sz w:val="24"/>
          <w:szCs w:val="24"/>
        </w:rPr>
        <w:t>“P</w:t>
      </w:r>
      <w:r w:rsidRPr="00E57451">
        <w:rPr>
          <w:rFonts w:ascii="Century Gothic" w:hAnsi="Century Gothic"/>
          <w:i/>
          <w:sz w:val="24"/>
          <w:szCs w:val="24"/>
        </w:rPr>
        <w:t>or medio del cual se establecen instrumentos jurídicos para facilitar y asegurar la implementación y el desarrollo normativo del acuerdo final para la terminación del conflicto y la construcción de una paz estable y duradera”</w:t>
      </w:r>
      <w:r w:rsidRPr="00E57451">
        <w:rPr>
          <w:rFonts w:ascii="Century Gothic" w:hAnsi="Century Gothic"/>
          <w:sz w:val="24"/>
          <w:szCs w:val="24"/>
        </w:rPr>
        <w:t xml:space="preserve"> que incorpora un procedimiento legislativo especial bajo un trámite preferencial para los Proyecto</w:t>
      </w:r>
      <w:r>
        <w:rPr>
          <w:rFonts w:ascii="Century Gothic" w:hAnsi="Century Gothic"/>
          <w:sz w:val="24"/>
          <w:szCs w:val="24"/>
        </w:rPr>
        <w:t xml:space="preserve">s de Ley y de Acto Legislativo </w:t>
      </w:r>
      <w:r w:rsidRPr="00E57451">
        <w:rPr>
          <w:rFonts w:ascii="Century Gothic" w:hAnsi="Century Gothic"/>
          <w:sz w:val="24"/>
          <w:szCs w:val="24"/>
        </w:rPr>
        <w:t xml:space="preserve">destinados a ejecutar el llamado Acuerdo Final para la Terminación del Conflicto y la Construcción de una Paz Estable y Duradera (Acuerdo Final) con las Farc. </w:t>
      </w:r>
    </w:p>
    <w:p w:rsidR="002B279C" w:rsidRPr="00E57451" w:rsidRDefault="002B279C" w:rsidP="002B279C">
      <w:pPr>
        <w:spacing w:after="0" w:line="240" w:lineRule="auto"/>
        <w:contextualSpacing/>
        <w:jc w:val="both"/>
        <w:rPr>
          <w:rFonts w:ascii="Century Gothic" w:hAnsi="Century Gothic"/>
          <w:sz w:val="24"/>
          <w:szCs w:val="24"/>
        </w:rPr>
      </w:pPr>
    </w:p>
    <w:p w:rsidR="002B279C" w:rsidRPr="00E57451" w:rsidRDefault="002B279C" w:rsidP="002B279C">
      <w:pPr>
        <w:spacing w:after="0" w:line="360" w:lineRule="auto"/>
        <w:contextualSpacing/>
        <w:jc w:val="both"/>
        <w:rPr>
          <w:rFonts w:ascii="Century Gothic" w:hAnsi="Century Gothic"/>
          <w:sz w:val="24"/>
          <w:szCs w:val="24"/>
        </w:rPr>
      </w:pPr>
      <w:r w:rsidRPr="00E57451">
        <w:rPr>
          <w:rFonts w:ascii="Century Gothic" w:hAnsi="Century Gothic"/>
          <w:sz w:val="24"/>
          <w:szCs w:val="24"/>
        </w:rPr>
        <w:t xml:space="preserve">Sin embargo, es relevante tener en cuenta un antecedente que marcó la historia de Colombia, y no precisamente por el hecho de la firma de un Acuerdo, sino, por los graves hechos ilegítimos que se desencadenaron y que hoy ponen en jaque la institucionalidad </w:t>
      </w:r>
      <w:r w:rsidRPr="00E57451">
        <w:rPr>
          <w:rFonts w:ascii="Century Gothic" w:hAnsi="Century Gothic"/>
          <w:sz w:val="24"/>
          <w:szCs w:val="24"/>
        </w:rPr>
        <w:lastRenderedPageBreak/>
        <w:t xml:space="preserve">y el Estado Social y Democrático de Derecho que se constituyó con la Constitución Política de 1991.  El día 26 de septiembre de 2016, se firmó el tan anunciado Acuerdo de Paz con las Farc. </w:t>
      </w:r>
    </w:p>
    <w:p w:rsidR="002B279C" w:rsidRPr="00E57451" w:rsidRDefault="002B279C" w:rsidP="002B279C">
      <w:pPr>
        <w:spacing w:after="0" w:line="240" w:lineRule="auto"/>
        <w:contextualSpacing/>
        <w:jc w:val="both"/>
        <w:rPr>
          <w:rFonts w:ascii="Century Gothic" w:hAnsi="Century Gothic"/>
          <w:sz w:val="24"/>
          <w:szCs w:val="24"/>
        </w:rPr>
      </w:pPr>
    </w:p>
    <w:p w:rsidR="002B279C" w:rsidRPr="00E57451" w:rsidRDefault="002B279C" w:rsidP="002B279C">
      <w:pPr>
        <w:spacing w:after="0" w:line="360" w:lineRule="auto"/>
        <w:contextualSpacing/>
        <w:jc w:val="both"/>
        <w:rPr>
          <w:rFonts w:ascii="Century Gothic" w:hAnsi="Century Gothic"/>
          <w:sz w:val="24"/>
          <w:szCs w:val="24"/>
        </w:rPr>
      </w:pPr>
      <w:r w:rsidRPr="00E57451">
        <w:rPr>
          <w:rFonts w:ascii="Century Gothic" w:hAnsi="Century Gothic"/>
          <w:sz w:val="24"/>
          <w:szCs w:val="24"/>
        </w:rPr>
        <w:t xml:space="preserve">No obstante, en razón al punto 6.6 </w:t>
      </w:r>
      <w:r>
        <w:rPr>
          <w:rFonts w:ascii="Century Gothic" w:hAnsi="Century Gothic"/>
          <w:sz w:val="24"/>
          <w:szCs w:val="24"/>
        </w:rPr>
        <w:t xml:space="preserve">del </w:t>
      </w:r>
      <w:r w:rsidRPr="00E57451">
        <w:rPr>
          <w:rFonts w:ascii="Century Gothic" w:hAnsi="Century Gothic"/>
          <w:i/>
          <w:sz w:val="24"/>
          <w:szCs w:val="24"/>
        </w:rPr>
        <w:t>Acuerdo sobre “Refrendación</w:t>
      </w:r>
      <w:r>
        <w:rPr>
          <w:rFonts w:ascii="Century Gothic" w:hAnsi="Century Gothic"/>
          <w:sz w:val="24"/>
          <w:szCs w:val="24"/>
        </w:rPr>
        <w:t>” se registró</w:t>
      </w:r>
      <w:r w:rsidRPr="00E57451">
        <w:rPr>
          <w:rFonts w:ascii="Century Gothic" w:hAnsi="Century Gothic"/>
          <w:sz w:val="24"/>
          <w:szCs w:val="24"/>
        </w:rPr>
        <w:t xml:space="preserve"> “</w:t>
      </w:r>
      <w:r w:rsidRPr="00E57451">
        <w:rPr>
          <w:rFonts w:ascii="Century Gothic" w:hAnsi="Century Gothic"/>
          <w:i/>
          <w:sz w:val="24"/>
          <w:szCs w:val="24"/>
        </w:rPr>
        <w:t>en esa medida aceptamos el mecanismo de participación popular que la Corte indique y en los términos que este alto tribunal señale</w:t>
      </w:r>
      <w:r w:rsidRPr="00E57451">
        <w:rPr>
          <w:rFonts w:ascii="Century Gothic" w:hAnsi="Century Gothic"/>
          <w:sz w:val="24"/>
          <w:szCs w:val="24"/>
        </w:rPr>
        <w:t xml:space="preserve">” fue así, como el mecanismo de participación que se llevó a instancias democráticas y a someterse a la voluntad del pueblo, fue el Plebiscito, el cual se llevó a cabo el 2 de octubre de 2016, donde el pueblo colombiano negó la refrendación con el voto mayoritario de los ciudadanos, </w:t>
      </w:r>
      <w:r>
        <w:rPr>
          <w:rFonts w:ascii="Century Gothic" w:hAnsi="Century Gothic"/>
          <w:sz w:val="24"/>
          <w:szCs w:val="24"/>
        </w:rPr>
        <w:t>pues</w:t>
      </w:r>
      <w:r w:rsidRPr="00E57451">
        <w:rPr>
          <w:rFonts w:ascii="Century Gothic" w:hAnsi="Century Gothic"/>
          <w:sz w:val="24"/>
          <w:szCs w:val="24"/>
        </w:rPr>
        <w:t xml:space="preserve"> 6.419.759 se manifestaron y rechazaron de manera categórica el Pacto suscrito en su totalidad. </w:t>
      </w:r>
    </w:p>
    <w:p w:rsidR="002B279C" w:rsidRPr="00E57451" w:rsidRDefault="002B279C" w:rsidP="002B279C">
      <w:pPr>
        <w:spacing w:after="0" w:line="240" w:lineRule="auto"/>
        <w:contextualSpacing/>
        <w:jc w:val="both"/>
        <w:rPr>
          <w:rFonts w:ascii="Century Gothic" w:hAnsi="Century Gothic"/>
          <w:sz w:val="24"/>
          <w:szCs w:val="24"/>
        </w:rPr>
      </w:pPr>
    </w:p>
    <w:p w:rsidR="002B279C" w:rsidRDefault="002B279C" w:rsidP="002B279C">
      <w:pPr>
        <w:spacing w:after="0" w:line="360" w:lineRule="auto"/>
        <w:contextualSpacing/>
        <w:jc w:val="both"/>
        <w:rPr>
          <w:rFonts w:ascii="Century Gothic" w:hAnsi="Century Gothic"/>
          <w:sz w:val="24"/>
          <w:szCs w:val="24"/>
        </w:rPr>
      </w:pPr>
      <w:r>
        <w:rPr>
          <w:rFonts w:ascii="Century Gothic" w:hAnsi="Century Gothic"/>
          <w:sz w:val="24"/>
          <w:szCs w:val="24"/>
        </w:rPr>
        <w:t xml:space="preserve">Cabe resaltar que </w:t>
      </w:r>
      <w:r w:rsidRPr="00E57451">
        <w:rPr>
          <w:rFonts w:ascii="Century Gothic" w:hAnsi="Century Gothic"/>
          <w:sz w:val="24"/>
          <w:szCs w:val="24"/>
        </w:rPr>
        <w:t xml:space="preserve">el Gobierno realizó </w:t>
      </w:r>
      <w:r>
        <w:rPr>
          <w:rFonts w:ascii="Century Gothic" w:hAnsi="Century Gothic"/>
          <w:sz w:val="24"/>
          <w:szCs w:val="24"/>
        </w:rPr>
        <w:t>retoques “cosméticos” al Acuerdo, y</w:t>
      </w:r>
      <w:r w:rsidRPr="00E57451">
        <w:rPr>
          <w:rFonts w:ascii="Century Gothic" w:hAnsi="Century Gothic"/>
          <w:sz w:val="24"/>
          <w:szCs w:val="24"/>
        </w:rPr>
        <w:t xml:space="preserve"> en este</w:t>
      </w:r>
      <w:r>
        <w:rPr>
          <w:rFonts w:ascii="Century Gothic" w:hAnsi="Century Gothic"/>
          <w:sz w:val="24"/>
          <w:szCs w:val="24"/>
        </w:rPr>
        <w:t>,</w:t>
      </w:r>
      <w:r w:rsidRPr="00E57451">
        <w:rPr>
          <w:rFonts w:ascii="Century Gothic" w:hAnsi="Century Gothic"/>
          <w:sz w:val="24"/>
          <w:szCs w:val="24"/>
        </w:rPr>
        <w:t xml:space="preserve"> como en tantos procederes reprochables de</w:t>
      </w:r>
      <w:r>
        <w:rPr>
          <w:rFonts w:ascii="Century Gothic" w:hAnsi="Century Gothic"/>
          <w:sz w:val="24"/>
          <w:szCs w:val="24"/>
        </w:rPr>
        <w:t xml:space="preserve">l actual </w:t>
      </w:r>
      <w:r w:rsidRPr="00E57451">
        <w:rPr>
          <w:rFonts w:ascii="Century Gothic" w:hAnsi="Century Gothic"/>
          <w:sz w:val="24"/>
          <w:szCs w:val="24"/>
        </w:rPr>
        <w:t xml:space="preserve">Gobierno, simplemente </w:t>
      </w:r>
      <w:r>
        <w:rPr>
          <w:rFonts w:ascii="Century Gothic" w:hAnsi="Century Gothic"/>
          <w:sz w:val="24"/>
          <w:szCs w:val="24"/>
        </w:rPr>
        <w:t xml:space="preserve">aumentó </w:t>
      </w:r>
      <w:r w:rsidRPr="00E57451">
        <w:rPr>
          <w:rFonts w:ascii="Century Gothic" w:hAnsi="Century Gothic"/>
          <w:sz w:val="24"/>
          <w:szCs w:val="24"/>
        </w:rPr>
        <w:t xml:space="preserve">la extensión del contenido del Acuerdo, </w:t>
      </w:r>
      <w:r>
        <w:rPr>
          <w:rFonts w:ascii="Century Gothic" w:hAnsi="Century Gothic"/>
          <w:sz w:val="24"/>
          <w:szCs w:val="24"/>
        </w:rPr>
        <w:t xml:space="preserve">a cambio de </w:t>
      </w:r>
      <w:r w:rsidRPr="00E57451">
        <w:rPr>
          <w:rFonts w:ascii="Century Gothic" w:hAnsi="Century Gothic"/>
          <w:sz w:val="24"/>
          <w:szCs w:val="24"/>
        </w:rPr>
        <w:t xml:space="preserve">simplificarlo, como lo demandaba el NO, manifestando haber acogido propuestas, </w:t>
      </w:r>
      <w:r>
        <w:rPr>
          <w:rFonts w:ascii="Century Gothic" w:hAnsi="Century Gothic"/>
          <w:sz w:val="24"/>
          <w:szCs w:val="24"/>
        </w:rPr>
        <w:t xml:space="preserve">haber atendido </w:t>
      </w:r>
      <w:r w:rsidRPr="00E57451">
        <w:rPr>
          <w:rFonts w:ascii="Century Gothic" w:hAnsi="Century Gothic"/>
          <w:sz w:val="24"/>
          <w:szCs w:val="24"/>
        </w:rPr>
        <w:t>observacio</w:t>
      </w:r>
      <w:r>
        <w:rPr>
          <w:rFonts w:ascii="Century Gothic" w:hAnsi="Century Gothic"/>
          <w:sz w:val="24"/>
          <w:szCs w:val="24"/>
        </w:rPr>
        <w:t xml:space="preserve">nes y el mandato </w:t>
      </w:r>
      <w:r>
        <w:rPr>
          <w:rFonts w:ascii="Century Gothic" w:hAnsi="Century Gothic"/>
          <w:sz w:val="24"/>
          <w:szCs w:val="24"/>
        </w:rPr>
        <w:lastRenderedPageBreak/>
        <w:t>ciudadano del P</w:t>
      </w:r>
      <w:r w:rsidRPr="00E57451">
        <w:rPr>
          <w:rFonts w:ascii="Century Gothic" w:hAnsi="Century Gothic"/>
          <w:sz w:val="24"/>
          <w:szCs w:val="24"/>
        </w:rPr>
        <w:t xml:space="preserve">lebiscito del 2 de octubre. </w:t>
      </w:r>
      <w:r>
        <w:rPr>
          <w:rFonts w:ascii="Century Gothic" w:hAnsi="Century Gothic"/>
          <w:sz w:val="24"/>
          <w:szCs w:val="24"/>
        </w:rPr>
        <w:t xml:space="preserve">Es decir, no se ocupó de los asuntos de fondo y, por el contrario, mantuvo los temas sustanciales negados por el voto popular. </w:t>
      </w:r>
    </w:p>
    <w:p w:rsidR="002B279C" w:rsidRDefault="002B279C" w:rsidP="002B279C">
      <w:pPr>
        <w:spacing w:after="0" w:line="240" w:lineRule="auto"/>
        <w:contextualSpacing/>
        <w:jc w:val="both"/>
        <w:rPr>
          <w:rFonts w:ascii="Century Gothic" w:hAnsi="Century Gothic"/>
          <w:sz w:val="24"/>
          <w:szCs w:val="24"/>
        </w:rPr>
      </w:pPr>
    </w:p>
    <w:p w:rsidR="002B279C" w:rsidRPr="00E57451" w:rsidRDefault="002B279C" w:rsidP="002B279C">
      <w:pPr>
        <w:spacing w:after="0" w:line="360" w:lineRule="auto"/>
        <w:contextualSpacing/>
        <w:jc w:val="both"/>
        <w:rPr>
          <w:rFonts w:ascii="Century Gothic" w:hAnsi="Century Gothic"/>
          <w:sz w:val="24"/>
          <w:szCs w:val="24"/>
        </w:rPr>
      </w:pPr>
      <w:r w:rsidRPr="00E57451">
        <w:rPr>
          <w:rFonts w:ascii="Century Gothic" w:hAnsi="Century Gothic"/>
          <w:sz w:val="24"/>
          <w:szCs w:val="24"/>
        </w:rPr>
        <w:t xml:space="preserve">Posteriormente, </w:t>
      </w:r>
      <w:r>
        <w:rPr>
          <w:rFonts w:ascii="Century Gothic" w:hAnsi="Century Gothic"/>
          <w:sz w:val="24"/>
          <w:szCs w:val="24"/>
        </w:rPr>
        <w:t xml:space="preserve">el Gobierno llevó a cabo </w:t>
      </w:r>
      <w:r w:rsidRPr="00E57451">
        <w:rPr>
          <w:rFonts w:ascii="Century Gothic" w:hAnsi="Century Gothic"/>
          <w:sz w:val="24"/>
          <w:szCs w:val="24"/>
        </w:rPr>
        <w:t xml:space="preserve">una segunda escenografía de firma del </w:t>
      </w:r>
      <w:r>
        <w:rPr>
          <w:rFonts w:ascii="Century Gothic" w:hAnsi="Century Gothic"/>
          <w:sz w:val="24"/>
          <w:szCs w:val="24"/>
        </w:rPr>
        <w:t>A</w:t>
      </w:r>
      <w:r w:rsidRPr="00E57451">
        <w:rPr>
          <w:rFonts w:ascii="Century Gothic" w:hAnsi="Century Gothic"/>
          <w:sz w:val="24"/>
          <w:szCs w:val="24"/>
        </w:rPr>
        <w:t xml:space="preserve">cuerdo, </w:t>
      </w:r>
      <w:r>
        <w:rPr>
          <w:rFonts w:ascii="Century Gothic" w:hAnsi="Century Gothic"/>
          <w:sz w:val="24"/>
          <w:szCs w:val="24"/>
        </w:rPr>
        <w:t>en el teatro Coló</w:t>
      </w:r>
      <w:r w:rsidRPr="00E57451">
        <w:rPr>
          <w:rFonts w:ascii="Century Gothic" w:hAnsi="Century Gothic"/>
          <w:sz w:val="24"/>
          <w:szCs w:val="24"/>
        </w:rPr>
        <w:t xml:space="preserve">n de la ciudad de Bogotá D.C, el 24 de noviembre de 2016. </w:t>
      </w:r>
    </w:p>
    <w:p w:rsidR="002B279C" w:rsidRDefault="002B279C" w:rsidP="002B279C">
      <w:pPr>
        <w:spacing w:after="0" w:line="240" w:lineRule="auto"/>
        <w:contextualSpacing/>
        <w:jc w:val="both"/>
        <w:rPr>
          <w:rFonts w:ascii="Century Gothic" w:hAnsi="Century Gothic"/>
          <w:sz w:val="24"/>
          <w:szCs w:val="24"/>
        </w:rPr>
      </w:pPr>
    </w:p>
    <w:p w:rsidR="002B279C" w:rsidRPr="00E57451" w:rsidRDefault="002B279C" w:rsidP="002B279C">
      <w:pPr>
        <w:spacing w:after="0" w:line="360" w:lineRule="auto"/>
        <w:contextualSpacing/>
        <w:jc w:val="both"/>
        <w:rPr>
          <w:rFonts w:ascii="Century Gothic" w:hAnsi="Century Gothic"/>
          <w:sz w:val="24"/>
          <w:szCs w:val="24"/>
        </w:rPr>
      </w:pPr>
      <w:r w:rsidRPr="00E57451">
        <w:rPr>
          <w:rFonts w:ascii="Century Gothic" w:hAnsi="Century Gothic"/>
          <w:sz w:val="24"/>
          <w:szCs w:val="24"/>
        </w:rPr>
        <w:t>Bajo estos antecedentes y teniendo en cuenta que “</w:t>
      </w:r>
      <w:r w:rsidRPr="00E57451">
        <w:rPr>
          <w:rFonts w:ascii="Century Gothic" w:hAnsi="Century Gothic"/>
          <w:i/>
          <w:sz w:val="24"/>
          <w:szCs w:val="24"/>
        </w:rPr>
        <w:t>El ejercicio del voto constituye una manifestación de la libertad individual</w:t>
      </w:r>
      <w:r w:rsidRPr="00E57451">
        <w:rPr>
          <w:rFonts w:ascii="Century Gothic" w:hAnsi="Century Gothic"/>
          <w:sz w:val="24"/>
          <w:szCs w:val="24"/>
        </w:rPr>
        <w:t>” que “</w:t>
      </w:r>
      <w:r w:rsidRPr="00E57451">
        <w:rPr>
          <w:rFonts w:ascii="Century Gothic" w:hAnsi="Century Gothic"/>
          <w:i/>
          <w:sz w:val="24"/>
          <w:szCs w:val="24"/>
        </w:rPr>
        <w:t>implica, que la decisión contenida en el voto sea respetada</w:t>
      </w:r>
      <w:r>
        <w:rPr>
          <w:rFonts w:ascii="Century Gothic" w:hAnsi="Century Gothic"/>
          <w:sz w:val="24"/>
          <w:szCs w:val="24"/>
        </w:rPr>
        <w:t>”</w:t>
      </w:r>
      <w:r>
        <w:rPr>
          <w:rStyle w:val="Refdenotaalpie"/>
          <w:rFonts w:ascii="Century Gothic" w:hAnsi="Century Gothic"/>
          <w:sz w:val="24"/>
          <w:szCs w:val="24"/>
        </w:rPr>
        <w:footnoteReference w:id="1"/>
      </w:r>
      <w:r>
        <w:rPr>
          <w:rFonts w:ascii="Century Gothic" w:hAnsi="Century Gothic"/>
          <w:sz w:val="24"/>
          <w:szCs w:val="24"/>
        </w:rPr>
        <w:t>,</w:t>
      </w:r>
      <w:r w:rsidRPr="00E57451">
        <w:rPr>
          <w:rFonts w:ascii="Century Gothic" w:hAnsi="Century Gothic"/>
          <w:sz w:val="24"/>
          <w:szCs w:val="24"/>
        </w:rPr>
        <w:t xml:space="preserve"> se logra inferir ante las actuaciones del Gobierno, un considerable desconocimiento, que genera como consecuencia</w:t>
      </w:r>
      <w:r>
        <w:rPr>
          <w:rFonts w:ascii="Century Gothic" w:hAnsi="Century Gothic"/>
          <w:sz w:val="24"/>
          <w:szCs w:val="24"/>
        </w:rPr>
        <w:t>,</w:t>
      </w:r>
      <w:r w:rsidRPr="00E57451">
        <w:rPr>
          <w:rFonts w:ascii="Century Gothic" w:hAnsi="Century Gothic"/>
          <w:sz w:val="24"/>
          <w:szCs w:val="24"/>
        </w:rPr>
        <w:t xml:space="preserve"> que todas las actuaciones que se realicen se hagan sobre la base de hechos ilegítimos e ilegales al desatender este mandato. </w:t>
      </w:r>
    </w:p>
    <w:p w:rsidR="002B279C" w:rsidRPr="00E57451" w:rsidRDefault="002B279C" w:rsidP="002B279C">
      <w:pPr>
        <w:spacing w:after="0" w:line="240" w:lineRule="auto"/>
        <w:contextualSpacing/>
        <w:jc w:val="both"/>
        <w:rPr>
          <w:rFonts w:ascii="Century Gothic" w:hAnsi="Century Gothic"/>
          <w:sz w:val="24"/>
          <w:szCs w:val="24"/>
        </w:rPr>
      </w:pPr>
    </w:p>
    <w:p w:rsidR="002B279C" w:rsidRDefault="002B279C" w:rsidP="002B279C">
      <w:pPr>
        <w:spacing w:after="0" w:line="360" w:lineRule="auto"/>
        <w:contextualSpacing/>
        <w:jc w:val="both"/>
        <w:rPr>
          <w:rFonts w:ascii="Century Gothic" w:hAnsi="Century Gothic"/>
          <w:sz w:val="24"/>
          <w:szCs w:val="24"/>
        </w:rPr>
      </w:pPr>
      <w:r>
        <w:rPr>
          <w:rFonts w:ascii="Century Gothic" w:hAnsi="Century Gothic"/>
          <w:sz w:val="24"/>
          <w:szCs w:val="24"/>
        </w:rPr>
        <w:t>Así mismo</w:t>
      </w:r>
      <w:r w:rsidRPr="00E57451">
        <w:rPr>
          <w:rFonts w:ascii="Century Gothic" w:hAnsi="Century Gothic"/>
          <w:sz w:val="24"/>
          <w:szCs w:val="24"/>
        </w:rPr>
        <w:t xml:space="preserve">, desconociendo la voluntad popular y el valor que representa el ejercicio voluntario del voto y el derecho fundamental que constituye, el Gobierno en su proceder </w:t>
      </w:r>
      <w:r w:rsidRPr="00E57451">
        <w:rPr>
          <w:rFonts w:ascii="Century Gothic" w:hAnsi="Century Gothic"/>
          <w:sz w:val="24"/>
          <w:szCs w:val="24"/>
        </w:rPr>
        <w:lastRenderedPageBreak/>
        <w:t>censurable</w:t>
      </w:r>
      <w:r>
        <w:rPr>
          <w:rFonts w:ascii="Century Gothic" w:hAnsi="Century Gothic"/>
          <w:sz w:val="24"/>
          <w:szCs w:val="24"/>
        </w:rPr>
        <w:t xml:space="preserve">, y aludiendo estar cumpliendo con lo establecido por la Corte Constitucional en la Sentencia C-699 del 13 de diciembre de 2016, M.P María Victoria Calle Correa, </w:t>
      </w:r>
      <w:r w:rsidRPr="00E57451">
        <w:rPr>
          <w:rFonts w:ascii="Century Gothic" w:hAnsi="Century Gothic"/>
          <w:sz w:val="24"/>
          <w:szCs w:val="24"/>
        </w:rPr>
        <w:t>solicitó al Congreso que, mediante una proposición le aprobaran lo que el pueblo en su manifestación constitucional y leg</w:t>
      </w:r>
      <w:r>
        <w:rPr>
          <w:rFonts w:ascii="Century Gothic" w:hAnsi="Century Gothic"/>
          <w:sz w:val="24"/>
          <w:szCs w:val="24"/>
        </w:rPr>
        <w:t>í</w:t>
      </w:r>
      <w:r w:rsidRPr="00E57451">
        <w:rPr>
          <w:rFonts w:ascii="Century Gothic" w:hAnsi="Century Gothic"/>
          <w:sz w:val="24"/>
          <w:szCs w:val="24"/>
        </w:rPr>
        <w:t xml:space="preserve">tima, le había negado. De esta manera, remplazó el pronunciamiento popular, y lo sustituyó con una diligencia protocolaria y leguleya. Siendo menester recordar, que una de las cámaras, el Senado de la Republica, se abstuvo de aprobar la proposición. </w:t>
      </w:r>
    </w:p>
    <w:p w:rsidR="002B279C" w:rsidRDefault="002B279C" w:rsidP="002B279C">
      <w:pPr>
        <w:spacing w:after="0" w:line="240" w:lineRule="auto"/>
        <w:contextualSpacing/>
        <w:jc w:val="both"/>
        <w:rPr>
          <w:rFonts w:ascii="Century Gothic" w:hAnsi="Century Gothic"/>
          <w:sz w:val="24"/>
          <w:szCs w:val="24"/>
        </w:rPr>
      </w:pPr>
    </w:p>
    <w:p w:rsidR="002B279C" w:rsidRPr="008F0A8C" w:rsidRDefault="002B279C" w:rsidP="002B279C">
      <w:pPr>
        <w:spacing w:after="0" w:line="360" w:lineRule="auto"/>
        <w:contextualSpacing/>
        <w:jc w:val="both"/>
        <w:rPr>
          <w:rFonts w:ascii="Century Gothic" w:hAnsi="Century Gothic"/>
          <w:color w:val="000000" w:themeColor="text1"/>
          <w:sz w:val="24"/>
          <w:szCs w:val="24"/>
        </w:rPr>
      </w:pPr>
      <w:r w:rsidRPr="008F0A8C">
        <w:rPr>
          <w:rFonts w:ascii="Century Gothic" w:hAnsi="Century Gothic"/>
          <w:color w:val="000000" w:themeColor="text1"/>
          <w:sz w:val="24"/>
          <w:szCs w:val="24"/>
        </w:rPr>
        <w:t>Así las cosas, con este proyecto se genera un quebrantamiento del Estado Social y Democrático de Derecho, no solo por devenir de hechos ilegítimos, sino también por ser tramitado bajo un procedimiento especial inconstitucional, como quiera que:</w:t>
      </w:r>
    </w:p>
    <w:p w:rsidR="002B279C" w:rsidRPr="008F0A8C" w:rsidRDefault="002B279C" w:rsidP="002B279C">
      <w:pPr>
        <w:spacing w:after="0" w:line="240" w:lineRule="auto"/>
        <w:contextualSpacing/>
        <w:jc w:val="both"/>
        <w:rPr>
          <w:rFonts w:ascii="Century Gothic" w:hAnsi="Century Gothic"/>
          <w:color w:val="000000" w:themeColor="text1"/>
          <w:sz w:val="24"/>
          <w:szCs w:val="24"/>
        </w:rPr>
      </w:pPr>
    </w:p>
    <w:p w:rsidR="002B279C" w:rsidRPr="008F0A8C" w:rsidRDefault="002B279C" w:rsidP="002B279C">
      <w:pPr>
        <w:pStyle w:val="Prrafodelista"/>
        <w:numPr>
          <w:ilvl w:val="0"/>
          <w:numId w:val="17"/>
        </w:numPr>
        <w:spacing w:after="0" w:line="360" w:lineRule="auto"/>
        <w:jc w:val="both"/>
        <w:rPr>
          <w:rFonts w:ascii="Century Gothic" w:hAnsi="Century Gothic"/>
          <w:color w:val="000000" w:themeColor="text1"/>
          <w:sz w:val="24"/>
          <w:szCs w:val="24"/>
        </w:rPr>
      </w:pPr>
      <w:r w:rsidRPr="008F0A8C">
        <w:rPr>
          <w:rFonts w:ascii="Century Gothic" w:hAnsi="Century Gothic"/>
          <w:color w:val="000000" w:themeColor="text1"/>
          <w:sz w:val="24"/>
          <w:szCs w:val="24"/>
        </w:rPr>
        <w:t>Los proyectos de ley y de acto legislativo tramitados mediante el Procedimiento Legislativo Especial</w:t>
      </w:r>
      <w:r w:rsidRPr="008F0A8C">
        <w:rPr>
          <w:rFonts w:ascii="Century Gothic" w:hAnsi="Century Gothic"/>
          <w:b/>
          <w:color w:val="000000" w:themeColor="text1"/>
          <w:sz w:val="24"/>
          <w:szCs w:val="24"/>
        </w:rPr>
        <w:t>, serán de iniciativa exclusiva del Gobierno Nacional</w:t>
      </w:r>
      <w:r w:rsidRPr="008F0A8C">
        <w:rPr>
          <w:rFonts w:ascii="Century Gothic" w:hAnsi="Century Gothic"/>
          <w:color w:val="000000" w:themeColor="text1"/>
          <w:sz w:val="24"/>
          <w:szCs w:val="24"/>
        </w:rPr>
        <w:t xml:space="preserve">, trasgrediendo esta limitación, específicamente los artículos 154 y 375 de la Constitución Política de 1991, los cuales indican: </w:t>
      </w:r>
    </w:p>
    <w:p w:rsidR="002B279C" w:rsidRPr="008F0A8C" w:rsidRDefault="002B279C" w:rsidP="002B279C">
      <w:pPr>
        <w:pStyle w:val="Prrafodelista"/>
        <w:spacing w:after="0" w:line="240" w:lineRule="auto"/>
        <w:jc w:val="both"/>
        <w:rPr>
          <w:rFonts w:ascii="Century Gothic" w:hAnsi="Century Gothic"/>
          <w:color w:val="000000" w:themeColor="text1"/>
          <w:sz w:val="24"/>
          <w:szCs w:val="24"/>
        </w:rPr>
      </w:pPr>
    </w:p>
    <w:p w:rsidR="002B279C" w:rsidRPr="008F0A8C" w:rsidRDefault="002B279C" w:rsidP="002B279C">
      <w:pPr>
        <w:spacing w:after="0" w:line="360" w:lineRule="auto"/>
        <w:ind w:right="49"/>
        <w:contextualSpacing/>
        <w:jc w:val="both"/>
        <w:rPr>
          <w:rFonts w:ascii="Century Gothic" w:hAnsi="Century Gothic"/>
          <w:color w:val="000000" w:themeColor="text1"/>
          <w:sz w:val="24"/>
          <w:szCs w:val="24"/>
        </w:rPr>
      </w:pPr>
      <w:r w:rsidRPr="008F0A8C">
        <w:rPr>
          <w:rFonts w:ascii="Century Gothic" w:hAnsi="Century Gothic"/>
          <w:color w:val="000000" w:themeColor="text1"/>
          <w:sz w:val="24"/>
          <w:szCs w:val="24"/>
        </w:rPr>
        <w:t xml:space="preserve">Artículo 154. </w:t>
      </w:r>
      <w:r w:rsidRPr="008F0A8C">
        <w:rPr>
          <w:rFonts w:ascii="Century Gothic" w:hAnsi="Century Gothic"/>
          <w:b/>
          <w:i/>
          <w:color w:val="000000" w:themeColor="text1"/>
          <w:sz w:val="24"/>
          <w:szCs w:val="24"/>
        </w:rPr>
        <w:t>Las leyes pueden tener origen en cualquiera de las Cámaras a propuesta de sus respectivos miembros</w:t>
      </w:r>
      <w:r w:rsidRPr="008F0A8C">
        <w:rPr>
          <w:rFonts w:ascii="Century Gothic" w:hAnsi="Century Gothic"/>
          <w:i/>
          <w:color w:val="000000" w:themeColor="text1"/>
          <w:sz w:val="24"/>
          <w:szCs w:val="24"/>
        </w:rPr>
        <w:t xml:space="preserve">, del Gobierno nacional, </w:t>
      </w:r>
      <w:r w:rsidRPr="008F0A8C">
        <w:rPr>
          <w:rFonts w:ascii="Century Gothic" w:hAnsi="Century Gothic"/>
          <w:b/>
          <w:i/>
          <w:color w:val="000000" w:themeColor="text1"/>
          <w:sz w:val="24"/>
          <w:szCs w:val="24"/>
        </w:rPr>
        <w:t xml:space="preserve">de las entidades señaladas en el artículo 156, o por </w:t>
      </w:r>
      <w:r w:rsidRPr="008F0A8C">
        <w:rPr>
          <w:rFonts w:ascii="Century Gothic" w:hAnsi="Century Gothic"/>
          <w:color w:val="000000" w:themeColor="text1"/>
          <w:sz w:val="24"/>
          <w:szCs w:val="24"/>
        </w:rPr>
        <w:t>iniciativa popular en los casos previstos en la Constitución. (…)</w:t>
      </w:r>
      <w:r w:rsidRPr="003338EF">
        <w:rPr>
          <w:rFonts w:ascii="Century Gothic" w:hAnsi="Century Gothic"/>
          <w:color w:val="000000" w:themeColor="text1"/>
          <w:sz w:val="24"/>
          <w:szCs w:val="24"/>
        </w:rPr>
        <w:t>(Negrilla fuera de texto)</w:t>
      </w:r>
    </w:p>
    <w:p w:rsidR="002B279C" w:rsidRPr="008F0A8C" w:rsidRDefault="002B279C" w:rsidP="002B279C">
      <w:pPr>
        <w:spacing w:after="0" w:line="240" w:lineRule="auto"/>
        <w:ind w:right="49"/>
        <w:contextualSpacing/>
        <w:jc w:val="both"/>
        <w:rPr>
          <w:rFonts w:ascii="Century Gothic" w:hAnsi="Century Gothic"/>
          <w:color w:val="000000" w:themeColor="text1"/>
          <w:sz w:val="24"/>
          <w:szCs w:val="24"/>
        </w:rPr>
      </w:pPr>
    </w:p>
    <w:p w:rsidR="002B279C" w:rsidRPr="008F0A8C" w:rsidRDefault="002B279C" w:rsidP="002B279C">
      <w:pPr>
        <w:spacing w:after="0" w:line="360" w:lineRule="auto"/>
        <w:ind w:right="49"/>
        <w:contextualSpacing/>
        <w:jc w:val="both"/>
        <w:rPr>
          <w:rFonts w:ascii="Century Gothic" w:hAnsi="Century Gothic"/>
          <w:i/>
          <w:color w:val="000000" w:themeColor="text1"/>
          <w:sz w:val="24"/>
          <w:szCs w:val="24"/>
        </w:rPr>
      </w:pPr>
      <w:r w:rsidRPr="008F0A8C">
        <w:rPr>
          <w:rFonts w:ascii="Century Gothic" w:hAnsi="Century Gothic"/>
          <w:color w:val="000000" w:themeColor="text1"/>
          <w:sz w:val="24"/>
          <w:szCs w:val="24"/>
        </w:rPr>
        <w:t xml:space="preserve">Artículo 375.  </w:t>
      </w:r>
      <w:r w:rsidRPr="008F0A8C">
        <w:rPr>
          <w:rFonts w:ascii="Century Gothic" w:hAnsi="Century Gothic"/>
          <w:b/>
          <w:i/>
          <w:color w:val="000000" w:themeColor="text1"/>
          <w:sz w:val="24"/>
          <w:szCs w:val="24"/>
        </w:rPr>
        <w:t>Podrán presentar proyectos de acto legislativo</w:t>
      </w:r>
      <w:r w:rsidRPr="008F0A8C">
        <w:rPr>
          <w:rFonts w:ascii="Century Gothic" w:hAnsi="Century Gothic"/>
          <w:i/>
          <w:color w:val="000000" w:themeColor="text1"/>
          <w:sz w:val="24"/>
          <w:szCs w:val="24"/>
        </w:rPr>
        <w:t xml:space="preserve"> el Gobierno, </w:t>
      </w:r>
      <w:r w:rsidRPr="008F0A8C">
        <w:rPr>
          <w:rFonts w:ascii="Century Gothic" w:hAnsi="Century Gothic"/>
          <w:b/>
          <w:i/>
          <w:color w:val="000000" w:themeColor="text1"/>
          <w:sz w:val="24"/>
          <w:szCs w:val="24"/>
        </w:rPr>
        <w:t xml:space="preserve">diez miembros del Congreso, </w:t>
      </w:r>
      <w:r w:rsidRPr="008F0A8C">
        <w:rPr>
          <w:rFonts w:ascii="Century Gothic" w:hAnsi="Century Gothic"/>
          <w:i/>
          <w:color w:val="000000" w:themeColor="text1"/>
          <w:sz w:val="24"/>
          <w:szCs w:val="24"/>
        </w:rPr>
        <w:t>el veinte por ciento de los concejales o de los diputados y los ciudadanos en un número equivalente al menos, al cinco por ciento del censo electoral vigente. (…)</w:t>
      </w:r>
      <w:r>
        <w:rPr>
          <w:rFonts w:ascii="Century Gothic" w:hAnsi="Century Gothic"/>
          <w:i/>
          <w:color w:val="000000" w:themeColor="text1"/>
          <w:sz w:val="24"/>
          <w:szCs w:val="24"/>
        </w:rPr>
        <w:t xml:space="preserve"> </w:t>
      </w:r>
      <w:r w:rsidRPr="003338EF">
        <w:rPr>
          <w:rFonts w:ascii="Century Gothic" w:hAnsi="Century Gothic"/>
          <w:color w:val="000000" w:themeColor="text1"/>
          <w:sz w:val="24"/>
          <w:szCs w:val="24"/>
        </w:rPr>
        <w:t>(Negrilla fuera de texto)</w:t>
      </w:r>
    </w:p>
    <w:p w:rsidR="002B279C" w:rsidRPr="008F0A8C" w:rsidRDefault="002B279C" w:rsidP="002B279C">
      <w:pPr>
        <w:spacing w:after="0" w:line="240" w:lineRule="auto"/>
        <w:contextualSpacing/>
        <w:jc w:val="both"/>
        <w:rPr>
          <w:rFonts w:ascii="Century Gothic" w:hAnsi="Century Gothic"/>
          <w:i/>
          <w:color w:val="000000" w:themeColor="text1"/>
          <w:sz w:val="24"/>
          <w:szCs w:val="24"/>
        </w:rPr>
      </w:pPr>
    </w:p>
    <w:p w:rsidR="002B279C" w:rsidRPr="008F0A8C" w:rsidRDefault="002B279C" w:rsidP="002B279C">
      <w:pPr>
        <w:spacing w:after="0" w:line="360" w:lineRule="auto"/>
        <w:contextualSpacing/>
        <w:jc w:val="both"/>
        <w:rPr>
          <w:rFonts w:ascii="Century Gothic" w:hAnsi="Century Gothic"/>
          <w:color w:val="000000" w:themeColor="text1"/>
          <w:sz w:val="24"/>
          <w:szCs w:val="24"/>
        </w:rPr>
      </w:pPr>
      <w:r w:rsidRPr="008F0A8C">
        <w:rPr>
          <w:rFonts w:ascii="Century Gothic" w:hAnsi="Century Gothic"/>
          <w:color w:val="000000" w:themeColor="text1"/>
          <w:sz w:val="24"/>
          <w:szCs w:val="24"/>
        </w:rPr>
        <w:t>Lo anterior permite colegir, que resulta contrario a derecho limitar</w:t>
      </w:r>
      <w:r w:rsidRPr="008F0A8C">
        <w:rPr>
          <w:rFonts w:ascii="Century Gothic" w:hAnsi="Century Gothic" w:cs="Arial"/>
          <w:color w:val="000000" w:themeColor="text1"/>
          <w:sz w:val="24"/>
          <w:szCs w:val="24"/>
        </w:rPr>
        <w:t xml:space="preserve"> la facultad constitucional otorgada al Congreso, de presentar proyectos de ley o de acto legislativo, y es más grave aun cuando esta restricción se aplica dentro de un trámite especial, en el que se está implementando un acuerdo entre el Gobierno Nacional y un grupo subversivo (FARC), que requeriría de una participación activa del Legislativo, al ser el órgano idóneo </w:t>
      </w:r>
      <w:r w:rsidRPr="008F0A8C">
        <w:rPr>
          <w:rFonts w:ascii="Century Gothic" w:hAnsi="Century Gothic" w:cs="Arial"/>
          <w:color w:val="000000" w:themeColor="text1"/>
          <w:sz w:val="24"/>
          <w:szCs w:val="24"/>
        </w:rPr>
        <w:lastRenderedPageBreak/>
        <w:t xml:space="preserve">y competente para presentar iniciativas que permitan enriquecer y </w:t>
      </w:r>
      <w:r w:rsidRPr="008F0A8C">
        <w:rPr>
          <w:rFonts w:ascii="Century Gothic" w:hAnsi="Century Gothic"/>
          <w:color w:val="000000" w:themeColor="text1"/>
          <w:sz w:val="24"/>
          <w:szCs w:val="24"/>
        </w:rPr>
        <w:t xml:space="preserve">perfeccionar lo acordado. </w:t>
      </w:r>
    </w:p>
    <w:p w:rsidR="002B279C" w:rsidRPr="008F0A8C" w:rsidRDefault="002B279C" w:rsidP="002B279C">
      <w:pPr>
        <w:spacing w:after="0" w:line="240" w:lineRule="auto"/>
        <w:contextualSpacing/>
        <w:jc w:val="both"/>
        <w:rPr>
          <w:rFonts w:ascii="Century Gothic" w:hAnsi="Century Gothic"/>
          <w:color w:val="000000" w:themeColor="text1"/>
          <w:sz w:val="24"/>
          <w:szCs w:val="24"/>
        </w:rPr>
      </w:pPr>
    </w:p>
    <w:p w:rsidR="002B279C" w:rsidRPr="008F0A8C" w:rsidRDefault="002B279C" w:rsidP="002B279C">
      <w:pPr>
        <w:pStyle w:val="Prrafodelista"/>
        <w:numPr>
          <w:ilvl w:val="0"/>
          <w:numId w:val="17"/>
        </w:numPr>
        <w:spacing w:after="0" w:line="360" w:lineRule="auto"/>
        <w:jc w:val="both"/>
        <w:rPr>
          <w:rFonts w:ascii="Century Gothic" w:hAnsi="Century Gothic"/>
          <w:color w:val="000000" w:themeColor="text1"/>
          <w:sz w:val="24"/>
          <w:szCs w:val="24"/>
        </w:rPr>
      </w:pPr>
      <w:r w:rsidRPr="008F0A8C">
        <w:rPr>
          <w:rFonts w:ascii="Century Gothic" w:hAnsi="Century Gothic"/>
          <w:color w:val="000000" w:themeColor="text1"/>
          <w:sz w:val="24"/>
          <w:szCs w:val="24"/>
        </w:rPr>
        <w:t>Se</w:t>
      </w:r>
      <w:r w:rsidRPr="008F0A8C">
        <w:rPr>
          <w:rFonts w:ascii="Century Gothic" w:hAnsi="Century Gothic" w:cs="Arial"/>
          <w:b/>
          <w:color w:val="000000" w:themeColor="text1"/>
          <w:sz w:val="24"/>
          <w:szCs w:val="24"/>
          <w:shd w:val="clear" w:color="auto" w:fill="FFFFFF"/>
        </w:rPr>
        <w:t xml:space="preserve"> traslada al ejecutivo el poder de manejo de la agenda del Congreso</w:t>
      </w:r>
      <w:r w:rsidRPr="008F0A8C">
        <w:rPr>
          <w:rFonts w:ascii="Century Gothic" w:hAnsi="Century Gothic"/>
          <w:b/>
          <w:color w:val="000000" w:themeColor="text1"/>
          <w:sz w:val="24"/>
          <w:szCs w:val="24"/>
        </w:rPr>
        <w:t xml:space="preserve">, </w:t>
      </w:r>
      <w:r w:rsidRPr="008F0A8C">
        <w:rPr>
          <w:rFonts w:ascii="Century Gothic" w:hAnsi="Century Gothic"/>
          <w:color w:val="000000" w:themeColor="text1"/>
          <w:sz w:val="24"/>
          <w:szCs w:val="24"/>
        </w:rPr>
        <w:t>aspecto que</w:t>
      </w:r>
      <w:r w:rsidRPr="008F0A8C">
        <w:rPr>
          <w:rFonts w:ascii="Century Gothic" w:hAnsi="Century Gothic"/>
          <w:b/>
          <w:color w:val="000000" w:themeColor="text1"/>
          <w:sz w:val="24"/>
          <w:szCs w:val="24"/>
        </w:rPr>
        <w:t xml:space="preserve"> </w:t>
      </w:r>
      <w:r w:rsidRPr="008F0A8C">
        <w:rPr>
          <w:rFonts w:ascii="Century Gothic" w:hAnsi="Century Gothic"/>
          <w:color w:val="000000" w:themeColor="text1"/>
          <w:sz w:val="24"/>
          <w:szCs w:val="24"/>
        </w:rPr>
        <w:t xml:space="preserve">quebranta la autonomía del Legislativo, al establecerse no solo que los proyectos de ley y de acto legislativo tramitados mediante el procedimiento especial para la paz tendrán un trámite preferente, sino que además, tendrán prelación en el orden del día sobre cualquier otro asunto, hasta tanto la respectiva Cámara o Comisión decida sobre él, </w:t>
      </w:r>
      <w:r w:rsidRPr="008F0A8C">
        <w:rPr>
          <w:rFonts w:ascii="Century Gothic" w:hAnsi="Century Gothic"/>
          <w:bCs/>
          <w:color w:val="000000" w:themeColor="text1"/>
          <w:sz w:val="24"/>
          <w:szCs w:val="24"/>
        </w:rPr>
        <w:t>restringiendo esta facultad del ejecutivo, la capacidad decisoria del Congreso de la República</w:t>
      </w:r>
      <w:r w:rsidRPr="008F0A8C">
        <w:rPr>
          <w:rFonts w:ascii="Century Gothic" w:hAnsi="Century Gothic"/>
          <w:color w:val="000000" w:themeColor="text1"/>
          <w:sz w:val="24"/>
          <w:szCs w:val="24"/>
        </w:rPr>
        <w:t>.</w:t>
      </w:r>
    </w:p>
    <w:p w:rsidR="002B279C" w:rsidRPr="008F0A8C" w:rsidRDefault="002B279C" w:rsidP="002B279C">
      <w:pPr>
        <w:pStyle w:val="Prrafodelista"/>
        <w:spacing w:after="0" w:line="240" w:lineRule="auto"/>
        <w:jc w:val="both"/>
        <w:rPr>
          <w:rFonts w:ascii="Century Gothic" w:hAnsi="Century Gothic"/>
          <w:color w:val="000000" w:themeColor="text1"/>
          <w:sz w:val="24"/>
          <w:szCs w:val="24"/>
        </w:rPr>
      </w:pPr>
    </w:p>
    <w:p w:rsidR="002B279C" w:rsidRPr="008F0A8C" w:rsidRDefault="002B279C" w:rsidP="002B279C">
      <w:pPr>
        <w:pStyle w:val="Prrafodelista"/>
        <w:numPr>
          <w:ilvl w:val="0"/>
          <w:numId w:val="17"/>
        </w:numPr>
        <w:spacing w:after="0" w:line="360" w:lineRule="auto"/>
        <w:ind w:right="49"/>
        <w:jc w:val="both"/>
        <w:rPr>
          <w:rFonts w:ascii="Century Gothic" w:hAnsi="Century Gothic"/>
          <w:i/>
          <w:color w:val="000000" w:themeColor="text1"/>
          <w:sz w:val="24"/>
          <w:szCs w:val="24"/>
        </w:rPr>
      </w:pPr>
      <w:r w:rsidRPr="008F0A8C">
        <w:rPr>
          <w:rFonts w:ascii="Century Gothic" w:hAnsi="Century Gothic"/>
          <w:b/>
          <w:color w:val="000000" w:themeColor="text1"/>
          <w:sz w:val="24"/>
          <w:szCs w:val="24"/>
        </w:rPr>
        <w:t>Se reduce el trámite de los actos reformatorios de la Constitución</w:t>
      </w:r>
      <w:r w:rsidRPr="008F0A8C">
        <w:rPr>
          <w:rFonts w:ascii="Century Gothic" w:hAnsi="Century Gothic"/>
          <w:color w:val="000000" w:themeColor="text1"/>
          <w:sz w:val="24"/>
          <w:szCs w:val="24"/>
        </w:rPr>
        <w:t xml:space="preserve">, equiparándolos a leyes ordinarias, quebrantando este hecho específicamente el artículo 375 de la Constitución Política, el cual </w:t>
      </w:r>
      <w:r w:rsidRPr="008F0A8C">
        <w:rPr>
          <w:rFonts w:ascii="Century Gothic" w:hAnsi="Century Gothic"/>
          <w:i/>
          <w:color w:val="000000" w:themeColor="text1"/>
          <w:sz w:val="24"/>
          <w:szCs w:val="24"/>
        </w:rPr>
        <w:t>expresa:</w:t>
      </w:r>
    </w:p>
    <w:p w:rsidR="002B279C" w:rsidRPr="008F0A8C" w:rsidRDefault="002B279C" w:rsidP="002B279C">
      <w:pPr>
        <w:spacing w:after="0" w:line="240" w:lineRule="auto"/>
        <w:ind w:right="49"/>
        <w:contextualSpacing/>
        <w:jc w:val="both"/>
        <w:rPr>
          <w:rFonts w:ascii="Century Gothic" w:hAnsi="Century Gothic"/>
          <w:i/>
          <w:color w:val="000000" w:themeColor="text1"/>
          <w:sz w:val="24"/>
          <w:szCs w:val="24"/>
        </w:rPr>
      </w:pPr>
    </w:p>
    <w:p w:rsidR="002B279C" w:rsidRPr="008F0A8C" w:rsidRDefault="002B279C" w:rsidP="002B279C">
      <w:pPr>
        <w:spacing w:after="0" w:line="360" w:lineRule="auto"/>
        <w:ind w:right="49"/>
        <w:contextualSpacing/>
        <w:jc w:val="both"/>
        <w:rPr>
          <w:rFonts w:ascii="Century Gothic" w:hAnsi="Century Gothic"/>
          <w:i/>
          <w:color w:val="000000" w:themeColor="text1"/>
          <w:sz w:val="24"/>
          <w:szCs w:val="24"/>
        </w:rPr>
      </w:pPr>
      <w:r w:rsidRPr="008F0A8C">
        <w:rPr>
          <w:rFonts w:ascii="Century Gothic" w:hAnsi="Century Gothic"/>
          <w:i/>
          <w:color w:val="000000" w:themeColor="text1"/>
          <w:sz w:val="24"/>
          <w:szCs w:val="24"/>
        </w:rPr>
        <w:lastRenderedPageBreak/>
        <w:t>Artículo 375</w:t>
      </w:r>
      <w:r w:rsidRPr="008F0A8C">
        <w:rPr>
          <w:rFonts w:ascii="Century Gothic" w:hAnsi="Century Gothic"/>
          <w:color w:val="000000" w:themeColor="text1"/>
          <w:sz w:val="24"/>
          <w:szCs w:val="24"/>
        </w:rPr>
        <w:t>.</w:t>
      </w:r>
      <w:r w:rsidRPr="008F0A8C">
        <w:rPr>
          <w:rFonts w:ascii="Century Gothic" w:hAnsi="Century Gothic"/>
          <w:i/>
          <w:color w:val="000000" w:themeColor="text1"/>
          <w:sz w:val="24"/>
          <w:szCs w:val="24"/>
        </w:rPr>
        <w:t xml:space="preserve"> (…) “El trámite del proyecto tendrá lugar en dos períodos ordinarios y consecutivos”.</w:t>
      </w:r>
    </w:p>
    <w:p w:rsidR="002B279C" w:rsidRPr="008F0A8C" w:rsidRDefault="002B279C" w:rsidP="002B279C">
      <w:pPr>
        <w:spacing w:after="0" w:line="240" w:lineRule="auto"/>
        <w:ind w:right="49"/>
        <w:contextualSpacing/>
        <w:jc w:val="both"/>
        <w:rPr>
          <w:rFonts w:ascii="Century Gothic" w:hAnsi="Century Gothic"/>
          <w:i/>
          <w:color w:val="000000" w:themeColor="text1"/>
          <w:sz w:val="24"/>
          <w:szCs w:val="24"/>
        </w:rPr>
      </w:pPr>
    </w:p>
    <w:p w:rsidR="002B279C" w:rsidRPr="008F0A8C" w:rsidRDefault="002B279C" w:rsidP="002B279C">
      <w:pPr>
        <w:spacing w:after="0" w:line="360" w:lineRule="auto"/>
        <w:ind w:right="49"/>
        <w:jc w:val="both"/>
        <w:rPr>
          <w:rFonts w:ascii="Century Gothic" w:hAnsi="Century Gothic"/>
          <w:i/>
          <w:color w:val="000000" w:themeColor="text1"/>
          <w:sz w:val="24"/>
          <w:szCs w:val="24"/>
        </w:rPr>
      </w:pPr>
      <w:r w:rsidRPr="008F0A8C">
        <w:rPr>
          <w:rFonts w:ascii="Century Gothic" w:hAnsi="Century Gothic"/>
          <w:color w:val="000000" w:themeColor="text1"/>
          <w:sz w:val="24"/>
          <w:szCs w:val="24"/>
        </w:rPr>
        <w:t xml:space="preserve">Con esa </w:t>
      </w:r>
      <w:r w:rsidRPr="008F0A8C">
        <w:rPr>
          <w:rFonts w:ascii="Century Gothic" w:hAnsi="Century Gothic" w:cs="Arial"/>
          <w:color w:val="000000" w:themeColor="text1"/>
          <w:sz w:val="24"/>
          <w:szCs w:val="24"/>
          <w:shd w:val="clear" w:color="auto" w:fill="FFFFFF"/>
        </w:rPr>
        <w:t xml:space="preserve">modificación al procedimiento legislativo, se </w:t>
      </w:r>
      <w:r w:rsidRPr="008F0A8C">
        <w:rPr>
          <w:rFonts w:ascii="Century Gothic" w:hAnsi="Century Gothic"/>
          <w:color w:val="000000" w:themeColor="text1"/>
          <w:sz w:val="24"/>
          <w:szCs w:val="24"/>
        </w:rPr>
        <w:t>desconoce la diferencia que el Constituyente de 1991 estableció entre el trámite de una ley y de un acto legislativo, al reducir para los actos reformatorios de la constitución el número de debates totales, de ocho (8) a cuatro (4), y al disminuir el número de vueltas que deben surtirse de dos (2) a una (1) sola, equiparándolo a una ley ordinaria, cuando un acto legislativo debe someterse a mayor análisis, dada su naturaleza modificatoria de la Carta Magna.</w:t>
      </w:r>
    </w:p>
    <w:p w:rsidR="002B279C" w:rsidRPr="008F0A8C" w:rsidRDefault="002B279C" w:rsidP="002B279C">
      <w:pPr>
        <w:spacing w:after="0" w:line="240" w:lineRule="auto"/>
        <w:ind w:left="284" w:right="333"/>
        <w:contextualSpacing/>
        <w:jc w:val="both"/>
        <w:rPr>
          <w:rFonts w:ascii="Century Gothic" w:hAnsi="Century Gothic"/>
          <w:i/>
          <w:color w:val="000000" w:themeColor="text1"/>
          <w:sz w:val="24"/>
          <w:szCs w:val="24"/>
        </w:rPr>
      </w:pPr>
    </w:p>
    <w:p w:rsidR="002B279C" w:rsidRPr="008F0A8C" w:rsidRDefault="002B279C" w:rsidP="002B279C">
      <w:pPr>
        <w:pStyle w:val="Prrafodelista"/>
        <w:numPr>
          <w:ilvl w:val="0"/>
          <w:numId w:val="18"/>
        </w:numPr>
        <w:spacing w:after="0" w:line="360" w:lineRule="auto"/>
        <w:ind w:right="333"/>
        <w:jc w:val="both"/>
        <w:rPr>
          <w:rFonts w:ascii="Century Gothic" w:hAnsi="Century Gothic"/>
          <w:color w:val="000000" w:themeColor="text1"/>
          <w:sz w:val="24"/>
          <w:szCs w:val="24"/>
        </w:rPr>
      </w:pPr>
      <w:r w:rsidRPr="008F0A8C">
        <w:rPr>
          <w:rFonts w:ascii="Century Gothic" w:hAnsi="Century Gothic"/>
          <w:b/>
          <w:color w:val="000000" w:themeColor="text1"/>
          <w:sz w:val="24"/>
          <w:szCs w:val="24"/>
        </w:rPr>
        <w:t>Impone límites desproporcionados al poder judicial,</w:t>
      </w:r>
      <w:r w:rsidRPr="008F0A8C">
        <w:rPr>
          <w:rFonts w:ascii="Century Gothic" w:hAnsi="Century Gothic"/>
          <w:color w:val="000000" w:themeColor="text1"/>
          <w:sz w:val="24"/>
          <w:szCs w:val="24"/>
        </w:rPr>
        <w:t xml:space="preserve"> desconociendo los principios de separación de poderes y de independencia de la Rama Judicial, al establecer que </w:t>
      </w:r>
      <w:r w:rsidRPr="008F0A8C">
        <w:rPr>
          <w:rFonts w:ascii="Century Gothic" w:hAnsi="Century Gothic"/>
          <w:iCs/>
          <w:color w:val="000000" w:themeColor="text1"/>
          <w:sz w:val="24"/>
          <w:szCs w:val="24"/>
        </w:rPr>
        <w:t xml:space="preserve">los proyectos de ley y de acto legislativo tramitados mediante el Procedimiento Legislativo Especial para la Paz tendrán control </w:t>
      </w:r>
      <w:r w:rsidRPr="008F0A8C">
        <w:rPr>
          <w:rFonts w:ascii="Century Gothic" w:hAnsi="Century Gothic"/>
          <w:b/>
          <w:iCs/>
          <w:color w:val="000000" w:themeColor="text1"/>
          <w:sz w:val="24"/>
          <w:szCs w:val="24"/>
        </w:rPr>
        <w:t>automático</w:t>
      </w:r>
      <w:r w:rsidRPr="008F0A8C">
        <w:rPr>
          <w:rFonts w:ascii="Century Gothic" w:hAnsi="Century Gothic"/>
          <w:iCs/>
          <w:color w:val="000000" w:themeColor="text1"/>
          <w:sz w:val="24"/>
          <w:szCs w:val="24"/>
        </w:rPr>
        <w:t xml:space="preserve"> y </w:t>
      </w:r>
      <w:r w:rsidRPr="008F0A8C">
        <w:rPr>
          <w:rFonts w:ascii="Century Gothic" w:hAnsi="Century Gothic"/>
          <w:b/>
          <w:iCs/>
          <w:color w:val="000000" w:themeColor="text1"/>
          <w:sz w:val="24"/>
          <w:szCs w:val="24"/>
        </w:rPr>
        <w:t xml:space="preserve">único, </w:t>
      </w:r>
      <w:r w:rsidRPr="008F0A8C">
        <w:rPr>
          <w:rFonts w:ascii="Century Gothic" w:hAnsi="Century Gothic" w:cs="Arial"/>
          <w:color w:val="000000" w:themeColor="text1"/>
          <w:sz w:val="24"/>
          <w:szCs w:val="24"/>
          <w:shd w:val="clear" w:color="auto" w:fill="FFFFFF"/>
        </w:rPr>
        <w:t>limitando así la posibilidad de que el Tribunal Constitucional pueda ejercer un control posterior y rogado</w:t>
      </w:r>
      <w:r w:rsidRPr="008F0A8C">
        <w:rPr>
          <w:rFonts w:ascii="Century Gothic" w:hAnsi="Century Gothic"/>
          <w:iCs/>
          <w:color w:val="000000" w:themeColor="text1"/>
          <w:sz w:val="24"/>
          <w:szCs w:val="24"/>
        </w:rPr>
        <w:t xml:space="preserve">, como quiera que </w:t>
      </w:r>
      <w:r w:rsidRPr="008F0A8C">
        <w:rPr>
          <w:rFonts w:ascii="Century Gothic" w:hAnsi="Century Gothic"/>
          <w:color w:val="000000" w:themeColor="text1"/>
          <w:sz w:val="24"/>
          <w:szCs w:val="24"/>
        </w:rPr>
        <w:t xml:space="preserve">la Constitución de 1991 no establece ninguna </w:t>
      </w:r>
      <w:r w:rsidRPr="008F0A8C">
        <w:rPr>
          <w:rFonts w:ascii="Century Gothic" w:hAnsi="Century Gothic"/>
          <w:color w:val="000000" w:themeColor="text1"/>
          <w:sz w:val="24"/>
          <w:szCs w:val="24"/>
        </w:rPr>
        <w:lastRenderedPageBreak/>
        <w:t xml:space="preserve">limitante al poder de revisión constitucional, salvo cuando se hable de cosa juzgada. </w:t>
      </w:r>
    </w:p>
    <w:p w:rsidR="002B279C" w:rsidRPr="008F0A8C" w:rsidRDefault="002B279C" w:rsidP="002B279C">
      <w:pPr>
        <w:spacing w:after="0" w:line="240" w:lineRule="auto"/>
        <w:contextualSpacing/>
        <w:jc w:val="both"/>
        <w:rPr>
          <w:rFonts w:ascii="Century Gothic" w:hAnsi="Century Gothic"/>
          <w:color w:val="000000" w:themeColor="text1"/>
          <w:sz w:val="24"/>
          <w:szCs w:val="24"/>
        </w:rPr>
      </w:pPr>
    </w:p>
    <w:p w:rsidR="002B279C" w:rsidRDefault="002B279C" w:rsidP="002B279C">
      <w:pPr>
        <w:spacing w:after="0" w:line="360" w:lineRule="auto"/>
        <w:contextualSpacing/>
        <w:jc w:val="both"/>
        <w:rPr>
          <w:rFonts w:ascii="Century Gothic" w:hAnsi="Century Gothic"/>
          <w:sz w:val="24"/>
          <w:szCs w:val="24"/>
        </w:rPr>
      </w:pPr>
      <w:r w:rsidRPr="008F0A8C">
        <w:rPr>
          <w:rFonts w:ascii="Century Gothic" w:hAnsi="Century Gothic"/>
          <w:color w:val="000000" w:themeColor="text1"/>
          <w:sz w:val="24"/>
          <w:szCs w:val="24"/>
        </w:rPr>
        <w:t xml:space="preserve">En consideración a lo anterior, el 30 de agosto del 2016, el partido Centro Democrático radicó la demanda de inconstitucionalidad </w:t>
      </w:r>
      <w:r>
        <w:rPr>
          <w:rFonts w:ascii="Century Gothic" w:hAnsi="Century Gothic"/>
          <w:sz w:val="24"/>
          <w:szCs w:val="24"/>
        </w:rPr>
        <w:t xml:space="preserve">contra el Acto Legislativo No. 01 de 2016, fundamentada en cargos por juicio de sustitución de la Constitución; y cargos por vicios formales de trámite. </w:t>
      </w:r>
    </w:p>
    <w:p w:rsidR="002B279C" w:rsidRDefault="002B279C" w:rsidP="002B279C">
      <w:pPr>
        <w:spacing w:after="0" w:line="240" w:lineRule="auto"/>
        <w:contextualSpacing/>
        <w:jc w:val="both"/>
        <w:rPr>
          <w:rFonts w:ascii="Century Gothic" w:hAnsi="Century Gothic"/>
          <w:sz w:val="24"/>
          <w:szCs w:val="24"/>
        </w:rPr>
      </w:pPr>
    </w:p>
    <w:p w:rsidR="002B279C" w:rsidRPr="00AC2AFA" w:rsidRDefault="002B279C" w:rsidP="002B279C">
      <w:pPr>
        <w:spacing w:after="0" w:line="360" w:lineRule="auto"/>
        <w:contextualSpacing/>
        <w:jc w:val="both"/>
        <w:rPr>
          <w:rFonts w:ascii="Century Gothic" w:hAnsi="Century Gothic" w:cs="ArialMT"/>
          <w:sz w:val="24"/>
          <w:szCs w:val="24"/>
        </w:rPr>
      </w:pPr>
      <w:r>
        <w:rPr>
          <w:rFonts w:ascii="Century Gothic" w:hAnsi="Century Gothic"/>
          <w:sz w:val="24"/>
          <w:szCs w:val="24"/>
        </w:rPr>
        <w:t xml:space="preserve">Estableciendo, en primer </w:t>
      </w:r>
      <w:r w:rsidRPr="00916C76">
        <w:rPr>
          <w:rFonts w:ascii="Century Gothic" w:hAnsi="Century Gothic"/>
          <w:sz w:val="24"/>
          <w:szCs w:val="24"/>
        </w:rPr>
        <w:t>lugar, que e</w:t>
      </w:r>
      <w:r w:rsidRPr="00916C76">
        <w:rPr>
          <w:rFonts w:ascii="Century Gothic" w:hAnsi="Century Gothic" w:cs="Arial-BoldItalicMT"/>
          <w:bCs/>
          <w:i/>
          <w:iCs/>
          <w:sz w:val="24"/>
          <w:szCs w:val="24"/>
        </w:rPr>
        <w:t xml:space="preserve">l “Acto legislativo demandado, sustituye la Constitución y por ende debe ser declarado inexequible, de acuerdo con la teoría de inconstitucionalidad por sustitución de la Constitución”. </w:t>
      </w:r>
      <w:r w:rsidRPr="00916C76">
        <w:rPr>
          <w:rFonts w:ascii="Century Gothic" w:hAnsi="Century Gothic" w:cs="Arial-BoldItalicMT"/>
          <w:bCs/>
          <w:iCs/>
          <w:sz w:val="24"/>
          <w:szCs w:val="24"/>
        </w:rPr>
        <w:t xml:space="preserve">Esto se explica, haciendo referencia a que </w:t>
      </w:r>
      <w:r>
        <w:rPr>
          <w:rFonts w:ascii="Century Gothic" w:hAnsi="Century Gothic" w:cs="Arial-BoldItalicMT"/>
          <w:bCs/>
          <w:iCs/>
          <w:sz w:val="24"/>
          <w:szCs w:val="24"/>
        </w:rPr>
        <w:t>l</w:t>
      </w:r>
      <w:r w:rsidRPr="00916C76">
        <w:rPr>
          <w:rFonts w:ascii="Century Gothic" w:hAnsi="Century Gothic" w:cs="ArialMT"/>
          <w:sz w:val="24"/>
          <w:szCs w:val="24"/>
        </w:rPr>
        <w:t>a Corte Constitucional delimitó de forma inicial la noción de la sustitución de la Constitución como conc</w:t>
      </w:r>
      <w:r w:rsidRPr="00AC2AFA">
        <w:rPr>
          <w:rFonts w:ascii="Century Gothic" w:hAnsi="Century Gothic" w:cs="ArialMT"/>
          <w:sz w:val="24"/>
          <w:szCs w:val="24"/>
        </w:rPr>
        <w:t>epto distinto al de reforma constitucional. En sentencia C-</w:t>
      </w:r>
      <w:r>
        <w:rPr>
          <w:rFonts w:ascii="Century Gothic" w:hAnsi="Century Gothic" w:cs="ArialMT"/>
          <w:sz w:val="24"/>
          <w:szCs w:val="24"/>
        </w:rPr>
        <w:t>551 del 9 de julio de 2003</w:t>
      </w:r>
      <w:r>
        <w:rPr>
          <w:rStyle w:val="Refdenotaalpie"/>
          <w:rFonts w:ascii="Century Gothic" w:hAnsi="Century Gothic" w:cs="ArialMT"/>
          <w:sz w:val="24"/>
          <w:szCs w:val="24"/>
        </w:rPr>
        <w:footnoteReference w:id="2"/>
      </w:r>
      <w:r>
        <w:rPr>
          <w:rFonts w:ascii="Century Gothic" w:hAnsi="Century Gothic" w:cs="ArialMT"/>
          <w:sz w:val="24"/>
          <w:szCs w:val="24"/>
        </w:rPr>
        <w:t xml:space="preserve">, </w:t>
      </w:r>
      <w:r w:rsidRPr="00AC2AFA">
        <w:rPr>
          <w:rFonts w:ascii="Century Gothic" w:hAnsi="Century Gothic" w:cs="ArialMT"/>
          <w:sz w:val="24"/>
          <w:szCs w:val="24"/>
        </w:rPr>
        <w:t>este alto tribunal sostuvo lo siguiente:</w:t>
      </w:r>
    </w:p>
    <w:p w:rsidR="002B279C" w:rsidRDefault="002B279C" w:rsidP="002B279C">
      <w:pPr>
        <w:autoSpaceDE w:val="0"/>
        <w:autoSpaceDN w:val="0"/>
        <w:adjustRightInd w:val="0"/>
        <w:spacing w:after="0" w:line="240" w:lineRule="auto"/>
        <w:contextualSpacing/>
        <w:jc w:val="both"/>
        <w:rPr>
          <w:rFonts w:ascii="ArialMT" w:hAnsi="ArialMT" w:cs="ArialMT"/>
          <w:sz w:val="23"/>
          <w:szCs w:val="23"/>
        </w:rPr>
      </w:pPr>
    </w:p>
    <w:p w:rsidR="002B279C" w:rsidRPr="00AC2AFA" w:rsidRDefault="002B279C" w:rsidP="002B279C">
      <w:pPr>
        <w:autoSpaceDE w:val="0"/>
        <w:autoSpaceDN w:val="0"/>
        <w:adjustRightInd w:val="0"/>
        <w:spacing w:after="0" w:line="360" w:lineRule="auto"/>
        <w:contextualSpacing/>
        <w:jc w:val="both"/>
        <w:rPr>
          <w:rFonts w:ascii="Century Gothic" w:hAnsi="Century Gothic"/>
          <w:i/>
          <w:sz w:val="24"/>
          <w:szCs w:val="24"/>
        </w:rPr>
      </w:pPr>
      <w:r w:rsidRPr="00AC2AFA">
        <w:rPr>
          <w:rFonts w:ascii="Century Gothic" w:hAnsi="Century Gothic" w:cs="ArialMT"/>
          <w:i/>
          <w:sz w:val="24"/>
          <w:szCs w:val="24"/>
        </w:rPr>
        <w:lastRenderedPageBreak/>
        <w:t>(…) “El Constituyente derivado no tiene entonces competencia para destruir la Constitución. El acto constituyente establece el orden jurídico y por ello, cualquier poder de reforma que el Constituyente reconozca únicamente se limita a una revisión. El poder de reforma, que es poder constituido no está, por lo tanto, autorizado para la derogación o sustitución de la Constitución de la cual deriva su competencia. El poder constituido no puede, en otras palabras, arrogarse funciones propias del poder constituyente, y por ello no puede llevar a cabo una sustitución de la Constitución, no solo por cuanto se estaría erigiendo en poder constituyente originario sino además porque estaría minando las bases de su propia competencia”. (…)</w:t>
      </w:r>
    </w:p>
    <w:p w:rsidR="002B279C" w:rsidRDefault="002B279C" w:rsidP="002B279C">
      <w:pPr>
        <w:spacing w:after="0" w:line="240" w:lineRule="auto"/>
        <w:contextualSpacing/>
        <w:jc w:val="both"/>
        <w:rPr>
          <w:rFonts w:ascii="Century Gothic" w:hAnsi="Century Gothic"/>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sz w:val="24"/>
          <w:szCs w:val="24"/>
        </w:rPr>
      </w:pPr>
      <w:r w:rsidRPr="00415C02">
        <w:rPr>
          <w:rFonts w:ascii="Century Gothic" w:hAnsi="Century Gothic" w:cs="ArialMT"/>
          <w:sz w:val="24"/>
          <w:szCs w:val="24"/>
        </w:rPr>
        <w:t>De esta forma</w:t>
      </w:r>
      <w:r>
        <w:rPr>
          <w:rFonts w:ascii="Century Gothic" w:hAnsi="Century Gothic" w:cs="ArialMT"/>
          <w:sz w:val="24"/>
          <w:szCs w:val="24"/>
        </w:rPr>
        <w:t>,</w:t>
      </w:r>
      <w:r w:rsidRPr="00415C02">
        <w:rPr>
          <w:rFonts w:ascii="Century Gothic" w:hAnsi="Century Gothic" w:cs="ArialMT"/>
          <w:sz w:val="24"/>
          <w:szCs w:val="24"/>
        </w:rPr>
        <w:t xml:space="preserve"> la Corte Constitucional establece una distinción entre las</w:t>
      </w:r>
      <w:r>
        <w:rPr>
          <w:rFonts w:ascii="Century Gothic" w:hAnsi="Century Gothic" w:cs="ArialMT"/>
          <w:sz w:val="24"/>
          <w:szCs w:val="24"/>
        </w:rPr>
        <w:t xml:space="preserve"> </w:t>
      </w:r>
      <w:r w:rsidRPr="00415C02">
        <w:rPr>
          <w:rFonts w:ascii="Century Gothic" w:hAnsi="Century Gothic" w:cs="ArialMT"/>
          <w:sz w:val="24"/>
          <w:szCs w:val="24"/>
        </w:rPr>
        <w:t xml:space="preserve">reformas constitucionales, que pueden hacerse por el constituyente </w:t>
      </w:r>
      <w:r>
        <w:rPr>
          <w:rFonts w:ascii="Century Gothic" w:hAnsi="Century Gothic" w:cs="ArialMT"/>
          <w:sz w:val="24"/>
          <w:szCs w:val="24"/>
        </w:rPr>
        <w:t>s</w:t>
      </w:r>
      <w:r w:rsidRPr="00415C02">
        <w:rPr>
          <w:rFonts w:ascii="Century Gothic" w:hAnsi="Century Gothic" w:cs="ArialMT"/>
          <w:sz w:val="24"/>
          <w:szCs w:val="24"/>
        </w:rPr>
        <w:t>ecundario, y</w:t>
      </w:r>
      <w:r>
        <w:rPr>
          <w:rFonts w:ascii="Century Gothic" w:hAnsi="Century Gothic" w:cs="ArialMT"/>
          <w:sz w:val="24"/>
          <w:szCs w:val="24"/>
        </w:rPr>
        <w:t xml:space="preserve"> </w:t>
      </w:r>
      <w:r w:rsidRPr="00415C02">
        <w:rPr>
          <w:rFonts w:ascii="Century Gothic" w:hAnsi="Century Gothic" w:cs="ArialMT"/>
          <w:sz w:val="24"/>
          <w:szCs w:val="24"/>
        </w:rPr>
        <w:t>la sustitución de la Constitución, es decir</w:t>
      </w:r>
      <w:r>
        <w:rPr>
          <w:rFonts w:ascii="Century Gothic" w:hAnsi="Century Gothic" w:cs="ArialMT"/>
          <w:sz w:val="24"/>
          <w:szCs w:val="24"/>
        </w:rPr>
        <w:t>,</w:t>
      </w:r>
      <w:r w:rsidRPr="00415C02">
        <w:rPr>
          <w:rFonts w:ascii="Century Gothic" w:hAnsi="Century Gothic" w:cs="ArialMT"/>
          <w:sz w:val="24"/>
          <w:szCs w:val="24"/>
        </w:rPr>
        <w:t xml:space="preserve"> un cambio en la esencia misma de la Carta</w:t>
      </w:r>
      <w:r>
        <w:rPr>
          <w:rFonts w:ascii="Century Gothic" w:hAnsi="Century Gothic" w:cs="ArialMT"/>
          <w:sz w:val="24"/>
          <w:szCs w:val="24"/>
        </w:rPr>
        <w:t xml:space="preserve"> </w:t>
      </w:r>
      <w:r w:rsidRPr="00415C02">
        <w:rPr>
          <w:rFonts w:ascii="Century Gothic" w:hAnsi="Century Gothic" w:cs="ArialMT"/>
          <w:sz w:val="24"/>
          <w:szCs w:val="24"/>
        </w:rPr>
        <w:t>Política que pretende modificarse, ya que dichos cambios de esencia son privativos</w:t>
      </w:r>
      <w:r>
        <w:rPr>
          <w:rFonts w:ascii="Century Gothic" w:hAnsi="Century Gothic" w:cs="ArialMT"/>
          <w:sz w:val="24"/>
          <w:szCs w:val="24"/>
        </w:rPr>
        <w:t xml:space="preserve"> </w:t>
      </w:r>
      <w:r w:rsidRPr="00415C02">
        <w:rPr>
          <w:rFonts w:ascii="Century Gothic" w:hAnsi="Century Gothic" w:cs="ArialMT"/>
          <w:sz w:val="24"/>
          <w:szCs w:val="24"/>
        </w:rPr>
        <w:t>del constituyente primario y no del secundario.</w:t>
      </w:r>
      <w:r>
        <w:rPr>
          <w:rFonts w:ascii="Century Gothic" w:hAnsi="Century Gothic" w:cs="ArialMT"/>
          <w:sz w:val="24"/>
          <w:szCs w:val="24"/>
        </w:rPr>
        <w:t xml:space="preserve"> </w:t>
      </w:r>
    </w:p>
    <w:p w:rsidR="002B279C" w:rsidRDefault="002B279C" w:rsidP="002B279C">
      <w:pPr>
        <w:autoSpaceDE w:val="0"/>
        <w:autoSpaceDN w:val="0"/>
        <w:adjustRightInd w:val="0"/>
        <w:spacing w:after="0" w:line="240" w:lineRule="auto"/>
        <w:contextualSpacing/>
        <w:jc w:val="both"/>
        <w:rPr>
          <w:rFonts w:ascii="Century Gothic" w:hAnsi="Century Gothic" w:cs="ArialMT"/>
          <w:sz w:val="24"/>
          <w:szCs w:val="24"/>
        </w:rPr>
      </w:pPr>
    </w:p>
    <w:p w:rsidR="002B279C" w:rsidRPr="002B4954" w:rsidRDefault="002B279C" w:rsidP="002B279C">
      <w:pPr>
        <w:autoSpaceDE w:val="0"/>
        <w:autoSpaceDN w:val="0"/>
        <w:adjustRightInd w:val="0"/>
        <w:spacing w:after="0" w:line="360" w:lineRule="auto"/>
        <w:contextualSpacing/>
        <w:jc w:val="both"/>
        <w:rPr>
          <w:rFonts w:ascii="Century Gothic" w:hAnsi="Century Gothic" w:cs="ArialMT"/>
          <w:color w:val="000000"/>
          <w:sz w:val="24"/>
          <w:szCs w:val="24"/>
        </w:rPr>
      </w:pPr>
      <w:r w:rsidRPr="002B4954">
        <w:rPr>
          <w:rFonts w:ascii="Century Gothic" w:hAnsi="Century Gothic" w:cs="ArialMT"/>
          <w:color w:val="000000"/>
          <w:sz w:val="24"/>
          <w:szCs w:val="24"/>
        </w:rPr>
        <w:lastRenderedPageBreak/>
        <w:t>Posteriormente, la Corte Constitucional volvió a referirse a la sustitución de la Constitución, haciendo una distinción más clara entre dicho concepto y la noción de reforma. En sentencia C-1200 del 9 de diciembre de 2003</w:t>
      </w:r>
      <w:r>
        <w:rPr>
          <w:rStyle w:val="Refdenotaalpie"/>
          <w:rFonts w:ascii="Century Gothic" w:hAnsi="Century Gothic" w:cs="ArialMT"/>
          <w:color w:val="000000"/>
          <w:sz w:val="24"/>
          <w:szCs w:val="24"/>
        </w:rPr>
        <w:footnoteReference w:id="3"/>
      </w:r>
      <w:r w:rsidRPr="002B4954">
        <w:rPr>
          <w:rFonts w:ascii="Century Gothic" w:hAnsi="Century Gothic" w:cs="ArialMT"/>
          <w:color w:val="000000"/>
          <w:sz w:val="24"/>
          <w:szCs w:val="24"/>
        </w:rPr>
        <w:t>, M.P Manuel José Cepeda Espinosa, Rodrigo Escobar Gil, la Corte sostuvo:</w:t>
      </w:r>
    </w:p>
    <w:p w:rsidR="002B279C" w:rsidRPr="002B4954" w:rsidRDefault="002B279C" w:rsidP="002B279C">
      <w:pPr>
        <w:autoSpaceDE w:val="0"/>
        <w:autoSpaceDN w:val="0"/>
        <w:adjustRightInd w:val="0"/>
        <w:spacing w:after="0" w:line="240" w:lineRule="auto"/>
        <w:jc w:val="both"/>
        <w:rPr>
          <w:rFonts w:ascii="Century Gothic" w:hAnsi="Century Gothic" w:cs="ArialMT"/>
          <w:color w:val="000000"/>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i/>
          <w:color w:val="000000"/>
          <w:sz w:val="24"/>
          <w:szCs w:val="24"/>
        </w:rPr>
      </w:pPr>
      <w:r w:rsidRPr="00916C76">
        <w:rPr>
          <w:rFonts w:ascii="Century Gothic" w:hAnsi="Century Gothic" w:cs="ArialMT"/>
          <w:i/>
          <w:color w:val="000000"/>
          <w:sz w:val="24"/>
          <w:szCs w:val="24"/>
        </w:rPr>
        <w:t>(…) “La insustituibilidad es distinta inclusive a la manifestación más amplia de intangibilidad. En efecto, la intangibilidad impide tocar el núcleo de un principio fundamental, o en su sentido más amplio afectar uno de los principios definitorios de la Constitución” (…).</w:t>
      </w:r>
    </w:p>
    <w:p w:rsidR="002B279C" w:rsidRPr="00916C76" w:rsidRDefault="002B279C" w:rsidP="002B279C">
      <w:pPr>
        <w:autoSpaceDE w:val="0"/>
        <w:autoSpaceDN w:val="0"/>
        <w:adjustRightInd w:val="0"/>
        <w:spacing w:after="0" w:line="240" w:lineRule="auto"/>
        <w:contextualSpacing/>
        <w:jc w:val="both"/>
        <w:rPr>
          <w:rFonts w:ascii="Century Gothic" w:hAnsi="Century Gothic" w:cs="ArialMT"/>
          <w:i/>
          <w:color w:val="000000"/>
          <w:sz w:val="24"/>
          <w:szCs w:val="24"/>
        </w:rPr>
      </w:pPr>
    </w:p>
    <w:p w:rsidR="002B279C" w:rsidRPr="002B4954" w:rsidRDefault="002B279C" w:rsidP="002B279C">
      <w:pPr>
        <w:autoSpaceDE w:val="0"/>
        <w:autoSpaceDN w:val="0"/>
        <w:adjustRightInd w:val="0"/>
        <w:spacing w:after="0" w:line="360" w:lineRule="auto"/>
        <w:contextualSpacing/>
        <w:jc w:val="both"/>
        <w:rPr>
          <w:rFonts w:ascii="Century Gothic" w:hAnsi="Century Gothic" w:cs="ArialMT"/>
          <w:color w:val="000000"/>
          <w:sz w:val="24"/>
          <w:szCs w:val="24"/>
        </w:rPr>
      </w:pPr>
      <w:r w:rsidRPr="002B4954">
        <w:rPr>
          <w:rFonts w:ascii="Century Gothic" w:hAnsi="Century Gothic" w:cs="ArialMT"/>
          <w:color w:val="000000"/>
          <w:sz w:val="24"/>
          <w:szCs w:val="24"/>
        </w:rPr>
        <w:t>Por otra parte, la Corte Constitucional en sentencia C-249 de 2012</w:t>
      </w:r>
      <w:r>
        <w:rPr>
          <w:rStyle w:val="Refdenotaalpie"/>
          <w:rFonts w:ascii="Century Gothic" w:hAnsi="Century Gothic" w:cs="ArialMT"/>
          <w:color w:val="000000"/>
          <w:sz w:val="24"/>
          <w:szCs w:val="24"/>
        </w:rPr>
        <w:footnoteReference w:id="4"/>
      </w:r>
      <w:r w:rsidRPr="002B4954">
        <w:rPr>
          <w:rFonts w:ascii="Century Gothic" w:hAnsi="Century Gothic" w:cs="ArialMT"/>
          <w:color w:val="000000"/>
          <w:sz w:val="24"/>
          <w:szCs w:val="24"/>
        </w:rPr>
        <w:t>, estableció:</w:t>
      </w:r>
    </w:p>
    <w:p w:rsidR="002B279C" w:rsidRDefault="002B279C" w:rsidP="002B279C">
      <w:pPr>
        <w:autoSpaceDE w:val="0"/>
        <w:autoSpaceDN w:val="0"/>
        <w:adjustRightInd w:val="0"/>
        <w:spacing w:after="0" w:line="240" w:lineRule="auto"/>
        <w:contextualSpacing/>
        <w:jc w:val="both"/>
        <w:rPr>
          <w:rFonts w:ascii="Century Gothic" w:hAnsi="Century Gothic" w:cs="ArialMT"/>
          <w:i/>
          <w:sz w:val="24"/>
          <w:szCs w:val="24"/>
        </w:rPr>
      </w:pPr>
    </w:p>
    <w:p w:rsidR="002B279C" w:rsidRPr="00916C76" w:rsidRDefault="002B279C" w:rsidP="002B279C">
      <w:pPr>
        <w:autoSpaceDE w:val="0"/>
        <w:autoSpaceDN w:val="0"/>
        <w:adjustRightInd w:val="0"/>
        <w:spacing w:after="0" w:line="360" w:lineRule="auto"/>
        <w:contextualSpacing/>
        <w:jc w:val="both"/>
        <w:rPr>
          <w:rFonts w:ascii="Century Gothic" w:hAnsi="Century Gothic" w:cs="ArialMT"/>
          <w:i/>
          <w:sz w:val="24"/>
          <w:szCs w:val="24"/>
        </w:rPr>
      </w:pPr>
      <w:r w:rsidRPr="00916C76">
        <w:rPr>
          <w:rFonts w:ascii="Century Gothic" w:hAnsi="Century Gothic" w:cs="ArialMT"/>
          <w:i/>
          <w:sz w:val="24"/>
          <w:szCs w:val="24"/>
        </w:rPr>
        <w:t xml:space="preserve">(…) “Teniendo en cuenta esta diferenciación la Corte Constitucional empezó a realizar el control de constitucionalidad no solamente de los vicios formales en sentido estricto de los Actos Legislativos y de los demás mecanismos de reforma a la Constitución, sino </w:t>
      </w:r>
      <w:r w:rsidRPr="00916C76">
        <w:rPr>
          <w:rFonts w:ascii="Century Gothic" w:hAnsi="Century Gothic" w:cs="ArialMT"/>
          <w:i/>
          <w:sz w:val="24"/>
          <w:szCs w:val="24"/>
        </w:rPr>
        <w:lastRenderedPageBreak/>
        <w:t>también la revisión de la competencia de dicho órgano y así verificar que so pretexto de la reforma no se haya cambiado, derogado, remplazado o sustituido la Constitución de 1991 por otra integralmente diferente” (…).</w:t>
      </w:r>
    </w:p>
    <w:p w:rsidR="002B279C" w:rsidRDefault="002B279C" w:rsidP="002B279C">
      <w:pPr>
        <w:autoSpaceDE w:val="0"/>
        <w:autoSpaceDN w:val="0"/>
        <w:adjustRightInd w:val="0"/>
        <w:spacing w:after="0" w:line="240" w:lineRule="auto"/>
        <w:contextualSpacing/>
        <w:jc w:val="both"/>
        <w:rPr>
          <w:rFonts w:ascii="Century Gothic" w:hAnsi="Century Gothic" w:cs="ArialMT"/>
          <w:color w:val="2D2D2D"/>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color w:val="000000"/>
          <w:sz w:val="24"/>
          <w:szCs w:val="24"/>
        </w:rPr>
      </w:pPr>
      <w:r w:rsidRPr="002B4954">
        <w:rPr>
          <w:rFonts w:ascii="Century Gothic" w:hAnsi="Century Gothic" w:cs="ArialMT"/>
          <w:color w:val="2D2D2D"/>
          <w:sz w:val="24"/>
          <w:szCs w:val="24"/>
        </w:rPr>
        <w:t xml:space="preserve">Es </w:t>
      </w:r>
      <w:r w:rsidRPr="002B4954">
        <w:rPr>
          <w:rFonts w:ascii="Century Gothic" w:hAnsi="Century Gothic" w:cs="ArialMT"/>
          <w:color w:val="000000"/>
          <w:sz w:val="24"/>
          <w:szCs w:val="24"/>
        </w:rPr>
        <w:t>decir</w:t>
      </w:r>
      <w:r>
        <w:rPr>
          <w:rFonts w:ascii="Century Gothic" w:hAnsi="Century Gothic" w:cs="ArialMT"/>
          <w:color w:val="000000"/>
          <w:sz w:val="24"/>
          <w:szCs w:val="24"/>
        </w:rPr>
        <w:t>,</w:t>
      </w:r>
      <w:r w:rsidRPr="002B4954">
        <w:rPr>
          <w:rFonts w:ascii="Century Gothic" w:hAnsi="Century Gothic" w:cs="ArialMT"/>
          <w:color w:val="000000"/>
          <w:sz w:val="24"/>
          <w:szCs w:val="24"/>
        </w:rPr>
        <w:t xml:space="preserve"> que todo acto legislativo que reemplace o sustituya la Constitución de 1991 es susceptible de ser declarado inexequible.</w:t>
      </w:r>
    </w:p>
    <w:p w:rsidR="002B279C" w:rsidRDefault="002B279C" w:rsidP="002B279C">
      <w:pPr>
        <w:autoSpaceDE w:val="0"/>
        <w:autoSpaceDN w:val="0"/>
        <w:adjustRightInd w:val="0"/>
        <w:spacing w:after="0" w:line="240" w:lineRule="auto"/>
        <w:contextualSpacing/>
        <w:jc w:val="both"/>
        <w:rPr>
          <w:rFonts w:ascii="Century Gothic" w:hAnsi="Century Gothic" w:cs="ArialMT"/>
          <w:color w:val="000000"/>
          <w:sz w:val="24"/>
          <w:szCs w:val="24"/>
        </w:rPr>
      </w:pPr>
    </w:p>
    <w:p w:rsidR="002B279C" w:rsidRPr="00674CBC" w:rsidRDefault="002B279C" w:rsidP="002B279C">
      <w:pPr>
        <w:autoSpaceDE w:val="0"/>
        <w:autoSpaceDN w:val="0"/>
        <w:adjustRightInd w:val="0"/>
        <w:spacing w:after="0" w:line="360" w:lineRule="auto"/>
        <w:jc w:val="both"/>
        <w:rPr>
          <w:rFonts w:ascii="Century Gothic" w:hAnsi="Century Gothic" w:cs="ArialMT"/>
          <w:sz w:val="24"/>
          <w:szCs w:val="24"/>
        </w:rPr>
      </w:pPr>
      <w:r>
        <w:rPr>
          <w:rFonts w:ascii="Century Gothic" w:hAnsi="Century Gothic" w:cs="ArialMT"/>
          <w:color w:val="000000"/>
          <w:sz w:val="24"/>
          <w:szCs w:val="24"/>
        </w:rPr>
        <w:t>En segundo lugar, r</w:t>
      </w:r>
      <w:r w:rsidRPr="002B4954">
        <w:rPr>
          <w:rFonts w:ascii="Century Gothic" w:hAnsi="Century Gothic" w:cs="ArialMT"/>
          <w:color w:val="000000"/>
          <w:sz w:val="24"/>
          <w:szCs w:val="24"/>
        </w:rPr>
        <w:t xml:space="preserve">especto al </w:t>
      </w:r>
      <w:r w:rsidRPr="00916C76">
        <w:rPr>
          <w:rFonts w:ascii="Century Gothic" w:hAnsi="Century Gothic" w:cs="ArialMT"/>
          <w:color w:val="000000"/>
          <w:sz w:val="24"/>
          <w:szCs w:val="24"/>
        </w:rPr>
        <w:t>cargo</w:t>
      </w:r>
      <w:r w:rsidRPr="00916C76">
        <w:rPr>
          <w:rFonts w:ascii="Century Gothic" w:hAnsi="Century Gothic" w:cs="Arial-BoldItalicMT"/>
          <w:bCs/>
          <w:iCs/>
          <w:sz w:val="24"/>
          <w:szCs w:val="24"/>
        </w:rPr>
        <w:t xml:space="preserve"> por vicios formales de trámite, la demanda precisa</w:t>
      </w:r>
      <w:r>
        <w:rPr>
          <w:rFonts w:ascii="Century Gothic" w:hAnsi="Century Gothic" w:cs="Arial-BoldItalicMT"/>
          <w:bCs/>
          <w:iCs/>
          <w:sz w:val="24"/>
          <w:szCs w:val="24"/>
        </w:rPr>
        <w:t>,</w:t>
      </w:r>
      <w:r w:rsidRPr="00916C76">
        <w:rPr>
          <w:rFonts w:ascii="Century Gothic" w:hAnsi="Century Gothic" w:cs="Arial-BoldItalicMT"/>
          <w:bCs/>
          <w:iCs/>
          <w:sz w:val="24"/>
          <w:szCs w:val="24"/>
        </w:rPr>
        <w:t xml:space="preserve"> que el acto legislativo incurrió en vicios de </w:t>
      </w:r>
      <w:r>
        <w:rPr>
          <w:rFonts w:ascii="Century Gothic" w:hAnsi="Century Gothic" w:cs="Arial-BoldItalicMT"/>
          <w:bCs/>
          <w:iCs/>
          <w:sz w:val="24"/>
          <w:szCs w:val="24"/>
        </w:rPr>
        <w:t xml:space="preserve">esta categoría, toda vez que, en </w:t>
      </w:r>
      <w:r w:rsidRPr="00674CBC">
        <w:rPr>
          <w:rFonts w:ascii="Century Gothic" w:hAnsi="Century Gothic" w:cs="ArialMT"/>
          <w:sz w:val="24"/>
          <w:szCs w:val="24"/>
        </w:rPr>
        <w:t>su trámite, transgredió el principio de consecutividad, vulnerándose los artículos 157, 160, 241 numeral 1 y 375 de la Constitución colombiana y los artículos 224, 225 y 226 de la Ley 5 de 1992.</w:t>
      </w:r>
    </w:p>
    <w:p w:rsidR="002B279C" w:rsidRPr="00674CBC" w:rsidRDefault="002B279C" w:rsidP="002B279C">
      <w:pPr>
        <w:autoSpaceDE w:val="0"/>
        <w:autoSpaceDN w:val="0"/>
        <w:adjustRightInd w:val="0"/>
        <w:spacing w:after="0" w:line="240" w:lineRule="auto"/>
        <w:contextualSpacing/>
        <w:jc w:val="both"/>
        <w:rPr>
          <w:rFonts w:ascii="Century Gothic" w:hAnsi="Century Gothic" w:cs="ArialMT"/>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sz w:val="24"/>
          <w:szCs w:val="24"/>
        </w:rPr>
      </w:pPr>
      <w:r w:rsidRPr="00674CBC">
        <w:rPr>
          <w:rFonts w:ascii="Century Gothic" w:hAnsi="Century Gothic" w:cs="ArialMT"/>
          <w:sz w:val="24"/>
          <w:szCs w:val="24"/>
        </w:rPr>
        <w:t>En materia constitucional, el artículo 157 establece como requisitos para la expedición de la Ley:</w:t>
      </w:r>
    </w:p>
    <w:p w:rsidR="002B279C" w:rsidRPr="00674CBC" w:rsidRDefault="002B279C" w:rsidP="002B279C">
      <w:pPr>
        <w:autoSpaceDE w:val="0"/>
        <w:autoSpaceDN w:val="0"/>
        <w:adjustRightInd w:val="0"/>
        <w:spacing w:after="0" w:line="240" w:lineRule="auto"/>
        <w:contextualSpacing/>
        <w:jc w:val="both"/>
        <w:rPr>
          <w:rFonts w:ascii="Century Gothic" w:hAnsi="Century Gothic" w:cs="ArialMT"/>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i/>
          <w:sz w:val="24"/>
          <w:szCs w:val="24"/>
        </w:rPr>
      </w:pPr>
      <w:r w:rsidRPr="00916C76">
        <w:rPr>
          <w:rFonts w:ascii="Century Gothic" w:hAnsi="Century Gothic" w:cs="ArialMT"/>
          <w:i/>
          <w:sz w:val="24"/>
          <w:szCs w:val="24"/>
        </w:rPr>
        <w:lastRenderedPageBreak/>
        <w:t>(…) “2. Haber sido aprobado en primer debate en la correspondiente comisión permanente de cada cámara” (…) y (…) “Haber sido aprobado en cada cámara en segundo debate” (…).</w:t>
      </w:r>
    </w:p>
    <w:p w:rsidR="002B279C" w:rsidRPr="00916C76" w:rsidRDefault="002B279C" w:rsidP="002B279C">
      <w:pPr>
        <w:autoSpaceDE w:val="0"/>
        <w:autoSpaceDN w:val="0"/>
        <w:adjustRightInd w:val="0"/>
        <w:spacing w:after="0" w:line="240" w:lineRule="auto"/>
        <w:contextualSpacing/>
        <w:jc w:val="both"/>
        <w:rPr>
          <w:rFonts w:ascii="Century Gothic" w:hAnsi="Century Gothic" w:cs="ArialMT"/>
          <w:i/>
          <w:sz w:val="24"/>
          <w:szCs w:val="24"/>
        </w:rPr>
      </w:pPr>
    </w:p>
    <w:p w:rsidR="002B279C" w:rsidRPr="00041634" w:rsidRDefault="002B279C" w:rsidP="002B279C">
      <w:pPr>
        <w:autoSpaceDE w:val="0"/>
        <w:autoSpaceDN w:val="0"/>
        <w:adjustRightInd w:val="0"/>
        <w:spacing w:after="0" w:line="360" w:lineRule="auto"/>
        <w:contextualSpacing/>
        <w:jc w:val="both"/>
        <w:rPr>
          <w:rFonts w:ascii="Century Gothic" w:hAnsi="Century Gothic" w:cs="ArialMT"/>
          <w:sz w:val="24"/>
          <w:szCs w:val="24"/>
        </w:rPr>
      </w:pPr>
      <w:r w:rsidRPr="00041634">
        <w:rPr>
          <w:rFonts w:ascii="Century Gothic" w:hAnsi="Century Gothic" w:cs="ArialMT"/>
          <w:sz w:val="24"/>
          <w:szCs w:val="24"/>
        </w:rPr>
        <w:t>Así mismo, el artículo 375 regula el procedimiento de los actos legislativos de la siguiente forma:</w:t>
      </w:r>
    </w:p>
    <w:p w:rsidR="002B279C" w:rsidRDefault="002B279C" w:rsidP="002B279C">
      <w:pPr>
        <w:autoSpaceDE w:val="0"/>
        <w:autoSpaceDN w:val="0"/>
        <w:adjustRightInd w:val="0"/>
        <w:spacing w:after="0" w:line="240" w:lineRule="auto"/>
        <w:contextualSpacing/>
        <w:jc w:val="both"/>
        <w:rPr>
          <w:rFonts w:ascii="Century Gothic" w:hAnsi="Century Gothic" w:cs="ArialMT"/>
          <w:i/>
          <w:sz w:val="24"/>
          <w:szCs w:val="24"/>
        </w:rPr>
      </w:pPr>
    </w:p>
    <w:p w:rsidR="002B279C" w:rsidRDefault="002B279C" w:rsidP="002B279C">
      <w:pPr>
        <w:spacing w:line="360" w:lineRule="auto"/>
        <w:contextualSpacing/>
        <w:jc w:val="both"/>
        <w:rPr>
          <w:rFonts w:ascii="Century Gothic" w:hAnsi="Century Gothic"/>
          <w:sz w:val="24"/>
          <w:szCs w:val="24"/>
        </w:rPr>
      </w:pPr>
      <w:r w:rsidRPr="00916C76">
        <w:rPr>
          <w:rFonts w:ascii="Century Gothic" w:hAnsi="Century Gothic" w:cs="ArialMT"/>
          <w:i/>
          <w:sz w:val="24"/>
          <w:szCs w:val="24"/>
        </w:rPr>
        <w:t xml:space="preserve">(…) “El trámite del proyecto tendrá lugar en dos períodos ordinarios y consecutivos. Aprobado en el primero de ellos por la mayoría de los asistentes, el proyecto será publicado por el Gobierno. En el segundo período la aprobación requerirá el voto de la mayoría de los miembros de cada cámara. En este segundo período sólo podrán debatirse iniciativas </w:t>
      </w:r>
      <w:r w:rsidRPr="007A398F">
        <w:rPr>
          <w:rFonts w:ascii="Century Gothic" w:hAnsi="Century Gothic"/>
          <w:sz w:val="24"/>
          <w:szCs w:val="24"/>
        </w:rPr>
        <w:t>presentadas en el primero” (…).</w:t>
      </w:r>
    </w:p>
    <w:p w:rsidR="002B279C" w:rsidRDefault="002B279C" w:rsidP="002B279C">
      <w:pPr>
        <w:spacing w:line="240" w:lineRule="auto"/>
        <w:contextualSpacing/>
        <w:jc w:val="both"/>
        <w:rPr>
          <w:rFonts w:ascii="Century Gothic" w:hAnsi="Century Gothic"/>
          <w:sz w:val="24"/>
          <w:szCs w:val="24"/>
        </w:rPr>
      </w:pPr>
    </w:p>
    <w:p w:rsidR="002B279C" w:rsidRPr="008F0A8C" w:rsidRDefault="002B279C" w:rsidP="002B279C">
      <w:pPr>
        <w:spacing w:line="360" w:lineRule="auto"/>
        <w:contextualSpacing/>
        <w:jc w:val="both"/>
        <w:rPr>
          <w:rFonts w:ascii="Century Gothic" w:hAnsi="Century Gothic"/>
          <w:color w:val="000000" w:themeColor="text1"/>
          <w:sz w:val="24"/>
          <w:szCs w:val="24"/>
        </w:rPr>
      </w:pPr>
      <w:r w:rsidRPr="008F0A8C">
        <w:rPr>
          <w:rFonts w:ascii="Century Gothic" w:hAnsi="Century Gothic"/>
          <w:color w:val="000000" w:themeColor="text1"/>
          <w:sz w:val="24"/>
          <w:szCs w:val="24"/>
        </w:rPr>
        <w:t xml:space="preserve">Los aspectos enunciados conllevaron a que el pasado 17 de Mayo de 2017, la Honorable Corte Constitucional, se pronunciara sobre el Acto Legislativo 01 de 2016 </w:t>
      </w:r>
      <w:r w:rsidRPr="008F0A8C">
        <w:rPr>
          <w:rFonts w:ascii="Century Gothic" w:hAnsi="Century Gothic"/>
          <w:i/>
          <w:color w:val="000000" w:themeColor="text1"/>
          <w:sz w:val="24"/>
          <w:szCs w:val="24"/>
        </w:rPr>
        <w:t xml:space="preserve">“Por medio del cual se establecen instrumentos jurídicos para facilitar y asegurar la implementación y </w:t>
      </w:r>
      <w:r w:rsidRPr="008F0A8C">
        <w:rPr>
          <w:rFonts w:ascii="Century Gothic" w:hAnsi="Century Gothic"/>
          <w:i/>
          <w:color w:val="000000" w:themeColor="text1"/>
          <w:sz w:val="24"/>
          <w:szCs w:val="24"/>
        </w:rPr>
        <w:lastRenderedPageBreak/>
        <w:t xml:space="preserve">el desarrollo normativo del acuerdo final para la terminación del conflicto y la construcción de una paz estable y duradera”, </w:t>
      </w:r>
      <w:r w:rsidRPr="008F0A8C">
        <w:rPr>
          <w:rFonts w:ascii="Century Gothic" w:hAnsi="Century Gothic"/>
          <w:color w:val="000000" w:themeColor="text1"/>
          <w:sz w:val="24"/>
          <w:szCs w:val="24"/>
        </w:rPr>
        <w:t>mediante el Comunicado N° 28 (Sentencia C-</w:t>
      </w:r>
      <w:r w:rsidRPr="008F0A8C">
        <w:rPr>
          <w:rFonts w:ascii="Century Gothic" w:hAnsi="Century Gothic"/>
          <w:color w:val="000000" w:themeColor="text1"/>
          <w:sz w:val="24"/>
          <w:szCs w:val="24"/>
          <w:shd w:val="clear" w:color="auto" w:fill="FFFFFF"/>
        </w:rPr>
        <w:t>332 del 2017)</w:t>
      </w:r>
      <w:r w:rsidRPr="008F0A8C">
        <w:rPr>
          <w:rFonts w:ascii="Century Gothic" w:hAnsi="Century Gothic"/>
          <w:color w:val="000000" w:themeColor="text1"/>
          <w:sz w:val="24"/>
          <w:szCs w:val="24"/>
        </w:rPr>
        <w:t>, en el cual declaró inexequibles los literales h) y j) del artículo 1° del mentado acto reformatorio de la Constitución.</w:t>
      </w:r>
    </w:p>
    <w:p w:rsidR="002B279C" w:rsidRPr="008F0A8C" w:rsidRDefault="002B279C" w:rsidP="002B279C">
      <w:pPr>
        <w:spacing w:after="0" w:line="240" w:lineRule="auto"/>
        <w:contextualSpacing/>
        <w:jc w:val="both"/>
        <w:rPr>
          <w:rFonts w:ascii="Century Gothic" w:hAnsi="Century Gothic"/>
          <w:color w:val="000000" w:themeColor="text1"/>
          <w:sz w:val="24"/>
          <w:szCs w:val="24"/>
        </w:rPr>
      </w:pPr>
    </w:p>
    <w:p w:rsidR="002B279C" w:rsidRPr="008F0A8C" w:rsidRDefault="002B279C" w:rsidP="002B279C">
      <w:pPr>
        <w:spacing w:line="360" w:lineRule="auto"/>
        <w:contextualSpacing/>
        <w:jc w:val="both"/>
        <w:rPr>
          <w:rFonts w:ascii="Century Gothic" w:hAnsi="Century Gothic"/>
          <w:color w:val="000000" w:themeColor="text1"/>
          <w:sz w:val="24"/>
          <w:szCs w:val="24"/>
        </w:rPr>
      </w:pPr>
      <w:r w:rsidRPr="008F0A8C">
        <w:rPr>
          <w:rFonts w:ascii="Century Gothic" w:hAnsi="Century Gothic"/>
          <w:color w:val="000000" w:themeColor="text1"/>
          <w:sz w:val="24"/>
          <w:szCs w:val="24"/>
        </w:rPr>
        <w:t>El máximo Tribunal Constitucional, concluyó que tales disposiciones contenían limitaciones desproporcionadas a la capacidad deliberativa y decisoria del Congreso, en materias que pueden conducir a reformas estructurales del ordenamiento jurídico, así mismo, la corporación judicial precisó que los literales resultaban incompatibles con el principio democrático y de separación de poderes y, por consiguiente, sustituían parcialmente la Constitución.</w:t>
      </w:r>
    </w:p>
    <w:p w:rsidR="002B279C" w:rsidRPr="008F0A8C" w:rsidRDefault="002B279C" w:rsidP="002B279C">
      <w:pPr>
        <w:spacing w:line="240" w:lineRule="auto"/>
        <w:contextualSpacing/>
        <w:jc w:val="both"/>
        <w:rPr>
          <w:rFonts w:ascii="Century Gothic" w:hAnsi="Century Gothic"/>
          <w:color w:val="000000" w:themeColor="text1"/>
          <w:sz w:val="24"/>
          <w:szCs w:val="24"/>
        </w:rPr>
      </w:pPr>
    </w:p>
    <w:p w:rsidR="002B279C" w:rsidRPr="008F0A8C" w:rsidRDefault="002B279C" w:rsidP="002B279C">
      <w:pPr>
        <w:spacing w:line="360" w:lineRule="auto"/>
        <w:contextualSpacing/>
        <w:jc w:val="both"/>
        <w:rPr>
          <w:rFonts w:ascii="Century Gothic" w:hAnsi="Century Gothic" w:cs="ArialMT"/>
          <w:color w:val="000000" w:themeColor="text1"/>
          <w:sz w:val="24"/>
          <w:szCs w:val="24"/>
        </w:rPr>
      </w:pPr>
      <w:r w:rsidRPr="008F0A8C">
        <w:rPr>
          <w:rFonts w:ascii="Century Gothic" w:hAnsi="Century Gothic"/>
          <w:color w:val="000000" w:themeColor="text1"/>
          <w:sz w:val="24"/>
          <w:szCs w:val="24"/>
        </w:rPr>
        <w:t xml:space="preserve">Lo resuelto por la Corte, si bien reconoce la independencia e importancia del Congreso de la República dentro del procedimiento del </w:t>
      </w:r>
      <w:r w:rsidRPr="008F0A8C">
        <w:rPr>
          <w:rFonts w:ascii="Century Gothic" w:hAnsi="Century Gothic" w:cs="ArialMT"/>
          <w:color w:val="000000" w:themeColor="text1"/>
          <w:sz w:val="24"/>
          <w:szCs w:val="24"/>
        </w:rPr>
        <w:t>“</w:t>
      </w:r>
      <w:r w:rsidRPr="008F0A8C">
        <w:rPr>
          <w:rFonts w:ascii="Century Gothic" w:hAnsi="Century Gothic" w:cs="ArialMT"/>
          <w:i/>
          <w:color w:val="000000" w:themeColor="text1"/>
          <w:sz w:val="24"/>
          <w:szCs w:val="24"/>
        </w:rPr>
        <w:t>fast track” (</w:t>
      </w:r>
      <w:r w:rsidRPr="008F0A8C">
        <w:rPr>
          <w:rFonts w:ascii="Century Gothic" w:hAnsi="Century Gothic" w:cs="ArialMT"/>
          <w:color w:val="000000" w:themeColor="text1"/>
          <w:sz w:val="24"/>
          <w:szCs w:val="24"/>
        </w:rPr>
        <w:t>vía rápida</w:t>
      </w:r>
      <w:r w:rsidRPr="008F0A8C">
        <w:rPr>
          <w:rFonts w:ascii="Century Gothic" w:hAnsi="Century Gothic" w:cs="ArialMT"/>
          <w:i/>
          <w:color w:val="000000" w:themeColor="text1"/>
          <w:sz w:val="24"/>
          <w:szCs w:val="24"/>
        </w:rPr>
        <w:t xml:space="preserve">), </w:t>
      </w:r>
      <w:r w:rsidRPr="008F0A8C">
        <w:rPr>
          <w:rFonts w:ascii="Century Gothic" w:hAnsi="Century Gothic" w:cs="ArialMT"/>
          <w:color w:val="000000" w:themeColor="text1"/>
          <w:sz w:val="24"/>
          <w:szCs w:val="24"/>
        </w:rPr>
        <w:t>no cambia</w:t>
      </w:r>
      <w:r w:rsidRPr="008F0A8C">
        <w:rPr>
          <w:rFonts w:ascii="Century Gothic" w:hAnsi="Century Gothic" w:cs="ArialMT"/>
          <w:i/>
          <w:color w:val="000000" w:themeColor="text1"/>
          <w:sz w:val="24"/>
          <w:szCs w:val="24"/>
        </w:rPr>
        <w:t xml:space="preserve"> </w:t>
      </w:r>
      <w:r w:rsidRPr="008F0A8C">
        <w:rPr>
          <w:rFonts w:ascii="Century Gothic" w:hAnsi="Century Gothic" w:cs="ArialMT"/>
          <w:color w:val="000000" w:themeColor="text1"/>
          <w:sz w:val="24"/>
          <w:szCs w:val="24"/>
        </w:rPr>
        <w:t>el hecho, de que ese instrumento devenga de escenarios ilegítimos, y que por tanto, todo lo que surja de él tenga su misma suerte.</w:t>
      </w:r>
    </w:p>
    <w:p w:rsidR="002B279C" w:rsidRPr="007A398F" w:rsidRDefault="002B279C" w:rsidP="002B279C">
      <w:pPr>
        <w:spacing w:after="0" w:line="240" w:lineRule="auto"/>
        <w:contextualSpacing/>
        <w:jc w:val="both"/>
        <w:rPr>
          <w:rFonts w:ascii="Century Gothic" w:hAnsi="Century Gothic" w:cs="ArialMT"/>
          <w:color w:val="FF0000"/>
          <w:sz w:val="24"/>
          <w:szCs w:val="24"/>
        </w:rPr>
      </w:pPr>
    </w:p>
    <w:p w:rsidR="002B279C" w:rsidRDefault="002B279C" w:rsidP="002B279C">
      <w:pPr>
        <w:autoSpaceDE w:val="0"/>
        <w:autoSpaceDN w:val="0"/>
        <w:adjustRightInd w:val="0"/>
        <w:spacing w:after="0" w:line="360" w:lineRule="auto"/>
        <w:contextualSpacing/>
        <w:jc w:val="both"/>
        <w:rPr>
          <w:rFonts w:ascii="Century Gothic" w:hAnsi="Century Gothic" w:cs="ArialMT"/>
          <w:sz w:val="24"/>
          <w:szCs w:val="24"/>
        </w:rPr>
      </w:pPr>
      <w:r>
        <w:rPr>
          <w:rFonts w:ascii="Century Gothic" w:hAnsi="Century Gothic" w:cs="ArialMT"/>
          <w:sz w:val="24"/>
          <w:szCs w:val="24"/>
        </w:rPr>
        <w:t xml:space="preserve">Así las cosas, todos los Proyectos del Ley y de Acto Legislativo deben ser tramitados de manera ordinaria y conforme a la ley 5 de 1992. </w:t>
      </w:r>
    </w:p>
    <w:p w:rsidR="00245A4A" w:rsidRDefault="00245A4A" w:rsidP="002B279C">
      <w:pPr>
        <w:autoSpaceDE w:val="0"/>
        <w:autoSpaceDN w:val="0"/>
        <w:adjustRightInd w:val="0"/>
        <w:spacing w:after="0" w:line="360" w:lineRule="auto"/>
        <w:contextualSpacing/>
        <w:jc w:val="both"/>
        <w:rPr>
          <w:rFonts w:ascii="Century Gothic" w:hAnsi="Century Gothic" w:cs="ArialMT"/>
          <w:sz w:val="24"/>
          <w:szCs w:val="24"/>
        </w:rPr>
      </w:pPr>
    </w:p>
    <w:p w:rsidR="00245A4A" w:rsidRDefault="00245A4A" w:rsidP="002B279C">
      <w:pPr>
        <w:autoSpaceDE w:val="0"/>
        <w:autoSpaceDN w:val="0"/>
        <w:adjustRightInd w:val="0"/>
        <w:spacing w:after="0" w:line="360" w:lineRule="auto"/>
        <w:contextualSpacing/>
        <w:jc w:val="both"/>
        <w:rPr>
          <w:rFonts w:ascii="Century Gothic" w:hAnsi="Century Gothic" w:cs="ArialMT"/>
          <w:sz w:val="24"/>
          <w:szCs w:val="24"/>
        </w:rPr>
      </w:pPr>
    </w:p>
    <w:p w:rsidR="00245A4A" w:rsidRDefault="00245A4A" w:rsidP="002B279C">
      <w:pPr>
        <w:autoSpaceDE w:val="0"/>
        <w:autoSpaceDN w:val="0"/>
        <w:adjustRightInd w:val="0"/>
        <w:spacing w:after="0" w:line="360" w:lineRule="auto"/>
        <w:contextualSpacing/>
        <w:jc w:val="both"/>
        <w:rPr>
          <w:rFonts w:ascii="Century Gothic" w:hAnsi="Century Gothic" w:cs="ArialMT"/>
          <w:sz w:val="24"/>
          <w:szCs w:val="24"/>
        </w:rPr>
      </w:pP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r w:rsidRPr="00245A4A">
        <w:rPr>
          <w:rFonts w:ascii="Century Gothic" w:eastAsia="Times New Roman" w:hAnsi="Century Gothic" w:cs="Times New Roman"/>
          <w:b/>
          <w:bCs/>
          <w:iCs/>
          <w:color w:val="000000"/>
          <w:sz w:val="24"/>
          <w:szCs w:val="24"/>
          <w:lang w:val="es-ES_tradnl" w:eastAsia="es-CO"/>
        </w:rPr>
        <w:t>PROPOSICIÓN</w:t>
      </w: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p>
    <w:p w:rsidR="00245A4A" w:rsidRPr="00F35AFA" w:rsidRDefault="00245A4A" w:rsidP="00245A4A">
      <w:pPr>
        <w:spacing w:after="0" w:line="360" w:lineRule="auto"/>
        <w:contextualSpacing/>
        <w:jc w:val="both"/>
        <w:rPr>
          <w:rFonts w:ascii="Century Gothic" w:eastAsia="Times New Roman" w:hAnsi="Century Gothic" w:cs="Arial"/>
          <w:i/>
          <w:sz w:val="24"/>
          <w:szCs w:val="24"/>
          <w:lang w:eastAsia="es-CO"/>
        </w:rPr>
      </w:pPr>
      <w:r w:rsidRPr="00245A4A">
        <w:rPr>
          <w:rFonts w:ascii="Century Gothic" w:eastAsia="Times New Roman" w:hAnsi="Century Gothic" w:cs="Times New Roman"/>
          <w:bCs/>
          <w:iCs/>
          <w:color w:val="000000"/>
          <w:sz w:val="24"/>
          <w:szCs w:val="24"/>
          <w:lang w:val="es-ES_tradnl" w:eastAsia="es-CO"/>
        </w:rPr>
        <w:t>De acuerdo a lo ex</w:t>
      </w:r>
      <w:r w:rsidR="00F35AFA">
        <w:rPr>
          <w:rFonts w:ascii="Century Gothic" w:eastAsia="Times New Roman" w:hAnsi="Century Gothic" w:cs="Times New Roman"/>
          <w:bCs/>
          <w:iCs/>
          <w:color w:val="000000"/>
          <w:sz w:val="24"/>
          <w:szCs w:val="24"/>
          <w:lang w:val="es-ES_tradnl" w:eastAsia="es-CO"/>
        </w:rPr>
        <w:t xml:space="preserve">puesto anteriormente, presento </w:t>
      </w:r>
      <w:r w:rsidR="00F35AFA" w:rsidRPr="00F35AFA">
        <w:rPr>
          <w:rFonts w:ascii="Century Gothic" w:eastAsia="Times New Roman" w:hAnsi="Century Gothic" w:cs="Times New Roman"/>
          <w:b/>
          <w:bCs/>
          <w:iCs/>
          <w:color w:val="000000"/>
          <w:sz w:val="24"/>
          <w:szCs w:val="24"/>
          <w:lang w:val="es-ES_tradnl" w:eastAsia="es-CO"/>
        </w:rPr>
        <w:t>P</w:t>
      </w:r>
      <w:r w:rsidRPr="00F35AFA">
        <w:rPr>
          <w:rFonts w:ascii="Century Gothic" w:eastAsia="Times New Roman" w:hAnsi="Century Gothic" w:cs="Times New Roman"/>
          <w:b/>
          <w:bCs/>
          <w:iCs/>
          <w:color w:val="000000"/>
          <w:sz w:val="24"/>
          <w:szCs w:val="24"/>
          <w:lang w:val="es-ES_tradnl" w:eastAsia="es-CO"/>
        </w:rPr>
        <w:t xml:space="preserve">onencia </w:t>
      </w:r>
      <w:r w:rsidR="00F35AFA" w:rsidRPr="00F35AFA">
        <w:rPr>
          <w:rFonts w:ascii="Century Gothic" w:eastAsia="Times New Roman" w:hAnsi="Century Gothic" w:cs="Times New Roman"/>
          <w:b/>
          <w:bCs/>
          <w:iCs/>
          <w:color w:val="000000"/>
          <w:sz w:val="24"/>
          <w:szCs w:val="24"/>
          <w:lang w:val="es-ES_tradnl" w:eastAsia="es-CO"/>
        </w:rPr>
        <w:t>N</w:t>
      </w:r>
      <w:r w:rsidRPr="00F35AFA">
        <w:rPr>
          <w:rFonts w:ascii="Century Gothic" w:eastAsia="Times New Roman" w:hAnsi="Century Gothic" w:cs="Times New Roman"/>
          <w:b/>
          <w:bCs/>
          <w:iCs/>
          <w:color w:val="000000"/>
          <w:sz w:val="24"/>
          <w:szCs w:val="24"/>
          <w:lang w:val="es-ES_tradnl" w:eastAsia="es-CO"/>
        </w:rPr>
        <w:t>egativa</w:t>
      </w:r>
      <w:r w:rsidRPr="00245A4A">
        <w:rPr>
          <w:rFonts w:ascii="Century Gothic" w:eastAsia="Times New Roman" w:hAnsi="Century Gothic" w:cs="Times New Roman"/>
          <w:bCs/>
          <w:iCs/>
          <w:color w:val="000000"/>
          <w:sz w:val="24"/>
          <w:szCs w:val="24"/>
          <w:lang w:val="es-ES_tradnl" w:eastAsia="es-CO"/>
        </w:rPr>
        <w:t xml:space="preserve"> al Proyecto</w:t>
      </w:r>
      <w:r>
        <w:rPr>
          <w:rFonts w:ascii="Century Gothic" w:eastAsia="Times New Roman" w:hAnsi="Century Gothic" w:cs="Times New Roman"/>
          <w:bCs/>
          <w:iCs/>
          <w:color w:val="000000"/>
          <w:sz w:val="24"/>
          <w:szCs w:val="24"/>
          <w:lang w:val="es-ES_tradnl" w:eastAsia="es-CO"/>
        </w:rPr>
        <w:t xml:space="preserve"> de </w:t>
      </w:r>
      <w:r w:rsidRPr="002B279C">
        <w:rPr>
          <w:rFonts w:ascii="Century Gothic" w:hAnsi="Century Gothic"/>
          <w:color w:val="000000" w:themeColor="text1"/>
          <w:sz w:val="24"/>
          <w:szCs w:val="24"/>
        </w:rPr>
        <w:t xml:space="preserve">Ley No. 018 de 2017 Cámara - 009 de 2017 Senado </w:t>
      </w:r>
      <w:r w:rsidRPr="00F35AFA">
        <w:rPr>
          <w:rFonts w:ascii="Century Gothic" w:hAnsi="Century Gothic"/>
          <w:i/>
          <w:color w:val="000000" w:themeColor="text1"/>
          <w:sz w:val="24"/>
          <w:szCs w:val="24"/>
        </w:rPr>
        <w:t>“</w:t>
      </w:r>
      <w:r w:rsidRPr="00F35AFA">
        <w:rPr>
          <w:rFonts w:ascii="Century Gothic" w:eastAsia="Times New Roman" w:hAnsi="Century Gothic" w:cs="Arial"/>
          <w:i/>
          <w:sz w:val="24"/>
          <w:szCs w:val="24"/>
          <w:lang w:eastAsia="es-CO"/>
        </w:rPr>
        <w:t>Por la cual se habilita la adjudicación o el otorgamiento de uso de baldíos en reservas forestales protectoras-productoras y de reserva forestal de la Ley 2ª de 1959, sin sustracción y se dictan otras disposiciones”.</w:t>
      </w: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p>
    <w:p w:rsidR="00245A4A" w:rsidRPr="00245A4A" w:rsidRDefault="00245A4A" w:rsidP="00245A4A">
      <w:pPr>
        <w:spacing w:after="0"/>
        <w:jc w:val="center"/>
        <w:rPr>
          <w:rFonts w:ascii="Century Gothic" w:eastAsia="Times New Roman" w:hAnsi="Century Gothic" w:cs="Times New Roman"/>
          <w:b/>
          <w:bCs/>
          <w:iCs/>
          <w:color w:val="000000"/>
          <w:sz w:val="24"/>
          <w:szCs w:val="24"/>
          <w:lang w:val="es-ES_tradnl" w:eastAsia="es-CO"/>
        </w:rPr>
      </w:pPr>
    </w:p>
    <w:p w:rsidR="00245A4A" w:rsidRPr="00245A4A" w:rsidRDefault="00245A4A" w:rsidP="00245A4A">
      <w:pPr>
        <w:spacing w:after="0"/>
        <w:jc w:val="center"/>
        <w:rPr>
          <w:rFonts w:ascii="Century Gothic" w:hAnsi="Century Gothic" w:cs="Times New Roman"/>
          <w:b/>
          <w:sz w:val="24"/>
          <w:szCs w:val="24"/>
        </w:rPr>
      </w:pPr>
      <w:r w:rsidRPr="00245A4A">
        <w:rPr>
          <w:rFonts w:ascii="Century Gothic" w:hAnsi="Century Gothic" w:cs="Times New Roman"/>
          <w:b/>
          <w:sz w:val="24"/>
          <w:szCs w:val="24"/>
        </w:rPr>
        <w:t>RUBEN DARIO MOLANO PIÑEROS</w:t>
      </w:r>
    </w:p>
    <w:p w:rsidR="00245A4A" w:rsidRDefault="00245A4A" w:rsidP="00245A4A">
      <w:pPr>
        <w:spacing w:after="0"/>
        <w:jc w:val="center"/>
        <w:rPr>
          <w:rFonts w:ascii="Century Gothic" w:hAnsi="Century Gothic" w:cs="Times New Roman"/>
          <w:sz w:val="24"/>
          <w:szCs w:val="24"/>
        </w:rPr>
      </w:pPr>
      <w:r w:rsidRPr="00245A4A">
        <w:rPr>
          <w:rFonts w:ascii="Century Gothic" w:hAnsi="Century Gothic" w:cs="Times New Roman"/>
          <w:sz w:val="24"/>
          <w:szCs w:val="24"/>
        </w:rPr>
        <w:t>Representante a la Cámara</w:t>
      </w:r>
    </w:p>
    <w:p w:rsidR="00F35AFA" w:rsidRPr="00245A4A" w:rsidRDefault="00F35AFA" w:rsidP="00245A4A">
      <w:pPr>
        <w:spacing w:after="0"/>
        <w:jc w:val="center"/>
        <w:rPr>
          <w:rFonts w:ascii="Century Gothic" w:hAnsi="Century Gothic" w:cs="Times New Roman"/>
          <w:sz w:val="24"/>
          <w:szCs w:val="24"/>
        </w:rPr>
      </w:pPr>
      <w:r>
        <w:rPr>
          <w:rFonts w:ascii="Century Gothic" w:hAnsi="Century Gothic" w:cs="Times New Roman"/>
          <w:sz w:val="24"/>
          <w:szCs w:val="24"/>
        </w:rPr>
        <w:lastRenderedPageBreak/>
        <w:t>Departamento de Cundinamarca</w:t>
      </w:r>
    </w:p>
    <w:p w:rsidR="00245A4A" w:rsidRDefault="00245A4A" w:rsidP="00245A4A">
      <w:pPr>
        <w:spacing w:after="0"/>
        <w:jc w:val="center"/>
        <w:rPr>
          <w:rFonts w:ascii="Times New Roman" w:eastAsia="Times New Roman" w:hAnsi="Times New Roman" w:cs="Times New Roman"/>
          <w:b/>
          <w:bCs/>
          <w:iCs/>
          <w:color w:val="000000"/>
          <w:sz w:val="24"/>
          <w:szCs w:val="24"/>
          <w:lang w:val="es-ES_tradnl" w:eastAsia="es-CO"/>
        </w:rPr>
      </w:pPr>
    </w:p>
    <w:p w:rsidR="00245A4A" w:rsidRPr="00674CBC" w:rsidRDefault="00245A4A" w:rsidP="002B279C">
      <w:pPr>
        <w:autoSpaceDE w:val="0"/>
        <w:autoSpaceDN w:val="0"/>
        <w:adjustRightInd w:val="0"/>
        <w:spacing w:after="0" w:line="360" w:lineRule="auto"/>
        <w:contextualSpacing/>
        <w:jc w:val="both"/>
        <w:rPr>
          <w:rFonts w:ascii="Century Gothic" w:hAnsi="Century Gothic"/>
          <w:sz w:val="24"/>
          <w:szCs w:val="24"/>
        </w:rPr>
      </w:pPr>
    </w:p>
    <w:p w:rsidR="00FC7810" w:rsidRDefault="000A315E"/>
    <w:p w:rsidR="00245A4A" w:rsidRDefault="00245A4A"/>
    <w:p w:rsidR="00245A4A" w:rsidRDefault="00245A4A"/>
    <w:p w:rsidR="00245A4A" w:rsidRDefault="00245A4A"/>
    <w:p w:rsidR="00245A4A" w:rsidRDefault="00245A4A"/>
    <w:p w:rsidR="00245A4A" w:rsidRDefault="00245A4A"/>
    <w:p w:rsidR="00245A4A" w:rsidRDefault="00245A4A"/>
    <w:p w:rsidR="00245A4A" w:rsidRDefault="00245A4A"/>
    <w:p w:rsidR="00245A4A" w:rsidRDefault="00245A4A"/>
    <w:sectPr w:rsidR="00245A4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5D1" w:rsidRDefault="004725D1" w:rsidP="002B279C">
      <w:pPr>
        <w:spacing w:after="0" w:line="240" w:lineRule="auto"/>
      </w:pPr>
      <w:r>
        <w:separator/>
      </w:r>
    </w:p>
  </w:endnote>
  <w:endnote w:type="continuationSeparator" w:id="0">
    <w:p w:rsidR="004725D1" w:rsidRDefault="004725D1" w:rsidP="002B2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Bold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5D1" w:rsidRDefault="004725D1" w:rsidP="002B279C">
      <w:pPr>
        <w:spacing w:after="0" w:line="240" w:lineRule="auto"/>
      </w:pPr>
      <w:r>
        <w:separator/>
      </w:r>
    </w:p>
  </w:footnote>
  <w:footnote w:type="continuationSeparator" w:id="0">
    <w:p w:rsidR="004725D1" w:rsidRDefault="004725D1" w:rsidP="002B279C">
      <w:pPr>
        <w:spacing w:after="0" w:line="240" w:lineRule="auto"/>
      </w:pPr>
      <w:r>
        <w:continuationSeparator/>
      </w:r>
    </w:p>
  </w:footnote>
  <w:footnote w:id="1">
    <w:p w:rsidR="002B279C" w:rsidRPr="008939B4" w:rsidRDefault="002B279C" w:rsidP="002B279C">
      <w:pPr>
        <w:pStyle w:val="Textonotapie"/>
        <w:jc w:val="both"/>
        <w:rPr>
          <w:rFonts w:ascii="Century Gothic" w:hAnsi="Century Gothic"/>
          <w:sz w:val="18"/>
          <w:szCs w:val="18"/>
        </w:rPr>
      </w:pPr>
      <w:r w:rsidRPr="008939B4">
        <w:rPr>
          <w:rStyle w:val="Refdenotaalpie"/>
          <w:rFonts w:ascii="Century Gothic" w:hAnsi="Century Gothic"/>
          <w:sz w:val="19"/>
          <w:szCs w:val="19"/>
        </w:rPr>
        <w:footnoteRef/>
      </w:r>
      <w:r w:rsidRPr="008939B4">
        <w:rPr>
          <w:rFonts w:ascii="Century Gothic" w:hAnsi="Century Gothic"/>
          <w:sz w:val="19"/>
          <w:szCs w:val="19"/>
        </w:rPr>
        <w:t xml:space="preserve"> </w:t>
      </w:r>
      <w:r w:rsidRPr="008939B4">
        <w:rPr>
          <w:rFonts w:ascii="Century Gothic" w:hAnsi="Century Gothic"/>
          <w:sz w:val="18"/>
          <w:szCs w:val="18"/>
        </w:rPr>
        <w:t>Corte Constitucional, Sentencia C-142 de 200, M.P Eduardo Montealegre Lynett</w:t>
      </w:r>
      <w:r>
        <w:rPr>
          <w:rFonts w:ascii="Century Gothic" w:hAnsi="Century Gothic"/>
          <w:sz w:val="18"/>
          <w:szCs w:val="18"/>
        </w:rPr>
        <w:t>.</w:t>
      </w:r>
    </w:p>
  </w:footnote>
  <w:footnote w:id="2">
    <w:p w:rsidR="002B279C" w:rsidRPr="008939B4" w:rsidRDefault="002B279C" w:rsidP="002B279C">
      <w:pPr>
        <w:pStyle w:val="Textonotapie"/>
        <w:jc w:val="both"/>
        <w:rPr>
          <w:rFonts w:ascii="Century Gothic" w:hAnsi="Century Gothic"/>
          <w:sz w:val="18"/>
          <w:szCs w:val="18"/>
        </w:rPr>
      </w:pPr>
      <w:r w:rsidRPr="008939B4">
        <w:rPr>
          <w:rStyle w:val="Refdenotaalpie"/>
          <w:rFonts w:ascii="Century Gothic" w:hAnsi="Century Gothic"/>
          <w:sz w:val="18"/>
          <w:szCs w:val="18"/>
        </w:rPr>
        <w:footnoteRef/>
      </w:r>
      <w:r w:rsidRPr="008939B4">
        <w:rPr>
          <w:rFonts w:ascii="Century Gothic" w:hAnsi="Century Gothic"/>
          <w:sz w:val="18"/>
          <w:szCs w:val="18"/>
        </w:rPr>
        <w:t xml:space="preserve"> </w:t>
      </w:r>
      <w:r w:rsidRPr="008939B4">
        <w:rPr>
          <w:rFonts w:ascii="Century Gothic" w:hAnsi="Century Gothic" w:cs="Calibri"/>
          <w:sz w:val="18"/>
          <w:szCs w:val="18"/>
        </w:rPr>
        <w:t>Corte Constitucional, Sentencia C-551 de 2003. M.P MONTEALEGRE LYNETT, Eduardo.</w:t>
      </w:r>
    </w:p>
  </w:footnote>
  <w:footnote w:id="3">
    <w:p w:rsidR="002B279C" w:rsidRPr="000E7387" w:rsidRDefault="002B279C" w:rsidP="002B279C">
      <w:pPr>
        <w:autoSpaceDE w:val="0"/>
        <w:autoSpaceDN w:val="0"/>
        <w:adjustRightInd w:val="0"/>
        <w:spacing w:after="0" w:line="240" w:lineRule="auto"/>
        <w:jc w:val="both"/>
        <w:rPr>
          <w:rFonts w:ascii="Century Gothic" w:hAnsi="Century Gothic" w:cs="Calibri"/>
          <w:sz w:val="18"/>
          <w:szCs w:val="18"/>
        </w:rPr>
      </w:pPr>
      <w:r w:rsidRPr="008939B4">
        <w:rPr>
          <w:rStyle w:val="Refdenotaalpie"/>
          <w:rFonts w:ascii="Century Gothic" w:hAnsi="Century Gothic"/>
          <w:sz w:val="18"/>
          <w:szCs w:val="18"/>
        </w:rPr>
        <w:footnoteRef/>
      </w:r>
      <w:r w:rsidRPr="008939B4">
        <w:rPr>
          <w:rFonts w:ascii="Century Gothic" w:hAnsi="Century Gothic"/>
          <w:sz w:val="18"/>
          <w:szCs w:val="18"/>
        </w:rPr>
        <w:t xml:space="preserve"> </w:t>
      </w:r>
      <w:r w:rsidRPr="008939B4">
        <w:rPr>
          <w:rFonts w:ascii="Century Gothic" w:hAnsi="Century Gothic" w:cs="Calibri"/>
          <w:sz w:val="18"/>
          <w:szCs w:val="18"/>
        </w:rPr>
        <w:t>Corte Constitucional, Sentencia C-1200 de 2003. M.P CEPEDA ESPINOSA, Manuel José; ESCOBAR GIL,</w:t>
      </w:r>
      <w:r>
        <w:rPr>
          <w:rFonts w:ascii="Century Gothic" w:hAnsi="Century Gothic" w:cs="Calibri"/>
          <w:sz w:val="18"/>
          <w:szCs w:val="18"/>
        </w:rPr>
        <w:t xml:space="preserve"> </w:t>
      </w:r>
      <w:r w:rsidRPr="008939B4">
        <w:rPr>
          <w:rFonts w:ascii="Century Gothic" w:hAnsi="Century Gothic" w:cs="Calibri"/>
          <w:sz w:val="18"/>
          <w:szCs w:val="18"/>
        </w:rPr>
        <w:t>Rodrigo.</w:t>
      </w:r>
    </w:p>
  </w:footnote>
  <w:footnote w:id="4">
    <w:p w:rsidR="002B279C" w:rsidRPr="00ED4A49" w:rsidRDefault="002B279C" w:rsidP="002B279C">
      <w:pPr>
        <w:pStyle w:val="Textonotapie"/>
        <w:jc w:val="both"/>
        <w:rPr>
          <w:sz w:val="18"/>
          <w:szCs w:val="18"/>
        </w:rPr>
      </w:pPr>
      <w:r w:rsidRPr="008939B4">
        <w:rPr>
          <w:rStyle w:val="Refdenotaalpie"/>
          <w:rFonts w:ascii="Century Gothic" w:hAnsi="Century Gothic"/>
          <w:sz w:val="18"/>
          <w:szCs w:val="18"/>
        </w:rPr>
        <w:footnoteRef/>
      </w:r>
      <w:r w:rsidRPr="008939B4">
        <w:rPr>
          <w:rFonts w:ascii="Century Gothic" w:hAnsi="Century Gothic"/>
          <w:sz w:val="18"/>
          <w:szCs w:val="18"/>
        </w:rPr>
        <w:t xml:space="preserve"> </w:t>
      </w:r>
      <w:r w:rsidRPr="008939B4">
        <w:rPr>
          <w:rFonts w:ascii="Century Gothic" w:hAnsi="Century Gothic" w:cs="Calibri"/>
          <w:sz w:val="18"/>
          <w:szCs w:val="18"/>
        </w:rPr>
        <w:t>Corte Constitucional, Sentencia C-249 de 2012. M.P HENAO PÉREZ, Juan Carlos.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67920"/>
    <w:multiLevelType w:val="hybridMultilevel"/>
    <w:tmpl w:val="0A00E15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05F669C3"/>
    <w:multiLevelType w:val="hybridMultilevel"/>
    <w:tmpl w:val="FEBE56B0"/>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2">
    <w:nsid w:val="09B8003F"/>
    <w:multiLevelType w:val="hybridMultilevel"/>
    <w:tmpl w:val="5090318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0FD50F28"/>
    <w:multiLevelType w:val="hybridMultilevel"/>
    <w:tmpl w:val="40F6A85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1E6D7BEF"/>
    <w:multiLevelType w:val="hybridMultilevel"/>
    <w:tmpl w:val="9606E2E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316E1721"/>
    <w:multiLevelType w:val="hybridMultilevel"/>
    <w:tmpl w:val="F59AD2C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326D4928"/>
    <w:multiLevelType w:val="hybridMultilevel"/>
    <w:tmpl w:val="A498C7D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3FE16348"/>
    <w:multiLevelType w:val="hybridMultilevel"/>
    <w:tmpl w:val="17D82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2B968FD"/>
    <w:multiLevelType w:val="hybridMultilevel"/>
    <w:tmpl w:val="3EDCD5C2"/>
    <w:lvl w:ilvl="0" w:tplc="272C1A4E">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6E87B9C"/>
    <w:multiLevelType w:val="hybridMultilevel"/>
    <w:tmpl w:val="E5BAC360"/>
    <w:lvl w:ilvl="0" w:tplc="272C1A4E">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E7D4B35"/>
    <w:multiLevelType w:val="hybridMultilevel"/>
    <w:tmpl w:val="FBDE2CC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nsid w:val="4ED05332"/>
    <w:multiLevelType w:val="hybridMultilevel"/>
    <w:tmpl w:val="CB062FD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547713F2"/>
    <w:multiLevelType w:val="hybridMultilevel"/>
    <w:tmpl w:val="DDB640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nsid w:val="57CE4530"/>
    <w:multiLevelType w:val="hybridMultilevel"/>
    <w:tmpl w:val="BBBA704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C574900"/>
    <w:multiLevelType w:val="hybridMultilevel"/>
    <w:tmpl w:val="8D7686C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nsid w:val="69971043"/>
    <w:multiLevelType w:val="hybridMultilevel"/>
    <w:tmpl w:val="1B8C1E9E"/>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6">
    <w:nsid w:val="6B59124E"/>
    <w:multiLevelType w:val="multilevel"/>
    <w:tmpl w:val="F908296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1547224"/>
    <w:multiLevelType w:val="hybridMultilevel"/>
    <w:tmpl w:val="C840B31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74B46A1F"/>
    <w:multiLevelType w:val="hybridMultilevel"/>
    <w:tmpl w:val="DF3CC6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6613166"/>
    <w:multiLevelType w:val="hybridMultilevel"/>
    <w:tmpl w:val="B25C1760"/>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15"/>
  </w:num>
  <w:num w:numId="6">
    <w:abstractNumId w:val="19"/>
  </w:num>
  <w:num w:numId="7">
    <w:abstractNumId w:val="1"/>
  </w:num>
  <w:num w:numId="8">
    <w:abstractNumId w:val="3"/>
  </w:num>
  <w:num w:numId="9">
    <w:abstractNumId w:val="2"/>
  </w:num>
  <w:num w:numId="10">
    <w:abstractNumId w:val="4"/>
  </w:num>
  <w:num w:numId="11">
    <w:abstractNumId w:val="11"/>
  </w:num>
  <w:num w:numId="12">
    <w:abstractNumId w:val="14"/>
  </w:num>
  <w:num w:numId="13">
    <w:abstractNumId w:val="12"/>
  </w:num>
  <w:num w:numId="14">
    <w:abstractNumId w:val="17"/>
  </w:num>
  <w:num w:numId="15">
    <w:abstractNumId w:val="8"/>
  </w:num>
  <w:num w:numId="16">
    <w:abstractNumId w:val="16"/>
  </w:num>
  <w:num w:numId="17">
    <w:abstractNumId w:val="7"/>
  </w:num>
  <w:num w:numId="18">
    <w:abstractNumId w:val="18"/>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79C"/>
    <w:rsid w:val="000A315E"/>
    <w:rsid w:val="001640AC"/>
    <w:rsid w:val="00245A4A"/>
    <w:rsid w:val="002B279C"/>
    <w:rsid w:val="004235D9"/>
    <w:rsid w:val="004725D1"/>
    <w:rsid w:val="004D5C68"/>
    <w:rsid w:val="004E2E6C"/>
    <w:rsid w:val="00600D78"/>
    <w:rsid w:val="0077661D"/>
    <w:rsid w:val="008D6E53"/>
    <w:rsid w:val="00950765"/>
    <w:rsid w:val="00A03A3D"/>
    <w:rsid w:val="00CB1CF3"/>
    <w:rsid w:val="00D432D2"/>
    <w:rsid w:val="00DF3851"/>
    <w:rsid w:val="00F35A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567AA-06EE-4551-85FA-1B74532E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79C"/>
  </w:style>
  <w:style w:type="paragraph" w:styleId="Ttulo3">
    <w:name w:val="heading 3"/>
    <w:basedOn w:val="Normal"/>
    <w:link w:val="Ttulo3Car"/>
    <w:uiPriority w:val="9"/>
    <w:qFormat/>
    <w:rsid w:val="002B279C"/>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2B279C"/>
    <w:rPr>
      <w:rFonts w:ascii="Times New Roman" w:eastAsia="Times New Roman" w:hAnsi="Times New Roman" w:cs="Times New Roman"/>
      <w:b/>
      <w:bCs/>
      <w:sz w:val="27"/>
      <w:szCs w:val="27"/>
      <w:lang w:eastAsia="es-CO"/>
    </w:rPr>
  </w:style>
  <w:style w:type="paragraph" w:styleId="Textonotapie">
    <w:name w:val="footnote text"/>
    <w:basedOn w:val="Normal"/>
    <w:link w:val="TextonotapieCar"/>
    <w:uiPriority w:val="99"/>
    <w:unhideWhenUsed/>
    <w:rsid w:val="002B279C"/>
    <w:pPr>
      <w:spacing w:after="0" w:line="240" w:lineRule="auto"/>
    </w:pPr>
    <w:rPr>
      <w:sz w:val="20"/>
      <w:szCs w:val="20"/>
    </w:rPr>
  </w:style>
  <w:style w:type="character" w:customStyle="1" w:styleId="TextonotapieCar">
    <w:name w:val="Texto nota pie Car"/>
    <w:basedOn w:val="Fuentedeprrafopredeter"/>
    <w:link w:val="Textonotapie"/>
    <w:uiPriority w:val="99"/>
    <w:rsid w:val="002B279C"/>
    <w:rPr>
      <w:sz w:val="20"/>
      <w:szCs w:val="20"/>
    </w:rPr>
  </w:style>
  <w:style w:type="character" w:styleId="Refdenotaalpie">
    <w:name w:val="footnote reference"/>
    <w:basedOn w:val="Fuentedeprrafopredeter"/>
    <w:uiPriority w:val="99"/>
    <w:semiHidden/>
    <w:unhideWhenUsed/>
    <w:rsid w:val="002B279C"/>
    <w:rPr>
      <w:vertAlign w:val="superscript"/>
    </w:rPr>
  </w:style>
  <w:style w:type="paragraph" w:styleId="Prrafodelista">
    <w:name w:val="List Paragraph"/>
    <w:aliases w:val="titulo 3,titulo 5"/>
    <w:basedOn w:val="Normal"/>
    <w:link w:val="PrrafodelistaCar"/>
    <w:uiPriority w:val="34"/>
    <w:qFormat/>
    <w:rsid w:val="002B279C"/>
    <w:pPr>
      <w:ind w:left="720"/>
      <w:contextualSpacing/>
    </w:pPr>
  </w:style>
  <w:style w:type="character" w:customStyle="1" w:styleId="PrrafodelistaCar">
    <w:name w:val="Párrafo de lista Car"/>
    <w:aliases w:val="titulo 3 Car,titulo 5 Car"/>
    <w:link w:val="Prrafodelista"/>
    <w:uiPriority w:val="34"/>
    <w:locked/>
    <w:rsid w:val="002B2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2297</Words>
  <Characters>12637</Characters>
  <Application>Microsoft Office Word</Application>
  <DocSecurity>4</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ab</cp:lastModifiedBy>
  <cp:revision>2</cp:revision>
  <dcterms:created xsi:type="dcterms:W3CDTF">2017-11-08T17:21:00Z</dcterms:created>
  <dcterms:modified xsi:type="dcterms:W3CDTF">2017-11-08T17:21:00Z</dcterms:modified>
</cp:coreProperties>
</file>