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3A" w:rsidRPr="003E733A" w:rsidRDefault="003E733A" w:rsidP="003E733A">
      <w:pPr>
        <w:spacing w:after="0" w:line="240" w:lineRule="auto"/>
        <w:jc w:val="center"/>
        <w:rPr>
          <w:rFonts w:ascii="Arial Narrow" w:hAnsi="Arial Narrow" w:cs="Arial"/>
          <w:b/>
          <w:sz w:val="24"/>
          <w:szCs w:val="24"/>
        </w:rPr>
      </w:pPr>
      <w:r w:rsidRPr="003E733A">
        <w:rPr>
          <w:rFonts w:ascii="Arial Narrow" w:hAnsi="Arial Narrow" w:cs="Arial"/>
          <w:b/>
          <w:sz w:val="24"/>
          <w:szCs w:val="24"/>
        </w:rPr>
        <w:t>RESPUESTAS MINISTERIO DE HACIENDA Y CRÉDITO PÚBLICO</w:t>
      </w:r>
    </w:p>
    <w:p w:rsidR="003E733A" w:rsidRDefault="003E733A" w:rsidP="003E733A">
      <w:pPr>
        <w:spacing w:after="0" w:line="240" w:lineRule="auto"/>
        <w:jc w:val="center"/>
        <w:rPr>
          <w:rFonts w:ascii="Arial Narrow" w:hAnsi="Arial Narrow" w:cs="Arial"/>
          <w:b/>
          <w:sz w:val="24"/>
          <w:szCs w:val="24"/>
        </w:rPr>
      </w:pPr>
      <w:r w:rsidRPr="003E733A">
        <w:rPr>
          <w:rFonts w:ascii="Arial Narrow" w:hAnsi="Arial Narrow" w:cs="Arial"/>
          <w:b/>
          <w:sz w:val="24"/>
          <w:szCs w:val="24"/>
        </w:rPr>
        <w:t>CUESTIONARIO PROPOSICIÓN 017 DE 2012</w:t>
      </w:r>
    </w:p>
    <w:p w:rsidR="00741325" w:rsidRPr="003E733A" w:rsidRDefault="00741325" w:rsidP="003E733A">
      <w:pPr>
        <w:spacing w:after="0" w:line="240" w:lineRule="auto"/>
        <w:jc w:val="center"/>
        <w:rPr>
          <w:rFonts w:ascii="Arial Narrow" w:hAnsi="Arial Narrow" w:cs="Arial"/>
          <w:b/>
          <w:sz w:val="24"/>
          <w:szCs w:val="24"/>
        </w:rPr>
      </w:pPr>
    </w:p>
    <w:p w:rsidR="003E733A" w:rsidRPr="003E733A" w:rsidRDefault="003E733A" w:rsidP="003E733A">
      <w:pPr>
        <w:spacing w:after="0" w:line="240" w:lineRule="auto"/>
        <w:jc w:val="center"/>
        <w:rPr>
          <w:rFonts w:ascii="Arial Narrow" w:hAnsi="Arial Narrow" w:cs="Arial"/>
          <w:b/>
          <w:sz w:val="24"/>
          <w:szCs w:val="24"/>
        </w:rPr>
      </w:pPr>
    </w:p>
    <w:p w:rsidR="003E733A" w:rsidRPr="003E733A" w:rsidRDefault="003E733A" w:rsidP="003E733A">
      <w:pPr>
        <w:pStyle w:val="Prrafodelista"/>
        <w:numPr>
          <w:ilvl w:val="0"/>
          <w:numId w:val="10"/>
        </w:numPr>
        <w:spacing w:after="0" w:line="240" w:lineRule="auto"/>
        <w:jc w:val="both"/>
        <w:rPr>
          <w:rFonts w:ascii="Arial Narrow" w:hAnsi="Arial Narrow" w:cs="Arial"/>
          <w:b/>
          <w:sz w:val="24"/>
          <w:szCs w:val="24"/>
        </w:rPr>
      </w:pPr>
      <w:r w:rsidRPr="003E733A">
        <w:rPr>
          <w:rFonts w:ascii="Arial Narrow" w:hAnsi="Arial Narrow" w:cs="Arial"/>
          <w:b/>
          <w:sz w:val="24"/>
          <w:szCs w:val="24"/>
        </w:rPr>
        <w:t>¿Cuál es la situación financiera actual del Fondo Nacional del Café? ¿Cuál ha sido su evolución Histórica? ¿cuáles son las expectativas a mediano plazo?</w:t>
      </w: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r w:rsidRPr="003E733A">
        <w:rPr>
          <w:rFonts w:ascii="Arial Narrow" w:hAnsi="Arial Narrow" w:cs="Arial"/>
          <w:b/>
          <w:sz w:val="24"/>
          <w:szCs w:val="24"/>
        </w:rPr>
        <w:t>Resumen Variables Cafeteras</w:t>
      </w:r>
    </w:p>
    <w:p w:rsidR="003E733A" w:rsidRPr="003E733A" w:rsidRDefault="003E733A" w:rsidP="003E733A">
      <w:pPr>
        <w:spacing w:after="0" w:line="240" w:lineRule="auto"/>
        <w:jc w:val="both"/>
        <w:rPr>
          <w:rFonts w:ascii="Arial Narrow" w:hAnsi="Arial Narrow"/>
          <w:b/>
          <w:sz w:val="24"/>
          <w:szCs w:val="24"/>
        </w:rPr>
      </w:pPr>
      <w:r w:rsidRPr="003E733A">
        <w:rPr>
          <w:rFonts w:ascii="Arial Narrow" w:hAnsi="Arial Narrow"/>
          <w:noProof/>
          <w:sz w:val="24"/>
          <w:szCs w:val="24"/>
          <w:lang w:eastAsia="es-CO"/>
        </w:rPr>
        <w:drawing>
          <wp:inline distT="0" distB="0" distL="0" distR="0" wp14:anchorId="52A9AED9" wp14:editId="52A5AF45">
            <wp:extent cx="5613400" cy="1998040"/>
            <wp:effectExtent l="19050" t="0" r="635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13400" cy="1998040"/>
                    </a:xfrm>
                    <a:prstGeom prst="rect">
                      <a:avLst/>
                    </a:prstGeom>
                    <a:noFill/>
                    <a:ln w="9525">
                      <a:noFill/>
                      <a:miter lim="800000"/>
                      <a:headEnd/>
                      <a:tailEnd/>
                    </a:ln>
                  </pic:spPr>
                </pic:pic>
              </a:graphicData>
            </a:graphic>
          </wp:inline>
        </w:drawing>
      </w:r>
    </w:p>
    <w:p w:rsidR="003E733A" w:rsidRPr="003E733A" w:rsidRDefault="003E733A" w:rsidP="003E733A">
      <w:pPr>
        <w:spacing w:after="0" w:line="240" w:lineRule="auto"/>
        <w:jc w:val="both"/>
        <w:rPr>
          <w:rFonts w:ascii="Arial Narrow" w:hAnsi="Arial Narrow"/>
          <w:b/>
          <w:sz w:val="24"/>
          <w:szCs w:val="24"/>
          <w:lang w:val="es-MX"/>
        </w:rPr>
      </w:pPr>
    </w:p>
    <w:p w:rsidR="003E733A" w:rsidRPr="003E733A" w:rsidRDefault="003E733A" w:rsidP="003E733A">
      <w:pPr>
        <w:spacing w:after="0" w:line="240" w:lineRule="auto"/>
        <w:jc w:val="both"/>
        <w:rPr>
          <w:rFonts w:ascii="Arial Narrow" w:hAnsi="Arial Narrow"/>
          <w:b/>
          <w:sz w:val="24"/>
          <w:szCs w:val="24"/>
          <w:lang w:val="es-MX"/>
        </w:rPr>
      </w:pPr>
      <w:r w:rsidRPr="003E733A">
        <w:rPr>
          <w:rFonts w:ascii="Arial Narrow" w:hAnsi="Arial Narrow"/>
          <w:b/>
          <w:sz w:val="24"/>
          <w:szCs w:val="24"/>
          <w:lang w:val="es-MX"/>
        </w:rPr>
        <w:t>Flujo de Caja</w:t>
      </w:r>
    </w:p>
    <w:p w:rsidR="003E733A" w:rsidRPr="003E733A" w:rsidRDefault="003E733A" w:rsidP="003E733A">
      <w:pPr>
        <w:pStyle w:val="Textoindependiente"/>
        <w:rPr>
          <w:rFonts w:ascii="Arial Narrow" w:hAnsi="Arial Narrow" w:cs="Arial"/>
          <w:color w:val="000000"/>
          <w:lang w:val="es-CO" w:eastAsia="es-CO"/>
        </w:rPr>
      </w:pPr>
      <w:r w:rsidRPr="003E733A">
        <w:rPr>
          <w:rFonts w:ascii="Arial Narrow" w:hAnsi="Arial Narrow"/>
        </w:rPr>
        <w:t xml:space="preserve">El Fondo Nacional del Café – </w:t>
      </w:r>
      <w:proofErr w:type="spellStart"/>
      <w:r w:rsidRPr="003E733A">
        <w:rPr>
          <w:rFonts w:ascii="Arial Narrow" w:hAnsi="Arial Narrow"/>
        </w:rPr>
        <w:t>FoNC</w:t>
      </w:r>
      <w:proofErr w:type="spellEnd"/>
      <w:r w:rsidRPr="003E733A">
        <w:rPr>
          <w:rFonts w:ascii="Arial Narrow" w:hAnsi="Arial Narrow"/>
        </w:rPr>
        <w:t xml:space="preserve"> presentó durante 2011 un </w:t>
      </w:r>
      <w:r w:rsidRPr="003E733A">
        <w:rPr>
          <w:rFonts w:ascii="Arial Narrow" w:hAnsi="Arial Narrow"/>
          <w:b/>
          <w:bCs/>
        </w:rPr>
        <w:t>superávit de caja de $232.442 millones</w:t>
      </w:r>
      <w:r w:rsidRPr="003E733A">
        <w:rPr>
          <w:rFonts w:ascii="Arial Narrow" w:hAnsi="Arial Narrow"/>
        </w:rPr>
        <w:t>. Este resultado incluye un balance comercial positivo en caja de $</w:t>
      </w:r>
      <w:r w:rsidRPr="003E733A">
        <w:rPr>
          <w:rFonts w:ascii="Arial Narrow" w:hAnsi="Arial Narrow" w:cs="Arial"/>
          <w:color w:val="000000"/>
          <w:lang w:val="es-CO" w:eastAsia="es-CO"/>
        </w:rPr>
        <w:t>394.337 millones, ingresos por contribución del orden de $104.951 millones derivados de una exportaciones de 7.733 mil sacos. Al incluir la operación total del Fondo, se obtiene un superávit  operacional de $278.175 millones.</w:t>
      </w:r>
    </w:p>
    <w:p w:rsidR="003E733A" w:rsidRPr="003E733A" w:rsidRDefault="003E733A" w:rsidP="003E733A">
      <w:pPr>
        <w:pStyle w:val="Textoindependiente"/>
        <w:rPr>
          <w:rFonts w:ascii="Arial Narrow" w:hAnsi="Arial Narrow"/>
          <w:lang w:val="es-CO"/>
        </w:rPr>
      </w:pP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sz w:val="24"/>
          <w:szCs w:val="24"/>
        </w:rPr>
        <w:t>La diferencia entre el superávit operacional y el total está dada por los egresos por concepto de mesadas de la Flota Mercante por $40.016 millones y los proyectos de inversión por $5.717 millones.</w:t>
      </w: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center"/>
        <w:rPr>
          <w:rFonts w:ascii="Arial Narrow" w:hAnsi="Arial Narrow"/>
          <w:sz w:val="24"/>
          <w:szCs w:val="24"/>
        </w:rPr>
      </w:pPr>
      <w:r w:rsidRPr="003E733A">
        <w:rPr>
          <w:rFonts w:ascii="Arial Narrow" w:hAnsi="Arial Narrow" w:cs="Arial"/>
          <w:b/>
          <w:sz w:val="24"/>
          <w:szCs w:val="24"/>
        </w:rPr>
        <w:t>Flujo de Caja</w:t>
      </w:r>
    </w:p>
    <w:p w:rsidR="003E733A" w:rsidRPr="003E733A" w:rsidRDefault="003E733A" w:rsidP="003E733A">
      <w:pPr>
        <w:keepNext/>
        <w:spacing w:after="0" w:line="240" w:lineRule="auto"/>
        <w:jc w:val="center"/>
        <w:rPr>
          <w:rFonts w:ascii="Arial Narrow" w:hAnsi="Arial Narrow" w:cs="Arial"/>
          <w:b/>
          <w:sz w:val="24"/>
          <w:szCs w:val="24"/>
        </w:rPr>
      </w:pPr>
      <w:r w:rsidRPr="003E733A">
        <w:rPr>
          <w:rFonts w:ascii="Arial Narrow" w:hAnsi="Arial Narrow" w:cs="Arial"/>
          <w:b/>
          <w:sz w:val="24"/>
          <w:szCs w:val="24"/>
        </w:rPr>
        <w:t>Ejercicio 2011 (millones de pesos)</w:t>
      </w: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noProof/>
          <w:sz w:val="24"/>
          <w:szCs w:val="24"/>
          <w:lang w:eastAsia="es-CO"/>
        </w:rPr>
        <w:drawing>
          <wp:inline distT="0" distB="0" distL="0" distR="0" wp14:anchorId="3941CE3F" wp14:editId="2C921B1C">
            <wp:extent cx="4972050" cy="5650057"/>
            <wp:effectExtent l="19050" t="0" r="0"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972050" cy="5650057"/>
                    </a:xfrm>
                    <a:prstGeom prst="rect">
                      <a:avLst/>
                    </a:prstGeom>
                    <a:noFill/>
                    <a:ln w="9525">
                      <a:noFill/>
                      <a:miter lim="800000"/>
                      <a:headEnd/>
                      <a:tailEnd/>
                    </a:ln>
                  </pic:spPr>
                </pic:pic>
              </a:graphicData>
            </a:graphic>
          </wp:inline>
        </w:drawing>
      </w: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spacing w:after="0" w:line="240" w:lineRule="auto"/>
        <w:jc w:val="both"/>
        <w:rPr>
          <w:rFonts w:ascii="Arial Narrow" w:hAnsi="Arial Narrow"/>
          <w:b/>
          <w:sz w:val="24"/>
          <w:szCs w:val="24"/>
        </w:rPr>
      </w:pPr>
      <w:r w:rsidRPr="003E733A">
        <w:rPr>
          <w:rFonts w:ascii="Arial Narrow" w:hAnsi="Arial Narrow"/>
          <w:b/>
          <w:sz w:val="24"/>
          <w:szCs w:val="24"/>
        </w:rPr>
        <w:t>Estado de Resultados</w:t>
      </w:r>
    </w:p>
    <w:p w:rsidR="003E733A" w:rsidRPr="003E733A" w:rsidRDefault="003E733A" w:rsidP="003E733A">
      <w:pPr>
        <w:spacing w:after="0" w:line="240" w:lineRule="auto"/>
        <w:jc w:val="both"/>
        <w:rPr>
          <w:rFonts w:ascii="Arial Narrow" w:hAnsi="Arial Narrow"/>
          <w:b/>
          <w:sz w:val="24"/>
          <w:szCs w:val="24"/>
        </w:rPr>
      </w:pPr>
      <w:r w:rsidRPr="003E733A">
        <w:rPr>
          <w:rFonts w:ascii="Arial Narrow" w:hAnsi="Arial Narrow"/>
          <w:sz w:val="24"/>
          <w:szCs w:val="24"/>
        </w:rPr>
        <w:t xml:space="preserve">Durante el 2011, el </w:t>
      </w:r>
      <w:proofErr w:type="spellStart"/>
      <w:r w:rsidRPr="003E733A">
        <w:rPr>
          <w:rFonts w:ascii="Arial Narrow" w:hAnsi="Arial Narrow"/>
          <w:sz w:val="24"/>
          <w:szCs w:val="24"/>
        </w:rPr>
        <w:t>FoNC</w:t>
      </w:r>
      <w:proofErr w:type="spellEnd"/>
      <w:r w:rsidRPr="003E733A">
        <w:rPr>
          <w:rFonts w:ascii="Arial Narrow" w:hAnsi="Arial Narrow"/>
          <w:sz w:val="24"/>
          <w:szCs w:val="24"/>
        </w:rPr>
        <w:t xml:space="preserve"> presentó un resultado neto contable de $99.315 millones de utilidad. Al eliminar el efecto contable de las operaciones de cobertura se obtiene un </w:t>
      </w:r>
      <w:r w:rsidRPr="003E733A">
        <w:rPr>
          <w:rFonts w:ascii="Arial Narrow" w:hAnsi="Arial Narrow"/>
          <w:b/>
          <w:sz w:val="24"/>
          <w:szCs w:val="24"/>
        </w:rPr>
        <w:t>resultado neto depurado de $9.168 millones de pérdida</w:t>
      </w:r>
      <w:r w:rsidRPr="003E733A">
        <w:rPr>
          <w:rFonts w:ascii="Arial Narrow" w:hAnsi="Arial Narrow"/>
          <w:sz w:val="24"/>
          <w:szCs w:val="24"/>
        </w:rPr>
        <w:t xml:space="preserve">. Este desempeño es consecuencia de un resultado </w:t>
      </w:r>
      <w:r w:rsidRPr="003E733A">
        <w:rPr>
          <w:rFonts w:ascii="Arial Narrow" w:hAnsi="Arial Narrow"/>
          <w:b/>
          <w:sz w:val="24"/>
          <w:szCs w:val="24"/>
        </w:rPr>
        <w:t>bruto de ventas del orden de $297.300 millones</w:t>
      </w:r>
      <w:r w:rsidRPr="003E733A">
        <w:rPr>
          <w:rFonts w:ascii="Arial Narrow" w:hAnsi="Arial Narrow"/>
          <w:sz w:val="24"/>
          <w:szCs w:val="24"/>
        </w:rPr>
        <w:t xml:space="preserve">, un </w:t>
      </w:r>
      <w:r w:rsidRPr="003E733A">
        <w:rPr>
          <w:rFonts w:ascii="Arial Narrow" w:hAnsi="Arial Narrow"/>
          <w:b/>
          <w:sz w:val="24"/>
          <w:szCs w:val="24"/>
        </w:rPr>
        <w:t>gasto operacional de $262.718 millones</w:t>
      </w:r>
      <w:r w:rsidRPr="003E733A">
        <w:rPr>
          <w:rFonts w:ascii="Arial Narrow" w:hAnsi="Arial Narrow"/>
          <w:sz w:val="24"/>
          <w:szCs w:val="24"/>
        </w:rPr>
        <w:t xml:space="preserve"> y un </w:t>
      </w:r>
      <w:r w:rsidRPr="003E733A">
        <w:rPr>
          <w:rFonts w:ascii="Arial Narrow" w:hAnsi="Arial Narrow"/>
          <w:b/>
          <w:sz w:val="24"/>
          <w:szCs w:val="24"/>
        </w:rPr>
        <w:t xml:space="preserve">gastos no operativos de $43.740 millones. </w:t>
      </w:r>
    </w:p>
    <w:p w:rsidR="003E733A" w:rsidRPr="003E733A" w:rsidRDefault="003E733A" w:rsidP="003E733A">
      <w:pPr>
        <w:keepNext/>
        <w:spacing w:after="0" w:line="240" w:lineRule="auto"/>
        <w:jc w:val="both"/>
        <w:rPr>
          <w:rFonts w:ascii="Arial Narrow" w:hAnsi="Arial Narrow" w:cs="Arial"/>
          <w:b/>
          <w:sz w:val="24"/>
          <w:szCs w:val="24"/>
        </w:rPr>
      </w:pPr>
      <w:r w:rsidRPr="003E733A">
        <w:rPr>
          <w:rFonts w:ascii="Arial Narrow" w:hAnsi="Arial Narrow" w:cs="Arial"/>
          <w:b/>
          <w:sz w:val="24"/>
          <w:szCs w:val="24"/>
        </w:rPr>
        <w:lastRenderedPageBreak/>
        <w:t>Estado de Resultados</w:t>
      </w:r>
    </w:p>
    <w:p w:rsidR="003E733A" w:rsidRPr="003E733A" w:rsidRDefault="003E733A" w:rsidP="003E733A">
      <w:pPr>
        <w:keepNext/>
        <w:spacing w:after="0" w:line="240" w:lineRule="auto"/>
        <w:jc w:val="both"/>
        <w:rPr>
          <w:rFonts w:ascii="Arial Narrow" w:hAnsi="Arial Narrow" w:cs="Arial"/>
          <w:b/>
          <w:sz w:val="24"/>
          <w:szCs w:val="24"/>
        </w:rPr>
      </w:pPr>
      <w:r w:rsidRPr="003E733A">
        <w:rPr>
          <w:rFonts w:ascii="Arial Narrow" w:hAnsi="Arial Narrow" w:cs="Arial"/>
          <w:b/>
          <w:sz w:val="24"/>
          <w:szCs w:val="24"/>
        </w:rPr>
        <w:t>Ejercicio 2011 (millones de pesos)</w:t>
      </w: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noProof/>
          <w:sz w:val="24"/>
          <w:szCs w:val="24"/>
          <w:lang w:eastAsia="es-CO"/>
        </w:rPr>
        <w:drawing>
          <wp:inline distT="0" distB="0" distL="0" distR="0" wp14:anchorId="7C26BAF0" wp14:editId="74DE8B1C">
            <wp:extent cx="4818978" cy="4924425"/>
            <wp:effectExtent l="19050" t="0" r="672" b="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4820810" cy="4926297"/>
                    </a:xfrm>
                    <a:prstGeom prst="rect">
                      <a:avLst/>
                    </a:prstGeom>
                    <a:noFill/>
                    <a:ln w="9525">
                      <a:noFill/>
                      <a:miter lim="800000"/>
                      <a:headEnd/>
                      <a:tailEnd/>
                    </a:ln>
                  </pic:spPr>
                </pic:pic>
              </a:graphicData>
            </a:graphic>
          </wp:inline>
        </w:drawing>
      </w: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sz w:val="24"/>
          <w:szCs w:val="24"/>
        </w:rPr>
        <w:t>Resalta el desempeño del área</w:t>
      </w:r>
      <w:r w:rsidRPr="003E733A">
        <w:rPr>
          <w:rFonts w:ascii="Arial Narrow" w:hAnsi="Arial Narrow"/>
          <w:b/>
          <w:sz w:val="24"/>
          <w:szCs w:val="24"/>
        </w:rPr>
        <w:t xml:space="preserve"> comercial que presentó ganancias del orden de $29.437 millones </w:t>
      </w:r>
      <w:r w:rsidRPr="003E733A">
        <w:rPr>
          <w:rFonts w:ascii="Arial Narrow" w:hAnsi="Arial Narrow"/>
          <w:sz w:val="24"/>
          <w:szCs w:val="24"/>
        </w:rPr>
        <w:t>derivado del ajuste en su estrategia de comercialización e inventarios, lo que le permite mejorar sus márgenes de operación. El resultado del área</w:t>
      </w:r>
      <w:r w:rsidRPr="003E733A">
        <w:rPr>
          <w:rFonts w:ascii="Arial Narrow" w:hAnsi="Arial Narrow"/>
          <w:b/>
          <w:sz w:val="24"/>
          <w:szCs w:val="24"/>
        </w:rPr>
        <w:t xml:space="preserve"> industrial se ubicó en $1.072 millones</w:t>
      </w:r>
      <w:r w:rsidRPr="003E733A">
        <w:rPr>
          <w:rFonts w:ascii="Arial Narrow" w:hAnsi="Arial Narrow"/>
          <w:sz w:val="24"/>
          <w:szCs w:val="24"/>
        </w:rPr>
        <w:t xml:space="preserve"> </w:t>
      </w:r>
      <w:r w:rsidRPr="003E733A">
        <w:rPr>
          <w:rFonts w:ascii="Arial Narrow" w:hAnsi="Arial Narrow"/>
          <w:b/>
          <w:sz w:val="24"/>
          <w:szCs w:val="24"/>
        </w:rPr>
        <w:t>de</w:t>
      </w:r>
      <w:r w:rsidRPr="003E733A">
        <w:rPr>
          <w:rFonts w:ascii="Arial Narrow" w:hAnsi="Arial Narrow"/>
          <w:sz w:val="24"/>
          <w:szCs w:val="24"/>
        </w:rPr>
        <w:t xml:space="preserve"> </w:t>
      </w:r>
      <w:r w:rsidRPr="003E733A">
        <w:rPr>
          <w:rFonts w:ascii="Arial Narrow" w:hAnsi="Arial Narrow"/>
          <w:b/>
          <w:sz w:val="24"/>
          <w:szCs w:val="24"/>
        </w:rPr>
        <w:t xml:space="preserve">ganancias </w:t>
      </w:r>
      <w:r w:rsidRPr="003E733A">
        <w:rPr>
          <w:rFonts w:ascii="Arial Narrow" w:hAnsi="Arial Narrow"/>
          <w:sz w:val="24"/>
          <w:szCs w:val="24"/>
        </w:rPr>
        <w:t xml:space="preserve">y el área </w:t>
      </w:r>
      <w:r w:rsidRPr="003E733A">
        <w:rPr>
          <w:rFonts w:ascii="Arial Narrow" w:hAnsi="Arial Narrow"/>
          <w:b/>
          <w:sz w:val="24"/>
          <w:szCs w:val="24"/>
        </w:rPr>
        <w:t>institucional con pérdidas del orden de $39.677 millones</w:t>
      </w:r>
      <w:r w:rsidRPr="003E733A">
        <w:rPr>
          <w:rFonts w:ascii="Arial Narrow" w:hAnsi="Arial Narrow"/>
          <w:sz w:val="24"/>
          <w:szCs w:val="24"/>
        </w:rPr>
        <w:t>. Consistentes con el resultado depurado de $9.168 millones de pérdida.</w:t>
      </w: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sz w:val="24"/>
          <w:szCs w:val="24"/>
        </w:rPr>
        <w:t xml:space="preserve">Finalmente, es importante anotar que las </w:t>
      </w:r>
      <w:r w:rsidRPr="003E733A">
        <w:rPr>
          <w:rFonts w:ascii="Arial Narrow" w:hAnsi="Arial Narrow"/>
          <w:b/>
          <w:sz w:val="24"/>
          <w:szCs w:val="24"/>
        </w:rPr>
        <w:t>operaciones de cobertura</w:t>
      </w:r>
      <w:r w:rsidRPr="003E733A">
        <w:rPr>
          <w:rFonts w:ascii="Arial Narrow" w:hAnsi="Arial Narrow"/>
          <w:sz w:val="24"/>
          <w:szCs w:val="24"/>
        </w:rPr>
        <w:t xml:space="preserve"> sobre tasa de cambio sobre los ingresos por Contribución y de la Fábrica de Café le reportaron al </w:t>
      </w:r>
      <w:proofErr w:type="spellStart"/>
      <w:r w:rsidRPr="003E733A">
        <w:rPr>
          <w:rFonts w:ascii="Arial Narrow" w:hAnsi="Arial Narrow"/>
          <w:sz w:val="24"/>
          <w:szCs w:val="24"/>
        </w:rPr>
        <w:t>FoNC</w:t>
      </w:r>
      <w:proofErr w:type="spellEnd"/>
      <w:r w:rsidRPr="003E733A">
        <w:rPr>
          <w:rFonts w:ascii="Arial Narrow" w:hAnsi="Arial Narrow"/>
          <w:sz w:val="24"/>
          <w:szCs w:val="24"/>
        </w:rPr>
        <w:t xml:space="preserve"> </w:t>
      </w:r>
      <w:r w:rsidRPr="003E733A">
        <w:rPr>
          <w:rFonts w:ascii="Arial Narrow" w:hAnsi="Arial Narrow"/>
          <w:b/>
          <w:sz w:val="24"/>
          <w:szCs w:val="24"/>
        </w:rPr>
        <w:t>compensaciones del orden de los $6.875 millones</w:t>
      </w:r>
      <w:r w:rsidRPr="003E733A">
        <w:rPr>
          <w:rFonts w:ascii="Arial Narrow" w:hAnsi="Arial Narrow"/>
          <w:sz w:val="24"/>
          <w:szCs w:val="24"/>
        </w:rPr>
        <w:t>.</w:t>
      </w:r>
    </w:p>
    <w:p w:rsidR="003E733A" w:rsidRPr="003E733A" w:rsidRDefault="003E733A" w:rsidP="003E733A">
      <w:pPr>
        <w:spacing w:after="0" w:line="240" w:lineRule="auto"/>
        <w:jc w:val="both"/>
        <w:rPr>
          <w:rFonts w:ascii="Arial Narrow" w:hAnsi="Arial Narrow"/>
          <w:b/>
          <w:sz w:val="24"/>
          <w:szCs w:val="24"/>
        </w:rPr>
      </w:pPr>
    </w:p>
    <w:p w:rsidR="003E733A" w:rsidRPr="003E733A" w:rsidRDefault="003E733A" w:rsidP="003E733A">
      <w:pPr>
        <w:spacing w:after="0" w:line="240" w:lineRule="auto"/>
        <w:jc w:val="both"/>
        <w:rPr>
          <w:rFonts w:ascii="Arial Narrow" w:hAnsi="Arial Narrow"/>
          <w:b/>
          <w:sz w:val="24"/>
          <w:szCs w:val="24"/>
        </w:rPr>
      </w:pPr>
      <w:r>
        <w:rPr>
          <w:rFonts w:ascii="Arial Narrow" w:hAnsi="Arial Narrow"/>
          <w:b/>
          <w:sz w:val="24"/>
          <w:szCs w:val="24"/>
        </w:rPr>
        <w:t>Patrimonio</w:t>
      </w: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sz w:val="24"/>
          <w:szCs w:val="24"/>
        </w:rPr>
        <w:t xml:space="preserve">Los anteriores resultados permitieron fortalecer el patrimonio del </w:t>
      </w:r>
      <w:proofErr w:type="spellStart"/>
      <w:r w:rsidRPr="003E733A">
        <w:rPr>
          <w:rFonts w:ascii="Arial Narrow" w:hAnsi="Arial Narrow"/>
          <w:sz w:val="24"/>
          <w:szCs w:val="24"/>
        </w:rPr>
        <w:t>FoNC</w:t>
      </w:r>
      <w:proofErr w:type="spellEnd"/>
      <w:r w:rsidRPr="003E733A">
        <w:rPr>
          <w:rFonts w:ascii="Arial Narrow" w:hAnsi="Arial Narrow"/>
          <w:sz w:val="24"/>
          <w:szCs w:val="24"/>
        </w:rPr>
        <w:t>, presentando un aumento importante y un quiebre con la tendencia presentada en los últimos años.</w:t>
      </w: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spacing w:after="0" w:line="240" w:lineRule="auto"/>
        <w:jc w:val="both"/>
        <w:rPr>
          <w:rFonts w:ascii="Arial Narrow" w:hAnsi="Arial Narrow" w:cs="Arial"/>
          <w:b/>
          <w:sz w:val="24"/>
          <w:szCs w:val="24"/>
        </w:rPr>
      </w:pPr>
      <w:r w:rsidRPr="003E733A">
        <w:rPr>
          <w:rFonts w:ascii="Arial Narrow" w:hAnsi="Arial Narrow" w:cs="Arial"/>
          <w:b/>
          <w:sz w:val="24"/>
          <w:szCs w:val="24"/>
        </w:rPr>
        <w:t xml:space="preserve">Patrimonio del </w:t>
      </w:r>
      <w:proofErr w:type="spellStart"/>
      <w:r w:rsidRPr="003E733A">
        <w:rPr>
          <w:rFonts w:ascii="Arial Narrow" w:hAnsi="Arial Narrow" w:cs="Arial"/>
          <w:b/>
          <w:sz w:val="24"/>
          <w:szCs w:val="24"/>
        </w:rPr>
        <w:t>FoNC</w:t>
      </w:r>
      <w:proofErr w:type="spellEnd"/>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cs="Arial"/>
          <w:sz w:val="24"/>
          <w:szCs w:val="24"/>
        </w:rPr>
        <w:t>(Miles de millones de $)</w:t>
      </w:r>
    </w:p>
    <w:p w:rsidR="003E733A" w:rsidRPr="003E733A" w:rsidRDefault="003E733A" w:rsidP="003E733A">
      <w:pPr>
        <w:spacing w:after="0" w:line="240" w:lineRule="auto"/>
        <w:jc w:val="both"/>
        <w:rPr>
          <w:rFonts w:ascii="Arial Narrow" w:hAnsi="Arial Narrow" w:cs="Arial"/>
          <w:b/>
          <w:sz w:val="24"/>
          <w:szCs w:val="24"/>
        </w:rPr>
      </w:pPr>
      <w:r w:rsidRPr="003E733A">
        <w:rPr>
          <w:rFonts w:ascii="Arial Narrow" w:hAnsi="Arial Narrow" w:cs="Arial"/>
          <w:b/>
          <w:noProof/>
          <w:sz w:val="24"/>
          <w:szCs w:val="24"/>
          <w:lang w:eastAsia="es-CO"/>
        </w:rPr>
        <w:lastRenderedPageBreak/>
        <w:drawing>
          <wp:inline distT="0" distB="0" distL="0" distR="0" wp14:anchorId="188BB007" wp14:editId="41ECC3F3">
            <wp:extent cx="4391025" cy="26394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391025" cy="2639481"/>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r w:rsidRPr="003E733A">
        <w:rPr>
          <w:rFonts w:ascii="Arial Narrow" w:hAnsi="Arial Narrow" w:cs="Arial"/>
          <w:b/>
          <w:sz w:val="24"/>
          <w:szCs w:val="24"/>
        </w:rPr>
        <w:t>Proyecciones cierre 2012</w:t>
      </w:r>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spacing w:after="0" w:line="240" w:lineRule="auto"/>
        <w:jc w:val="both"/>
        <w:rPr>
          <w:rFonts w:ascii="Arial Narrow" w:hAnsi="Arial Narrow" w:cs="Arial"/>
          <w:b/>
          <w:sz w:val="24"/>
          <w:szCs w:val="24"/>
        </w:rPr>
      </w:pPr>
      <w:r w:rsidRPr="003E733A">
        <w:rPr>
          <w:rFonts w:ascii="Arial Narrow" w:hAnsi="Arial Narrow" w:cs="Arial"/>
          <w:sz w:val="24"/>
          <w:szCs w:val="24"/>
        </w:rPr>
        <w:t xml:space="preserve">Para el cierre del presente año, el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 xml:space="preserve"> prevé obtener un resultado bruto de $353 mil millones, un resultado operativo de $62 mil millones, lo que se traducirá, luego de los pagos por mesadas de la Flota Mercante y otros gastos, en una utilidad de $7 mil millones.</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sz w:val="24"/>
          <w:szCs w:val="24"/>
        </w:rPr>
        <w:t xml:space="preserve">En su operación, el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 xml:space="preserve"> recibirá durante 2012 ingresos por $1,8 billones, de los cuales $111 serán provenientes de la contribución cafetera, y luego de egresos por $1,7 billones, entre los que se incluyen los programas en beneficio de los caficultores (investigación, asistencia técnica, etc.), e inversiones por $52 mil millones, se cerrará el año con un superávit de caja de $68 mil millones. </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sz w:val="24"/>
          <w:szCs w:val="24"/>
        </w:rPr>
        <w:t xml:space="preserve">Estos resultados, si bien son buenos y significan una recuperación muy importante de la situación financiera del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 xml:space="preserve">, no implican que no exista la necesidad de recaudar mayores ingresos para atender los programas en beneficio de los caficultores, toda vez que el actual diseño de la Contribución Cafetera no se ajusta a las actuales condiciones del mercado cafetero. En esa medida, junto con la recuperación del volumen producido y exportado, que tendrá un impacto positivo en los ingresos del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 es necesario ajustar el diseño de la contribución para garantizar la sostenibilidad financiera del mismo en el mediano plazo, permitiendo así la reducción gradual de recursos públicos para apoyar los bienes públicos que financia.</w:t>
      </w:r>
    </w:p>
    <w:p w:rsidR="003E733A" w:rsidRPr="003E733A" w:rsidRDefault="003E733A" w:rsidP="003E733A">
      <w:pPr>
        <w:keepNext/>
        <w:spacing w:after="0" w:line="240" w:lineRule="auto"/>
        <w:jc w:val="both"/>
        <w:rPr>
          <w:rFonts w:ascii="Arial Narrow" w:hAnsi="Arial Narrow" w:cs="Arial"/>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Default="003E733A" w:rsidP="003E733A">
      <w:pPr>
        <w:pStyle w:val="Prrafodelista"/>
        <w:spacing w:line="240" w:lineRule="auto"/>
        <w:jc w:val="both"/>
        <w:rPr>
          <w:rFonts w:ascii="Arial Narrow" w:hAnsi="Arial Narrow" w:cs="Arial"/>
          <w:b/>
          <w:sz w:val="24"/>
          <w:szCs w:val="24"/>
        </w:rPr>
      </w:pPr>
    </w:p>
    <w:p w:rsidR="003E733A" w:rsidRPr="003E733A" w:rsidRDefault="003E733A" w:rsidP="003E733A">
      <w:pPr>
        <w:pStyle w:val="Prrafodelista"/>
        <w:spacing w:line="240" w:lineRule="auto"/>
        <w:jc w:val="both"/>
        <w:rPr>
          <w:rFonts w:ascii="Arial Narrow" w:hAnsi="Arial Narrow" w:cs="Arial"/>
          <w:b/>
          <w:sz w:val="24"/>
          <w:szCs w:val="24"/>
        </w:rPr>
      </w:pPr>
    </w:p>
    <w:p w:rsidR="003E733A" w:rsidRPr="003E733A" w:rsidRDefault="003E733A" w:rsidP="003E733A">
      <w:pPr>
        <w:pStyle w:val="Prrafodelista"/>
        <w:numPr>
          <w:ilvl w:val="0"/>
          <w:numId w:val="10"/>
        </w:numPr>
        <w:spacing w:after="0" w:line="240" w:lineRule="auto"/>
        <w:jc w:val="both"/>
        <w:rPr>
          <w:rFonts w:ascii="Arial Narrow" w:hAnsi="Arial Narrow" w:cs="Arial"/>
          <w:b/>
          <w:sz w:val="24"/>
          <w:szCs w:val="24"/>
        </w:rPr>
      </w:pPr>
      <w:r w:rsidRPr="003E733A">
        <w:rPr>
          <w:rFonts w:ascii="Arial Narrow" w:hAnsi="Arial Narrow" w:cs="Arial"/>
          <w:b/>
          <w:sz w:val="24"/>
          <w:szCs w:val="24"/>
        </w:rPr>
        <w:lastRenderedPageBreak/>
        <w:t>Cuánto ha aportado la Nación al Gremio Cafetero históricamente</w:t>
      </w:r>
      <w:proofErr w:type="gramStart"/>
      <w:r w:rsidRPr="003E733A">
        <w:rPr>
          <w:rFonts w:ascii="Arial Narrow" w:hAnsi="Arial Narrow" w:cs="Arial"/>
          <w:b/>
          <w:sz w:val="24"/>
          <w:szCs w:val="24"/>
        </w:rPr>
        <w:t>?</w:t>
      </w:r>
      <w:proofErr w:type="gramEnd"/>
    </w:p>
    <w:p w:rsidR="003E733A" w:rsidRPr="003E733A" w:rsidRDefault="003E733A" w:rsidP="003E733A">
      <w:pPr>
        <w:spacing w:after="0" w:line="240" w:lineRule="auto"/>
        <w:jc w:val="both"/>
        <w:rPr>
          <w:rFonts w:ascii="Arial Narrow" w:hAnsi="Arial Narrow" w:cs="Arial"/>
          <w:b/>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b/>
          <w:sz w:val="24"/>
          <w:szCs w:val="24"/>
        </w:rPr>
        <w:t xml:space="preserve">Aportes Gobierno Nacional Sector Cafetero 2010-2012 </w:t>
      </w:r>
      <w:r w:rsidRPr="003E733A">
        <w:rPr>
          <w:rFonts w:ascii="Arial Narrow" w:hAnsi="Arial Narrow" w:cs="Arial"/>
          <w:sz w:val="24"/>
          <w:szCs w:val="24"/>
        </w:rPr>
        <w:t>($ Millones)</w:t>
      </w:r>
    </w:p>
    <w:p w:rsidR="003E733A" w:rsidRPr="003E733A" w:rsidRDefault="003E733A" w:rsidP="003E733A">
      <w:pPr>
        <w:keepNext/>
        <w:spacing w:after="0" w:line="240" w:lineRule="auto"/>
        <w:jc w:val="both"/>
        <w:rPr>
          <w:rFonts w:ascii="Arial Narrow" w:hAnsi="Arial Narrow" w:cs="Arial"/>
          <w:b/>
          <w:sz w:val="24"/>
          <w:szCs w:val="24"/>
        </w:rPr>
      </w:pPr>
      <w:r w:rsidRPr="003E733A">
        <w:rPr>
          <w:rFonts w:ascii="Arial Narrow" w:hAnsi="Arial Narrow"/>
          <w:noProof/>
          <w:sz w:val="24"/>
          <w:szCs w:val="24"/>
          <w:lang w:eastAsia="es-CO"/>
        </w:rPr>
        <w:drawing>
          <wp:inline distT="0" distB="0" distL="0" distR="0" wp14:anchorId="33261F17" wp14:editId="588378B7">
            <wp:extent cx="5613400" cy="453580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613400" cy="4535805"/>
                    </a:xfrm>
                    <a:prstGeom prst="rect">
                      <a:avLst/>
                    </a:prstGeom>
                    <a:noFill/>
                    <a:ln w="9525">
                      <a:noFill/>
                      <a:miter lim="800000"/>
                      <a:headEnd/>
                      <a:tailEnd/>
                    </a:ln>
                  </pic:spPr>
                </pic:pic>
              </a:graphicData>
            </a:graphic>
          </wp:inline>
        </w:drawing>
      </w:r>
    </w:p>
    <w:p w:rsidR="003E733A" w:rsidRPr="003E733A" w:rsidRDefault="003E733A" w:rsidP="003E733A">
      <w:pPr>
        <w:keepNext/>
        <w:spacing w:after="0" w:line="240" w:lineRule="auto"/>
        <w:jc w:val="both"/>
        <w:rPr>
          <w:rFonts w:ascii="Arial Narrow" w:hAnsi="Arial Narrow" w:cs="Arial"/>
          <w:b/>
          <w:sz w:val="24"/>
          <w:szCs w:val="24"/>
        </w:rPr>
      </w:pPr>
    </w:p>
    <w:p w:rsidR="003E733A" w:rsidRPr="003E733A" w:rsidRDefault="003E733A" w:rsidP="003E733A">
      <w:pPr>
        <w:pStyle w:val="Prrafodelista"/>
        <w:keepNext/>
        <w:numPr>
          <w:ilvl w:val="0"/>
          <w:numId w:val="10"/>
        </w:numPr>
        <w:spacing w:after="0" w:line="240" w:lineRule="auto"/>
        <w:jc w:val="both"/>
        <w:rPr>
          <w:rFonts w:ascii="Arial Narrow" w:hAnsi="Arial Narrow" w:cs="Arial"/>
          <w:b/>
          <w:sz w:val="24"/>
          <w:szCs w:val="24"/>
        </w:rPr>
      </w:pPr>
      <w:r w:rsidRPr="003E733A">
        <w:rPr>
          <w:rFonts w:ascii="Arial Narrow" w:hAnsi="Arial Narrow" w:cs="Arial"/>
          <w:b/>
          <w:sz w:val="24"/>
          <w:szCs w:val="24"/>
        </w:rPr>
        <w:t>“Qué decisiones ha contemplado el Gobierno tomar para resolver la crisis financiera del sector cafetero</w:t>
      </w:r>
      <w:proofErr w:type="gramStart"/>
      <w:r w:rsidRPr="003E733A">
        <w:rPr>
          <w:rFonts w:ascii="Arial Narrow" w:hAnsi="Arial Narrow" w:cs="Arial"/>
          <w:b/>
          <w:sz w:val="24"/>
          <w:szCs w:val="24"/>
        </w:rPr>
        <w:t>?</w:t>
      </w:r>
      <w:proofErr w:type="gramEnd"/>
      <w:r w:rsidRPr="003E733A">
        <w:rPr>
          <w:rFonts w:ascii="Arial Narrow" w:hAnsi="Arial Narrow" w:cs="Arial"/>
          <w:b/>
          <w:sz w:val="24"/>
          <w:szCs w:val="24"/>
        </w:rPr>
        <w:t>”</w:t>
      </w:r>
    </w:p>
    <w:p w:rsidR="003E733A" w:rsidRPr="003E733A" w:rsidRDefault="003E733A" w:rsidP="003E733A">
      <w:pPr>
        <w:keepNext/>
        <w:spacing w:after="0" w:line="240" w:lineRule="auto"/>
        <w:jc w:val="both"/>
        <w:rPr>
          <w:rFonts w:ascii="Arial Narrow" w:hAnsi="Arial Narrow" w:cs="Arial"/>
          <w:b/>
          <w:sz w:val="24"/>
          <w:szCs w:val="24"/>
        </w:rPr>
      </w:pPr>
    </w:p>
    <w:p w:rsidR="003E733A" w:rsidRDefault="003E733A" w:rsidP="003E733A">
      <w:pPr>
        <w:spacing w:after="0" w:line="240" w:lineRule="auto"/>
        <w:jc w:val="both"/>
        <w:rPr>
          <w:rFonts w:ascii="Arial Narrow" w:hAnsi="Arial Narrow" w:cs="Arial"/>
          <w:sz w:val="24"/>
          <w:szCs w:val="24"/>
        </w:rPr>
      </w:pPr>
      <w:r w:rsidRPr="003E733A">
        <w:rPr>
          <w:rFonts w:ascii="Arial Narrow" w:hAnsi="Arial Narrow" w:cs="Arial"/>
          <w:sz w:val="24"/>
          <w:szCs w:val="24"/>
        </w:rPr>
        <w:t>El Gobierno Nacional considera al sector cafetero como uno de los más idóneos para reducir la pobreza en el campo, generar empleo y alternativas para que familias campesinas exploten de manera sostenible y rentable sus parcelas. La actual coyuntura ofrece una importante oportunidad, pues existe una estrechez importante en la oferta mundial del grano acompañada de una demanda creciente, lo que nos permite pensar en aumentar la producción sin que esto implique una reducción de los precios internacionales, y por esa vía, de la rentabilidad del cultivo. Para esto, el Gobierno, junto con las instituciones cafeteras, ha fomentado la renovación de los cafetales envejecidos y la tecnificación de los cafetales tradicionales. Estos cafetales, que se han venido renovando de manera creciente en los últimos años, van a entrar en producción progresivamente en los próximos años, lo que se traducirá en importantes aumentos en la producción de café del país.</w:t>
      </w:r>
    </w:p>
    <w:p w:rsidR="0040423A" w:rsidRPr="003E733A" w:rsidRDefault="0040423A" w:rsidP="003E733A">
      <w:pPr>
        <w:spacing w:after="0" w:line="240" w:lineRule="auto"/>
        <w:jc w:val="both"/>
        <w:rPr>
          <w:rFonts w:ascii="Arial Narrow" w:hAnsi="Arial Narrow" w:cs="Arial"/>
          <w:sz w:val="24"/>
          <w:szCs w:val="24"/>
        </w:rPr>
      </w:pPr>
    </w:p>
    <w:p w:rsidR="003E733A" w:rsidRPr="003E733A" w:rsidRDefault="003E733A" w:rsidP="003E733A">
      <w:pPr>
        <w:spacing w:after="0" w:line="240" w:lineRule="auto"/>
        <w:jc w:val="both"/>
        <w:rPr>
          <w:rFonts w:ascii="Arial Narrow" w:hAnsi="Arial Narrow" w:cs="Arial"/>
          <w:sz w:val="24"/>
          <w:szCs w:val="24"/>
        </w:rPr>
      </w:pPr>
      <w:r w:rsidRPr="003E733A">
        <w:rPr>
          <w:rFonts w:ascii="Arial Narrow" w:hAnsi="Arial Narrow" w:cs="Arial"/>
          <w:sz w:val="24"/>
          <w:szCs w:val="24"/>
        </w:rPr>
        <w:t xml:space="preserve">Para este propósito, el Gobierno Nacional y la Federación Nacional de Cafeteros (FNC) han impulsado desde 2007 el programa Permanencia, Sostenibilidad y Futuro (PSF), el cual busca incentivar la renovación de los cafetales colombianos mediante facilidades el acceso a crédito y el </w:t>
      </w:r>
      <w:r w:rsidRPr="003E733A">
        <w:rPr>
          <w:rFonts w:ascii="Arial Narrow" w:hAnsi="Arial Narrow" w:cs="Arial"/>
          <w:sz w:val="24"/>
          <w:szCs w:val="24"/>
        </w:rPr>
        <w:lastRenderedPageBreak/>
        <w:t>otorgamiento del Incentivo a la Capitalización Rural (ICR). Entre 2007 y 2011, el PSF ha incentivado la renovación de 120 mil hectáreas, lo cual sumado con las hectáreas renovadas con otros recursos, acumula cerca de 398 mil hectáreas renovadas en dicho período. Estos cafetales se renuevan con variedades resistentes a la roya, lo cual los prepara para fenómenos de cambio climático como la niña y les permite ser más productivos.</w:t>
      </w:r>
    </w:p>
    <w:p w:rsidR="003E733A" w:rsidRPr="003E733A" w:rsidRDefault="003E733A" w:rsidP="003E733A">
      <w:pPr>
        <w:spacing w:after="0" w:line="240" w:lineRule="auto"/>
        <w:jc w:val="both"/>
        <w:rPr>
          <w:rFonts w:ascii="Arial Narrow" w:hAnsi="Arial Narrow" w:cs="Arial"/>
          <w:sz w:val="24"/>
          <w:szCs w:val="24"/>
        </w:rPr>
      </w:pPr>
    </w:p>
    <w:p w:rsidR="003E733A" w:rsidRPr="003E733A" w:rsidRDefault="003E733A" w:rsidP="003E733A">
      <w:pPr>
        <w:spacing w:after="0" w:line="240" w:lineRule="auto"/>
        <w:jc w:val="both"/>
        <w:rPr>
          <w:rFonts w:ascii="Arial Narrow" w:hAnsi="Arial Narrow" w:cs="Arial"/>
          <w:sz w:val="24"/>
          <w:szCs w:val="24"/>
        </w:rPr>
      </w:pPr>
      <w:r w:rsidRPr="003E733A">
        <w:rPr>
          <w:rFonts w:ascii="Arial Narrow" w:hAnsi="Arial Narrow" w:cs="Arial"/>
          <w:sz w:val="24"/>
          <w:szCs w:val="24"/>
        </w:rPr>
        <w:t>Por otra parte, desde el año 2001 la FNC y el Gobierno Nacional han incentivado mecanismos de agregación de valor en el sector cafetero en busca de mejores precios que se traduzcan en mayores ingresos para los caficultores. Como resultado de estas estrategias, mientras en 2002 se exportaron cerca de 202 mil sacos 60kg de café con valor agregado (certificaciones y especiales), para 2011 dicho volumen se incrementó a cerca de 966 mil ss60kg, equivalentes al 13% de las exportaciones totales y cerca del 53% de las exportaciones del Fondo Nacional del Café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 xml:space="preserve">). Adicionalmente, al incluir las exportaciones de café industrializado, el volumen exportado rodea los 2,6 millones de ss60kg en 2011, lo que representa cerca del 34% de las exportaciones totales de café de Colombia y cerca del 70% de las exportaciones del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w:t>
      </w:r>
    </w:p>
    <w:p w:rsidR="003E733A" w:rsidRPr="003E733A" w:rsidRDefault="003E733A" w:rsidP="003E733A">
      <w:pPr>
        <w:spacing w:after="0" w:line="240" w:lineRule="auto"/>
        <w:jc w:val="both"/>
        <w:rPr>
          <w:rFonts w:ascii="Arial Narrow" w:hAnsi="Arial Narrow" w:cs="Arial"/>
          <w:sz w:val="24"/>
          <w:szCs w:val="24"/>
        </w:rPr>
      </w:pPr>
    </w:p>
    <w:p w:rsidR="003E733A" w:rsidRPr="003E733A" w:rsidRDefault="003E733A" w:rsidP="003E733A">
      <w:pPr>
        <w:spacing w:after="0" w:line="240" w:lineRule="auto"/>
        <w:jc w:val="both"/>
        <w:rPr>
          <w:rFonts w:ascii="Arial Narrow" w:hAnsi="Arial Narrow" w:cs="Arial"/>
          <w:sz w:val="24"/>
          <w:szCs w:val="24"/>
        </w:rPr>
      </w:pPr>
      <w:r w:rsidRPr="003E733A">
        <w:rPr>
          <w:rFonts w:ascii="Arial Narrow" w:hAnsi="Arial Narrow" w:cs="Arial"/>
          <w:sz w:val="24"/>
          <w:szCs w:val="24"/>
        </w:rPr>
        <w:t>Esta estrategia ha permitido alcanzar nichos de mercado más sofisticados, donde el consumidor busca mayor calidad y se encuentra dispuesto a pagar un mayor precio. De esta forma, la pronta recuperación de la producción vendrá acompañada de una dinámica y activa comercialización del café de Colombia en diferentes niveles de la cadena de valor que aseguren la adecuada absorción y remuneración del grano nacional en los mercados internacionales.</w:t>
      </w:r>
    </w:p>
    <w:p w:rsidR="003E733A" w:rsidRPr="003E733A" w:rsidRDefault="003E733A" w:rsidP="003E733A">
      <w:pPr>
        <w:spacing w:after="0" w:line="240" w:lineRule="auto"/>
        <w:jc w:val="both"/>
        <w:rPr>
          <w:rFonts w:ascii="Arial Narrow" w:hAnsi="Arial Narrow" w:cs="Arial"/>
          <w:sz w:val="24"/>
          <w:szCs w:val="24"/>
        </w:rPr>
      </w:pPr>
    </w:p>
    <w:p w:rsidR="003E733A" w:rsidRPr="003E733A" w:rsidRDefault="003E733A" w:rsidP="003E733A">
      <w:pPr>
        <w:spacing w:after="0" w:line="240" w:lineRule="auto"/>
        <w:jc w:val="both"/>
        <w:rPr>
          <w:rFonts w:ascii="Arial Narrow" w:hAnsi="Arial Narrow" w:cs="Arial"/>
          <w:sz w:val="24"/>
          <w:szCs w:val="24"/>
        </w:rPr>
      </w:pPr>
      <w:r w:rsidRPr="003E733A">
        <w:rPr>
          <w:rFonts w:ascii="Arial Narrow" w:hAnsi="Arial Narrow" w:cs="Arial"/>
          <w:sz w:val="24"/>
          <w:szCs w:val="24"/>
        </w:rPr>
        <w:t>En este contexto, la Contribución Cafetera (CC), fuente principal de ingresos del Fondo Nacional del Café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 xml:space="preserve">) se enmarca dentro de las disposiciones legales establecidas en la Constitución Política de Colombia y la Ley 101 de 1993. Esta contribución se fijó a partir de 2006 en USD $6 centavos por libra exportada y actualmente está reglamentada por la Ley 1337 de 2009. Dichos valores debían ser suficientes, dados los niveles históricos promedio de la producción -alrededor de 12 millones de sacos anuales- y  la tendencia </w:t>
      </w:r>
      <w:proofErr w:type="spellStart"/>
      <w:r w:rsidRPr="003E733A">
        <w:rPr>
          <w:rFonts w:ascii="Arial Narrow" w:hAnsi="Arial Narrow" w:cs="Arial"/>
          <w:sz w:val="24"/>
          <w:szCs w:val="24"/>
        </w:rPr>
        <w:t>devaluacionista</w:t>
      </w:r>
      <w:proofErr w:type="spellEnd"/>
      <w:r w:rsidRPr="003E733A">
        <w:rPr>
          <w:rFonts w:ascii="Arial Narrow" w:hAnsi="Arial Narrow" w:cs="Arial"/>
          <w:sz w:val="24"/>
          <w:szCs w:val="24"/>
        </w:rPr>
        <w:t xml:space="preserve"> de la tasa de cambio hasta esa época, para financiar las actividades principales del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sz w:val="24"/>
          <w:szCs w:val="24"/>
        </w:rPr>
        <w:t xml:space="preserve">No obstante, en los años recientes han surgido una serie de condiciones en el ámbito nacional e internacional que se han traducido en un nuevo contexto para la caficultura, del cual se desprenden importantes retos para el sector en los próximos años. De una parte, los menores volúmenes de producción por cuenta del proceso de renovación del parque cafetero y los efectos del prolongado invierno que afectó al país desde 2008, implicaron un menor volumen de exportaciones y por ende, de recaudo por cuenta de la contribución. En segundo lugar, el cambio estructural en el comportamiento de la tasa de cambio por cuenta del creciente flujo de Inversión Extranjera Directa y la mejora en la percepción del riesgo país gracias al avance en materia de seguridad y política macroeconómica, lo cual implica que una contribución denominada en dólares implica menores ingresos en pesos para el </w:t>
      </w:r>
      <w:proofErr w:type="spellStart"/>
      <w:r w:rsidRPr="003E733A">
        <w:rPr>
          <w:rFonts w:ascii="Arial Narrow" w:hAnsi="Arial Narrow" w:cs="Arial"/>
          <w:sz w:val="24"/>
          <w:szCs w:val="24"/>
        </w:rPr>
        <w:t>FoNC</w:t>
      </w:r>
      <w:proofErr w:type="spellEnd"/>
      <w:r w:rsidRPr="003E733A">
        <w:rPr>
          <w:rFonts w:ascii="Arial Narrow" w:hAnsi="Arial Narrow" w:cs="Arial"/>
          <w:sz w:val="24"/>
          <w:szCs w:val="24"/>
        </w:rPr>
        <w:t xml:space="preserve">. </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sz w:val="24"/>
          <w:szCs w:val="24"/>
        </w:rPr>
        <w:t xml:space="preserve">En esa medida, es evidente la necesidad de planear un escenario en el que, aún con producciones relativamente bajas y buscando la coherencia entre los ingresos y lo egresos del </w:t>
      </w:r>
      <w:proofErr w:type="spellStart"/>
      <w:r w:rsidRPr="003E733A">
        <w:rPr>
          <w:rFonts w:ascii="Arial Narrow" w:hAnsi="Arial Narrow"/>
          <w:sz w:val="24"/>
          <w:szCs w:val="24"/>
        </w:rPr>
        <w:t>FoNC</w:t>
      </w:r>
      <w:proofErr w:type="spellEnd"/>
      <w:r w:rsidRPr="003E733A">
        <w:rPr>
          <w:rFonts w:ascii="Arial Narrow" w:hAnsi="Arial Narrow"/>
          <w:sz w:val="24"/>
          <w:szCs w:val="24"/>
        </w:rPr>
        <w:t xml:space="preserve">, se puedan financiar los bienes públicos básicos de la institucionalidad cafetera  que garanticen la competitividad de sector (investigación y transferencia de tecnología), desmontando progresivamente los apoyos del PGN y generando un equilibrio operacional del </w:t>
      </w:r>
      <w:proofErr w:type="spellStart"/>
      <w:r w:rsidRPr="003E733A">
        <w:rPr>
          <w:rFonts w:ascii="Arial Narrow" w:hAnsi="Arial Narrow"/>
          <w:sz w:val="24"/>
          <w:szCs w:val="24"/>
        </w:rPr>
        <w:t>FoNC</w:t>
      </w:r>
      <w:proofErr w:type="spellEnd"/>
      <w:r w:rsidRPr="003E733A">
        <w:rPr>
          <w:rFonts w:ascii="Arial Narrow" w:hAnsi="Arial Narrow"/>
          <w:sz w:val="24"/>
          <w:szCs w:val="24"/>
        </w:rPr>
        <w:t xml:space="preserve">. A lo anterior se debe sumar la necesidad de generar ahorros en las épocas favorables de precios y exportaciones para cumplir con el objetivo </w:t>
      </w:r>
      <w:r w:rsidRPr="003E733A">
        <w:rPr>
          <w:rFonts w:ascii="Arial Narrow" w:hAnsi="Arial Narrow"/>
          <w:sz w:val="24"/>
          <w:szCs w:val="24"/>
        </w:rPr>
        <w:lastRenderedPageBreak/>
        <w:t xml:space="preserve">principal de la Garantía de Compra cuando la producción alcance niveles que no puedan ser absorbidos coyunturalmente por el mercado o el precio internacional tenga un cambio brusco de tendencia. En esa medida, se tendría un </w:t>
      </w:r>
      <w:r w:rsidRPr="003E733A">
        <w:rPr>
          <w:rFonts w:ascii="Arial Narrow" w:hAnsi="Arial Narrow"/>
          <w:b/>
          <w:sz w:val="24"/>
          <w:szCs w:val="24"/>
        </w:rPr>
        <w:t xml:space="preserve">recaudo </w:t>
      </w:r>
      <w:proofErr w:type="spellStart"/>
      <w:r w:rsidRPr="003E733A">
        <w:rPr>
          <w:rFonts w:ascii="Arial Narrow" w:hAnsi="Arial Narrow"/>
          <w:b/>
          <w:sz w:val="24"/>
          <w:szCs w:val="24"/>
        </w:rPr>
        <w:t>procíclico</w:t>
      </w:r>
      <w:proofErr w:type="spellEnd"/>
      <w:r w:rsidRPr="003E733A">
        <w:rPr>
          <w:rFonts w:ascii="Arial Narrow" w:hAnsi="Arial Narrow"/>
          <w:b/>
          <w:sz w:val="24"/>
          <w:szCs w:val="24"/>
        </w:rPr>
        <w:t xml:space="preserve">, asociado a un gasto </w:t>
      </w:r>
      <w:proofErr w:type="spellStart"/>
      <w:r w:rsidRPr="003E733A">
        <w:rPr>
          <w:rFonts w:ascii="Arial Narrow" w:hAnsi="Arial Narrow"/>
          <w:b/>
          <w:sz w:val="24"/>
          <w:szCs w:val="24"/>
        </w:rPr>
        <w:t>contracíclico</w:t>
      </w:r>
      <w:proofErr w:type="spellEnd"/>
      <w:r w:rsidRPr="003E733A">
        <w:rPr>
          <w:rFonts w:ascii="Arial Narrow" w:hAnsi="Arial Narrow"/>
          <w:sz w:val="24"/>
          <w:szCs w:val="24"/>
        </w:rPr>
        <w:t xml:space="preserve"> </w:t>
      </w:r>
      <w:r w:rsidRPr="003E733A">
        <w:rPr>
          <w:rFonts w:ascii="Arial Narrow" w:hAnsi="Arial Narrow"/>
          <w:b/>
          <w:sz w:val="24"/>
          <w:szCs w:val="24"/>
        </w:rPr>
        <w:t>y sostenible</w:t>
      </w:r>
      <w:r w:rsidRPr="003E733A">
        <w:rPr>
          <w:rFonts w:ascii="Arial Narrow" w:hAnsi="Arial Narrow"/>
          <w:sz w:val="24"/>
          <w:szCs w:val="24"/>
        </w:rPr>
        <w:t xml:space="preserve"> en el largo plazo.</w:t>
      </w: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spacing w:after="0" w:line="240" w:lineRule="auto"/>
        <w:jc w:val="both"/>
        <w:rPr>
          <w:rFonts w:ascii="Arial Narrow" w:hAnsi="Arial Narrow"/>
          <w:sz w:val="24"/>
          <w:szCs w:val="24"/>
        </w:rPr>
      </w:pPr>
      <w:r w:rsidRPr="003E733A">
        <w:rPr>
          <w:rFonts w:ascii="Arial Narrow" w:hAnsi="Arial Narrow"/>
          <w:sz w:val="24"/>
          <w:szCs w:val="24"/>
          <w:lang w:val="es-MX"/>
        </w:rPr>
        <w:t>Así, e</w:t>
      </w:r>
      <w:r w:rsidRPr="003E733A">
        <w:rPr>
          <w:rFonts w:ascii="Arial Narrow" w:hAnsi="Arial Narrow"/>
          <w:sz w:val="24"/>
          <w:szCs w:val="24"/>
        </w:rPr>
        <w:t>n el pasado Congreso Nacional Cafetero, el Gobierno Nacional planteó la posibilidad de ajustar la contribución cafetera con el fin de fortalecer los programas de apoyo a la Caficultura Nacional. Iniciativa que los mismos caficultores, representados en el Congreso Nacion</w:t>
      </w:r>
      <w:bookmarkStart w:id="0" w:name="_GoBack"/>
      <w:bookmarkEnd w:id="0"/>
      <w:r w:rsidRPr="003E733A">
        <w:rPr>
          <w:rFonts w:ascii="Arial Narrow" w:hAnsi="Arial Narrow"/>
          <w:sz w:val="24"/>
          <w:szCs w:val="24"/>
        </w:rPr>
        <w:t>al de Cafeteros, acogieron con la responsabilidad que siempre ha caracterizado a este sector. En este sentido, el Gobierno Nacional acompaña la iniciativa de ajustar la contribución cafetera. </w:t>
      </w:r>
    </w:p>
    <w:p w:rsidR="003E733A" w:rsidRPr="003E733A" w:rsidRDefault="003E733A" w:rsidP="003E733A">
      <w:pPr>
        <w:spacing w:after="0" w:line="240" w:lineRule="auto"/>
        <w:jc w:val="both"/>
        <w:rPr>
          <w:rFonts w:ascii="Arial Narrow" w:hAnsi="Arial Narrow"/>
          <w:sz w:val="24"/>
          <w:szCs w:val="24"/>
        </w:rPr>
      </w:pPr>
    </w:p>
    <w:p w:rsidR="003E733A" w:rsidRPr="003E733A" w:rsidRDefault="003E733A" w:rsidP="003E733A">
      <w:pPr>
        <w:numPr>
          <w:ilvl w:val="0"/>
          <w:numId w:val="12"/>
        </w:numPr>
        <w:spacing w:after="0" w:line="240" w:lineRule="auto"/>
        <w:jc w:val="both"/>
        <w:rPr>
          <w:rFonts w:ascii="Arial Narrow" w:hAnsi="Arial Narrow" w:cs="Arial"/>
          <w:b/>
          <w:sz w:val="24"/>
          <w:szCs w:val="24"/>
        </w:rPr>
      </w:pPr>
      <w:r w:rsidRPr="003E733A">
        <w:rPr>
          <w:rFonts w:ascii="Arial Narrow" w:hAnsi="Arial Narrow" w:cs="Arial"/>
          <w:b/>
          <w:sz w:val="24"/>
          <w:szCs w:val="24"/>
        </w:rPr>
        <w:t>“¿Que avances o propuestas tiene el gobierno para ampliar la cobertura en seguridad social, especialmente Pensiones y riesgos Profesionales, de campesinos y en particular cafeteros?”</w:t>
      </w:r>
    </w:p>
    <w:p w:rsidR="003E733A" w:rsidRPr="003E733A" w:rsidRDefault="003E733A" w:rsidP="003E733A">
      <w:pPr>
        <w:spacing w:after="0" w:line="240" w:lineRule="auto"/>
        <w:jc w:val="both"/>
        <w:rPr>
          <w:rFonts w:ascii="Arial Narrow" w:hAnsi="Arial Narrow" w:cs="Arial"/>
          <w:i/>
          <w:color w:val="333333"/>
          <w:sz w:val="24"/>
          <w:szCs w:val="24"/>
        </w:rPr>
      </w:pPr>
    </w:p>
    <w:p w:rsidR="0040423A" w:rsidRPr="0040423A" w:rsidRDefault="0040423A" w:rsidP="0040423A">
      <w:pPr>
        <w:spacing w:after="0" w:line="240" w:lineRule="auto"/>
        <w:jc w:val="both"/>
        <w:rPr>
          <w:rFonts w:ascii="Arial Narrow" w:hAnsi="Arial Narrow"/>
          <w:color w:val="000000"/>
          <w:sz w:val="24"/>
          <w:szCs w:val="24"/>
        </w:rPr>
      </w:pPr>
      <w:r w:rsidRPr="0040423A">
        <w:rPr>
          <w:rFonts w:ascii="Arial Narrow" w:hAnsi="Arial Narrow"/>
          <w:color w:val="000000"/>
          <w:sz w:val="24"/>
          <w:szCs w:val="24"/>
        </w:rPr>
        <w:t xml:space="preserve">Es de recordar que en Colombia,  en materia pensional, existe todo un marco legal que busca generar condiciones de seguridad económica, facilitar el acceso paulatino en condiciones de igualdad y ampliar la cobertura de los de los adultos campesinos en el Sistema General de Pensiones. </w:t>
      </w:r>
    </w:p>
    <w:p w:rsidR="0040423A" w:rsidRPr="0040423A" w:rsidRDefault="0040423A" w:rsidP="0040423A">
      <w:pPr>
        <w:spacing w:after="0" w:line="240" w:lineRule="auto"/>
        <w:jc w:val="both"/>
        <w:rPr>
          <w:rFonts w:ascii="Arial Narrow" w:hAnsi="Arial Narrow"/>
          <w:color w:val="000000"/>
          <w:sz w:val="24"/>
          <w:szCs w:val="24"/>
        </w:rPr>
      </w:pPr>
    </w:p>
    <w:p w:rsidR="0040423A" w:rsidRPr="0040423A" w:rsidRDefault="0040423A" w:rsidP="0040423A">
      <w:pPr>
        <w:spacing w:after="0" w:line="240" w:lineRule="auto"/>
        <w:jc w:val="both"/>
        <w:rPr>
          <w:rFonts w:ascii="Arial Narrow" w:hAnsi="Arial Narrow"/>
          <w:color w:val="000000"/>
          <w:sz w:val="24"/>
          <w:szCs w:val="24"/>
        </w:rPr>
      </w:pPr>
      <w:r w:rsidRPr="0040423A">
        <w:rPr>
          <w:rFonts w:ascii="Arial Narrow" w:hAnsi="Arial Narrow"/>
          <w:color w:val="000000"/>
          <w:sz w:val="24"/>
          <w:szCs w:val="24"/>
        </w:rPr>
        <w:t>Con la Ley 797 de 2003, por ejemplo, se  introdujeron modificaciones normativas a la Ley 100 de 1993, con el fin de facilitar la focalización de los subsidios al aporte de aquellos trabajadores rurales cuya edad es superior a 55 años; en virtud de ello,  actualmente de este programa se benefician unos 60.000 campesinos, a quienes a través del Consorcio Prosperar se les está subsidiando hasta un 75% del aporte al Sistema General de Pensiones.</w:t>
      </w:r>
    </w:p>
    <w:p w:rsidR="0040423A" w:rsidRPr="0040423A" w:rsidRDefault="0040423A" w:rsidP="0040423A">
      <w:pPr>
        <w:spacing w:after="0" w:line="240" w:lineRule="auto"/>
        <w:jc w:val="both"/>
        <w:rPr>
          <w:rFonts w:ascii="Arial Narrow" w:hAnsi="Arial Narrow"/>
          <w:color w:val="000000"/>
          <w:sz w:val="24"/>
          <w:szCs w:val="24"/>
        </w:rPr>
      </w:pPr>
    </w:p>
    <w:p w:rsidR="0040423A" w:rsidRPr="0040423A" w:rsidRDefault="0040423A" w:rsidP="0040423A">
      <w:pPr>
        <w:spacing w:after="0" w:line="240" w:lineRule="auto"/>
        <w:jc w:val="both"/>
        <w:rPr>
          <w:rFonts w:ascii="Arial Narrow" w:hAnsi="Arial Narrow"/>
          <w:color w:val="000000"/>
          <w:sz w:val="24"/>
          <w:szCs w:val="24"/>
        </w:rPr>
      </w:pPr>
      <w:r w:rsidRPr="0040423A">
        <w:rPr>
          <w:rFonts w:ascii="Arial Narrow" w:hAnsi="Arial Narrow"/>
          <w:color w:val="000000"/>
          <w:sz w:val="24"/>
          <w:szCs w:val="24"/>
        </w:rPr>
        <w:t>Esta misma norma fortaleció el fondo de solidaridad para los ancianos mayores de 65 años y estableció un subsidio para los ancianos de escasos recursos, especialmente las viudas, las madres cabeza de familia, los incapacitados y los desplazados; el cual tiene a su cargo en la actualidad unos 470.000 beneficiarios.</w:t>
      </w:r>
    </w:p>
    <w:p w:rsidR="0040423A" w:rsidRPr="0040423A" w:rsidRDefault="0040423A" w:rsidP="0040423A">
      <w:pPr>
        <w:spacing w:after="0" w:line="240" w:lineRule="auto"/>
        <w:jc w:val="both"/>
        <w:rPr>
          <w:rFonts w:ascii="Arial Narrow" w:hAnsi="Arial Narrow"/>
          <w:color w:val="000000"/>
          <w:sz w:val="24"/>
          <w:szCs w:val="24"/>
        </w:rPr>
      </w:pPr>
    </w:p>
    <w:p w:rsidR="0040423A" w:rsidRPr="0040423A" w:rsidRDefault="0040423A" w:rsidP="0040423A">
      <w:pPr>
        <w:spacing w:after="0" w:line="240" w:lineRule="auto"/>
        <w:jc w:val="both"/>
        <w:rPr>
          <w:rFonts w:ascii="Arial Narrow" w:hAnsi="Arial Narrow"/>
          <w:color w:val="000000"/>
          <w:sz w:val="24"/>
          <w:szCs w:val="24"/>
        </w:rPr>
      </w:pPr>
      <w:r w:rsidRPr="0040423A">
        <w:rPr>
          <w:rFonts w:ascii="Arial Narrow" w:hAnsi="Arial Narrow"/>
          <w:color w:val="000000"/>
          <w:sz w:val="24"/>
          <w:szCs w:val="24"/>
        </w:rPr>
        <w:t>Adicionalmente y al hacerse visible la necesidad de crear otros mecanismos que permitieran incorporar al adulto mayor rural, entre otros al sistema de protección social, surgió Constitucionalmente el esquema de los beneficios económicos periódicos (</w:t>
      </w:r>
      <w:proofErr w:type="spellStart"/>
      <w:r w:rsidRPr="0040423A">
        <w:rPr>
          <w:rFonts w:ascii="Arial Narrow" w:hAnsi="Arial Narrow"/>
          <w:color w:val="000000"/>
          <w:sz w:val="24"/>
          <w:szCs w:val="24"/>
        </w:rPr>
        <w:t>BEPs</w:t>
      </w:r>
      <w:proofErr w:type="spellEnd"/>
      <w:r w:rsidRPr="0040423A">
        <w:rPr>
          <w:rFonts w:ascii="Arial Narrow" w:hAnsi="Arial Narrow"/>
          <w:color w:val="000000"/>
          <w:sz w:val="24"/>
          <w:szCs w:val="24"/>
        </w:rPr>
        <w:t xml:space="preserve">) ,  con los cuales se busca la protección para la vejez de aquellos trabajadores rurales que no tienen capacidad de pago para cotizar en el Sistema General de Pensiones y en personas, que a pesar de que hasta ahora han ahorrado algo para su vejez, no van a alcanzar a cumplir con los requisitos para una pensión del SGP.          </w:t>
      </w:r>
    </w:p>
    <w:p w:rsidR="0040423A" w:rsidRPr="0040423A" w:rsidRDefault="0040423A" w:rsidP="0040423A">
      <w:pPr>
        <w:spacing w:after="0" w:line="240" w:lineRule="auto"/>
        <w:jc w:val="both"/>
        <w:rPr>
          <w:rFonts w:ascii="Arial Narrow" w:hAnsi="Arial Narrow"/>
          <w:color w:val="000000"/>
          <w:sz w:val="24"/>
          <w:szCs w:val="24"/>
        </w:rPr>
      </w:pPr>
    </w:p>
    <w:p w:rsidR="0040423A" w:rsidRPr="0040423A" w:rsidRDefault="0040423A" w:rsidP="0040423A">
      <w:pPr>
        <w:spacing w:after="0" w:line="240" w:lineRule="auto"/>
        <w:jc w:val="both"/>
        <w:rPr>
          <w:rFonts w:ascii="Arial Narrow" w:hAnsi="Arial Narrow"/>
          <w:color w:val="000000"/>
          <w:sz w:val="24"/>
          <w:szCs w:val="24"/>
        </w:rPr>
      </w:pPr>
      <w:r w:rsidRPr="0040423A">
        <w:rPr>
          <w:rFonts w:ascii="Arial Narrow" w:hAnsi="Arial Narrow"/>
          <w:color w:val="000000"/>
          <w:sz w:val="24"/>
          <w:szCs w:val="24"/>
        </w:rPr>
        <w:t>Este programa social, permitirá a los trabajadores rurales  y especialmente a los trabajadores estacionales, la posibilidad de pertenecer a un esquema de ahorro de largo plazo, que les permita a través de un ahorro flexible en cuantía y en periodicidad y con incentivos al ahorro otorgados por el Gobierno Nacional, conformar un saldo de ahorro para su vejez, el cual será destinado a la constitución de una renta vitalicia cuyo monto dependerá del capital ahorrado y de los incentivos que haya otorgado el Gobierno Nacional.</w:t>
      </w:r>
    </w:p>
    <w:p w:rsidR="0040423A" w:rsidRPr="0040423A" w:rsidRDefault="0040423A" w:rsidP="0040423A">
      <w:pPr>
        <w:spacing w:after="0" w:line="240" w:lineRule="auto"/>
        <w:jc w:val="both"/>
        <w:rPr>
          <w:rFonts w:ascii="Arial Narrow" w:hAnsi="Arial Narrow"/>
          <w:color w:val="000000"/>
          <w:sz w:val="24"/>
          <w:szCs w:val="24"/>
        </w:rPr>
      </w:pPr>
    </w:p>
    <w:p w:rsidR="0040423A" w:rsidRPr="0040423A" w:rsidRDefault="0040423A" w:rsidP="0040423A">
      <w:pPr>
        <w:spacing w:after="0" w:line="240" w:lineRule="auto"/>
        <w:jc w:val="both"/>
        <w:rPr>
          <w:rFonts w:ascii="Arial Narrow" w:hAnsi="Arial Narrow"/>
          <w:color w:val="000000"/>
          <w:sz w:val="24"/>
          <w:szCs w:val="24"/>
        </w:rPr>
      </w:pPr>
      <w:r w:rsidRPr="0040423A">
        <w:rPr>
          <w:rFonts w:ascii="Arial Narrow" w:hAnsi="Arial Narrow"/>
          <w:color w:val="000000"/>
          <w:sz w:val="24"/>
          <w:szCs w:val="24"/>
        </w:rPr>
        <w:lastRenderedPageBreak/>
        <w:t>Actualmente, el Ministerio de Trabajo en conjunto con el DNP y el Ministerio de Hacienda y Crédito Público, están adelantando la estructura del CONPES a que se refiere la Ley 1328 de 2009, el cual deberá establecer las políticas generales de este programa social, con lo que se  podrá avanzar en la expedición de la normatividad correspondiente y la puesta en marcha de este mecanismo de ahorro.</w:t>
      </w:r>
    </w:p>
    <w:p w:rsidR="0040423A" w:rsidRPr="0040423A" w:rsidRDefault="0040423A" w:rsidP="0040423A">
      <w:pPr>
        <w:spacing w:after="0" w:line="240" w:lineRule="auto"/>
        <w:jc w:val="both"/>
        <w:rPr>
          <w:rFonts w:ascii="Arial Narrow" w:hAnsi="Arial Narrow"/>
          <w:color w:val="000000"/>
          <w:sz w:val="24"/>
          <w:szCs w:val="24"/>
        </w:rPr>
      </w:pPr>
    </w:p>
    <w:p w:rsidR="0040423A" w:rsidRDefault="0040423A" w:rsidP="0040423A">
      <w:pPr>
        <w:spacing w:after="0" w:line="240" w:lineRule="auto"/>
        <w:jc w:val="both"/>
        <w:rPr>
          <w:rFonts w:ascii="Arial Narrow" w:hAnsi="Arial Narrow"/>
          <w:color w:val="000000"/>
          <w:sz w:val="24"/>
          <w:szCs w:val="24"/>
        </w:rPr>
      </w:pPr>
      <w:r w:rsidRPr="0040423A">
        <w:rPr>
          <w:rFonts w:ascii="Arial Narrow" w:hAnsi="Arial Narrow"/>
          <w:color w:val="000000"/>
          <w:sz w:val="24"/>
          <w:szCs w:val="24"/>
        </w:rPr>
        <w:t>Adicionalmente, con la expedición de la Ley 1562 de 2012 se les permite a los trabajadores independientes e informales su vinculación de manera voluntaria  al sistema de riegos laborales, con una sola condición y es que estén afiliados al Sistema General de Seguridad Social en Salud, por lo cual se espera una mayor incorporación del número de trabajadores rurales y  estacionales a este Sistema, sin que sea necesario que pertenezcan al sector formal de la economía.</w:t>
      </w:r>
    </w:p>
    <w:p w:rsidR="0040423A" w:rsidRPr="003E733A" w:rsidRDefault="0040423A" w:rsidP="0040423A">
      <w:pPr>
        <w:spacing w:after="0" w:line="240" w:lineRule="auto"/>
        <w:jc w:val="both"/>
        <w:rPr>
          <w:rFonts w:ascii="Arial Narrow" w:hAnsi="Arial Narrow"/>
          <w:color w:val="000000"/>
          <w:sz w:val="24"/>
          <w:szCs w:val="24"/>
        </w:rPr>
      </w:pPr>
    </w:p>
    <w:p w:rsidR="003E733A" w:rsidRPr="003E733A" w:rsidRDefault="003E733A" w:rsidP="0040423A">
      <w:pPr>
        <w:pStyle w:val="Prrafodelista"/>
        <w:keepNext/>
        <w:numPr>
          <w:ilvl w:val="0"/>
          <w:numId w:val="11"/>
        </w:numPr>
        <w:spacing w:after="0" w:line="240" w:lineRule="auto"/>
        <w:jc w:val="both"/>
        <w:rPr>
          <w:rFonts w:ascii="Arial Narrow" w:hAnsi="Arial Narrow" w:cs="Arial"/>
          <w:b/>
          <w:sz w:val="24"/>
          <w:szCs w:val="24"/>
        </w:rPr>
      </w:pPr>
      <w:r w:rsidRPr="003E733A">
        <w:rPr>
          <w:rFonts w:ascii="Arial Narrow" w:hAnsi="Arial Narrow" w:cs="Arial"/>
          <w:b/>
          <w:sz w:val="24"/>
          <w:szCs w:val="24"/>
        </w:rPr>
        <w:t>Cuál es la posición del gobierno en cuanto a un tratamiento especial (tipo PRAN o FONSA) para los deudores cafeteros y agropecuarios</w:t>
      </w:r>
      <w:proofErr w:type="gramStart"/>
      <w:r w:rsidRPr="003E733A">
        <w:rPr>
          <w:rFonts w:ascii="Arial Narrow" w:hAnsi="Arial Narrow" w:cs="Arial"/>
          <w:b/>
          <w:sz w:val="24"/>
          <w:szCs w:val="24"/>
        </w:rPr>
        <w:t>?</w:t>
      </w:r>
      <w:proofErr w:type="gramEnd"/>
    </w:p>
    <w:p w:rsidR="003E733A" w:rsidRPr="003E733A" w:rsidRDefault="003E733A" w:rsidP="0040423A">
      <w:pPr>
        <w:pStyle w:val="Prrafodelista"/>
        <w:keepNext/>
        <w:spacing w:after="0" w:line="240" w:lineRule="auto"/>
        <w:jc w:val="both"/>
        <w:rPr>
          <w:rFonts w:ascii="Arial Narrow" w:hAnsi="Arial Narrow" w:cs="Arial"/>
          <w:b/>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sz w:val="24"/>
          <w:szCs w:val="24"/>
        </w:rPr>
        <w:t xml:space="preserve">La experiencia en la ejecución de Programas como el PRAN muestra que este tipo de instrumentos resultan más costosos y con </w:t>
      </w:r>
      <w:proofErr w:type="gramStart"/>
      <w:r w:rsidRPr="003E733A">
        <w:rPr>
          <w:rFonts w:ascii="Arial Narrow" w:hAnsi="Arial Narrow" w:cs="Arial"/>
          <w:sz w:val="24"/>
          <w:szCs w:val="24"/>
        </w:rPr>
        <w:t>una</w:t>
      </w:r>
      <w:proofErr w:type="gramEnd"/>
      <w:r w:rsidRPr="003E733A">
        <w:rPr>
          <w:rFonts w:ascii="Arial Narrow" w:hAnsi="Arial Narrow" w:cs="Arial"/>
          <w:sz w:val="24"/>
          <w:szCs w:val="24"/>
        </w:rPr>
        <w:t xml:space="preserve"> alta carga operativa. Para el caso del café, el PRAN viene funcionando desde el año 2001, y con corte a junio de 2012 tan sólo se ha recaudado cerca del 60% de la cartera inicial, a pesar de los beneficios que en diversas oportunidades ha ofrecido el Gobierno Nacional, tales como por ejemplo, extinguir el 100% de las obligaciones, cancelando el 30% en promedio sin intereses de ninguna índole; ó no ejercer cobro jurídico sobre obligaciones menores a $3.500.000 </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sz w:val="24"/>
          <w:szCs w:val="24"/>
        </w:rPr>
        <w:t>No obstante lo anterior, la normatividad que rige el PRAN permite que la cartera que se recaude pueda ser reinvertida en programas de reactivación del sector, de ahí la importancia de crear consciencia en los deudores sobre el pago de dichas obligaciones, con el fin de apalancar futuros instrumentos financieros con estos recursos, sin la necesidad de realizar un esfuerzo fiscal adicional, que actualmente resulta difícil dado los recursos limitados.</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sz w:val="24"/>
          <w:szCs w:val="24"/>
        </w:rPr>
        <w:t xml:space="preserve">De otra parte, con el ánimo de promover la cultura de gestión del riesgo, el Gobierno Nacional incentiva el uso de instrumentos de administración del riesgo, tales como el seguro agrícola y el contrato de protección de precio del café, que permitan mitigar el riesgo de no pago de las obligaciones financieras contraídas por esta población. </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pStyle w:val="Prrafodelista"/>
        <w:keepNext/>
        <w:numPr>
          <w:ilvl w:val="0"/>
          <w:numId w:val="11"/>
        </w:numPr>
        <w:spacing w:after="0" w:line="240" w:lineRule="auto"/>
        <w:jc w:val="both"/>
        <w:rPr>
          <w:rFonts w:ascii="Arial Narrow" w:hAnsi="Arial Narrow" w:cs="Arial"/>
          <w:b/>
          <w:sz w:val="24"/>
          <w:szCs w:val="24"/>
        </w:rPr>
      </w:pPr>
      <w:r w:rsidRPr="003E733A">
        <w:rPr>
          <w:rFonts w:ascii="Arial Narrow" w:hAnsi="Arial Narrow" w:cs="Arial"/>
          <w:b/>
          <w:sz w:val="24"/>
          <w:szCs w:val="24"/>
        </w:rPr>
        <w:t xml:space="preserve">Cuál es la posición del gobierno ante la propuesta de excluir del </w:t>
      </w:r>
      <w:proofErr w:type="spellStart"/>
      <w:r w:rsidRPr="003E733A">
        <w:rPr>
          <w:rFonts w:ascii="Arial Narrow" w:hAnsi="Arial Narrow" w:cs="Arial"/>
          <w:b/>
          <w:sz w:val="24"/>
          <w:szCs w:val="24"/>
        </w:rPr>
        <w:t>iva</w:t>
      </w:r>
      <w:proofErr w:type="spellEnd"/>
      <w:r w:rsidRPr="003E733A">
        <w:rPr>
          <w:rFonts w:ascii="Arial Narrow" w:hAnsi="Arial Narrow" w:cs="Arial"/>
          <w:b/>
          <w:sz w:val="24"/>
          <w:szCs w:val="24"/>
        </w:rPr>
        <w:t xml:space="preserve"> a los insumos agropecuarios</w:t>
      </w:r>
      <w:proofErr w:type="gramStart"/>
      <w:r w:rsidRPr="003E733A">
        <w:rPr>
          <w:rFonts w:ascii="Arial Narrow" w:hAnsi="Arial Narrow" w:cs="Arial"/>
          <w:b/>
          <w:sz w:val="24"/>
          <w:szCs w:val="24"/>
        </w:rPr>
        <w:t>?</w:t>
      </w:r>
      <w:proofErr w:type="gramEnd"/>
    </w:p>
    <w:p w:rsidR="003E733A" w:rsidRPr="003E733A" w:rsidRDefault="003E733A" w:rsidP="003E733A">
      <w:pPr>
        <w:keepNext/>
        <w:spacing w:after="0" w:line="240" w:lineRule="auto"/>
        <w:jc w:val="both"/>
        <w:rPr>
          <w:rFonts w:ascii="Arial Narrow" w:hAnsi="Arial Narrow" w:cs="Arial"/>
          <w:b/>
          <w:sz w:val="24"/>
          <w:szCs w:val="24"/>
        </w:rPr>
      </w:pPr>
    </w:p>
    <w:p w:rsidR="003E733A" w:rsidRPr="003E733A" w:rsidRDefault="003E733A" w:rsidP="003E733A">
      <w:pPr>
        <w:keepNext/>
        <w:spacing w:after="0" w:line="240" w:lineRule="auto"/>
        <w:jc w:val="both"/>
        <w:rPr>
          <w:rFonts w:ascii="Arial Narrow" w:hAnsi="Arial Narrow" w:cs="Arial"/>
          <w:sz w:val="24"/>
          <w:szCs w:val="24"/>
        </w:rPr>
      </w:pPr>
      <w:r w:rsidRPr="003E733A">
        <w:rPr>
          <w:rFonts w:ascii="Arial Narrow" w:hAnsi="Arial Narrow" w:cs="Arial"/>
          <w:sz w:val="24"/>
          <w:szCs w:val="24"/>
        </w:rPr>
        <w:t>Es preciso aclarar que prácticamente la totalidad de los insumos agropecuarios se encuentran actualmente excluidos del IVA de acuerdo con el Estatuto Tributario. El proyecto de Reforma Tributaria no sólo contempla mantener en el régimen excluido los insumos que actualmente tienen ese tratamiento, sino que considera la disminución de la tarifa de IVA para aquellos pocos insumos que se encuentran gravados, principalmente, Alimentos Balanceados para Animales y sus materias primas, seguros agropecuarios, alguna maquinaria agrícola y sus repuestos, entre otros.</w:t>
      </w:r>
    </w:p>
    <w:p w:rsidR="003E733A" w:rsidRPr="003E733A" w:rsidRDefault="003E733A" w:rsidP="003E733A">
      <w:pPr>
        <w:keepNext/>
        <w:spacing w:after="0" w:line="240" w:lineRule="auto"/>
        <w:jc w:val="both"/>
        <w:rPr>
          <w:rFonts w:ascii="Arial Narrow" w:hAnsi="Arial Narrow" w:cs="Arial"/>
          <w:sz w:val="24"/>
          <w:szCs w:val="24"/>
        </w:rPr>
      </w:pPr>
    </w:p>
    <w:p w:rsidR="003E733A" w:rsidRPr="003E733A" w:rsidRDefault="003E733A" w:rsidP="003E733A">
      <w:pPr>
        <w:pStyle w:val="Prrafodelista"/>
        <w:numPr>
          <w:ilvl w:val="0"/>
          <w:numId w:val="11"/>
        </w:numPr>
        <w:spacing w:after="0" w:line="240" w:lineRule="auto"/>
        <w:jc w:val="both"/>
        <w:rPr>
          <w:rFonts w:ascii="Arial Narrow" w:eastAsia="Calibri" w:hAnsi="Arial Narrow"/>
          <w:b/>
          <w:sz w:val="24"/>
          <w:szCs w:val="24"/>
        </w:rPr>
      </w:pPr>
      <w:r w:rsidRPr="003E733A">
        <w:rPr>
          <w:rFonts w:ascii="Arial Narrow" w:eastAsia="Calibri" w:hAnsi="Arial Narrow"/>
          <w:b/>
          <w:sz w:val="24"/>
          <w:szCs w:val="24"/>
        </w:rPr>
        <w:t>Qué estrategias y decisiones ha adoptado y adelantará el Gobierno Nacional para contrarrestar la revaluación y su impacto en el sector agropecuario, especialmente en el café</w:t>
      </w:r>
      <w:proofErr w:type="gramStart"/>
      <w:r w:rsidRPr="003E733A">
        <w:rPr>
          <w:rFonts w:ascii="Arial Narrow" w:eastAsia="Calibri" w:hAnsi="Arial Narrow"/>
          <w:b/>
          <w:sz w:val="24"/>
          <w:szCs w:val="24"/>
        </w:rPr>
        <w:t>?</w:t>
      </w:r>
      <w:proofErr w:type="gramEnd"/>
    </w:p>
    <w:p w:rsidR="003E733A" w:rsidRPr="003E733A" w:rsidRDefault="003E733A" w:rsidP="003E733A">
      <w:pPr>
        <w:pStyle w:val="Prrafodelista"/>
        <w:spacing w:line="240" w:lineRule="auto"/>
        <w:jc w:val="both"/>
        <w:rPr>
          <w:rFonts w:ascii="Arial Narrow" w:eastAsia="Calibri" w:hAnsi="Arial Narrow"/>
          <w:b/>
          <w:sz w:val="24"/>
          <w:szCs w:val="24"/>
        </w:rPr>
      </w:pPr>
    </w:p>
    <w:p w:rsidR="003E733A" w:rsidRPr="003E733A" w:rsidRDefault="003E733A" w:rsidP="003E733A">
      <w:pPr>
        <w:spacing w:after="0" w:line="240" w:lineRule="auto"/>
        <w:jc w:val="both"/>
        <w:rPr>
          <w:rFonts w:ascii="Arial Narrow" w:hAnsi="Arial Narrow" w:cs="Arial"/>
          <w:sz w:val="24"/>
          <w:szCs w:val="24"/>
        </w:rPr>
      </w:pPr>
      <w:r w:rsidRPr="003E733A">
        <w:rPr>
          <w:rFonts w:ascii="Arial Narrow" w:hAnsi="Arial Narrow"/>
          <w:sz w:val="24"/>
          <w:szCs w:val="24"/>
        </w:rPr>
        <w:t xml:space="preserve">El Gobierno Nacional es consciente de la importancia de las diferentes ramas de actividad económica, tanto en términos económicos como sociales. A su vez,  es consciente del impacto que la revaluación puede tener sobre los diversos sectores de la economía. Así, el Gobierno ha tomado una serie de medidas para contrarrestar los efectos adversos que la revaluación puede tener sobre la economía nacional. </w:t>
      </w:r>
      <w:r w:rsidRPr="003E733A">
        <w:rPr>
          <w:rFonts w:ascii="Arial Narrow" w:hAnsi="Arial Narrow" w:cs="Arial"/>
          <w:sz w:val="24"/>
          <w:szCs w:val="24"/>
        </w:rPr>
        <w:t>Entre estas medias se encuentran las siguientes:</w:t>
      </w:r>
    </w:p>
    <w:p w:rsidR="003E733A" w:rsidRPr="003E733A" w:rsidRDefault="003E733A" w:rsidP="003E733A">
      <w:pPr>
        <w:spacing w:after="0" w:line="240" w:lineRule="auto"/>
        <w:jc w:val="both"/>
        <w:rPr>
          <w:rFonts w:ascii="Arial Narrow" w:hAnsi="Arial Narrow" w:cs="Arial"/>
          <w:sz w:val="24"/>
          <w:szCs w:val="24"/>
        </w:rPr>
      </w:pPr>
    </w:p>
    <w:p w:rsidR="003E733A" w:rsidRPr="003E733A" w:rsidRDefault="003E733A" w:rsidP="003E733A">
      <w:pPr>
        <w:pStyle w:val="Prrafodelista"/>
        <w:numPr>
          <w:ilvl w:val="0"/>
          <w:numId w:val="13"/>
        </w:numPr>
        <w:spacing w:after="0" w:line="240" w:lineRule="auto"/>
        <w:jc w:val="both"/>
        <w:rPr>
          <w:rFonts w:ascii="Arial Narrow" w:hAnsi="Arial Narrow" w:cs="Arial"/>
          <w:sz w:val="24"/>
          <w:szCs w:val="24"/>
        </w:rPr>
      </w:pPr>
      <w:r w:rsidRPr="003E733A">
        <w:rPr>
          <w:rFonts w:ascii="Arial Narrow" w:hAnsi="Arial Narrow" w:cs="Arial"/>
          <w:sz w:val="24"/>
          <w:szCs w:val="24"/>
        </w:rPr>
        <w:t>El 13 de octubre de 2010, el Ministro de Hacienda y Crédito Público anunció que recibiría por dividendos de Ecopetrol US$1.400 millones, los cuales no se monetizarían y se mantendrían en el exterior. Con esta medida se evitó la entrada de dólares proveniente del pago de los dividendos, y con ello se redujo la presión cambiaria frente al dólar.</w:t>
      </w:r>
    </w:p>
    <w:p w:rsidR="003E733A" w:rsidRPr="003E733A" w:rsidRDefault="003E733A" w:rsidP="003E733A">
      <w:pPr>
        <w:pStyle w:val="Prrafodelista"/>
        <w:spacing w:line="240" w:lineRule="auto"/>
        <w:jc w:val="both"/>
        <w:rPr>
          <w:rFonts w:ascii="Arial Narrow" w:hAnsi="Arial Narrow" w:cs="Arial"/>
          <w:sz w:val="24"/>
          <w:szCs w:val="24"/>
        </w:rPr>
      </w:pPr>
    </w:p>
    <w:p w:rsidR="003E733A" w:rsidRPr="003E733A" w:rsidRDefault="003E733A" w:rsidP="003E733A">
      <w:pPr>
        <w:pStyle w:val="NormalWeb"/>
        <w:numPr>
          <w:ilvl w:val="0"/>
          <w:numId w:val="13"/>
        </w:numPr>
        <w:spacing w:before="0" w:beforeAutospacing="0" w:after="0" w:afterAutospacing="0"/>
        <w:jc w:val="both"/>
        <w:rPr>
          <w:rFonts w:ascii="Arial Narrow" w:hAnsi="Arial Narrow" w:cs="Arial"/>
          <w:color w:val="auto"/>
          <w:lang w:val="es-CO"/>
        </w:rPr>
      </w:pPr>
      <w:r w:rsidRPr="003E733A">
        <w:rPr>
          <w:rFonts w:ascii="Arial Narrow" w:hAnsi="Arial Narrow" w:cs="Arial"/>
          <w:color w:val="auto"/>
          <w:lang w:val="es-CO"/>
        </w:rPr>
        <w:t>El Gobierno Nacional Central (GNC) no monetizó US$1.500 millones de recursos de portafolio de su flujo proyectado en 2010.</w:t>
      </w:r>
    </w:p>
    <w:p w:rsidR="003E733A" w:rsidRPr="003E733A" w:rsidRDefault="003E733A" w:rsidP="003E733A">
      <w:pPr>
        <w:pStyle w:val="NormalWeb"/>
        <w:spacing w:before="0" w:beforeAutospacing="0" w:after="0" w:afterAutospacing="0"/>
        <w:jc w:val="both"/>
        <w:rPr>
          <w:rFonts w:ascii="Arial Narrow" w:hAnsi="Arial Narrow" w:cs="Arial"/>
          <w:lang w:val="es-CO"/>
        </w:rPr>
      </w:pPr>
    </w:p>
    <w:p w:rsidR="003E733A" w:rsidRPr="003E733A" w:rsidRDefault="003E733A" w:rsidP="003E733A">
      <w:pPr>
        <w:pStyle w:val="NormalWeb"/>
        <w:numPr>
          <w:ilvl w:val="0"/>
          <w:numId w:val="13"/>
        </w:numPr>
        <w:spacing w:before="0" w:beforeAutospacing="0" w:after="0" w:afterAutospacing="0"/>
        <w:jc w:val="both"/>
        <w:rPr>
          <w:rFonts w:ascii="Arial Narrow" w:hAnsi="Arial Narrow" w:cs="Arial"/>
          <w:lang w:val="es-CO"/>
        </w:rPr>
      </w:pPr>
      <w:r w:rsidRPr="003E733A">
        <w:rPr>
          <w:rFonts w:ascii="Arial Narrow" w:hAnsi="Arial Narrow" w:cs="Arial"/>
          <w:lang w:val="es-CO"/>
        </w:rPr>
        <w:t>Se modificó el Plan Financiero de 2011, con el fin de reducir los flujos de monetizaciones del GNC en US$384 millones para ese mismo año.</w:t>
      </w:r>
    </w:p>
    <w:p w:rsidR="003E733A" w:rsidRPr="003E733A" w:rsidRDefault="003E733A" w:rsidP="003E733A">
      <w:pPr>
        <w:pStyle w:val="NormalWeb"/>
        <w:spacing w:before="0" w:beforeAutospacing="0" w:after="0" w:afterAutospacing="0"/>
        <w:jc w:val="both"/>
        <w:rPr>
          <w:rFonts w:ascii="Arial Narrow" w:hAnsi="Arial Narrow" w:cs="Arial"/>
          <w:lang w:val="es-CO"/>
        </w:rPr>
      </w:pPr>
    </w:p>
    <w:p w:rsidR="003E733A" w:rsidRPr="003E733A" w:rsidRDefault="003E733A" w:rsidP="003E733A">
      <w:pPr>
        <w:pStyle w:val="NormalWeb"/>
        <w:numPr>
          <w:ilvl w:val="0"/>
          <w:numId w:val="13"/>
        </w:numPr>
        <w:spacing w:before="0" w:beforeAutospacing="0" w:after="0" w:afterAutospacing="0"/>
        <w:jc w:val="both"/>
        <w:rPr>
          <w:rFonts w:ascii="Arial Narrow" w:hAnsi="Arial Narrow" w:cs="Arial"/>
          <w:lang w:val="es-CO"/>
        </w:rPr>
      </w:pPr>
      <w:r w:rsidRPr="003E733A">
        <w:rPr>
          <w:rFonts w:ascii="Arial Narrow" w:hAnsi="Arial Narrow" w:cs="Arial"/>
          <w:lang w:val="es-CO"/>
        </w:rPr>
        <w:t xml:space="preserve">El Ministerio de Hacienda y Crédito Público (MHCP) implementó una estrategia de cobertura cambiaria para los pagos de deuda externa del siguiente año, a través de compras de divisas en el mercado </w:t>
      </w:r>
      <w:r w:rsidRPr="003E733A">
        <w:rPr>
          <w:rFonts w:ascii="Arial Narrow" w:hAnsi="Arial Narrow" w:cs="Arial"/>
          <w:i/>
          <w:iCs/>
          <w:lang w:val="es-CO"/>
        </w:rPr>
        <w:t>forward</w:t>
      </w:r>
      <w:r w:rsidRPr="003E733A">
        <w:rPr>
          <w:rFonts w:ascii="Arial Narrow" w:hAnsi="Arial Narrow" w:cs="Arial"/>
          <w:lang w:val="es-CO"/>
        </w:rPr>
        <w:t xml:space="preserve">, siempre que la tasa de cambio futura a la que se cotizaran dichas operaciones se realicen a un costo razonable para la Nación.  </w:t>
      </w:r>
    </w:p>
    <w:p w:rsidR="003E733A" w:rsidRPr="003E733A" w:rsidRDefault="003E733A" w:rsidP="003E733A">
      <w:pPr>
        <w:pStyle w:val="NormalWeb"/>
        <w:spacing w:before="0" w:beforeAutospacing="0" w:after="0" w:afterAutospacing="0"/>
        <w:jc w:val="both"/>
        <w:rPr>
          <w:rFonts w:ascii="Arial Narrow" w:hAnsi="Arial Narrow" w:cs="Arial"/>
          <w:lang w:val="es-CO"/>
        </w:rPr>
      </w:pPr>
    </w:p>
    <w:p w:rsidR="003E733A" w:rsidRPr="003E733A" w:rsidRDefault="003E733A" w:rsidP="003E733A">
      <w:pPr>
        <w:pStyle w:val="NormalWeb"/>
        <w:numPr>
          <w:ilvl w:val="0"/>
          <w:numId w:val="13"/>
        </w:numPr>
        <w:spacing w:before="0" w:beforeAutospacing="0" w:after="0" w:afterAutospacing="0"/>
        <w:jc w:val="both"/>
        <w:rPr>
          <w:rFonts w:ascii="Arial Narrow" w:hAnsi="Arial Narrow" w:cs="Arial"/>
          <w:lang w:val="es-CO"/>
        </w:rPr>
      </w:pPr>
      <w:r w:rsidRPr="003E733A">
        <w:rPr>
          <w:rFonts w:ascii="Arial Narrow" w:hAnsi="Arial Narrow" w:cs="Arial"/>
          <w:lang w:val="es-CO"/>
        </w:rPr>
        <w:t>Se eliminó la exención al impuesto de renta al pago de intereses de créditos contratados con entidades del exterior, con excepción de aquellos obtenidos por los establecimientos de crédito colombianos, los créditos de corto plazo, los originados en sobregiros o descubiertos bancarios, y aquellos destinados a la actividad de comercio exterior.</w:t>
      </w:r>
    </w:p>
    <w:p w:rsidR="003E733A" w:rsidRPr="003E733A" w:rsidRDefault="003E733A" w:rsidP="003E733A">
      <w:pPr>
        <w:pStyle w:val="NormalWeb"/>
        <w:spacing w:before="0" w:beforeAutospacing="0" w:after="0" w:afterAutospacing="0"/>
        <w:ind w:left="720"/>
        <w:jc w:val="both"/>
        <w:rPr>
          <w:rFonts w:ascii="Arial Narrow" w:hAnsi="Arial Narrow" w:cs="Arial"/>
          <w:lang w:val="es-CO"/>
        </w:rPr>
      </w:pPr>
    </w:p>
    <w:p w:rsidR="003E733A" w:rsidRPr="003E733A" w:rsidRDefault="003E733A" w:rsidP="003E733A">
      <w:pPr>
        <w:pStyle w:val="NormalWeb"/>
        <w:numPr>
          <w:ilvl w:val="0"/>
          <w:numId w:val="13"/>
        </w:numPr>
        <w:spacing w:before="0" w:beforeAutospacing="0" w:after="0" w:afterAutospacing="0"/>
        <w:jc w:val="both"/>
        <w:rPr>
          <w:rFonts w:ascii="Arial Narrow" w:hAnsi="Arial Narrow" w:cs="Arial"/>
          <w:lang w:val="es-CO"/>
        </w:rPr>
      </w:pPr>
      <w:r w:rsidRPr="003E733A">
        <w:rPr>
          <w:rFonts w:ascii="Arial Narrow" w:hAnsi="Arial Narrow" w:cs="Arial"/>
          <w:color w:val="auto"/>
          <w:lang w:val="es-CO"/>
        </w:rPr>
        <w:t xml:space="preserve">Mediante el decreto 2555 de 2010 se definió un  límite a las operaciones de compra y venta de divisas por parte de los fondos de pensiones obligatorias equivalentes al 2.5% del valor del fondo. Este límite se impuso a operaciones bajo la modalidad </w:t>
      </w:r>
      <w:r w:rsidRPr="003E733A">
        <w:rPr>
          <w:rFonts w:ascii="Arial Narrow" w:hAnsi="Arial Narrow" w:cs="Arial"/>
          <w:i/>
          <w:color w:val="auto"/>
          <w:lang w:val="es-CO"/>
        </w:rPr>
        <w:t>spot</w:t>
      </w:r>
      <w:r w:rsidRPr="003E733A">
        <w:rPr>
          <w:rFonts w:ascii="Arial Narrow" w:hAnsi="Arial Narrow" w:cs="Arial"/>
          <w:color w:val="auto"/>
          <w:lang w:val="es-CO"/>
        </w:rPr>
        <w:t xml:space="preserve"> (contado) o de instrumentos financieros derivados realizadas durante los últimos cinco (5) días hábiles.</w:t>
      </w:r>
    </w:p>
    <w:p w:rsidR="003E733A" w:rsidRPr="003E733A" w:rsidRDefault="003E733A" w:rsidP="003E733A">
      <w:pPr>
        <w:pStyle w:val="NormalWeb"/>
        <w:spacing w:before="0" w:beforeAutospacing="0" w:after="0" w:afterAutospacing="0"/>
        <w:jc w:val="both"/>
        <w:rPr>
          <w:rFonts w:ascii="Arial Narrow" w:hAnsi="Arial Narrow" w:cs="Arial"/>
          <w:lang w:val="es-CO"/>
        </w:rPr>
      </w:pPr>
      <w:r w:rsidRPr="003E733A">
        <w:rPr>
          <w:rFonts w:ascii="Arial Narrow" w:hAnsi="Arial Narrow" w:cs="Arial"/>
          <w:color w:val="auto"/>
          <w:lang w:val="es-CO"/>
        </w:rPr>
        <w:t xml:space="preserve"> </w:t>
      </w:r>
    </w:p>
    <w:p w:rsidR="003E733A" w:rsidRPr="003E733A" w:rsidRDefault="003E733A" w:rsidP="003E733A">
      <w:pPr>
        <w:pStyle w:val="Prrafodelista"/>
        <w:numPr>
          <w:ilvl w:val="0"/>
          <w:numId w:val="13"/>
        </w:numPr>
        <w:autoSpaceDE w:val="0"/>
        <w:autoSpaceDN w:val="0"/>
        <w:adjustRightInd w:val="0"/>
        <w:spacing w:after="0" w:line="240" w:lineRule="auto"/>
        <w:jc w:val="both"/>
        <w:rPr>
          <w:rFonts w:ascii="Arial Narrow" w:hAnsi="Arial Narrow" w:cs="Arial"/>
          <w:sz w:val="24"/>
          <w:szCs w:val="24"/>
        </w:rPr>
      </w:pPr>
      <w:r w:rsidRPr="003E733A">
        <w:rPr>
          <w:rFonts w:ascii="Arial Narrow" w:hAnsi="Arial Narrow" w:cs="Arial"/>
          <w:sz w:val="24"/>
          <w:szCs w:val="24"/>
        </w:rPr>
        <w:t>Se tomaron también disposiciones en materia impositiva y de competitividad (Ley 1430 de 2010), para aumentar la eficiencia del Gravamen a los Movimientos Financieros, y para simplificar el pago de impuestos, tasas, contribuciones y retenciones sobre los ingresos por exportaciones del sector minero.</w:t>
      </w:r>
    </w:p>
    <w:p w:rsidR="003E733A" w:rsidRPr="003E733A" w:rsidRDefault="003E733A" w:rsidP="003E733A">
      <w:pPr>
        <w:pStyle w:val="NormalWeb"/>
        <w:spacing w:before="0" w:beforeAutospacing="0" w:after="0" w:afterAutospacing="0"/>
        <w:jc w:val="both"/>
        <w:rPr>
          <w:rFonts w:ascii="Arial Narrow" w:hAnsi="Arial Narrow" w:cs="Arial"/>
          <w:lang w:val="es-CO"/>
        </w:rPr>
      </w:pPr>
    </w:p>
    <w:p w:rsidR="003E733A" w:rsidRPr="003E733A" w:rsidRDefault="003E733A" w:rsidP="003E733A">
      <w:pPr>
        <w:pStyle w:val="NormalWeb"/>
        <w:numPr>
          <w:ilvl w:val="0"/>
          <w:numId w:val="13"/>
        </w:numPr>
        <w:spacing w:before="0" w:beforeAutospacing="0" w:after="0" w:afterAutospacing="0"/>
        <w:jc w:val="both"/>
        <w:rPr>
          <w:rFonts w:ascii="Arial Narrow" w:hAnsi="Arial Narrow" w:cs="Arial"/>
          <w:lang w:val="es-CO"/>
        </w:rPr>
      </w:pPr>
      <w:r w:rsidRPr="003E733A">
        <w:rPr>
          <w:rFonts w:ascii="Arial Narrow" w:hAnsi="Arial Narrow" w:cs="Arial"/>
          <w:lang w:val="es-CO"/>
        </w:rPr>
        <w:t xml:space="preserve">El 29 de abril de 2011, el Gobierno Nacional anunció que a partir del 2 de mayo del mismo año, a través de la Dirección de Crédito Público y del Tesoro Nacional, realizaría compras de dólares en el mercado de divisas, con el fin de constituir un fondo en el exterior por un monto de US$1.200 millones, el cual no será repatriado en lo que queda del año. </w:t>
      </w:r>
    </w:p>
    <w:p w:rsidR="003E733A" w:rsidRPr="003E733A" w:rsidRDefault="003E733A" w:rsidP="003E733A">
      <w:pPr>
        <w:pStyle w:val="NormalWeb"/>
        <w:spacing w:before="0" w:beforeAutospacing="0" w:after="0" w:afterAutospacing="0"/>
        <w:jc w:val="both"/>
        <w:rPr>
          <w:rFonts w:ascii="Arial Narrow" w:hAnsi="Arial Narrow" w:cs="Arial"/>
          <w:lang w:val="es-CO"/>
        </w:rPr>
      </w:pPr>
    </w:p>
    <w:p w:rsidR="003E733A" w:rsidRPr="003E733A" w:rsidRDefault="003E733A" w:rsidP="003E733A">
      <w:pPr>
        <w:pStyle w:val="Prrafodelista"/>
        <w:numPr>
          <w:ilvl w:val="0"/>
          <w:numId w:val="13"/>
        </w:numPr>
        <w:autoSpaceDE w:val="0"/>
        <w:autoSpaceDN w:val="0"/>
        <w:adjustRightInd w:val="0"/>
        <w:spacing w:after="0" w:line="240" w:lineRule="auto"/>
        <w:jc w:val="both"/>
        <w:rPr>
          <w:rFonts w:ascii="Arial Narrow" w:hAnsi="Arial Narrow"/>
          <w:b/>
          <w:sz w:val="24"/>
          <w:szCs w:val="24"/>
        </w:rPr>
      </w:pPr>
      <w:r w:rsidRPr="003E733A">
        <w:rPr>
          <w:rFonts w:ascii="Arial Narrow" w:hAnsi="Arial Narrow" w:cs="Arial"/>
          <w:sz w:val="24"/>
          <w:szCs w:val="24"/>
        </w:rPr>
        <w:t xml:space="preserve">En febrero de 2012, la Junta Directiva del Banco de la República decidió efectuar compras diarias de por lo menos US$20 millones mediante el sistema de subastas competitivas hasta </w:t>
      </w:r>
      <w:r w:rsidRPr="003E733A">
        <w:rPr>
          <w:rFonts w:ascii="Arial Narrow" w:hAnsi="Arial Narrow" w:cs="Arial"/>
          <w:sz w:val="24"/>
          <w:szCs w:val="24"/>
        </w:rPr>
        <w:lastRenderedPageBreak/>
        <w:t>el 02 de noviembre de 2012, con el fin de contrarrestar la volatilidad de la tasa de cambio y aumentar el nivel de reservas internacionales.</w:t>
      </w:r>
    </w:p>
    <w:p w:rsidR="003E733A" w:rsidRPr="003E733A" w:rsidRDefault="003E733A" w:rsidP="003E733A">
      <w:pPr>
        <w:spacing w:after="0" w:line="240" w:lineRule="auto"/>
        <w:jc w:val="both"/>
        <w:rPr>
          <w:rFonts w:ascii="Arial Narrow" w:hAnsi="Arial Narrow"/>
          <w:sz w:val="24"/>
          <w:szCs w:val="24"/>
          <w:lang w:val="es-ES"/>
        </w:rPr>
      </w:pPr>
    </w:p>
    <w:p w:rsidR="003E733A" w:rsidRPr="003E733A" w:rsidRDefault="003E733A" w:rsidP="003E733A">
      <w:pPr>
        <w:spacing w:line="240" w:lineRule="auto"/>
        <w:rPr>
          <w:rFonts w:ascii="Arial Narrow" w:hAnsi="Arial Narrow" w:cs="Arial"/>
          <w:b/>
          <w:sz w:val="24"/>
          <w:szCs w:val="24"/>
        </w:rPr>
      </w:pPr>
    </w:p>
    <w:p w:rsidR="00741325" w:rsidRDefault="006F224F" w:rsidP="003E733A">
      <w:pPr>
        <w:spacing w:line="240" w:lineRule="auto"/>
        <w:jc w:val="center"/>
        <w:rPr>
          <w:rFonts w:ascii="Arial Narrow" w:hAnsi="Arial Narrow" w:cs="Arial"/>
          <w:b/>
          <w:sz w:val="24"/>
          <w:szCs w:val="24"/>
        </w:rPr>
      </w:pPr>
      <w:r w:rsidRPr="003E733A">
        <w:rPr>
          <w:rFonts w:ascii="Arial Narrow" w:hAnsi="Arial Narrow" w:cs="Arial"/>
          <w:b/>
          <w:sz w:val="24"/>
          <w:szCs w:val="24"/>
        </w:rPr>
        <w:t xml:space="preserve">RESPUESTAS </w:t>
      </w:r>
      <w:r w:rsidR="003E733A" w:rsidRPr="003E733A">
        <w:rPr>
          <w:rFonts w:ascii="Arial Narrow" w:hAnsi="Arial Narrow" w:cs="Arial"/>
          <w:b/>
          <w:sz w:val="24"/>
          <w:szCs w:val="24"/>
        </w:rPr>
        <w:t>MINISTERIO DE HACIENDA Y CRÉDITO PÚBLICO</w:t>
      </w:r>
      <w:r w:rsidR="00741325">
        <w:rPr>
          <w:rFonts w:ascii="Arial Narrow" w:hAnsi="Arial Narrow" w:cs="Arial"/>
          <w:b/>
          <w:sz w:val="24"/>
          <w:szCs w:val="24"/>
        </w:rPr>
        <w:t xml:space="preserve"> </w:t>
      </w:r>
    </w:p>
    <w:p w:rsidR="00F317A9" w:rsidRPr="003E733A" w:rsidRDefault="006F224F" w:rsidP="003E733A">
      <w:pPr>
        <w:spacing w:line="240" w:lineRule="auto"/>
        <w:jc w:val="center"/>
        <w:rPr>
          <w:rFonts w:ascii="Arial Narrow" w:hAnsi="Arial Narrow" w:cs="Arial"/>
          <w:b/>
          <w:sz w:val="24"/>
          <w:szCs w:val="24"/>
        </w:rPr>
      </w:pPr>
      <w:r w:rsidRPr="003E733A">
        <w:rPr>
          <w:rFonts w:ascii="Arial Narrow" w:hAnsi="Arial Narrow" w:cs="Arial"/>
          <w:b/>
          <w:sz w:val="24"/>
          <w:szCs w:val="24"/>
        </w:rPr>
        <w:t>PROPOSICIÓN ADITIVA 020 DE 2012</w:t>
      </w:r>
    </w:p>
    <w:p w:rsidR="00F317A9" w:rsidRPr="003E733A" w:rsidRDefault="00F317A9" w:rsidP="003E733A">
      <w:pPr>
        <w:spacing w:after="0" w:line="240" w:lineRule="auto"/>
        <w:jc w:val="both"/>
        <w:rPr>
          <w:rFonts w:ascii="Arial Narrow" w:hAnsi="Arial Narrow"/>
          <w:b/>
          <w:sz w:val="24"/>
          <w:szCs w:val="24"/>
          <w:lang w:val="es-MX"/>
        </w:rPr>
      </w:pPr>
    </w:p>
    <w:p w:rsidR="00E57C82" w:rsidRPr="003E733A" w:rsidRDefault="00E57C82" w:rsidP="003E733A">
      <w:pPr>
        <w:pStyle w:val="Prrafodelista"/>
        <w:numPr>
          <w:ilvl w:val="0"/>
          <w:numId w:val="9"/>
        </w:numPr>
        <w:spacing w:line="240" w:lineRule="auto"/>
        <w:jc w:val="both"/>
        <w:rPr>
          <w:rFonts w:ascii="Arial Narrow" w:hAnsi="Arial Narrow"/>
          <w:b/>
          <w:sz w:val="24"/>
          <w:szCs w:val="24"/>
          <w:lang w:val="es-MX"/>
        </w:rPr>
      </w:pPr>
      <w:r w:rsidRPr="003E733A">
        <w:rPr>
          <w:rFonts w:ascii="Arial Narrow" w:hAnsi="Arial Narrow"/>
          <w:b/>
          <w:sz w:val="24"/>
          <w:szCs w:val="24"/>
          <w:lang w:val="es-MX"/>
        </w:rPr>
        <w:t>Cuál es la posibilidad de asignar un precio de sustentación que brinde estabilidad financiera a los caficultores</w:t>
      </w:r>
      <w:proofErr w:type="gramStart"/>
      <w:r w:rsidRPr="003E733A">
        <w:rPr>
          <w:rFonts w:ascii="Arial Narrow" w:hAnsi="Arial Narrow"/>
          <w:b/>
          <w:sz w:val="24"/>
          <w:szCs w:val="24"/>
          <w:lang w:val="es-MX"/>
        </w:rPr>
        <w:t>?</w:t>
      </w:r>
      <w:proofErr w:type="gramEnd"/>
    </w:p>
    <w:p w:rsidR="00E57C82" w:rsidRPr="003E733A" w:rsidRDefault="00E57C82" w:rsidP="003E733A">
      <w:pPr>
        <w:spacing w:after="0" w:line="240" w:lineRule="auto"/>
        <w:jc w:val="both"/>
        <w:rPr>
          <w:rFonts w:ascii="Arial Narrow" w:hAnsi="Arial Narrow"/>
          <w:sz w:val="24"/>
          <w:szCs w:val="24"/>
        </w:rPr>
      </w:pPr>
      <w:r w:rsidRPr="003E733A">
        <w:rPr>
          <w:rFonts w:ascii="Arial Narrow" w:hAnsi="Arial Narrow"/>
          <w:sz w:val="24"/>
          <w:szCs w:val="24"/>
          <w:lang w:val="es-MX"/>
        </w:rPr>
        <w:t>Si bien en el pasado el Gobierno Nacional financió el Apoyo Gubernamental a la Caficultura, que buscaba un precio remunerativo a la actividad, cabe recordar que esto se hizo en momentos de una fuerte crisis en el sector. Hoy en día, el Gobierno quiere acercar a los caficultores a los mecanismos modernos de cobertura del riesgo. Así, desde 2008 ha</w:t>
      </w:r>
      <w:r w:rsidRPr="003E733A">
        <w:rPr>
          <w:rFonts w:ascii="Arial Narrow" w:hAnsi="Arial Narrow"/>
          <w:b/>
          <w:sz w:val="24"/>
          <w:szCs w:val="24"/>
          <w:lang w:val="es-MX"/>
        </w:rPr>
        <w:t xml:space="preserve"> </w:t>
      </w:r>
      <w:r w:rsidRPr="003E733A">
        <w:rPr>
          <w:rFonts w:ascii="Arial Narrow" w:hAnsi="Arial Narrow"/>
          <w:sz w:val="24"/>
          <w:szCs w:val="24"/>
        </w:rPr>
        <w:t xml:space="preserve">estado disponible el Contrato de Protección de Precio para que todos los caficultores puedan cubrir hasta el 50% de su producción en un precio mínimo de $650.000 por carga. Este instrumento tiene un costo de $10.000 por carga cubierta que debe pagar el caficultor al momento de adquirir la cobertura. </w:t>
      </w:r>
    </w:p>
    <w:p w:rsidR="00E57C82" w:rsidRPr="003E733A" w:rsidRDefault="00E57C82" w:rsidP="003E733A">
      <w:pPr>
        <w:spacing w:after="0" w:line="240" w:lineRule="auto"/>
        <w:jc w:val="both"/>
        <w:rPr>
          <w:rFonts w:ascii="Arial Narrow" w:hAnsi="Arial Narrow"/>
          <w:sz w:val="24"/>
          <w:szCs w:val="24"/>
        </w:rPr>
      </w:pPr>
    </w:p>
    <w:p w:rsidR="00E57C82" w:rsidRPr="003E733A" w:rsidRDefault="00E57C82" w:rsidP="003E733A">
      <w:pPr>
        <w:spacing w:after="0" w:line="240" w:lineRule="auto"/>
        <w:jc w:val="both"/>
        <w:rPr>
          <w:rFonts w:ascii="Arial Narrow" w:hAnsi="Arial Narrow"/>
          <w:sz w:val="24"/>
          <w:szCs w:val="24"/>
        </w:rPr>
      </w:pPr>
      <w:r w:rsidRPr="003E733A">
        <w:rPr>
          <w:rFonts w:ascii="Arial Narrow" w:hAnsi="Arial Narrow"/>
          <w:sz w:val="24"/>
          <w:szCs w:val="24"/>
        </w:rPr>
        <w:t>Sin embargo, actualmente se está pensando en una propuesta de reforma al funcionamiento de este instrumento, para que sea el caficultor quien decida qué nivel de precios desea cubrir. Dicha propuesta busca acercar este instrumento al mercado de derivados, haciendo que su prima sea variable dependiendo del precio actual del mercado y el nivel de precios que se quiera cubrir. La prima será subsidiada en una proporción decreciente por el FoNC, sujeto a disponibilidad de recursos. Se pretende tener tres posibles niveles a asegurar siendo estos el precio del mercado al momento de adquisición de la cobertura y dos posiciones determinadas por un porcentaje por encima o por debajo de dicho precio.</w:t>
      </w:r>
    </w:p>
    <w:p w:rsidR="00E57C82" w:rsidRPr="003E733A" w:rsidRDefault="00E57C82" w:rsidP="003E733A">
      <w:pPr>
        <w:spacing w:after="0" w:line="240" w:lineRule="auto"/>
        <w:jc w:val="both"/>
        <w:rPr>
          <w:rFonts w:ascii="Arial Narrow" w:hAnsi="Arial Narrow"/>
          <w:sz w:val="24"/>
          <w:szCs w:val="24"/>
        </w:rPr>
      </w:pPr>
    </w:p>
    <w:p w:rsidR="00E57C82" w:rsidRPr="003E733A" w:rsidRDefault="00E57C82" w:rsidP="003E733A">
      <w:pPr>
        <w:spacing w:after="0" w:line="240" w:lineRule="auto"/>
        <w:jc w:val="both"/>
        <w:rPr>
          <w:rFonts w:ascii="Arial Narrow" w:hAnsi="Arial Narrow"/>
          <w:sz w:val="24"/>
          <w:szCs w:val="24"/>
        </w:rPr>
      </w:pPr>
      <w:r w:rsidRPr="003E733A">
        <w:rPr>
          <w:rFonts w:ascii="Arial Narrow" w:hAnsi="Arial Narrow"/>
          <w:sz w:val="24"/>
          <w:szCs w:val="24"/>
        </w:rPr>
        <w:t>De esta forma, el nivel de precio asegurable se vuelve variable, aumentando las posibilidades del caficultor de cubrirse adecuadamente (en momentos de precios altos podrá asegurar precios más altos a futuro), quien en adelante tendrá la posibilidad de decidir cuál es el nivel de precio que más le conviene cubrir dados los costos de las primas de los diferentes CPP y su propia estructura de costos.</w:t>
      </w:r>
    </w:p>
    <w:p w:rsidR="00E57C82" w:rsidRPr="003E733A" w:rsidRDefault="00E57C82" w:rsidP="003E733A">
      <w:pPr>
        <w:spacing w:line="240" w:lineRule="auto"/>
        <w:jc w:val="both"/>
        <w:rPr>
          <w:rFonts w:ascii="Arial Narrow" w:hAnsi="Arial Narrow"/>
          <w:b/>
          <w:sz w:val="24"/>
          <w:szCs w:val="24"/>
        </w:rPr>
      </w:pPr>
    </w:p>
    <w:p w:rsidR="00E57C82" w:rsidRPr="003E733A" w:rsidRDefault="00E57C82" w:rsidP="003E733A">
      <w:pPr>
        <w:pStyle w:val="Prrafodelista"/>
        <w:numPr>
          <w:ilvl w:val="0"/>
          <w:numId w:val="9"/>
        </w:numPr>
        <w:spacing w:line="240" w:lineRule="auto"/>
        <w:jc w:val="both"/>
        <w:rPr>
          <w:rFonts w:ascii="Arial Narrow" w:hAnsi="Arial Narrow"/>
          <w:b/>
          <w:sz w:val="24"/>
          <w:szCs w:val="24"/>
          <w:lang w:val="es-MX"/>
        </w:rPr>
      </w:pPr>
      <w:r w:rsidRPr="003E733A">
        <w:rPr>
          <w:rFonts w:ascii="Arial Narrow" w:hAnsi="Arial Narrow"/>
          <w:b/>
          <w:sz w:val="24"/>
          <w:szCs w:val="24"/>
          <w:lang w:val="es-MX"/>
        </w:rPr>
        <w:t>Por qué aumentar el monto de contribución cafetera a un sector que ha tenido pérdidas millonarias, mas de 2 billones por revaluación y medio billón por efectos de la caída en la producción durante el 2011, y que afecta a más de 500.000 mil familias campesinas</w:t>
      </w:r>
      <w:proofErr w:type="gramStart"/>
      <w:r w:rsidRPr="003E733A">
        <w:rPr>
          <w:rFonts w:ascii="Arial Narrow" w:hAnsi="Arial Narrow"/>
          <w:b/>
          <w:sz w:val="24"/>
          <w:szCs w:val="24"/>
          <w:lang w:val="es-MX"/>
        </w:rPr>
        <w:t>?</w:t>
      </w:r>
      <w:proofErr w:type="gramEnd"/>
    </w:p>
    <w:p w:rsidR="003B75DA" w:rsidRPr="003E733A" w:rsidRDefault="003B75DA" w:rsidP="003E733A">
      <w:pPr>
        <w:spacing w:after="0" w:line="240" w:lineRule="auto"/>
        <w:jc w:val="both"/>
        <w:rPr>
          <w:rFonts w:ascii="Arial Narrow" w:hAnsi="Arial Narrow"/>
          <w:sz w:val="24"/>
          <w:szCs w:val="24"/>
          <w:lang w:val="es-MX"/>
        </w:rPr>
      </w:pPr>
      <w:r w:rsidRPr="003E733A">
        <w:rPr>
          <w:rFonts w:ascii="Arial Narrow" w:hAnsi="Arial Narrow"/>
          <w:sz w:val="24"/>
          <w:szCs w:val="24"/>
          <w:lang w:val="es-MX"/>
        </w:rPr>
        <w:t xml:space="preserve">Primero que todo hay que precisar que en Colombia, si bien se ha presentado una importante caída en la producción de café, es difícil señalar el actual contexto como una crisis. Como se observa en el cuadro 1. </w:t>
      </w:r>
      <w:r w:rsidR="002F22FF" w:rsidRPr="003E733A">
        <w:rPr>
          <w:rFonts w:ascii="Arial Narrow" w:hAnsi="Arial Narrow"/>
          <w:sz w:val="24"/>
          <w:szCs w:val="24"/>
          <w:lang w:val="es-MX"/>
        </w:rPr>
        <w:t>Si bien la caída de precios de los últimos meses (efecto de la crisis de la deuda soberana en Europa) ha afectado el valor real de la cosecha cafetera, es de notar que dicho valor se ubica hoy justo en el promedio de los últimos años ($3,9 billones de 2010).</w:t>
      </w:r>
    </w:p>
    <w:p w:rsidR="003B75DA" w:rsidRPr="003E733A" w:rsidRDefault="003B75DA" w:rsidP="003E733A">
      <w:pPr>
        <w:spacing w:after="0" w:line="240" w:lineRule="auto"/>
        <w:jc w:val="both"/>
        <w:rPr>
          <w:rFonts w:ascii="Arial Narrow" w:hAnsi="Arial Narrow"/>
          <w:sz w:val="24"/>
          <w:szCs w:val="24"/>
          <w:lang w:val="es-MX"/>
        </w:rPr>
      </w:pPr>
    </w:p>
    <w:p w:rsidR="003B75DA" w:rsidRPr="003E733A" w:rsidRDefault="003B75DA" w:rsidP="003E733A">
      <w:pPr>
        <w:keepNext/>
        <w:spacing w:after="0" w:line="240" w:lineRule="auto"/>
        <w:jc w:val="both"/>
        <w:rPr>
          <w:rFonts w:ascii="Arial Narrow" w:hAnsi="Arial Narrow"/>
          <w:b/>
          <w:sz w:val="24"/>
          <w:szCs w:val="24"/>
          <w:lang w:val="es-MX"/>
        </w:rPr>
      </w:pPr>
      <w:r w:rsidRPr="003E733A">
        <w:rPr>
          <w:rFonts w:ascii="Arial Narrow" w:hAnsi="Arial Narrow"/>
          <w:b/>
          <w:sz w:val="24"/>
          <w:szCs w:val="24"/>
          <w:lang w:val="es-MX"/>
        </w:rPr>
        <w:lastRenderedPageBreak/>
        <w:t>Valor real de la cosecha acumulado 12 meses</w:t>
      </w:r>
    </w:p>
    <w:p w:rsidR="003B75DA" w:rsidRPr="003E733A" w:rsidRDefault="002F22FF" w:rsidP="003E733A">
      <w:pPr>
        <w:spacing w:after="0" w:line="240" w:lineRule="auto"/>
        <w:jc w:val="both"/>
        <w:rPr>
          <w:rFonts w:ascii="Arial Narrow" w:hAnsi="Arial Narrow"/>
          <w:b/>
          <w:sz w:val="24"/>
          <w:szCs w:val="24"/>
          <w:lang w:val="es-MX"/>
        </w:rPr>
      </w:pPr>
      <w:r w:rsidRPr="003E733A">
        <w:rPr>
          <w:rFonts w:ascii="Arial Narrow" w:hAnsi="Arial Narrow"/>
          <w:b/>
          <w:noProof/>
          <w:sz w:val="24"/>
          <w:szCs w:val="24"/>
          <w:lang w:eastAsia="es-CO"/>
        </w:rPr>
        <w:drawing>
          <wp:inline distT="0" distB="0" distL="0" distR="0" wp14:anchorId="46BAE9A2" wp14:editId="0BA1CDF0">
            <wp:extent cx="3667902" cy="237577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666401" cy="2374798"/>
                    </a:xfrm>
                    <a:prstGeom prst="rect">
                      <a:avLst/>
                    </a:prstGeom>
                    <a:noFill/>
                  </pic:spPr>
                </pic:pic>
              </a:graphicData>
            </a:graphic>
          </wp:inline>
        </w:drawing>
      </w:r>
    </w:p>
    <w:p w:rsidR="003B75DA" w:rsidRPr="003E733A" w:rsidRDefault="003B75DA" w:rsidP="003E733A">
      <w:pPr>
        <w:spacing w:after="0" w:line="240" w:lineRule="auto"/>
        <w:jc w:val="both"/>
        <w:rPr>
          <w:rFonts w:ascii="Arial Narrow" w:hAnsi="Arial Narrow"/>
          <w:sz w:val="24"/>
          <w:szCs w:val="24"/>
          <w:lang w:val="es-MX"/>
        </w:rPr>
      </w:pPr>
      <w:r w:rsidRPr="003E733A">
        <w:rPr>
          <w:rFonts w:ascii="Arial Narrow" w:hAnsi="Arial Narrow"/>
          <w:sz w:val="24"/>
          <w:szCs w:val="24"/>
          <w:lang w:val="es-MX"/>
        </w:rPr>
        <w:t xml:space="preserve">Fuente: Federación de Cafeteros. Cálculos Oficina de Asesores del Gobierno en Asuntos Cafeteros. </w:t>
      </w:r>
    </w:p>
    <w:p w:rsidR="003B75DA" w:rsidRPr="003E733A" w:rsidRDefault="003B75DA" w:rsidP="003E733A">
      <w:pPr>
        <w:spacing w:after="0" w:line="240" w:lineRule="auto"/>
        <w:jc w:val="both"/>
        <w:rPr>
          <w:rFonts w:ascii="Arial Narrow" w:hAnsi="Arial Narrow"/>
          <w:sz w:val="24"/>
          <w:szCs w:val="24"/>
        </w:rPr>
      </w:pPr>
    </w:p>
    <w:p w:rsidR="006F224F" w:rsidRPr="003E733A" w:rsidRDefault="007C1411" w:rsidP="003E733A">
      <w:pPr>
        <w:spacing w:after="0" w:line="240" w:lineRule="auto"/>
        <w:jc w:val="both"/>
        <w:rPr>
          <w:rFonts w:ascii="Arial Narrow" w:hAnsi="Arial Narrow"/>
          <w:sz w:val="24"/>
          <w:szCs w:val="24"/>
          <w:lang w:val="es-MX"/>
        </w:rPr>
      </w:pPr>
      <w:r w:rsidRPr="003E733A">
        <w:rPr>
          <w:rFonts w:ascii="Arial Narrow" w:hAnsi="Arial Narrow"/>
          <w:sz w:val="24"/>
          <w:szCs w:val="24"/>
        </w:rPr>
        <w:t xml:space="preserve">Sin embargo, y como se ha mostrado anteriormente, el Gobierno Nacional ha tenido que financiar programas del FoNC por $143 mil millones en 2010, $177 mil millones en 2011 y $70 mil millones en 2012. </w:t>
      </w:r>
      <w:r w:rsidR="006F224F" w:rsidRPr="003E733A">
        <w:rPr>
          <w:rFonts w:ascii="Arial Narrow" w:hAnsi="Arial Narrow"/>
          <w:sz w:val="24"/>
          <w:szCs w:val="24"/>
          <w:lang w:val="es-MX"/>
        </w:rPr>
        <w:t>La caída de la producción a partir de 2009, cuando se registró una producción de 7,9 millones de sacos, a niveles 30% inferiores a los históricos, aunado a un escenario de precios internacionales volátiles y una tasa de cambio revaluada, hace que la actual definición de la Contribución Cafetera, contenida en la ley 1337 de 2009, y que la fija en USD $6 centavos por libra exportada, sea inadecuada para la financiación del Fondo Nacional del Café. En este sentido, se hace necesario diseñar una contribución flexible que permita financiar adecuadamente los programas básicos de la institucionalidad cafetera, con énfasis en la investigación, la transferencia de tecnología y la garantía de compra. Adicionalmente, un esquema que permita generar ahorros en épocas de buenos precios o volúmenes de exportación para respaldar a los caficultores en coyunturas adversas. En esta línea, el Gobierno acompaña al gremio en su estrategia de reforma a la Contribución Cafetera.</w:t>
      </w:r>
    </w:p>
    <w:p w:rsidR="007C1411" w:rsidRPr="003E733A" w:rsidRDefault="007C1411" w:rsidP="003E733A">
      <w:pPr>
        <w:spacing w:after="0" w:line="240" w:lineRule="auto"/>
        <w:jc w:val="both"/>
        <w:rPr>
          <w:rFonts w:ascii="Arial Narrow" w:hAnsi="Arial Narrow"/>
          <w:sz w:val="24"/>
          <w:szCs w:val="24"/>
        </w:rPr>
      </w:pPr>
    </w:p>
    <w:p w:rsidR="007C1411" w:rsidRDefault="006F224F" w:rsidP="003E733A">
      <w:pPr>
        <w:spacing w:after="0" w:line="240" w:lineRule="auto"/>
        <w:jc w:val="both"/>
        <w:rPr>
          <w:rFonts w:ascii="Arial Narrow" w:hAnsi="Arial Narrow"/>
          <w:sz w:val="24"/>
          <w:szCs w:val="24"/>
        </w:rPr>
      </w:pPr>
      <w:r w:rsidRPr="003E733A">
        <w:rPr>
          <w:rFonts w:ascii="Arial Narrow" w:hAnsi="Arial Narrow"/>
          <w:sz w:val="24"/>
          <w:szCs w:val="24"/>
        </w:rPr>
        <w:t>Así</w:t>
      </w:r>
      <w:r w:rsidR="007C1411" w:rsidRPr="003E733A">
        <w:rPr>
          <w:rFonts w:ascii="Arial Narrow" w:hAnsi="Arial Narrow"/>
          <w:sz w:val="24"/>
          <w:szCs w:val="24"/>
        </w:rPr>
        <w:t>, en el pasado Congreso Nacional Cafetero</w:t>
      </w:r>
      <w:r w:rsidRPr="003E733A">
        <w:rPr>
          <w:rFonts w:ascii="Arial Narrow" w:hAnsi="Arial Narrow"/>
          <w:sz w:val="24"/>
          <w:szCs w:val="24"/>
        </w:rPr>
        <w:t xml:space="preserve"> celebrado en diciembre de 2011</w:t>
      </w:r>
      <w:r w:rsidR="007C1411" w:rsidRPr="003E733A">
        <w:rPr>
          <w:rFonts w:ascii="Arial Narrow" w:hAnsi="Arial Narrow"/>
          <w:sz w:val="24"/>
          <w:szCs w:val="24"/>
        </w:rPr>
        <w:t>, el Gobierno Nacional planteó la posibilidad de ajustar la contribución cafetera con el fin de fortalec</w:t>
      </w:r>
      <w:r w:rsidRPr="003E733A">
        <w:rPr>
          <w:rFonts w:ascii="Arial Narrow" w:hAnsi="Arial Narrow"/>
          <w:sz w:val="24"/>
          <w:szCs w:val="24"/>
        </w:rPr>
        <w:t>er los programas de apoyo a caficultura nacional, i</w:t>
      </w:r>
      <w:r w:rsidR="007C1411" w:rsidRPr="003E733A">
        <w:rPr>
          <w:rFonts w:ascii="Arial Narrow" w:hAnsi="Arial Narrow"/>
          <w:sz w:val="24"/>
          <w:szCs w:val="24"/>
        </w:rPr>
        <w:t>niciativa que los mismos caficultores, repre</w:t>
      </w:r>
      <w:r w:rsidRPr="003E733A">
        <w:rPr>
          <w:rFonts w:ascii="Arial Narrow" w:hAnsi="Arial Narrow"/>
          <w:sz w:val="24"/>
          <w:szCs w:val="24"/>
        </w:rPr>
        <w:t>sentados en el Congreso</w:t>
      </w:r>
      <w:r w:rsidR="007C1411" w:rsidRPr="003E733A">
        <w:rPr>
          <w:rFonts w:ascii="Arial Narrow" w:hAnsi="Arial Narrow"/>
          <w:sz w:val="24"/>
          <w:szCs w:val="24"/>
        </w:rPr>
        <w:t>, acogieron con la responsabilidad que siempre ha caracterizado a este sector. </w:t>
      </w:r>
    </w:p>
    <w:p w:rsidR="003E733A" w:rsidRDefault="003E733A" w:rsidP="003E733A">
      <w:pPr>
        <w:spacing w:after="0" w:line="240" w:lineRule="auto"/>
        <w:jc w:val="both"/>
        <w:rPr>
          <w:rFonts w:ascii="Arial Narrow" w:hAnsi="Arial Narrow"/>
          <w:sz w:val="24"/>
          <w:szCs w:val="24"/>
        </w:rPr>
      </w:pPr>
    </w:p>
    <w:p w:rsidR="003E733A" w:rsidRPr="003E733A" w:rsidRDefault="003E733A" w:rsidP="003E733A">
      <w:pPr>
        <w:jc w:val="both"/>
        <w:rPr>
          <w:rFonts w:ascii="Arial Narrow" w:eastAsia="Calibri" w:hAnsi="Arial Narrow"/>
          <w:sz w:val="24"/>
          <w:szCs w:val="24"/>
        </w:rPr>
      </w:pPr>
      <w:r w:rsidRPr="003E733A">
        <w:rPr>
          <w:rFonts w:ascii="Arial Narrow" w:eastAsia="Calibri" w:hAnsi="Arial Narrow"/>
          <w:b/>
          <w:sz w:val="24"/>
          <w:szCs w:val="24"/>
        </w:rPr>
        <w:t xml:space="preserve">9. La </w:t>
      </w:r>
      <w:proofErr w:type="spellStart"/>
      <w:r w:rsidRPr="003E733A">
        <w:rPr>
          <w:rFonts w:ascii="Arial Narrow" w:eastAsia="Calibri" w:hAnsi="Arial Narrow"/>
          <w:b/>
          <w:sz w:val="24"/>
          <w:szCs w:val="24"/>
        </w:rPr>
        <w:t>reevaluación</w:t>
      </w:r>
      <w:proofErr w:type="spellEnd"/>
      <w:r w:rsidRPr="003E733A">
        <w:rPr>
          <w:rFonts w:ascii="Arial Narrow" w:eastAsia="Calibri" w:hAnsi="Arial Narrow"/>
          <w:b/>
          <w:sz w:val="24"/>
          <w:szCs w:val="24"/>
        </w:rPr>
        <w:t xml:space="preserve"> afecta de manera significativa la disminución de los ingresos del sector caficultor, el Ministro de Hacienda dijo en el Congreso de la República, que con el Banco de la República se tomarían medidas extraordinarias para hacer frente a este tema, cuáles son estas medidas y qué impacto tendrán en el sector caficultor</w:t>
      </w:r>
      <w:proofErr w:type="gramStart"/>
      <w:r w:rsidRPr="003E733A">
        <w:rPr>
          <w:rFonts w:ascii="Arial Narrow" w:eastAsia="Calibri" w:hAnsi="Arial Narrow"/>
          <w:sz w:val="24"/>
          <w:szCs w:val="24"/>
        </w:rPr>
        <w:t>?</w:t>
      </w:r>
      <w:proofErr w:type="gramEnd"/>
    </w:p>
    <w:p w:rsidR="003E733A" w:rsidRPr="003E733A" w:rsidRDefault="003E733A" w:rsidP="003E733A">
      <w:pPr>
        <w:jc w:val="both"/>
        <w:rPr>
          <w:rFonts w:ascii="Arial Narrow" w:hAnsi="Arial Narrow"/>
          <w:sz w:val="24"/>
          <w:szCs w:val="24"/>
        </w:rPr>
      </w:pPr>
      <w:r w:rsidRPr="003E733A">
        <w:rPr>
          <w:rFonts w:ascii="Arial Narrow" w:hAnsi="Arial Narrow"/>
          <w:sz w:val="24"/>
          <w:szCs w:val="24"/>
        </w:rPr>
        <w:t xml:space="preserve">Es importante mencionar que tanto el Gobierno Nacional, como el Banco de la República, monitorean permanentemente la evolución y el comportamiento de la tasa de cambio. Cualquier decisión de política con respecto a contener la apreciación del tipo de cambio depende de una evaluación minuciosa tanto del contexto interno como del externo, así como de la efectividad que puedan tener los diferentes tipos de controles sobre la apreciación del peso y sobre su volatilidad. En esta dirección, como se mencionó en la respuesta número 7 (cuestionario al Ministro de </w:t>
      </w:r>
      <w:r w:rsidRPr="003E733A">
        <w:rPr>
          <w:rFonts w:ascii="Arial Narrow" w:hAnsi="Arial Narrow"/>
          <w:sz w:val="24"/>
          <w:szCs w:val="24"/>
        </w:rPr>
        <w:lastRenderedPageBreak/>
        <w:t>Hacienda y Crédito Público), el Banco de la República ha venido implementado una política de acumulación de reservas internacionales mediante subastas competitivas por valor de US$20 millones diarios, programa que se extenderá hasta por lo menos el 2 de noviembre de 2012. Con este mecanismo, durante 2012, se han acumulado US$2,320m al 27 de julio, con lo cual el nivel de reservas internacionales alcanzó los US$34,726m. Este nivel de reservas internacionales, ha permitido reducir la volatilidad de la tasa de cambio y contener su rápida apreciación, al tiempo que ubica al país en una posición segura para hacer frente a salidas repentinas de capital originadas por otros factores, tales como el deterioro de los términos de intercambio y, un recrudecimiento de la crisis financiera internacional.</w:t>
      </w:r>
    </w:p>
    <w:p w:rsidR="003E733A" w:rsidRPr="003E733A" w:rsidRDefault="003E733A" w:rsidP="003E733A">
      <w:pPr>
        <w:jc w:val="both"/>
        <w:rPr>
          <w:rFonts w:ascii="Arial Narrow" w:hAnsi="Arial Narrow"/>
          <w:sz w:val="24"/>
          <w:szCs w:val="24"/>
        </w:rPr>
      </w:pPr>
      <w:r w:rsidRPr="003E733A">
        <w:rPr>
          <w:rFonts w:ascii="Arial Narrow" w:hAnsi="Arial Narrow"/>
          <w:sz w:val="24"/>
          <w:szCs w:val="24"/>
        </w:rPr>
        <w:t>Si bien estas compras de reservas han disminuido el ritmo de apreciación del peso colombiano, y de este modo han permitido reducir las pérdidas en competitividad sobre el sector caficultor, el Gobierno Nacional ha solicitado al Banco de la República incrementar aún más el monto de compras de dólares diarias para intentar revertir de manera definitiva la tendencia de sobrevaluación del tipo de cambio que se ha observado desde finales de 2009.</w:t>
      </w:r>
    </w:p>
    <w:p w:rsidR="003E733A" w:rsidRPr="00D17904" w:rsidRDefault="003E733A" w:rsidP="003E733A">
      <w:pPr>
        <w:jc w:val="both"/>
        <w:rPr>
          <w:rFonts w:ascii="Arial Narrow" w:hAnsi="Arial Narrow"/>
        </w:rPr>
      </w:pPr>
    </w:p>
    <w:p w:rsidR="003E733A" w:rsidRPr="003E733A" w:rsidRDefault="003E733A" w:rsidP="003E733A">
      <w:pPr>
        <w:spacing w:after="0" w:line="240" w:lineRule="auto"/>
        <w:jc w:val="both"/>
        <w:rPr>
          <w:rFonts w:ascii="Arial Narrow" w:hAnsi="Arial Narrow"/>
          <w:sz w:val="24"/>
          <w:szCs w:val="24"/>
        </w:rPr>
      </w:pPr>
    </w:p>
    <w:sectPr w:rsidR="003E733A" w:rsidRPr="003E733A" w:rsidSect="003735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F1" w:rsidRDefault="00AD30F1" w:rsidP="003E733A">
      <w:pPr>
        <w:spacing w:after="0" w:line="240" w:lineRule="auto"/>
      </w:pPr>
      <w:r>
        <w:separator/>
      </w:r>
    </w:p>
  </w:endnote>
  <w:endnote w:type="continuationSeparator" w:id="0">
    <w:p w:rsidR="00AD30F1" w:rsidRDefault="00AD30F1" w:rsidP="003E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F1" w:rsidRDefault="00AD30F1" w:rsidP="003E733A">
      <w:pPr>
        <w:spacing w:after="0" w:line="240" w:lineRule="auto"/>
      </w:pPr>
      <w:r>
        <w:separator/>
      </w:r>
    </w:p>
  </w:footnote>
  <w:footnote w:type="continuationSeparator" w:id="0">
    <w:p w:rsidR="00AD30F1" w:rsidRDefault="00AD30F1" w:rsidP="003E7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23E"/>
    <w:multiLevelType w:val="hybridMultilevel"/>
    <w:tmpl w:val="222A2E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87C33"/>
    <w:multiLevelType w:val="hybridMultilevel"/>
    <w:tmpl w:val="F182C09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7E2DA9"/>
    <w:multiLevelType w:val="hybridMultilevel"/>
    <w:tmpl w:val="C2B2A264"/>
    <w:lvl w:ilvl="0" w:tplc="37F4DEAE">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B7C1F09"/>
    <w:multiLevelType w:val="hybridMultilevel"/>
    <w:tmpl w:val="A512411E"/>
    <w:lvl w:ilvl="0" w:tplc="2AF0BCA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BAE1DC2"/>
    <w:multiLevelType w:val="hybridMultilevel"/>
    <w:tmpl w:val="8F58C15E"/>
    <w:lvl w:ilvl="0" w:tplc="20AEF5B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1A2795B"/>
    <w:multiLevelType w:val="hybridMultilevel"/>
    <w:tmpl w:val="0F488D2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2705D86"/>
    <w:multiLevelType w:val="hybridMultilevel"/>
    <w:tmpl w:val="69BA6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3482D4A"/>
    <w:multiLevelType w:val="hybridMultilevel"/>
    <w:tmpl w:val="615ED2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1B52FB1"/>
    <w:multiLevelType w:val="hybridMultilevel"/>
    <w:tmpl w:val="B7B05F5E"/>
    <w:lvl w:ilvl="0" w:tplc="6CE870A4">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D634226"/>
    <w:multiLevelType w:val="hybridMultilevel"/>
    <w:tmpl w:val="DA6287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3D16834"/>
    <w:multiLevelType w:val="hybridMultilevel"/>
    <w:tmpl w:val="7DE4F738"/>
    <w:lvl w:ilvl="0" w:tplc="2AF0BC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6113D96"/>
    <w:multiLevelType w:val="hybridMultilevel"/>
    <w:tmpl w:val="A4D89D68"/>
    <w:lvl w:ilvl="0" w:tplc="2AF0BCA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7DF762C"/>
    <w:multiLevelType w:val="hybridMultilevel"/>
    <w:tmpl w:val="6CAC5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2"/>
  </w:num>
  <w:num w:numId="5">
    <w:abstractNumId w:val="3"/>
  </w:num>
  <w:num w:numId="6">
    <w:abstractNumId w:val="11"/>
  </w:num>
  <w:num w:numId="7">
    <w:abstractNumId w:val="4"/>
  </w:num>
  <w:num w:numId="8">
    <w:abstractNumId w:val="6"/>
  </w:num>
  <w:num w:numId="9">
    <w:abstractNumId w:val="0"/>
  </w:num>
  <w:num w:numId="10">
    <w:abstractNumId w:val="10"/>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DA"/>
    <w:rsid w:val="00050DF2"/>
    <w:rsid w:val="0009100C"/>
    <w:rsid w:val="00133441"/>
    <w:rsid w:val="002666F8"/>
    <w:rsid w:val="002B67FE"/>
    <w:rsid w:val="002F22FF"/>
    <w:rsid w:val="0030447C"/>
    <w:rsid w:val="00320558"/>
    <w:rsid w:val="00357079"/>
    <w:rsid w:val="00373524"/>
    <w:rsid w:val="003B75DA"/>
    <w:rsid w:val="003E093C"/>
    <w:rsid w:val="003E733A"/>
    <w:rsid w:val="0040423A"/>
    <w:rsid w:val="00440C9B"/>
    <w:rsid w:val="005031E5"/>
    <w:rsid w:val="006B0517"/>
    <w:rsid w:val="006D3AC5"/>
    <w:rsid w:val="006F224F"/>
    <w:rsid w:val="00741325"/>
    <w:rsid w:val="00752433"/>
    <w:rsid w:val="00752755"/>
    <w:rsid w:val="00797230"/>
    <w:rsid w:val="007B6B5F"/>
    <w:rsid w:val="007C1411"/>
    <w:rsid w:val="00863408"/>
    <w:rsid w:val="00893B36"/>
    <w:rsid w:val="008F64D7"/>
    <w:rsid w:val="009633F6"/>
    <w:rsid w:val="00990DD2"/>
    <w:rsid w:val="00A5126C"/>
    <w:rsid w:val="00AD30F1"/>
    <w:rsid w:val="00B04EFF"/>
    <w:rsid w:val="00B11A0A"/>
    <w:rsid w:val="00B72B5B"/>
    <w:rsid w:val="00BB774A"/>
    <w:rsid w:val="00C03E99"/>
    <w:rsid w:val="00CB37DB"/>
    <w:rsid w:val="00D44D44"/>
    <w:rsid w:val="00E57C82"/>
    <w:rsid w:val="00F317A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5DA"/>
    <w:pPr>
      <w:ind w:left="720"/>
      <w:contextualSpacing/>
    </w:pPr>
  </w:style>
  <w:style w:type="paragraph" w:styleId="Textodeglobo">
    <w:name w:val="Balloon Text"/>
    <w:basedOn w:val="Normal"/>
    <w:link w:val="TextodegloboCar"/>
    <w:uiPriority w:val="99"/>
    <w:semiHidden/>
    <w:unhideWhenUsed/>
    <w:rsid w:val="003B7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5DA"/>
    <w:rPr>
      <w:rFonts w:ascii="Tahoma" w:hAnsi="Tahoma" w:cs="Tahoma"/>
      <w:sz w:val="16"/>
      <w:szCs w:val="16"/>
    </w:rPr>
  </w:style>
  <w:style w:type="paragraph" w:styleId="Textoindependiente">
    <w:name w:val="Body Text"/>
    <w:basedOn w:val="Normal"/>
    <w:link w:val="TextoindependienteCar"/>
    <w:semiHidden/>
    <w:rsid w:val="003E733A"/>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3E733A"/>
    <w:rPr>
      <w:rFonts w:ascii="Arial" w:eastAsia="Times New Roman" w:hAnsi="Arial" w:cs="Times New Roman"/>
      <w:sz w:val="24"/>
      <w:szCs w:val="24"/>
      <w:lang w:val="es-ES" w:eastAsia="es-ES"/>
    </w:rPr>
  </w:style>
  <w:style w:type="character" w:styleId="Refdenotaalpie">
    <w:name w:val="footnote reference"/>
    <w:aliases w:val="referencia nota al pie"/>
    <w:rsid w:val="003E733A"/>
    <w:rPr>
      <w:rFonts w:cs="Times New Roman"/>
      <w:vertAlign w:val="superscript"/>
    </w:rPr>
  </w:style>
  <w:style w:type="paragraph" w:styleId="Textonotapie">
    <w:name w:val="footnote text"/>
    <w:aliases w:val="texto de nota al pie,Nota a pie/Bibliog,Texto nota pie Car1,Texto nota pie Car Car,Car1 Car Car,Car1 Car2,Car1,ft Car Car,ft Car,ft Car Car Car Car Car Car Car Car Car,ft Car Car Car Car,Footnote Text Char Char,Footnote Text1 Char, Car1"/>
    <w:basedOn w:val="Normal"/>
    <w:link w:val="TextonotapieCar"/>
    <w:rsid w:val="003E733A"/>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aliases w:val="texto de nota al pie Car1,Nota a pie/Bibliog Car1,Texto nota pie Car1 Car1,Texto nota pie Car Car Car1,Car1 Car Car Car1,Car1 Car2 Car1,Car1 Car1,ft Car Car Car1,ft Car Car2,ft Car Car Car Car Car Car Car Car Car Car1, Car1 Car"/>
    <w:basedOn w:val="Fuentedeprrafopredeter"/>
    <w:link w:val="Textonotapie"/>
    <w:rsid w:val="003E733A"/>
    <w:rPr>
      <w:rFonts w:ascii="Times New Roman" w:eastAsia="MS Mincho" w:hAnsi="Times New Roman" w:cs="Times New Roman"/>
      <w:sz w:val="20"/>
      <w:szCs w:val="20"/>
      <w:lang w:val="es-ES" w:eastAsia="es-ES"/>
    </w:rPr>
  </w:style>
  <w:style w:type="character" w:customStyle="1" w:styleId="A1">
    <w:name w:val="A1"/>
    <w:uiPriority w:val="99"/>
    <w:rsid w:val="003E733A"/>
    <w:rPr>
      <w:color w:val="000000"/>
    </w:rPr>
  </w:style>
  <w:style w:type="paragraph" w:customStyle="1" w:styleId="Pa6">
    <w:name w:val="Pa6"/>
    <w:basedOn w:val="Normal"/>
    <w:next w:val="Normal"/>
    <w:uiPriority w:val="99"/>
    <w:rsid w:val="003E733A"/>
    <w:pPr>
      <w:autoSpaceDE w:val="0"/>
      <w:autoSpaceDN w:val="0"/>
      <w:adjustRightInd w:val="0"/>
      <w:spacing w:before="20" w:after="20" w:line="191" w:lineRule="atLeast"/>
    </w:pPr>
    <w:rPr>
      <w:rFonts w:ascii="Times New Roman" w:eastAsia="Calibri" w:hAnsi="Times New Roman" w:cs="Times New Roman"/>
      <w:sz w:val="24"/>
      <w:szCs w:val="24"/>
      <w:lang w:val="es-ES"/>
    </w:rPr>
  </w:style>
  <w:style w:type="paragraph" w:styleId="NormalWeb">
    <w:name w:val="Normal (Web)"/>
    <w:basedOn w:val="Normal"/>
    <w:uiPriority w:val="99"/>
    <w:rsid w:val="003E733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5DA"/>
    <w:pPr>
      <w:ind w:left="720"/>
      <w:contextualSpacing/>
    </w:pPr>
  </w:style>
  <w:style w:type="paragraph" w:styleId="Textodeglobo">
    <w:name w:val="Balloon Text"/>
    <w:basedOn w:val="Normal"/>
    <w:link w:val="TextodegloboCar"/>
    <w:uiPriority w:val="99"/>
    <w:semiHidden/>
    <w:unhideWhenUsed/>
    <w:rsid w:val="003B7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5DA"/>
    <w:rPr>
      <w:rFonts w:ascii="Tahoma" w:hAnsi="Tahoma" w:cs="Tahoma"/>
      <w:sz w:val="16"/>
      <w:szCs w:val="16"/>
    </w:rPr>
  </w:style>
  <w:style w:type="paragraph" w:styleId="Textoindependiente">
    <w:name w:val="Body Text"/>
    <w:basedOn w:val="Normal"/>
    <w:link w:val="TextoindependienteCar"/>
    <w:semiHidden/>
    <w:rsid w:val="003E733A"/>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3E733A"/>
    <w:rPr>
      <w:rFonts w:ascii="Arial" w:eastAsia="Times New Roman" w:hAnsi="Arial" w:cs="Times New Roman"/>
      <w:sz w:val="24"/>
      <w:szCs w:val="24"/>
      <w:lang w:val="es-ES" w:eastAsia="es-ES"/>
    </w:rPr>
  </w:style>
  <w:style w:type="character" w:styleId="Refdenotaalpie">
    <w:name w:val="footnote reference"/>
    <w:aliases w:val="referencia nota al pie"/>
    <w:rsid w:val="003E733A"/>
    <w:rPr>
      <w:rFonts w:cs="Times New Roman"/>
      <w:vertAlign w:val="superscript"/>
    </w:rPr>
  </w:style>
  <w:style w:type="paragraph" w:styleId="Textonotapie">
    <w:name w:val="footnote text"/>
    <w:aliases w:val="texto de nota al pie,Nota a pie/Bibliog,Texto nota pie Car1,Texto nota pie Car Car,Car1 Car Car,Car1 Car2,Car1,ft Car Car,ft Car,ft Car Car Car Car Car Car Car Car Car,ft Car Car Car Car,Footnote Text Char Char,Footnote Text1 Char, Car1"/>
    <w:basedOn w:val="Normal"/>
    <w:link w:val="TextonotapieCar"/>
    <w:rsid w:val="003E733A"/>
    <w:pPr>
      <w:spacing w:after="0" w:line="240" w:lineRule="auto"/>
    </w:pPr>
    <w:rPr>
      <w:rFonts w:ascii="Times New Roman" w:eastAsia="MS Mincho" w:hAnsi="Times New Roman" w:cs="Times New Roman"/>
      <w:sz w:val="20"/>
      <w:szCs w:val="20"/>
      <w:lang w:val="es-ES" w:eastAsia="es-ES"/>
    </w:rPr>
  </w:style>
  <w:style w:type="character" w:customStyle="1" w:styleId="TextonotapieCar">
    <w:name w:val="Texto nota pie Car"/>
    <w:aliases w:val="texto de nota al pie Car1,Nota a pie/Bibliog Car1,Texto nota pie Car1 Car1,Texto nota pie Car Car Car1,Car1 Car Car Car1,Car1 Car2 Car1,Car1 Car1,ft Car Car Car1,ft Car Car2,ft Car Car Car Car Car Car Car Car Car Car1, Car1 Car"/>
    <w:basedOn w:val="Fuentedeprrafopredeter"/>
    <w:link w:val="Textonotapie"/>
    <w:rsid w:val="003E733A"/>
    <w:rPr>
      <w:rFonts w:ascii="Times New Roman" w:eastAsia="MS Mincho" w:hAnsi="Times New Roman" w:cs="Times New Roman"/>
      <w:sz w:val="20"/>
      <w:szCs w:val="20"/>
      <w:lang w:val="es-ES" w:eastAsia="es-ES"/>
    </w:rPr>
  </w:style>
  <w:style w:type="character" w:customStyle="1" w:styleId="A1">
    <w:name w:val="A1"/>
    <w:uiPriority w:val="99"/>
    <w:rsid w:val="003E733A"/>
    <w:rPr>
      <w:color w:val="000000"/>
    </w:rPr>
  </w:style>
  <w:style w:type="paragraph" w:customStyle="1" w:styleId="Pa6">
    <w:name w:val="Pa6"/>
    <w:basedOn w:val="Normal"/>
    <w:next w:val="Normal"/>
    <w:uiPriority w:val="99"/>
    <w:rsid w:val="003E733A"/>
    <w:pPr>
      <w:autoSpaceDE w:val="0"/>
      <w:autoSpaceDN w:val="0"/>
      <w:adjustRightInd w:val="0"/>
      <w:spacing w:before="20" w:after="20" w:line="191" w:lineRule="atLeast"/>
    </w:pPr>
    <w:rPr>
      <w:rFonts w:ascii="Times New Roman" w:eastAsia="Calibri" w:hAnsi="Times New Roman" w:cs="Times New Roman"/>
      <w:sz w:val="24"/>
      <w:szCs w:val="24"/>
      <w:lang w:val="es-ES"/>
    </w:rPr>
  </w:style>
  <w:style w:type="paragraph" w:styleId="NormalWeb">
    <w:name w:val="Normal (Web)"/>
    <w:basedOn w:val="Normal"/>
    <w:uiPriority w:val="99"/>
    <w:rsid w:val="003E733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882">
      <w:bodyDiv w:val="1"/>
      <w:marLeft w:val="0"/>
      <w:marRight w:val="0"/>
      <w:marTop w:val="0"/>
      <w:marBottom w:val="0"/>
      <w:divBdr>
        <w:top w:val="none" w:sz="0" w:space="0" w:color="auto"/>
        <w:left w:val="none" w:sz="0" w:space="0" w:color="auto"/>
        <w:bottom w:val="none" w:sz="0" w:space="0" w:color="auto"/>
        <w:right w:val="none" w:sz="0" w:space="0" w:color="auto"/>
      </w:divBdr>
    </w:div>
    <w:div w:id="168570022">
      <w:bodyDiv w:val="1"/>
      <w:marLeft w:val="0"/>
      <w:marRight w:val="0"/>
      <w:marTop w:val="0"/>
      <w:marBottom w:val="0"/>
      <w:divBdr>
        <w:top w:val="none" w:sz="0" w:space="0" w:color="auto"/>
        <w:left w:val="none" w:sz="0" w:space="0" w:color="auto"/>
        <w:bottom w:val="none" w:sz="0" w:space="0" w:color="auto"/>
        <w:right w:val="none" w:sz="0" w:space="0" w:color="auto"/>
      </w:divBdr>
    </w:div>
    <w:div w:id="282734264">
      <w:bodyDiv w:val="1"/>
      <w:marLeft w:val="0"/>
      <w:marRight w:val="0"/>
      <w:marTop w:val="0"/>
      <w:marBottom w:val="0"/>
      <w:divBdr>
        <w:top w:val="none" w:sz="0" w:space="0" w:color="auto"/>
        <w:left w:val="none" w:sz="0" w:space="0" w:color="auto"/>
        <w:bottom w:val="none" w:sz="0" w:space="0" w:color="auto"/>
        <w:right w:val="none" w:sz="0" w:space="0" w:color="auto"/>
      </w:divBdr>
    </w:div>
    <w:div w:id="860125052">
      <w:bodyDiv w:val="1"/>
      <w:marLeft w:val="0"/>
      <w:marRight w:val="0"/>
      <w:marTop w:val="0"/>
      <w:marBottom w:val="0"/>
      <w:divBdr>
        <w:top w:val="none" w:sz="0" w:space="0" w:color="auto"/>
        <w:left w:val="none" w:sz="0" w:space="0" w:color="auto"/>
        <w:bottom w:val="none" w:sz="0" w:space="0" w:color="auto"/>
        <w:right w:val="none" w:sz="0" w:space="0" w:color="auto"/>
      </w:divBdr>
    </w:div>
    <w:div w:id="21353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13B4C-5803-4BC0-8F2E-8F8D52AA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3851</Words>
  <Characters>21181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taborda</dc:creator>
  <cp:lastModifiedBy>Maria Alejandra Guerra Pérez</cp:lastModifiedBy>
  <cp:revision>2</cp:revision>
  <cp:lastPrinted>2012-08-08T15:26:00Z</cp:lastPrinted>
  <dcterms:created xsi:type="dcterms:W3CDTF">2012-08-08T15:33:00Z</dcterms:created>
  <dcterms:modified xsi:type="dcterms:W3CDTF">2012-08-08T15:33:00Z</dcterms:modified>
</cp:coreProperties>
</file>